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28" w:rsidRPr="007C7A02" w:rsidRDefault="00E70828" w:rsidP="00E70828">
      <w:pPr>
        <w:shd w:val="clear" w:color="auto" w:fill="FFFFFF"/>
        <w:spacing w:before="240" w:after="240" w:line="300" w:lineRule="exact"/>
        <w:ind w:right="346"/>
        <w:jc w:val="right"/>
        <w:rPr>
          <w:color w:val="000000"/>
          <w:sz w:val="18"/>
        </w:rPr>
      </w:pPr>
      <w:bookmarkStart w:id="0" w:name="_GoBack"/>
      <w:bookmarkEnd w:id="0"/>
      <w:r w:rsidRPr="007C7A02">
        <w:rPr>
          <w:color w:val="000000"/>
          <w:sz w:val="18"/>
        </w:rPr>
        <w:t>DD/MM/YYYY</w:t>
      </w:r>
    </w:p>
    <w:p w:rsidR="004B2487" w:rsidRPr="007C7A02" w:rsidRDefault="004B2487" w:rsidP="00E70828">
      <w:pPr>
        <w:shd w:val="clear" w:color="auto" w:fill="FFFFFF"/>
        <w:spacing w:before="600" w:line="600" w:lineRule="exact"/>
        <w:ind w:right="2534" w:firstLine="2741"/>
        <w:rPr>
          <w:b/>
          <w:bCs/>
          <w:color w:val="000000"/>
          <w:spacing w:val="-3"/>
          <w:sz w:val="28"/>
          <w:szCs w:val="28"/>
          <w:lang w:eastAsia="en-US"/>
        </w:rPr>
      </w:pPr>
      <w:r w:rsidRPr="007C7A02">
        <w:rPr>
          <w:rStyle w:val="Heading1Char"/>
        </w:rPr>
        <w:t>TRUSTEE</w:t>
      </w:r>
      <w:r w:rsidRPr="007C7A02">
        <w:rPr>
          <w:b/>
          <w:color w:val="000000"/>
          <w:spacing w:val="-3"/>
          <w:sz w:val="28"/>
        </w:rPr>
        <w:t xml:space="preserve"> MANDATE</w:t>
      </w:r>
      <w:r w:rsidRPr="007C7A02">
        <w:rPr>
          <w:b/>
          <w:bCs/>
          <w:color w:val="000000"/>
          <w:spacing w:val="-3"/>
          <w:sz w:val="28"/>
          <w:szCs w:val="28"/>
          <w:lang w:eastAsia="en-US"/>
        </w:rPr>
        <w:t xml:space="preserve"> </w:t>
      </w:r>
      <w:r w:rsidR="00E70828" w:rsidRPr="007C7A02">
        <w:rPr>
          <w:b/>
          <w:bCs/>
          <w:color w:val="000000"/>
          <w:spacing w:val="-3"/>
          <w:sz w:val="28"/>
          <w:szCs w:val="28"/>
          <w:lang w:eastAsia="en-US"/>
        </w:rPr>
        <w:br/>
      </w:r>
      <w:r w:rsidR="00E70828" w:rsidRPr="007C7A02">
        <w:rPr>
          <w:b/>
          <w:bCs/>
          <w:color w:val="000000"/>
          <w:spacing w:val="-3"/>
          <w:sz w:val="28"/>
          <w:szCs w:val="28"/>
          <w:lang w:eastAsia="en-US"/>
        </w:rPr>
        <w:br/>
      </w:r>
      <w:r w:rsidRPr="007C7A02">
        <w:rPr>
          <w:b/>
          <w:color w:val="000000"/>
          <w:sz w:val="24"/>
        </w:rPr>
        <w:t>BETWEEN:</w:t>
      </w:r>
    </w:p>
    <w:p w:rsidR="004B2487" w:rsidRPr="007C7A02" w:rsidRDefault="004B2487" w:rsidP="002C450D">
      <w:pPr>
        <w:numPr>
          <w:ilvl w:val="0"/>
          <w:numId w:val="10"/>
        </w:numPr>
        <w:shd w:val="clear" w:color="auto" w:fill="FFFFFF"/>
        <w:spacing w:before="240" w:line="298" w:lineRule="exact"/>
        <w:ind w:right="350" w:hanging="720"/>
        <w:jc w:val="both"/>
      </w:pPr>
      <w:r w:rsidRPr="007C7A02">
        <w:rPr>
          <w:color w:val="000000"/>
          <w:sz w:val="22"/>
        </w:rPr>
        <w:t>[</w:t>
      </w:r>
      <w:r w:rsidRPr="007C7A02">
        <w:rPr>
          <w:i/>
          <w:color w:val="000000"/>
          <w:sz w:val="22"/>
        </w:rPr>
        <w:t>X</w:t>
      </w:r>
      <w:r w:rsidRPr="007C7A02">
        <w:rPr>
          <w:color w:val="000000"/>
          <w:sz w:val="22"/>
        </w:rPr>
        <w:t>] [</w:t>
      </w:r>
      <w:r w:rsidRPr="007C7A02">
        <w:rPr>
          <w:i/>
          <w:color w:val="000000"/>
          <w:sz w:val="22"/>
        </w:rPr>
        <w:t xml:space="preserve">Indicate </w:t>
      </w:r>
      <w:r w:rsidR="00F4563D" w:rsidRPr="007C7A02">
        <w:rPr>
          <w:i/>
          <w:color w:val="000000"/>
          <w:sz w:val="22"/>
        </w:rPr>
        <w:t>the</w:t>
      </w:r>
      <w:r w:rsidRPr="007C7A02">
        <w:rPr>
          <w:i/>
          <w:color w:val="000000"/>
          <w:sz w:val="22"/>
        </w:rPr>
        <w:t xml:space="preserve"> name(s) of the </w:t>
      </w:r>
      <w:r w:rsidR="004C38F3" w:rsidRPr="007C7A02">
        <w:rPr>
          <w:i/>
          <w:color w:val="000000"/>
          <w:sz w:val="22"/>
        </w:rPr>
        <w:t>u</w:t>
      </w:r>
      <w:r w:rsidRPr="007C7A02">
        <w:rPr>
          <w:i/>
          <w:color w:val="000000"/>
          <w:sz w:val="22"/>
        </w:rPr>
        <w:t>ndertaking(s) that will divest</w:t>
      </w:r>
      <w:r w:rsidR="0032671A" w:rsidRPr="007C7A02">
        <w:rPr>
          <w:i/>
          <w:color w:val="000000"/>
          <w:sz w:val="22"/>
        </w:rPr>
        <w:t xml:space="preserve"> </w:t>
      </w:r>
      <w:r w:rsidRPr="007C7A02">
        <w:rPr>
          <w:i/>
          <w:color w:val="000000"/>
          <w:sz w:val="22"/>
        </w:rPr>
        <w:t>its/their businesses</w:t>
      </w:r>
      <w:r w:rsidRPr="007C7A02">
        <w:rPr>
          <w:color w:val="000000"/>
          <w:sz w:val="22"/>
        </w:rPr>
        <w:t>]</w:t>
      </w:r>
      <w:r w:rsidR="00F4563D" w:rsidRPr="007C7A02">
        <w:rPr>
          <w:color w:val="000000"/>
          <w:sz w:val="22"/>
        </w:rPr>
        <w:t xml:space="preserve"> </w:t>
      </w:r>
      <w:r w:rsidRPr="007C7A02">
        <w:rPr>
          <w:color w:val="000000"/>
          <w:sz w:val="22"/>
        </w:rPr>
        <w:t>(hereafter [</w:t>
      </w:r>
      <w:r w:rsidRPr="007C7A02">
        <w:rPr>
          <w:b/>
          <w:i/>
          <w:color w:val="000000"/>
          <w:sz w:val="22"/>
        </w:rPr>
        <w:t>X</w:t>
      </w:r>
      <w:r w:rsidRPr="007C7A02">
        <w:rPr>
          <w:color w:val="000000"/>
          <w:sz w:val="22"/>
        </w:rPr>
        <w:t>]), a company organised under the laws of [</w:t>
      </w:r>
      <w:r w:rsidRPr="007C7A02">
        <w:rPr>
          <w:i/>
          <w:color w:val="000000"/>
          <w:sz w:val="22"/>
        </w:rPr>
        <w:t>Indicate</w:t>
      </w:r>
      <w:r w:rsidR="00DA706C" w:rsidRPr="007C7A02">
        <w:rPr>
          <w:i/>
          <w:color w:val="000000"/>
          <w:sz w:val="22"/>
        </w:rPr>
        <w:t xml:space="preserve"> </w:t>
      </w:r>
      <w:r w:rsidRPr="007C7A02">
        <w:rPr>
          <w:i/>
          <w:color w:val="000000"/>
          <w:sz w:val="22"/>
        </w:rPr>
        <w:t>law of origin</w:t>
      </w:r>
      <w:r w:rsidRPr="007C7A02">
        <w:rPr>
          <w:color w:val="000000"/>
          <w:sz w:val="22"/>
        </w:rPr>
        <w:t>], which has its registered seat at [</w:t>
      </w:r>
      <w:r w:rsidRPr="007C7A02">
        <w:rPr>
          <w:i/>
          <w:color w:val="000000"/>
          <w:sz w:val="22"/>
        </w:rPr>
        <w:t>Indicate complete address</w:t>
      </w:r>
      <w:r w:rsidRPr="007C7A02">
        <w:rPr>
          <w:color w:val="000000"/>
          <w:sz w:val="22"/>
        </w:rPr>
        <w:t>],</w:t>
      </w:r>
      <w:r w:rsidR="0032671A" w:rsidRPr="007C7A02">
        <w:rPr>
          <w:color w:val="000000"/>
          <w:sz w:val="22"/>
        </w:rPr>
        <w:t xml:space="preserve"> </w:t>
      </w:r>
      <w:r w:rsidRPr="007C7A02">
        <w:rPr>
          <w:color w:val="000000"/>
          <w:spacing w:val="-1"/>
          <w:sz w:val="22"/>
        </w:rPr>
        <w:t>represented by [</w:t>
      </w:r>
      <w:r w:rsidRPr="007C7A02">
        <w:rPr>
          <w:i/>
          <w:color w:val="000000"/>
          <w:spacing w:val="-1"/>
          <w:sz w:val="22"/>
        </w:rPr>
        <w:t>Indicate name and title of individual representing X for the Mandate</w:t>
      </w:r>
      <w:r w:rsidRPr="007C7A02">
        <w:rPr>
          <w:color w:val="000000"/>
          <w:spacing w:val="-1"/>
          <w:sz w:val="22"/>
        </w:rPr>
        <w:t>],</w:t>
      </w:r>
    </w:p>
    <w:p w:rsidR="004B2487" w:rsidRPr="007C7A02" w:rsidRDefault="004B2487" w:rsidP="002C450D">
      <w:pPr>
        <w:shd w:val="clear" w:color="auto" w:fill="FFFFFF"/>
        <w:spacing w:before="288"/>
        <w:outlineLvl w:val="0"/>
      </w:pPr>
      <w:r w:rsidRPr="007C7A02">
        <w:rPr>
          <w:b/>
          <w:color w:val="000000"/>
          <w:sz w:val="22"/>
        </w:rPr>
        <w:t>AND</w:t>
      </w:r>
    </w:p>
    <w:p w:rsidR="004B2487" w:rsidRPr="007C7A02" w:rsidRDefault="004B2487" w:rsidP="002C450D">
      <w:pPr>
        <w:numPr>
          <w:ilvl w:val="0"/>
          <w:numId w:val="10"/>
        </w:numPr>
        <w:shd w:val="clear" w:color="auto" w:fill="FFFFFF"/>
        <w:spacing w:before="278" w:line="302" w:lineRule="exact"/>
        <w:ind w:right="346" w:hanging="720"/>
        <w:jc w:val="both"/>
      </w:pPr>
      <w:r w:rsidRPr="007C7A02">
        <w:rPr>
          <w:color w:val="000000"/>
          <w:sz w:val="22"/>
        </w:rPr>
        <w:t>[</w:t>
      </w:r>
      <w:r w:rsidRPr="007C7A02">
        <w:rPr>
          <w:i/>
          <w:color w:val="000000"/>
          <w:sz w:val="22"/>
        </w:rPr>
        <w:t>Insert name, address, and, as the case may be, company details of the Trustee</w:t>
      </w:r>
      <w:r w:rsidRPr="007C7A02">
        <w:rPr>
          <w:color w:val="000000"/>
          <w:sz w:val="22"/>
        </w:rPr>
        <w:t>], (the</w:t>
      </w:r>
      <w:r w:rsidRPr="007C7A02">
        <w:rPr>
          <w:color w:val="000000"/>
          <w:sz w:val="22"/>
          <w:szCs w:val="22"/>
          <w:lang w:eastAsia="en-US"/>
        </w:rPr>
        <w:br/>
      </w:r>
      <w:r w:rsidRPr="007C7A02">
        <w:rPr>
          <w:color w:val="000000"/>
          <w:sz w:val="22"/>
        </w:rPr>
        <w:t>“</w:t>
      </w:r>
      <w:r w:rsidRPr="007C7A02">
        <w:rPr>
          <w:b/>
          <w:i/>
          <w:color w:val="000000"/>
          <w:sz w:val="22"/>
        </w:rPr>
        <w:t>Trustee</w:t>
      </w:r>
      <w:r w:rsidRPr="007C7A02">
        <w:rPr>
          <w:color w:val="000000"/>
          <w:sz w:val="22"/>
        </w:rPr>
        <w:t>”).</w:t>
      </w:r>
    </w:p>
    <w:p w:rsidR="004B2487" w:rsidRPr="007C7A02" w:rsidRDefault="004B2487" w:rsidP="002C450D">
      <w:pPr>
        <w:shd w:val="clear" w:color="auto" w:fill="FFFFFF"/>
        <w:spacing w:before="307"/>
      </w:pPr>
      <w:r w:rsidRPr="007C7A02">
        <w:rPr>
          <w:color w:val="000000"/>
          <w:sz w:val="22"/>
        </w:rPr>
        <w:t>[</w:t>
      </w:r>
      <w:r w:rsidRPr="007C7A02">
        <w:rPr>
          <w:i/>
          <w:color w:val="000000"/>
          <w:sz w:val="22"/>
        </w:rPr>
        <w:t>X</w:t>
      </w:r>
      <w:r w:rsidRPr="007C7A02">
        <w:rPr>
          <w:color w:val="000000"/>
          <w:sz w:val="22"/>
        </w:rPr>
        <w:t>] and the Trustee are hereafter referred to as the “</w:t>
      </w:r>
      <w:r w:rsidRPr="007C7A02">
        <w:rPr>
          <w:b/>
          <w:i/>
          <w:color w:val="000000"/>
          <w:sz w:val="22"/>
        </w:rPr>
        <w:t>Mandate Parties</w:t>
      </w:r>
      <w:r w:rsidRPr="007C7A02">
        <w:rPr>
          <w:color w:val="000000"/>
          <w:sz w:val="22"/>
        </w:rPr>
        <w:t>”.</w:t>
      </w:r>
    </w:p>
    <w:p w:rsidR="004B2487" w:rsidRPr="007C7A02" w:rsidRDefault="004B2487" w:rsidP="002C450D">
      <w:pPr>
        <w:shd w:val="clear" w:color="auto" w:fill="FFFFFF"/>
        <w:spacing w:before="586"/>
        <w:outlineLvl w:val="0"/>
      </w:pPr>
      <w:r w:rsidRPr="007C7A02">
        <w:rPr>
          <w:b/>
          <w:color w:val="000000"/>
          <w:sz w:val="22"/>
        </w:rPr>
        <w:t>WHEREAS</w:t>
      </w:r>
    </w:p>
    <w:p w:rsidR="004B2487" w:rsidRPr="007C7A02" w:rsidRDefault="004B2487" w:rsidP="002C450D">
      <w:pPr>
        <w:shd w:val="clear" w:color="auto" w:fill="FFFFFF"/>
        <w:spacing w:before="240" w:after="240" w:line="300" w:lineRule="exact"/>
        <w:ind w:right="346"/>
        <w:jc w:val="both"/>
      </w:pPr>
      <w:r w:rsidRPr="007C7A02">
        <w:rPr>
          <w:color w:val="000000"/>
          <w:spacing w:val="-1"/>
          <w:sz w:val="22"/>
        </w:rPr>
        <w:t>In [</w:t>
      </w:r>
      <w:r w:rsidRPr="007C7A02">
        <w:rPr>
          <w:i/>
          <w:color w:val="000000"/>
          <w:spacing w:val="-1"/>
          <w:sz w:val="22"/>
        </w:rPr>
        <w:t>Indicate full case name and number</w:t>
      </w:r>
      <w:r w:rsidRPr="007C7A02">
        <w:rPr>
          <w:color w:val="000000"/>
          <w:spacing w:val="-1"/>
          <w:sz w:val="22"/>
        </w:rPr>
        <w:t>] and pursuant to [</w:t>
      </w:r>
      <w:r w:rsidRPr="007C7A02">
        <w:rPr>
          <w:i/>
          <w:color w:val="000000"/>
          <w:spacing w:val="-1"/>
          <w:sz w:val="22"/>
        </w:rPr>
        <w:t>Article 6(2)/Article 8(2)</w:t>
      </w:r>
      <w:r w:rsidRPr="007C7A02">
        <w:rPr>
          <w:color w:val="000000"/>
          <w:spacing w:val="-1"/>
          <w:sz w:val="22"/>
        </w:rPr>
        <w:t xml:space="preserve">] of Council </w:t>
      </w:r>
      <w:r w:rsidRPr="007C7A02">
        <w:rPr>
          <w:color w:val="000000"/>
          <w:sz w:val="22"/>
        </w:rPr>
        <w:t xml:space="preserve">Regulation </w:t>
      </w:r>
      <w:r w:rsidR="00360E9C" w:rsidRPr="007C7A02">
        <w:rPr>
          <w:sz w:val="22"/>
        </w:rPr>
        <w:t xml:space="preserve">(EC) No 139/2004 </w:t>
      </w:r>
      <w:r w:rsidRPr="007C7A02">
        <w:rPr>
          <w:color w:val="000000"/>
          <w:sz w:val="22"/>
        </w:rPr>
        <w:t>(the “</w:t>
      </w:r>
      <w:r w:rsidRPr="007C7A02">
        <w:rPr>
          <w:b/>
          <w:i/>
          <w:color w:val="000000"/>
          <w:sz w:val="22"/>
        </w:rPr>
        <w:t>Merger Regulation</w:t>
      </w:r>
      <w:r w:rsidRPr="007C7A02">
        <w:rPr>
          <w:color w:val="000000"/>
          <w:sz w:val="22"/>
        </w:rPr>
        <w:t>”), [</w:t>
      </w:r>
      <w:r w:rsidRPr="007C7A02">
        <w:rPr>
          <w:i/>
          <w:color w:val="000000"/>
          <w:sz w:val="22"/>
        </w:rPr>
        <w:t>X</w:t>
      </w:r>
      <w:r w:rsidRPr="007C7A02">
        <w:rPr>
          <w:color w:val="000000"/>
          <w:sz w:val="22"/>
        </w:rPr>
        <w:t xml:space="preserve">] </w:t>
      </w:r>
      <w:r w:rsidR="008C1748" w:rsidRPr="007C7A02">
        <w:rPr>
          <w:color w:val="000000"/>
          <w:sz w:val="22"/>
          <w:szCs w:val="22"/>
          <w:lang w:eastAsia="en-US"/>
        </w:rPr>
        <w:t>entered into</w:t>
      </w:r>
      <w:r w:rsidR="008C1748" w:rsidRPr="007C7A02">
        <w:rPr>
          <w:color w:val="000000"/>
          <w:sz w:val="22"/>
        </w:rPr>
        <w:t xml:space="preserve"> </w:t>
      </w:r>
      <w:r w:rsidRPr="007C7A02">
        <w:rPr>
          <w:color w:val="000000"/>
          <w:sz w:val="22"/>
        </w:rPr>
        <w:t>commitments (the “</w:t>
      </w:r>
      <w:r w:rsidRPr="007C7A02">
        <w:rPr>
          <w:b/>
          <w:i/>
          <w:color w:val="000000"/>
          <w:sz w:val="22"/>
        </w:rPr>
        <w:t>Commitments</w:t>
      </w:r>
      <w:r w:rsidRPr="007C7A02">
        <w:rPr>
          <w:color w:val="000000"/>
          <w:sz w:val="22"/>
        </w:rPr>
        <w:t xml:space="preserve">”), attached hereto as Annex 1, </w:t>
      </w:r>
      <w:r w:rsidR="008C1748" w:rsidRPr="007C7A02">
        <w:rPr>
          <w:color w:val="000000"/>
          <w:sz w:val="22"/>
          <w:szCs w:val="22"/>
          <w:lang w:eastAsia="en-US"/>
        </w:rPr>
        <w:t>vis-à-vis</w:t>
      </w:r>
      <w:r w:rsidRPr="007C7A02">
        <w:rPr>
          <w:color w:val="000000"/>
          <w:sz w:val="22"/>
        </w:rPr>
        <w:t xml:space="preserve"> the European Commission (the “</w:t>
      </w:r>
      <w:r w:rsidRPr="007C7A02">
        <w:rPr>
          <w:b/>
          <w:i/>
          <w:color w:val="000000"/>
          <w:sz w:val="22"/>
        </w:rPr>
        <w:t>Commission</w:t>
      </w:r>
      <w:r w:rsidRPr="007C7A02">
        <w:rPr>
          <w:color w:val="000000"/>
          <w:sz w:val="22"/>
        </w:rPr>
        <w:t xml:space="preserve">”) </w:t>
      </w:r>
      <w:r w:rsidR="008C1748" w:rsidRPr="007C7A02">
        <w:rPr>
          <w:color w:val="000000"/>
          <w:sz w:val="22"/>
          <w:szCs w:val="22"/>
          <w:lang w:eastAsia="en-US"/>
        </w:rPr>
        <w:t xml:space="preserve">with a view </w:t>
      </w:r>
      <w:r w:rsidR="008C1748" w:rsidRPr="007C7A02">
        <w:rPr>
          <w:color w:val="000000"/>
          <w:sz w:val="22"/>
        </w:rPr>
        <w:t xml:space="preserve">to </w:t>
      </w:r>
      <w:r w:rsidR="008C1748" w:rsidRPr="007C7A02">
        <w:rPr>
          <w:color w:val="000000"/>
          <w:sz w:val="22"/>
          <w:szCs w:val="22"/>
          <w:lang w:eastAsia="en-US"/>
        </w:rPr>
        <w:t>rendering</w:t>
      </w:r>
      <w:r w:rsidRPr="007C7A02">
        <w:rPr>
          <w:color w:val="000000"/>
          <w:sz w:val="22"/>
        </w:rPr>
        <w:t xml:space="preserve"> [</w:t>
      </w:r>
      <w:r w:rsidRPr="007C7A02">
        <w:rPr>
          <w:i/>
          <w:color w:val="000000"/>
          <w:sz w:val="22"/>
        </w:rPr>
        <w:t xml:space="preserve">Description of the operation: e.g. the </w:t>
      </w:r>
      <w:r w:rsidRPr="007C7A02">
        <w:rPr>
          <w:i/>
          <w:color w:val="000000"/>
          <w:spacing w:val="-1"/>
          <w:sz w:val="22"/>
        </w:rPr>
        <w:t>acquisition of…; the creation of a full-function joint venture between…</w:t>
      </w:r>
      <w:r w:rsidRPr="007C7A02">
        <w:rPr>
          <w:color w:val="000000"/>
          <w:spacing w:val="-1"/>
          <w:sz w:val="22"/>
        </w:rPr>
        <w:t xml:space="preserve">] compatible with the </w:t>
      </w:r>
      <w:r w:rsidR="007D1BE7" w:rsidRPr="007C7A02">
        <w:rPr>
          <w:color w:val="000000"/>
          <w:sz w:val="22"/>
          <w:szCs w:val="22"/>
          <w:lang w:eastAsia="en-US"/>
        </w:rPr>
        <w:t>internal</w:t>
      </w:r>
      <w:r w:rsidR="007D1BE7" w:rsidRPr="007C7A02">
        <w:rPr>
          <w:color w:val="000000"/>
          <w:sz w:val="22"/>
        </w:rPr>
        <w:t xml:space="preserve"> </w:t>
      </w:r>
      <w:r w:rsidRPr="007C7A02">
        <w:rPr>
          <w:color w:val="000000"/>
          <w:sz w:val="22"/>
        </w:rPr>
        <w:t>market and the functioning of the EEA Agreement. The Commission approved the operation by its decision pursuant to [</w:t>
      </w:r>
      <w:r w:rsidRPr="007C7A02">
        <w:rPr>
          <w:i/>
          <w:color w:val="000000"/>
          <w:sz w:val="22"/>
        </w:rPr>
        <w:t>Article 6(1)(b)/Article 8(2)</w:t>
      </w:r>
      <w:r w:rsidRPr="007C7A02">
        <w:rPr>
          <w:color w:val="000000"/>
          <w:sz w:val="22"/>
        </w:rPr>
        <w:t>] of the Merger Regulation (the “</w:t>
      </w:r>
      <w:r w:rsidRPr="007C7A02">
        <w:rPr>
          <w:b/>
          <w:i/>
          <w:color w:val="000000"/>
          <w:sz w:val="22"/>
        </w:rPr>
        <w:t>Decision</w:t>
      </w:r>
      <w:r w:rsidRPr="007C7A02">
        <w:rPr>
          <w:color w:val="000000"/>
          <w:sz w:val="22"/>
        </w:rPr>
        <w:t xml:space="preserve">”), subject to full compliance with the </w:t>
      </w:r>
      <w:r w:rsidR="004565C2" w:rsidRPr="007C7A02">
        <w:rPr>
          <w:color w:val="000000"/>
          <w:sz w:val="22"/>
          <w:szCs w:val="22"/>
          <w:lang w:eastAsia="en-US"/>
        </w:rPr>
        <w:t xml:space="preserve">Commitments, which are attached to the Decision as </w:t>
      </w:r>
      <w:r w:rsidRPr="007C7A02">
        <w:rPr>
          <w:color w:val="000000"/>
          <w:sz w:val="22"/>
        </w:rPr>
        <w:t>conditions and obligations</w:t>
      </w:r>
      <w:r w:rsidRPr="007C7A02">
        <w:rPr>
          <w:color w:val="000000"/>
          <w:sz w:val="22"/>
          <w:szCs w:val="22"/>
          <w:lang w:eastAsia="en-US"/>
        </w:rPr>
        <w:t>.</w:t>
      </w:r>
      <w:r w:rsidR="00480365" w:rsidRPr="007C7A02">
        <w:rPr>
          <w:color w:val="000000"/>
          <w:sz w:val="22"/>
        </w:rPr>
        <w:t xml:space="preserve"> </w:t>
      </w:r>
    </w:p>
    <w:p w:rsidR="004B2487" w:rsidRPr="007C7A02" w:rsidRDefault="004B2487" w:rsidP="002C450D">
      <w:pPr>
        <w:shd w:val="clear" w:color="auto" w:fill="FFFFFF"/>
        <w:spacing w:before="240" w:after="240" w:line="300" w:lineRule="exact"/>
        <w:ind w:right="340"/>
        <w:jc w:val="both"/>
      </w:pPr>
      <w:r w:rsidRPr="007C7A02">
        <w:rPr>
          <w:color w:val="000000"/>
          <w:sz w:val="22"/>
        </w:rPr>
        <w:t xml:space="preserve">According to the </w:t>
      </w:r>
      <w:r w:rsidR="00F87A56" w:rsidRPr="007C7A02">
        <w:rPr>
          <w:color w:val="000000"/>
          <w:sz w:val="22"/>
          <w:szCs w:val="22"/>
          <w:lang w:eastAsia="en-US"/>
        </w:rPr>
        <w:t>Commitments</w:t>
      </w:r>
      <w:r w:rsidRPr="007C7A02">
        <w:rPr>
          <w:color w:val="000000"/>
          <w:sz w:val="22"/>
        </w:rPr>
        <w:t>, [</w:t>
      </w:r>
      <w:r w:rsidRPr="007C7A02">
        <w:rPr>
          <w:i/>
          <w:color w:val="000000"/>
          <w:sz w:val="22"/>
        </w:rPr>
        <w:t>X</w:t>
      </w:r>
      <w:r w:rsidRPr="007C7A02">
        <w:rPr>
          <w:color w:val="000000"/>
          <w:sz w:val="22"/>
        </w:rPr>
        <w:t>] undertakes to divest the [</w:t>
      </w:r>
      <w:r w:rsidRPr="007C7A02">
        <w:rPr>
          <w:i/>
          <w:color w:val="000000"/>
          <w:sz w:val="22"/>
        </w:rPr>
        <w:t>Indicate the business to be divested</w:t>
      </w:r>
      <w:r w:rsidRPr="007C7A02">
        <w:rPr>
          <w:color w:val="000000"/>
          <w:sz w:val="22"/>
        </w:rPr>
        <w:t xml:space="preserve">] and, in the meantime, to preserve the economic viability, marketability and competitiveness of </w:t>
      </w:r>
      <w:r w:rsidR="00BB1A66" w:rsidRPr="007C7A02">
        <w:rPr>
          <w:color w:val="000000"/>
          <w:sz w:val="22"/>
          <w:szCs w:val="22"/>
          <w:lang w:eastAsia="en-US"/>
        </w:rPr>
        <w:t>that</w:t>
      </w:r>
      <w:r w:rsidR="00BB1A66" w:rsidRPr="007C7A02">
        <w:rPr>
          <w:color w:val="000000"/>
          <w:sz w:val="22"/>
        </w:rPr>
        <w:t xml:space="preserve"> </w:t>
      </w:r>
      <w:r w:rsidRPr="007C7A02">
        <w:rPr>
          <w:color w:val="000000"/>
          <w:sz w:val="22"/>
        </w:rPr>
        <w:t>business. Therefore, [</w:t>
      </w:r>
      <w:r w:rsidRPr="007C7A02">
        <w:rPr>
          <w:i/>
          <w:color w:val="000000"/>
          <w:sz w:val="22"/>
        </w:rPr>
        <w:t>X</w:t>
      </w:r>
      <w:r w:rsidRPr="007C7A02">
        <w:rPr>
          <w:color w:val="000000"/>
          <w:sz w:val="22"/>
        </w:rPr>
        <w:t xml:space="preserve">] undertakes to appoint a </w:t>
      </w:r>
      <w:r w:rsidRPr="007C7A02">
        <w:rPr>
          <w:color w:val="000000"/>
          <w:spacing w:val="-1"/>
          <w:sz w:val="22"/>
        </w:rPr>
        <w:t xml:space="preserve">Monitoring Trustee for the monitoring of the hold separate obligations and of the divestiture </w:t>
      </w:r>
      <w:r w:rsidRPr="007C7A02">
        <w:rPr>
          <w:color w:val="000000"/>
          <w:sz w:val="22"/>
        </w:rPr>
        <w:t>procedure, and to appoint a Divestiture Trustee for the divestiture of the said business if [</w:t>
      </w:r>
      <w:r w:rsidRPr="007C7A02">
        <w:rPr>
          <w:i/>
          <w:color w:val="000000"/>
          <w:sz w:val="22"/>
        </w:rPr>
        <w:t>X</w:t>
      </w:r>
      <w:r w:rsidRPr="007C7A02">
        <w:rPr>
          <w:color w:val="000000"/>
          <w:sz w:val="22"/>
        </w:rPr>
        <w:t xml:space="preserve">] has not succeeded in divesting it during the First Divestiture Period. In accordance with the </w:t>
      </w:r>
      <w:r w:rsidR="00F87A56" w:rsidRPr="007C7A02">
        <w:rPr>
          <w:color w:val="000000"/>
          <w:sz w:val="22"/>
          <w:szCs w:val="22"/>
          <w:lang w:eastAsia="en-US"/>
        </w:rPr>
        <w:t>Commitments</w:t>
      </w:r>
      <w:r w:rsidRPr="007C7A02">
        <w:rPr>
          <w:color w:val="000000"/>
          <w:sz w:val="22"/>
        </w:rPr>
        <w:t>, [</w:t>
      </w:r>
      <w:r w:rsidRPr="007C7A02">
        <w:rPr>
          <w:i/>
          <w:color w:val="000000"/>
          <w:sz w:val="22"/>
        </w:rPr>
        <w:t>X</w:t>
      </w:r>
      <w:r w:rsidRPr="007C7A02">
        <w:rPr>
          <w:color w:val="000000"/>
          <w:sz w:val="22"/>
        </w:rPr>
        <w:t>] hereby engages the Trustee and this agreement forms the mandate referred to in the Commitments (hereafter the “</w:t>
      </w:r>
      <w:r w:rsidRPr="007C7A02">
        <w:rPr>
          <w:b/>
          <w:i/>
          <w:color w:val="000000"/>
          <w:sz w:val="22"/>
        </w:rPr>
        <w:t>Mandate</w:t>
      </w:r>
      <w:r w:rsidRPr="007C7A02">
        <w:rPr>
          <w:color w:val="000000"/>
          <w:sz w:val="22"/>
        </w:rPr>
        <w:t>”).</w:t>
      </w:r>
    </w:p>
    <w:p w:rsidR="00533669" w:rsidRPr="007C7A02" w:rsidRDefault="004B2487" w:rsidP="00533669">
      <w:pPr>
        <w:shd w:val="clear" w:color="auto" w:fill="FFFFFF"/>
        <w:spacing w:before="240" w:after="240" w:line="300" w:lineRule="exact"/>
        <w:ind w:right="352"/>
        <w:jc w:val="both"/>
        <w:rPr>
          <w:color w:val="000000"/>
          <w:sz w:val="22"/>
        </w:rPr>
      </w:pPr>
      <w:r w:rsidRPr="007C7A02">
        <w:rPr>
          <w:color w:val="000000"/>
          <w:sz w:val="22"/>
        </w:rPr>
        <w:t>The appointment of the Trustee and the terms of this Mandate were approved by the Commission on [</w:t>
      </w:r>
      <w:r w:rsidRPr="007C7A02">
        <w:rPr>
          <w:i/>
          <w:color w:val="000000"/>
          <w:sz w:val="22"/>
        </w:rPr>
        <w:t>Indicate date of approval letter</w:t>
      </w:r>
      <w:r w:rsidRPr="007C7A02">
        <w:rPr>
          <w:color w:val="000000"/>
          <w:sz w:val="22"/>
        </w:rPr>
        <w:t>].</w:t>
      </w:r>
    </w:p>
    <w:p w:rsidR="00533669" w:rsidRPr="007C7A02" w:rsidRDefault="00533669">
      <w:pPr>
        <w:widowControl/>
        <w:autoSpaceDE/>
        <w:autoSpaceDN/>
        <w:adjustRightInd/>
        <w:rPr>
          <w:color w:val="000000"/>
          <w:sz w:val="22"/>
        </w:rPr>
      </w:pPr>
      <w:r w:rsidRPr="007C7A02">
        <w:rPr>
          <w:color w:val="000000"/>
          <w:sz w:val="22"/>
        </w:rPr>
        <w:br w:type="page"/>
      </w:r>
    </w:p>
    <w:p w:rsidR="004B2487" w:rsidRPr="007C7A02" w:rsidRDefault="004B2487" w:rsidP="00533669">
      <w:pPr>
        <w:shd w:val="clear" w:color="auto" w:fill="FFFFFF"/>
        <w:spacing w:before="240" w:after="240" w:line="300" w:lineRule="exact"/>
        <w:ind w:right="352"/>
        <w:jc w:val="both"/>
      </w:pPr>
      <w:r w:rsidRPr="007C7A02">
        <w:rPr>
          <w:color w:val="000000"/>
          <w:spacing w:val="-1"/>
          <w:sz w:val="22"/>
        </w:rPr>
        <w:lastRenderedPageBreak/>
        <w:t xml:space="preserve">In case of doubt or conflict, this Mandate shall be interpreted in the light of (1) the </w:t>
      </w:r>
      <w:r w:rsidR="005855A1" w:rsidRPr="007C7A02">
        <w:rPr>
          <w:color w:val="000000"/>
          <w:spacing w:val="-1"/>
          <w:sz w:val="22"/>
          <w:szCs w:val="22"/>
          <w:lang w:eastAsia="en-US"/>
        </w:rPr>
        <w:t>Commitments</w:t>
      </w:r>
      <w:r w:rsidRPr="007C7A02">
        <w:rPr>
          <w:color w:val="000000"/>
          <w:sz w:val="22"/>
        </w:rPr>
        <w:t xml:space="preserve"> and the Decision, (2) the general framework of </w:t>
      </w:r>
      <w:r w:rsidR="00C032EB" w:rsidRPr="007C7A02">
        <w:rPr>
          <w:color w:val="000000"/>
          <w:sz w:val="22"/>
          <w:szCs w:val="22"/>
          <w:lang w:eastAsia="en-US"/>
        </w:rPr>
        <w:t>European Union</w:t>
      </w:r>
      <w:r w:rsidR="00C032EB" w:rsidRPr="007C7A02">
        <w:rPr>
          <w:color w:val="000000"/>
          <w:sz w:val="22"/>
        </w:rPr>
        <w:t xml:space="preserve"> </w:t>
      </w:r>
      <w:r w:rsidRPr="007C7A02">
        <w:rPr>
          <w:color w:val="000000"/>
          <w:sz w:val="22"/>
        </w:rPr>
        <w:t xml:space="preserve">law, in particular </w:t>
      </w:r>
      <w:r w:rsidRPr="007C7A02">
        <w:rPr>
          <w:color w:val="000000"/>
          <w:spacing w:val="-1"/>
          <w:sz w:val="22"/>
        </w:rPr>
        <w:t xml:space="preserve">in the light of the Merger Regulation, and (3) </w:t>
      </w:r>
      <w:r w:rsidR="00360E9C" w:rsidRPr="007C7A02">
        <w:rPr>
          <w:color w:val="000000"/>
          <w:spacing w:val="-1"/>
          <w:sz w:val="22"/>
        </w:rPr>
        <w:t xml:space="preserve">the </w:t>
      </w:r>
      <w:r w:rsidR="00360E9C" w:rsidRPr="007C7A02">
        <w:rPr>
          <w:sz w:val="22"/>
        </w:rPr>
        <w:t>Commission Notice on remedies acceptable under Council Regulation (EC) No 139/2004 and under Commission Regulation (EC) No 802/2004.</w:t>
      </w:r>
    </w:p>
    <w:p w:rsidR="004B2487" w:rsidRPr="007C7A02" w:rsidRDefault="004B2487" w:rsidP="002C450D">
      <w:pPr>
        <w:shd w:val="clear" w:color="auto" w:fill="FFFFFF"/>
        <w:spacing w:before="586"/>
        <w:outlineLvl w:val="0"/>
      </w:pPr>
      <w:r w:rsidRPr="007C7A02">
        <w:rPr>
          <w:b/>
          <w:color w:val="000000"/>
          <w:sz w:val="24"/>
        </w:rPr>
        <w:t>IT HAS BEEN AGREED AS FOLLOWS:</w:t>
      </w:r>
    </w:p>
    <w:p w:rsidR="004B2487" w:rsidRPr="007C7A02" w:rsidRDefault="004B2487" w:rsidP="00533669">
      <w:pPr>
        <w:pStyle w:val="ListParagraph"/>
        <w:keepNext/>
        <w:keepLines/>
        <w:numPr>
          <w:ilvl w:val="0"/>
          <w:numId w:val="29"/>
        </w:numPr>
        <w:shd w:val="clear" w:color="auto" w:fill="FFFFFF"/>
        <w:spacing w:before="278"/>
        <w:ind w:left="380" w:hanging="357"/>
        <w:outlineLvl w:val="0"/>
        <w:rPr>
          <w:b/>
          <w:color w:val="000000"/>
          <w:sz w:val="24"/>
          <w:lang w:eastAsia="fr-FR" w:bidi="fr-FR"/>
        </w:rPr>
      </w:pPr>
      <w:r w:rsidRPr="007C7A02">
        <w:rPr>
          <w:b/>
          <w:color w:val="000000"/>
          <w:sz w:val="24"/>
          <w:lang w:eastAsia="fr-FR" w:bidi="fr-FR"/>
        </w:rPr>
        <w:t>Definitions</w:t>
      </w:r>
    </w:p>
    <w:p w:rsidR="004B2487" w:rsidRPr="007C7A02" w:rsidRDefault="004B2487" w:rsidP="007C7A02">
      <w:pPr>
        <w:pStyle w:val="CHTno1"/>
      </w:pPr>
      <w:r w:rsidRPr="007C7A02">
        <w:t xml:space="preserve">Terms used in this Mandate shall have the meaning set out in Section </w:t>
      </w:r>
      <w:r w:rsidR="00C032EB" w:rsidRPr="007C7A02">
        <w:t xml:space="preserve">A </w:t>
      </w:r>
      <w:r w:rsidRPr="007C7A02">
        <w:t xml:space="preserve">of the Commitments. </w:t>
      </w:r>
      <w:r w:rsidR="00BB1A66" w:rsidRPr="007C7A02">
        <w:t>In addition, f</w:t>
      </w:r>
      <w:r w:rsidRPr="007C7A02">
        <w:t>or the purpose of this Mandate, the following terms shall have the following meaning</w:t>
      </w:r>
      <w:r w:rsidR="00BB1A66" w:rsidRPr="007C7A02">
        <w:t>s</w:t>
      </w:r>
      <w:r w:rsidRPr="007C7A02">
        <w:t>:</w:t>
      </w:r>
    </w:p>
    <w:p w:rsidR="004B2487" w:rsidRPr="007C7A02" w:rsidRDefault="004B2487" w:rsidP="008D3F65">
      <w:pPr>
        <w:pStyle w:val="IndentedText"/>
        <w:ind w:left="426"/>
      </w:pPr>
      <w:r w:rsidRPr="007C7A02">
        <w:rPr>
          <w:b/>
        </w:rPr>
        <w:t>Sale</w:t>
      </w:r>
      <w:r w:rsidRPr="007C7A02">
        <w:t>: the entering into a binding sale and purchase agreement for the selling of the Divestment Business to the Purchaser.</w:t>
      </w:r>
    </w:p>
    <w:p w:rsidR="004B2487" w:rsidRPr="007C7A02" w:rsidRDefault="004B2487" w:rsidP="008D3F65">
      <w:pPr>
        <w:pStyle w:val="IndentedText"/>
        <w:ind w:left="426"/>
      </w:pPr>
      <w:r w:rsidRPr="007C7A02">
        <w:rPr>
          <w:b/>
        </w:rPr>
        <w:t>Trustee Partner Firms</w:t>
      </w:r>
      <w:r w:rsidRPr="007C7A02">
        <w:t>: the other firms belonging to the same organisation of individual partnerships and companies as the Trustee.</w:t>
      </w:r>
    </w:p>
    <w:p w:rsidR="004B2487" w:rsidRPr="007C7A02" w:rsidRDefault="004B2487" w:rsidP="008D3F65">
      <w:pPr>
        <w:pStyle w:val="IndentedText"/>
        <w:ind w:left="426"/>
      </w:pPr>
      <w:r w:rsidRPr="007C7A02">
        <w:rPr>
          <w:b/>
        </w:rPr>
        <w:t>Trustee Team</w:t>
      </w:r>
      <w:r w:rsidRPr="007C7A02">
        <w:t xml:space="preserve">: The key persons responsible for carrying out the tasks assigned by </w:t>
      </w:r>
      <w:r w:rsidR="00BB1A66" w:rsidRPr="007C7A02">
        <w:rPr>
          <w:szCs w:val="22"/>
          <w:lang w:eastAsia="en-US"/>
        </w:rPr>
        <w:t>this</w:t>
      </w:r>
      <w:r w:rsidR="00BB1A66" w:rsidRPr="007C7A02">
        <w:t xml:space="preserve"> </w:t>
      </w:r>
      <w:r w:rsidRPr="007C7A02">
        <w:t>Mandate and identified in paragraph [</w:t>
      </w:r>
      <w:r w:rsidR="00EF1862" w:rsidRPr="007C7A02">
        <w:t>4</w:t>
      </w:r>
      <w:r w:rsidRPr="007C7A02">
        <w:t>]</w:t>
      </w:r>
      <w:r w:rsidRPr="007C7A02">
        <w:rPr>
          <w:szCs w:val="22"/>
          <w:lang w:eastAsia="en-US"/>
        </w:rPr>
        <w:t>.</w:t>
      </w:r>
      <w:r w:rsidR="00EF1862" w:rsidRPr="007C7A02">
        <w:rPr>
          <w:szCs w:val="22"/>
          <w:lang w:eastAsia="en-US"/>
        </w:rPr>
        <w:t xml:space="preserve"> </w:t>
      </w:r>
    </w:p>
    <w:p w:rsidR="004B2487" w:rsidRPr="007C7A02" w:rsidRDefault="004B2487" w:rsidP="008D3F65">
      <w:pPr>
        <w:pStyle w:val="IndentedText"/>
        <w:ind w:left="426"/>
      </w:pPr>
      <w:r w:rsidRPr="007C7A02">
        <w:rPr>
          <w:b/>
        </w:rPr>
        <w:t>Work-Plan</w:t>
      </w:r>
      <w:r w:rsidRPr="007C7A02">
        <w:t xml:space="preserve">: the outline of the work-plan submitted to the Commission by the Trustee before the approval of the Trustee and attached hereto as Annex </w:t>
      </w:r>
      <w:r w:rsidRPr="007C7A02">
        <w:rPr>
          <w:szCs w:val="22"/>
          <w:lang w:eastAsia="en-US"/>
        </w:rPr>
        <w:t>[·],</w:t>
      </w:r>
      <w:r w:rsidRPr="007C7A02">
        <w:t xml:space="preserve"> a more detailed version of which will be prepared by the Trustee and submitted to the Commission in its first report.</w:t>
      </w:r>
    </w:p>
    <w:p w:rsidR="004B2487" w:rsidRPr="007C7A02" w:rsidRDefault="004B2487" w:rsidP="00533669">
      <w:pPr>
        <w:pStyle w:val="ListParagraph"/>
        <w:keepNext/>
        <w:keepLines/>
        <w:numPr>
          <w:ilvl w:val="0"/>
          <w:numId w:val="29"/>
        </w:numPr>
        <w:shd w:val="clear" w:color="auto" w:fill="FFFFFF"/>
        <w:spacing w:before="278"/>
        <w:ind w:left="380" w:hanging="357"/>
        <w:outlineLvl w:val="0"/>
        <w:rPr>
          <w:b/>
          <w:color w:val="000000"/>
          <w:sz w:val="24"/>
          <w:lang w:eastAsia="fr-FR" w:bidi="fr-FR"/>
        </w:rPr>
      </w:pPr>
      <w:r w:rsidRPr="007C7A02">
        <w:rPr>
          <w:b/>
          <w:color w:val="000000"/>
          <w:sz w:val="24"/>
          <w:lang w:eastAsia="fr-FR" w:bidi="fr-FR"/>
        </w:rPr>
        <w:t>Appointment of Trustee</w:t>
      </w:r>
    </w:p>
    <w:p w:rsidR="004B2487" w:rsidRPr="007C7A02" w:rsidRDefault="004B2487" w:rsidP="007C7A02">
      <w:pPr>
        <w:pStyle w:val="CHTno1"/>
        <w:rPr>
          <w:spacing w:val="-2"/>
        </w:rPr>
      </w:pPr>
      <w:r w:rsidRPr="007C7A02">
        <w:t>[</w:t>
      </w:r>
      <w:r w:rsidRPr="007C7A02">
        <w:rPr>
          <w:i/>
        </w:rPr>
        <w:t>X</w:t>
      </w:r>
      <w:r w:rsidRPr="007C7A02">
        <w:t xml:space="preserve">] hereby appoints the Trustee to act as exclusive trustee </w:t>
      </w:r>
      <w:r w:rsidR="00C41B10" w:rsidRPr="007C7A02">
        <w:rPr>
          <w:szCs w:val="22"/>
          <w:lang w:eastAsia="en-US"/>
        </w:rPr>
        <w:t>to carry out</w:t>
      </w:r>
      <w:r w:rsidR="00C41B10" w:rsidRPr="007C7A02">
        <w:t xml:space="preserve"> the </w:t>
      </w:r>
      <w:r w:rsidR="00C41B10" w:rsidRPr="007C7A02">
        <w:rPr>
          <w:szCs w:val="22"/>
          <w:lang w:eastAsia="en-US"/>
        </w:rPr>
        <w:t>functions specified in the Commitments for</w:t>
      </w:r>
      <w:r w:rsidRPr="007C7A02">
        <w:t xml:space="preserve"> a [Monitoring Trustee and/or Divestiture Trustee] according to the </w:t>
      </w:r>
      <w:r w:rsidR="005855A1" w:rsidRPr="007C7A02">
        <w:rPr>
          <w:szCs w:val="22"/>
          <w:lang w:eastAsia="en-US"/>
        </w:rPr>
        <w:t>Commitments</w:t>
      </w:r>
      <w:r w:rsidRPr="007C7A02">
        <w:t xml:space="preserve"> and the Trustee hereby accepts the said appointment in accordance with the terms of this Mandate.</w:t>
      </w:r>
    </w:p>
    <w:p w:rsidR="004B2487" w:rsidRPr="007C7A02" w:rsidRDefault="004B2487" w:rsidP="007C7A02">
      <w:pPr>
        <w:pStyle w:val="CHTno1"/>
      </w:pPr>
      <w:r w:rsidRPr="007C7A02">
        <w:t>The appointment and this Mandate shall become effective on the date hereof except for the provisions specifically addressing the duties and obligations of the Divestiture Trustee which shall become effective with the beginning of the Trustee Divestiture Period.</w:t>
      </w:r>
    </w:p>
    <w:p w:rsidR="004B2487" w:rsidRPr="007C7A02" w:rsidRDefault="004B2487" w:rsidP="007C7A02">
      <w:pPr>
        <w:pStyle w:val="CHTno1"/>
      </w:pPr>
      <w:r w:rsidRPr="007C7A02">
        <w:t xml:space="preserve">The Trustee Team </w:t>
      </w:r>
      <w:r w:rsidR="00C41B10" w:rsidRPr="007C7A02">
        <w:rPr>
          <w:szCs w:val="22"/>
          <w:lang w:eastAsia="en-US"/>
        </w:rPr>
        <w:t xml:space="preserve">shall </w:t>
      </w:r>
      <w:r w:rsidRPr="007C7A02">
        <w:rPr>
          <w:szCs w:val="22"/>
          <w:lang w:eastAsia="en-US"/>
        </w:rPr>
        <w:t>consist</w:t>
      </w:r>
      <w:r w:rsidRPr="007C7A02">
        <w:t xml:space="preserve"> of the following key persons: [</w:t>
      </w:r>
      <w:r w:rsidRPr="007C7A02">
        <w:rPr>
          <w:i/>
        </w:rPr>
        <w:t>Indicate name and title of each of the key persons (partners/leading persons)</w:t>
      </w:r>
      <w:r w:rsidRPr="007C7A02">
        <w:t xml:space="preserve">]. The Trustee shall not replace the </w:t>
      </w:r>
      <w:r w:rsidR="00BB1A66" w:rsidRPr="007C7A02">
        <w:rPr>
          <w:szCs w:val="22"/>
          <w:lang w:eastAsia="en-US"/>
        </w:rPr>
        <w:t>members</w:t>
      </w:r>
      <w:r w:rsidR="00BB1A66" w:rsidRPr="007C7A02">
        <w:t xml:space="preserve"> </w:t>
      </w:r>
      <w:r w:rsidRPr="007C7A02">
        <w:t>of the Trustee Team without prior approval of the Commission and [</w:t>
      </w:r>
      <w:r w:rsidRPr="007C7A02">
        <w:rPr>
          <w:i/>
        </w:rPr>
        <w:t>X</w:t>
      </w:r>
      <w:r w:rsidRPr="007C7A02">
        <w:t>].</w:t>
      </w:r>
    </w:p>
    <w:p w:rsidR="004B2487" w:rsidRPr="007C7A02" w:rsidRDefault="004B2487" w:rsidP="00651EC2">
      <w:pPr>
        <w:pStyle w:val="Heading2"/>
        <w:rPr>
          <w:lang w:val="en-GB"/>
        </w:rPr>
      </w:pPr>
      <w:r w:rsidRPr="007C7A02">
        <w:rPr>
          <w:lang w:val="en-GB"/>
        </w:rPr>
        <w:t xml:space="preserve">General </w:t>
      </w:r>
      <w:r w:rsidR="00AA640D" w:rsidRPr="007C7A02">
        <w:rPr>
          <w:lang w:val="en-GB"/>
        </w:rPr>
        <w:t>d</w:t>
      </w:r>
      <w:r w:rsidRPr="007C7A02">
        <w:rPr>
          <w:lang w:val="en-GB"/>
        </w:rPr>
        <w:t xml:space="preserve">uties and </w:t>
      </w:r>
      <w:r w:rsidR="00AA640D" w:rsidRPr="007C7A02">
        <w:rPr>
          <w:lang w:val="en-GB"/>
        </w:rPr>
        <w:t>o</w:t>
      </w:r>
      <w:r w:rsidRPr="007C7A02">
        <w:rPr>
          <w:lang w:val="en-GB"/>
        </w:rPr>
        <w:t>bligations of the Trustee</w:t>
      </w:r>
    </w:p>
    <w:p w:rsidR="004B2487" w:rsidRPr="007C7A02" w:rsidRDefault="004B2487" w:rsidP="007C7A02">
      <w:pPr>
        <w:pStyle w:val="CHTno1"/>
      </w:pPr>
      <w:r w:rsidRPr="007C7A02">
        <w:t>The Trustee shall act on behalf of the Commission to ensure [</w:t>
      </w:r>
      <w:r w:rsidRPr="007C7A02">
        <w:rPr>
          <w:i/>
        </w:rPr>
        <w:t>X</w:t>
      </w:r>
      <w:r w:rsidRPr="007C7A02">
        <w:t xml:space="preserve">’s] compliance with the </w:t>
      </w:r>
      <w:r w:rsidR="00F87A56" w:rsidRPr="007C7A02">
        <w:rPr>
          <w:szCs w:val="22"/>
          <w:lang w:eastAsia="en-US"/>
        </w:rPr>
        <w:t>Commitments</w:t>
      </w:r>
      <w:r w:rsidRPr="007C7A02">
        <w:t xml:space="preserve"> and assume the duties specified in the </w:t>
      </w:r>
      <w:r w:rsidR="005855A1" w:rsidRPr="007C7A02">
        <w:rPr>
          <w:szCs w:val="22"/>
          <w:lang w:eastAsia="en-US"/>
        </w:rPr>
        <w:t>Commitments</w:t>
      </w:r>
      <w:r w:rsidRPr="007C7A02">
        <w:t xml:space="preserve"> for a [</w:t>
      </w:r>
      <w:r w:rsidRPr="007C7A02">
        <w:rPr>
          <w:i/>
        </w:rPr>
        <w:t>Monitoring and/or Divestiture Trustee</w:t>
      </w:r>
      <w:r w:rsidRPr="007C7A02">
        <w:t>]. The Trustee shall carry out the</w:t>
      </w:r>
      <w:r w:rsidR="000F7BFC" w:rsidRPr="007C7A02">
        <w:t xml:space="preserve"> </w:t>
      </w:r>
      <w:r w:rsidRPr="007C7A02">
        <w:t>duties under this Mandate in accordance with the Work-Plan as well as revisions of the Work-Plan, approved by the Commission. The Commission may, on its own initiative or at the request of the Trustee or [</w:t>
      </w:r>
      <w:r w:rsidRPr="007C7A02">
        <w:rPr>
          <w:i/>
        </w:rPr>
        <w:t>X</w:t>
      </w:r>
      <w:r w:rsidRPr="007C7A02">
        <w:t xml:space="preserve">], give any orders or instructions to the Trustee in order to ensure compliance with the </w:t>
      </w:r>
      <w:r w:rsidR="00F87A56" w:rsidRPr="007C7A02">
        <w:rPr>
          <w:szCs w:val="22"/>
          <w:lang w:eastAsia="en-US"/>
        </w:rPr>
        <w:t>Commitments</w:t>
      </w:r>
      <w:r w:rsidRPr="007C7A02">
        <w:rPr>
          <w:szCs w:val="22"/>
          <w:lang w:eastAsia="en-US"/>
        </w:rPr>
        <w:t>.</w:t>
      </w:r>
      <w:r w:rsidRPr="007C7A02">
        <w:t xml:space="preserve"> [</w:t>
      </w:r>
      <w:r w:rsidRPr="007C7A02">
        <w:rPr>
          <w:i/>
        </w:rPr>
        <w:t>X</w:t>
      </w:r>
      <w:r w:rsidRPr="007C7A02">
        <w:t xml:space="preserve">] </w:t>
      </w:r>
      <w:r w:rsidR="001E2A8A" w:rsidRPr="007C7A02">
        <w:rPr>
          <w:szCs w:val="22"/>
          <w:lang w:eastAsia="en-US"/>
        </w:rPr>
        <w:t>m</w:t>
      </w:r>
      <w:r w:rsidR="00BB1A66" w:rsidRPr="007C7A02">
        <w:rPr>
          <w:szCs w:val="22"/>
          <w:lang w:eastAsia="en-US"/>
        </w:rPr>
        <w:t>ay</w:t>
      </w:r>
      <w:r w:rsidR="00BB1A66" w:rsidRPr="007C7A02">
        <w:t xml:space="preserve"> not</w:t>
      </w:r>
      <w:r w:rsidRPr="007C7A02">
        <w:t xml:space="preserve"> give instructions to the Trustee.</w:t>
      </w:r>
    </w:p>
    <w:p w:rsidR="004B2487" w:rsidRPr="007C7A02" w:rsidRDefault="004B2487" w:rsidP="007C7A02">
      <w:pPr>
        <w:pStyle w:val="CHTno1"/>
      </w:pPr>
      <w:r w:rsidRPr="007C7A02">
        <w:t>The Trustee shall propose to [</w:t>
      </w:r>
      <w:r w:rsidRPr="007C7A02">
        <w:rPr>
          <w:i/>
        </w:rPr>
        <w:t>X</w:t>
      </w:r>
      <w:r w:rsidRPr="007C7A02">
        <w:t xml:space="preserve">] such measures as the Trustee considers necessary to </w:t>
      </w:r>
      <w:r w:rsidR="00CC32D1" w:rsidRPr="007C7A02">
        <w:t>e</w:t>
      </w:r>
      <w:r w:rsidRPr="007C7A02">
        <w:t xml:space="preserve">nsure </w:t>
      </w:r>
      <w:r w:rsidRPr="007C7A02">
        <w:lastRenderedPageBreak/>
        <w:t>[</w:t>
      </w:r>
      <w:r w:rsidRPr="007C7A02">
        <w:rPr>
          <w:i/>
        </w:rPr>
        <w:t>X</w:t>
      </w:r>
      <w:r w:rsidRPr="007C7A02">
        <w:t>’s] compliance with the Commitments and/or the Mandate, and the Trustee shall propose necessary measures to the Commission in the event that [</w:t>
      </w:r>
      <w:r w:rsidRPr="007C7A02">
        <w:rPr>
          <w:i/>
        </w:rPr>
        <w:t>X</w:t>
      </w:r>
      <w:r w:rsidRPr="007C7A02">
        <w:t>] does not comply with the Trustee’s proposals within the timeframe set by the Trustee.</w:t>
      </w:r>
    </w:p>
    <w:p w:rsidR="004B2487" w:rsidRPr="007C7A02" w:rsidRDefault="004B2487" w:rsidP="007C7A02">
      <w:pPr>
        <w:pStyle w:val="Heading2"/>
        <w:rPr>
          <w:lang w:val="en-GB"/>
        </w:rPr>
      </w:pPr>
      <w:r w:rsidRPr="007C7A02">
        <w:rPr>
          <w:lang w:val="en-GB"/>
        </w:rPr>
        <w:t xml:space="preserve">Duties and </w:t>
      </w:r>
      <w:r w:rsidR="00AA640D" w:rsidRPr="007C7A02">
        <w:rPr>
          <w:lang w:val="en-GB"/>
        </w:rPr>
        <w:t>o</w:t>
      </w:r>
      <w:r w:rsidRPr="007C7A02">
        <w:rPr>
          <w:lang w:val="en-GB"/>
        </w:rPr>
        <w:t>bligations of the Monitoring Trustee</w:t>
      </w:r>
    </w:p>
    <w:p w:rsidR="004B2487" w:rsidRPr="007C7A02" w:rsidRDefault="004B2487" w:rsidP="00651EC2">
      <w:pPr>
        <w:pStyle w:val="Heading3"/>
      </w:pPr>
      <w:r w:rsidRPr="007C7A02">
        <w:t xml:space="preserve">Monitoring and </w:t>
      </w:r>
      <w:r w:rsidR="00AA640D" w:rsidRPr="007C7A02">
        <w:t>m</w:t>
      </w:r>
      <w:r w:rsidRPr="007C7A02">
        <w:t>anagement of the Divestment Business</w:t>
      </w:r>
    </w:p>
    <w:p w:rsidR="004B2487" w:rsidRPr="007C7A02" w:rsidRDefault="004B2487" w:rsidP="007C7A02">
      <w:pPr>
        <w:pStyle w:val="CHTno1"/>
      </w:pPr>
      <w:r w:rsidRPr="007C7A02">
        <w:t xml:space="preserve">The Monitoring Trustee shall, in conformity with the </w:t>
      </w:r>
      <w:r w:rsidR="00F87A56" w:rsidRPr="007C7A02">
        <w:rPr>
          <w:szCs w:val="22"/>
          <w:lang w:eastAsia="en-US"/>
        </w:rPr>
        <w:t>Commitments</w:t>
      </w:r>
      <w:r w:rsidRPr="007C7A02">
        <w:t>, oversee</w:t>
      </w:r>
      <w:r w:rsidR="00CC0139" w:rsidRPr="007C7A02">
        <w:rPr>
          <w:szCs w:val="22"/>
          <w:lang w:eastAsia="en-US"/>
        </w:rPr>
        <w:t>, in close cooperation with the Hold Separate Manager,</w:t>
      </w:r>
      <w:r w:rsidRPr="007C7A02">
        <w:t xml:space="preserve"> the on-going management of the Divestment Business with a view to ensuring its continued economic viability, marketability and competitiveness and monitor the compliance </w:t>
      </w:r>
      <w:r w:rsidR="00AA640D" w:rsidRPr="007C7A02">
        <w:rPr>
          <w:szCs w:val="22"/>
          <w:lang w:eastAsia="en-US"/>
        </w:rPr>
        <w:t>by</w:t>
      </w:r>
      <w:r w:rsidR="00AA640D" w:rsidRPr="007C7A02">
        <w:t xml:space="preserve"> </w:t>
      </w:r>
      <w:r w:rsidRPr="007C7A02">
        <w:t>[</w:t>
      </w:r>
      <w:r w:rsidRPr="007C7A02">
        <w:rPr>
          <w:i/>
        </w:rPr>
        <w:t>X</w:t>
      </w:r>
      <w:r w:rsidRPr="007C7A02">
        <w:t xml:space="preserve">] with the </w:t>
      </w:r>
      <w:r w:rsidR="00F87A56" w:rsidRPr="007C7A02">
        <w:rPr>
          <w:szCs w:val="22"/>
          <w:lang w:eastAsia="en-US"/>
        </w:rPr>
        <w:t>Commitments</w:t>
      </w:r>
      <w:r w:rsidRPr="007C7A02">
        <w:rPr>
          <w:szCs w:val="22"/>
          <w:lang w:eastAsia="en-US"/>
        </w:rPr>
        <w:t>.</w:t>
      </w:r>
      <w:r w:rsidRPr="007C7A02">
        <w:t xml:space="preserve"> To that end, the Monitoring Trustee shall until Closing in particular:</w:t>
      </w:r>
      <w:r w:rsidR="00960EF2" w:rsidRPr="007C7A02">
        <w:rPr>
          <w:szCs w:val="22"/>
          <w:lang w:eastAsia="en-US"/>
        </w:rPr>
        <w:t xml:space="preserve"> </w:t>
      </w:r>
    </w:p>
    <w:p w:rsidR="00F91CAE" w:rsidRPr="00F6525F" w:rsidRDefault="00533669" w:rsidP="00F6525F">
      <w:pPr>
        <w:pStyle w:val="CHTNumbering"/>
      </w:pPr>
      <w:r w:rsidRPr="00F6525F">
        <w:t>monitor</w:t>
      </w:r>
    </w:p>
    <w:p w:rsidR="00F91CAE" w:rsidRPr="007C7A02" w:rsidRDefault="004B2487" w:rsidP="007C7A02">
      <w:pPr>
        <w:pStyle w:val="IndentedText"/>
      </w:pPr>
      <w:r w:rsidRPr="007C7A02">
        <w:t xml:space="preserve">(i) the preservation of the economic viability, marketability and competitiveness of the Divestment Business in accordance with good business practice, </w:t>
      </w:r>
    </w:p>
    <w:p w:rsidR="00F91CAE" w:rsidRPr="007C7A02" w:rsidRDefault="004B2487" w:rsidP="007C7A02">
      <w:pPr>
        <w:pStyle w:val="IndentedText"/>
      </w:pPr>
      <w:r w:rsidRPr="007C7A02">
        <w:t xml:space="preserve">(ii) the minimisation, as far as possible, of any risk of loss of competitive potential of the Divestment Business; </w:t>
      </w:r>
    </w:p>
    <w:p w:rsidR="00F91CAE" w:rsidRPr="007C7A02" w:rsidRDefault="004B2487" w:rsidP="00027C4A">
      <w:pPr>
        <w:pStyle w:val="IndentedText"/>
        <w:rPr>
          <w:szCs w:val="22"/>
          <w:lang w:eastAsia="en-US"/>
        </w:rPr>
      </w:pPr>
      <w:r w:rsidRPr="007C7A02">
        <w:t xml:space="preserve">(iii) </w:t>
      </w:r>
      <w:r w:rsidR="00F91CAE" w:rsidRPr="007C7A02">
        <w:rPr>
          <w:szCs w:val="22"/>
          <w:lang w:eastAsia="en-US"/>
        </w:rPr>
        <w:t>that</w:t>
      </w:r>
      <w:r w:rsidRPr="007C7A02">
        <w:t xml:space="preserve"> [</w:t>
      </w:r>
      <w:r w:rsidRPr="007C7A02">
        <w:rPr>
          <w:i/>
        </w:rPr>
        <w:t>X</w:t>
      </w:r>
      <w:r w:rsidRPr="007C7A02">
        <w:t xml:space="preserve">] or Affiliated Undertakings </w:t>
      </w:r>
      <w:r w:rsidR="00F91CAE" w:rsidRPr="007C7A02">
        <w:rPr>
          <w:szCs w:val="22"/>
          <w:lang w:eastAsia="en-US"/>
        </w:rPr>
        <w:t xml:space="preserve">do not carry out </w:t>
      </w:r>
      <w:r w:rsidRPr="007C7A02">
        <w:t xml:space="preserve">any </w:t>
      </w:r>
      <w:r w:rsidR="00F87A56" w:rsidRPr="007C7A02">
        <w:rPr>
          <w:szCs w:val="22"/>
          <w:lang w:eastAsia="en-US"/>
        </w:rPr>
        <w:t>action</w:t>
      </w:r>
      <w:r w:rsidRPr="007C7A02">
        <w:t xml:space="preserve"> that might have a significant adverse impact on the value, management or competitiveness of the Divestment Business or that might alter the nature and scope of activity, or the industrial or commercial strategy or the investment policy of the Divestment Business; </w:t>
      </w:r>
    </w:p>
    <w:p w:rsidR="00F91CAE" w:rsidRPr="007C7A02" w:rsidRDefault="004B2487" w:rsidP="00027C4A">
      <w:pPr>
        <w:pStyle w:val="IndentedText"/>
        <w:rPr>
          <w:szCs w:val="22"/>
          <w:lang w:eastAsia="en-US"/>
        </w:rPr>
      </w:pPr>
      <w:r w:rsidRPr="007C7A02">
        <w:t xml:space="preserve">(iv) </w:t>
      </w:r>
      <w:r w:rsidR="00F91CAE" w:rsidRPr="007C7A02">
        <w:rPr>
          <w:szCs w:val="22"/>
          <w:lang w:eastAsia="en-US"/>
        </w:rPr>
        <w:t>that</w:t>
      </w:r>
      <w:r w:rsidRPr="007C7A02">
        <w:rPr>
          <w:szCs w:val="22"/>
          <w:lang w:eastAsia="en-US"/>
        </w:rPr>
        <w:t xml:space="preserve"> [</w:t>
      </w:r>
      <w:r w:rsidRPr="007C7A02">
        <w:rPr>
          <w:i/>
          <w:iCs/>
          <w:szCs w:val="22"/>
          <w:lang w:eastAsia="en-US"/>
        </w:rPr>
        <w:t>X</w:t>
      </w:r>
      <w:r w:rsidRPr="007C7A02">
        <w:rPr>
          <w:szCs w:val="22"/>
          <w:lang w:eastAsia="en-US"/>
        </w:rPr>
        <w:t xml:space="preserve">] </w:t>
      </w:r>
      <w:r w:rsidR="00F91CAE" w:rsidRPr="007C7A02">
        <w:rPr>
          <w:szCs w:val="22"/>
          <w:lang w:eastAsia="en-US"/>
        </w:rPr>
        <w:t>makes</w:t>
      </w:r>
      <w:r w:rsidR="00F91CAE" w:rsidRPr="007C7A02">
        <w:t xml:space="preserve"> available </w:t>
      </w:r>
      <w:r w:rsidRPr="007C7A02">
        <w:t xml:space="preserve">sufficient resources for the Divestment Business to develop, based on the existing business plans and their continuation, and </w:t>
      </w:r>
    </w:p>
    <w:p w:rsidR="004B2487" w:rsidRPr="007C7A02" w:rsidRDefault="004B2487" w:rsidP="00027C4A">
      <w:pPr>
        <w:pStyle w:val="IndentedText"/>
      </w:pPr>
      <w:r w:rsidRPr="007C7A02">
        <w:t xml:space="preserve">(v) </w:t>
      </w:r>
      <w:r w:rsidR="00F91CAE" w:rsidRPr="007C7A02">
        <w:rPr>
          <w:szCs w:val="22"/>
          <w:lang w:eastAsia="en-US"/>
        </w:rPr>
        <w:t>that</w:t>
      </w:r>
      <w:r w:rsidRPr="007C7A02">
        <w:rPr>
          <w:szCs w:val="22"/>
          <w:lang w:eastAsia="en-US"/>
        </w:rPr>
        <w:t xml:space="preserve"> [</w:t>
      </w:r>
      <w:r w:rsidRPr="007C7A02">
        <w:rPr>
          <w:i/>
          <w:iCs/>
          <w:szCs w:val="22"/>
          <w:lang w:eastAsia="en-US"/>
        </w:rPr>
        <w:t>X</w:t>
      </w:r>
      <w:r w:rsidRPr="007C7A02">
        <w:rPr>
          <w:szCs w:val="22"/>
          <w:lang w:eastAsia="en-US"/>
        </w:rPr>
        <w:t>]</w:t>
      </w:r>
      <w:r w:rsidR="00F91CAE" w:rsidRPr="007C7A02">
        <w:rPr>
          <w:szCs w:val="22"/>
          <w:lang w:eastAsia="en-US"/>
        </w:rPr>
        <w:t xml:space="preserve"> takes</w:t>
      </w:r>
      <w:r w:rsidR="00F91CAE" w:rsidRPr="007C7A02">
        <w:t xml:space="preserve"> all reasonable steps</w:t>
      </w:r>
      <w:r w:rsidRPr="007C7A02">
        <w:rPr>
          <w:szCs w:val="22"/>
          <w:lang w:eastAsia="en-US"/>
        </w:rPr>
        <w:t>,</w:t>
      </w:r>
      <w:r w:rsidRPr="007C7A02">
        <w:t xml:space="preserve"> including appropriate incentive schemes (based on business practice), to encourage all Key Personnel to remain with the Divestment Business ;</w:t>
      </w:r>
    </w:p>
    <w:p w:rsidR="00F91CAE" w:rsidRPr="007C7A02" w:rsidRDefault="004B2487" w:rsidP="00F6525F">
      <w:pPr>
        <w:pStyle w:val="CHTNumbering"/>
        <w:rPr>
          <w:spacing w:val="-5"/>
          <w:szCs w:val="22"/>
          <w:lang w:eastAsia="da-DK"/>
        </w:rPr>
      </w:pPr>
      <w:r w:rsidRPr="007C7A02">
        <w:t xml:space="preserve">monitor </w:t>
      </w:r>
    </w:p>
    <w:p w:rsidR="00F91CAE" w:rsidRPr="007C7A02" w:rsidRDefault="004B2487" w:rsidP="007C7A02">
      <w:pPr>
        <w:pStyle w:val="IndentedText"/>
        <w:rPr>
          <w:szCs w:val="22"/>
          <w:lang w:eastAsia="en-US"/>
        </w:rPr>
      </w:pPr>
      <w:r w:rsidRPr="007C7A02">
        <w:t>(i) the holding separate of the Divestment Business from the businesses [</w:t>
      </w:r>
      <w:r w:rsidRPr="007C7A02">
        <w:rPr>
          <w:i/>
        </w:rPr>
        <w:t>X</w:t>
      </w:r>
      <w:r w:rsidRPr="007C7A02">
        <w:t>]</w:t>
      </w:r>
      <w:r w:rsidRPr="007C7A02">
        <w:rPr>
          <w:szCs w:val="22"/>
          <w:lang w:eastAsia="en-US"/>
        </w:rPr>
        <w:t xml:space="preserve"> </w:t>
      </w:r>
      <w:r w:rsidR="005F49F5" w:rsidRPr="007C7A02">
        <w:rPr>
          <w:szCs w:val="22"/>
          <w:lang w:eastAsia="en-US"/>
        </w:rPr>
        <w:t>is retaining</w:t>
      </w:r>
      <w:r w:rsidR="005F49F5" w:rsidRPr="007C7A02">
        <w:t xml:space="preserve"> </w:t>
      </w:r>
      <w:r w:rsidRPr="007C7A02">
        <w:t xml:space="preserve">and Affiliated Undertakings, </w:t>
      </w:r>
    </w:p>
    <w:p w:rsidR="00F91CAE" w:rsidRPr="007C7A02" w:rsidRDefault="004B2487" w:rsidP="007C7A02">
      <w:pPr>
        <w:pStyle w:val="IndentedText"/>
        <w:rPr>
          <w:szCs w:val="22"/>
          <w:lang w:eastAsia="en-US"/>
        </w:rPr>
      </w:pPr>
      <w:r w:rsidRPr="007C7A02">
        <w:t xml:space="preserve">(ii) the absence of involvement of Key Employees of the Divestment Business – including the Hold Separate Manager – in any business retained and vice versa, and </w:t>
      </w:r>
    </w:p>
    <w:p w:rsidR="004B2487" w:rsidRPr="007C7A02" w:rsidRDefault="004B2487" w:rsidP="007C7A02">
      <w:pPr>
        <w:pStyle w:val="IndentedText"/>
        <w:rPr>
          <w:spacing w:val="-5"/>
        </w:rPr>
      </w:pPr>
      <w:r w:rsidRPr="007C7A02">
        <w:t>(iii) the absence of reporting of the Personnel of the Divestment Business to any individual outside the Divestment Business, except where permitted in the Commitments;</w:t>
      </w:r>
    </w:p>
    <w:p w:rsidR="00B65BAF" w:rsidRPr="007C7A02" w:rsidRDefault="004B2487" w:rsidP="00F6525F">
      <w:pPr>
        <w:pStyle w:val="CHTNumbering"/>
        <w:rPr>
          <w:spacing w:val="-4"/>
        </w:rPr>
      </w:pPr>
      <w:r w:rsidRPr="007C7A02">
        <w:t>seek to ensure that the Divestment Business is managed as a distinct and saleable entity separate from [</w:t>
      </w:r>
      <w:r w:rsidRPr="007C7A02">
        <w:rPr>
          <w:i/>
        </w:rPr>
        <w:t>X</w:t>
      </w:r>
      <w:r w:rsidRPr="007C7A02">
        <w:t>’s] or Affiliated Undertakings’ businesses and</w:t>
      </w:r>
      <w:r w:rsidR="00B65BAF" w:rsidRPr="007C7A02">
        <w:t xml:space="preserve"> that the Hold Separate Manager manages the Divestment Business </w:t>
      </w:r>
      <w:r w:rsidR="00B65BAF" w:rsidRPr="007C7A02">
        <w:rPr>
          <w:spacing w:val="-1"/>
        </w:rPr>
        <w:t xml:space="preserve">independently and in the best interest of the business and ensuring its continued </w:t>
      </w:r>
      <w:r w:rsidR="00B65BAF" w:rsidRPr="007C7A02">
        <w:t>economic viability, marketability and competitiveness as well as its independence from the businesses retained by the Parties;</w:t>
      </w:r>
    </w:p>
    <w:p w:rsidR="004B2487" w:rsidRPr="007C7A02" w:rsidRDefault="004B2487" w:rsidP="00533669">
      <w:pPr>
        <w:shd w:val="clear" w:color="auto" w:fill="FFFFFF"/>
        <w:tabs>
          <w:tab w:val="left" w:pos="1277"/>
        </w:tabs>
        <w:spacing w:before="106" w:line="300" w:lineRule="atLeast"/>
        <w:ind w:left="426" w:right="341"/>
        <w:jc w:val="both"/>
      </w:pPr>
      <w:r w:rsidRPr="007C7A02">
        <w:rPr>
          <w:color w:val="000000"/>
          <w:spacing w:val="-3"/>
          <w:sz w:val="22"/>
        </w:rPr>
        <w:t>[(d)</w:t>
      </w:r>
      <w:r w:rsidRPr="007C7A02">
        <w:rPr>
          <w:rFonts w:ascii="Arial"/>
          <w:color w:val="000000"/>
          <w:sz w:val="22"/>
        </w:rPr>
        <w:tab/>
      </w:r>
      <w:r w:rsidRPr="007C7A02">
        <w:rPr>
          <w:i/>
          <w:color w:val="000000"/>
          <w:sz w:val="22"/>
        </w:rPr>
        <w:t xml:space="preserve">the following paragraph </w:t>
      </w:r>
      <w:r w:rsidR="0033686D" w:rsidRPr="007C7A02">
        <w:rPr>
          <w:i/>
          <w:color w:val="000000"/>
          <w:sz w:val="22"/>
        </w:rPr>
        <w:t xml:space="preserve">is </w:t>
      </w:r>
      <w:r w:rsidRPr="007C7A02">
        <w:rPr>
          <w:i/>
          <w:color w:val="000000"/>
          <w:sz w:val="22"/>
        </w:rPr>
        <w:t>to be inserted in cases in which the Commitments</w:t>
      </w:r>
    </w:p>
    <w:p w:rsidR="004B2487" w:rsidRPr="007C7A02" w:rsidRDefault="004B2487" w:rsidP="002C450D">
      <w:pPr>
        <w:shd w:val="clear" w:color="auto" w:fill="FFFFFF"/>
        <w:spacing w:line="300" w:lineRule="atLeast"/>
        <w:ind w:left="1277" w:right="341"/>
        <w:jc w:val="both"/>
      </w:pPr>
      <w:r w:rsidRPr="007C7A02">
        <w:rPr>
          <w:i/>
          <w:color w:val="000000"/>
          <w:sz w:val="22"/>
        </w:rPr>
        <w:t xml:space="preserve">foresee the voting of shares by the Monitoring Trustee and/or the replacement </w:t>
      </w:r>
      <w:r w:rsidRPr="007C7A02">
        <w:rPr>
          <w:i/>
          <w:color w:val="000000"/>
          <w:spacing w:val="-2"/>
          <w:sz w:val="22"/>
        </w:rPr>
        <w:t xml:space="preserve">of </w:t>
      </w:r>
      <w:r w:rsidRPr="007C7A02">
        <w:rPr>
          <w:i/>
          <w:color w:val="000000"/>
          <w:spacing w:val="-2"/>
          <w:sz w:val="22"/>
        </w:rPr>
        <w:lastRenderedPageBreak/>
        <w:t>member of the supervisory board/board of directors</w:t>
      </w:r>
      <w:r w:rsidRPr="007C7A02">
        <w:rPr>
          <w:color w:val="000000"/>
          <w:spacing w:val="-2"/>
          <w:sz w:val="22"/>
        </w:rPr>
        <w:t>: exercise [</w:t>
      </w:r>
      <w:r w:rsidRPr="007C7A02">
        <w:rPr>
          <w:i/>
          <w:color w:val="000000"/>
          <w:spacing w:val="-2"/>
          <w:sz w:val="22"/>
        </w:rPr>
        <w:t>X</w:t>
      </w:r>
      <w:r w:rsidRPr="007C7A02">
        <w:rPr>
          <w:color w:val="000000"/>
          <w:spacing w:val="-2"/>
          <w:sz w:val="22"/>
        </w:rPr>
        <w:t xml:space="preserve">’s] rights as </w:t>
      </w:r>
      <w:r w:rsidRPr="007C7A02">
        <w:rPr>
          <w:color w:val="000000"/>
          <w:sz w:val="22"/>
        </w:rPr>
        <w:t xml:space="preserve">shareholder in </w:t>
      </w:r>
      <w:r w:rsidR="005F49F5" w:rsidRPr="007C7A02">
        <w:rPr>
          <w:color w:val="000000"/>
          <w:sz w:val="22"/>
        </w:rPr>
        <w:t xml:space="preserve">the </w:t>
      </w:r>
      <w:r w:rsidR="005F49F5" w:rsidRPr="007C7A02">
        <w:rPr>
          <w:color w:val="000000"/>
          <w:sz w:val="22"/>
          <w:szCs w:val="22"/>
          <w:lang w:eastAsia="en-US"/>
        </w:rPr>
        <w:t xml:space="preserve">legal entity or entities that constitute </w:t>
      </w:r>
      <w:r w:rsidRPr="007C7A02">
        <w:rPr>
          <w:color w:val="000000"/>
          <w:sz w:val="22"/>
          <w:szCs w:val="22"/>
          <w:lang w:eastAsia="en-US"/>
        </w:rPr>
        <w:t xml:space="preserve">the </w:t>
      </w:r>
      <w:r w:rsidRPr="007C7A02">
        <w:rPr>
          <w:color w:val="000000"/>
          <w:sz w:val="22"/>
        </w:rPr>
        <w:t xml:space="preserve">Divestment Business (except for its rights </w:t>
      </w:r>
      <w:r w:rsidR="00BB1A66" w:rsidRPr="007C7A02">
        <w:rPr>
          <w:color w:val="000000"/>
          <w:sz w:val="22"/>
          <w:szCs w:val="22"/>
          <w:lang w:eastAsia="en-US"/>
        </w:rPr>
        <w:t>in respect of</w:t>
      </w:r>
      <w:r w:rsidR="00BB1A66" w:rsidRPr="007C7A02">
        <w:rPr>
          <w:color w:val="000000"/>
          <w:sz w:val="22"/>
        </w:rPr>
        <w:t xml:space="preserve"> </w:t>
      </w:r>
      <w:r w:rsidRPr="007C7A02">
        <w:rPr>
          <w:color w:val="000000"/>
          <w:sz w:val="22"/>
        </w:rPr>
        <w:t xml:space="preserve">dividends that are due before Closing), with the aim of acting in the best interest of the business, </w:t>
      </w:r>
      <w:r w:rsidR="005F49F5" w:rsidRPr="007C7A02">
        <w:rPr>
          <w:color w:val="000000"/>
          <w:sz w:val="22"/>
          <w:szCs w:val="22"/>
          <w:lang w:eastAsia="en-US"/>
        </w:rPr>
        <w:t xml:space="preserve">which shall be </w:t>
      </w:r>
      <w:r w:rsidRPr="007C7A02">
        <w:rPr>
          <w:color w:val="000000"/>
          <w:sz w:val="22"/>
        </w:rPr>
        <w:t xml:space="preserve">determined on a stand-alone basis, as an independent financial </w:t>
      </w:r>
      <w:r w:rsidRPr="007C7A02">
        <w:rPr>
          <w:color w:val="000000"/>
          <w:spacing w:val="-1"/>
          <w:sz w:val="22"/>
        </w:rPr>
        <w:t>investor, and with a view to fulfilling [</w:t>
      </w:r>
      <w:r w:rsidRPr="007C7A02">
        <w:rPr>
          <w:i/>
          <w:color w:val="000000"/>
          <w:spacing w:val="-1"/>
          <w:sz w:val="22"/>
        </w:rPr>
        <w:t>X’s</w:t>
      </w:r>
      <w:r w:rsidRPr="007C7A02">
        <w:rPr>
          <w:color w:val="000000"/>
          <w:spacing w:val="-1"/>
          <w:sz w:val="22"/>
        </w:rPr>
        <w:t xml:space="preserve">] </w:t>
      </w:r>
      <w:r w:rsidRPr="007C7A02">
        <w:rPr>
          <w:color w:val="000000"/>
          <w:spacing w:val="-1"/>
          <w:sz w:val="22"/>
          <w:szCs w:val="22"/>
          <w:lang w:eastAsia="en-US"/>
        </w:rPr>
        <w:t>obligation</w:t>
      </w:r>
      <w:r w:rsidR="00AA640D" w:rsidRPr="007C7A02">
        <w:rPr>
          <w:color w:val="000000"/>
          <w:spacing w:val="-1"/>
          <w:sz w:val="22"/>
          <w:szCs w:val="22"/>
          <w:lang w:eastAsia="en-US"/>
        </w:rPr>
        <w:t>s</w:t>
      </w:r>
      <w:r w:rsidRPr="007C7A02">
        <w:rPr>
          <w:color w:val="000000"/>
          <w:spacing w:val="-1"/>
          <w:sz w:val="22"/>
        </w:rPr>
        <w:t xml:space="preserve"> </w:t>
      </w:r>
      <w:r w:rsidR="00AA640D" w:rsidRPr="007C7A02">
        <w:rPr>
          <w:color w:val="000000"/>
          <w:sz w:val="22"/>
        </w:rPr>
        <w:t xml:space="preserve">under the </w:t>
      </w:r>
      <w:r w:rsidR="00AA640D" w:rsidRPr="007C7A02">
        <w:rPr>
          <w:color w:val="000000"/>
          <w:sz w:val="22"/>
          <w:szCs w:val="22"/>
          <w:lang w:eastAsia="en-US"/>
        </w:rPr>
        <w:t>Commitments</w:t>
      </w:r>
      <w:r w:rsidRPr="007C7A02">
        <w:rPr>
          <w:color w:val="000000"/>
          <w:sz w:val="22"/>
        </w:rPr>
        <w:t>. Consequently, [</w:t>
      </w:r>
      <w:r w:rsidRPr="007C7A02">
        <w:rPr>
          <w:i/>
          <w:color w:val="000000"/>
          <w:sz w:val="22"/>
        </w:rPr>
        <w:t>X</w:t>
      </w:r>
      <w:r w:rsidRPr="007C7A02">
        <w:rPr>
          <w:color w:val="000000"/>
          <w:sz w:val="22"/>
        </w:rPr>
        <w:t xml:space="preserve">] grants a comprehensive and duly executed proxy to the Monitoring Trustee in Annex </w:t>
      </w:r>
      <w:r w:rsidRPr="007C7A02">
        <w:rPr>
          <w:color w:val="000000"/>
          <w:sz w:val="22"/>
          <w:szCs w:val="22"/>
          <w:lang w:eastAsia="en-US"/>
        </w:rPr>
        <w:t>[·]</w:t>
      </w:r>
      <w:r w:rsidRPr="007C7A02">
        <w:rPr>
          <w:color w:val="000000"/>
          <w:sz w:val="22"/>
        </w:rPr>
        <w:t xml:space="preserve"> for the exercise of the voting rights attached to [X’s] shares in the Divestment Business. The Monitoring Trustee shall have the power to replace members of the supervisory board or non-executive directors of the board of directors of the Divestment Business, who have been appointed on behalf of [</w:t>
      </w:r>
      <w:r w:rsidRPr="007C7A02">
        <w:rPr>
          <w:i/>
          <w:color w:val="000000"/>
          <w:sz w:val="22"/>
        </w:rPr>
        <w:t>X</w:t>
      </w:r>
      <w:r w:rsidRPr="007C7A02">
        <w:rPr>
          <w:color w:val="000000"/>
          <w:sz w:val="22"/>
        </w:rPr>
        <w:t>]. Upon request of the Monitoring Trustee, [</w:t>
      </w:r>
      <w:r w:rsidRPr="007C7A02">
        <w:rPr>
          <w:i/>
          <w:color w:val="000000"/>
          <w:sz w:val="22"/>
        </w:rPr>
        <w:t>X</w:t>
      </w:r>
      <w:r w:rsidRPr="007C7A02">
        <w:rPr>
          <w:color w:val="000000"/>
          <w:sz w:val="22"/>
        </w:rPr>
        <w:t xml:space="preserve">] shall resign as a member of the boards or shall cause such </w:t>
      </w:r>
      <w:r w:rsidRPr="007C7A02">
        <w:rPr>
          <w:color w:val="000000"/>
          <w:spacing w:val="-1"/>
          <w:sz w:val="22"/>
        </w:rPr>
        <w:t xml:space="preserve">members of the boards to resign. The representatives of the Monitoring Trustee </w:t>
      </w:r>
      <w:r w:rsidRPr="007C7A02">
        <w:rPr>
          <w:color w:val="000000"/>
          <w:sz w:val="22"/>
        </w:rPr>
        <w:t xml:space="preserve">to be appointed to the board shall be one or more persons </w:t>
      </w:r>
      <w:r w:rsidR="001E40FE" w:rsidRPr="007C7A02">
        <w:rPr>
          <w:color w:val="000000"/>
          <w:sz w:val="22"/>
          <w:szCs w:val="22"/>
          <w:lang w:eastAsia="en-US"/>
        </w:rPr>
        <w:t>from</w:t>
      </w:r>
      <w:r w:rsidR="001E40FE" w:rsidRPr="007C7A02">
        <w:rPr>
          <w:color w:val="000000"/>
          <w:sz w:val="22"/>
        </w:rPr>
        <w:t xml:space="preserve"> </w:t>
      </w:r>
      <w:r w:rsidRPr="007C7A02">
        <w:rPr>
          <w:color w:val="000000"/>
          <w:sz w:val="22"/>
        </w:rPr>
        <w:t xml:space="preserve">the Trustee Team. </w:t>
      </w:r>
      <w:r w:rsidR="001E40FE" w:rsidRPr="007C7A02">
        <w:rPr>
          <w:color w:val="000000"/>
          <w:sz w:val="22"/>
          <w:szCs w:val="22"/>
          <w:lang w:eastAsia="en-US"/>
        </w:rPr>
        <w:t>The consent</w:t>
      </w:r>
      <w:r w:rsidR="001E40FE" w:rsidRPr="007C7A02">
        <w:rPr>
          <w:color w:val="000000"/>
          <w:sz w:val="22"/>
        </w:rPr>
        <w:t xml:space="preserve"> of the Commission </w:t>
      </w:r>
      <w:r w:rsidR="001E40FE" w:rsidRPr="007C7A02">
        <w:rPr>
          <w:color w:val="000000"/>
          <w:sz w:val="22"/>
          <w:szCs w:val="22"/>
          <w:lang w:eastAsia="en-US"/>
        </w:rPr>
        <w:t>shall be</w:t>
      </w:r>
      <w:r w:rsidR="001E40FE" w:rsidRPr="007C7A02">
        <w:rPr>
          <w:color w:val="000000"/>
          <w:sz w:val="22"/>
        </w:rPr>
        <w:t xml:space="preserve"> required</w:t>
      </w:r>
      <w:r w:rsidR="001E40FE" w:rsidRPr="007C7A02">
        <w:rPr>
          <w:color w:val="000000"/>
          <w:sz w:val="22"/>
          <w:szCs w:val="22"/>
          <w:lang w:eastAsia="en-US"/>
        </w:rPr>
        <w:t xml:space="preserve"> to appoint members to the board(s) who are not members of the Trustee Team</w:t>
      </w:r>
      <w:r w:rsidR="005F49F5" w:rsidRPr="007C7A02">
        <w:rPr>
          <w:color w:val="000000"/>
          <w:sz w:val="22"/>
          <w:szCs w:val="22"/>
          <w:lang w:eastAsia="en-US"/>
        </w:rPr>
        <w:t>;</w:t>
      </w:r>
      <w:r w:rsidR="00394841" w:rsidRPr="007C7A02">
        <w:rPr>
          <w:color w:val="000000"/>
          <w:sz w:val="22"/>
          <w:szCs w:val="22"/>
          <w:lang w:eastAsia="en-US"/>
        </w:rPr>
        <w:t>]</w:t>
      </w:r>
    </w:p>
    <w:p w:rsidR="004B2487" w:rsidRPr="00F6525F" w:rsidRDefault="004B2487" w:rsidP="00F6525F">
      <w:pPr>
        <w:pStyle w:val="CHTNumbering"/>
        <w:numPr>
          <w:ilvl w:val="0"/>
          <w:numId w:val="39"/>
        </w:numPr>
        <w:ind w:left="1276" w:hanging="850"/>
        <w:rPr>
          <w:spacing w:val="-4"/>
        </w:rPr>
      </w:pPr>
      <w:r w:rsidRPr="00F6525F">
        <w:t>monitor the splitting of assets and the allocation of Personnel between the Divestment Business and [</w:t>
      </w:r>
      <w:r w:rsidRPr="00F6525F">
        <w:rPr>
          <w:i/>
        </w:rPr>
        <w:t>X</w:t>
      </w:r>
      <w:r w:rsidRPr="00F6525F">
        <w:t>] or Affiliated Undertakings;</w:t>
      </w:r>
    </w:p>
    <w:p w:rsidR="005F49F5" w:rsidRPr="007C7A02" w:rsidRDefault="004B2487" w:rsidP="00F6525F">
      <w:pPr>
        <w:pStyle w:val="CHTNumbering"/>
        <w:rPr>
          <w:spacing w:val="-5"/>
          <w:szCs w:val="22"/>
        </w:rPr>
      </w:pPr>
      <w:r w:rsidRPr="007C7A02">
        <w:rPr>
          <w:spacing w:val="-1"/>
        </w:rPr>
        <w:t>determine all necessary measures to ensure that [</w:t>
      </w:r>
      <w:r w:rsidRPr="007C7A02">
        <w:rPr>
          <w:i/>
          <w:spacing w:val="-1"/>
        </w:rPr>
        <w:t>X</w:t>
      </w:r>
      <w:r w:rsidRPr="007C7A02">
        <w:rPr>
          <w:spacing w:val="-1"/>
        </w:rPr>
        <w:t xml:space="preserve">] </w:t>
      </w:r>
      <w:r w:rsidRPr="007C7A02">
        <w:t>does not</w:t>
      </w:r>
      <w:r w:rsidR="001E40FE" w:rsidRPr="007C7A02">
        <w:rPr>
          <w:szCs w:val="22"/>
          <w:lang w:eastAsia="da-DK"/>
        </w:rPr>
        <w:t>,</w:t>
      </w:r>
      <w:r w:rsidRPr="007C7A02">
        <w:t xml:space="preserve"> after the Effective Date</w:t>
      </w:r>
      <w:r w:rsidR="001E40FE" w:rsidRPr="007C7A02">
        <w:rPr>
          <w:szCs w:val="22"/>
          <w:lang w:eastAsia="da-DK"/>
        </w:rPr>
        <w:t>,</w:t>
      </w:r>
      <w:r w:rsidRPr="007C7A02">
        <w:t xml:space="preserve"> obtain </w:t>
      </w:r>
      <w:r w:rsidR="00F5492D" w:rsidRPr="007C7A02">
        <w:rPr>
          <w:szCs w:val="22"/>
          <w:lang w:eastAsia="da-DK"/>
        </w:rPr>
        <w:t>C</w:t>
      </w:r>
      <w:r w:rsidR="00360E9C" w:rsidRPr="007C7A02">
        <w:rPr>
          <w:szCs w:val="22"/>
          <w:lang w:eastAsia="da-DK"/>
        </w:rPr>
        <w:t xml:space="preserve">onfidential </w:t>
      </w:r>
      <w:r w:rsidR="00F5492D" w:rsidRPr="007C7A02">
        <w:rPr>
          <w:szCs w:val="22"/>
          <w:lang w:eastAsia="da-DK"/>
        </w:rPr>
        <w:t>I</w:t>
      </w:r>
      <w:r w:rsidR="00360E9C" w:rsidRPr="007C7A02">
        <w:rPr>
          <w:szCs w:val="22"/>
          <w:lang w:eastAsia="da-DK"/>
        </w:rPr>
        <w:t>nformation</w:t>
      </w:r>
      <w:r w:rsidRPr="007C7A02">
        <w:t xml:space="preserve"> relating to the Divestment Business, in particular</w:t>
      </w:r>
      <w:r w:rsidR="005F49F5" w:rsidRPr="007C7A02">
        <w:rPr>
          <w:szCs w:val="22"/>
          <w:lang w:eastAsia="da-DK"/>
        </w:rPr>
        <w:t>:</w:t>
      </w:r>
    </w:p>
    <w:p w:rsidR="005F49F5" w:rsidRPr="007C7A02" w:rsidRDefault="005F49F5" w:rsidP="007C7A02">
      <w:pPr>
        <w:pStyle w:val="IndentedText"/>
      </w:pPr>
      <w:r w:rsidRPr="007C7A02">
        <w:rPr>
          <w:szCs w:val="22"/>
          <w:lang w:eastAsia="da-DK"/>
        </w:rPr>
        <w:t>(i)</w:t>
      </w:r>
      <w:r w:rsidR="004B2487" w:rsidRPr="007C7A02">
        <w:t xml:space="preserve"> strive for the severing of the Divestment Business’ participation in </w:t>
      </w:r>
      <w:r w:rsidR="004B2487" w:rsidRPr="007C7A02">
        <w:rPr>
          <w:szCs w:val="22"/>
          <w:lang w:eastAsia="da-DK"/>
        </w:rPr>
        <w:t>a</w:t>
      </w:r>
      <w:r w:rsidR="001E40FE" w:rsidRPr="007C7A02">
        <w:rPr>
          <w:szCs w:val="22"/>
          <w:lang w:eastAsia="da-DK"/>
        </w:rPr>
        <w:t>ny</w:t>
      </w:r>
      <w:r w:rsidR="004B2487" w:rsidRPr="007C7A02">
        <w:t xml:space="preserve"> central information technology network to the extent possible, without compromising the viability of the Divestment Business, </w:t>
      </w:r>
    </w:p>
    <w:p w:rsidR="005F49F5" w:rsidRPr="007C7A02" w:rsidRDefault="004B2487" w:rsidP="007C7A02">
      <w:pPr>
        <w:pStyle w:val="IndentedText"/>
      </w:pPr>
      <w:r w:rsidRPr="007C7A02">
        <w:rPr>
          <w:szCs w:val="22"/>
          <w:lang w:eastAsia="da-DK"/>
        </w:rPr>
        <w:t>(i</w:t>
      </w:r>
      <w:r w:rsidR="002F083C" w:rsidRPr="007C7A02">
        <w:rPr>
          <w:szCs w:val="22"/>
          <w:lang w:eastAsia="da-DK"/>
        </w:rPr>
        <w:t>i</w:t>
      </w:r>
      <w:r w:rsidRPr="007C7A02">
        <w:rPr>
          <w:szCs w:val="22"/>
          <w:lang w:eastAsia="da-DK"/>
        </w:rPr>
        <w:t xml:space="preserve">) </w:t>
      </w:r>
      <w:r w:rsidR="002F083C" w:rsidRPr="007C7A02">
        <w:t>make sure that any Confidential Information relating to the Divestment Business obtained by [</w:t>
      </w:r>
      <w:r w:rsidR="002F083C" w:rsidRPr="007C7A02">
        <w:rPr>
          <w:i/>
        </w:rPr>
        <w:t>X</w:t>
      </w:r>
      <w:r w:rsidR="002F083C" w:rsidRPr="007C7A02">
        <w:t>] before the Effective Date is eliminated and will not be used by [</w:t>
      </w:r>
      <w:r w:rsidR="002F083C" w:rsidRPr="007C7A02">
        <w:rPr>
          <w:i/>
        </w:rPr>
        <w:t>X</w:t>
      </w:r>
      <w:r w:rsidR="002F083C" w:rsidRPr="007C7A02">
        <w:t xml:space="preserve">] and </w:t>
      </w:r>
    </w:p>
    <w:p w:rsidR="00870B4E" w:rsidRPr="007C7A02" w:rsidRDefault="002F083C" w:rsidP="007C7A02">
      <w:pPr>
        <w:pStyle w:val="IndentedText"/>
        <w:rPr>
          <w:spacing w:val="-5"/>
          <w:szCs w:val="22"/>
          <w:lang w:eastAsia="fr-FR"/>
        </w:rPr>
      </w:pPr>
      <w:r w:rsidRPr="007C7A02">
        <w:t>(i</w:t>
      </w:r>
      <w:r w:rsidR="005F49F5" w:rsidRPr="007C7A02">
        <w:t>ii</w:t>
      </w:r>
      <w:r w:rsidRPr="007C7A02">
        <w:t>) decide whether such information may be disclosed to or kept by [</w:t>
      </w:r>
      <w:r w:rsidRPr="007C7A02">
        <w:rPr>
          <w:i/>
        </w:rPr>
        <w:t>X</w:t>
      </w:r>
      <w:r w:rsidRPr="007C7A02">
        <w:t>] as the disclosure is reasonably necessary to allow [</w:t>
      </w:r>
      <w:r w:rsidRPr="007C7A02">
        <w:rPr>
          <w:i/>
        </w:rPr>
        <w:t>X</w:t>
      </w:r>
      <w:r w:rsidRPr="007C7A02">
        <w:t>] to carry out the divestiture or is required by law</w:t>
      </w:r>
      <w:r w:rsidR="002A4DD6" w:rsidRPr="007C7A02">
        <w:t>.</w:t>
      </w:r>
    </w:p>
    <w:p w:rsidR="004B2487" w:rsidRPr="007C7A02" w:rsidRDefault="004B2487" w:rsidP="007C7A02">
      <w:pPr>
        <w:pStyle w:val="Heading3"/>
      </w:pPr>
      <w:r w:rsidRPr="007C7A02">
        <w:t>Monitoring of Divestiture</w:t>
      </w:r>
    </w:p>
    <w:p w:rsidR="004B2487" w:rsidRPr="007C7A02" w:rsidRDefault="004B2487" w:rsidP="007C7A02">
      <w:pPr>
        <w:pStyle w:val="CHTno1"/>
      </w:pPr>
      <w:r w:rsidRPr="007C7A02">
        <w:t>Until the end of the First Divestiture Period, the Monitoring Trustee shall assist the Commission in reviewing the divestiture process and assessing proposed purchasers. Therefore the Monitoring Trustee shall</w:t>
      </w:r>
      <w:r w:rsidR="001E40FE" w:rsidRPr="007C7A02">
        <w:rPr>
          <w:szCs w:val="22"/>
          <w:lang w:eastAsia="en-US"/>
        </w:rPr>
        <w:t>,</w:t>
      </w:r>
      <w:r w:rsidRPr="007C7A02">
        <w:t xml:space="preserve"> during the First Divestiture Period:</w:t>
      </w:r>
    </w:p>
    <w:p w:rsidR="004B2487" w:rsidRPr="00F6525F" w:rsidRDefault="004B2487" w:rsidP="00F6525F">
      <w:pPr>
        <w:pStyle w:val="CHTNumbering"/>
        <w:numPr>
          <w:ilvl w:val="0"/>
          <w:numId w:val="34"/>
        </w:numPr>
        <w:ind w:left="1276" w:hanging="850"/>
      </w:pPr>
      <w:r w:rsidRPr="00F6525F">
        <w:t>review and assess the progress of the divestiture process and potential</w:t>
      </w:r>
      <w:r w:rsidR="002A4DD6" w:rsidRPr="00F6525F">
        <w:t xml:space="preserve"> </w:t>
      </w:r>
      <w:r w:rsidRPr="00F6525F">
        <w:t>purchasers;</w:t>
      </w:r>
    </w:p>
    <w:p w:rsidR="004B2487" w:rsidRPr="00F6525F" w:rsidRDefault="004B2487" w:rsidP="00F6525F">
      <w:pPr>
        <w:pStyle w:val="CHTNumbering"/>
      </w:pPr>
      <w:r w:rsidRPr="00F6525F">
        <w:t>verify that, dependent on the stage of the divestiture process, (i) potential</w:t>
      </w:r>
      <w:r w:rsidR="00AE42CF" w:rsidRPr="00F6525F">
        <w:t xml:space="preserve"> </w:t>
      </w:r>
      <w:r w:rsidRPr="00F6525F">
        <w:t xml:space="preserve">purchasers receive sufficient </w:t>
      </w:r>
      <w:r w:rsidR="003B2C0A" w:rsidRPr="00F6525F">
        <w:t xml:space="preserve">and correct </w:t>
      </w:r>
      <w:r w:rsidRPr="00F6525F">
        <w:t>information relating to the Divestment Business and the Personnel, in particular by reviewing, if available, the data room documentation, the information memorandum and the due diligence process, and (ii) potential purchasers are granted reasonable access to the Personnel;</w:t>
      </w:r>
    </w:p>
    <w:p w:rsidR="00AE42CF" w:rsidRPr="00F6525F" w:rsidRDefault="00AE42CF" w:rsidP="00F6525F">
      <w:pPr>
        <w:pStyle w:val="CHTNumbering"/>
      </w:pPr>
      <w:r w:rsidRPr="00F6525F">
        <w:t xml:space="preserve">act as a contact point for any requests by third parties, in particular potential purchasers, in relation to the Commitments and </w:t>
      </w:r>
      <w:r w:rsidR="005F49F5" w:rsidRPr="00F6525F">
        <w:t xml:space="preserve">agree to </w:t>
      </w:r>
      <w:r w:rsidRPr="00F6525F">
        <w:t>have its contact details published on the website of the Commission's Directorate-General for Competition.</w:t>
      </w:r>
      <w:r w:rsidR="001E40FE" w:rsidRPr="00F6525F">
        <w:t xml:space="preserve"> </w:t>
      </w:r>
    </w:p>
    <w:p w:rsidR="00AE42CF" w:rsidRPr="007C7A02" w:rsidRDefault="00AE42CF">
      <w:pPr>
        <w:shd w:val="clear" w:color="auto" w:fill="FFFFFF"/>
        <w:spacing w:line="298" w:lineRule="exact"/>
        <w:ind w:left="1277" w:right="336"/>
        <w:jc w:val="both"/>
      </w:pPr>
    </w:p>
    <w:p w:rsidR="004B2487" w:rsidRPr="007C7A02" w:rsidRDefault="004B2487" w:rsidP="007C7A02">
      <w:pPr>
        <w:pStyle w:val="CHTno1"/>
      </w:pPr>
      <w:r w:rsidRPr="007C7A02">
        <w:t>Once [</w:t>
      </w:r>
      <w:r w:rsidRPr="007C7A02">
        <w:rPr>
          <w:i/>
        </w:rPr>
        <w:t>X</w:t>
      </w:r>
      <w:r w:rsidRPr="007C7A02">
        <w:t xml:space="preserve">] has submitted </w:t>
      </w:r>
      <w:r w:rsidRPr="007C7A02">
        <w:rPr>
          <w:szCs w:val="22"/>
          <w:lang w:eastAsia="en-US"/>
        </w:rPr>
        <w:t xml:space="preserve">a </w:t>
      </w:r>
      <w:r w:rsidRPr="007C7A02">
        <w:t>proposal for a purchaser</w:t>
      </w:r>
      <w:r w:rsidR="001E40FE" w:rsidRPr="007C7A02">
        <w:rPr>
          <w:szCs w:val="22"/>
          <w:lang w:eastAsia="en-US"/>
        </w:rPr>
        <w:t xml:space="preserve"> to the Commission</w:t>
      </w:r>
      <w:r w:rsidRPr="007C7A02">
        <w:t xml:space="preserve">, the Trustee shall, within one week after receipt of the documented proposal by the Parties, submit to the Commission a reasoned opinion as to the suitability and independence of the proposed purchaser and the viability of the Divestment Business after the Sale and as to whether the Divestment Business is sold in a manner consistent with the </w:t>
      </w:r>
      <w:r w:rsidR="00064406" w:rsidRPr="007C7A02">
        <w:t xml:space="preserve">Commission's Decision and the </w:t>
      </w:r>
      <w:r w:rsidR="007C45C3" w:rsidRPr="007C7A02">
        <w:rPr>
          <w:szCs w:val="22"/>
          <w:lang w:eastAsia="en-US"/>
        </w:rPr>
        <w:t>Commitments</w:t>
      </w:r>
      <w:r w:rsidRPr="007C7A02">
        <w:t>, in particular</w:t>
      </w:r>
      <w:r w:rsidR="00A76066" w:rsidRPr="007C7A02">
        <w:rPr>
          <w:szCs w:val="22"/>
          <w:lang w:eastAsia="en-US"/>
        </w:rPr>
        <w:t xml:space="preserve"> whether </w:t>
      </w:r>
      <w:r w:rsidR="00A76066" w:rsidRPr="007C7A02">
        <w:t>it ensures the lasting structural change in the market intended by the Commitments and</w:t>
      </w:r>
      <w:r w:rsidRPr="007C7A02">
        <w:t xml:space="preserve">, if relevant, whether the Sale of the Divestment Business </w:t>
      </w:r>
      <w:r w:rsidR="001E40FE" w:rsidRPr="007C7A02">
        <w:t xml:space="preserve">without one or more Assets or </w:t>
      </w:r>
      <w:r w:rsidR="001E40FE" w:rsidRPr="007C7A02">
        <w:rPr>
          <w:szCs w:val="22"/>
          <w:lang w:eastAsia="en-US"/>
        </w:rPr>
        <w:t>members</w:t>
      </w:r>
      <w:r w:rsidR="001E40FE" w:rsidRPr="007C7A02">
        <w:t xml:space="preserve"> of the Personnel</w:t>
      </w:r>
      <w:r w:rsidRPr="007C7A02">
        <w:t xml:space="preserve"> affects the viability of the Divestment Business after the Sale, taking account of the proposed purchaser.</w:t>
      </w:r>
    </w:p>
    <w:p w:rsidR="0010660E" w:rsidRPr="007C7A02" w:rsidRDefault="0010660E" w:rsidP="007C7A02">
      <w:pPr>
        <w:pStyle w:val="CHTno1"/>
        <w:rPr>
          <w:szCs w:val="22"/>
          <w:lang w:eastAsia="en-US"/>
        </w:rPr>
      </w:pPr>
      <w:r w:rsidRPr="007C7A02">
        <w:rPr>
          <w:szCs w:val="22"/>
          <w:lang w:eastAsia="en-US"/>
        </w:rPr>
        <w:t xml:space="preserve">If the Monitoring and Divestiture Trustee are not the same </w:t>
      </w:r>
      <w:r w:rsidR="00EC55CE" w:rsidRPr="007C7A02">
        <w:rPr>
          <w:szCs w:val="22"/>
          <w:lang w:eastAsia="en-US"/>
        </w:rPr>
        <w:t>natural or legal</w:t>
      </w:r>
      <w:r w:rsidRPr="007C7A02">
        <w:rPr>
          <w:szCs w:val="22"/>
          <w:lang w:eastAsia="en-US"/>
        </w:rPr>
        <w:t xml:space="preserve"> person, the Monitoring Trustee and the Divestiture Trustee shall cooperate closely with each other during and for the purpose of the preparation of the Trustee Divestiture Period in order to facilitate each other's tasks.</w:t>
      </w:r>
    </w:p>
    <w:p w:rsidR="004B2487" w:rsidRPr="00F6525F" w:rsidRDefault="004B2487" w:rsidP="007C7A02">
      <w:pPr>
        <w:pStyle w:val="Heading2"/>
        <w:rPr>
          <w:lang w:val="en-GB"/>
        </w:rPr>
      </w:pPr>
      <w:r w:rsidRPr="00F6525F">
        <w:rPr>
          <w:lang w:val="en-GB"/>
        </w:rPr>
        <w:t xml:space="preserve">Duties and </w:t>
      </w:r>
      <w:r w:rsidR="00AA640D" w:rsidRPr="00F6525F">
        <w:rPr>
          <w:lang w:val="en-GB"/>
        </w:rPr>
        <w:t>o</w:t>
      </w:r>
      <w:r w:rsidRPr="00F6525F">
        <w:rPr>
          <w:lang w:val="en-GB"/>
        </w:rPr>
        <w:t>bligations of the Divestiture Trustee</w:t>
      </w:r>
    </w:p>
    <w:p w:rsidR="004B2487" w:rsidRPr="007C7A02" w:rsidRDefault="004B2487" w:rsidP="007C7A02">
      <w:pPr>
        <w:pStyle w:val="CHTno1"/>
      </w:pPr>
      <w:r w:rsidRPr="007C7A02">
        <w:t>With</w:t>
      </w:r>
      <w:r w:rsidRPr="007C7A02">
        <w:rPr>
          <w:szCs w:val="22"/>
          <w:lang w:eastAsia="en-US"/>
        </w:rPr>
        <w:t xml:space="preserve"> </w:t>
      </w:r>
      <w:r w:rsidR="00EC55CE" w:rsidRPr="007C7A02">
        <w:rPr>
          <w:szCs w:val="22"/>
          <w:lang w:eastAsia="en-US"/>
        </w:rPr>
        <w:t>effect from</w:t>
      </w:r>
      <w:r w:rsidR="00EC55CE" w:rsidRPr="007C7A02">
        <w:t xml:space="preserve"> </w:t>
      </w:r>
      <w:r w:rsidRPr="007C7A02">
        <w:t>the commencement of the Trustee Divestiture Period, [</w:t>
      </w:r>
      <w:r w:rsidRPr="007C7A02">
        <w:rPr>
          <w:i/>
        </w:rPr>
        <w:t>X</w:t>
      </w:r>
      <w:r w:rsidRPr="007C7A02">
        <w:t>] hereby gives the Trustee</w:t>
      </w:r>
      <w:r w:rsidR="0010660E" w:rsidRPr="007C7A02">
        <w:t xml:space="preserve"> </w:t>
      </w:r>
      <w:r w:rsidRPr="007C7A02">
        <w:t xml:space="preserve">an exclusive mandate to sell the Divestment Business to a purchaser </w:t>
      </w:r>
      <w:r w:rsidR="001E40FE" w:rsidRPr="007C7A02">
        <w:rPr>
          <w:szCs w:val="22"/>
          <w:lang w:eastAsia="en-US"/>
        </w:rPr>
        <w:t>in accordance with</w:t>
      </w:r>
      <w:r w:rsidR="001E40FE" w:rsidRPr="007C7A02">
        <w:t xml:space="preserve"> </w:t>
      </w:r>
      <w:r w:rsidRPr="007C7A02">
        <w:t>this section and the Commitments.</w:t>
      </w:r>
    </w:p>
    <w:p w:rsidR="004B2487" w:rsidRPr="007C7A02" w:rsidRDefault="004B2487" w:rsidP="007C7A02">
      <w:pPr>
        <w:pStyle w:val="CHTno1"/>
      </w:pPr>
      <w:r w:rsidRPr="007C7A02">
        <w:t xml:space="preserve">The purchaser shall </w:t>
      </w:r>
      <w:r w:rsidR="00EF130E" w:rsidRPr="007C7A02">
        <w:t>fulfil</w:t>
      </w:r>
      <w:r w:rsidRPr="007C7A02">
        <w:t xml:space="preserve"> the Purchaser Requirements and both the purchaser and the fina</w:t>
      </w:r>
      <w:r w:rsidR="00333055" w:rsidRPr="007C7A02">
        <w:t>l s</w:t>
      </w:r>
      <w:r w:rsidRPr="007C7A02">
        <w:t>ale and purchase agreement shall be approved by the Commission in accordance with the procedure laid down in paragraph [1</w:t>
      </w:r>
      <w:r w:rsidR="00605C9C" w:rsidRPr="007C7A02">
        <w:t>8</w:t>
      </w:r>
      <w:r w:rsidRPr="007C7A02">
        <w:t>] of the Commitments.</w:t>
      </w:r>
    </w:p>
    <w:p w:rsidR="004B2487" w:rsidRPr="007C7A02" w:rsidRDefault="004B2487" w:rsidP="007C7A02">
      <w:pPr>
        <w:pStyle w:val="CHTno1"/>
        <w:rPr>
          <w:spacing w:val="-1"/>
        </w:rPr>
      </w:pPr>
      <w:r w:rsidRPr="007C7A02">
        <w:rPr>
          <w:spacing w:val="-1"/>
        </w:rPr>
        <w:t xml:space="preserve">The Divestiture Trustee shall sell the Divestment Business at no minimum price and </w:t>
      </w:r>
      <w:r w:rsidR="001E40FE" w:rsidRPr="007C7A02">
        <w:rPr>
          <w:spacing w:val="-1"/>
          <w:szCs w:val="22"/>
          <w:lang w:eastAsia="en-US"/>
        </w:rPr>
        <w:t>on</w:t>
      </w:r>
      <w:r w:rsidR="001E40FE" w:rsidRPr="007C7A02">
        <w:rPr>
          <w:spacing w:val="-1"/>
        </w:rPr>
        <w:t xml:space="preserve"> </w:t>
      </w:r>
      <w:r w:rsidR="00F577F5" w:rsidRPr="007C7A02">
        <w:rPr>
          <w:spacing w:val="-1"/>
        </w:rPr>
        <w:t xml:space="preserve">such </w:t>
      </w:r>
      <w:r w:rsidRPr="007C7A02">
        <w:rPr>
          <w:spacing w:val="-1"/>
        </w:rPr>
        <w:t>terms and conditions as it considers appropriate for an expedient sale in the Trustee Divestiture Period. In particular, the Divestiture Trustee may include in the sale and purchase agreement</w:t>
      </w:r>
      <w:r w:rsidR="0010660E" w:rsidRPr="007C7A02">
        <w:rPr>
          <w:spacing w:val="-1"/>
        </w:rPr>
        <w:t xml:space="preserve"> </w:t>
      </w:r>
      <w:r w:rsidR="0010660E" w:rsidRPr="007C7A02">
        <w:rPr>
          <w:spacing w:val="-1"/>
          <w:szCs w:val="22"/>
          <w:lang w:eastAsia="en-US"/>
        </w:rPr>
        <w:t>(as well as in ancillary agreements)</w:t>
      </w:r>
      <w:r w:rsidRPr="007C7A02">
        <w:rPr>
          <w:spacing w:val="-1"/>
          <w:szCs w:val="22"/>
          <w:lang w:eastAsia="en-US"/>
        </w:rPr>
        <w:t xml:space="preserve"> </w:t>
      </w:r>
      <w:r w:rsidRPr="007C7A02">
        <w:rPr>
          <w:spacing w:val="-1"/>
        </w:rPr>
        <w:t>such customary representations and warranties and indemnities as are reasonably required to effect the Sale. At the same time, the Divestiture Trustee shall protect the legitimate financial interests of [</w:t>
      </w:r>
      <w:r w:rsidRPr="007C7A02">
        <w:rPr>
          <w:i/>
          <w:spacing w:val="-1"/>
        </w:rPr>
        <w:t>X</w:t>
      </w:r>
      <w:r w:rsidRPr="007C7A02">
        <w:rPr>
          <w:spacing w:val="-1"/>
        </w:rPr>
        <w:t xml:space="preserve">], subject to the </w:t>
      </w:r>
      <w:r w:rsidR="00CF3659" w:rsidRPr="007C7A02">
        <w:rPr>
          <w:spacing w:val="-1"/>
          <w:szCs w:val="22"/>
          <w:lang w:eastAsia="en-US"/>
        </w:rPr>
        <w:t xml:space="preserve">Notifying </w:t>
      </w:r>
      <w:r w:rsidR="00CF3659" w:rsidRPr="007C7A02">
        <w:rPr>
          <w:spacing w:val="-1"/>
        </w:rPr>
        <w:t>Parties</w:t>
      </w:r>
      <w:r w:rsidR="00885A02" w:rsidRPr="007C7A02">
        <w:rPr>
          <w:spacing w:val="-1"/>
        </w:rPr>
        <w:t>’</w:t>
      </w:r>
      <w:r w:rsidRPr="007C7A02">
        <w:rPr>
          <w:spacing w:val="-1"/>
        </w:rPr>
        <w:t xml:space="preserve"> unconditional obligation to divest at no minimum price in the Trustee Divestiture Period.</w:t>
      </w:r>
    </w:p>
    <w:p w:rsidR="00F577F5" w:rsidRPr="007C7A02" w:rsidRDefault="00F577F5" w:rsidP="007C7A02">
      <w:pPr>
        <w:pStyle w:val="CHTno1"/>
        <w:rPr>
          <w:spacing w:val="-1"/>
        </w:rPr>
      </w:pPr>
      <w:r w:rsidRPr="007C7A02">
        <w:rPr>
          <w:spacing w:val="-1"/>
        </w:rPr>
        <w:t>[</w:t>
      </w:r>
      <w:r w:rsidRPr="007C7A02">
        <w:rPr>
          <w:i/>
          <w:spacing w:val="-1"/>
        </w:rPr>
        <w:t>X</w:t>
      </w:r>
      <w:r w:rsidRPr="007C7A02">
        <w:rPr>
          <w:spacing w:val="-1"/>
        </w:rPr>
        <w:t>]</w:t>
      </w:r>
      <w:r w:rsidRPr="007C7A02">
        <w:rPr>
          <w:spacing w:val="-1"/>
          <w:szCs w:val="22"/>
          <w:lang w:eastAsia="en-US"/>
        </w:rPr>
        <w:t xml:space="preserve"> </w:t>
      </w:r>
      <w:r w:rsidR="00364B22" w:rsidRPr="007C7A02">
        <w:rPr>
          <w:spacing w:val="-1"/>
          <w:szCs w:val="22"/>
          <w:lang w:eastAsia="en-US"/>
        </w:rPr>
        <w:t>hereby</w:t>
      </w:r>
      <w:r w:rsidR="00364B22" w:rsidRPr="007C7A02">
        <w:rPr>
          <w:spacing w:val="-1"/>
        </w:rPr>
        <w:t xml:space="preserve"> </w:t>
      </w:r>
      <w:r w:rsidRPr="007C7A02">
        <w:rPr>
          <w:spacing w:val="-1"/>
        </w:rPr>
        <w:t>grants a comprehensive and duly executed power of attorney to the Divestiture Trustee</w:t>
      </w:r>
      <w:r w:rsidR="00364B22" w:rsidRPr="007C7A02">
        <w:rPr>
          <w:spacing w:val="-1"/>
          <w:szCs w:val="22"/>
          <w:lang w:eastAsia="en-US"/>
        </w:rPr>
        <w:t>, set out</w:t>
      </w:r>
      <w:r w:rsidRPr="007C7A02">
        <w:rPr>
          <w:spacing w:val="-1"/>
        </w:rPr>
        <w:t xml:space="preserve"> in Annex </w:t>
      </w:r>
      <w:r w:rsidRPr="007C7A02">
        <w:rPr>
          <w:spacing w:val="-1"/>
          <w:szCs w:val="22"/>
          <w:lang w:eastAsia="en-US"/>
        </w:rPr>
        <w:t>[·]</w:t>
      </w:r>
      <w:r w:rsidR="00364B22" w:rsidRPr="007C7A02">
        <w:rPr>
          <w:spacing w:val="-1"/>
          <w:szCs w:val="22"/>
          <w:lang w:eastAsia="en-US"/>
        </w:rPr>
        <w:t>,</w:t>
      </w:r>
      <w:r w:rsidRPr="007C7A02">
        <w:rPr>
          <w:spacing w:val="-1"/>
        </w:rPr>
        <w:t xml:space="preserve"> to effect the Sale of the Divestment Business, the Closing and all actions and declarations which the Trustee considers necessary or appropriate for achieving the Sale of the Divestment Business or the Closing, including the power to appoint advisors to assist with the sale process. The power of attorney shall include the authority to grant sub-powers of attorney to members of the Trustee Team. If necessary to accomplish the Sale, [</w:t>
      </w:r>
      <w:r w:rsidRPr="007C7A02">
        <w:rPr>
          <w:i/>
          <w:spacing w:val="-1"/>
        </w:rPr>
        <w:t>X</w:t>
      </w:r>
      <w:r w:rsidRPr="007C7A02">
        <w:rPr>
          <w:spacing w:val="-1"/>
        </w:rPr>
        <w:t>] shall grant the Divestiture Trustee further powers of attorney, duly executed, or cause the documents required for the effecting of the Sale and the Closing to be duly executed. Any power of attorney granted by [</w:t>
      </w:r>
      <w:r w:rsidRPr="007C7A02">
        <w:rPr>
          <w:i/>
          <w:spacing w:val="-1"/>
        </w:rPr>
        <w:t>X</w:t>
      </w:r>
      <w:r w:rsidRPr="007C7A02">
        <w:rPr>
          <w:spacing w:val="-1"/>
        </w:rPr>
        <w:t xml:space="preserve">], including any </w:t>
      </w:r>
      <w:r w:rsidRPr="007C7A02">
        <w:rPr>
          <w:spacing w:val="-1"/>
          <w:szCs w:val="22"/>
          <w:lang w:eastAsia="en-US"/>
        </w:rPr>
        <w:t>sub</w:t>
      </w:r>
      <w:r w:rsidRPr="007C7A02">
        <w:rPr>
          <w:spacing w:val="-1"/>
          <w:szCs w:val="22"/>
          <w:lang w:eastAsia="en-US"/>
        </w:rPr>
        <w:softHyphen/>
        <w:t>powers</w:t>
      </w:r>
      <w:r w:rsidRPr="007C7A02">
        <w:rPr>
          <w:spacing w:val="-1"/>
        </w:rPr>
        <w:t xml:space="preserve"> of attorney granted pursuant to them, shall expire on the earlier of the termination of this Mandate or the discharge of the Trustee.</w:t>
      </w:r>
    </w:p>
    <w:p w:rsidR="004B2487" w:rsidRPr="007C7A02" w:rsidRDefault="004B2487" w:rsidP="007C7A02">
      <w:pPr>
        <w:pStyle w:val="CHTno1"/>
        <w:rPr>
          <w:spacing w:val="-1"/>
        </w:rPr>
      </w:pPr>
      <w:r w:rsidRPr="007C7A02">
        <w:rPr>
          <w:spacing w:val="-1"/>
        </w:rPr>
        <w:t>The Trustee shall comply with the Commission’s instructions as regards any aspects of the conduct or conclusion of the sale, in particular in ending negotiations with any prospective purchaser, if the Commission notifies the Trustee and [</w:t>
      </w:r>
      <w:r w:rsidRPr="007C7A02">
        <w:rPr>
          <w:i/>
          <w:spacing w:val="-1"/>
        </w:rPr>
        <w:t>X</w:t>
      </w:r>
      <w:r w:rsidRPr="007C7A02">
        <w:rPr>
          <w:spacing w:val="-1"/>
        </w:rPr>
        <w:t xml:space="preserve">] of the Commission’s determination </w:t>
      </w:r>
      <w:r w:rsidRPr="007C7A02">
        <w:rPr>
          <w:spacing w:val="-1"/>
        </w:rPr>
        <w:lastRenderedPageBreak/>
        <w:t>that the negotiations are being conducted with an unacceptable purchaser.</w:t>
      </w:r>
    </w:p>
    <w:p w:rsidR="004B2487" w:rsidRPr="007C7A02" w:rsidRDefault="004B2487" w:rsidP="007C7A02">
      <w:pPr>
        <w:pStyle w:val="Heading2"/>
      </w:pPr>
      <w:r w:rsidRPr="007C7A02">
        <w:t xml:space="preserve">Reporting </w:t>
      </w:r>
      <w:r w:rsidR="00CF3659" w:rsidRPr="007C7A02">
        <w:t>o</w:t>
      </w:r>
      <w:r w:rsidRPr="007C7A02">
        <w:t>bligations</w:t>
      </w:r>
    </w:p>
    <w:p w:rsidR="001F2ED2" w:rsidRPr="007C7A02" w:rsidRDefault="004B2487" w:rsidP="007C7A02">
      <w:pPr>
        <w:pStyle w:val="CHTno1"/>
      </w:pPr>
      <w:r w:rsidRPr="007C7A02">
        <w:t>Within 15 days of the end of each month or as otherwise agreed with the Commission,</w:t>
      </w:r>
      <w:r w:rsidR="00F577F5" w:rsidRPr="007C7A02">
        <w:t xml:space="preserve"> </w:t>
      </w:r>
      <w:r w:rsidRPr="007C7A02">
        <w:t>the Monitoring Trustee shall submit a written report to the Commission, sending [</w:t>
      </w:r>
      <w:r w:rsidRPr="007C7A02">
        <w:rPr>
          <w:i/>
        </w:rPr>
        <w:t>X</w:t>
      </w:r>
      <w:r w:rsidRPr="007C7A02">
        <w:t>] a</w:t>
      </w:r>
      <w:r w:rsidR="00EF130E" w:rsidRPr="007C7A02">
        <w:t xml:space="preserve"> </w:t>
      </w:r>
      <w:r w:rsidRPr="007C7A02">
        <w:t>non-confidential copy at the same time. The report shall cover the Monitoring Trustee’s</w:t>
      </w:r>
      <w:r w:rsidR="00EF130E" w:rsidRPr="007C7A02">
        <w:t xml:space="preserve"> fulfilment</w:t>
      </w:r>
      <w:r w:rsidRPr="007C7A02">
        <w:t xml:space="preserve"> of its obligations under the Mandate and the compliance of the Parties with the</w:t>
      </w:r>
      <w:r w:rsidR="001F2ED2" w:rsidRPr="007C7A02">
        <w:t xml:space="preserve"> </w:t>
      </w:r>
      <w:r w:rsidR="005855A1" w:rsidRPr="007C7A02">
        <w:rPr>
          <w:szCs w:val="22"/>
          <w:lang w:eastAsia="en-US"/>
        </w:rPr>
        <w:t>Commitments</w:t>
      </w:r>
      <w:r w:rsidRPr="007C7A02">
        <w:rPr>
          <w:szCs w:val="22"/>
          <w:lang w:eastAsia="en-US"/>
        </w:rPr>
        <w:t xml:space="preserve">. </w:t>
      </w:r>
      <w:r w:rsidR="001F2ED2" w:rsidRPr="007C7A02">
        <w:rPr>
          <w:szCs w:val="22"/>
          <w:lang w:eastAsia="en-US"/>
        </w:rPr>
        <w:t xml:space="preserve">The report shall </w:t>
      </w:r>
      <w:r w:rsidR="00A2552D" w:rsidRPr="007C7A02">
        <w:rPr>
          <w:szCs w:val="22"/>
          <w:lang w:eastAsia="en-US"/>
        </w:rPr>
        <w:t xml:space="preserve">furthermore </w:t>
      </w:r>
      <w:r w:rsidR="001F2ED2" w:rsidRPr="007C7A02">
        <w:rPr>
          <w:szCs w:val="22"/>
          <w:lang w:eastAsia="en-US"/>
        </w:rPr>
        <w:t xml:space="preserve">cover the operation and management of the Divestment Business </w:t>
      </w:r>
      <w:r w:rsidR="00364B22" w:rsidRPr="007C7A02">
        <w:rPr>
          <w:szCs w:val="22"/>
          <w:lang w:eastAsia="en-US"/>
        </w:rPr>
        <w:t>and</w:t>
      </w:r>
      <w:r w:rsidR="001F2ED2" w:rsidRPr="007C7A02">
        <w:rPr>
          <w:szCs w:val="22"/>
          <w:lang w:eastAsia="en-US"/>
        </w:rPr>
        <w:t xml:space="preserve"> the splitting of assets and the allocation of Personnel so that the Commission can assess whether the business is held in a manner consistent with the Commitments</w:t>
      </w:r>
      <w:r w:rsidR="00364B22" w:rsidRPr="007C7A02">
        <w:rPr>
          <w:szCs w:val="22"/>
          <w:lang w:eastAsia="en-US"/>
        </w:rPr>
        <w:t>, as well as</w:t>
      </w:r>
      <w:r w:rsidR="001F2ED2" w:rsidRPr="007C7A02">
        <w:rPr>
          <w:szCs w:val="22"/>
          <w:lang w:eastAsia="en-US"/>
        </w:rPr>
        <w:t xml:space="preserve"> the progress of the divestiture process as well as potential purchasers</w:t>
      </w:r>
      <w:r w:rsidR="00D7735A" w:rsidRPr="007C7A02">
        <w:rPr>
          <w:szCs w:val="22"/>
          <w:lang w:eastAsia="en-US"/>
        </w:rPr>
        <w:t>.</w:t>
      </w:r>
    </w:p>
    <w:p w:rsidR="004B2487" w:rsidRPr="007C7A02" w:rsidRDefault="004B2487" w:rsidP="007C7A02">
      <w:pPr>
        <w:pStyle w:val="CHTno1"/>
        <w:rPr>
          <w:szCs w:val="22"/>
          <w:lang w:eastAsia="en-US"/>
        </w:rPr>
      </w:pPr>
      <w:r w:rsidRPr="007C7A02">
        <w:rPr>
          <w:szCs w:val="22"/>
          <w:lang w:eastAsia="en-US"/>
        </w:rPr>
        <w:t>The reports shall cover in particular the following topics:</w:t>
      </w:r>
    </w:p>
    <w:p w:rsidR="004B2487" w:rsidRPr="00F6525F" w:rsidRDefault="004B2487" w:rsidP="00F6525F">
      <w:pPr>
        <w:pStyle w:val="CHTNumbering"/>
        <w:numPr>
          <w:ilvl w:val="0"/>
          <w:numId w:val="35"/>
        </w:numPr>
        <w:ind w:left="1276" w:hanging="850"/>
      </w:pPr>
      <w:r w:rsidRPr="00F6525F">
        <w:t>Operational and financial performance of the Divestment Business in the</w:t>
      </w:r>
      <w:r w:rsidRPr="00F6525F">
        <w:br/>
        <w:t>relevant period;</w:t>
      </w:r>
    </w:p>
    <w:p w:rsidR="004B2487" w:rsidRPr="00F6525F" w:rsidRDefault="004B2487" w:rsidP="00F6525F">
      <w:pPr>
        <w:pStyle w:val="CHTNumbering"/>
      </w:pPr>
      <w:r w:rsidRPr="00F6525F">
        <w:t>Any issues or problems which have arisen in the execution of the obligations as</w:t>
      </w:r>
      <w:r w:rsidR="00C1262A" w:rsidRPr="00F6525F">
        <w:t xml:space="preserve"> </w:t>
      </w:r>
      <w:r w:rsidRPr="00F6525F">
        <w:t>Monitoring Trustee, in particular any issues of non-compliance by [X] or the Divestment</w:t>
      </w:r>
      <w:r w:rsidR="00C1262A" w:rsidRPr="00F6525F">
        <w:t xml:space="preserve"> </w:t>
      </w:r>
      <w:r w:rsidRPr="00F6525F">
        <w:t>Business with the Conditions and Obligations;</w:t>
      </w:r>
    </w:p>
    <w:p w:rsidR="004B2487" w:rsidRPr="00F6525F" w:rsidRDefault="004B2487" w:rsidP="00F6525F">
      <w:pPr>
        <w:pStyle w:val="CHTNumbering"/>
      </w:pPr>
      <w:r w:rsidRPr="00F6525F">
        <w:t>Monitoring of the preservation of the economic viability, marketability and</w:t>
      </w:r>
      <w:r w:rsidR="00C1262A" w:rsidRPr="00F6525F">
        <w:t xml:space="preserve"> </w:t>
      </w:r>
      <w:r w:rsidRPr="00F6525F">
        <w:t>competitiveness of the Divestment Business and of [X’s] compliance with the hold</w:t>
      </w:r>
      <w:r w:rsidRPr="00F6525F">
        <w:softHyphen/>
      </w:r>
      <w:r w:rsidR="00C1262A" w:rsidRPr="00F6525F">
        <w:t xml:space="preserve"> </w:t>
      </w:r>
      <w:r w:rsidRPr="00F6525F">
        <w:t xml:space="preserve">separate and ring-fencing obligations as well as monitoring of the splitting of assets </w:t>
      </w:r>
      <w:r w:rsidR="00C1262A" w:rsidRPr="00F6525F">
        <w:t>a</w:t>
      </w:r>
      <w:r w:rsidRPr="00F6525F">
        <w:t>nd</w:t>
      </w:r>
      <w:r w:rsidR="00C1262A" w:rsidRPr="00F6525F">
        <w:t xml:space="preserve"> </w:t>
      </w:r>
      <w:r w:rsidRPr="00F6525F">
        <w:t>of the allocation of Personnel between the Divestment Business and the businesses</w:t>
      </w:r>
      <w:r w:rsidR="00C1262A" w:rsidRPr="00F6525F">
        <w:t xml:space="preserve"> </w:t>
      </w:r>
      <w:r w:rsidRPr="00F6525F">
        <w:t>retained by [X] or Affiliated Undertakings;</w:t>
      </w:r>
    </w:p>
    <w:p w:rsidR="004B2487" w:rsidRPr="00F6525F" w:rsidRDefault="004B2487" w:rsidP="00F6525F">
      <w:pPr>
        <w:pStyle w:val="CHTNumbering"/>
      </w:pPr>
      <w:r w:rsidRPr="00F6525F">
        <w:t>Review and assessment of the progress of the divestiture process, including</w:t>
      </w:r>
      <w:r w:rsidR="00C1262A" w:rsidRPr="00F6525F">
        <w:t xml:space="preserve"> </w:t>
      </w:r>
      <w:r w:rsidRPr="00F6525F">
        <w:t>reporting on potential purchasers and all other information received from [X] regarding</w:t>
      </w:r>
      <w:r w:rsidR="00C1262A" w:rsidRPr="00F6525F">
        <w:t xml:space="preserve"> </w:t>
      </w:r>
      <w:r w:rsidRPr="00F6525F">
        <w:t>the divestiture;</w:t>
      </w:r>
    </w:p>
    <w:p w:rsidR="004B2487" w:rsidRPr="00F6525F" w:rsidRDefault="004B2487" w:rsidP="00F6525F">
      <w:pPr>
        <w:pStyle w:val="CHTNumbering"/>
      </w:pPr>
      <w:r w:rsidRPr="00F6525F">
        <w:t>Any particular issues as set out in the Work-Plan;</w:t>
      </w:r>
    </w:p>
    <w:p w:rsidR="004B2487" w:rsidRPr="00F6525F" w:rsidRDefault="004B2487" w:rsidP="00F6525F">
      <w:pPr>
        <w:pStyle w:val="CHTNumbering"/>
      </w:pPr>
      <w:r w:rsidRPr="00F6525F">
        <w:t>Estimated future timetable, including the date of next anticipated reporting;</w:t>
      </w:r>
    </w:p>
    <w:p w:rsidR="004B2487" w:rsidRPr="00F6525F" w:rsidRDefault="004B2487" w:rsidP="00F6525F">
      <w:pPr>
        <w:pStyle w:val="CHTNumbering"/>
      </w:pPr>
      <w:r w:rsidRPr="00F6525F">
        <w:t>A proposal for a detailed Work-Plan in the first report as well as revisions in</w:t>
      </w:r>
      <w:r w:rsidR="00C1262A" w:rsidRPr="00F6525F">
        <w:t xml:space="preserve"> </w:t>
      </w:r>
      <w:r w:rsidRPr="00F6525F">
        <w:t>subsequent reports.</w:t>
      </w:r>
    </w:p>
    <w:p w:rsidR="004B2487" w:rsidRPr="007C7A02" w:rsidRDefault="00420162" w:rsidP="007C7A02">
      <w:pPr>
        <w:pStyle w:val="CHTno1"/>
      </w:pPr>
      <w:r w:rsidRPr="007C7A02">
        <w:rPr>
          <w:szCs w:val="22"/>
          <w:lang w:eastAsia="en-US"/>
        </w:rPr>
        <w:t>During</w:t>
      </w:r>
      <w:r w:rsidRPr="007C7A02">
        <w:t xml:space="preserve"> </w:t>
      </w:r>
      <w:r w:rsidR="004B2487" w:rsidRPr="007C7A02">
        <w:t>the Trustee Divestiture Period, within 15 days after the end of every month, the</w:t>
      </w:r>
      <w:r w:rsidR="00C1262A" w:rsidRPr="007C7A02">
        <w:t xml:space="preserve"> </w:t>
      </w:r>
      <w:r w:rsidR="004B2487" w:rsidRPr="007C7A02">
        <w:t>Divestiture Trustee shall provide to the Commission, with a simultaneous copy to the Monitoring Trustee and a non-confidential copy to [</w:t>
      </w:r>
      <w:r w:rsidR="004B2487" w:rsidRPr="007C7A02">
        <w:rPr>
          <w:i/>
        </w:rPr>
        <w:t>X</w:t>
      </w:r>
      <w:r w:rsidR="004B2487" w:rsidRPr="007C7A02">
        <w:t>], a comprehensive report written in [</w:t>
      </w:r>
      <w:r w:rsidR="004B2487" w:rsidRPr="007C7A02">
        <w:rPr>
          <w:i/>
        </w:rPr>
        <w:t>Indicate the language</w:t>
      </w:r>
      <w:r w:rsidR="004B2487" w:rsidRPr="007C7A02">
        <w:t xml:space="preserve">] on the discharge of its obligations under </w:t>
      </w:r>
      <w:r w:rsidRPr="007C7A02">
        <w:rPr>
          <w:szCs w:val="22"/>
          <w:lang w:eastAsia="en-US"/>
        </w:rPr>
        <w:t>this</w:t>
      </w:r>
      <w:r w:rsidRPr="007C7A02">
        <w:t xml:space="preserve"> </w:t>
      </w:r>
      <w:r w:rsidR="004B2487" w:rsidRPr="007C7A02">
        <w:t>Mandate and the progress of the divestiture process, covering in particular the following information:</w:t>
      </w:r>
    </w:p>
    <w:p w:rsidR="004B2487" w:rsidRPr="00F6525F" w:rsidRDefault="004B2487" w:rsidP="00F6525F">
      <w:pPr>
        <w:pStyle w:val="CHTNumbering"/>
        <w:numPr>
          <w:ilvl w:val="0"/>
          <w:numId w:val="36"/>
        </w:numPr>
        <w:ind w:left="1276" w:hanging="850"/>
      </w:pPr>
      <w:r w:rsidRPr="00F6525F">
        <w:t>List of potential purchasers and a preliminary assessment of each of them;</w:t>
      </w:r>
    </w:p>
    <w:p w:rsidR="004B2487" w:rsidRPr="00F6525F" w:rsidRDefault="004B2487" w:rsidP="00F6525F">
      <w:pPr>
        <w:pStyle w:val="CHTNumbering"/>
      </w:pPr>
      <w:r w:rsidRPr="00F6525F">
        <w:t>State of negotiations with potential purchasers;</w:t>
      </w:r>
    </w:p>
    <w:p w:rsidR="004B2487" w:rsidRPr="00F6525F" w:rsidRDefault="004B2487" w:rsidP="00F6525F">
      <w:pPr>
        <w:pStyle w:val="CHTNumbering"/>
      </w:pPr>
      <w:r w:rsidRPr="00F6525F">
        <w:t>Any issues or problems regarding the sale of the Divestment Business,</w:t>
      </w:r>
      <w:r w:rsidR="00C1262A" w:rsidRPr="00F6525F">
        <w:t xml:space="preserve"> </w:t>
      </w:r>
      <w:r w:rsidRPr="00F6525F">
        <w:t>including any issues and problems regarding the negotiation of the necessary</w:t>
      </w:r>
      <w:r w:rsidR="00C1262A" w:rsidRPr="00F6525F">
        <w:t xml:space="preserve"> </w:t>
      </w:r>
      <w:r w:rsidRPr="00F6525F">
        <w:t>agreement(s);</w:t>
      </w:r>
    </w:p>
    <w:p w:rsidR="004B2487" w:rsidRPr="00F6525F" w:rsidRDefault="004B2487" w:rsidP="00F6525F">
      <w:pPr>
        <w:pStyle w:val="CHTNumbering"/>
      </w:pPr>
      <w:r w:rsidRPr="00F6525F">
        <w:t>Need for advisers for the sale of the Divestment Business and a list of advisers</w:t>
      </w:r>
      <w:r w:rsidR="00C1262A" w:rsidRPr="00F6525F">
        <w:t xml:space="preserve"> </w:t>
      </w:r>
      <w:r w:rsidRPr="00F6525F">
        <w:t xml:space="preserve">selected by the Trustee for </w:t>
      </w:r>
      <w:r w:rsidR="00420162" w:rsidRPr="00F6525F">
        <w:t xml:space="preserve">that </w:t>
      </w:r>
      <w:r w:rsidRPr="00F6525F">
        <w:t>purpose;</w:t>
      </w:r>
    </w:p>
    <w:p w:rsidR="004B2487" w:rsidRPr="00F6525F" w:rsidRDefault="004B2487" w:rsidP="00F6525F">
      <w:pPr>
        <w:pStyle w:val="CHTNumbering"/>
      </w:pPr>
      <w:r w:rsidRPr="00F6525F">
        <w:t>Any particular issues as set out in the Work-Plan;</w:t>
      </w:r>
    </w:p>
    <w:p w:rsidR="004B2487" w:rsidRPr="00F6525F" w:rsidRDefault="004B2487" w:rsidP="00F6525F">
      <w:pPr>
        <w:pStyle w:val="CHTNumbering"/>
      </w:pPr>
      <w:r w:rsidRPr="00F6525F">
        <w:t>A proposal for a detailed Work-Plan in the first report as well as revisions in</w:t>
      </w:r>
      <w:r w:rsidR="00C1262A" w:rsidRPr="00F6525F">
        <w:t xml:space="preserve"> </w:t>
      </w:r>
      <w:r w:rsidRPr="00F6525F">
        <w:lastRenderedPageBreak/>
        <w:t>subsequent reports.</w:t>
      </w:r>
    </w:p>
    <w:p w:rsidR="004B2487" w:rsidRPr="007C7A02" w:rsidRDefault="004B2487" w:rsidP="00027C4A">
      <w:pPr>
        <w:pStyle w:val="CHTno1"/>
      </w:pPr>
      <w:r w:rsidRPr="007C7A02">
        <w:t>At any time, the Trustee will provide to the Commission, at its request (or on the</w:t>
      </w:r>
      <w:r w:rsidR="00C1262A" w:rsidRPr="007C7A02">
        <w:t xml:space="preserve"> </w:t>
      </w:r>
      <w:r w:rsidRPr="007C7A02">
        <w:t>Trustee’s own initiative), a written or oral report on matters falling within the Trustee’s</w:t>
      </w:r>
      <w:r w:rsidR="001E5F40" w:rsidRPr="007C7A02">
        <w:t xml:space="preserve"> </w:t>
      </w:r>
      <w:r w:rsidRPr="007C7A02">
        <w:t xml:space="preserve">Mandate. </w:t>
      </w:r>
      <w:r w:rsidR="00C30BC3" w:rsidRPr="007C7A02">
        <w:rPr>
          <w:szCs w:val="22"/>
          <w:lang w:eastAsia="en-US"/>
        </w:rPr>
        <w:t>The Trustee</w:t>
      </w:r>
      <w:r w:rsidR="00C30BC3" w:rsidRPr="007C7A02">
        <w:t xml:space="preserve"> shall </w:t>
      </w:r>
      <w:r w:rsidR="00C30BC3" w:rsidRPr="007C7A02">
        <w:rPr>
          <w:szCs w:val="22"/>
          <w:lang w:eastAsia="en-US"/>
        </w:rPr>
        <w:t xml:space="preserve">send </w:t>
      </w:r>
      <w:r w:rsidRPr="007C7A02">
        <w:rPr>
          <w:szCs w:val="22"/>
          <w:lang w:eastAsia="en-US"/>
        </w:rPr>
        <w:t>[</w:t>
      </w:r>
      <w:r w:rsidRPr="007C7A02">
        <w:rPr>
          <w:i/>
          <w:szCs w:val="22"/>
          <w:lang w:eastAsia="en-US"/>
        </w:rPr>
        <w:t>X</w:t>
      </w:r>
      <w:r w:rsidRPr="007C7A02">
        <w:rPr>
          <w:szCs w:val="22"/>
          <w:lang w:eastAsia="en-US"/>
        </w:rPr>
        <w:t>]</w:t>
      </w:r>
      <w:r w:rsidRPr="007C7A02">
        <w:t xml:space="preserve"> simultaneously a non-confidential copy of such additional</w:t>
      </w:r>
      <w:r w:rsidR="00C1262A" w:rsidRPr="007C7A02">
        <w:t xml:space="preserve"> </w:t>
      </w:r>
      <w:r w:rsidRPr="007C7A02">
        <w:t xml:space="preserve">written reports and shall </w:t>
      </w:r>
      <w:r w:rsidRPr="007C7A02">
        <w:rPr>
          <w:szCs w:val="22"/>
          <w:lang w:eastAsia="en-US"/>
        </w:rPr>
        <w:t>inform</w:t>
      </w:r>
      <w:r w:rsidR="00C30BC3" w:rsidRPr="007C7A02">
        <w:rPr>
          <w:szCs w:val="22"/>
          <w:lang w:eastAsia="en-US"/>
        </w:rPr>
        <w:t xml:space="preserve"> [</w:t>
      </w:r>
      <w:r w:rsidR="00C30BC3" w:rsidRPr="007C7A02">
        <w:rPr>
          <w:i/>
          <w:szCs w:val="22"/>
          <w:lang w:eastAsia="en-US"/>
        </w:rPr>
        <w:t>X</w:t>
      </w:r>
      <w:r w:rsidR="00C30BC3" w:rsidRPr="007C7A02">
        <w:rPr>
          <w:szCs w:val="22"/>
          <w:lang w:eastAsia="en-US"/>
        </w:rPr>
        <w:t>]</w:t>
      </w:r>
      <w:r w:rsidRPr="007C7A02">
        <w:t xml:space="preserve"> promptly of the non-confidential content of any oral</w:t>
      </w:r>
      <w:r w:rsidR="001E5F40" w:rsidRPr="007C7A02">
        <w:t xml:space="preserve"> </w:t>
      </w:r>
      <w:r w:rsidRPr="007C7A02">
        <w:t>reports.</w:t>
      </w:r>
    </w:p>
    <w:p w:rsidR="00235B43" w:rsidRPr="007C7A02" w:rsidRDefault="00235B43" w:rsidP="00027C4A">
      <w:pPr>
        <w:pStyle w:val="CHTno1"/>
      </w:pPr>
      <w:r w:rsidRPr="007C7A02">
        <w:t>The Trustee shall send [</w:t>
      </w:r>
      <w:r w:rsidRPr="007C7A02">
        <w:rPr>
          <w:i/>
        </w:rPr>
        <w:t>X</w:t>
      </w:r>
      <w:r w:rsidRPr="007C7A02">
        <w:t xml:space="preserve">] non-confidential copies of </w:t>
      </w:r>
      <w:r w:rsidR="00E769A6" w:rsidRPr="007C7A02">
        <w:t xml:space="preserve">the </w:t>
      </w:r>
      <w:r w:rsidR="0084244A" w:rsidRPr="007C7A02">
        <w:t xml:space="preserve">written </w:t>
      </w:r>
      <w:r w:rsidR="00E769A6" w:rsidRPr="007C7A02">
        <w:t xml:space="preserve">Trustee </w:t>
      </w:r>
      <w:r w:rsidRPr="007C7A02">
        <w:t xml:space="preserve">reports provided for in the Commitments and the Trustee Mandate at the same time as such reports are sent to the Commission. </w:t>
      </w:r>
    </w:p>
    <w:p w:rsidR="004B2487" w:rsidRPr="00F6525F" w:rsidRDefault="004B2487" w:rsidP="00027C4A">
      <w:pPr>
        <w:pStyle w:val="Heading2"/>
        <w:rPr>
          <w:lang w:val="en-GB"/>
        </w:rPr>
      </w:pPr>
      <w:r w:rsidRPr="00F6525F">
        <w:rPr>
          <w:lang w:val="en-GB"/>
        </w:rPr>
        <w:t xml:space="preserve">Duties and </w:t>
      </w:r>
      <w:r w:rsidR="00CF3659" w:rsidRPr="00F6525F">
        <w:rPr>
          <w:lang w:val="en-GB"/>
        </w:rPr>
        <w:t>o</w:t>
      </w:r>
      <w:r w:rsidRPr="00F6525F">
        <w:rPr>
          <w:lang w:val="en-GB"/>
        </w:rPr>
        <w:t>bligations of [X]</w:t>
      </w:r>
    </w:p>
    <w:p w:rsidR="001E5F40" w:rsidRPr="007C7A02" w:rsidRDefault="004B2487" w:rsidP="00027C4A">
      <w:pPr>
        <w:pStyle w:val="CHTno1"/>
      </w:pPr>
      <w:r w:rsidRPr="007C7A02">
        <w:t>[</w:t>
      </w:r>
      <w:r w:rsidRPr="007C7A02">
        <w:rPr>
          <w:i/>
        </w:rPr>
        <w:t>X</w:t>
      </w:r>
      <w:r w:rsidRPr="007C7A02">
        <w:t xml:space="preserve">] shall provide and shall cause its advisors to provide the Trustee with all such </w:t>
      </w:r>
      <w:r w:rsidRPr="007C7A02">
        <w:rPr>
          <w:szCs w:val="22"/>
          <w:lang w:eastAsia="en-US"/>
        </w:rPr>
        <w:t>co</w:t>
      </w:r>
      <w:r w:rsidRPr="007C7A02">
        <w:rPr>
          <w:szCs w:val="22"/>
          <w:lang w:eastAsia="en-US"/>
        </w:rPr>
        <w:softHyphen/>
      </w:r>
      <w:r w:rsidR="0082307B" w:rsidRPr="007C7A02">
        <w:rPr>
          <w:szCs w:val="22"/>
          <w:lang w:eastAsia="en-US"/>
        </w:rPr>
        <w:t>-</w:t>
      </w:r>
      <w:r w:rsidRPr="007C7A02">
        <w:t>operation, assistance and information as the Trustee may reasonably require to perform</w:t>
      </w:r>
      <w:r w:rsidR="001E5F40" w:rsidRPr="007C7A02">
        <w:t xml:space="preserve"> </w:t>
      </w:r>
      <w:r w:rsidRPr="007C7A02">
        <w:t>its tasks. The Trustee shall have full and complete access to any of [</w:t>
      </w:r>
      <w:r w:rsidRPr="007C7A02">
        <w:rPr>
          <w:i/>
        </w:rPr>
        <w:t>X</w:t>
      </w:r>
      <w:r w:rsidRPr="007C7A02">
        <w:t>’s] or the</w:t>
      </w:r>
      <w:r w:rsidR="001E5F40" w:rsidRPr="007C7A02">
        <w:t xml:space="preserve"> </w:t>
      </w:r>
      <w:r w:rsidRPr="007C7A02">
        <w:t>Divestment Business’ books, records, documents, management or other personnel,</w:t>
      </w:r>
      <w:r w:rsidR="001E5F40" w:rsidRPr="007C7A02">
        <w:t xml:space="preserve"> </w:t>
      </w:r>
      <w:r w:rsidRPr="007C7A02">
        <w:t>facilities, sites and technical information necessary for fulfilling its duties under the</w:t>
      </w:r>
      <w:r w:rsidR="001E5F40" w:rsidRPr="007C7A02">
        <w:t xml:space="preserve"> </w:t>
      </w:r>
      <w:r w:rsidRPr="007C7A02">
        <w:t>Mandate</w:t>
      </w:r>
      <w:r w:rsidR="007822EA" w:rsidRPr="007C7A02">
        <w:rPr>
          <w:szCs w:val="22"/>
          <w:lang w:eastAsia="en-US"/>
        </w:rPr>
        <w:t>.</w:t>
      </w:r>
      <w:r w:rsidRPr="007C7A02">
        <w:t xml:space="preserve"> [</w:t>
      </w:r>
      <w:r w:rsidRPr="007C7A02">
        <w:rPr>
          <w:i/>
        </w:rPr>
        <w:t>X</w:t>
      </w:r>
      <w:r w:rsidRPr="007C7A02">
        <w:t>] and the Divestment Business shall provide the Trustee upon request</w:t>
      </w:r>
      <w:r w:rsidR="001E5F40" w:rsidRPr="007C7A02">
        <w:t xml:space="preserve"> </w:t>
      </w:r>
      <w:r w:rsidRPr="007C7A02">
        <w:t>with copies of any document. [</w:t>
      </w:r>
      <w:r w:rsidRPr="007C7A02">
        <w:rPr>
          <w:i/>
        </w:rPr>
        <w:t>X</w:t>
      </w:r>
      <w:r w:rsidRPr="007C7A02">
        <w:t>] and the Divestment Business shall make available to</w:t>
      </w:r>
      <w:r w:rsidR="001E5F40" w:rsidRPr="007C7A02">
        <w:t xml:space="preserve"> </w:t>
      </w:r>
      <w:r w:rsidRPr="007C7A02">
        <w:t>the Trustee one or more offices on their premises</w:t>
      </w:r>
      <w:r w:rsidR="007822EA" w:rsidRPr="007C7A02">
        <w:rPr>
          <w:szCs w:val="22"/>
          <w:lang w:eastAsia="en-US"/>
        </w:rPr>
        <w:t>. They</w:t>
      </w:r>
      <w:r w:rsidRPr="007C7A02">
        <w:t xml:space="preserve"> shall be available for meetings in</w:t>
      </w:r>
      <w:r w:rsidR="001E5F40" w:rsidRPr="007C7A02">
        <w:t xml:space="preserve"> </w:t>
      </w:r>
      <w:r w:rsidRPr="007C7A02">
        <w:t>order to provide the Trustee with all information necessary for the performance of its</w:t>
      </w:r>
      <w:r w:rsidR="001E5F40" w:rsidRPr="007C7A02">
        <w:t xml:space="preserve"> </w:t>
      </w:r>
      <w:r w:rsidRPr="007C7A02">
        <w:t>tasks.</w:t>
      </w:r>
    </w:p>
    <w:p w:rsidR="00B65BAF" w:rsidRPr="007C7A02" w:rsidRDefault="004B2487" w:rsidP="00027C4A">
      <w:pPr>
        <w:pStyle w:val="CHTno1"/>
      </w:pPr>
      <w:r w:rsidRPr="007C7A02">
        <w:t>[</w:t>
      </w:r>
      <w:r w:rsidRPr="007C7A02">
        <w:rPr>
          <w:i/>
        </w:rPr>
        <w:t>X</w:t>
      </w:r>
      <w:r w:rsidRPr="007C7A02">
        <w:t>] shall provide the Monitoring Trustee with all managerial and administrative support</w:t>
      </w:r>
      <w:r w:rsidR="001E5F40" w:rsidRPr="007C7A02">
        <w:t xml:space="preserve"> that it may reasonably request on behalf of the management of the Divestment Business. This shall include all administrative support functions relating to the Divestment Business which are currently carried out at headquarters level. [</w:t>
      </w:r>
      <w:r w:rsidR="001E5F40" w:rsidRPr="007C7A02">
        <w:rPr>
          <w:i/>
        </w:rPr>
        <w:t>X</w:t>
      </w:r>
      <w:r w:rsidR="001E5F40" w:rsidRPr="007C7A02">
        <w:t xml:space="preserve">] shall provide and shall cause its advisors to provide the Monitoring Trustee, on request, with access to the information submitted to potential </w:t>
      </w:r>
      <w:r w:rsidR="001E5F40" w:rsidRPr="007C7A02">
        <w:rPr>
          <w:szCs w:val="22"/>
          <w:lang w:eastAsia="en-US"/>
        </w:rPr>
        <w:t xml:space="preserve"> </w:t>
      </w:r>
      <w:r w:rsidR="001E5F40" w:rsidRPr="007C7A02">
        <w:t>purchasers, in particular to the data room documentation and all other information granted to potential purchasers in the due diligence procedure. [</w:t>
      </w:r>
      <w:r w:rsidR="001E5F40" w:rsidRPr="007C7A02">
        <w:rPr>
          <w:i/>
        </w:rPr>
        <w:t>X</w:t>
      </w:r>
      <w:r w:rsidR="001E5F40" w:rsidRPr="007C7A02">
        <w:t xml:space="preserve">] shall inform the Monitoring Trustee on possible purchasers, submit </w:t>
      </w:r>
      <w:r w:rsidR="001E5F40" w:rsidRPr="007C7A02">
        <w:rPr>
          <w:szCs w:val="22"/>
          <w:lang w:eastAsia="en-US"/>
        </w:rPr>
        <w:t>list</w:t>
      </w:r>
      <w:r w:rsidR="0010660E" w:rsidRPr="007C7A02">
        <w:rPr>
          <w:szCs w:val="22"/>
          <w:lang w:eastAsia="en-US"/>
        </w:rPr>
        <w:t>s</w:t>
      </w:r>
      <w:r w:rsidR="001E5F40" w:rsidRPr="007C7A02">
        <w:t xml:space="preserve"> of potential purchasers</w:t>
      </w:r>
      <w:r w:rsidR="0010660E" w:rsidRPr="007C7A02">
        <w:rPr>
          <w:szCs w:val="22"/>
          <w:lang w:eastAsia="en-US"/>
        </w:rPr>
        <w:t xml:space="preserve"> at each stage of the selection process</w:t>
      </w:r>
      <w:r w:rsidR="001E5F40" w:rsidRPr="007C7A02">
        <w:rPr>
          <w:szCs w:val="22"/>
          <w:lang w:eastAsia="en-US"/>
        </w:rPr>
        <w:t>,</w:t>
      </w:r>
      <w:r w:rsidR="0010660E" w:rsidRPr="007C7A02">
        <w:rPr>
          <w:szCs w:val="22"/>
          <w:lang w:eastAsia="en-US"/>
        </w:rPr>
        <w:t xml:space="preserve"> including the offers made by potential purchasers at those </w:t>
      </w:r>
      <w:r w:rsidR="00420162" w:rsidRPr="007C7A02">
        <w:rPr>
          <w:szCs w:val="22"/>
          <w:lang w:eastAsia="en-US"/>
        </w:rPr>
        <w:t>stages</w:t>
      </w:r>
      <w:r w:rsidR="0010660E" w:rsidRPr="007C7A02">
        <w:t>,</w:t>
      </w:r>
      <w:r w:rsidR="001E5F40" w:rsidRPr="007C7A02">
        <w:t xml:space="preserve"> and keep the Monitoring Trustee informed of all developments in the divestiture process. Once a purchaser has been chosen, [</w:t>
      </w:r>
      <w:r w:rsidR="001E5F40" w:rsidRPr="007C7A02">
        <w:rPr>
          <w:i/>
        </w:rPr>
        <w:t>X</w:t>
      </w:r>
      <w:r w:rsidR="001E5F40" w:rsidRPr="007C7A02">
        <w:t xml:space="preserve">] shall submit </w:t>
      </w:r>
      <w:r w:rsidR="00420162" w:rsidRPr="007C7A02">
        <w:rPr>
          <w:szCs w:val="22"/>
          <w:lang w:eastAsia="en-US"/>
        </w:rPr>
        <w:t>a</w:t>
      </w:r>
      <w:r w:rsidR="00420162" w:rsidRPr="007C7A02">
        <w:t xml:space="preserve"> </w:t>
      </w:r>
      <w:r w:rsidR="001E5F40" w:rsidRPr="007C7A02">
        <w:t xml:space="preserve">fully documented and reasoned proposal, including a copy of the final agreement(s), to the Monitoring Trustee and allow the Monitoring Trustee to have confidential contacts with the proposed purchaser in order for the Monitoring Trustee to determine whether or not, in its opinion, </w:t>
      </w:r>
      <w:r w:rsidR="00420162" w:rsidRPr="007C7A02">
        <w:rPr>
          <w:szCs w:val="22"/>
          <w:lang w:eastAsia="en-US"/>
        </w:rPr>
        <w:t>the proposed purchaser</w:t>
      </w:r>
      <w:r w:rsidR="001E5F40" w:rsidRPr="007C7A02">
        <w:t xml:space="preserve"> meets the Purchaser Criteria.</w:t>
      </w:r>
      <w:r w:rsidR="00B65BAF" w:rsidRPr="007C7A02">
        <w:t xml:space="preserve"> </w:t>
      </w:r>
    </w:p>
    <w:p w:rsidR="004B2487" w:rsidRPr="007C7A02" w:rsidRDefault="004B2487" w:rsidP="00027C4A">
      <w:pPr>
        <w:pStyle w:val="CHTno1"/>
      </w:pPr>
      <w:r w:rsidRPr="007C7A02">
        <w:t>At the expense of [</w:t>
      </w:r>
      <w:r w:rsidRPr="007C7A02">
        <w:rPr>
          <w:i/>
        </w:rPr>
        <w:t>X</w:t>
      </w:r>
      <w:r w:rsidRPr="007C7A02">
        <w:t>], the Trustee may appoint advisors (in particular for corporate finance or legal advice), subject to [</w:t>
      </w:r>
      <w:r w:rsidRPr="007C7A02">
        <w:rPr>
          <w:i/>
        </w:rPr>
        <w:t>X</w:t>
      </w:r>
      <w:r w:rsidRPr="007C7A02">
        <w:t>’s] approval (this approval not to be unreasonably withheld or delayed) if the Trustee considers the appointment of such advisors necessary or appropriate for the performance of its duties and obligations under the Mandate, provided that any fees and other expenses incurred by the Trustee are reasonable. Should [</w:t>
      </w:r>
      <w:r w:rsidRPr="007C7A02">
        <w:rPr>
          <w:i/>
        </w:rPr>
        <w:t>X</w:t>
      </w:r>
      <w:r w:rsidRPr="007C7A02">
        <w:t>] refuse to approve the advisors proposed by the Trustee, the Commission may, after having heard [</w:t>
      </w:r>
      <w:r w:rsidRPr="007C7A02">
        <w:rPr>
          <w:i/>
        </w:rPr>
        <w:t>X</w:t>
      </w:r>
      <w:r w:rsidRPr="007C7A02">
        <w:t xml:space="preserve">], approve the appointment of such advisors. Only the Trustee shall be entitled to issue instructions to the advisors. Paragraph </w:t>
      </w:r>
      <w:r w:rsidR="0079033C" w:rsidRPr="007C7A02">
        <w:rPr>
          <w:szCs w:val="22"/>
          <w:lang w:eastAsia="en-US"/>
        </w:rPr>
        <w:t>3</w:t>
      </w:r>
      <w:r w:rsidR="00235B43" w:rsidRPr="007C7A02">
        <w:rPr>
          <w:szCs w:val="22"/>
          <w:lang w:eastAsia="en-US"/>
        </w:rPr>
        <w:t>1</w:t>
      </w:r>
      <w:r w:rsidR="0079033C" w:rsidRPr="007C7A02">
        <w:rPr>
          <w:szCs w:val="22"/>
          <w:lang w:eastAsia="en-US"/>
        </w:rPr>
        <w:t xml:space="preserve"> </w:t>
      </w:r>
      <w:r w:rsidR="00420162" w:rsidRPr="007C7A02">
        <w:rPr>
          <w:szCs w:val="22"/>
          <w:lang w:eastAsia="en-US"/>
        </w:rPr>
        <w:t>[</w:t>
      </w:r>
      <w:r w:rsidRPr="007C7A02">
        <w:t>of this Mandate</w:t>
      </w:r>
      <w:r w:rsidR="00420162" w:rsidRPr="007C7A02">
        <w:rPr>
          <w:szCs w:val="22"/>
          <w:lang w:eastAsia="en-US"/>
        </w:rPr>
        <w:t>]</w:t>
      </w:r>
      <w:r w:rsidRPr="007C7A02">
        <w:t xml:space="preserve"> shall apply to the advisors </w:t>
      </w:r>
      <w:r w:rsidRPr="007C7A02">
        <w:rPr>
          <w:i/>
        </w:rPr>
        <w:t>mutatis mutandis</w:t>
      </w:r>
      <w:r w:rsidRPr="007C7A02">
        <w:t>. In the Trustee Divestiture Period, the Divestiture Trustee may use advisors who served [</w:t>
      </w:r>
      <w:r w:rsidRPr="007C7A02">
        <w:rPr>
          <w:i/>
        </w:rPr>
        <w:t>X</w:t>
      </w:r>
      <w:r w:rsidRPr="007C7A02">
        <w:t xml:space="preserve">] during the First Divestiture Period if the Divestiture Trustee considers this </w:t>
      </w:r>
      <w:r w:rsidR="00420162" w:rsidRPr="007C7A02">
        <w:rPr>
          <w:szCs w:val="22"/>
          <w:lang w:eastAsia="en-US"/>
        </w:rPr>
        <w:t xml:space="preserve">to be </w:t>
      </w:r>
      <w:r w:rsidRPr="007C7A02">
        <w:t>in the best interest of an expedient sale.</w:t>
      </w:r>
    </w:p>
    <w:p w:rsidR="004B2487" w:rsidRPr="007C7A02" w:rsidRDefault="004B2487" w:rsidP="00027C4A">
      <w:pPr>
        <w:pStyle w:val="Heading2"/>
      </w:pPr>
      <w:r w:rsidRPr="007C7A02">
        <w:lastRenderedPageBreak/>
        <w:t xml:space="preserve">Trustee </w:t>
      </w:r>
      <w:r w:rsidR="00CF3659" w:rsidRPr="007C7A02">
        <w:t>r</w:t>
      </w:r>
      <w:r w:rsidRPr="007C7A02">
        <w:t xml:space="preserve">elated </w:t>
      </w:r>
      <w:r w:rsidR="00CF3659" w:rsidRPr="007C7A02">
        <w:t>p</w:t>
      </w:r>
      <w:r w:rsidRPr="007C7A02">
        <w:t>rovisions</w:t>
      </w:r>
    </w:p>
    <w:p w:rsidR="004B2487" w:rsidRPr="007C7A02" w:rsidRDefault="004B2487" w:rsidP="00027C4A">
      <w:pPr>
        <w:pStyle w:val="Heading3"/>
      </w:pPr>
      <w:r w:rsidRPr="007C7A02">
        <w:t>Conflict</w:t>
      </w:r>
      <w:r w:rsidR="00CF3659" w:rsidRPr="007C7A02">
        <w:t>s</w:t>
      </w:r>
      <w:r w:rsidRPr="007C7A02">
        <w:t xml:space="preserve"> of Interest</w:t>
      </w:r>
    </w:p>
    <w:p w:rsidR="004B2487" w:rsidRPr="007C7A02" w:rsidRDefault="004B2487" w:rsidP="00027C4A">
      <w:pPr>
        <w:pStyle w:val="CHTno1"/>
      </w:pPr>
      <w:r w:rsidRPr="007C7A02">
        <w:t>The Trustee’s, the Trustee Team’s and the Trustee Partner Firms’ current relationships</w:t>
      </w:r>
      <w:r w:rsidR="00B65BAF" w:rsidRPr="007C7A02">
        <w:t xml:space="preserve"> with </w:t>
      </w:r>
      <w:r w:rsidR="005D2AD7" w:rsidRPr="007C7A02">
        <w:rPr>
          <w:szCs w:val="22"/>
          <w:lang w:eastAsia="en-US"/>
        </w:rPr>
        <w:t>the Notifying Parties</w:t>
      </w:r>
      <w:r w:rsidR="00B65BAF" w:rsidRPr="007C7A02">
        <w:t xml:space="preserve"> and Affiliated Undertakings are disclosed in Annex </w:t>
      </w:r>
      <w:r w:rsidR="00B65BAF" w:rsidRPr="007C7A02">
        <w:rPr>
          <w:szCs w:val="22"/>
          <w:lang w:eastAsia="en-US"/>
        </w:rPr>
        <w:t>[·].</w:t>
      </w:r>
      <w:r w:rsidR="00B65BAF" w:rsidRPr="007C7A02">
        <w:t xml:space="preserve"> On this basis, the Trustee confirms that, as of the date of this Mandate, the Trustee and each member of the Trustee Team is independent of [</w:t>
      </w:r>
      <w:r w:rsidR="00B65BAF" w:rsidRPr="007C7A02">
        <w:rPr>
          <w:i/>
        </w:rPr>
        <w:t>X</w:t>
      </w:r>
      <w:r w:rsidR="00B65BAF" w:rsidRPr="007C7A02">
        <w:t xml:space="preserve">] and Affiliated Undertakings and has no </w:t>
      </w:r>
      <w:r w:rsidR="00A5599E" w:rsidRPr="007C7A02">
        <w:rPr>
          <w:szCs w:val="22"/>
          <w:lang w:eastAsia="en-US"/>
        </w:rPr>
        <w:t xml:space="preserve">Conflict </w:t>
      </w:r>
      <w:r w:rsidR="00B65BAF" w:rsidRPr="007C7A02">
        <w:rPr>
          <w:szCs w:val="22"/>
          <w:lang w:eastAsia="en-US"/>
        </w:rPr>
        <w:t xml:space="preserve">of </w:t>
      </w:r>
      <w:r w:rsidR="00A5599E" w:rsidRPr="007C7A02">
        <w:rPr>
          <w:szCs w:val="22"/>
          <w:lang w:eastAsia="en-US"/>
        </w:rPr>
        <w:t>Interest</w:t>
      </w:r>
      <w:r w:rsidR="00B65BAF" w:rsidRPr="007C7A02">
        <w:rPr>
          <w:szCs w:val="22"/>
          <w:lang w:eastAsia="en-US"/>
        </w:rPr>
        <w:t>.</w:t>
      </w:r>
    </w:p>
    <w:p w:rsidR="004B2487" w:rsidRPr="007C7A02" w:rsidRDefault="004B2487" w:rsidP="00027C4A">
      <w:pPr>
        <w:pStyle w:val="CHTno1"/>
      </w:pPr>
      <w:r w:rsidRPr="007C7A02">
        <w:t>The Trustee undertakes not to create a Conflict of Interest during the term of the</w:t>
      </w:r>
      <w:r w:rsidR="00B65BAF" w:rsidRPr="007C7A02">
        <w:t xml:space="preserve"> </w:t>
      </w:r>
      <w:r w:rsidRPr="007C7A02">
        <w:t>Mandate. The Trustee,</w:t>
      </w:r>
      <w:r w:rsidRPr="007C7A02">
        <w:rPr>
          <w:szCs w:val="22"/>
          <w:lang w:eastAsia="en-US"/>
        </w:rPr>
        <w:t xml:space="preserve"> </w:t>
      </w:r>
      <w:r w:rsidR="00420162" w:rsidRPr="007C7A02">
        <w:rPr>
          <w:szCs w:val="22"/>
          <w:lang w:eastAsia="en-US"/>
        </w:rPr>
        <w:t>the</w:t>
      </w:r>
      <w:r w:rsidR="00420162" w:rsidRPr="007C7A02">
        <w:t xml:space="preserve"> </w:t>
      </w:r>
      <w:r w:rsidRPr="007C7A02">
        <w:t>members of the Trustee Team and the Trustee Partner Firms may</w:t>
      </w:r>
      <w:r w:rsidR="00B65BAF" w:rsidRPr="007C7A02">
        <w:t xml:space="preserve"> </w:t>
      </w:r>
      <w:r w:rsidRPr="007C7A02">
        <w:t>therefore not during the term of this Mandate:</w:t>
      </w:r>
    </w:p>
    <w:p w:rsidR="004B2487" w:rsidRPr="00F6525F" w:rsidRDefault="00420162" w:rsidP="00F6525F">
      <w:pPr>
        <w:pStyle w:val="CHTNumbering"/>
        <w:numPr>
          <w:ilvl w:val="0"/>
          <w:numId w:val="37"/>
        </w:numPr>
        <w:ind w:left="1276" w:hanging="850"/>
      </w:pPr>
      <w:r w:rsidRPr="00F6525F">
        <w:t>h</w:t>
      </w:r>
      <w:r w:rsidR="004B2487" w:rsidRPr="00F6525F">
        <w:t>ave or accept any employment by or be or accept any appointment as Member of the Board or member of other management bodies of the Parties or Affiliated Undertakings other than appointments pertaining to the establishment and performance of the Mandate;</w:t>
      </w:r>
    </w:p>
    <w:p w:rsidR="00A5599E" w:rsidRPr="00F6525F" w:rsidRDefault="00420162" w:rsidP="00F6525F">
      <w:pPr>
        <w:pStyle w:val="CHTNumbering"/>
      </w:pPr>
      <w:r w:rsidRPr="00F6525F">
        <w:t>h</w:t>
      </w:r>
      <w:r w:rsidR="004B2487" w:rsidRPr="00F6525F">
        <w:t>ave or accept any assignments or other business relationships with or financial interests in the Parties or Affiliated Undertakings that might lead to a Conflict of Interest</w:t>
      </w:r>
      <w:r w:rsidR="00A5599E" w:rsidRPr="00F6525F">
        <w:t>;</w:t>
      </w:r>
    </w:p>
    <w:p w:rsidR="004B2487" w:rsidRPr="00F6525F" w:rsidRDefault="003A6CA5" w:rsidP="00F6525F">
      <w:pPr>
        <w:pStyle w:val="CHTNumbering"/>
      </w:pPr>
      <w:r w:rsidRPr="00F6525F">
        <w:t xml:space="preserve">have </w:t>
      </w:r>
      <w:r w:rsidR="00A5599E" w:rsidRPr="00F6525F">
        <w:t>or accept any other appointments, assignments or other business relationship</w:t>
      </w:r>
      <w:r w:rsidR="007970C4" w:rsidRPr="00F6525F">
        <w:t>s</w:t>
      </w:r>
      <w:r w:rsidR="00A5599E" w:rsidRPr="00F6525F">
        <w:t xml:space="preserve"> that may, in view of the circumstances of the particular case, be regarded as impairing the Trustee's objectivity and independence in</w:t>
      </w:r>
      <w:r w:rsidR="00C71FB4" w:rsidRPr="00F6525F">
        <w:t xml:space="preserve"> </w:t>
      </w:r>
      <w:r w:rsidR="00A5599E" w:rsidRPr="00F6525F">
        <w:t>discharging its duties under the Mandate</w:t>
      </w:r>
      <w:r w:rsidR="004B2487" w:rsidRPr="00F6525F">
        <w:t>.</w:t>
      </w:r>
    </w:p>
    <w:p w:rsidR="00A20288" w:rsidRPr="007C7A02" w:rsidRDefault="00A20288" w:rsidP="00027C4A">
      <w:pPr>
        <w:pStyle w:val="CHTno1"/>
      </w:pPr>
      <w:r w:rsidRPr="007C7A02">
        <w:rPr>
          <w:szCs w:val="22"/>
          <w:lang w:eastAsia="en-US"/>
        </w:rPr>
        <w:t xml:space="preserve">The provision laid down in </w:t>
      </w:r>
      <w:r w:rsidR="0082307B" w:rsidRPr="007C7A02">
        <w:rPr>
          <w:szCs w:val="22"/>
          <w:lang w:eastAsia="en-US"/>
        </w:rPr>
        <w:t xml:space="preserve">paragraph </w:t>
      </w:r>
      <w:r w:rsidR="007970C4" w:rsidRPr="007C7A02">
        <w:rPr>
          <w:szCs w:val="22"/>
          <w:lang w:eastAsia="en-US"/>
        </w:rPr>
        <w:t>2</w:t>
      </w:r>
      <w:r w:rsidR="00235B43" w:rsidRPr="007C7A02">
        <w:rPr>
          <w:szCs w:val="22"/>
          <w:lang w:eastAsia="en-US"/>
        </w:rPr>
        <w:t>5</w:t>
      </w:r>
      <w:r w:rsidRPr="007C7A02">
        <w:rPr>
          <w:szCs w:val="22"/>
          <w:lang w:eastAsia="en-US"/>
        </w:rPr>
        <w:t xml:space="preserve">(b) </w:t>
      </w:r>
      <w:r w:rsidR="0082307B" w:rsidRPr="007C7A02">
        <w:rPr>
          <w:szCs w:val="22"/>
          <w:lang w:eastAsia="en-US"/>
        </w:rPr>
        <w:t xml:space="preserve">of this Mandate </w:t>
      </w:r>
      <w:r w:rsidRPr="007C7A02">
        <w:rPr>
          <w:szCs w:val="22"/>
          <w:lang w:eastAsia="en-US"/>
        </w:rPr>
        <w:t>shall affect</w:t>
      </w:r>
      <w:r w:rsidRPr="007C7A02">
        <w:t xml:space="preserve"> neither assignments or other business relationships between the Trustee or Trustee Partner Firms and the Parties or Affiliated Undertakings nor investments by the Trustee or Trustee Partner Firms in the stock or securities of the Parties or Affiliated Undertakings if such assignments, business relationships or investments are in the normal course of business and are material neither to the Trustee or the Trustee Partner Firms nor to the </w:t>
      </w:r>
      <w:r w:rsidR="007970C4" w:rsidRPr="007C7A02">
        <w:t>Parties or Affiliated Undertakings</w:t>
      </w:r>
      <w:r w:rsidRPr="007C7A02">
        <w:t>.</w:t>
      </w:r>
    </w:p>
    <w:p w:rsidR="004B2487" w:rsidRPr="007C7A02" w:rsidRDefault="004B2487" w:rsidP="00027C4A">
      <w:pPr>
        <w:pStyle w:val="CHTno1"/>
      </w:pPr>
      <w:r w:rsidRPr="007C7A02">
        <w:t xml:space="preserve">Should the Trustee, the Trustee Partner Firms or members of the Trustee Team wish to undertake an assignment, business relationship or investment, such a person </w:t>
      </w:r>
      <w:r w:rsidR="00A20288" w:rsidRPr="007C7A02">
        <w:rPr>
          <w:szCs w:val="22"/>
          <w:lang w:eastAsia="en-US"/>
        </w:rPr>
        <w:t>shall</w:t>
      </w:r>
      <w:r w:rsidR="00A20288" w:rsidRPr="007C7A02">
        <w:t xml:space="preserve"> </w:t>
      </w:r>
      <w:r w:rsidRPr="007C7A02">
        <w:t>seek the prior approval of the Commission. Should the Trustee become aware of a Conflict of</w:t>
      </w:r>
      <w:r w:rsidR="00B65BAF" w:rsidRPr="007C7A02">
        <w:t xml:space="preserve"> Interest, the Trustee shall promptly inform [</w:t>
      </w:r>
      <w:r w:rsidR="00B65BAF" w:rsidRPr="007C7A02">
        <w:rPr>
          <w:i/>
        </w:rPr>
        <w:t>X</w:t>
      </w:r>
      <w:r w:rsidR="00B65BAF" w:rsidRPr="007C7A02">
        <w:t>] and the Commission, of such Conflict of Interest. In the event that [</w:t>
      </w:r>
      <w:r w:rsidR="00B65BAF" w:rsidRPr="007C7A02">
        <w:rPr>
          <w:i/>
        </w:rPr>
        <w:t>X</w:t>
      </w:r>
      <w:r w:rsidR="00B65BAF" w:rsidRPr="007C7A02">
        <w:t>] becomes aware that the Trustee or the Trustee Partner Firms have or may have a Conflict of Interest, [</w:t>
      </w:r>
      <w:r w:rsidR="00B65BAF" w:rsidRPr="007C7A02">
        <w:rPr>
          <w:i/>
        </w:rPr>
        <w:t>X</w:t>
      </w:r>
      <w:r w:rsidR="00B65BAF" w:rsidRPr="007C7A02">
        <w:t xml:space="preserve">] shall promptly notify the Trustee and the Commission, of such Conflict of Interest. Where a Conflict of Interest occurs during the term of the Mandate the Trustee undertakes to resolve it immediately. </w:t>
      </w:r>
      <w:r w:rsidR="003A6CA5" w:rsidRPr="007C7A02">
        <w:rPr>
          <w:szCs w:val="22"/>
          <w:lang w:eastAsia="en-US"/>
        </w:rPr>
        <w:t>Where</w:t>
      </w:r>
      <w:r w:rsidR="00B65BAF" w:rsidRPr="007C7A02">
        <w:t xml:space="preserve"> the Conflict of Interest cannot be resolved or is not resolved by the Trustee in a timely manner, the Mandate may be terminated in accordance with paragraph </w:t>
      </w:r>
      <w:r w:rsidR="007970C4" w:rsidRPr="007C7A02">
        <w:rPr>
          <w:szCs w:val="22"/>
          <w:lang w:eastAsia="en-US"/>
        </w:rPr>
        <w:t>3</w:t>
      </w:r>
      <w:r w:rsidR="00235B43" w:rsidRPr="007C7A02">
        <w:rPr>
          <w:szCs w:val="22"/>
          <w:lang w:eastAsia="en-US"/>
        </w:rPr>
        <w:t>3</w:t>
      </w:r>
      <w:r w:rsidR="007970C4" w:rsidRPr="007C7A02">
        <w:t xml:space="preserve"> </w:t>
      </w:r>
      <w:r w:rsidR="00B65BAF" w:rsidRPr="007C7A02">
        <w:t>below.</w:t>
      </w:r>
    </w:p>
    <w:p w:rsidR="004B2487" w:rsidRPr="007C7A02" w:rsidRDefault="004B2487" w:rsidP="00027C4A">
      <w:pPr>
        <w:pStyle w:val="CHTno1"/>
      </w:pPr>
      <w:bookmarkStart w:id="1" w:name="_Ref300581175"/>
      <w:r w:rsidRPr="007C7A02">
        <w:rPr>
          <w:i/>
        </w:rPr>
        <w:t>[It is up to the Mandate Parties to insert suitable provisions regarding conflict</w:t>
      </w:r>
      <w:r w:rsidR="007970C4" w:rsidRPr="007C7A02">
        <w:rPr>
          <w:i/>
        </w:rPr>
        <w:t>s</w:t>
      </w:r>
      <w:r w:rsidRPr="007C7A02">
        <w:rPr>
          <w:i/>
        </w:rPr>
        <w:t xml:space="preserve"> of</w:t>
      </w:r>
      <w:r w:rsidR="00B65BAF" w:rsidRPr="007C7A02">
        <w:rPr>
          <w:i/>
        </w:rPr>
        <w:t xml:space="preserve"> interest of the Trustee and the Trustee Partner Firms with (potential) purchasers.]</w:t>
      </w:r>
      <w:bookmarkEnd w:id="1"/>
    </w:p>
    <w:p w:rsidR="004B2487" w:rsidRPr="007C7A02" w:rsidRDefault="006B22C8" w:rsidP="00027C4A">
      <w:pPr>
        <w:pStyle w:val="CHTno1"/>
      </w:pPr>
      <w:bookmarkStart w:id="2" w:name="_Ref300581200"/>
      <w:bookmarkStart w:id="3" w:name="_Ref33874384"/>
      <w:r w:rsidRPr="007C7A02">
        <w:rPr>
          <w:szCs w:val="22"/>
          <w:lang w:eastAsia="en-US"/>
        </w:rPr>
        <w:t>Should a member of the</w:t>
      </w:r>
      <w:r w:rsidRPr="007C7A02">
        <w:t xml:space="preserve"> Trustee </w:t>
      </w:r>
      <w:r w:rsidRPr="007C7A02">
        <w:rPr>
          <w:szCs w:val="22"/>
          <w:lang w:eastAsia="en-US"/>
        </w:rPr>
        <w:t>Team wish</w:t>
      </w:r>
      <w:r w:rsidR="004B2487" w:rsidRPr="007C7A02">
        <w:t xml:space="preserve">, during the term of </w:t>
      </w:r>
      <w:r w:rsidR="003A6CA5" w:rsidRPr="007C7A02">
        <w:rPr>
          <w:szCs w:val="22"/>
          <w:lang w:eastAsia="en-US"/>
        </w:rPr>
        <w:t>this</w:t>
      </w:r>
      <w:r w:rsidR="003A6CA5" w:rsidRPr="007C7A02">
        <w:t xml:space="preserve"> </w:t>
      </w:r>
      <w:r w:rsidR="004B2487" w:rsidRPr="007C7A02">
        <w:t>Mandate and for a period of one year</w:t>
      </w:r>
      <w:r w:rsidR="00B65BAF" w:rsidRPr="007C7A02">
        <w:t xml:space="preserve"> following termination of the Mandate, </w:t>
      </w:r>
      <w:r w:rsidRPr="007C7A02">
        <w:rPr>
          <w:szCs w:val="22"/>
          <w:lang w:eastAsia="en-US"/>
        </w:rPr>
        <w:t>to</w:t>
      </w:r>
      <w:r w:rsidR="00B65BAF" w:rsidRPr="007C7A02">
        <w:t xml:space="preserve"> provide services to the Parties or </w:t>
      </w:r>
      <w:r w:rsidR="00B65BAF" w:rsidRPr="007C7A02">
        <w:lastRenderedPageBreak/>
        <w:t>Affiliated Undertakings</w:t>
      </w:r>
      <w:r w:rsidRPr="007C7A02">
        <w:rPr>
          <w:szCs w:val="22"/>
          <w:lang w:eastAsia="en-US"/>
        </w:rPr>
        <w:t>,</w:t>
      </w:r>
      <w:r w:rsidR="00B65BAF" w:rsidRPr="007C7A02">
        <w:rPr>
          <w:szCs w:val="22"/>
          <w:lang w:eastAsia="en-US"/>
        </w:rPr>
        <w:t xml:space="preserve"> </w:t>
      </w:r>
      <w:r w:rsidRPr="007C7A02">
        <w:rPr>
          <w:szCs w:val="22"/>
          <w:lang w:eastAsia="en-US"/>
        </w:rPr>
        <w:t>such a person shall seek</w:t>
      </w:r>
      <w:r w:rsidRPr="007C7A02">
        <w:t xml:space="preserve"> the prior approval</w:t>
      </w:r>
      <w:r w:rsidRPr="007C7A02">
        <w:rPr>
          <w:szCs w:val="22"/>
          <w:lang w:eastAsia="en-US"/>
        </w:rPr>
        <w:t xml:space="preserve"> of the Commission</w:t>
      </w:r>
      <w:r w:rsidR="00B65BAF" w:rsidRPr="007C7A02">
        <w:t xml:space="preserve">. </w:t>
      </w:r>
      <w:r w:rsidR="0080734A" w:rsidRPr="007C7A02">
        <w:t xml:space="preserve">This period </w:t>
      </w:r>
      <w:r w:rsidR="000A50B0" w:rsidRPr="007C7A02">
        <w:t>can</w:t>
      </w:r>
      <w:r w:rsidR="0080734A" w:rsidRPr="007C7A02">
        <w:t xml:space="preserve"> in particular circumstances</w:t>
      </w:r>
      <w:r w:rsidR="000A50B0" w:rsidRPr="007C7A02">
        <w:t xml:space="preserve">, </w:t>
      </w:r>
      <w:r w:rsidR="0080734A" w:rsidRPr="007C7A02">
        <w:t xml:space="preserve">e.g. </w:t>
      </w:r>
      <w:r w:rsidR="000A50B0" w:rsidRPr="007C7A02">
        <w:t xml:space="preserve">in cases  of </w:t>
      </w:r>
      <w:r w:rsidR="0080734A" w:rsidRPr="007C7A02">
        <w:t xml:space="preserve">behavioural commitments </w:t>
      </w:r>
      <w:r w:rsidR="00986E25" w:rsidRPr="007C7A02">
        <w:t xml:space="preserve">extending </w:t>
      </w:r>
      <w:r w:rsidR="0080734A" w:rsidRPr="007C7A02">
        <w:t>over several years or sale of the Divestiture Business occurring in the Trustee Divestiture Period</w:t>
      </w:r>
      <w:r w:rsidR="000D6BBF" w:rsidRPr="007C7A02">
        <w:t>,</w:t>
      </w:r>
      <w:r w:rsidR="0080734A" w:rsidRPr="007C7A02">
        <w:t xml:space="preserve"> be extended to three years. </w:t>
      </w:r>
      <w:r w:rsidR="00B65BAF" w:rsidRPr="007C7A02">
        <w:t>Moreover, the Trustee undertakes to establish measures to ensure the independence and integrity of the Trustee Team and the Trustee’s employees and agents directly assigned to the Trustee Team (“</w:t>
      </w:r>
      <w:r w:rsidR="00B65BAF" w:rsidRPr="007C7A02">
        <w:rPr>
          <w:b/>
          <w:i/>
        </w:rPr>
        <w:t>Assigned Persons</w:t>
      </w:r>
      <w:r w:rsidR="00B65BAF" w:rsidRPr="007C7A02">
        <w:t xml:space="preserve">”) during the term of </w:t>
      </w:r>
      <w:r w:rsidR="003A6CA5" w:rsidRPr="007C7A02">
        <w:rPr>
          <w:szCs w:val="22"/>
          <w:lang w:eastAsia="en-US"/>
        </w:rPr>
        <w:t>this</w:t>
      </w:r>
      <w:r w:rsidR="003A6CA5" w:rsidRPr="007C7A02">
        <w:t xml:space="preserve"> </w:t>
      </w:r>
      <w:r w:rsidR="00B65BAF" w:rsidRPr="007C7A02">
        <w:t xml:space="preserve">Mandate and for a period of one year </w:t>
      </w:r>
      <w:r w:rsidR="000A50B0" w:rsidRPr="007C7A02">
        <w:t xml:space="preserve">or longer as appropriate </w:t>
      </w:r>
      <w:r w:rsidR="00B65BAF" w:rsidRPr="007C7A02">
        <w:t xml:space="preserve">following termination of the Mandate, from any undue influence that might interfere with or in any way compromise the Trustee Team in the performance of its duties under </w:t>
      </w:r>
      <w:r w:rsidR="003A6CA5" w:rsidRPr="007C7A02">
        <w:rPr>
          <w:szCs w:val="22"/>
          <w:lang w:eastAsia="en-US"/>
        </w:rPr>
        <w:t>this</w:t>
      </w:r>
      <w:r w:rsidR="003A6CA5" w:rsidRPr="007C7A02">
        <w:t xml:space="preserve"> </w:t>
      </w:r>
      <w:r w:rsidR="00B65BAF" w:rsidRPr="007C7A02">
        <w:t>Mandate. In particular:</w:t>
      </w:r>
      <w:bookmarkEnd w:id="2"/>
      <w:bookmarkEnd w:id="3"/>
    </w:p>
    <w:p w:rsidR="004B2487" w:rsidRPr="00F6525F" w:rsidRDefault="003A6CA5" w:rsidP="00F6525F">
      <w:pPr>
        <w:pStyle w:val="CHTNumbering"/>
        <w:numPr>
          <w:ilvl w:val="0"/>
          <w:numId w:val="38"/>
        </w:numPr>
        <w:ind w:left="1276" w:hanging="850"/>
        <w:rPr>
          <w:spacing w:val="-1"/>
        </w:rPr>
      </w:pPr>
      <w:r w:rsidRPr="00F6525F">
        <w:rPr>
          <w:szCs w:val="22"/>
          <w:lang w:eastAsia="en-US"/>
        </w:rPr>
        <w:t>a</w:t>
      </w:r>
      <w:r w:rsidR="004B2487" w:rsidRPr="00F6525F">
        <w:rPr>
          <w:szCs w:val="22"/>
          <w:lang w:eastAsia="en-US"/>
        </w:rPr>
        <w:t>ccess</w:t>
      </w:r>
      <w:r w:rsidR="004B2487" w:rsidRPr="00F6525F">
        <w:t xml:space="preserve"> to confidential information shall be limited to the Trustee Team and Assigned Persons; and</w:t>
      </w:r>
    </w:p>
    <w:p w:rsidR="004B2487" w:rsidRPr="00F6525F" w:rsidRDefault="003A6CA5" w:rsidP="00F6525F">
      <w:pPr>
        <w:pStyle w:val="CHTNumbering"/>
        <w:numPr>
          <w:ilvl w:val="0"/>
          <w:numId w:val="38"/>
        </w:numPr>
        <w:ind w:left="1276" w:hanging="850"/>
        <w:rPr>
          <w:spacing w:val="-5"/>
        </w:rPr>
      </w:pPr>
      <w:r w:rsidRPr="00F6525F">
        <w:rPr>
          <w:spacing w:val="-1"/>
          <w:szCs w:val="22"/>
          <w:lang w:eastAsia="en-US"/>
        </w:rPr>
        <w:t>t</w:t>
      </w:r>
      <w:r w:rsidR="004B2487" w:rsidRPr="00F6525F">
        <w:rPr>
          <w:spacing w:val="-1"/>
          <w:szCs w:val="22"/>
          <w:lang w:eastAsia="en-US"/>
        </w:rPr>
        <w:t>he</w:t>
      </w:r>
      <w:r w:rsidR="004B2487" w:rsidRPr="00F6525F">
        <w:rPr>
          <w:spacing w:val="-1"/>
        </w:rPr>
        <w:t xml:space="preserve"> Trustee Team and Assigned Persons shall be prohibited from communicating </w:t>
      </w:r>
      <w:r w:rsidR="004B2487" w:rsidRPr="00F6525F">
        <w:t>any information relating to this Mandate to any other of the Trustee’s personnel, except for information of a general nature (e.g. Trustee’s appointment, fees, etc.), and except for information whose disclosure is required by law.</w:t>
      </w:r>
    </w:p>
    <w:p w:rsidR="004B2487" w:rsidRPr="007C7A02" w:rsidRDefault="004B2487" w:rsidP="00027C4A">
      <w:pPr>
        <w:pStyle w:val="Heading3"/>
      </w:pPr>
      <w:r w:rsidRPr="007C7A02">
        <w:t>Remuneration</w:t>
      </w:r>
    </w:p>
    <w:p w:rsidR="004B2487" w:rsidRPr="007C7A02" w:rsidRDefault="004B2487" w:rsidP="00027C4A">
      <w:pPr>
        <w:pStyle w:val="CHTno1"/>
      </w:pPr>
      <w:r w:rsidRPr="007C7A02">
        <w:t>[</w:t>
      </w:r>
      <w:r w:rsidRPr="00CE44FE">
        <w:rPr>
          <w:i/>
        </w:rPr>
        <w:t>It is up to the Mandate Parties to agree on a suitable fee structure. As set out in the Standard Commitments Text, the Trustee shall be remunerated in such a way that it does not impede its independence and effectiveness in fulfilling the Mandate. Regarding the Divestiture Trustee, the Commission is in favour of fee structures that, at least to a significant part, are contingent on the Divestiture Trustee’s accomplishing a timely divestiture. In particular, if the remuneration package includes a success premium linked to the final sale value of the Divestment Business, the fee should also be linked to a divestiture within the Trustee Divestiture Period as specified in the Commitments. It should be noted that the fee structure – as well as the entire Mandate - is subject to the Commission’s approval.</w:t>
      </w:r>
      <w:r w:rsidRPr="007C7A02">
        <w:t>]</w:t>
      </w:r>
    </w:p>
    <w:p w:rsidR="004B2487" w:rsidRPr="007C7A02" w:rsidRDefault="004B2487" w:rsidP="00027C4A">
      <w:pPr>
        <w:pStyle w:val="Heading3"/>
      </w:pPr>
      <w:r w:rsidRPr="007C7A02">
        <w:t>Indemnity</w:t>
      </w:r>
    </w:p>
    <w:p w:rsidR="004B2487" w:rsidRPr="007C7A02" w:rsidRDefault="004B2487" w:rsidP="00027C4A">
      <w:pPr>
        <w:pStyle w:val="CHTno1"/>
      </w:pPr>
      <w:bookmarkStart w:id="4" w:name="_Ref9067174"/>
      <w:bookmarkStart w:id="5" w:name="_Ref10977225"/>
      <w:r w:rsidRPr="007C7A02">
        <w:t>[</w:t>
      </w:r>
      <w:r w:rsidRPr="007C7A02">
        <w:rPr>
          <w:i/>
        </w:rPr>
        <w:t>X</w:t>
      </w:r>
      <w:r w:rsidRPr="007C7A02">
        <w:t>] shall indemnify the Trustee and its employees and agents (each an “</w:t>
      </w:r>
      <w:r w:rsidRPr="007C7A02">
        <w:rPr>
          <w:b/>
          <w:i/>
        </w:rPr>
        <w:t>Indemnified Party</w:t>
      </w:r>
      <w:r w:rsidRPr="007C7A02">
        <w:t>”) and hold each Indemnified Party harmless against, and hereby agrees that an</w:t>
      </w:r>
      <w:r w:rsidR="000571DA" w:rsidRPr="007C7A02">
        <w:t xml:space="preserve"> Indemnified Party shall have no liability to [</w:t>
      </w:r>
      <w:r w:rsidR="000571DA" w:rsidRPr="007C7A02">
        <w:rPr>
          <w:i/>
        </w:rPr>
        <w:t>X</w:t>
      </w:r>
      <w:r w:rsidR="000571DA" w:rsidRPr="007C7A02">
        <w:t xml:space="preserve">] for any liabilities arising out of the performance of the Mandate, except to the extent that such liabilities result from the wilful default, recklessness, gross negligence or bad faith of the Trustee, its employees, agents or advisors. </w:t>
      </w:r>
      <w:bookmarkEnd w:id="4"/>
      <w:bookmarkEnd w:id="5"/>
    </w:p>
    <w:p w:rsidR="004B2487" w:rsidRPr="007C7A02" w:rsidRDefault="004B2487" w:rsidP="00027C4A">
      <w:pPr>
        <w:pStyle w:val="Heading3"/>
      </w:pPr>
      <w:r w:rsidRPr="007C7A02">
        <w:t>Confidentiality</w:t>
      </w:r>
    </w:p>
    <w:p w:rsidR="004B2487" w:rsidRPr="007C7A02" w:rsidRDefault="004B2487" w:rsidP="00027C4A">
      <w:pPr>
        <w:pStyle w:val="CHTno1"/>
      </w:pPr>
      <w:bookmarkStart w:id="6" w:name="_Ref33874408"/>
      <w:bookmarkStart w:id="7" w:name="_Ref274902401"/>
      <w:r w:rsidRPr="007C7A02">
        <w:t>[</w:t>
      </w:r>
      <w:r w:rsidRPr="00027C4A">
        <w:rPr>
          <w:i/>
        </w:rPr>
        <w:t>It is up to the Mandate Parties to agree a suitable confidentiality provision prohibiting the use, or disclosure to anyone other than the Commission of any sensitive or proprietary information gained as a result of performing the Trustee role. As a matter of course, the Mandate cannot limit the disclosure of information by the Trustee vis-à-vis the Commission</w:t>
      </w:r>
      <w:r w:rsidR="0032671A" w:rsidRPr="00027C4A">
        <w:rPr>
          <w:i/>
          <w:szCs w:val="22"/>
          <w:lang w:eastAsia="en-US"/>
        </w:rPr>
        <w:t xml:space="preserve"> and by the Commission to the Trustee</w:t>
      </w:r>
      <w:r w:rsidRPr="00027C4A">
        <w:rPr>
          <w:i/>
          <w:szCs w:val="22"/>
          <w:lang w:eastAsia="en-US"/>
        </w:rPr>
        <w:t>.</w:t>
      </w:r>
      <w:r w:rsidRPr="00027C4A">
        <w:rPr>
          <w:i/>
        </w:rPr>
        <w:t xml:space="preserve"> However, the Trustee must not disclose certain information gained as a result of the Trustee role to the Parties. This in particular applies to information </w:t>
      </w:r>
      <w:bookmarkEnd w:id="6"/>
      <w:r w:rsidRPr="00027C4A">
        <w:rPr>
          <w:i/>
        </w:rPr>
        <w:t>gained on the Divestment Business to which the ring-fencing provisions apply and to information received from (potential) purchasers of the Divestment Business.</w:t>
      </w:r>
      <w:r w:rsidRPr="007C7A02">
        <w:t>]</w:t>
      </w:r>
      <w:bookmarkEnd w:id="7"/>
    </w:p>
    <w:p w:rsidR="004B2487" w:rsidRPr="007C7A02" w:rsidRDefault="004B2487" w:rsidP="00027C4A">
      <w:pPr>
        <w:pStyle w:val="Heading2"/>
      </w:pPr>
      <w:r w:rsidRPr="007C7A02">
        <w:lastRenderedPageBreak/>
        <w:t>Termination of the Mandate</w:t>
      </w:r>
    </w:p>
    <w:p w:rsidR="004B2487" w:rsidRPr="007C7A02" w:rsidRDefault="003A6CA5" w:rsidP="00027C4A">
      <w:pPr>
        <w:pStyle w:val="CHTno1"/>
      </w:pPr>
      <w:bookmarkStart w:id="8" w:name="_Ref29637363"/>
      <w:r w:rsidRPr="007C7A02">
        <w:t xml:space="preserve">This </w:t>
      </w:r>
      <w:r w:rsidR="004B2487" w:rsidRPr="007C7A02">
        <w:t xml:space="preserve">Mandate may only be terminated under the conditions set out in paragraphs </w:t>
      </w:r>
      <w:r w:rsidR="00950421" w:rsidRPr="007C7A02">
        <w:fldChar w:fldCharType="begin"/>
      </w:r>
      <w:r w:rsidR="00950421" w:rsidRPr="007C7A02">
        <w:instrText xml:space="preserve"> REF _Ref274902868 \r \h </w:instrText>
      </w:r>
      <w:r w:rsidR="007D0586" w:rsidRPr="007C7A02">
        <w:instrText xml:space="preserve"> \* MERGEFORMAT </w:instrText>
      </w:r>
      <w:r w:rsidR="00950421" w:rsidRPr="007C7A02">
        <w:fldChar w:fldCharType="separate"/>
      </w:r>
      <w:r w:rsidR="00533669" w:rsidRPr="007C7A02">
        <w:t>34</w:t>
      </w:r>
      <w:r w:rsidR="00950421" w:rsidRPr="007C7A02">
        <w:fldChar w:fldCharType="end"/>
      </w:r>
      <w:r w:rsidR="004B2487" w:rsidRPr="007C7A02">
        <w:t>-</w:t>
      </w:r>
      <w:r w:rsidR="00950421" w:rsidRPr="007C7A02">
        <w:fldChar w:fldCharType="begin"/>
      </w:r>
      <w:r w:rsidR="00950421" w:rsidRPr="007C7A02">
        <w:instrText xml:space="preserve"> REF _Ref274902532 \r \h </w:instrText>
      </w:r>
      <w:r w:rsidR="007D0586" w:rsidRPr="007C7A02">
        <w:instrText xml:space="preserve"> \* MERGEFORMAT </w:instrText>
      </w:r>
      <w:r w:rsidR="00950421" w:rsidRPr="007C7A02">
        <w:fldChar w:fldCharType="separate"/>
      </w:r>
      <w:r w:rsidR="00533669" w:rsidRPr="007C7A02">
        <w:t>37</w:t>
      </w:r>
      <w:r w:rsidR="00950421" w:rsidRPr="007C7A02">
        <w:fldChar w:fldCharType="end"/>
      </w:r>
      <w:r w:rsidR="004B2487" w:rsidRPr="007C7A02">
        <w:t>.</w:t>
      </w:r>
    </w:p>
    <w:p w:rsidR="004B2487" w:rsidRPr="007C7A02" w:rsidRDefault="004B2487" w:rsidP="00027C4A">
      <w:pPr>
        <w:pStyle w:val="Heading3"/>
      </w:pPr>
      <w:r w:rsidRPr="007C7A02">
        <w:t>Regular Termination of the Mandate</w:t>
      </w:r>
    </w:p>
    <w:p w:rsidR="004B2487" w:rsidRPr="007C7A02" w:rsidRDefault="003A6CA5" w:rsidP="00027C4A">
      <w:pPr>
        <w:pStyle w:val="CHTno1"/>
      </w:pPr>
      <w:bookmarkStart w:id="9" w:name="_Ref274902868"/>
      <w:bookmarkStart w:id="10" w:name="_Ref31024817"/>
      <w:r w:rsidRPr="007C7A02">
        <w:rPr>
          <w:szCs w:val="22"/>
          <w:lang w:eastAsia="en-US"/>
        </w:rPr>
        <w:t>This</w:t>
      </w:r>
      <w:r w:rsidRPr="007C7A02">
        <w:t xml:space="preserve"> </w:t>
      </w:r>
      <w:r w:rsidR="004B2487" w:rsidRPr="007C7A02">
        <w:t>Mandate shall automatically terminate if the Commission approves the discharge in</w:t>
      </w:r>
      <w:r w:rsidR="00B65BAF" w:rsidRPr="007C7A02">
        <w:t xml:space="preserve"> writing of the Trustee from its obligations under this Mandate. The approval of the discharge of the Trustee may be requested after the Trustee has completed the performance of its obligations under the Mandate.</w:t>
      </w:r>
      <w:bookmarkEnd w:id="8"/>
      <w:bookmarkEnd w:id="9"/>
      <w:bookmarkEnd w:id="10"/>
    </w:p>
    <w:p w:rsidR="000571DA" w:rsidRPr="007C7A02" w:rsidRDefault="004B2487" w:rsidP="00027C4A">
      <w:pPr>
        <w:pStyle w:val="CHTno1"/>
      </w:pPr>
      <w:r w:rsidRPr="007C7A02">
        <w:t>The Mandate Parties acknowledge that the Commission may at any time request the</w:t>
      </w:r>
      <w:r w:rsidR="000571DA" w:rsidRPr="007C7A02">
        <w:t xml:space="preserve"> reappointment of the Trustee by [</w:t>
      </w:r>
      <w:r w:rsidR="000571DA" w:rsidRPr="007C7A02">
        <w:rPr>
          <w:i/>
        </w:rPr>
        <w:t>X</w:t>
      </w:r>
      <w:r w:rsidR="000571DA" w:rsidRPr="007C7A02">
        <w:t xml:space="preserve">] if it subsequently appears that the </w:t>
      </w:r>
      <w:r w:rsidR="007C45C3" w:rsidRPr="007C7A02">
        <w:rPr>
          <w:szCs w:val="22"/>
          <w:lang w:eastAsia="en-US"/>
        </w:rPr>
        <w:t>Commitments</w:t>
      </w:r>
      <w:r w:rsidR="000571DA" w:rsidRPr="007C7A02">
        <w:t xml:space="preserve"> might not have been fully and properly implemented. The Trustee hereby accepts such a reappointment in accordance with the terms and conditions of this Mandate. </w:t>
      </w:r>
    </w:p>
    <w:p w:rsidR="004B2487" w:rsidRPr="007C7A02" w:rsidRDefault="004B2487" w:rsidP="00027C4A">
      <w:pPr>
        <w:pStyle w:val="Heading3"/>
      </w:pPr>
      <w:r w:rsidRPr="007C7A02">
        <w:t>Termination of the Mandate before the Discharge</w:t>
      </w:r>
    </w:p>
    <w:p w:rsidR="004B2487" w:rsidRPr="007C7A02" w:rsidRDefault="004B2487" w:rsidP="00027C4A">
      <w:pPr>
        <w:pStyle w:val="CHTno1"/>
      </w:pPr>
      <w:bookmarkStart w:id="11" w:name="_Ref29637365"/>
      <w:r w:rsidRPr="007C7A02">
        <w:t>[</w:t>
      </w:r>
      <w:r w:rsidRPr="007C7A02">
        <w:rPr>
          <w:i/>
        </w:rPr>
        <w:t>X</w:t>
      </w:r>
      <w:r w:rsidRPr="007C7A02">
        <w:t>] may only terminate the Mandate before the discharge of the Trustee in accordance</w:t>
      </w:r>
      <w:r w:rsidR="000571DA" w:rsidRPr="007C7A02">
        <w:t xml:space="preserve"> with paragraph </w:t>
      </w:r>
      <w:r w:rsidR="00DD3CAD" w:rsidRPr="007C7A02">
        <w:rPr>
          <w:szCs w:val="22"/>
          <w:lang w:eastAsia="en-US"/>
        </w:rPr>
        <w:t>40</w:t>
      </w:r>
      <w:r w:rsidR="00DD3CAD" w:rsidRPr="007C7A02">
        <w:t xml:space="preserve"> </w:t>
      </w:r>
      <w:r w:rsidR="000571DA" w:rsidRPr="007C7A02">
        <w:t>of the Commitments. The Trustee may only terminate the Mandate for good cause</w:t>
      </w:r>
      <w:r w:rsidR="006B22C8" w:rsidRPr="007C7A02">
        <w:rPr>
          <w:szCs w:val="22"/>
          <w:lang w:eastAsia="en-US"/>
        </w:rPr>
        <w:t>,</w:t>
      </w:r>
      <w:r w:rsidR="000571DA" w:rsidRPr="007C7A02">
        <w:t xml:space="preserve"> by giving written notice to [</w:t>
      </w:r>
      <w:r w:rsidR="000571DA" w:rsidRPr="007C7A02">
        <w:rPr>
          <w:i/>
        </w:rPr>
        <w:t>X</w:t>
      </w:r>
      <w:r w:rsidR="000571DA" w:rsidRPr="007C7A02">
        <w:t xml:space="preserve">], with a copy to the Commission. The Trustee shall continue </w:t>
      </w:r>
      <w:r w:rsidR="003A6CA5" w:rsidRPr="007C7A02">
        <w:rPr>
          <w:szCs w:val="22"/>
          <w:lang w:eastAsia="en-US"/>
        </w:rPr>
        <w:t xml:space="preserve">to </w:t>
      </w:r>
      <w:r w:rsidR="000571DA" w:rsidRPr="007C7A02">
        <w:rPr>
          <w:szCs w:val="22"/>
          <w:lang w:eastAsia="en-US"/>
        </w:rPr>
        <w:t>carry</w:t>
      </w:r>
      <w:r w:rsidR="000571DA" w:rsidRPr="007C7A02">
        <w:t xml:space="preserve"> out its functions under </w:t>
      </w:r>
      <w:r w:rsidR="003A6CA5" w:rsidRPr="007C7A02">
        <w:rPr>
          <w:szCs w:val="22"/>
          <w:lang w:eastAsia="en-US"/>
        </w:rPr>
        <w:t>this</w:t>
      </w:r>
      <w:r w:rsidR="003A6CA5" w:rsidRPr="007C7A02">
        <w:t xml:space="preserve"> </w:t>
      </w:r>
      <w:r w:rsidR="000571DA" w:rsidRPr="007C7A02">
        <w:t>Mandate until it has effected a full handover of all relevant information to a new trustee appointed by [</w:t>
      </w:r>
      <w:r w:rsidR="000571DA" w:rsidRPr="007C7A02">
        <w:rPr>
          <w:i/>
        </w:rPr>
        <w:t>X</w:t>
      </w:r>
      <w:r w:rsidR="000571DA" w:rsidRPr="007C7A02">
        <w:t>] pursuant to the procedure laid down in the Commitments.</w:t>
      </w:r>
      <w:bookmarkEnd w:id="11"/>
    </w:p>
    <w:p w:rsidR="004B2487" w:rsidRPr="007C7A02" w:rsidRDefault="004B2487" w:rsidP="00027C4A">
      <w:pPr>
        <w:pStyle w:val="Heading3"/>
      </w:pPr>
      <w:r w:rsidRPr="007C7A02">
        <w:t>Surviving Provisions</w:t>
      </w:r>
    </w:p>
    <w:p w:rsidR="004B2487" w:rsidRPr="007C7A02" w:rsidRDefault="004B2487" w:rsidP="00027C4A">
      <w:pPr>
        <w:pStyle w:val="CHTno1"/>
      </w:pPr>
      <w:bookmarkStart w:id="12" w:name="_Ref274902532"/>
      <w:bookmarkStart w:id="13" w:name="_Ref31024826"/>
      <w:r w:rsidRPr="007C7A02">
        <w:t xml:space="preserve">Paragraphs </w:t>
      </w:r>
      <w:r w:rsidR="006B22C8" w:rsidRPr="007C7A02">
        <w:t>[</w:t>
      </w:r>
      <w:r w:rsidR="00DD3CAD" w:rsidRPr="007C7A02">
        <w:rPr>
          <w:szCs w:val="22"/>
          <w:lang w:eastAsia="en-US"/>
        </w:rPr>
        <w:t>29</w:t>
      </w:r>
      <w:r w:rsidR="006B22C8" w:rsidRPr="007C7A02">
        <w:rPr>
          <w:szCs w:val="22"/>
          <w:lang w:eastAsia="en-US"/>
        </w:rPr>
        <w:t>] –</w:t>
      </w:r>
      <w:r w:rsidR="006B22C8" w:rsidRPr="007C7A02">
        <w:t xml:space="preserve"> [</w:t>
      </w:r>
      <w:r w:rsidR="00DD3CAD" w:rsidRPr="007C7A02">
        <w:rPr>
          <w:szCs w:val="22"/>
          <w:lang w:eastAsia="en-US"/>
        </w:rPr>
        <w:t>32</w:t>
      </w:r>
      <w:r w:rsidR="006B22C8" w:rsidRPr="007C7A02">
        <w:t xml:space="preserve">] </w:t>
      </w:r>
      <w:r w:rsidRPr="007C7A02">
        <w:t>shall survive the termination of the Mandate.</w:t>
      </w:r>
      <w:bookmarkEnd w:id="12"/>
      <w:bookmarkEnd w:id="13"/>
    </w:p>
    <w:p w:rsidR="00983355" w:rsidRPr="007C7A02" w:rsidRDefault="00983355" w:rsidP="00027C4A">
      <w:pPr>
        <w:pStyle w:val="Heading2"/>
      </w:pPr>
      <w:r w:rsidRPr="007C7A02">
        <w:t>Additional Provisions</w:t>
      </w:r>
    </w:p>
    <w:p w:rsidR="004B2487" w:rsidRPr="007C7A02" w:rsidRDefault="004B2487" w:rsidP="00027C4A">
      <w:pPr>
        <w:pStyle w:val="Heading3"/>
      </w:pPr>
      <w:r w:rsidRPr="007C7A02">
        <w:t xml:space="preserve">Amendments to </w:t>
      </w:r>
      <w:r w:rsidR="003A6CA5" w:rsidRPr="007C7A02">
        <w:t xml:space="preserve">this </w:t>
      </w:r>
      <w:r w:rsidRPr="007C7A02">
        <w:t>Mandate</w:t>
      </w:r>
    </w:p>
    <w:p w:rsidR="004B2487" w:rsidRPr="00027C4A" w:rsidRDefault="003A6CA5" w:rsidP="00027C4A">
      <w:pPr>
        <w:pStyle w:val="CHTno1"/>
        <w:rPr>
          <w:spacing w:val="-1"/>
        </w:rPr>
      </w:pPr>
      <w:r w:rsidRPr="00027C4A">
        <w:rPr>
          <w:spacing w:val="-1"/>
          <w:szCs w:val="22"/>
          <w:lang w:eastAsia="en-US"/>
        </w:rPr>
        <w:t>This</w:t>
      </w:r>
      <w:r w:rsidRPr="00027C4A">
        <w:rPr>
          <w:spacing w:val="-1"/>
        </w:rPr>
        <w:t xml:space="preserve"> </w:t>
      </w:r>
      <w:r w:rsidR="004B2487" w:rsidRPr="00027C4A">
        <w:rPr>
          <w:spacing w:val="-1"/>
        </w:rPr>
        <w:t xml:space="preserve">Mandate may only be amended in writing and with the Commission’s prior approval. The Mandate Parties agree to amend this Mandate if required by the Commission, after consultation with the Mandate Parties, in order to secure compliance with the Commitments, in particular if the amendment is necessary in order to adapt </w:t>
      </w:r>
      <w:r w:rsidRPr="00027C4A">
        <w:rPr>
          <w:spacing w:val="-1"/>
          <w:szCs w:val="22"/>
          <w:lang w:eastAsia="en-US"/>
        </w:rPr>
        <w:t>this</w:t>
      </w:r>
      <w:r w:rsidRPr="00027C4A">
        <w:rPr>
          <w:spacing w:val="-1"/>
        </w:rPr>
        <w:t xml:space="preserve"> </w:t>
      </w:r>
      <w:r w:rsidR="004B2487" w:rsidRPr="00027C4A">
        <w:rPr>
          <w:spacing w:val="-1"/>
        </w:rPr>
        <w:t>Mandate to amendments of the Commitments under the Review Clause.</w:t>
      </w:r>
    </w:p>
    <w:p w:rsidR="004B2487" w:rsidRPr="007C7A02" w:rsidRDefault="004B2487" w:rsidP="00027C4A">
      <w:pPr>
        <w:pStyle w:val="Heading3"/>
      </w:pPr>
      <w:r w:rsidRPr="007C7A02">
        <w:t xml:space="preserve">Governing </w:t>
      </w:r>
      <w:r w:rsidR="00CF3659" w:rsidRPr="007C7A02">
        <w:t>l</w:t>
      </w:r>
      <w:r w:rsidRPr="007C7A02">
        <w:t xml:space="preserve">aw and </w:t>
      </w:r>
      <w:r w:rsidR="00CF3659" w:rsidRPr="007C7A02">
        <w:t>d</w:t>
      </w:r>
      <w:r w:rsidRPr="007C7A02">
        <w:t xml:space="preserve">ispute </w:t>
      </w:r>
      <w:r w:rsidR="00CF3659" w:rsidRPr="007C7A02">
        <w:t>r</w:t>
      </w:r>
      <w:r w:rsidRPr="007C7A02">
        <w:t>esolution</w:t>
      </w:r>
    </w:p>
    <w:p w:rsidR="004B2487" w:rsidRPr="007C7A02" w:rsidRDefault="004B2487" w:rsidP="00027C4A">
      <w:pPr>
        <w:pStyle w:val="CHTno1"/>
        <w:rPr>
          <w:spacing w:val="-1"/>
        </w:rPr>
      </w:pPr>
      <w:r w:rsidRPr="007C7A02">
        <w:t>This Mandate shall be governed by, and construed in accordance with, the laws of [</w:t>
      </w:r>
      <w:r w:rsidRPr="007C7A02">
        <w:rPr>
          <w:i/>
        </w:rPr>
        <w:t>Indicate the state by whose laws the Mandate shall be governed</w:t>
      </w:r>
      <w:r w:rsidRPr="007C7A02">
        <w:t>].</w:t>
      </w:r>
    </w:p>
    <w:p w:rsidR="004B2487" w:rsidRPr="007C7A02" w:rsidRDefault="004B2487" w:rsidP="00027C4A">
      <w:pPr>
        <w:pStyle w:val="CHTno1"/>
        <w:rPr>
          <w:spacing w:val="-1"/>
        </w:rPr>
      </w:pPr>
      <w:r w:rsidRPr="007C7A02">
        <w:t xml:space="preserve">In the event that a dispute arises concerning the Mandate Parties’ obligations under </w:t>
      </w:r>
      <w:r w:rsidR="003A6CA5" w:rsidRPr="007C7A02">
        <w:rPr>
          <w:szCs w:val="22"/>
          <w:lang w:eastAsia="en-US"/>
        </w:rPr>
        <w:t>this</w:t>
      </w:r>
      <w:r w:rsidR="003A6CA5" w:rsidRPr="007C7A02">
        <w:t xml:space="preserve"> </w:t>
      </w:r>
      <w:r w:rsidRPr="007C7A02">
        <w:t>Mandate, such dispute shall be submitted to the non-exclusive jurisdiction of the [</w:t>
      </w:r>
      <w:r w:rsidRPr="007C7A02">
        <w:rPr>
          <w:i/>
        </w:rPr>
        <w:t>Indicate the state whose courts shall have jurisdiction for disputes regarding the Mandate</w:t>
      </w:r>
      <w:r w:rsidRPr="007C7A02">
        <w:t>] courts.</w:t>
      </w:r>
      <w:r w:rsidR="007970C4" w:rsidRPr="007C7A02">
        <w:t xml:space="preserve"> </w:t>
      </w:r>
      <w:r w:rsidR="007970C4" w:rsidRPr="007C7A02">
        <w:rPr>
          <w:i/>
        </w:rPr>
        <w:lastRenderedPageBreak/>
        <w:t>[</w:t>
      </w:r>
      <w:r w:rsidR="009C5B51" w:rsidRPr="007C7A02">
        <w:rPr>
          <w:i/>
        </w:rPr>
        <w:t>M</w:t>
      </w:r>
      <w:r w:rsidR="00DB05A7" w:rsidRPr="007C7A02">
        <w:rPr>
          <w:i/>
        </w:rPr>
        <w:t xml:space="preserve">andate Parties </w:t>
      </w:r>
      <w:r w:rsidR="009C5B51" w:rsidRPr="007C7A02">
        <w:rPr>
          <w:i/>
        </w:rPr>
        <w:t xml:space="preserve">may agree instead to resolve such issues via </w:t>
      </w:r>
      <w:r w:rsidR="007970C4" w:rsidRPr="007C7A02">
        <w:rPr>
          <w:i/>
        </w:rPr>
        <w:t>arbitration</w:t>
      </w:r>
      <w:r w:rsidR="009C5B51" w:rsidRPr="007C7A02">
        <w:rPr>
          <w:i/>
        </w:rPr>
        <w:t xml:space="preserve">. Details on such alternative dispute resolution mechanism are to be provided in this paragraph </w:t>
      </w:r>
      <w:r w:rsidR="00235B43" w:rsidRPr="007C7A02">
        <w:rPr>
          <w:i/>
        </w:rPr>
        <w:t>40</w:t>
      </w:r>
      <w:r w:rsidR="007970C4" w:rsidRPr="007C7A02">
        <w:rPr>
          <w:i/>
        </w:rPr>
        <w:t>]</w:t>
      </w:r>
      <w:r w:rsidR="00B84734" w:rsidRPr="007C7A02">
        <w:rPr>
          <w:i/>
        </w:rPr>
        <w:t xml:space="preserve"> </w:t>
      </w:r>
    </w:p>
    <w:p w:rsidR="004B2487" w:rsidRPr="007C7A02" w:rsidRDefault="004B2487" w:rsidP="00027C4A">
      <w:pPr>
        <w:pStyle w:val="Heading3"/>
      </w:pPr>
      <w:r w:rsidRPr="007C7A02">
        <w:t>Severability</w:t>
      </w:r>
    </w:p>
    <w:p w:rsidR="004B2487" w:rsidRPr="007C7A02" w:rsidRDefault="004B2487" w:rsidP="00027C4A">
      <w:pPr>
        <w:pStyle w:val="CHTno1"/>
      </w:pPr>
      <w:r w:rsidRPr="007C7A02">
        <w:t>[</w:t>
      </w:r>
      <w:r w:rsidRPr="00027C4A">
        <w:rPr>
          <w:i/>
        </w:rPr>
        <w:t>It is up to the Mandate Parties to agree on a suitable provision on severability, taking</w:t>
      </w:r>
      <w:r w:rsidRPr="00027C4A">
        <w:rPr>
          <w:i/>
          <w:iCs/>
          <w:szCs w:val="22"/>
          <w:lang w:eastAsia="en-US"/>
        </w:rPr>
        <w:br/>
      </w:r>
      <w:r w:rsidRPr="00027C4A">
        <w:rPr>
          <w:i/>
        </w:rPr>
        <w:t>into account the rules under the governing law</w:t>
      </w:r>
      <w:r w:rsidR="00027C4A">
        <w:t>.</w:t>
      </w:r>
      <w:r w:rsidRPr="007C7A02">
        <w:t>]</w:t>
      </w:r>
    </w:p>
    <w:p w:rsidR="004B2487" w:rsidRPr="007C7A02" w:rsidRDefault="004B2487" w:rsidP="00027C4A">
      <w:pPr>
        <w:pStyle w:val="Heading3"/>
      </w:pPr>
      <w:r w:rsidRPr="007C7A02">
        <w:t>Notices</w:t>
      </w:r>
    </w:p>
    <w:p w:rsidR="004B2487" w:rsidRPr="007C7A02" w:rsidRDefault="004B2487" w:rsidP="00027C4A">
      <w:pPr>
        <w:pStyle w:val="CHTno1"/>
      </w:pPr>
      <w:r w:rsidRPr="007C7A02">
        <w:t>All notices sent under this Mandate shall be made in writing and be deemed to have been</w:t>
      </w:r>
      <w:r w:rsidR="00E43EEB" w:rsidRPr="007C7A02">
        <w:t xml:space="preserve"> </w:t>
      </w:r>
      <w:r w:rsidRPr="007C7A02">
        <w:rPr>
          <w:spacing w:val="-1"/>
        </w:rPr>
        <w:t xml:space="preserve">duly given if served by personal delivery upon the party for whom it is intended or the </w:t>
      </w:r>
      <w:r w:rsidRPr="007C7A02">
        <w:t>Commission or delivered by registered or certified mail</w:t>
      </w:r>
      <w:r w:rsidR="00CF1C2A" w:rsidRPr="007C7A02">
        <w:rPr>
          <w:szCs w:val="22"/>
          <w:lang w:eastAsia="en-US"/>
        </w:rPr>
        <w:t>, with request of</w:t>
      </w:r>
      <w:r w:rsidR="00CF1C2A" w:rsidRPr="007C7A02">
        <w:t xml:space="preserve"> </w:t>
      </w:r>
      <w:r w:rsidRPr="007C7A02">
        <w:t>return receipt, or if sent by fax, upon receipt of oral confirmation that such transmission has been received, to the person at the address set forth below :</w:t>
      </w:r>
    </w:p>
    <w:p w:rsidR="004B2487" w:rsidRPr="007C7A02" w:rsidRDefault="004B2487" w:rsidP="002C450D">
      <w:pPr>
        <w:shd w:val="clear" w:color="auto" w:fill="FFFFFF"/>
        <w:spacing w:before="14" w:line="418" w:lineRule="exact"/>
        <w:ind w:left="427"/>
      </w:pPr>
      <w:r w:rsidRPr="007C7A02">
        <w:rPr>
          <w:color w:val="000000"/>
          <w:sz w:val="22"/>
        </w:rPr>
        <w:t>If to [</w:t>
      </w:r>
      <w:r w:rsidRPr="007C7A02">
        <w:rPr>
          <w:i/>
          <w:color w:val="000000"/>
          <w:sz w:val="22"/>
        </w:rPr>
        <w:t>X</w:t>
      </w:r>
      <w:r w:rsidRPr="007C7A02">
        <w:rPr>
          <w:color w:val="000000"/>
          <w:sz w:val="22"/>
        </w:rPr>
        <w:t>], addressed as follows:</w:t>
      </w:r>
    </w:p>
    <w:p w:rsidR="004B2487" w:rsidRPr="007C7A02" w:rsidRDefault="004B2487">
      <w:pPr>
        <w:shd w:val="clear" w:color="auto" w:fill="FFFFFF"/>
        <w:spacing w:line="418" w:lineRule="exact"/>
        <w:ind w:left="427"/>
      </w:pPr>
      <w:r w:rsidRPr="007C7A02">
        <w:rPr>
          <w:color w:val="000000"/>
          <w:sz w:val="22"/>
          <w:szCs w:val="22"/>
          <w:lang w:eastAsia="en-US"/>
        </w:rPr>
        <w:t>[·]</w:t>
      </w:r>
    </w:p>
    <w:p w:rsidR="004B2487" w:rsidRPr="007C7A02" w:rsidRDefault="004B2487" w:rsidP="002C450D">
      <w:pPr>
        <w:shd w:val="clear" w:color="auto" w:fill="FFFFFF"/>
        <w:spacing w:line="418" w:lineRule="exact"/>
        <w:ind w:left="427"/>
      </w:pPr>
      <w:r w:rsidRPr="007C7A02">
        <w:rPr>
          <w:color w:val="000000"/>
          <w:sz w:val="22"/>
        </w:rPr>
        <w:t>If to the Trustee, addressed as follows:</w:t>
      </w:r>
    </w:p>
    <w:p w:rsidR="004B2487" w:rsidRPr="007C7A02" w:rsidRDefault="004B2487">
      <w:pPr>
        <w:shd w:val="clear" w:color="auto" w:fill="FFFFFF"/>
        <w:spacing w:line="418" w:lineRule="exact"/>
        <w:ind w:left="427"/>
      </w:pPr>
      <w:r w:rsidRPr="007C7A02">
        <w:rPr>
          <w:color w:val="000000"/>
          <w:sz w:val="22"/>
          <w:szCs w:val="22"/>
          <w:lang w:eastAsia="en-US"/>
        </w:rPr>
        <w:t>[·]</w:t>
      </w:r>
    </w:p>
    <w:p w:rsidR="004B2487" w:rsidRPr="007C7A02" w:rsidRDefault="004B2487" w:rsidP="002C450D">
      <w:pPr>
        <w:shd w:val="clear" w:color="auto" w:fill="FFFFFF"/>
        <w:spacing w:line="418" w:lineRule="exact"/>
        <w:ind w:left="427"/>
      </w:pPr>
      <w:r w:rsidRPr="007C7A02">
        <w:rPr>
          <w:color w:val="000000"/>
          <w:sz w:val="22"/>
        </w:rPr>
        <w:t>If to the Commission, addressed as follows:</w:t>
      </w:r>
    </w:p>
    <w:p w:rsidR="00CC0139" w:rsidRPr="007C7A02" w:rsidRDefault="004B2487" w:rsidP="002C450D">
      <w:pPr>
        <w:shd w:val="clear" w:color="auto" w:fill="FFFFFF"/>
        <w:spacing w:before="96" w:line="300" w:lineRule="exact"/>
        <w:ind w:left="425" w:right="3130"/>
        <w:rPr>
          <w:color w:val="000000"/>
          <w:sz w:val="22"/>
        </w:rPr>
      </w:pPr>
      <w:r w:rsidRPr="007C7A02">
        <w:rPr>
          <w:color w:val="000000"/>
          <w:sz w:val="22"/>
        </w:rPr>
        <w:t>To the attention of the Director</w:t>
      </w:r>
      <w:r w:rsidRPr="007C7A02">
        <w:rPr>
          <w:color w:val="000000"/>
          <w:sz w:val="22"/>
          <w:szCs w:val="22"/>
          <w:lang w:eastAsia="en-US"/>
        </w:rPr>
        <w:t xml:space="preserve"> </w:t>
      </w:r>
    </w:p>
    <w:p w:rsidR="00CC0139" w:rsidRPr="007C7A02" w:rsidRDefault="004B2487" w:rsidP="002C450D">
      <w:pPr>
        <w:shd w:val="clear" w:color="auto" w:fill="FFFFFF"/>
        <w:tabs>
          <w:tab w:val="left" w:pos="6379"/>
        </w:tabs>
        <w:spacing w:line="300" w:lineRule="exact"/>
        <w:ind w:left="425" w:right="1571"/>
        <w:rPr>
          <w:color w:val="000000"/>
          <w:sz w:val="22"/>
        </w:rPr>
      </w:pPr>
      <w:r w:rsidRPr="007C7A02">
        <w:rPr>
          <w:color w:val="000000"/>
          <w:sz w:val="22"/>
        </w:rPr>
        <w:t xml:space="preserve">Directorate </w:t>
      </w:r>
      <w:r w:rsidR="00CC0139" w:rsidRPr="007C7A02">
        <w:rPr>
          <w:color w:val="000000"/>
          <w:sz w:val="22"/>
          <w:szCs w:val="22"/>
          <w:lang w:eastAsia="en-US"/>
        </w:rPr>
        <w:t>[</w:t>
      </w:r>
      <w:r w:rsidR="007970C4" w:rsidRPr="007C7A02">
        <w:rPr>
          <w:i/>
          <w:iCs/>
          <w:color w:val="000000"/>
          <w:sz w:val="22"/>
          <w:szCs w:val="22"/>
          <w:lang w:eastAsia="en-US"/>
        </w:rPr>
        <w:t>I</w:t>
      </w:r>
      <w:r w:rsidR="00CC0139" w:rsidRPr="007C7A02">
        <w:rPr>
          <w:i/>
          <w:iCs/>
          <w:color w:val="000000"/>
          <w:sz w:val="22"/>
          <w:szCs w:val="22"/>
          <w:lang w:eastAsia="en-US"/>
        </w:rPr>
        <w:t>ndicate directorate name in charge of the case</w:t>
      </w:r>
      <w:r w:rsidR="00CC0139" w:rsidRPr="007C7A02">
        <w:rPr>
          <w:color w:val="000000"/>
          <w:sz w:val="22"/>
          <w:szCs w:val="22"/>
          <w:lang w:eastAsia="en-US"/>
        </w:rPr>
        <w:t>]</w:t>
      </w:r>
      <w:r w:rsidRPr="007C7A02">
        <w:rPr>
          <w:color w:val="000000"/>
          <w:sz w:val="22"/>
          <w:szCs w:val="22"/>
          <w:lang w:eastAsia="en-US"/>
        </w:rPr>
        <w:t xml:space="preserve"> </w:t>
      </w:r>
    </w:p>
    <w:p w:rsidR="00CC0139" w:rsidRPr="007C7A02" w:rsidRDefault="004B2487" w:rsidP="002C450D">
      <w:pPr>
        <w:shd w:val="clear" w:color="auto" w:fill="FFFFFF"/>
        <w:spacing w:line="298" w:lineRule="exact"/>
        <w:ind w:left="425" w:right="4990"/>
        <w:rPr>
          <w:color w:val="000000"/>
          <w:sz w:val="22"/>
        </w:rPr>
      </w:pPr>
      <w:r w:rsidRPr="007C7A02">
        <w:rPr>
          <w:color w:val="000000"/>
          <w:sz w:val="22"/>
        </w:rPr>
        <w:t>European Commission</w:t>
      </w:r>
      <w:r w:rsidRPr="007C7A02">
        <w:rPr>
          <w:color w:val="000000"/>
          <w:sz w:val="22"/>
          <w:szCs w:val="22"/>
          <w:lang w:eastAsia="en-US"/>
        </w:rPr>
        <w:t xml:space="preserve"> </w:t>
      </w:r>
    </w:p>
    <w:p w:rsidR="00CF1C2A" w:rsidRPr="007C7A02" w:rsidRDefault="004B2487" w:rsidP="002C450D">
      <w:pPr>
        <w:shd w:val="clear" w:color="auto" w:fill="FFFFFF"/>
        <w:spacing w:line="298" w:lineRule="exact"/>
        <w:ind w:left="425" w:right="4990"/>
        <w:rPr>
          <w:color w:val="000000"/>
          <w:sz w:val="22"/>
        </w:rPr>
      </w:pPr>
      <w:r w:rsidRPr="007C7A02">
        <w:rPr>
          <w:color w:val="000000"/>
          <w:spacing w:val="-1"/>
          <w:sz w:val="22"/>
        </w:rPr>
        <w:t>Directorate General for Competition</w:t>
      </w:r>
      <w:r w:rsidRPr="007C7A02">
        <w:rPr>
          <w:color w:val="000000"/>
          <w:spacing w:val="-1"/>
          <w:sz w:val="22"/>
          <w:szCs w:val="22"/>
          <w:lang w:eastAsia="en-US"/>
        </w:rPr>
        <w:t xml:space="preserve"> </w:t>
      </w:r>
    </w:p>
    <w:p w:rsidR="00CC0139" w:rsidRPr="007C7A02" w:rsidRDefault="00CF1C2A" w:rsidP="00CC0139">
      <w:pPr>
        <w:shd w:val="clear" w:color="auto" w:fill="FFFFFF"/>
        <w:spacing w:line="298" w:lineRule="exact"/>
        <w:ind w:left="425" w:right="4990"/>
        <w:rPr>
          <w:color w:val="000000"/>
          <w:sz w:val="22"/>
          <w:szCs w:val="22"/>
          <w:lang w:eastAsia="en-US"/>
        </w:rPr>
      </w:pPr>
      <w:r w:rsidRPr="007C7A02">
        <w:rPr>
          <w:color w:val="000000"/>
          <w:sz w:val="22"/>
          <w:szCs w:val="22"/>
          <w:lang w:eastAsia="en-US"/>
        </w:rPr>
        <w:t>Place Madou / Madouplein 1</w:t>
      </w:r>
      <w:r w:rsidRPr="007C7A02">
        <w:rPr>
          <w:color w:val="000000"/>
          <w:sz w:val="22"/>
          <w:szCs w:val="22"/>
          <w:lang w:eastAsia="en-US"/>
        </w:rPr>
        <w:br/>
        <w:t>1210 Saint-Josse-ten-Noode /</w:t>
      </w:r>
      <w:r w:rsidRPr="007C7A02">
        <w:rPr>
          <w:color w:val="000000"/>
          <w:sz w:val="22"/>
          <w:szCs w:val="22"/>
          <w:lang w:eastAsia="en-US"/>
        </w:rPr>
        <w:br/>
        <w:t>Sint-Joost-ten-Node</w:t>
      </w:r>
    </w:p>
    <w:p w:rsidR="00CF1C2A" w:rsidRPr="007C7A02" w:rsidRDefault="00CF1C2A" w:rsidP="00CC0139">
      <w:pPr>
        <w:shd w:val="clear" w:color="auto" w:fill="FFFFFF"/>
        <w:spacing w:line="298" w:lineRule="exact"/>
        <w:ind w:left="425" w:right="4990"/>
        <w:rPr>
          <w:color w:val="000000"/>
          <w:sz w:val="22"/>
          <w:szCs w:val="22"/>
          <w:lang w:eastAsia="en-US"/>
        </w:rPr>
      </w:pPr>
      <w:r w:rsidRPr="007C7A02">
        <w:rPr>
          <w:color w:val="000000"/>
          <w:sz w:val="22"/>
          <w:szCs w:val="22"/>
          <w:lang w:eastAsia="en-US"/>
        </w:rPr>
        <w:t>Belgium</w:t>
      </w:r>
    </w:p>
    <w:p w:rsidR="00CC0139" w:rsidRPr="007C7A02" w:rsidRDefault="004B2487" w:rsidP="002C450D">
      <w:pPr>
        <w:shd w:val="clear" w:color="auto" w:fill="FFFFFF"/>
        <w:spacing w:line="298" w:lineRule="exact"/>
        <w:ind w:left="425" w:right="4990"/>
        <w:rPr>
          <w:color w:val="000000"/>
          <w:sz w:val="22"/>
        </w:rPr>
      </w:pPr>
      <w:r w:rsidRPr="007C7A02">
        <w:rPr>
          <w:color w:val="000000"/>
          <w:sz w:val="22"/>
        </w:rPr>
        <w:t>Ref: Case No COMP/M</w:t>
      </w:r>
      <w:r w:rsidR="00C057A3" w:rsidRPr="007C7A02">
        <w:rPr>
          <w:color w:val="000000"/>
          <w:sz w:val="22"/>
        </w:rPr>
        <w:t>[•]</w:t>
      </w:r>
      <w:r w:rsidR="00AB0634" w:rsidRPr="007C7A02">
        <w:rPr>
          <w:color w:val="000000"/>
          <w:sz w:val="22"/>
          <w:szCs w:val="22"/>
          <w:lang w:eastAsia="en-US"/>
        </w:rPr>
        <w:t xml:space="preserve"> </w:t>
      </w:r>
    </w:p>
    <w:p w:rsidR="004B2487" w:rsidRPr="007C7A02" w:rsidRDefault="004B2487" w:rsidP="002C450D">
      <w:pPr>
        <w:shd w:val="clear" w:color="auto" w:fill="FFFFFF"/>
        <w:spacing w:line="298" w:lineRule="exact"/>
        <w:ind w:left="425" w:right="4990"/>
      </w:pPr>
      <w:r w:rsidRPr="007C7A02">
        <w:rPr>
          <w:color w:val="000000"/>
          <w:sz w:val="22"/>
        </w:rPr>
        <w:t>Fax : + 32 2 296 43 01</w:t>
      </w:r>
    </w:p>
    <w:p w:rsidR="004B2487" w:rsidRPr="007C7A02" w:rsidRDefault="004B2487">
      <w:pPr>
        <w:shd w:val="clear" w:color="auto" w:fill="FFFFFF"/>
        <w:spacing w:before="826"/>
        <w:ind w:left="4080"/>
        <w:sectPr w:rsidR="004B2487" w:rsidRPr="007C7A02" w:rsidSect="000A007F">
          <w:headerReference w:type="even" r:id="rId8"/>
          <w:headerReference w:type="default" r:id="rId9"/>
          <w:footerReference w:type="even" r:id="rId10"/>
          <w:footerReference w:type="default" r:id="rId11"/>
          <w:headerReference w:type="first" r:id="rId12"/>
          <w:footerReference w:type="first" r:id="rId13"/>
          <w:pgSz w:w="11909" w:h="16834"/>
          <w:pgMar w:top="1021" w:right="1418" w:bottom="1021" w:left="1418" w:header="720" w:footer="720" w:gutter="0"/>
          <w:cols w:space="60"/>
          <w:noEndnote/>
          <w:titlePg/>
          <w:docGrid w:linePitch="272"/>
        </w:sectPr>
      </w:pPr>
    </w:p>
    <w:p w:rsidR="004B2487" w:rsidRPr="007C7A02" w:rsidRDefault="004B2487" w:rsidP="00533669">
      <w:pPr>
        <w:shd w:val="clear" w:color="auto" w:fill="FFFFFF"/>
        <w:spacing w:before="1186" w:line="298" w:lineRule="exact"/>
        <w:ind w:left="426" w:right="331"/>
        <w:jc w:val="both"/>
      </w:pPr>
      <w:r w:rsidRPr="007C7A02">
        <w:rPr>
          <w:color w:val="000000"/>
          <w:spacing w:val="-1"/>
          <w:sz w:val="22"/>
        </w:rPr>
        <w:lastRenderedPageBreak/>
        <w:t xml:space="preserve">Or to any such other address or person as the relevant party may from time to time advise by notice in writing given pursuant to this section. The date of receipt of any such notice, </w:t>
      </w:r>
      <w:r w:rsidRPr="007C7A02">
        <w:rPr>
          <w:color w:val="000000"/>
          <w:sz w:val="22"/>
        </w:rPr>
        <w:t>request, consent, agreement or approval shall be deemed to be the date of delivery thereof.</w:t>
      </w:r>
    </w:p>
    <w:p w:rsidR="004B2487" w:rsidRPr="007C7A02" w:rsidRDefault="004B2487" w:rsidP="002C450D">
      <w:pPr>
        <w:shd w:val="clear" w:color="auto" w:fill="FFFFFF"/>
        <w:spacing w:before="965"/>
        <w:ind w:left="77"/>
      </w:pPr>
      <w:r w:rsidRPr="007C7A02">
        <w:rPr>
          <w:color w:val="000000"/>
          <w:spacing w:val="-1"/>
          <w:sz w:val="22"/>
        </w:rPr>
        <w:t>[</w:t>
      </w:r>
      <w:r w:rsidRPr="007C7A02">
        <w:rPr>
          <w:i/>
          <w:color w:val="000000"/>
          <w:spacing w:val="-1"/>
          <w:sz w:val="22"/>
        </w:rPr>
        <w:t>Indicate place and date</w:t>
      </w:r>
      <w:r w:rsidRPr="007C7A02">
        <w:rPr>
          <w:color w:val="000000"/>
          <w:spacing w:val="-1"/>
          <w:sz w:val="22"/>
        </w:rPr>
        <w:t>]</w:t>
      </w:r>
    </w:p>
    <w:p w:rsidR="004B2487" w:rsidRPr="007C7A02" w:rsidRDefault="004B2487" w:rsidP="002C450D">
      <w:pPr>
        <w:shd w:val="clear" w:color="auto" w:fill="FFFFFF"/>
      </w:pPr>
    </w:p>
    <w:p w:rsidR="00122ABD" w:rsidRPr="007C7A02" w:rsidRDefault="00122ABD" w:rsidP="002C450D">
      <w:pPr>
        <w:shd w:val="clear" w:color="auto" w:fill="FFFFFF"/>
        <w:spacing w:line="298" w:lineRule="exact"/>
        <w:ind w:left="77" w:right="7987"/>
        <w:rPr>
          <w:color w:val="000000"/>
          <w:spacing w:val="-4"/>
          <w:sz w:val="22"/>
        </w:rPr>
      </w:pPr>
      <w:r w:rsidRPr="007C7A02">
        <w:rPr>
          <w:color w:val="000000"/>
          <w:spacing w:val="-4"/>
          <w:sz w:val="22"/>
        </w:rPr>
        <w:t>By:</w:t>
      </w:r>
    </w:p>
    <w:p w:rsidR="004B2487" w:rsidRPr="007C7A02" w:rsidRDefault="004B2487" w:rsidP="002C450D">
      <w:pPr>
        <w:shd w:val="clear" w:color="auto" w:fill="FFFFFF"/>
        <w:spacing w:line="298" w:lineRule="exact"/>
        <w:ind w:left="77" w:right="7987"/>
      </w:pPr>
      <w:r w:rsidRPr="007C7A02">
        <w:rPr>
          <w:color w:val="000000"/>
          <w:spacing w:val="-2"/>
          <w:sz w:val="22"/>
        </w:rPr>
        <w:t>Title:</w:t>
      </w:r>
    </w:p>
    <w:p w:rsidR="004B2487" w:rsidRPr="007C7A02" w:rsidRDefault="004B2487" w:rsidP="002C450D">
      <w:pPr>
        <w:shd w:val="clear" w:color="auto" w:fill="FFFFFF"/>
      </w:pPr>
    </w:p>
    <w:p w:rsidR="00122ABD" w:rsidRPr="007C7A02" w:rsidRDefault="004B2487" w:rsidP="002C450D">
      <w:pPr>
        <w:shd w:val="clear" w:color="auto" w:fill="FFFFFF"/>
        <w:spacing w:line="298" w:lineRule="exact"/>
        <w:ind w:left="77" w:right="7987"/>
        <w:rPr>
          <w:color w:val="000000"/>
          <w:spacing w:val="-4"/>
          <w:sz w:val="22"/>
        </w:rPr>
      </w:pPr>
      <w:r w:rsidRPr="007C7A02">
        <w:rPr>
          <w:color w:val="000000"/>
          <w:spacing w:val="-4"/>
          <w:sz w:val="22"/>
        </w:rPr>
        <w:t>By:</w:t>
      </w:r>
    </w:p>
    <w:p w:rsidR="004B2487" w:rsidRPr="007C7A02" w:rsidRDefault="004B2487" w:rsidP="002C450D">
      <w:pPr>
        <w:shd w:val="clear" w:color="auto" w:fill="FFFFFF"/>
        <w:spacing w:line="298" w:lineRule="exact"/>
        <w:ind w:left="77" w:right="7987"/>
      </w:pPr>
      <w:r w:rsidRPr="007C7A02">
        <w:rPr>
          <w:color w:val="000000"/>
          <w:spacing w:val="-2"/>
          <w:sz w:val="22"/>
        </w:rPr>
        <w:t>Title:</w:t>
      </w:r>
    </w:p>
    <w:p w:rsidR="004B2487" w:rsidRPr="007C7A02" w:rsidRDefault="004B2487">
      <w:pPr>
        <w:shd w:val="clear" w:color="auto" w:fill="FFFFFF"/>
        <w:spacing w:before="7426"/>
        <w:ind w:left="4157"/>
        <w:sectPr w:rsidR="004B2487" w:rsidRPr="007C7A02" w:rsidSect="0010660E">
          <w:pgSz w:w="11909" w:h="16834"/>
          <w:pgMar w:top="1021" w:right="1418" w:bottom="1021" w:left="1418" w:header="720" w:footer="720" w:gutter="0"/>
          <w:cols w:space="60"/>
          <w:noEndnote/>
        </w:sectPr>
      </w:pPr>
    </w:p>
    <w:p w:rsidR="004B2487" w:rsidRPr="007C7A02" w:rsidRDefault="004B2487" w:rsidP="002C450D">
      <w:pPr>
        <w:shd w:val="clear" w:color="auto" w:fill="FFFFFF"/>
        <w:spacing w:before="782"/>
        <w:outlineLvl w:val="0"/>
      </w:pPr>
      <w:r w:rsidRPr="007C7A02">
        <w:rPr>
          <w:b/>
          <w:color w:val="000000"/>
          <w:sz w:val="22"/>
        </w:rPr>
        <w:lastRenderedPageBreak/>
        <w:t xml:space="preserve">Annex </w:t>
      </w:r>
      <w:r w:rsidRPr="007C7A02">
        <w:rPr>
          <w:b/>
          <w:bCs/>
          <w:color w:val="000000"/>
          <w:sz w:val="22"/>
          <w:szCs w:val="22"/>
          <w:lang w:eastAsia="en-US"/>
        </w:rPr>
        <w:t>[</w:t>
      </w:r>
      <w:r w:rsidRPr="007C7A02">
        <w:rPr>
          <w:color w:val="000000"/>
          <w:sz w:val="22"/>
          <w:szCs w:val="22"/>
          <w:lang w:eastAsia="en-US"/>
        </w:rPr>
        <w:t>·</w:t>
      </w:r>
      <w:r w:rsidRPr="007C7A02">
        <w:rPr>
          <w:b/>
          <w:bCs/>
          <w:color w:val="000000"/>
          <w:sz w:val="22"/>
          <w:szCs w:val="22"/>
          <w:lang w:eastAsia="en-US"/>
        </w:rPr>
        <w:t>]</w:t>
      </w:r>
    </w:p>
    <w:p w:rsidR="004B2487" w:rsidRPr="007C7A02" w:rsidRDefault="004B2487" w:rsidP="002C450D">
      <w:pPr>
        <w:shd w:val="clear" w:color="auto" w:fill="FFFFFF"/>
        <w:spacing w:before="293" w:line="298" w:lineRule="exact"/>
      </w:pPr>
      <w:r w:rsidRPr="007C7A02">
        <w:rPr>
          <w:color w:val="000000"/>
          <w:sz w:val="22"/>
        </w:rPr>
        <w:t>Power of Attorney, duly executed, for the exercise of [</w:t>
      </w:r>
      <w:r w:rsidRPr="007C7A02">
        <w:rPr>
          <w:i/>
          <w:color w:val="000000"/>
          <w:sz w:val="22"/>
        </w:rPr>
        <w:t>X’s</w:t>
      </w:r>
      <w:r w:rsidRPr="007C7A02">
        <w:rPr>
          <w:color w:val="000000"/>
          <w:sz w:val="22"/>
        </w:rPr>
        <w:t>] rights as shareholder (pursuant to paragr</w:t>
      </w:r>
      <w:r w:rsidR="00122ABD" w:rsidRPr="007C7A02">
        <w:rPr>
          <w:color w:val="000000"/>
          <w:sz w:val="22"/>
        </w:rPr>
        <w:t>aph 7</w:t>
      </w:r>
      <w:r w:rsidRPr="007C7A02">
        <w:rPr>
          <w:color w:val="000000"/>
          <w:sz w:val="22"/>
        </w:rPr>
        <w:t xml:space="preserve"> (d) of the Mandate)</w:t>
      </w:r>
    </w:p>
    <w:p w:rsidR="004B2487" w:rsidRPr="007C7A02" w:rsidRDefault="004B2487" w:rsidP="002C450D">
      <w:pPr>
        <w:shd w:val="clear" w:color="auto" w:fill="FFFFFF"/>
        <w:spacing w:before="307"/>
        <w:outlineLvl w:val="0"/>
      </w:pPr>
      <w:r w:rsidRPr="007C7A02">
        <w:rPr>
          <w:b/>
          <w:color w:val="000000"/>
          <w:sz w:val="22"/>
        </w:rPr>
        <w:t xml:space="preserve">Annex </w:t>
      </w:r>
      <w:r w:rsidRPr="007C7A02">
        <w:rPr>
          <w:b/>
          <w:bCs/>
          <w:color w:val="000000"/>
          <w:sz w:val="22"/>
          <w:szCs w:val="22"/>
          <w:lang w:eastAsia="en-US"/>
        </w:rPr>
        <w:t>[</w:t>
      </w:r>
      <w:r w:rsidRPr="007C7A02">
        <w:rPr>
          <w:color w:val="000000"/>
          <w:sz w:val="22"/>
          <w:szCs w:val="22"/>
          <w:lang w:eastAsia="en-US"/>
        </w:rPr>
        <w:t>·</w:t>
      </w:r>
      <w:r w:rsidRPr="007C7A02">
        <w:rPr>
          <w:b/>
          <w:bCs/>
          <w:color w:val="000000"/>
          <w:sz w:val="22"/>
          <w:szCs w:val="22"/>
          <w:lang w:eastAsia="en-US"/>
        </w:rPr>
        <w:t>]</w:t>
      </w:r>
    </w:p>
    <w:p w:rsidR="004B2487" w:rsidRPr="007C7A02" w:rsidRDefault="004B2487" w:rsidP="002C450D">
      <w:pPr>
        <w:shd w:val="clear" w:color="auto" w:fill="FFFFFF"/>
        <w:spacing w:before="288" w:line="302" w:lineRule="exact"/>
      </w:pPr>
      <w:r w:rsidRPr="007C7A02">
        <w:rPr>
          <w:color w:val="000000"/>
          <w:spacing w:val="-1"/>
          <w:sz w:val="22"/>
        </w:rPr>
        <w:t>Power of Attorney, duly executed, for the Divestiture T</w:t>
      </w:r>
      <w:r w:rsidR="00122ABD" w:rsidRPr="007C7A02">
        <w:rPr>
          <w:color w:val="000000"/>
          <w:spacing w:val="-1"/>
          <w:sz w:val="22"/>
        </w:rPr>
        <w:t>rustee (pursuant to paragraph 14</w:t>
      </w:r>
      <w:r w:rsidRPr="007C7A02">
        <w:rPr>
          <w:color w:val="000000"/>
          <w:spacing w:val="-1"/>
          <w:sz w:val="22"/>
        </w:rPr>
        <w:t xml:space="preserve"> of the </w:t>
      </w:r>
      <w:r w:rsidRPr="007C7A02">
        <w:rPr>
          <w:color w:val="000000"/>
          <w:sz w:val="22"/>
        </w:rPr>
        <w:t>Mandate)</w:t>
      </w:r>
    </w:p>
    <w:p w:rsidR="004B2487" w:rsidRPr="007C7A02" w:rsidRDefault="004B2487" w:rsidP="002C450D">
      <w:pPr>
        <w:shd w:val="clear" w:color="auto" w:fill="FFFFFF"/>
        <w:spacing w:before="307"/>
        <w:outlineLvl w:val="0"/>
      </w:pPr>
      <w:r w:rsidRPr="007C7A02">
        <w:rPr>
          <w:b/>
          <w:color w:val="000000"/>
          <w:sz w:val="22"/>
        </w:rPr>
        <w:t xml:space="preserve">Annex </w:t>
      </w:r>
      <w:r w:rsidRPr="007C7A02">
        <w:rPr>
          <w:b/>
          <w:bCs/>
          <w:color w:val="000000"/>
          <w:sz w:val="22"/>
          <w:szCs w:val="22"/>
          <w:lang w:eastAsia="en-US"/>
        </w:rPr>
        <w:t>[</w:t>
      </w:r>
      <w:r w:rsidRPr="007C7A02">
        <w:rPr>
          <w:color w:val="000000"/>
          <w:sz w:val="22"/>
          <w:szCs w:val="22"/>
          <w:lang w:eastAsia="en-US"/>
        </w:rPr>
        <w:t>·</w:t>
      </w:r>
      <w:r w:rsidRPr="007C7A02">
        <w:rPr>
          <w:b/>
          <w:bCs/>
          <w:color w:val="000000"/>
          <w:sz w:val="22"/>
          <w:szCs w:val="22"/>
          <w:lang w:eastAsia="en-US"/>
        </w:rPr>
        <w:t>]</w:t>
      </w:r>
    </w:p>
    <w:p w:rsidR="004B2487" w:rsidRPr="007C7A02" w:rsidRDefault="004B2487" w:rsidP="002C450D">
      <w:pPr>
        <w:shd w:val="clear" w:color="auto" w:fill="FFFFFF"/>
        <w:spacing w:before="293" w:line="298" w:lineRule="exact"/>
      </w:pPr>
      <w:r w:rsidRPr="007C7A02">
        <w:rPr>
          <w:color w:val="000000"/>
          <w:sz w:val="22"/>
        </w:rPr>
        <w:t xml:space="preserve">Disclosure of current relationships between the Trustee, the Trustee Team and the Trustees Partner Firm and </w:t>
      </w:r>
      <w:r w:rsidRPr="007C7A02">
        <w:rPr>
          <w:i/>
          <w:color w:val="000000"/>
          <w:sz w:val="22"/>
        </w:rPr>
        <w:t xml:space="preserve">[X] </w:t>
      </w:r>
      <w:r w:rsidRPr="007C7A02">
        <w:rPr>
          <w:color w:val="000000"/>
          <w:sz w:val="22"/>
        </w:rPr>
        <w:t>and Affiliated Undertakings.</w:t>
      </w:r>
    </w:p>
    <w:sectPr w:rsidR="004B2487" w:rsidRPr="007C7A02" w:rsidSect="002C450D">
      <w:footerReference w:type="even" r:id="rId14"/>
      <w:pgSz w:w="11909" w:h="16834"/>
      <w:pgMar w:top="1021" w:right="1418" w:bottom="102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90" w:rsidRDefault="00391990">
      <w:r>
        <w:separator/>
      </w:r>
    </w:p>
    <w:p w:rsidR="00391990" w:rsidRDefault="00391990"/>
  </w:endnote>
  <w:endnote w:type="continuationSeparator" w:id="0">
    <w:p w:rsidR="00391990" w:rsidRDefault="00391990">
      <w:r>
        <w:continuationSeparator/>
      </w:r>
    </w:p>
    <w:p w:rsidR="00391990" w:rsidRDefault="00391990"/>
  </w:endnote>
  <w:endnote w:type="continuationNotice" w:id="1">
    <w:p w:rsidR="00391990" w:rsidRDefault="00391990"/>
    <w:p w:rsidR="00391990" w:rsidRDefault="0039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A" w:rsidRDefault="0030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F2" w:rsidRDefault="00960EF2" w:rsidP="002C450D">
    <w:pPr>
      <w:pStyle w:val="Footer"/>
      <w:jc w:val="center"/>
    </w:pPr>
    <w:r>
      <w:rPr>
        <w:rStyle w:val="PageNumber"/>
      </w:rPr>
      <w:fldChar w:fldCharType="begin"/>
    </w:r>
    <w:r>
      <w:rPr>
        <w:rStyle w:val="PageNumber"/>
      </w:rPr>
      <w:instrText xml:space="preserve"> PAGE </w:instrText>
    </w:r>
    <w:r>
      <w:rPr>
        <w:rStyle w:val="PageNumber"/>
      </w:rPr>
      <w:fldChar w:fldCharType="separate"/>
    </w:r>
    <w:r w:rsidR="003069F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7F" w:rsidRPr="00533669" w:rsidRDefault="00AD2DC0">
    <w:pPr>
      <w:pStyle w:val="Footer"/>
      <w:rPr>
        <w:color w:val="1F497D"/>
        <w:sz w:val="16"/>
        <w:szCs w:val="16"/>
        <w:lang w:val="fr-BE" w:eastAsia="fr-FR" w:bidi="fr-FR"/>
      </w:rPr>
    </w:pPr>
    <w:r w:rsidRPr="00533669">
      <w:rPr>
        <w:color w:val="1F497D"/>
        <w:sz w:val="16"/>
        <w:szCs w:val="16"/>
        <w:lang w:val="fr-BE" w:eastAsia="fr-FR" w:bidi="fr-FR"/>
      </w:rPr>
      <w:t xml:space="preserve">Standard </w:t>
    </w:r>
    <w:r w:rsidR="000A007F" w:rsidRPr="00533669">
      <w:rPr>
        <w:color w:val="1F497D"/>
        <w:sz w:val="16"/>
        <w:szCs w:val="16"/>
        <w:lang w:val="fr-BE" w:eastAsia="fr-FR" w:bidi="fr-FR"/>
      </w:rPr>
      <w:t xml:space="preserve">Trustee </w:t>
    </w:r>
    <w:r w:rsidRPr="00533669">
      <w:rPr>
        <w:color w:val="1F497D"/>
        <w:sz w:val="16"/>
        <w:szCs w:val="16"/>
        <w:lang w:val="fr-BE" w:eastAsia="fr-FR" w:bidi="fr-FR"/>
      </w:rPr>
      <w:t>M</w:t>
    </w:r>
    <w:r w:rsidR="000A007F" w:rsidRPr="00533669">
      <w:rPr>
        <w:color w:val="1F497D"/>
        <w:sz w:val="16"/>
        <w:szCs w:val="16"/>
        <w:lang w:val="fr-BE" w:eastAsia="fr-FR" w:bidi="fr-FR"/>
      </w:rPr>
      <w:t>andate</w:t>
    </w:r>
    <w:r w:rsidRPr="00533669">
      <w:rPr>
        <w:color w:val="1F497D"/>
        <w:sz w:val="16"/>
        <w:szCs w:val="16"/>
        <w:lang w:val="fr-BE" w:eastAsia="fr-FR" w:bidi="fr-FR"/>
      </w:rPr>
      <w:t>,</w:t>
    </w:r>
    <w:r w:rsidR="000A007F" w:rsidRPr="00533669">
      <w:rPr>
        <w:color w:val="1F497D"/>
        <w:sz w:val="16"/>
        <w:szCs w:val="16"/>
        <w:lang w:val="fr-BE" w:eastAsia="fr-FR" w:bidi="fr-FR"/>
      </w:rPr>
      <w:t xml:space="preserve"> Version 5 December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E" w:rsidRDefault="00047D6E" w:rsidP="002C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90" w:rsidRDefault="00391990">
      <w:r>
        <w:separator/>
      </w:r>
    </w:p>
    <w:p w:rsidR="00391990" w:rsidRDefault="00391990"/>
  </w:footnote>
  <w:footnote w:type="continuationSeparator" w:id="0">
    <w:p w:rsidR="00391990" w:rsidRDefault="00391990">
      <w:r>
        <w:continuationSeparator/>
      </w:r>
    </w:p>
    <w:p w:rsidR="00391990" w:rsidRDefault="00391990"/>
  </w:footnote>
  <w:footnote w:type="continuationNotice" w:id="1">
    <w:p w:rsidR="00391990" w:rsidRDefault="00391990"/>
    <w:p w:rsidR="00391990" w:rsidRDefault="003919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A" w:rsidRDefault="00306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A" w:rsidRDefault="00306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A" w:rsidRDefault="0030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8E23C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709" w:hanging="708"/>
      </w:pPr>
    </w:lvl>
    <w:lvl w:ilvl="3">
      <w:start w:val="1"/>
      <w:numFmt w:val="decimal"/>
      <w:pStyle w:val="Heading4"/>
      <w:lvlText w:val="%1.%2.%3.%4"/>
      <w:legacy w:legacy="1" w:legacySpace="0" w:legacyIndent="708"/>
      <w:lvlJc w:val="left"/>
      <w:pPr>
        <w:ind w:left="709"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0348077E"/>
    <w:multiLevelType w:val="hybridMultilevel"/>
    <w:tmpl w:val="1486B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5C27D5"/>
    <w:multiLevelType w:val="multilevel"/>
    <w:tmpl w:val="3F0E600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B97BBC"/>
    <w:multiLevelType w:val="hybridMultilevel"/>
    <w:tmpl w:val="99A4B0D6"/>
    <w:lvl w:ilvl="0" w:tplc="A6885CE2">
      <w:start w:val="1"/>
      <w:numFmt w:val="lowerLetter"/>
      <w:lvlText w:val="(%1)"/>
      <w:lvlJc w:val="left"/>
      <w:pPr>
        <w:tabs>
          <w:tab w:val="num" w:pos="2458"/>
        </w:tabs>
        <w:ind w:left="2347" w:hanging="340"/>
      </w:pPr>
      <w:rPr>
        <w:rFonts w:cs="Times New Roman" w:hint="default"/>
        <w:b w:val="0"/>
        <w:i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1C2A34C2"/>
    <w:multiLevelType w:val="hybridMultilevel"/>
    <w:tmpl w:val="E4AC4A5E"/>
    <w:lvl w:ilvl="0" w:tplc="8374860A">
      <w:start w:val="5"/>
      <w:numFmt w:val="lowerLetter"/>
      <w:lvlText w:val="(%1)"/>
      <w:lvlJc w:val="left"/>
      <w:pPr>
        <w:ind w:left="720"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B7555"/>
    <w:multiLevelType w:val="hybridMultilevel"/>
    <w:tmpl w:val="6CDA738A"/>
    <w:lvl w:ilvl="0" w:tplc="AF08514E">
      <w:start w:val="1"/>
      <w:numFmt w:val="decimal"/>
      <w:lvlText w:val="%1."/>
      <w:lvlJc w:val="left"/>
      <w:pPr>
        <w:tabs>
          <w:tab w:val="num" w:pos="720"/>
        </w:tabs>
        <w:ind w:left="720" w:hanging="360"/>
      </w:pPr>
      <w:rPr>
        <w:rFonts w:cs="Times New Roman" w:hint="default"/>
        <w:color w:val="00000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027B4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292E0165"/>
    <w:multiLevelType w:val="multilevel"/>
    <w:tmpl w:val="3F0E600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1A1AD9"/>
    <w:multiLevelType w:val="multilevel"/>
    <w:tmpl w:val="63CA9AC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DE60793"/>
    <w:multiLevelType w:val="multilevel"/>
    <w:tmpl w:val="A742FC22"/>
    <w:lvl w:ilvl="0">
      <w:start w:val="1"/>
      <w:numFmt w:val="lowerLetter"/>
      <w:pStyle w:val="Numbering"/>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E732094"/>
    <w:multiLevelType w:val="multilevel"/>
    <w:tmpl w:val="35927346"/>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2407E75"/>
    <w:multiLevelType w:val="multilevel"/>
    <w:tmpl w:val="A4A85370"/>
    <w:lvl w:ilvl="0">
      <w:start w:val="1"/>
      <w:numFmt w:val="lowerLetter"/>
      <w:lvlText w:val="(%1)"/>
      <w:legacy w:legacy="1" w:legacySpace="0" w:legacyIndent="571"/>
      <w:lvlJc w:val="left"/>
      <w:rPr>
        <w:rFonts w:ascii="Times New Roman" w:hAnsi="Times New Roman"/>
        <w:color w:val="000000"/>
        <w:spacing w:val="-5"/>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EF27FF"/>
    <w:multiLevelType w:val="hybridMultilevel"/>
    <w:tmpl w:val="77964BE2"/>
    <w:lvl w:ilvl="0" w:tplc="BAA4BD66">
      <w:start w:val="1"/>
      <w:numFmt w:val="bullet"/>
      <w:lvlText w:val=""/>
      <w:lvlJc w:val="left"/>
      <w:pPr>
        <w:tabs>
          <w:tab w:val="num" w:pos="720"/>
        </w:tabs>
        <w:ind w:left="720" w:hanging="360"/>
      </w:pPr>
      <w:rPr>
        <w:rFonts w:ascii="Symbol" w:hAnsi="Symbol" w:hint="default"/>
        <w:sz w:val="16"/>
      </w:rPr>
    </w:lvl>
    <w:lvl w:ilvl="1" w:tplc="0809000F">
      <w:start w:val="1"/>
      <w:numFmt w:val="decimal"/>
      <w:lvlText w:val="%2."/>
      <w:lvlJc w:val="left"/>
      <w:pPr>
        <w:tabs>
          <w:tab w:val="num" w:pos="1800"/>
        </w:tabs>
        <w:ind w:left="1800" w:hanging="360"/>
      </w:pPr>
      <w:rPr>
        <w:rFonts w:cs="Times New Roman" w:hint="default"/>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5C033C3"/>
    <w:multiLevelType w:val="multilevel"/>
    <w:tmpl w:val="B8B21A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3938647D"/>
    <w:multiLevelType w:val="singleLevel"/>
    <w:tmpl w:val="BB403798"/>
    <w:lvl w:ilvl="0">
      <w:start w:val="33"/>
      <w:numFmt w:val="decimal"/>
      <w:lvlText w:val="%1."/>
      <w:legacy w:legacy="1" w:legacySpace="0" w:legacyIndent="427"/>
      <w:lvlJc w:val="left"/>
      <w:rPr>
        <w:rFonts w:ascii="Times New Roman" w:hAnsi="Times New Roman" w:cs="Times New Roman" w:hint="default"/>
      </w:rPr>
    </w:lvl>
  </w:abstractNum>
  <w:abstractNum w:abstractNumId="15">
    <w:nsid w:val="3EB26716"/>
    <w:multiLevelType w:val="hybridMultilevel"/>
    <w:tmpl w:val="E51E674A"/>
    <w:lvl w:ilvl="0" w:tplc="39ACD2D6">
      <w:start w:val="1"/>
      <w:numFmt w:val="decimal"/>
      <w:lvlText w:val="%1."/>
      <w:lvlJc w:val="left"/>
      <w:pPr>
        <w:tabs>
          <w:tab w:val="num" w:pos="720"/>
        </w:tabs>
        <w:ind w:left="720" w:hanging="360"/>
      </w:pPr>
      <w:rPr>
        <w:rFonts w:cs="Times New Roman"/>
        <w:sz w:val="22"/>
        <w:szCs w:val="22"/>
      </w:rPr>
    </w:lvl>
    <w:lvl w:ilvl="1" w:tplc="8DD0114A">
      <w:start w:val="1"/>
      <w:numFmt w:val="lowerLetter"/>
      <w:lvlText w:val="(%2)"/>
      <w:lvlJc w:val="left"/>
      <w:pPr>
        <w:tabs>
          <w:tab w:val="num" w:pos="1531"/>
        </w:tabs>
        <w:ind w:left="1420" w:hanging="340"/>
      </w:pPr>
      <w:rPr>
        <w:rFonts w:ascii="Times New Roman" w:hAnsi="Times New Roman" w:cs="Times New Roman" w:hint="default"/>
        <w:b w:val="0"/>
        <w:i w:val="0"/>
        <w:sz w:val="22"/>
        <w:szCs w:val="22"/>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0566C5E"/>
    <w:multiLevelType w:val="multilevel"/>
    <w:tmpl w:val="43A44778"/>
    <w:lvl w:ilvl="0">
      <w:start w:val="1"/>
      <w:numFmt w:val="bullet"/>
      <w:pStyle w:val="Bullet"/>
      <w:lvlText w:val="■"/>
      <w:lvlJc w:val="left"/>
      <w:pPr>
        <w:tabs>
          <w:tab w:val="num" w:pos="360"/>
        </w:tabs>
        <w:ind w:left="0" w:firstLine="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61853E8"/>
    <w:multiLevelType w:val="singleLevel"/>
    <w:tmpl w:val="43AEF4B8"/>
    <w:lvl w:ilvl="0">
      <w:start w:val="1"/>
      <w:numFmt w:val="lowerLetter"/>
      <w:lvlText w:val="(%1)"/>
      <w:legacy w:legacy="1" w:legacySpace="0" w:legacyIndent="720"/>
      <w:lvlJc w:val="left"/>
      <w:rPr>
        <w:rFonts w:ascii="Times New Roman" w:hAnsi="Times New Roman" w:cs="Times New Roman" w:hint="default"/>
      </w:rPr>
    </w:lvl>
  </w:abstractNum>
  <w:abstractNum w:abstractNumId="18">
    <w:nsid w:val="4B6651A8"/>
    <w:multiLevelType w:val="hybridMultilevel"/>
    <w:tmpl w:val="7D62BB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C1870FB"/>
    <w:multiLevelType w:val="hybridMultilevel"/>
    <w:tmpl w:val="482C1D0C"/>
    <w:lvl w:ilvl="0" w:tplc="8DD0114A">
      <w:start w:val="1"/>
      <w:numFmt w:val="lowerLetter"/>
      <w:lvlText w:val="(%1)"/>
      <w:lvlJc w:val="left"/>
      <w:pPr>
        <w:ind w:left="720"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7D0F2D"/>
    <w:multiLevelType w:val="multilevel"/>
    <w:tmpl w:val="E8D01B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E0567F5"/>
    <w:multiLevelType w:val="singleLevel"/>
    <w:tmpl w:val="DDB4D25A"/>
    <w:lvl w:ilvl="0">
      <w:start w:val="1"/>
      <w:numFmt w:val="lowerRoman"/>
      <w:lvlText w:val="(%1)"/>
      <w:lvlJc w:val="left"/>
      <w:pPr>
        <w:tabs>
          <w:tab w:val="num" w:pos="1080"/>
        </w:tabs>
        <w:ind w:left="1080" w:hanging="720"/>
      </w:pPr>
      <w:rPr>
        <w:rFonts w:cs="Times New Roman" w:hint="default"/>
      </w:rPr>
    </w:lvl>
  </w:abstractNum>
  <w:abstractNum w:abstractNumId="22">
    <w:nsid w:val="4E1B3646"/>
    <w:multiLevelType w:val="multilevel"/>
    <w:tmpl w:val="77964BE2"/>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tabs>
          <w:tab w:val="num" w:pos="1800"/>
        </w:tabs>
        <w:ind w:left="1800" w:hanging="360"/>
      </w:pPr>
      <w:rPr>
        <w:rFonts w:cs="Times New Roman" w:hint="default"/>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EF0253C"/>
    <w:multiLevelType w:val="multilevel"/>
    <w:tmpl w:val="1486B3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76D2CB7"/>
    <w:multiLevelType w:val="hybridMultilevel"/>
    <w:tmpl w:val="6910EA42"/>
    <w:lvl w:ilvl="0" w:tplc="197AB410">
      <w:start w:val="1"/>
      <w:numFmt w:val="lowerLetter"/>
      <w:lvlText w:val="(%1)"/>
      <w:lvlJc w:val="left"/>
      <w:pPr>
        <w:tabs>
          <w:tab w:val="num" w:pos="1275"/>
        </w:tabs>
        <w:ind w:left="1275" w:hanging="915"/>
      </w:pPr>
      <w:rPr>
        <w:rFonts w:cs="Times New Roman" w:hint="default"/>
        <w:color w:val="00000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9D16003"/>
    <w:multiLevelType w:val="multilevel"/>
    <w:tmpl w:val="D54A0024"/>
    <w:lvl w:ilvl="0">
      <w:start w:val="1"/>
      <w:numFmt w:val="upperLetter"/>
      <w:pStyle w:val="Heading2"/>
      <w:lvlText w:val="Section %1."/>
      <w:lvlJc w:val="left"/>
      <w:pPr>
        <w:ind w:left="360" w:hanging="360"/>
      </w:pPr>
      <w:rPr>
        <w:rFonts w:hint="default"/>
        <w:b/>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DD6429"/>
    <w:multiLevelType w:val="multilevel"/>
    <w:tmpl w:val="55C28D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00B4D14"/>
    <w:multiLevelType w:val="singleLevel"/>
    <w:tmpl w:val="75548ADC"/>
    <w:lvl w:ilvl="0">
      <w:start w:val="5"/>
      <w:numFmt w:val="lowerLetter"/>
      <w:lvlText w:val="(%1)"/>
      <w:legacy w:legacy="1" w:legacySpace="0" w:legacyIndent="994"/>
      <w:lvlJc w:val="left"/>
      <w:rPr>
        <w:rFonts w:ascii="Times New Roman" w:hAnsi="Times New Roman" w:cs="Times New Roman" w:hint="default"/>
      </w:rPr>
    </w:lvl>
  </w:abstractNum>
  <w:abstractNum w:abstractNumId="28">
    <w:nsid w:val="619D1F7B"/>
    <w:multiLevelType w:val="hybridMultilevel"/>
    <w:tmpl w:val="B8B21A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4D93518"/>
    <w:multiLevelType w:val="singleLevel"/>
    <w:tmpl w:val="24E6F694"/>
    <w:lvl w:ilvl="0">
      <w:start w:val="1"/>
      <w:numFmt w:val="decimal"/>
      <w:lvlText w:val="%1."/>
      <w:legacy w:legacy="1" w:legacySpace="0" w:legacyIndent="355"/>
      <w:lvlJc w:val="left"/>
      <w:rPr>
        <w:rFonts w:ascii="Times New Roman" w:hAnsi="Times New Roman" w:cs="Times New Roman" w:hint="default"/>
      </w:rPr>
    </w:lvl>
  </w:abstractNum>
  <w:abstractNum w:abstractNumId="30">
    <w:nsid w:val="669C4023"/>
    <w:multiLevelType w:val="singleLevel"/>
    <w:tmpl w:val="A4A85370"/>
    <w:lvl w:ilvl="0">
      <w:start w:val="1"/>
      <w:numFmt w:val="lowerLetter"/>
      <w:lvlText w:val="(%1)"/>
      <w:legacy w:legacy="1" w:legacySpace="0" w:legacyIndent="571"/>
      <w:lvlJc w:val="left"/>
      <w:rPr>
        <w:rFonts w:ascii="Times New Roman" w:hAnsi="Times New Roman" w:cs="Times New Roman" w:hint="default"/>
      </w:rPr>
    </w:lvl>
  </w:abstractNum>
  <w:abstractNum w:abstractNumId="31">
    <w:nsid w:val="6C5F44EB"/>
    <w:multiLevelType w:val="hybridMultilevel"/>
    <w:tmpl w:val="1CF2DA92"/>
    <w:lvl w:ilvl="0" w:tplc="9AB2486E">
      <w:start w:val="1"/>
      <w:numFmt w:val="decimal"/>
      <w:pStyle w:val="CHTno1"/>
      <w:lvlText w:val="%1."/>
      <w:lvlJc w:val="left"/>
      <w:pPr>
        <w:tabs>
          <w:tab w:val="num" w:pos="720"/>
        </w:tabs>
        <w:ind w:left="720" w:hanging="360"/>
      </w:pPr>
      <w:rPr>
        <w:rFonts w:cs="Times New Roman"/>
        <w:sz w:val="22"/>
        <w:szCs w:val="22"/>
      </w:rPr>
    </w:lvl>
    <w:lvl w:ilvl="1" w:tplc="06288D7C">
      <w:start w:val="1"/>
      <w:numFmt w:val="lowerLetter"/>
      <w:lvlText w:val="(%2)"/>
      <w:lvlJc w:val="left"/>
      <w:pPr>
        <w:tabs>
          <w:tab w:val="num" w:pos="1531"/>
        </w:tabs>
        <w:ind w:left="1420" w:hanging="340"/>
      </w:pPr>
      <w:rPr>
        <w:rFonts w:cs="Times New Roman" w:hint="default"/>
        <w:b w:val="0"/>
        <w:i w:val="0"/>
        <w:sz w:val="22"/>
        <w:szCs w:val="22"/>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A5B3E8C"/>
    <w:multiLevelType w:val="singleLevel"/>
    <w:tmpl w:val="41420D94"/>
    <w:lvl w:ilvl="0">
      <w:start w:val="1"/>
      <w:numFmt w:val="lowerLetter"/>
      <w:pStyle w:val="CHTNumbering"/>
      <w:lvlText w:val="(%1)"/>
      <w:lvlJc w:val="left"/>
      <w:pPr>
        <w:ind w:left="360" w:hanging="360"/>
      </w:pPr>
      <w:rPr>
        <w:rFonts w:ascii="Times New Roman" w:hAnsi="Times New Roman" w:cs="Times New Roman" w:hint="default"/>
        <w:b w:val="0"/>
        <w:i w:val="0"/>
        <w:sz w:val="22"/>
        <w:szCs w:val="22"/>
      </w:rPr>
    </w:lvl>
  </w:abstractNum>
  <w:num w:numId="1">
    <w:abstractNumId w:val="29"/>
  </w:num>
  <w:num w:numId="2">
    <w:abstractNumId w:val="32"/>
  </w:num>
  <w:num w:numId="3">
    <w:abstractNumId w:val="27"/>
  </w:num>
  <w:num w:numId="4">
    <w:abstractNumId w:val="17"/>
  </w:num>
  <w:num w:numId="5">
    <w:abstractNumId w:val="30"/>
  </w:num>
  <w:num w:numId="6">
    <w:abstractNumId w:val="14"/>
  </w:num>
  <w:num w:numId="7">
    <w:abstractNumId w:val="21"/>
  </w:num>
  <w:num w:numId="8">
    <w:abstractNumId w:val="3"/>
  </w:num>
  <w:num w:numId="9">
    <w:abstractNumId w:val="24"/>
  </w:num>
  <w:num w:numId="10">
    <w:abstractNumId w:val="18"/>
  </w:num>
  <w:num w:numId="11">
    <w:abstractNumId w:val="5"/>
  </w:num>
  <w:num w:numId="12">
    <w:abstractNumId w:val="31"/>
  </w:num>
  <w:num w:numId="13">
    <w:abstractNumId w:val="26"/>
  </w:num>
  <w:num w:numId="14">
    <w:abstractNumId w:val="20"/>
  </w:num>
  <w:num w:numId="15">
    <w:abstractNumId w:val="28"/>
  </w:num>
  <w:num w:numId="16">
    <w:abstractNumId w:val="13"/>
  </w:num>
  <w:num w:numId="17">
    <w:abstractNumId w:val="1"/>
  </w:num>
  <w:num w:numId="18">
    <w:abstractNumId w:val="23"/>
  </w:num>
  <w:num w:numId="19">
    <w:abstractNumId w:val="12"/>
  </w:num>
  <w:num w:numId="20">
    <w:abstractNumId w:val="22"/>
  </w:num>
  <w:num w:numId="21">
    <w:abstractNumId w:val="2"/>
  </w:num>
  <w:num w:numId="22">
    <w:abstractNumId w:val="7"/>
  </w:num>
  <w:num w:numId="23">
    <w:abstractNumId w:val="8"/>
  </w:num>
  <w:num w:numId="24">
    <w:abstractNumId w:val="10"/>
  </w:num>
  <w:num w:numId="25">
    <w:abstractNumId w:val="6"/>
  </w:num>
  <w:num w:numId="26">
    <w:abstractNumId w:val="9"/>
  </w:num>
  <w:num w:numId="27">
    <w:abstractNumId w:val="16"/>
  </w:num>
  <w:num w:numId="28">
    <w:abstractNumId w:val="0"/>
  </w:num>
  <w:num w:numId="29">
    <w:abstractNumId w:val="25"/>
  </w:num>
  <w:num w:numId="30">
    <w:abstractNumId w:val="19"/>
  </w:num>
  <w:num w:numId="31">
    <w:abstractNumId w:val="15"/>
  </w:num>
  <w:num w:numId="32">
    <w:abstractNumId w:val="4"/>
  </w:num>
  <w:num w:numId="33">
    <w:abstractNumId w:val="11"/>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3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B27CF"/>
    <w:rsid w:val="00027C4A"/>
    <w:rsid w:val="00047D6E"/>
    <w:rsid w:val="000571DA"/>
    <w:rsid w:val="00064406"/>
    <w:rsid w:val="000A007F"/>
    <w:rsid w:val="000A0862"/>
    <w:rsid w:val="000A50B0"/>
    <w:rsid w:val="000A6427"/>
    <w:rsid w:val="000D4975"/>
    <w:rsid w:val="000D6BBF"/>
    <w:rsid w:val="000F474F"/>
    <w:rsid w:val="000F7BFC"/>
    <w:rsid w:val="0010660E"/>
    <w:rsid w:val="00107800"/>
    <w:rsid w:val="00122ABD"/>
    <w:rsid w:val="00130EB2"/>
    <w:rsid w:val="0014340F"/>
    <w:rsid w:val="00152E70"/>
    <w:rsid w:val="00155D2C"/>
    <w:rsid w:val="00165847"/>
    <w:rsid w:val="001A3FCE"/>
    <w:rsid w:val="001D7ADF"/>
    <w:rsid w:val="001E2A8A"/>
    <w:rsid w:val="001E40FE"/>
    <w:rsid w:val="001E5F40"/>
    <w:rsid w:val="001F2ED2"/>
    <w:rsid w:val="00211989"/>
    <w:rsid w:val="002125DA"/>
    <w:rsid w:val="00235B43"/>
    <w:rsid w:val="00246FB9"/>
    <w:rsid w:val="00284CE3"/>
    <w:rsid w:val="002A4DD6"/>
    <w:rsid w:val="002B1DE2"/>
    <w:rsid w:val="002B29B5"/>
    <w:rsid w:val="002C450D"/>
    <w:rsid w:val="002E5075"/>
    <w:rsid w:val="002F083C"/>
    <w:rsid w:val="00300C3C"/>
    <w:rsid w:val="003069FA"/>
    <w:rsid w:val="0032671A"/>
    <w:rsid w:val="00330CEE"/>
    <w:rsid w:val="00333055"/>
    <w:rsid w:val="0033686D"/>
    <w:rsid w:val="003475B5"/>
    <w:rsid w:val="00360726"/>
    <w:rsid w:val="00360E9C"/>
    <w:rsid w:val="00364B22"/>
    <w:rsid w:val="00366E19"/>
    <w:rsid w:val="00391990"/>
    <w:rsid w:val="00391FBC"/>
    <w:rsid w:val="00394841"/>
    <w:rsid w:val="0039580E"/>
    <w:rsid w:val="003A5F42"/>
    <w:rsid w:val="003A6CA5"/>
    <w:rsid w:val="003B2C0A"/>
    <w:rsid w:val="003B584E"/>
    <w:rsid w:val="003E4049"/>
    <w:rsid w:val="003E691A"/>
    <w:rsid w:val="00420162"/>
    <w:rsid w:val="00420E2D"/>
    <w:rsid w:val="00431B52"/>
    <w:rsid w:val="0044448D"/>
    <w:rsid w:val="004509BC"/>
    <w:rsid w:val="00454A23"/>
    <w:rsid w:val="004565C2"/>
    <w:rsid w:val="00456BD6"/>
    <w:rsid w:val="00480365"/>
    <w:rsid w:val="004856BD"/>
    <w:rsid w:val="004B2487"/>
    <w:rsid w:val="004C1541"/>
    <w:rsid w:val="004C38F3"/>
    <w:rsid w:val="00533669"/>
    <w:rsid w:val="00534D79"/>
    <w:rsid w:val="00561B73"/>
    <w:rsid w:val="005855A1"/>
    <w:rsid w:val="005A25E0"/>
    <w:rsid w:val="005B27CF"/>
    <w:rsid w:val="005D2AD7"/>
    <w:rsid w:val="005F49F5"/>
    <w:rsid w:val="00605C9C"/>
    <w:rsid w:val="00617828"/>
    <w:rsid w:val="00633F36"/>
    <w:rsid w:val="00644821"/>
    <w:rsid w:val="00651DD4"/>
    <w:rsid w:val="00651EC2"/>
    <w:rsid w:val="00653D18"/>
    <w:rsid w:val="00660D55"/>
    <w:rsid w:val="006712C3"/>
    <w:rsid w:val="006B22C8"/>
    <w:rsid w:val="0075488E"/>
    <w:rsid w:val="00756522"/>
    <w:rsid w:val="0076363A"/>
    <w:rsid w:val="0076796C"/>
    <w:rsid w:val="007822EA"/>
    <w:rsid w:val="00785E76"/>
    <w:rsid w:val="0079033C"/>
    <w:rsid w:val="00792E75"/>
    <w:rsid w:val="007964A0"/>
    <w:rsid w:val="007970C4"/>
    <w:rsid w:val="007A691B"/>
    <w:rsid w:val="007C45C3"/>
    <w:rsid w:val="007C7A02"/>
    <w:rsid w:val="007D0586"/>
    <w:rsid w:val="007D1BE7"/>
    <w:rsid w:val="007E136F"/>
    <w:rsid w:val="007F604A"/>
    <w:rsid w:val="0080734A"/>
    <w:rsid w:val="0081506E"/>
    <w:rsid w:val="00821865"/>
    <w:rsid w:val="0082307B"/>
    <w:rsid w:val="0084244A"/>
    <w:rsid w:val="00843F90"/>
    <w:rsid w:val="00870B4E"/>
    <w:rsid w:val="00885A02"/>
    <w:rsid w:val="008A2E55"/>
    <w:rsid w:val="008C1748"/>
    <w:rsid w:val="008D3F65"/>
    <w:rsid w:val="009232F0"/>
    <w:rsid w:val="0092407C"/>
    <w:rsid w:val="009365CD"/>
    <w:rsid w:val="00946D85"/>
    <w:rsid w:val="00950421"/>
    <w:rsid w:val="00957909"/>
    <w:rsid w:val="00960EF2"/>
    <w:rsid w:val="0096473B"/>
    <w:rsid w:val="00983355"/>
    <w:rsid w:val="00986E25"/>
    <w:rsid w:val="00992A36"/>
    <w:rsid w:val="009C5B51"/>
    <w:rsid w:val="009E4054"/>
    <w:rsid w:val="00A20288"/>
    <w:rsid w:val="00A2552D"/>
    <w:rsid w:val="00A54E0F"/>
    <w:rsid w:val="00A5599E"/>
    <w:rsid w:val="00A76066"/>
    <w:rsid w:val="00A831BE"/>
    <w:rsid w:val="00A867E3"/>
    <w:rsid w:val="00AA640D"/>
    <w:rsid w:val="00AA7C96"/>
    <w:rsid w:val="00AB0634"/>
    <w:rsid w:val="00AD2DC0"/>
    <w:rsid w:val="00AE42CF"/>
    <w:rsid w:val="00AF6046"/>
    <w:rsid w:val="00B47776"/>
    <w:rsid w:val="00B64334"/>
    <w:rsid w:val="00B65BAF"/>
    <w:rsid w:val="00B84518"/>
    <w:rsid w:val="00B84734"/>
    <w:rsid w:val="00B876DF"/>
    <w:rsid w:val="00BB1A66"/>
    <w:rsid w:val="00BB3362"/>
    <w:rsid w:val="00BD0163"/>
    <w:rsid w:val="00BD5432"/>
    <w:rsid w:val="00BE4EC3"/>
    <w:rsid w:val="00BF1A3A"/>
    <w:rsid w:val="00C032EB"/>
    <w:rsid w:val="00C057A3"/>
    <w:rsid w:val="00C1262A"/>
    <w:rsid w:val="00C26165"/>
    <w:rsid w:val="00C30BC3"/>
    <w:rsid w:val="00C41B10"/>
    <w:rsid w:val="00C52C31"/>
    <w:rsid w:val="00C71FB4"/>
    <w:rsid w:val="00C86133"/>
    <w:rsid w:val="00C933FB"/>
    <w:rsid w:val="00CC0139"/>
    <w:rsid w:val="00CC32D1"/>
    <w:rsid w:val="00CC591E"/>
    <w:rsid w:val="00CE44FE"/>
    <w:rsid w:val="00CF1C2A"/>
    <w:rsid w:val="00CF2416"/>
    <w:rsid w:val="00CF3659"/>
    <w:rsid w:val="00D6266C"/>
    <w:rsid w:val="00D71C38"/>
    <w:rsid w:val="00D71C5A"/>
    <w:rsid w:val="00D7735A"/>
    <w:rsid w:val="00DA0967"/>
    <w:rsid w:val="00DA706C"/>
    <w:rsid w:val="00DB05A7"/>
    <w:rsid w:val="00DB7583"/>
    <w:rsid w:val="00DC2EFD"/>
    <w:rsid w:val="00DD3CAD"/>
    <w:rsid w:val="00DD73FD"/>
    <w:rsid w:val="00E43EEB"/>
    <w:rsid w:val="00E70828"/>
    <w:rsid w:val="00E769A6"/>
    <w:rsid w:val="00EA5572"/>
    <w:rsid w:val="00EC47C6"/>
    <w:rsid w:val="00EC55CE"/>
    <w:rsid w:val="00ED0DE3"/>
    <w:rsid w:val="00ED2135"/>
    <w:rsid w:val="00ED7F2D"/>
    <w:rsid w:val="00EF130E"/>
    <w:rsid w:val="00EF1862"/>
    <w:rsid w:val="00F43696"/>
    <w:rsid w:val="00F4563D"/>
    <w:rsid w:val="00F5492D"/>
    <w:rsid w:val="00F577F5"/>
    <w:rsid w:val="00F6525F"/>
    <w:rsid w:val="00F8049C"/>
    <w:rsid w:val="00F87A56"/>
    <w:rsid w:val="00F91CAE"/>
    <w:rsid w:val="00FA21AF"/>
    <w:rsid w:val="00FC3716"/>
    <w:rsid w:val="00FC62F5"/>
    <w:rsid w:val="00FD2719"/>
    <w:rsid w:val="00FE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D6E"/>
    <w:pPr>
      <w:widowControl w:val="0"/>
      <w:autoSpaceDE w:val="0"/>
      <w:autoSpaceDN w:val="0"/>
      <w:adjustRightInd w:val="0"/>
    </w:pPr>
    <w:rPr>
      <w:rFonts w:ascii="Times New Roman"/>
    </w:rPr>
  </w:style>
  <w:style w:type="paragraph" w:styleId="Heading1">
    <w:name w:val="heading 1"/>
    <w:basedOn w:val="Normal"/>
    <w:next w:val="Heading2"/>
    <w:link w:val="Heading1Char"/>
    <w:qFormat/>
    <w:rsid w:val="007C7A02"/>
    <w:pPr>
      <w:shd w:val="clear" w:color="auto" w:fill="FFFFFF"/>
      <w:spacing w:before="600" w:line="600" w:lineRule="exact"/>
      <w:ind w:right="2534" w:firstLine="2741"/>
      <w:outlineLvl w:val="0"/>
    </w:pPr>
    <w:rPr>
      <w:b/>
      <w:color w:val="000000"/>
      <w:spacing w:val="-3"/>
      <w:sz w:val="28"/>
    </w:rPr>
  </w:style>
  <w:style w:type="paragraph" w:styleId="Heading2">
    <w:name w:val="heading 2"/>
    <w:basedOn w:val="ListParagraph"/>
    <w:link w:val="Heading2Char"/>
    <w:qFormat/>
    <w:rsid w:val="00651EC2"/>
    <w:pPr>
      <w:keepNext/>
      <w:keepLines/>
      <w:numPr>
        <w:numId w:val="29"/>
      </w:numPr>
      <w:shd w:val="clear" w:color="auto" w:fill="FFFFFF"/>
      <w:spacing w:before="278"/>
      <w:ind w:left="380" w:hanging="357"/>
      <w:outlineLvl w:val="1"/>
    </w:pPr>
    <w:rPr>
      <w:b/>
      <w:color w:val="000000"/>
      <w:sz w:val="24"/>
      <w:lang w:val="fr-FR" w:eastAsia="fr-FR" w:bidi="fr-FR"/>
    </w:rPr>
  </w:style>
  <w:style w:type="paragraph" w:styleId="Heading3">
    <w:name w:val="heading 3"/>
    <w:basedOn w:val="Normal"/>
    <w:next w:val="IndentedText"/>
    <w:link w:val="Heading3Char"/>
    <w:qFormat/>
    <w:rsid w:val="00651EC2"/>
    <w:pPr>
      <w:keepNext/>
      <w:keepLines/>
      <w:shd w:val="clear" w:color="auto" w:fill="FFFFFF"/>
      <w:spacing w:before="533"/>
      <w:ind w:left="425"/>
      <w:outlineLvl w:val="2"/>
    </w:pPr>
    <w:rPr>
      <w:color w:val="000000"/>
      <w:sz w:val="24"/>
      <w:u w:val="single"/>
    </w:rPr>
  </w:style>
  <w:style w:type="paragraph" w:styleId="Heading4">
    <w:name w:val="heading 4"/>
    <w:basedOn w:val="Normal"/>
    <w:next w:val="IndentedText"/>
    <w:link w:val="Heading4Char"/>
    <w:qFormat/>
    <w:rsid w:val="00047D6E"/>
    <w:pPr>
      <w:keepNext/>
      <w:widowControl/>
      <w:numPr>
        <w:ilvl w:val="3"/>
        <w:numId w:val="28"/>
      </w:numPr>
      <w:overflowPunct w:val="0"/>
      <w:autoSpaceDE/>
      <w:autoSpaceDN/>
      <w:adjustRightInd/>
      <w:spacing w:after="260" w:line="260" w:lineRule="exact"/>
      <w:jc w:val="both"/>
      <w:textAlignment w:val="baseline"/>
      <w:outlineLvl w:val="3"/>
    </w:pPr>
    <w:rPr>
      <w:sz w:val="22"/>
    </w:rPr>
  </w:style>
  <w:style w:type="paragraph" w:styleId="Heading5">
    <w:name w:val="heading 5"/>
    <w:basedOn w:val="Normal"/>
    <w:next w:val="Normal"/>
    <w:link w:val="Heading5Char"/>
    <w:qFormat/>
    <w:rsid w:val="00047D6E"/>
    <w:pPr>
      <w:widowControl/>
      <w:numPr>
        <w:ilvl w:val="4"/>
        <w:numId w:val="28"/>
      </w:numPr>
      <w:overflowPunct w:val="0"/>
      <w:autoSpaceDE/>
      <w:autoSpaceDN/>
      <w:adjustRightInd/>
      <w:spacing w:before="240" w:after="60"/>
      <w:jc w:val="both"/>
      <w:textAlignment w:val="baseline"/>
      <w:outlineLvl w:val="4"/>
    </w:pPr>
    <w:rPr>
      <w:rFonts w:ascii="Arial" w:hAnsi="Arial"/>
      <w:sz w:val="22"/>
    </w:rPr>
  </w:style>
  <w:style w:type="paragraph" w:styleId="Heading6">
    <w:name w:val="heading 6"/>
    <w:basedOn w:val="Normal"/>
    <w:next w:val="Normal"/>
    <w:link w:val="Heading6Char"/>
    <w:qFormat/>
    <w:rsid w:val="00047D6E"/>
    <w:pPr>
      <w:widowControl/>
      <w:numPr>
        <w:ilvl w:val="5"/>
        <w:numId w:val="28"/>
      </w:numPr>
      <w:overflowPunct w:val="0"/>
      <w:autoSpaceDE/>
      <w:autoSpaceDN/>
      <w:adjustRightInd/>
      <w:spacing w:before="240" w:after="60"/>
      <w:jc w:val="both"/>
      <w:textAlignment w:val="baseline"/>
      <w:outlineLvl w:val="5"/>
    </w:pPr>
    <w:rPr>
      <w:rFonts w:ascii="Arial" w:hAnsi="Arial"/>
      <w:i/>
      <w:sz w:val="22"/>
    </w:rPr>
  </w:style>
  <w:style w:type="paragraph" w:styleId="Heading7">
    <w:name w:val="heading 7"/>
    <w:basedOn w:val="Normal"/>
    <w:next w:val="Normal"/>
    <w:link w:val="Heading7Char"/>
    <w:qFormat/>
    <w:rsid w:val="00047D6E"/>
    <w:pPr>
      <w:widowControl/>
      <w:numPr>
        <w:ilvl w:val="6"/>
        <w:numId w:val="28"/>
      </w:numPr>
      <w:overflowPunct w:val="0"/>
      <w:autoSpaceDE/>
      <w:autoSpaceDN/>
      <w:adjustRightInd/>
      <w:spacing w:before="240" w:after="60"/>
      <w:jc w:val="both"/>
      <w:textAlignment w:val="baseline"/>
      <w:outlineLvl w:val="6"/>
    </w:pPr>
    <w:rPr>
      <w:rFonts w:ascii="Arial" w:hAnsi="Arial"/>
      <w:sz w:val="24"/>
    </w:rPr>
  </w:style>
  <w:style w:type="paragraph" w:styleId="Heading8">
    <w:name w:val="heading 8"/>
    <w:basedOn w:val="Normal"/>
    <w:next w:val="Normal"/>
    <w:link w:val="Heading8Char"/>
    <w:qFormat/>
    <w:rsid w:val="00047D6E"/>
    <w:pPr>
      <w:widowControl/>
      <w:numPr>
        <w:ilvl w:val="7"/>
        <w:numId w:val="28"/>
      </w:numPr>
      <w:overflowPunct w:val="0"/>
      <w:autoSpaceDE/>
      <w:autoSpaceDN/>
      <w:adjustRightInd/>
      <w:spacing w:before="240" w:after="60"/>
      <w:jc w:val="both"/>
      <w:textAlignment w:val="baseline"/>
      <w:outlineLvl w:val="7"/>
    </w:pPr>
    <w:rPr>
      <w:rFonts w:ascii="Arial" w:hAnsi="Arial"/>
      <w:i/>
      <w:sz w:val="24"/>
    </w:rPr>
  </w:style>
  <w:style w:type="paragraph" w:styleId="Heading9">
    <w:name w:val="heading 9"/>
    <w:basedOn w:val="Normal"/>
    <w:next w:val="Normal"/>
    <w:link w:val="Heading9Char"/>
    <w:qFormat/>
    <w:rsid w:val="00047D6E"/>
    <w:pPr>
      <w:widowControl/>
      <w:numPr>
        <w:ilvl w:val="8"/>
        <w:numId w:val="28"/>
      </w:numPr>
      <w:overflowPunct w:val="0"/>
      <w:autoSpaceDE/>
      <w:autoSpaceDN/>
      <w:adjustRightInd/>
      <w:spacing w:before="240" w:after="60"/>
      <w:jc w:val="both"/>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7D6E"/>
    <w:pPr>
      <w:shd w:val="clear" w:color="auto" w:fill="000080"/>
    </w:pPr>
    <w:rPr>
      <w:rFonts w:ascii="Tahoma" w:hAnsi="Tahoma" w:cs="Tahoma"/>
    </w:rPr>
  </w:style>
  <w:style w:type="paragraph" w:styleId="Header">
    <w:name w:val="header"/>
    <w:basedOn w:val="Normal"/>
    <w:rsid w:val="00047D6E"/>
    <w:pPr>
      <w:tabs>
        <w:tab w:val="center" w:pos="4536"/>
        <w:tab w:val="right" w:pos="9072"/>
      </w:tabs>
    </w:pPr>
  </w:style>
  <w:style w:type="paragraph" w:styleId="Footer">
    <w:name w:val="footer"/>
    <w:basedOn w:val="Normal"/>
    <w:link w:val="FooterChar"/>
    <w:uiPriority w:val="99"/>
    <w:rsid w:val="00047D6E"/>
    <w:pPr>
      <w:tabs>
        <w:tab w:val="center" w:pos="4536"/>
        <w:tab w:val="right" w:pos="9072"/>
      </w:tabs>
    </w:pPr>
  </w:style>
  <w:style w:type="character" w:styleId="PageNumber">
    <w:name w:val="page number"/>
    <w:rsid w:val="00333055"/>
    <w:rPr>
      <w:rFonts w:cs="Times New Roman"/>
    </w:rPr>
  </w:style>
  <w:style w:type="paragraph" w:styleId="BalloonText">
    <w:name w:val="Balloon Text"/>
    <w:basedOn w:val="Normal"/>
    <w:link w:val="BalloonTextChar"/>
    <w:rsid w:val="00047D6E"/>
    <w:rPr>
      <w:rFonts w:ascii="Tahoma" w:hAnsi="Tahoma" w:cs="Tahoma"/>
      <w:sz w:val="16"/>
      <w:szCs w:val="16"/>
    </w:rPr>
  </w:style>
  <w:style w:type="character" w:styleId="CommentReference">
    <w:name w:val="annotation reference"/>
    <w:semiHidden/>
    <w:rsid w:val="001E40FE"/>
    <w:rPr>
      <w:sz w:val="16"/>
      <w:szCs w:val="16"/>
    </w:rPr>
  </w:style>
  <w:style w:type="paragraph" w:styleId="CommentText">
    <w:name w:val="annotation text"/>
    <w:basedOn w:val="Normal"/>
    <w:semiHidden/>
    <w:rsid w:val="001E40FE"/>
  </w:style>
  <w:style w:type="paragraph" w:styleId="CommentSubject">
    <w:name w:val="annotation subject"/>
    <w:basedOn w:val="CommentText"/>
    <w:next w:val="CommentText"/>
    <w:semiHidden/>
    <w:rsid w:val="001E40FE"/>
    <w:rPr>
      <w:b/>
      <w:bCs/>
    </w:rPr>
  </w:style>
  <w:style w:type="character" w:customStyle="1" w:styleId="Heading1Char">
    <w:name w:val="Heading 1 Char"/>
    <w:link w:val="Heading1"/>
    <w:rsid w:val="007C7A02"/>
    <w:rPr>
      <w:rFonts w:ascii="Times New Roman"/>
      <w:b/>
      <w:color w:val="000000"/>
      <w:spacing w:val="-3"/>
      <w:sz w:val="28"/>
      <w:shd w:val="clear" w:color="auto" w:fill="FFFFFF"/>
    </w:rPr>
  </w:style>
  <w:style w:type="character" w:customStyle="1" w:styleId="Heading2Char">
    <w:name w:val="Heading 2 Char"/>
    <w:link w:val="Heading2"/>
    <w:rsid w:val="00651EC2"/>
    <w:rPr>
      <w:rFonts w:ascii="Times New Roman"/>
      <w:b/>
      <w:color w:val="000000"/>
      <w:sz w:val="24"/>
      <w:shd w:val="clear" w:color="auto" w:fill="FFFFFF"/>
      <w:lang w:val="fr-FR" w:eastAsia="fr-FR" w:bidi="fr-FR"/>
    </w:rPr>
  </w:style>
  <w:style w:type="character" w:customStyle="1" w:styleId="Heading3Char">
    <w:name w:val="Heading 3 Char"/>
    <w:link w:val="Heading3"/>
    <w:rsid w:val="00651EC2"/>
    <w:rPr>
      <w:rFonts w:ascii="Times New Roman"/>
      <w:color w:val="000000"/>
      <w:sz w:val="24"/>
      <w:u w:val="single"/>
      <w:shd w:val="clear" w:color="auto" w:fill="FFFFFF"/>
    </w:rPr>
  </w:style>
  <w:style w:type="character" w:customStyle="1" w:styleId="Heading4Char">
    <w:name w:val="Heading 4 Char"/>
    <w:link w:val="Heading4"/>
    <w:rsid w:val="00047D6E"/>
    <w:rPr>
      <w:rFonts w:ascii="Times New Roman"/>
      <w:sz w:val="22"/>
    </w:rPr>
  </w:style>
  <w:style w:type="character" w:customStyle="1" w:styleId="Heading5Char">
    <w:name w:val="Heading 5 Char"/>
    <w:link w:val="Heading5"/>
    <w:rsid w:val="00047D6E"/>
    <w:rPr>
      <w:rFonts w:hAnsi="Arial"/>
      <w:sz w:val="22"/>
    </w:rPr>
  </w:style>
  <w:style w:type="character" w:customStyle="1" w:styleId="Heading6Char">
    <w:name w:val="Heading 6 Char"/>
    <w:link w:val="Heading6"/>
    <w:rsid w:val="00047D6E"/>
    <w:rPr>
      <w:rFonts w:hAnsi="Arial"/>
      <w:i/>
      <w:sz w:val="22"/>
    </w:rPr>
  </w:style>
  <w:style w:type="character" w:customStyle="1" w:styleId="Heading7Char">
    <w:name w:val="Heading 7 Char"/>
    <w:link w:val="Heading7"/>
    <w:rsid w:val="00047D6E"/>
    <w:rPr>
      <w:rFonts w:hAnsi="Arial"/>
      <w:sz w:val="24"/>
    </w:rPr>
  </w:style>
  <w:style w:type="character" w:customStyle="1" w:styleId="Heading8Char">
    <w:name w:val="Heading 8 Char"/>
    <w:link w:val="Heading8"/>
    <w:rsid w:val="00047D6E"/>
    <w:rPr>
      <w:rFonts w:hAnsi="Arial"/>
      <w:i/>
      <w:sz w:val="24"/>
    </w:rPr>
  </w:style>
  <w:style w:type="character" w:customStyle="1" w:styleId="Heading9Char">
    <w:name w:val="Heading 9 Char"/>
    <w:link w:val="Heading9"/>
    <w:rsid w:val="00047D6E"/>
    <w:rPr>
      <w:rFonts w:hAnsi="Arial"/>
      <w:i/>
      <w:sz w:val="18"/>
    </w:rPr>
  </w:style>
  <w:style w:type="character" w:styleId="FootnoteReference">
    <w:name w:val="footnote reference"/>
    <w:rsid w:val="00047D6E"/>
    <w:rPr>
      <w:noProof w:val="0"/>
      <w:vertAlign w:val="superscript"/>
      <w:lang w:val="nl-NL"/>
    </w:rPr>
  </w:style>
  <w:style w:type="paragraph" w:styleId="FootnoteText">
    <w:name w:val="footnote text"/>
    <w:basedOn w:val="Normal"/>
    <w:link w:val="FootnoteTextChar"/>
    <w:rsid w:val="00047D6E"/>
    <w:pPr>
      <w:widowControl/>
      <w:autoSpaceDE/>
      <w:autoSpaceDN/>
      <w:adjustRightInd/>
      <w:spacing w:line="200" w:lineRule="exact"/>
      <w:ind w:left="567" w:hanging="567"/>
      <w:jc w:val="both"/>
    </w:pPr>
    <w:rPr>
      <w:i/>
      <w:sz w:val="16"/>
      <w:lang w:val="nl-NL"/>
    </w:rPr>
  </w:style>
  <w:style w:type="character" w:customStyle="1" w:styleId="FootnoteTextChar">
    <w:name w:val="Footnote Text Char"/>
    <w:link w:val="FootnoteText"/>
    <w:rsid w:val="00047D6E"/>
    <w:rPr>
      <w:rFonts w:ascii="Times New Roman"/>
      <w:i/>
      <w:sz w:val="16"/>
      <w:lang w:val="nl-NL"/>
    </w:rPr>
  </w:style>
  <w:style w:type="character" w:styleId="Emphasis">
    <w:name w:val="Emphasis"/>
    <w:qFormat/>
    <w:rsid w:val="00047D6E"/>
    <w:rPr>
      <w:i/>
    </w:rPr>
  </w:style>
  <w:style w:type="paragraph" w:styleId="BodyText3">
    <w:name w:val="Body Text 3"/>
    <w:basedOn w:val="Normal"/>
    <w:link w:val="BodyText3Char"/>
    <w:rsid w:val="00047D6E"/>
    <w:pPr>
      <w:widowControl/>
      <w:autoSpaceDE/>
      <w:autoSpaceDN/>
      <w:adjustRightInd/>
      <w:spacing w:line="360" w:lineRule="auto"/>
      <w:jc w:val="both"/>
    </w:pPr>
    <w:rPr>
      <w:rFonts w:ascii="Arial" w:hAnsi="Arial"/>
      <w:sz w:val="24"/>
      <w:lang w:val="en-US"/>
    </w:rPr>
  </w:style>
  <w:style w:type="character" w:customStyle="1" w:styleId="BodyText3Char">
    <w:name w:val="Body Text 3 Char"/>
    <w:link w:val="BodyText3"/>
    <w:rsid w:val="00047D6E"/>
    <w:rPr>
      <w:rFonts w:hAnsi="Arial"/>
      <w:sz w:val="24"/>
      <w:lang w:val="en-US"/>
    </w:rPr>
  </w:style>
  <w:style w:type="paragraph" w:styleId="BodyTextIndent3">
    <w:name w:val="Body Text Indent 3"/>
    <w:basedOn w:val="Normal"/>
    <w:link w:val="BodyTextIndent3Char"/>
    <w:rsid w:val="00047D6E"/>
    <w:pPr>
      <w:widowControl/>
      <w:tabs>
        <w:tab w:val="left" w:pos="600"/>
        <w:tab w:val="left" w:pos="1500"/>
        <w:tab w:val="left" w:pos="3600"/>
        <w:tab w:val="decimal" w:pos="3900"/>
        <w:tab w:val="left" w:pos="4800"/>
        <w:tab w:val="decimal" w:pos="5700"/>
      </w:tabs>
      <w:autoSpaceDE/>
      <w:autoSpaceDN/>
      <w:adjustRightInd/>
      <w:spacing w:line="300" w:lineRule="exact"/>
      <w:ind w:left="426"/>
      <w:jc w:val="both"/>
    </w:pPr>
    <w:rPr>
      <w:rFonts w:ascii="ScalaSans" w:hAnsi="ScalaSans"/>
      <w:sz w:val="23"/>
    </w:rPr>
  </w:style>
  <w:style w:type="character" w:customStyle="1" w:styleId="BodyTextIndent3Char">
    <w:name w:val="Body Text Indent 3 Char"/>
    <w:link w:val="BodyTextIndent3"/>
    <w:rsid w:val="00047D6E"/>
    <w:rPr>
      <w:rFonts w:ascii="ScalaSans" w:hAnsi="ScalaSans"/>
      <w:sz w:val="23"/>
    </w:rPr>
  </w:style>
  <w:style w:type="paragraph" w:customStyle="1" w:styleId="Numbering">
    <w:name w:val="Numbering"/>
    <w:basedOn w:val="Normal"/>
    <w:rsid w:val="00047D6E"/>
    <w:pPr>
      <w:widowControl/>
      <w:numPr>
        <w:numId w:val="26"/>
      </w:numPr>
      <w:tabs>
        <w:tab w:val="left" w:pos="284"/>
      </w:tabs>
      <w:overflowPunct w:val="0"/>
      <w:autoSpaceDE/>
      <w:autoSpaceDN/>
      <w:adjustRightInd/>
      <w:spacing w:after="130" w:line="260" w:lineRule="exact"/>
      <w:jc w:val="both"/>
      <w:textAlignment w:val="baseline"/>
    </w:pPr>
    <w:rPr>
      <w:sz w:val="22"/>
    </w:rPr>
  </w:style>
  <w:style w:type="paragraph" w:customStyle="1" w:styleId="IndentedText">
    <w:name w:val="IndentedText"/>
    <w:basedOn w:val="Normal"/>
    <w:rsid w:val="007C7A02"/>
    <w:pPr>
      <w:shd w:val="clear" w:color="auto" w:fill="FFFFFF"/>
      <w:spacing w:before="110" w:line="300" w:lineRule="atLeast"/>
      <w:ind w:left="1277" w:right="336"/>
      <w:jc w:val="both"/>
    </w:pPr>
    <w:rPr>
      <w:color w:val="000000"/>
      <w:sz w:val="22"/>
    </w:rPr>
  </w:style>
  <w:style w:type="paragraph" w:styleId="BodyText2">
    <w:name w:val="Body Text 2"/>
    <w:basedOn w:val="Normal"/>
    <w:link w:val="BodyText2Char"/>
    <w:rsid w:val="00047D6E"/>
    <w:pPr>
      <w:widowControl/>
      <w:autoSpaceDE/>
      <w:autoSpaceDN/>
      <w:adjustRightInd/>
      <w:jc w:val="both"/>
    </w:pPr>
    <w:rPr>
      <w:sz w:val="24"/>
    </w:rPr>
  </w:style>
  <w:style w:type="character" w:customStyle="1" w:styleId="BodyText2Char">
    <w:name w:val="Body Text 2 Char"/>
    <w:link w:val="BodyText2"/>
    <w:rsid w:val="00047D6E"/>
    <w:rPr>
      <w:rFonts w:ascii="Times New Roman"/>
      <w:sz w:val="24"/>
    </w:rPr>
  </w:style>
  <w:style w:type="paragraph" w:styleId="BodyTextIndent">
    <w:name w:val="Body Text Indent"/>
    <w:basedOn w:val="Normal"/>
    <w:link w:val="BodyTextIndentChar"/>
    <w:rsid w:val="00047D6E"/>
    <w:pPr>
      <w:widowControl/>
      <w:overflowPunct w:val="0"/>
      <w:autoSpaceDE/>
      <w:autoSpaceDN/>
      <w:adjustRightInd/>
      <w:ind w:left="709" w:hanging="284"/>
      <w:jc w:val="both"/>
      <w:textAlignment w:val="baseline"/>
    </w:pPr>
    <w:rPr>
      <w:sz w:val="22"/>
    </w:rPr>
  </w:style>
  <w:style w:type="character" w:customStyle="1" w:styleId="BodyTextIndentChar">
    <w:name w:val="Body Text Indent Char"/>
    <w:link w:val="BodyTextIndent"/>
    <w:rsid w:val="00047D6E"/>
    <w:rPr>
      <w:rFonts w:ascii="Times New Roman"/>
      <w:sz w:val="22"/>
    </w:rPr>
  </w:style>
  <w:style w:type="paragraph" w:customStyle="1" w:styleId="Bullet">
    <w:name w:val="Bullet"/>
    <w:basedOn w:val="Normal"/>
    <w:rsid w:val="00047D6E"/>
    <w:pPr>
      <w:widowControl/>
      <w:numPr>
        <w:numId w:val="27"/>
      </w:numPr>
      <w:tabs>
        <w:tab w:val="left" w:pos="284"/>
      </w:tabs>
      <w:overflowPunct w:val="0"/>
      <w:autoSpaceDE/>
      <w:autoSpaceDN/>
      <w:adjustRightInd/>
      <w:spacing w:after="260"/>
      <w:jc w:val="both"/>
      <w:textAlignment w:val="baseline"/>
    </w:pPr>
    <w:rPr>
      <w:sz w:val="22"/>
    </w:rPr>
  </w:style>
  <w:style w:type="paragraph" w:styleId="BodyText">
    <w:name w:val="Body Text"/>
    <w:basedOn w:val="Normal"/>
    <w:link w:val="BodyTextChar"/>
    <w:rsid w:val="00047D6E"/>
    <w:pPr>
      <w:keepLines/>
      <w:widowControl/>
      <w:overflowPunct w:val="0"/>
      <w:autoSpaceDE/>
      <w:autoSpaceDN/>
      <w:adjustRightInd/>
      <w:spacing w:after="120"/>
      <w:jc w:val="both"/>
      <w:textAlignment w:val="baseline"/>
    </w:pPr>
    <w:rPr>
      <w:sz w:val="22"/>
    </w:rPr>
  </w:style>
  <w:style w:type="character" w:customStyle="1" w:styleId="BodyTextChar">
    <w:name w:val="Body Text Char"/>
    <w:link w:val="BodyText"/>
    <w:rsid w:val="00047D6E"/>
    <w:rPr>
      <w:rFonts w:ascii="Times New Roman"/>
      <w:sz w:val="22"/>
    </w:rPr>
  </w:style>
  <w:style w:type="character" w:customStyle="1" w:styleId="BalloonTextChar">
    <w:name w:val="Balloon Text Char"/>
    <w:link w:val="BalloonText"/>
    <w:rsid w:val="00047D6E"/>
    <w:rPr>
      <w:rFonts w:ascii="Tahoma" w:hAnsi="Tahoma" w:cs="Tahoma"/>
      <w:sz w:val="16"/>
      <w:szCs w:val="16"/>
    </w:rPr>
  </w:style>
  <w:style w:type="paragraph" w:styleId="ListParagraph">
    <w:name w:val="List Paragraph"/>
    <w:basedOn w:val="Normal"/>
    <w:uiPriority w:val="34"/>
    <w:qFormat/>
    <w:rsid w:val="00284CE3"/>
    <w:pPr>
      <w:ind w:left="720"/>
      <w:contextualSpacing/>
    </w:pPr>
  </w:style>
  <w:style w:type="character" w:customStyle="1" w:styleId="FooterChar">
    <w:name w:val="Footer Char"/>
    <w:basedOn w:val="DefaultParagraphFont"/>
    <w:link w:val="Footer"/>
    <w:uiPriority w:val="99"/>
    <w:rsid w:val="00533669"/>
    <w:rPr>
      <w:rFonts w:ascii="Times New Roman"/>
    </w:rPr>
  </w:style>
  <w:style w:type="paragraph" w:customStyle="1" w:styleId="CHTNumbering">
    <w:name w:val="CHT Numbering"/>
    <w:basedOn w:val="Normal"/>
    <w:qFormat/>
    <w:rsid w:val="00F6525F"/>
    <w:pPr>
      <w:numPr>
        <w:numId w:val="2"/>
      </w:numPr>
      <w:shd w:val="clear" w:color="auto" w:fill="FFFFFF"/>
      <w:spacing w:before="110" w:line="300" w:lineRule="atLeast"/>
      <w:ind w:left="1276" w:right="336" w:hanging="850"/>
      <w:jc w:val="both"/>
    </w:pPr>
    <w:rPr>
      <w:color w:val="000000"/>
      <w:sz w:val="22"/>
      <w:lang w:eastAsia="fr-FR" w:bidi="fr-FR"/>
    </w:rPr>
  </w:style>
  <w:style w:type="paragraph" w:customStyle="1" w:styleId="CHTno1">
    <w:name w:val="CHT no 1"/>
    <w:basedOn w:val="Normal"/>
    <w:qFormat/>
    <w:rsid w:val="007C7A02"/>
    <w:pPr>
      <w:numPr>
        <w:numId w:val="12"/>
      </w:numPr>
      <w:shd w:val="clear" w:color="auto" w:fill="FFFFFF"/>
      <w:tabs>
        <w:tab w:val="clear" w:pos="720"/>
      </w:tabs>
      <w:spacing w:before="240" w:line="300" w:lineRule="exact"/>
      <w:ind w:left="426" w:right="340" w:hanging="437"/>
      <w:jc w:val="both"/>
    </w:pPr>
    <w:rPr>
      <w:color w:val="000000"/>
      <w:sz w:val="22"/>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D6E"/>
    <w:pPr>
      <w:widowControl w:val="0"/>
      <w:autoSpaceDE w:val="0"/>
      <w:autoSpaceDN w:val="0"/>
      <w:adjustRightInd w:val="0"/>
    </w:pPr>
    <w:rPr>
      <w:rFonts w:ascii="Times New Roman"/>
    </w:rPr>
  </w:style>
  <w:style w:type="paragraph" w:styleId="Heading1">
    <w:name w:val="heading 1"/>
    <w:basedOn w:val="Normal"/>
    <w:next w:val="Heading2"/>
    <w:link w:val="Heading1Char"/>
    <w:qFormat/>
    <w:rsid w:val="007C7A02"/>
    <w:pPr>
      <w:shd w:val="clear" w:color="auto" w:fill="FFFFFF"/>
      <w:spacing w:before="600" w:line="600" w:lineRule="exact"/>
      <w:ind w:right="2534" w:firstLine="2741"/>
      <w:outlineLvl w:val="0"/>
    </w:pPr>
    <w:rPr>
      <w:b/>
      <w:color w:val="000000"/>
      <w:spacing w:val="-3"/>
      <w:sz w:val="28"/>
    </w:rPr>
  </w:style>
  <w:style w:type="paragraph" w:styleId="Heading2">
    <w:name w:val="heading 2"/>
    <w:basedOn w:val="ListParagraph"/>
    <w:link w:val="Heading2Char"/>
    <w:qFormat/>
    <w:rsid w:val="00651EC2"/>
    <w:pPr>
      <w:keepNext/>
      <w:keepLines/>
      <w:numPr>
        <w:numId w:val="29"/>
      </w:numPr>
      <w:shd w:val="clear" w:color="auto" w:fill="FFFFFF"/>
      <w:spacing w:before="278"/>
      <w:ind w:left="380" w:hanging="357"/>
      <w:outlineLvl w:val="1"/>
    </w:pPr>
    <w:rPr>
      <w:b/>
      <w:color w:val="000000"/>
      <w:sz w:val="24"/>
      <w:lang w:val="fr-FR" w:eastAsia="fr-FR" w:bidi="fr-FR"/>
    </w:rPr>
  </w:style>
  <w:style w:type="paragraph" w:styleId="Heading3">
    <w:name w:val="heading 3"/>
    <w:basedOn w:val="Normal"/>
    <w:next w:val="IndentedText"/>
    <w:link w:val="Heading3Char"/>
    <w:qFormat/>
    <w:rsid w:val="00651EC2"/>
    <w:pPr>
      <w:keepNext/>
      <w:keepLines/>
      <w:shd w:val="clear" w:color="auto" w:fill="FFFFFF"/>
      <w:spacing w:before="533"/>
      <w:ind w:left="425"/>
      <w:outlineLvl w:val="2"/>
    </w:pPr>
    <w:rPr>
      <w:color w:val="000000"/>
      <w:sz w:val="24"/>
      <w:u w:val="single"/>
    </w:rPr>
  </w:style>
  <w:style w:type="paragraph" w:styleId="Heading4">
    <w:name w:val="heading 4"/>
    <w:basedOn w:val="Normal"/>
    <w:next w:val="IndentedText"/>
    <w:link w:val="Heading4Char"/>
    <w:qFormat/>
    <w:rsid w:val="00047D6E"/>
    <w:pPr>
      <w:keepNext/>
      <w:widowControl/>
      <w:numPr>
        <w:ilvl w:val="3"/>
        <w:numId w:val="28"/>
      </w:numPr>
      <w:overflowPunct w:val="0"/>
      <w:autoSpaceDE/>
      <w:autoSpaceDN/>
      <w:adjustRightInd/>
      <w:spacing w:after="260" w:line="260" w:lineRule="exact"/>
      <w:jc w:val="both"/>
      <w:textAlignment w:val="baseline"/>
      <w:outlineLvl w:val="3"/>
    </w:pPr>
    <w:rPr>
      <w:sz w:val="22"/>
    </w:rPr>
  </w:style>
  <w:style w:type="paragraph" w:styleId="Heading5">
    <w:name w:val="heading 5"/>
    <w:basedOn w:val="Normal"/>
    <w:next w:val="Normal"/>
    <w:link w:val="Heading5Char"/>
    <w:qFormat/>
    <w:rsid w:val="00047D6E"/>
    <w:pPr>
      <w:widowControl/>
      <w:numPr>
        <w:ilvl w:val="4"/>
        <w:numId w:val="28"/>
      </w:numPr>
      <w:overflowPunct w:val="0"/>
      <w:autoSpaceDE/>
      <w:autoSpaceDN/>
      <w:adjustRightInd/>
      <w:spacing w:before="240" w:after="60"/>
      <w:jc w:val="both"/>
      <w:textAlignment w:val="baseline"/>
      <w:outlineLvl w:val="4"/>
    </w:pPr>
    <w:rPr>
      <w:rFonts w:ascii="Arial" w:hAnsi="Arial"/>
      <w:sz w:val="22"/>
    </w:rPr>
  </w:style>
  <w:style w:type="paragraph" w:styleId="Heading6">
    <w:name w:val="heading 6"/>
    <w:basedOn w:val="Normal"/>
    <w:next w:val="Normal"/>
    <w:link w:val="Heading6Char"/>
    <w:qFormat/>
    <w:rsid w:val="00047D6E"/>
    <w:pPr>
      <w:widowControl/>
      <w:numPr>
        <w:ilvl w:val="5"/>
        <w:numId w:val="28"/>
      </w:numPr>
      <w:overflowPunct w:val="0"/>
      <w:autoSpaceDE/>
      <w:autoSpaceDN/>
      <w:adjustRightInd/>
      <w:spacing w:before="240" w:after="60"/>
      <w:jc w:val="both"/>
      <w:textAlignment w:val="baseline"/>
      <w:outlineLvl w:val="5"/>
    </w:pPr>
    <w:rPr>
      <w:rFonts w:ascii="Arial" w:hAnsi="Arial"/>
      <w:i/>
      <w:sz w:val="22"/>
    </w:rPr>
  </w:style>
  <w:style w:type="paragraph" w:styleId="Heading7">
    <w:name w:val="heading 7"/>
    <w:basedOn w:val="Normal"/>
    <w:next w:val="Normal"/>
    <w:link w:val="Heading7Char"/>
    <w:qFormat/>
    <w:rsid w:val="00047D6E"/>
    <w:pPr>
      <w:widowControl/>
      <w:numPr>
        <w:ilvl w:val="6"/>
        <w:numId w:val="28"/>
      </w:numPr>
      <w:overflowPunct w:val="0"/>
      <w:autoSpaceDE/>
      <w:autoSpaceDN/>
      <w:adjustRightInd/>
      <w:spacing w:before="240" w:after="60"/>
      <w:jc w:val="both"/>
      <w:textAlignment w:val="baseline"/>
      <w:outlineLvl w:val="6"/>
    </w:pPr>
    <w:rPr>
      <w:rFonts w:ascii="Arial" w:hAnsi="Arial"/>
      <w:sz w:val="24"/>
    </w:rPr>
  </w:style>
  <w:style w:type="paragraph" w:styleId="Heading8">
    <w:name w:val="heading 8"/>
    <w:basedOn w:val="Normal"/>
    <w:next w:val="Normal"/>
    <w:link w:val="Heading8Char"/>
    <w:qFormat/>
    <w:rsid w:val="00047D6E"/>
    <w:pPr>
      <w:widowControl/>
      <w:numPr>
        <w:ilvl w:val="7"/>
        <w:numId w:val="28"/>
      </w:numPr>
      <w:overflowPunct w:val="0"/>
      <w:autoSpaceDE/>
      <w:autoSpaceDN/>
      <w:adjustRightInd/>
      <w:spacing w:before="240" w:after="60"/>
      <w:jc w:val="both"/>
      <w:textAlignment w:val="baseline"/>
      <w:outlineLvl w:val="7"/>
    </w:pPr>
    <w:rPr>
      <w:rFonts w:ascii="Arial" w:hAnsi="Arial"/>
      <w:i/>
      <w:sz w:val="24"/>
    </w:rPr>
  </w:style>
  <w:style w:type="paragraph" w:styleId="Heading9">
    <w:name w:val="heading 9"/>
    <w:basedOn w:val="Normal"/>
    <w:next w:val="Normal"/>
    <w:link w:val="Heading9Char"/>
    <w:qFormat/>
    <w:rsid w:val="00047D6E"/>
    <w:pPr>
      <w:widowControl/>
      <w:numPr>
        <w:ilvl w:val="8"/>
        <w:numId w:val="28"/>
      </w:numPr>
      <w:overflowPunct w:val="0"/>
      <w:autoSpaceDE/>
      <w:autoSpaceDN/>
      <w:adjustRightInd/>
      <w:spacing w:before="240" w:after="60"/>
      <w:jc w:val="both"/>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7D6E"/>
    <w:pPr>
      <w:shd w:val="clear" w:color="auto" w:fill="000080"/>
    </w:pPr>
    <w:rPr>
      <w:rFonts w:ascii="Tahoma" w:hAnsi="Tahoma" w:cs="Tahoma"/>
    </w:rPr>
  </w:style>
  <w:style w:type="paragraph" w:styleId="Header">
    <w:name w:val="header"/>
    <w:basedOn w:val="Normal"/>
    <w:rsid w:val="00047D6E"/>
    <w:pPr>
      <w:tabs>
        <w:tab w:val="center" w:pos="4536"/>
        <w:tab w:val="right" w:pos="9072"/>
      </w:tabs>
    </w:pPr>
  </w:style>
  <w:style w:type="paragraph" w:styleId="Footer">
    <w:name w:val="footer"/>
    <w:basedOn w:val="Normal"/>
    <w:link w:val="FooterChar"/>
    <w:uiPriority w:val="99"/>
    <w:rsid w:val="00047D6E"/>
    <w:pPr>
      <w:tabs>
        <w:tab w:val="center" w:pos="4536"/>
        <w:tab w:val="right" w:pos="9072"/>
      </w:tabs>
    </w:pPr>
  </w:style>
  <w:style w:type="character" w:styleId="PageNumber">
    <w:name w:val="page number"/>
    <w:rsid w:val="00333055"/>
    <w:rPr>
      <w:rFonts w:cs="Times New Roman"/>
    </w:rPr>
  </w:style>
  <w:style w:type="paragraph" w:styleId="BalloonText">
    <w:name w:val="Balloon Text"/>
    <w:basedOn w:val="Normal"/>
    <w:link w:val="BalloonTextChar"/>
    <w:rsid w:val="00047D6E"/>
    <w:rPr>
      <w:rFonts w:ascii="Tahoma" w:hAnsi="Tahoma" w:cs="Tahoma"/>
      <w:sz w:val="16"/>
      <w:szCs w:val="16"/>
    </w:rPr>
  </w:style>
  <w:style w:type="character" w:styleId="CommentReference">
    <w:name w:val="annotation reference"/>
    <w:semiHidden/>
    <w:rsid w:val="001E40FE"/>
    <w:rPr>
      <w:sz w:val="16"/>
      <w:szCs w:val="16"/>
    </w:rPr>
  </w:style>
  <w:style w:type="paragraph" w:styleId="CommentText">
    <w:name w:val="annotation text"/>
    <w:basedOn w:val="Normal"/>
    <w:semiHidden/>
    <w:rsid w:val="001E40FE"/>
  </w:style>
  <w:style w:type="paragraph" w:styleId="CommentSubject">
    <w:name w:val="annotation subject"/>
    <w:basedOn w:val="CommentText"/>
    <w:next w:val="CommentText"/>
    <w:semiHidden/>
    <w:rsid w:val="001E40FE"/>
    <w:rPr>
      <w:b/>
      <w:bCs/>
    </w:rPr>
  </w:style>
  <w:style w:type="character" w:customStyle="1" w:styleId="Heading1Char">
    <w:name w:val="Heading 1 Char"/>
    <w:link w:val="Heading1"/>
    <w:rsid w:val="007C7A02"/>
    <w:rPr>
      <w:rFonts w:ascii="Times New Roman"/>
      <w:b/>
      <w:color w:val="000000"/>
      <w:spacing w:val="-3"/>
      <w:sz w:val="28"/>
      <w:shd w:val="clear" w:color="auto" w:fill="FFFFFF"/>
    </w:rPr>
  </w:style>
  <w:style w:type="character" w:customStyle="1" w:styleId="Heading2Char">
    <w:name w:val="Heading 2 Char"/>
    <w:link w:val="Heading2"/>
    <w:rsid w:val="00651EC2"/>
    <w:rPr>
      <w:rFonts w:ascii="Times New Roman"/>
      <w:b/>
      <w:color w:val="000000"/>
      <w:sz w:val="24"/>
      <w:shd w:val="clear" w:color="auto" w:fill="FFFFFF"/>
      <w:lang w:val="fr-FR" w:eastAsia="fr-FR" w:bidi="fr-FR"/>
    </w:rPr>
  </w:style>
  <w:style w:type="character" w:customStyle="1" w:styleId="Heading3Char">
    <w:name w:val="Heading 3 Char"/>
    <w:link w:val="Heading3"/>
    <w:rsid w:val="00651EC2"/>
    <w:rPr>
      <w:rFonts w:ascii="Times New Roman"/>
      <w:color w:val="000000"/>
      <w:sz w:val="24"/>
      <w:u w:val="single"/>
      <w:shd w:val="clear" w:color="auto" w:fill="FFFFFF"/>
    </w:rPr>
  </w:style>
  <w:style w:type="character" w:customStyle="1" w:styleId="Heading4Char">
    <w:name w:val="Heading 4 Char"/>
    <w:link w:val="Heading4"/>
    <w:rsid w:val="00047D6E"/>
    <w:rPr>
      <w:rFonts w:ascii="Times New Roman"/>
      <w:sz w:val="22"/>
    </w:rPr>
  </w:style>
  <w:style w:type="character" w:customStyle="1" w:styleId="Heading5Char">
    <w:name w:val="Heading 5 Char"/>
    <w:link w:val="Heading5"/>
    <w:rsid w:val="00047D6E"/>
    <w:rPr>
      <w:rFonts w:hAnsi="Arial"/>
      <w:sz w:val="22"/>
    </w:rPr>
  </w:style>
  <w:style w:type="character" w:customStyle="1" w:styleId="Heading6Char">
    <w:name w:val="Heading 6 Char"/>
    <w:link w:val="Heading6"/>
    <w:rsid w:val="00047D6E"/>
    <w:rPr>
      <w:rFonts w:hAnsi="Arial"/>
      <w:i/>
      <w:sz w:val="22"/>
    </w:rPr>
  </w:style>
  <w:style w:type="character" w:customStyle="1" w:styleId="Heading7Char">
    <w:name w:val="Heading 7 Char"/>
    <w:link w:val="Heading7"/>
    <w:rsid w:val="00047D6E"/>
    <w:rPr>
      <w:rFonts w:hAnsi="Arial"/>
      <w:sz w:val="24"/>
    </w:rPr>
  </w:style>
  <w:style w:type="character" w:customStyle="1" w:styleId="Heading8Char">
    <w:name w:val="Heading 8 Char"/>
    <w:link w:val="Heading8"/>
    <w:rsid w:val="00047D6E"/>
    <w:rPr>
      <w:rFonts w:hAnsi="Arial"/>
      <w:i/>
      <w:sz w:val="24"/>
    </w:rPr>
  </w:style>
  <w:style w:type="character" w:customStyle="1" w:styleId="Heading9Char">
    <w:name w:val="Heading 9 Char"/>
    <w:link w:val="Heading9"/>
    <w:rsid w:val="00047D6E"/>
    <w:rPr>
      <w:rFonts w:hAnsi="Arial"/>
      <w:i/>
      <w:sz w:val="18"/>
    </w:rPr>
  </w:style>
  <w:style w:type="character" w:styleId="FootnoteReference">
    <w:name w:val="footnote reference"/>
    <w:rsid w:val="00047D6E"/>
    <w:rPr>
      <w:noProof w:val="0"/>
      <w:vertAlign w:val="superscript"/>
      <w:lang w:val="nl-NL"/>
    </w:rPr>
  </w:style>
  <w:style w:type="paragraph" w:styleId="FootnoteText">
    <w:name w:val="footnote text"/>
    <w:basedOn w:val="Normal"/>
    <w:link w:val="FootnoteTextChar"/>
    <w:rsid w:val="00047D6E"/>
    <w:pPr>
      <w:widowControl/>
      <w:autoSpaceDE/>
      <w:autoSpaceDN/>
      <w:adjustRightInd/>
      <w:spacing w:line="200" w:lineRule="exact"/>
      <w:ind w:left="567" w:hanging="567"/>
      <w:jc w:val="both"/>
    </w:pPr>
    <w:rPr>
      <w:i/>
      <w:sz w:val="16"/>
      <w:lang w:val="nl-NL"/>
    </w:rPr>
  </w:style>
  <w:style w:type="character" w:customStyle="1" w:styleId="FootnoteTextChar">
    <w:name w:val="Footnote Text Char"/>
    <w:link w:val="FootnoteText"/>
    <w:rsid w:val="00047D6E"/>
    <w:rPr>
      <w:rFonts w:ascii="Times New Roman"/>
      <w:i/>
      <w:sz w:val="16"/>
      <w:lang w:val="nl-NL"/>
    </w:rPr>
  </w:style>
  <w:style w:type="character" w:styleId="Emphasis">
    <w:name w:val="Emphasis"/>
    <w:qFormat/>
    <w:rsid w:val="00047D6E"/>
    <w:rPr>
      <w:i/>
    </w:rPr>
  </w:style>
  <w:style w:type="paragraph" w:styleId="BodyText3">
    <w:name w:val="Body Text 3"/>
    <w:basedOn w:val="Normal"/>
    <w:link w:val="BodyText3Char"/>
    <w:rsid w:val="00047D6E"/>
    <w:pPr>
      <w:widowControl/>
      <w:autoSpaceDE/>
      <w:autoSpaceDN/>
      <w:adjustRightInd/>
      <w:spacing w:line="360" w:lineRule="auto"/>
      <w:jc w:val="both"/>
    </w:pPr>
    <w:rPr>
      <w:rFonts w:ascii="Arial" w:hAnsi="Arial"/>
      <w:sz w:val="24"/>
      <w:lang w:val="en-US"/>
    </w:rPr>
  </w:style>
  <w:style w:type="character" w:customStyle="1" w:styleId="BodyText3Char">
    <w:name w:val="Body Text 3 Char"/>
    <w:link w:val="BodyText3"/>
    <w:rsid w:val="00047D6E"/>
    <w:rPr>
      <w:rFonts w:hAnsi="Arial"/>
      <w:sz w:val="24"/>
      <w:lang w:val="en-US"/>
    </w:rPr>
  </w:style>
  <w:style w:type="paragraph" w:styleId="BodyTextIndent3">
    <w:name w:val="Body Text Indent 3"/>
    <w:basedOn w:val="Normal"/>
    <w:link w:val="BodyTextIndent3Char"/>
    <w:rsid w:val="00047D6E"/>
    <w:pPr>
      <w:widowControl/>
      <w:tabs>
        <w:tab w:val="left" w:pos="600"/>
        <w:tab w:val="left" w:pos="1500"/>
        <w:tab w:val="left" w:pos="3600"/>
        <w:tab w:val="decimal" w:pos="3900"/>
        <w:tab w:val="left" w:pos="4800"/>
        <w:tab w:val="decimal" w:pos="5700"/>
      </w:tabs>
      <w:autoSpaceDE/>
      <w:autoSpaceDN/>
      <w:adjustRightInd/>
      <w:spacing w:line="300" w:lineRule="exact"/>
      <w:ind w:left="426"/>
      <w:jc w:val="both"/>
    </w:pPr>
    <w:rPr>
      <w:rFonts w:ascii="ScalaSans" w:hAnsi="ScalaSans"/>
      <w:sz w:val="23"/>
    </w:rPr>
  </w:style>
  <w:style w:type="character" w:customStyle="1" w:styleId="BodyTextIndent3Char">
    <w:name w:val="Body Text Indent 3 Char"/>
    <w:link w:val="BodyTextIndent3"/>
    <w:rsid w:val="00047D6E"/>
    <w:rPr>
      <w:rFonts w:ascii="ScalaSans" w:hAnsi="ScalaSans"/>
      <w:sz w:val="23"/>
    </w:rPr>
  </w:style>
  <w:style w:type="paragraph" w:customStyle="1" w:styleId="Numbering">
    <w:name w:val="Numbering"/>
    <w:basedOn w:val="Normal"/>
    <w:rsid w:val="00047D6E"/>
    <w:pPr>
      <w:widowControl/>
      <w:numPr>
        <w:numId w:val="26"/>
      </w:numPr>
      <w:tabs>
        <w:tab w:val="left" w:pos="284"/>
      </w:tabs>
      <w:overflowPunct w:val="0"/>
      <w:autoSpaceDE/>
      <w:autoSpaceDN/>
      <w:adjustRightInd/>
      <w:spacing w:after="130" w:line="260" w:lineRule="exact"/>
      <w:jc w:val="both"/>
      <w:textAlignment w:val="baseline"/>
    </w:pPr>
    <w:rPr>
      <w:sz w:val="22"/>
    </w:rPr>
  </w:style>
  <w:style w:type="paragraph" w:customStyle="1" w:styleId="IndentedText">
    <w:name w:val="IndentedText"/>
    <w:basedOn w:val="Normal"/>
    <w:rsid w:val="007C7A02"/>
    <w:pPr>
      <w:shd w:val="clear" w:color="auto" w:fill="FFFFFF"/>
      <w:spacing w:before="110" w:line="300" w:lineRule="atLeast"/>
      <w:ind w:left="1277" w:right="336"/>
      <w:jc w:val="both"/>
    </w:pPr>
    <w:rPr>
      <w:color w:val="000000"/>
      <w:sz w:val="22"/>
    </w:rPr>
  </w:style>
  <w:style w:type="paragraph" w:styleId="BodyText2">
    <w:name w:val="Body Text 2"/>
    <w:basedOn w:val="Normal"/>
    <w:link w:val="BodyText2Char"/>
    <w:rsid w:val="00047D6E"/>
    <w:pPr>
      <w:widowControl/>
      <w:autoSpaceDE/>
      <w:autoSpaceDN/>
      <w:adjustRightInd/>
      <w:jc w:val="both"/>
    </w:pPr>
    <w:rPr>
      <w:sz w:val="24"/>
    </w:rPr>
  </w:style>
  <w:style w:type="character" w:customStyle="1" w:styleId="BodyText2Char">
    <w:name w:val="Body Text 2 Char"/>
    <w:link w:val="BodyText2"/>
    <w:rsid w:val="00047D6E"/>
    <w:rPr>
      <w:rFonts w:ascii="Times New Roman"/>
      <w:sz w:val="24"/>
    </w:rPr>
  </w:style>
  <w:style w:type="paragraph" w:styleId="BodyTextIndent">
    <w:name w:val="Body Text Indent"/>
    <w:basedOn w:val="Normal"/>
    <w:link w:val="BodyTextIndentChar"/>
    <w:rsid w:val="00047D6E"/>
    <w:pPr>
      <w:widowControl/>
      <w:overflowPunct w:val="0"/>
      <w:autoSpaceDE/>
      <w:autoSpaceDN/>
      <w:adjustRightInd/>
      <w:ind w:left="709" w:hanging="284"/>
      <w:jc w:val="both"/>
      <w:textAlignment w:val="baseline"/>
    </w:pPr>
    <w:rPr>
      <w:sz w:val="22"/>
    </w:rPr>
  </w:style>
  <w:style w:type="character" w:customStyle="1" w:styleId="BodyTextIndentChar">
    <w:name w:val="Body Text Indent Char"/>
    <w:link w:val="BodyTextIndent"/>
    <w:rsid w:val="00047D6E"/>
    <w:rPr>
      <w:rFonts w:ascii="Times New Roman"/>
      <w:sz w:val="22"/>
    </w:rPr>
  </w:style>
  <w:style w:type="paragraph" w:customStyle="1" w:styleId="Bullet">
    <w:name w:val="Bullet"/>
    <w:basedOn w:val="Normal"/>
    <w:rsid w:val="00047D6E"/>
    <w:pPr>
      <w:widowControl/>
      <w:numPr>
        <w:numId w:val="27"/>
      </w:numPr>
      <w:tabs>
        <w:tab w:val="left" w:pos="284"/>
      </w:tabs>
      <w:overflowPunct w:val="0"/>
      <w:autoSpaceDE/>
      <w:autoSpaceDN/>
      <w:adjustRightInd/>
      <w:spacing w:after="260"/>
      <w:jc w:val="both"/>
      <w:textAlignment w:val="baseline"/>
    </w:pPr>
    <w:rPr>
      <w:sz w:val="22"/>
    </w:rPr>
  </w:style>
  <w:style w:type="paragraph" w:styleId="BodyText">
    <w:name w:val="Body Text"/>
    <w:basedOn w:val="Normal"/>
    <w:link w:val="BodyTextChar"/>
    <w:rsid w:val="00047D6E"/>
    <w:pPr>
      <w:keepLines/>
      <w:widowControl/>
      <w:overflowPunct w:val="0"/>
      <w:autoSpaceDE/>
      <w:autoSpaceDN/>
      <w:adjustRightInd/>
      <w:spacing w:after="120"/>
      <w:jc w:val="both"/>
      <w:textAlignment w:val="baseline"/>
    </w:pPr>
    <w:rPr>
      <w:sz w:val="22"/>
    </w:rPr>
  </w:style>
  <w:style w:type="character" w:customStyle="1" w:styleId="BodyTextChar">
    <w:name w:val="Body Text Char"/>
    <w:link w:val="BodyText"/>
    <w:rsid w:val="00047D6E"/>
    <w:rPr>
      <w:rFonts w:ascii="Times New Roman"/>
      <w:sz w:val="22"/>
    </w:rPr>
  </w:style>
  <w:style w:type="character" w:customStyle="1" w:styleId="BalloonTextChar">
    <w:name w:val="Balloon Text Char"/>
    <w:link w:val="BalloonText"/>
    <w:rsid w:val="00047D6E"/>
    <w:rPr>
      <w:rFonts w:ascii="Tahoma" w:hAnsi="Tahoma" w:cs="Tahoma"/>
      <w:sz w:val="16"/>
      <w:szCs w:val="16"/>
    </w:rPr>
  </w:style>
  <w:style w:type="paragraph" w:styleId="ListParagraph">
    <w:name w:val="List Paragraph"/>
    <w:basedOn w:val="Normal"/>
    <w:uiPriority w:val="34"/>
    <w:qFormat/>
    <w:rsid w:val="00284CE3"/>
    <w:pPr>
      <w:ind w:left="720"/>
      <w:contextualSpacing/>
    </w:pPr>
  </w:style>
  <w:style w:type="character" w:customStyle="1" w:styleId="FooterChar">
    <w:name w:val="Footer Char"/>
    <w:basedOn w:val="DefaultParagraphFont"/>
    <w:link w:val="Footer"/>
    <w:uiPriority w:val="99"/>
    <w:rsid w:val="00533669"/>
    <w:rPr>
      <w:rFonts w:ascii="Times New Roman"/>
    </w:rPr>
  </w:style>
  <w:style w:type="paragraph" w:customStyle="1" w:styleId="CHTNumbering">
    <w:name w:val="CHT Numbering"/>
    <w:basedOn w:val="Normal"/>
    <w:qFormat/>
    <w:rsid w:val="00F6525F"/>
    <w:pPr>
      <w:numPr>
        <w:numId w:val="2"/>
      </w:numPr>
      <w:shd w:val="clear" w:color="auto" w:fill="FFFFFF"/>
      <w:spacing w:before="110" w:line="300" w:lineRule="atLeast"/>
      <w:ind w:left="1276" w:right="336" w:hanging="850"/>
      <w:jc w:val="both"/>
    </w:pPr>
    <w:rPr>
      <w:color w:val="000000"/>
      <w:sz w:val="22"/>
      <w:lang w:eastAsia="fr-FR" w:bidi="fr-FR"/>
    </w:rPr>
  </w:style>
  <w:style w:type="paragraph" w:customStyle="1" w:styleId="CHTno1">
    <w:name w:val="CHT no 1"/>
    <w:basedOn w:val="Normal"/>
    <w:qFormat/>
    <w:rsid w:val="007C7A02"/>
    <w:pPr>
      <w:numPr>
        <w:numId w:val="12"/>
      </w:numPr>
      <w:shd w:val="clear" w:color="auto" w:fill="FFFFFF"/>
      <w:tabs>
        <w:tab w:val="clear" w:pos="720"/>
      </w:tabs>
      <w:spacing w:before="240" w:line="300" w:lineRule="exact"/>
      <w:ind w:left="426" w:right="340" w:hanging="437"/>
      <w:jc w:val="both"/>
    </w:pPr>
    <w:rPr>
      <w:color w:val="000000"/>
      <w:sz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2014-02-24T13:58:00Z</dcterms:created>
  <dcterms:modified xsi:type="dcterms:W3CDTF">2014-02-24T15:29:00Z</dcterms:modified>
</cp:coreProperties>
</file>