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6EFDB594" w:rsidR="00B624FB" w:rsidRDefault="001C3017" w:rsidP="001C3017">
      <w:pPr>
        <w:pStyle w:val="Pagedecouverture"/>
        <w:rPr>
          <w:noProof/>
        </w:rPr>
      </w:pPr>
      <w:bookmarkStart w:id="0" w:name="LW_BM_COVERPAGE"/>
      <w:r>
        <w:rPr>
          <w:noProof/>
        </w:rPr>
        <w:pict w14:anchorId="43D1A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C5FBECAC-022B-4E33-9A43-25AAAB932D67" style="width:455.25pt;height:452.25pt">
            <v:imagedata r:id="rId11" o:title=""/>
          </v:shape>
        </w:pict>
      </w:r>
    </w:p>
    <w:bookmarkEnd w:id="0"/>
    <w:p w14:paraId="52DF4018" w14:textId="77777777" w:rsidR="00B624FB" w:rsidRDefault="00B624FB" w:rsidP="00B624FB">
      <w:pPr>
        <w:rPr>
          <w:noProof/>
        </w:rPr>
        <w:sectPr w:rsidR="00B624FB" w:rsidSect="001C3017">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BILAGA II </w:t>
      </w:r>
      <w:r>
        <w:rPr>
          <w:noProof/>
        </w:rPr>
        <w:br/>
        <w:t xml:space="preserve">FÖRENKLAT CO-FORMULÄR FÖR ANMÄLAN AV EN KONCENTRATION ENLIGT FÖRORDNING (EG) NR 139/2004 </w:t>
      </w:r>
    </w:p>
    <w:p w14:paraId="52DF401A" w14:textId="77777777" w:rsidR="00B624FB" w:rsidRPr="00997D31" w:rsidRDefault="00CE54AE" w:rsidP="00B624FB">
      <w:pPr>
        <w:pStyle w:val="Annexetitre"/>
        <w:rPr>
          <w:noProof/>
        </w:rPr>
      </w:pPr>
      <w:r>
        <w:rPr>
          <w:noProof/>
        </w:rPr>
        <w:t>(</w:t>
      </w:r>
      <w:r>
        <w:rPr>
          <w:i/>
          <w:noProof/>
        </w:rPr>
        <w:t>FÖRENKLAT CO-FORMULÄR</w:t>
      </w:r>
      <w:r>
        <w:rPr>
          <w:noProof/>
        </w:rPr>
        <w:t xml:space="preserve">)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Inledning</w:t>
      </w:r>
    </w:p>
    <w:p w14:paraId="52DF401C" w14:textId="77777777" w:rsidR="002138D6" w:rsidRPr="002138D6" w:rsidRDefault="002138D6" w:rsidP="002138D6">
      <w:pPr>
        <w:pStyle w:val="Point0number"/>
        <w:rPr>
          <w:noProof/>
        </w:rPr>
      </w:pPr>
      <w:r>
        <w:rPr>
          <w:noProof/>
        </w:rPr>
        <w:t xml:space="preserve">I det förenklade CO-formuläret anges vilka uppgifter de anmälande parterna ska lämna när de lämnar in en anmälan till Europeiska kommissionen om vissa planerade fusioner, förvärv eller andra koncentrationer som troligen inte orsakar några konkurrensproblem. </w:t>
      </w:r>
    </w:p>
    <w:p w14:paraId="52DF401D" w14:textId="209C88DB" w:rsidR="002138D6" w:rsidRPr="002138D6" w:rsidRDefault="002138D6" w:rsidP="002138D6">
      <w:pPr>
        <w:pStyle w:val="Point0number"/>
        <w:numPr>
          <w:ilvl w:val="0"/>
          <w:numId w:val="5"/>
        </w:numPr>
        <w:rPr>
          <w:noProof/>
        </w:rPr>
      </w:pPr>
      <w:r>
        <w:rPr>
          <w:noProof/>
        </w:rPr>
        <w:t>När detta förenklade CO-formulär fylls i uppmärksammas ni på rådets förordning (EG) nr 139/2004 av den 20 januari 2004 om kontroll av företagskoncentrationer</w:t>
      </w:r>
      <w:r>
        <w:rPr>
          <w:rStyle w:val="FootnoteReference"/>
          <w:rFonts w:eastAsia="Calibri"/>
          <w:noProof/>
          <w:szCs w:val="24"/>
        </w:rPr>
        <w:footnoteReference w:id="1"/>
      </w:r>
      <w:r>
        <w:rPr>
          <w:noProof/>
        </w:rPr>
        <w:t xml:space="preserve"> (</w:t>
      </w:r>
      <w:r>
        <w:rPr>
          <w:i/>
          <w:iCs/>
          <w:noProof/>
        </w:rPr>
        <w:t>koncentrationsförordningen</w:t>
      </w:r>
      <w:r>
        <w:rPr>
          <w:noProof/>
        </w:rPr>
        <w:t>) och kommissionens genomförandeförordning (EU) [[X]/2023 av den [X] 2023] om tillämpning av rådets förordning (EG) nr 139/2004 om kontroll av företagskoncentrationer (</w:t>
      </w:r>
      <w:r>
        <w:rPr>
          <w:i/>
          <w:iCs/>
          <w:noProof/>
        </w:rPr>
        <w:t>tillämpningsförordningen</w:t>
      </w:r>
      <w:r>
        <w:rPr>
          <w:noProof/>
        </w:rPr>
        <w:t>),</w:t>
      </w:r>
      <w:r>
        <w:rPr>
          <w:rStyle w:val="FootnoteReference"/>
          <w:noProof/>
          <w:szCs w:val="24"/>
        </w:rPr>
        <w:footnoteReference w:id="2"/>
      </w:r>
      <w:r>
        <w:rPr>
          <w:noProof/>
        </w:rPr>
        <w:t xml:space="preserve"> till vilken detta förenklade CO-formulär bifogas. Observera även kommissionens tillkännagivande om ett förenklat förfarande för handläggning av vissa koncentrationer.</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I regel kan det förenklade CO-formuläret användas vid anmälan av koncentrationer som uppfyller ett av följande villkor: </w:t>
      </w:r>
    </w:p>
    <w:p w14:paraId="52DF401F" w14:textId="77777777" w:rsidR="002138D6" w:rsidRPr="002138D6" w:rsidRDefault="002138D6" w:rsidP="002138D6">
      <w:pPr>
        <w:pStyle w:val="Point1letter"/>
        <w:numPr>
          <w:ilvl w:val="3"/>
          <w:numId w:val="5"/>
        </w:numPr>
        <w:rPr>
          <w:noProof/>
        </w:rPr>
      </w:pPr>
      <w:r>
        <w:rPr>
          <w:noProof/>
        </w:rPr>
        <w:t>Två eller flera företag förvärvar gemensam kontroll över ett gemensamt företag, förutsatt att det gemensamma företaget inte har någon aktuell omsättning inom Europeiska ekonomiska samarbetsområdet (EES)</w:t>
      </w:r>
      <w:bookmarkStart w:id="8" w:name="_Ref86827794"/>
      <w:r>
        <w:rPr>
          <w:rStyle w:val="FootnoteReference"/>
          <w:noProof/>
        </w:rPr>
        <w:footnoteReference w:id="4"/>
      </w:r>
      <w:bookmarkEnd w:id="8"/>
      <w:r>
        <w:rPr>
          <w:noProof/>
        </w:rPr>
        <w:t xml:space="preserve"> och att de berörda företagen inte har för avsikt att överföra några tillgångar inom EES till det gemensamma företaget vid tidpunkten för anmälan.</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Två eller flera företag förvärvar gemensam kontroll över ett gemensamt företag, förutsatt att det gemensamma företaget har försumbar verksamhet inom EES. Detta avser koncentrationer där samtliga följande villkor är uppfyllda</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Det gemensamma företagets årsomsättning och/eller omsättningen för den tillskjutna verksamheten samt den förväntade årsomsättningen är mindre än 100 miljoner euro inom EES.</w:t>
      </w:r>
    </w:p>
    <w:p w14:paraId="52DF4022" w14:textId="77777777" w:rsidR="002138D6" w:rsidRPr="002138D6" w:rsidRDefault="002138D6" w:rsidP="002138D6">
      <w:pPr>
        <w:pStyle w:val="Point2"/>
        <w:rPr>
          <w:noProof/>
        </w:rPr>
      </w:pPr>
      <w:r>
        <w:rPr>
          <w:noProof/>
        </w:rPr>
        <w:t>ii)</w:t>
      </w:r>
      <w:r>
        <w:rPr>
          <w:noProof/>
        </w:rPr>
        <w:tab/>
        <w:t>Det totala värdet av de överföringar av tillgångar till det gemensamma företaget inom EES som planeras vid tidpunkten för anmälan är mindre än 100 miljoner euro.</w:t>
      </w:r>
    </w:p>
    <w:p w14:paraId="52DF4023" w14:textId="77777777" w:rsidR="002138D6" w:rsidRPr="002138D6" w:rsidRDefault="002138D6" w:rsidP="002138D6">
      <w:pPr>
        <w:pStyle w:val="Point1letter"/>
        <w:numPr>
          <w:ilvl w:val="3"/>
          <w:numId w:val="5"/>
        </w:numPr>
        <w:rPr>
          <w:noProof/>
        </w:rPr>
      </w:pPr>
      <w:r>
        <w:rPr>
          <w:noProof/>
        </w:rPr>
        <w:t xml:space="preserve">Två eller flera företag slås samman eller ett eller flera företag förvärvar ensam eller gemensam kontroll över ett annat företag, förutsatt att ingen av parterna i koncentrationen bedriver verksamhet på samma produktmarknad och geografiska marknad, eller på en relevant produktmarknad i ett föregående eller efterföljande </w:t>
      </w:r>
      <w:r>
        <w:rPr>
          <w:noProof/>
        </w:rPr>
        <w:lastRenderedPageBreak/>
        <w:t>marknadsled i förhållande till en produktmarknad där någon annan part i koncentrationen är verksam.</w:t>
      </w:r>
      <w:r>
        <w:rPr>
          <w:rStyle w:val="FootnoteReference"/>
          <w:noProof/>
          <w:szCs w:val="24"/>
        </w:rPr>
        <w:footnoteReference w:id="7"/>
      </w:r>
    </w:p>
    <w:p w14:paraId="52DF4024" w14:textId="77777777" w:rsidR="002138D6" w:rsidRPr="002138D6" w:rsidRDefault="002138D6" w:rsidP="002138D6">
      <w:pPr>
        <w:pStyle w:val="Point1letter"/>
        <w:numPr>
          <w:ilvl w:val="3"/>
          <w:numId w:val="5"/>
        </w:numPr>
        <w:rPr>
          <w:noProof/>
        </w:rPr>
      </w:pPr>
      <w:r>
        <w:rPr>
          <w:noProof/>
        </w:rPr>
        <w:t>Två eller flera företag går samman eller ett eller flera företag förvärvar ensam eller gemensam kontroll över ett annat företag och de villkor som anges nedan är uppfyllda enligt alla rimliga marknadsdefinitioner</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Den sammanlagda marknadsandelen för de parter i koncentrationen som bedriver affärsverksamhet på samma produktmarknad och geografiska marknad (horisontell överlappning) uppfyller minst ett av följande villkor:</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den är lägre än 20 %, </w:t>
      </w:r>
    </w:p>
    <w:p w14:paraId="52DF4027" w14:textId="77777777" w:rsidR="002138D6" w:rsidRPr="002138D6" w:rsidRDefault="002138D6" w:rsidP="002138D6">
      <w:pPr>
        <w:pStyle w:val="Text1"/>
        <w:ind w:left="2552" w:hanging="567"/>
        <w:rPr>
          <w:noProof/>
          <w:szCs w:val="24"/>
        </w:rPr>
      </w:pPr>
      <w:r>
        <w:rPr>
          <w:noProof/>
        </w:rPr>
        <w:t>bb)</w:t>
      </w:r>
      <w:r>
        <w:rPr>
          <w:noProof/>
        </w:rPr>
        <w:tab/>
        <w:t>den är lägre än 50 % och ökningen (delta) av Herfindahl-Hirschman-indexet (HHI) till följd av koncentrationen på denna marknad är lägre än 150.</w:t>
      </w:r>
    </w:p>
    <w:p w14:paraId="52DF4028" w14:textId="77777777" w:rsidR="002138D6" w:rsidRPr="002138D6" w:rsidRDefault="002138D6" w:rsidP="002138D6">
      <w:pPr>
        <w:pStyle w:val="Point1"/>
        <w:ind w:left="1985"/>
        <w:rPr>
          <w:noProof/>
        </w:rPr>
      </w:pPr>
      <w:r>
        <w:rPr>
          <w:noProof/>
        </w:rPr>
        <w:t>ii)</w:t>
      </w:r>
      <w:r>
        <w:rPr>
          <w:noProof/>
        </w:rPr>
        <w:tab/>
        <w:t>De enskilda och/eller sammanlagda marknadsandelarna för de parter i koncentrationen som är verksamma på en produktmarknad i ett tidigare eller senare marknadsled i förhållande till en produktmarknad där någon annan part i koncentrationen är verksam (vertikal förbindelse) uppfyller åtminstone ett av följande villkor:</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de är lägre än 30 % i föregående och efterföljande marknadsled,</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de är lägre än 30 % på marknaden i föregående led och de parter i koncentrationen som är verksamma på marknaden i efterföljande led har en inköpsandel på mindre än 30 % när det gäller insatsvaror i föregående led,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de är lägre än 50 % i både föregående och efterföljande marknadsled, ökningen (deltat) av Herfindahl-Hirschman-indexet (HHI) till följd av koncentrationen ligger under 150 i både föregående och efterföljande marknadsled, och det mindre företaget har samma marknadsandel i föregående och efterföljande marknadsled.</w:t>
      </w:r>
    </w:p>
    <w:p w14:paraId="52DF402C" w14:textId="77777777" w:rsidR="002138D6" w:rsidRPr="002138D6" w:rsidRDefault="002138D6" w:rsidP="002138D6">
      <w:pPr>
        <w:pStyle w:val="Point1letter"/>
        <w:numPr>
          <w:ilvl w:val="3"/>
          <w:numId w:val="5"/>
        </w:numPr>
        <w:rPr>
          <w:noProof/>
        </w:rPr>
      </w:pPr>
      <w:r>
        <w:rPr>
          <w:noProof/>
        </w:rPr>
        <w:t>En part förvärvar ensam kontroll över ett företag som den redan kontrollerar gemensamt.</w:t>
      </w:r>
      <w:r>
        <w:rPr>
          <w:rStyle w:val="FootnoteReference"/>
          <w:noProof/>
          <w:szCs w:val="24"/>
        </w:rPr>
        <w:footnoteReference w:id="9"/>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På begäran av de anmälande parterna får kommissionen dessutom enligt det förenklade förfarandet och på grundval av ett förenklat CO-formulär granska koncentrationer genom vilka två eller flera företag slås samman eller ett eller flera företag förvärvar ensam eller gemensam kontroll över ett annat företag, förutsatt att båda nedanstående villkor är uppfyllda enligt alla rimliga marknadsdefinitioner</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Den sammanlagda marknadsandelen för alla parter i koncentrationen vilkas verksamheter ger upphov till en horisontell överlappning ligger fortsatt under 25 %. </w:t>
      </w:r>
    </w:p>
    <w:p w14:paraId="52DF402F" w14:textId="77777777" w:rsidR="002138D6" w:rsidRPr="002138D6" w:rsidRDefault="002138D6" w:rsidP="002138D6">
      <w:pPr>
        <w:pStyle w:val="Point1letter"/>
        <w:numPr>
          <w:ilvl w:val="3"/>
          <w:numId w:val="5"/>
        </w:numPr>
        <w:rPr>
          <w:noProof/>
        </w:rPr>
      </w:pPr>
      <w:r>
        <w:rPr>
          <w:noProof/>
        </w:rPr>
        <w:t xml:space="preserve">De enskilda och sammanlagda marknadsandelarna för alla parter i koncentrationen som är verksamma i ett vertikalt förhållande uppfyller minst ett av följande villkor: </w:t>
      </w:r>
    </w:p>
    <w:p w14:paraId="52DF4030" w14:textId="77777777" w:rsidR="002138D6" w:rsidRPr="002138D6" w:rsidRDefault="002138D6" w:rsidP="002138D6">
      <w:pPr>
        <w:pStyle w:val="Point2"/>
        <w:rPr>
          <w:noProof/>
        </w:rPr>
      </w:pPr>
      <w:r>
        <w:rPr>
          <w:noProof/>
        </w:rPr>
        <w:t>i)</w:t>
      </w:r>
      <w:r>
        <w:rPr>
          <w:noProof/>
        </w:rPr>
        <w:tab/>
        <w:t xml:space="preserve">De är lägre än 35 % i föregående och efterföljande marknadsled. </w:t>
      </w:r>
    </w:p>
    <w:p w14:paraId="52DF4031" w14:textId="77777777" w:rsidR="002138D6" w:rsidRPr="002138D6" w:rsidRDefault="002138D6" w:rsidP="002138D6">
      <w:pPr>
        <w:pStyle w:val="Point2"/>
        <w:rPr>
          <w:noProof/>
        </w:rPr>
      </w:pPr>
      <w:r>
        <w:rPr>
          <w:noProof/>
        </w:rPr>
        <w:t>ii)</w:t>
      </w:r>
      <w:r>
        <w:rPr>
          <w:noProof/>
        </w:rPr>
        <w:tab/>
        <w:t xml:space="preserve">De är lägre än 50 % på en marknad, medan de enskilda och sammanlagda marknadsandelarna för alla parter i koncentrationen på alla andra vertikalt relaterade marknader är mindre än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lastRenderedPageBreak/>
        <w:t>På begäran av de anmälande parterna får kommissionen dessutom granska koncentrationer enligt det förenklade förfarandet och på grundval av ett förenklat CO-formulär varigenom två eller flera företag förvärvar gemensam kontroll över ett gemensamt företag, under förutsättning att</w:t>
      </w:r>
      <w:r>
        <w:rPr>
          <w:rStyle w:val="FootnoteReference"/>
          <w:rFonts w:eastAsia="Georgia"/>
          <w:noProof/>
          <w:szCs w:val="24"/>
        </w:rPr>
        <w:footnoteReference w:id="11"/>
      </w:r>
    </w:p>
    <w:p w14:paraId="52DF4033" w14:textId="77777777" w:rsidR="002138D6" w:rsidRPr="002138D6" w:rsidRDefault="002138D6" w:rsidP="002138D6">
      <w:pPr>
        <w:pStyle w:val="Point1letter"/>
        <w:numPr>
          <w:ilvl w:val="3"/>
          <w:numId w:val="5"/>
        </w:numPr>
        <w:rPr>
          <w:noProof/>
        </w:rPr>
      </w:pPr>
      <w:r>
        <w:rPr>
          <w:noProof/>
        </w:rPr>
        <w:t xml:space="preserve">det gemensamma företagets aktuella årsomsättning och/eller den överförda verksamhetens omsättning är mindre än 150 miljoner euro inom EES-området, </w:t>
      </w:r>
    </w:p>
    <w:p w14:paraId="52DF4034" w14:textId="77777777" w:rsidR="002138D6" w:rsidRPr="002138D6" w:rsidRDefault="002138D6" w:rsidP="002138D6">
      <w:pPr>
        <w:pStyle w:val="Point1letter"/>
        <w:numPr>
          <w:ilvl w:val="3"/>
          <w:numId w:val="5"/>
        </w:numPr>
        <w:rPr>
          <w:noProof/>
        </w:rPr>
      </w:pPr>
      <w:r>
        <w:rPr>
          <w:noProof/>
        </w:rPr>
        <w:t>det totala värdet av de överföringar av tillgångar till det gemensamma företaget inom EES som planeras vid tidpunkten för anmälan är mindre än 150 miljoner euro</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Kommissionen kan alltid kräva ett CO-formulär om det verkar som om villkoren för att använda det förenklade CO-formuläret inte uppfylls, eller i undantagsfall, om kommissionen i det fallet att de uppfylls ändå anser att en anmälan med CO-formuläret krävs för att eventuella konkurrensproblem ska kunna undersökas på vederbörligt sätt.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Hur man fyller i och lämnar in det förenklade CO-formuläret </w:t>
      </w:r>
    </w:p>
    <w:p w14:paraId="52DF4037" w14:textId="77777777" w:rsidR="002138D6" w:rsidRPr="002138D6" w:rsidRDefault="002138D6" w:rsidP="002138D6">
      <w:pPr>
        <w:pStyle w:val="Point0number"/>
        <w:numPr>
          <w:ilvl w:val="0"/>
          <w:numId w:val="5"/>
        </w:numPr>
        <w:rPr>
          <w:noProof/>
        </w:rPr>
      </w:pPr>
      <w:r>
        <w:rPr>
          <w:noProof/>
        </w:rPr>
        <w:t xml:space="preserve">Vid en fusion enligt artikel 3.1 a i koncentrationsförordningen eller ett förvärv av gemensam kontroll över ett företag i den mening som avses i artikel 3.1 b i koncentrationsförordningen ska det förenklade CO-formuläret fyllas i gemensamt av parterna i fusionen eller av dem som förvärvar gemensam kontroll. Vid förvärv av ensam kontroll i den mening som avses i artikel 3.1 b i koncentrationsförordningen ska det förenklade CO-formuläret fyllas i av förvärvaren. Vid ett offentligt bud i syfte att förvärva ett företag ska det förenklade CO-formuläret fyllas i av den som lämnar budet. </w:t>
      </w:r>
    </w:p>
    <w:p w14:paraId="52DF4038" w14:textId="77777777" w:rsidR="002138D6" w:rsidRPr="002138D6" w:rsidRDefault="002138D6" w:rsidP="002138D6">
      <w:pPr>
        <w:pStyle w:val="Point0number"/>
        <w:numPr>
          <w:ilvl w:val="0"/>
          <w:numId w:val="5"/>
        </w:numPr>
        <w:rPr>
          <w:noProof/>
        </w:rPr>
      </w:pPr>
      <w:r>
        <w:rPr>
          <w:noProof/>
        </w:rPr>
        <w:t>Olika avsnitt i det förenklade CO-formuläret måste fyllas i, beroende på koncentrationens egenskaper och skälen till att koncentrationen uppfyller kraven för förenklad handläggning:</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Avsnitten 1, 2, 3, 4, 5, 6, 13, 14, 15 och 16 ska alltid fyllas i.</w:t>
      </w:r>
    </w:p>
    <w:p w14:paraId="52DF403A" w14:textId="77777777" w:rsidR="002138D6" w:rsidRPr="002138D6" w:rsidRDefault="002138D6" w:rsidP="002138D6">
      <w:pPr>
        <w:pStyle w:val="Point1letter"/>
        <w:numPr>
          <w:ilvl w:val="3"/>
          <w:numId w:val="5"/>
        </w:numPr>
        <w:rPr>
          <w:noProof/>
        </w:rPr>
      </w:pPr>
      <w:r>
        <w:rPr>
          <w:noProof/>
        </w:rPr>
        <w:t>Avsnitt 8 ska fyllas i om koncentrationen ger upphov till horisontella överlappningar mellan parternas verksamheter.</w:t>
      </w:r>
    </w:p>
    <w:p w14:paraId="52DF403B" w14:textId="77777777" w:rsidR="002138D6" w:rsidRPr="002138D6" w:rsidRDefault="002138D6" w:rsidP="002138D6">
      <w:pPr>
        <w:pStyle w:val="Point1letter"/>
        <w:numPr>
          <w:ilvl w:val="3"/>
          <w:numId w:val="5"/>
        </w:numPr>
        <w:rPr>
          <w:noProof/>
        </w:rPr>
      </w:pPr>
      <w:r>
        <w:rPr>
          <w:noProof/>
        </w:rPr>
        <w:t>Avsnitten 9 och 10 ska fyllas i om koncentrationen ger upphov till vertikala förbindelser mellan parternas verksamheter.</w:t>
      </w:r>
    </w:p>
    <w:p w14:paraId="52DF403C" w14:textId="77777777" w:rsidR="002138D6" w:rsidRPr="002138D6" w:rsidRDefault="002138D6" w:rsidP="002138D6">
      <w:pPr>
        <w:pStyle w:val="Point1letter"/>
        <w:numPr>
          <w:ilvl w:val="3"/>
          <w:numId w:val="5"/>
        </w:numPr>
        <w:rPr>
          <w:noProof/>
        </w:rPr>
      </w:pPr>
      <w:r>
        <w:rPr>
          <w:noProof/>
        </w:rPr>
        <w:t>Avsnitt 11 ska alltid fyllas i, utom för koncentrationer som omfattas av punkt 5 a eller 5 c i tillkännagivandet om ett förenklat förfarande.</w:t>
      </w:r>
    </w:p>
    <w:p w14:paraId="52DF403D" w14:textId="77777777" w:rsidR="002138D6" w:rsidRPr="002138D6" w:rsidRDefault="002138D6" w:rsidP="002138D6">
      <w:pPr>
        <w:pStyle w:val="Point1letter"/>
        <w:numPr>
          <w:ilvl w:val="3"/>
          <w:numId w:val="5"/>
        </w:numPr>
        <w:rPr>
          <w:noProof/>
        </w:rPr>
      </w:pPr>
      <w:r>
        <w:rPr>
          <w:noProof/>
        </w:rPr>
        <w:t xml:space="preserve">Avsnitt 12 ska fyllas i om det är fråga om ett gemensamt företag. </w:t>
      </w:r>
    </w:p>
    <w:p w14:paraId="52DF403E" w14:textId="77777777" w:rsidR="002138D6" w:rsidRPr="002138D6" w:rsidRDefault="002138D6" w:rsidP="002138D6">
      <w:pPr>
        <w:pStyle w:val="Point0number"/>
        <w:numPr>
          <w:ilvl w:val="0"/>
          <w:numId w:val="5"/>
        </w:numPr>
        <w:rPr>
          <w:noProof/>
        </w:rPr>
      </w:pPr>
      <w:r>
        <w:rPr>
          <w:noProof/>
        </w:rPr>
        <w:t>Innan en anmälan formellt lämnas in enligt det förenklade förfarandet, och oavsett vilken förenklad kategori koncentrationen tillhör, måste de anmälande parterna alltid lämna in en begäran om hänförande till ett handläggarteam. I denna begäran ska det anges vilken typ av transaktion det rör sig om, vilken kategori av förenklat ärende det rör sig om och vilket datum anmälan förväntas ske.</w:t>
      </w:r>
      <w:r>
        <w:rPr>
          <w:rStyle w:val="FootnoteReference"/>
          <w:noProof/>
        </w:rPr>
        <w:footnoteReference w:id="13"/>
      </w:r>
      <w:r>
        <w:rPr>
          <w:noProof/>
        </w:rPr>
        <w:t xml:space="preserve">  De anmälande parterna uppmanas att anmäla vissa kategorier av förenklade ärenden direkt utan eller med mycket korta kontakter före anmälan.</w:t>
      </w:r>
      <w:r>
        <w:rPr>
          <w:rStyle w:val="FootnoteReference"/>
          <w:noProof/>
        </w:rPr>
        <w:footnoteReference w:id="14"/>
      </w:r>
      <w:r>
        <w:rPr>
          <w:noProof/>
        </w:rPr>
        <w:t xml:space="preserve"> I sådana fall ska begäran om hänförande till ett handläggarteam lämnas in minst en vecka före det förväntade datumet för anmälan. I ärenden som ger upphov till </w:t>
      </w:r>
      <w:r>
        <w:rPr>
          <w:noProof/>
        </w:rPr>
        <w:lastRenderedPageBreak/>
        <w:t xml:space="preserve">horisontella överlappningar eller icke horisontella förbindelser mellan koncentrationsparternas verksamheter bör kontakter före anmälan inledas genom att begäran om hänförande till ett handläggarteam lämnas in minst två veckor före den förväntade dagen för anmälan. </w:t>
      </w:r>
    </w:p>
    <w:p w14:paraId="52DF403F" w14:textId="77777777" w:rsidR="002138D6" w:rsidRPr="002138D6" w:rsidRDefault="002138D6" w:rsidP="002138D6">
      <w:pPr>
        <w:pStyle w:val="Point0number"/>
        <w:numPr>
          <w:ilvl w:val="0"/>
          <w:numId w:val="5"/>
        </w:numPr>
        <w:rPr>
          <w:noProof/>
        </w:rPr>
      </w:pPr>
      <w:r>
        <w:rPr>
          <w:noProof/>
        </w:rPr>
        <w:t>Alla personuppgifter som lämnas i det förenklade CO-formuläret kommer att behandlas i enlighet med Europaparlamentets och rådets förordning (EU) 2018/1725 av den 23 oktober 2018 om skydd för fysiska personer med avseende på behandling av personuppgifter som utförs av unionens institutioner, organ och byråer och om det fria flödet av sådana uppgifter samt om upphävande av förordning (EG) nr 45/2001 och beslut nr 1247/2002/EG</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Det förenklade CO-formuläret ska undertecknas av personer som enligt lag är bemyndigade att företräda varje anmälande part eller av en eller flera behöriga externa företrädare för den anmälande parten eller parterna. Motsvarande fullmakter ska bifogas det förenklade CO-formuläret</w:t>
      </w:r>
      <w:r>
        <w:rPr>
          <w:rStyle w:val="FootnoteReference"/>
          <w:noProof/>
        </w:rPr>
        <w:footnoteReference w:id="16"/>
      </w:r>
      <w:r>
        <w:rPr>
          <w:noProof/>
        </w:rPr>
        <w:t>. Tekniska specifikationer och anvisningar för underskrifter kommer att offentliggöras regelbundet i</w:t>
      </w:r>
      <w:r>
        <w:rPr>
          <w:i/>
          <w:noProof/>
          <w:color w:val="231F20"/>
        </w:rPr>
        <w:t xml:space="preserve"> Europeiska unionens officiella tidning</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Definitioner för detta förenklade CO-formulär</w:t>
      </w:r>
    </w:p>
    <w:p w14:paraId="52DF4042" w14:textId="77777777" w:rsidR="002138D6" w:rsidRPr="002138D6" w:rsidRDefault="002138D6" w:rsidP="002138D6">
      <w:pPr>
        <w:pStyle w:val="Point0number"/>
        <w:numPr>
          <w:ilvl w:val="0"/>
          <w:numId w:val="5"/>
        </w:numPr>
        <w:rPr>
          <w:noProof/>
        </w:rPr>
      </w:pPr>
      <w:r>
        <w:rPr>
          <w:noProof/>
        </w:rPr>
        <w:t>I detta förenklade formulär gäller följande definitioner:</w:t>
      </w:r>
    </w:p>
    <w:p w14:paraId="52DF4043" w14:textId="77777777" w:rsidR="002138D6" w:rsidRPr="002138D6" w:rsidRDefault="002138D6" w:rsidP="002138D6">
      <w:pPr>
        <w:pStyle w:val="Point1letter"/>
        <w:numPr>
          <w:ilvl w:val="3"/>
          <w:numId w:val="5"/>
        </w:numPr>
        <w:rPr>
          <w:noProof/>
        </w:rPr>
      </w:pPr>
      <w:r>
        <w:rPr>
          <w:i/>
          <w:noProof/>
        </w:rPr>
        <w:t>Part/parter i koncentrationen</w:t>
      </w:r>
      <w:r>
        <w:rPr>
          <w:noProof/>
        </w:rPr>
        <w:t xml:space="preserve"> eller </w:t>
      </w:r>
      <w:r>
        <w:rPr>
          <w:i/>
          <w:noProof/>
        </w:rPr>
        <w:t>part/parter</w:t>
      </w:r>
      <w:r>
        <w:rPr>
          <w:noProof/>
        </w:rPr>
        <w:t xml:space="preserve">: både de(n) förvärvande och de(n) förvärvade parten/parterna, eller de fusionerande parterna, inbegripet alla företag i vilka en kontrollerande andel förvärvas eller som är föremål för ett offentligt bud. Om inte annat anges inbegriper begreppen </w:t>
      </w:r>
      <w:r>
        <w:rPr>
          <w:i/>
          <w:noProof/>
        </w:rPr>
        <w:t>anmälande part/parter</w:t>
      </w:r>
      <w:r>
        <w:rPr>
          <w:noProof/>
        </w:rPr>
        <w:t xml:space="preserve"> eller</w:t>
      </w:r>
      <w:r>
        <w:rPr>
          <w:i/>
          <w:noProof/>
        </w:rPr>
        <w:t xml:space="preserve"> part/parter i koncentrationen</w:t>
      </w:r>
      <w:r>
        <w:rPr>
          <w:noProof/>
        </w:rPr>
        <w:t xml:space="preserve"> alla företag som tillhör samma företagsgrupp som dessa parter.</w:t>
      </w:r>
    </w:p>
    <w:p w14:paraId="52DF4044" w14:textId="77777777" w:rsidR="002138D6" w:rsidRPr="002138D6" w:rsidRDefault="002138D6" w:rsidP="002138D6">
      <w:pPr>
        <w:pStyle w:val="Point1letter"/>
        <w:numPr>
          <w:ilvl w:val="3"/>
          <w:numId w:val="5"/>
        </w:numPr>
        <w:rPr>
          <w:noProof/>
        </w:rPr>
      </w:pPr>
      <w:r>
        <w:rPr>
          <w:i/>
          <w:noProof/>
        </w:rPr>
        <w:t>år</w:t>
      </w:r>
      <w:r>
        <w:rPr>
          <w:noProof/>
        </w:rPr>
        <w:t>: kalenderår, om inte annat anges. Alla uppgifter som begärs i det förenklade CO-formuläret ska, om inte annat anges, avse året före det år då anmälan görs.</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Krav på en korrekt och fullständig anmälan </w:t>
      </w:r>
    </w:p>
    <w:p w14:paraId="52DF4046" w14:textId="77777777" w:rsidR="002138D6" w:rsidRPr="002138D6" w:rsidRDefault="002138D6" w:rsidP="002138D6">
      <w:pPr>
        <w:pStyle w:val="Point0number"/>
        <w:numPr>
          <w:ilvl w:val="0"/>
          <w:numId w:val="5"/>
        </w:numPr>
        <w:rPr>
          <w:noProof/>
        </w:rPr>
      </w:pPr>
      <w:r>
        <w:rPr>
          <w:noProof/>
        </w:rPr>
        <w:t>Alla uppgifter som krävs i det förenklade CO-formuläret ska vara korrekta och fullständiga. De uppgifter som krävs ska lämnas i relevant avsnitt i det förenklade CO-formuläret. Varje part som fyller i anmälan ansvarar för att de uppgifter som lämnas är riktiga. Ni bör särskilt notera följande:</w:t>
      </w:r>
    </w:p>
    <w:p w14:paraId="52DF4047" w14:textId="77777777" w:rsidR="002138D6" w:rsidRPr="002138D6" w:rsidRDefault="002138D6" w:rsidP="002138D6">
      <w:pPr>
        <w:pStyle w:val="Point1letter"/>
        <w:numPr>
          <w:ilvl w:val="3"/>
          <w:numId w:val="5"/>
        </w:numPr>
        <w:rPr>
          <w:noProof/>
        </w:rPr>
      </w:pPr>
      <w:r>
        <w:rPr>
          <w:noProof/>
        </w:rPr>
        <w:t xml:space="preserve">Enligt artikel 10.1 i koncentrationsförordningen och artikel 5.2 och 5.4 i tillämpningsförordningen kommer de tidsfrister för anmälan som fastställs i koncentrationsförordningen inte att börja löpa förrän kommissionen har fått alla de upplysningar som måste lämnas med anmälan. Detta krav säkerställer att kommissionen kan bedöma den anmälda koncentrationen inom de stränga tidsfrister som fastställs i koncentrationsförordningen. Om en ansökan är ofullständig kommer kommissionen skriftligen och utan dröjsmål att underrätta de anmälande parterna eller deras ombud om detta. </w:t>
      </w:r>
    </w:p>
    <w:p w14:paraId="52DF4048" w14:textId="77777777" w:rsidR="002138D6" w:rsidRPr="002138D6" w:rsidRDefault="002138D6" w:rsidP="002138D6">
      <w:pPr>
        <w:pStyle w:val="Point1letter"/>
        <w:numPr>
          <w:ilvl w:val="3"/>
          <w:numId w:val="5"/>
        </w:numPr>
        <w:rPr>
          <w:noProof/>
        </w:rPr>
      </w:pPr>
      <w:r>
        <w:rPr>
          <w:noProof/>
        </w:rPr>
        <w:lastRenderedPageBreak/>
        <w:t>De(n) anmälande parten/parterna ska, när de utarbetar anmälan, kontrollera att alla kontaktpersoner och nummer, i synnerhet e-postadresser, som lämnas till kommissionen är riktiga, relevanta och aktuella.</w:t>
      </w:r>
    </w:p>
    <w:p w14:paraId="52DF4049" w14:textId="77777777" w:rsidR="002138D6" w:rsidRPr="002138D6" w:rsidRDefault="002138D6" w:rsidP="002138D6">
      <w:pPr>
        <w:pStyle w:val="Point1letter"/>
        <w:numPr>
          <w:ilvl w:val="3"/>
          <w:numId w:val="5"/>
        </w:numPr>
        <w:rPr>
          <w:noProof/>
        </w:rPr>
      </w:pPr>
      <w:r>
        <w:rPr>
          <w:noProof/>
        </w:rPr>
        <w:t>i enlighet med artikel 5.4 i tillämpningsförordningen kommer oriktiga eller vilseledande uppgifter i anmälan att betraktas som ofullständig information.</w:t>
      </w:r>
    </w:p>
    <w:p w14:paraId="52DF404A" w14:textId="77777777" w:rsidR="002138D6" w:rsidRPr="002138D6" w:rsidRDefault="002138D6" w:rsidP="002138D6">
      <w:pPr>
        <w:pStyle w:val="Point1letter"/>
        <w:numPr>
          <w:ilvl w:val="3"/>
          <w:numId w:val="5"/>
        </w:numPr>
        <w:rPr>
          <w:noProof/>
        </w:rPr>
      </w:pPr>
      <w:r>
        <w:rPr>
          <w:noProof/>
        </w:rPr>
        <w:t>Begärda kontaktuppgifter ska lämnas i ett format som generaldirektoratet för konkurrens (</w:t>
      </w:r>
      <w:r>
        <w:rPr>
          <w:i/>
          <w:noProof/>
        </w:rPr>
        <w:t>GD Konkurrens</w:t>
      </w:r>
      <w:r>
        <w:rPr>
          <w:noProof/>
        </w:rPr>
        <w:t>) föreskriver på sin webbplats</w:t>
      </w:r>
      <w:r>
        <w:rPr>
          <w:rStyle w:val="FootnoteReference"/>
          <w:noProof/>
        </w:rPr>
        <w:footnoteReference w:id="17"/>
      </w:r>
      <w:r>
        <w:rPr>
          <w:noProof/>
        </w:rPr>
        <w:t xml:space="preserve">.   Ett korrekt granskningsförfarande kräver att kontaktuppgifterna är riktiga. För detta ändamål ska det säkerställas att e-postadresserna är personliga och tilldelade särskilda kontaktpersoner och att de inte är företagsbrevlådor (t.ex. info@, hello@). Kommissionen får förklara anmälan ofullständig på grundval av olämpliga kontaktuppgifter. </w:t>
      </w:r>
    </w:p>
    <w:p w14:paraId="52DF404B" w14:textId="77777777" w:rsidR="002138D6" w:rsidRPr="002138D6" w:rsidRDefault="002138D6" w:rsidP="002138D6">
      <w:pPr>
        <w:pStyle w:val="Point1letter"/>
        <w:numPr>
          <w:ilvl w:val="3"/>
          <w:numId w:val="5"/>
        </w:numPr>
        <w:rPr>
          <w:noProof/>
        </w:rPr>
      </w:pPr>
      <w:r>
        <w:rPr>
          <w:noProof/>
        </w:rPr>
        <w:t>Enligt artikel 14.1 a i koncentrationsförordningen kan anmälande parter som uppsåtligen eller av oaktsamhet lämnar oriktiga eller vilseledande uppgifter åläggas böter om högst 1 % av det berörda företagets sammanlagda omsättning. Dessutom kan kommissionen enligt artikel 6.3 a och artikel 8.6 a i koncentrationsförordningen återkalla sitt beslut om en koncentrations förenlighet med den inre marknaden, om beslutet är grundat på oriktiga uppgifter för vilka en av parterna i koncentrationen är ansvarig.</w:t>
      </w:r>
    </w:p>
    <w:p w14:paraId="52DF404C" w14:textId="77777777" w:rsidR="002138D6" w:rsidRPr="002138D6" w:rsidRDefault="002138D6" w:rsidP="002138D6">
      <w:pPr>
        <w:pStyle w:val="Point1letter"/>
        <w:numPr>
          <w:ilvl w:val="3"/>
          <w:numId w:val="5"/>
        </w:numPr>
        <w:rPr>
          <w:noProof/>
        </w:rPr>
      </w:pPr>
      <w:r>
        <w:rPr>
          <w:noProof/>
        </w:rPr>
        <w:t>Ni kan skriva till kommissionen och begära att den godtar att anmälan är fullständig trots att de uppgifter som krävs enligt det förenklade formuläret inte har lämnats in, om dessa uppgifter inte rimligen är tillgängliga för er delvis eller helt (t. ex. på grund av bristande information om ett företag som motsätter sig ett uppköpserbjudande). Kommissionen kommer att ta upp en sådan begäran till bedömning om ni anger skälen till att informationen inte var tillgänglig, och ger era bästa möjliga uppskattningar av uppgifter som saknas tillsammans med de källor som används vid uppskattningarna. Om möjligt bör ni ange var kommissionen kan få de begärda uppgifter som ni inte har tillgång till.</w:t>
      </w:r>
    </w:p>
    <w:p w14:paraId="52DF404D" w14:textId="77777777" w:rsidR="002138D6" w:rsidRPr="002138D6" w:rsidRDefault="002138D6" w:rsidP="002138D6">
      <w:pPr>
        <w:pStyle w:val="Point1letter"/>
        <w:numPr>
          <w:ilvl w:val="3"/>
          <w:numId w:val="5"/>
        </w:numPr>
        <w:rPr>
          <w:noProof/>
        </w:rPr>
      </w:pPr>
      <w:r>
        <w:rPr>
          <w:noProof/>
        </w:rPr>
        <w:t>Enligt artikel 4.2 i tillämpningsförordningen får kommissionen bevilja undantag från skyldigheten att lämna vissa uppgifter i anmälan om den anser att det inte är nödvändigt för undersökningen av ärendet att sådana skyldigheter eller krav iakttas. Ni kan därför i förhandsanmälan lämna in en skriftlig begäran om att kommissionen ska bevilja dispens från skyldigheten att lämna vissa uppgifter som ni inte anser vara nödvändiga för att kommissionen ska kunna undersöka ärendet. En sådan begäran om dispens bör skickas samtidigt med utkastet till det förenklade CO-formuläret i föranmälan. Begäran om dispens ska göras i ett separat e-postmeddelande till det ansvariga teamet. Kommissionen kommer att beakta begäranden om dispens så länge som de anger tillräckliga skäl till varför informationen i fråga inte är nödvändig för undersökningen av ärendet. I enlighet med GD Konkurrens handledning om bästa metoder för genomförande av förfaranden för kontroll av företagskoncentrationer behöver GD Konkurrens i regel fem arbetsdagar för att besvara en begäran om dispens. För att undvika tvivel bör ni notera att enbart på grund av att kommissionen kan ha godtagit att vissa upplysningar som begärts i det förenklade CO-formuläret inte var nödvändiga för att slutföra en anmälan av en koncentration, hindrar inte kommissionen från att begära dessa upplysningar när som helst (före eller efter anmälan), till exempel genom en begäran om upplysningar enligt artikel 11 i koncentrationsförordningen.</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lastRenderedPageBreak/>
        <w:t>Återgång till det normala förfarandet och anmälan enligt CO-formuläret</w:t>
      </w:r>
    </w:p>
    <w:p w14:paraId="52DF404F" w14:textId="77777777" w:rsidR="002138D6" w:rsidRPr="002138D6" w:rsidRDefault="002138D6" w:rsidP="002138D6">
      <w:pPr>
        <w:pStyle w:val="Point0number"/>
        <w:numPr>
          <w:ilvl w:val="0"/>
          <w:numId w:val="5"/>
        </w:numPr>
        <w:rPr>
          <w:noProof/>
        </w:rPr>
      </w:pPr>
      <w:r>
        <w:rPr>
          <w:noProof/>
        </w:rPr>
        <w:t>När kommissionen bedömer om en koncentration kan anmälas enligt det förenklade förfarandet med det förenklade CO-formuläret kommer den att se till att alla relevanta omständigheter fastställs tillräckligt tydligt. I detta avseende har de anmälande parterna ansvaret för att lämna korrekta och fullständiga uppgifter.</w:t>
      </w:r>
    </w:p>
    <w:p w14:paraId="52DF4050" w14:textId="77777777" w:rsidR="002138D6" w:rsidRPr="002138D6" w:rsidRDefault="002138D6" w:rsidP="002138D6">
      <w:pPr>
        <w:pStyle w:val="Point0number"/>
        <w:numPr>
          <w:ilvl w:val="0"/>
          <w:numId w:val="5"/>
        </w:numPr>
        <w:rPr>
          <w:noProof/>
        </w:rPr>
      </w:pPr>
      <w:r>
        <w:rPr>
          <w:noProof/>
        </w:rPr>
        <w:t>Om kommissionen efter det att koncentrationen anmälts anser att ärendet inte lämpar sig för anmälan enligt det förenklade förfarandet, kan den kräva en fullständig, eller eventuellt en partiell, anmälan enligt CO-formuläret. Detta kan ske i följande fall:</w:t>
      </w:r>
    </w:p>
    <w:p w14:paraId="52DF4051" w14:textId="77777777" w:rsidR="002138D6" w:rsidRPr="002138D6" w:rsidRDefault="002138D6" w:rsidP="002138D6">
      <w:pPr>
        <w:pStyle w:val="Point1letter"/>
        <w:numPr>
          <w:ilvl w:val="3"/>
          <w:numId w:val="5"/>
        </w:numPr>
        <w:rPr>
          <w:noProof/>
        </w:rPr>
      </w:pPr>
      <w:r>
        <w:rPr>
          <w:noProof/>
        </w:rPr>
        <w:t>Det verkar som om villkoren för att använda det förenklade CO-formuläret inte uppfylls.</w:t>
      </w:r>
    </w:p>
    <w:p w14:paraId="52DF4052" w14:textId="77777777" w:rsidR="002138D6" w:rsidRPr="002138D6" w:rsidRDefault="002138D6" w:rsidP="002138D6">
      <w:pPr>
        <w:pStyle w:val="Point1letter"/>
        <w:numPr>
          <w:ilvl w:val="3"/>
          <w:numId w:val="5"/>
        </w:numPr>
        <w:rPr>
          <w:noProof/>
        </w:rPr>
      </w:pPr>
      <w:r>
        <w:rPr>
          <w:noProof/>
        </w:rPr>
        <w:t>Det, trots att villkoren för att använda det förenklade CO-formuläret uppfylls, behövs en fullständig eller partiell anmälan med CO-formuläret för att eventuella konkurrensproblem ska kunna undersökas på vederbörligt sätt eller för att fastställa att transaktionen är en koncentration i den mening som avses i artikel 3 i koncentrationsförordningen.</w:t>
      </w:r>
    </w:p>
    <w:p w14:paraId="52DF4053" w14:textId="77777777" w:rsidR="002138D6" w:rsidRPr="002138D6" w:rsidRDefault="002138D6" w:rsidP="002138D6">
      <w:pPr>
        <w:pStyle w:val="Point1letter"/>
        <w:numPr>
          <w:ilvl w:val="3"/>
          <w:numId w:val="5"/>
        </w:numPr>
        <w:rPr>
          <w:noProof/>
        </w:rPr>
      </w:pPr>
      <w:r>
        <w:rPr>
          <w:noProof/>
        </w:rPr>
        <w:t>Det förenklade CO-formuläret innehåller oriktiga eller vilseledande uppgifter.</w:t>
      </w:r>
    </w:p>
    <w:p w14:paraId="52DF4054" w14:textId="77777777" w:rsidR="002138D6" w:rsidRPr="002138D6" w:rsidRDefault="002138D6" w:rsidP="002138D6">
      <w:pPr>
        <w:pStyle w:val="Point1letter"/>
        <w:numPr>
          <w:ilvl w:val="3"/>
          <w:numId w:val="5"/>
        </w:numPr>
        <w:rPr>
          <w:noProof/>
        </w:rPr>
      </w:pPr>
      <w:r>
        <w:rPr>
          <w:noProof/>
        </w:rPr>
        <w:t xml:space="preserve">En medlemsstat eller en Eftastat på goda grunder påpekar konkurrensproblem gällande den anmälda koncentrationen inom 15 arbetsdagar efter att ha tagit emot en kopia av det förenklade CO-formuläret. </w:t>
      </w:r>
    </w:p>
    <w:p w14:paraId="52DF4055" w14:textId="77777777" w:rsidR="002138D6" w:rsidRPr="002138D6" w:rsidRDefault="002138D6" w:rsidP="002138D6">
      <w:pPr>
        <w:pStyle w:val="Point1letter"/>
        <w:numPr>
          <w:ilvl w:val="3"/>
          <w:numId w:val="5"/>
        </w:numPr>
        <w:rPr>
          <w:noProof/>
        </w:rPr>
      </w:pPr>
      <w:r>
        <w:rPr>
          <w:noProof/>
        </w:rPr>
        <w:t>En tredje part kommer med underbyggda konkurrensproblem inom den tidsfrist som kommissionen fastställt för tredje parter att framföra sådana synpunkter.</w:t>
      </w:r>
    </w:p>
    <w:p w14:paraId="52DF4056" w14:textId="77777777" w:rsidR="002138D6" w:rsidRPr="002138D6" w:rsidRDefault="002138D6" w:rsidP="002138D6">
      <w:pPr>
        <w:pStyle w:val="Point0number"/>
        <w:numPr>
          <w:ilvl w:val="0"/>
          <w:numId w:val="5"/>
        </w:numPr>
        <w:rPr>
          <w:noProof/>
        </w:rPr>
      </w:pPr>
      <w:r>
        <w:rPr>
          <w:noProof/>
        </w:rPr>
        <w:t>I sådana fall kan anmälan anses ofullständig i ett väsentligt avseende i den mening som avses i artikel 5.2 i tillämpningsförordningen. Kommissionen kommer att underrätta de anmälande parterna eller deras ombud om detta skriftligen och utan dröjsmål. Anmälan blir gällande först den dag då alla uppgifter som krävs har tagits emot.</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Konfidentialitet</w:t>
      </w:r>
    </w:p>
    <w:p w14:paraId="52DF4058" w14:textId="77777777" w:rsidR="002138D6" w:rsidRPr="002138D6" w:rsidRDefault="002138D6" w:rsidP="002138D6">
      <w:pPr>
        <w:pStyle w:val="Point0number"/>
        <w:numPr>
          <w:ilvl w:val="0"/>
          <w:numId w:val="5"/>
        </w:numPr>
        <w:rPr>
          <w:noProof/>
        </w:rPr>
      </w:pPr>
      <w:r>
        <w:rPr>
          <w:noProof/>
        </w:rPr>
        <w:t>Det följer av artikel 339 i fördraget om Europeiska unionens funktionssätt och artikel 17.2 i koncentrationsförordningen samt av motsvarande bestämmelser i EES-avtalet att kommissionen, medlemsstaterna och Eftas övervakningsmyndighet och Eftastaterna samt deras tjänstemän och andra anställda inte får avslöja upplysningar som de har inhämtat vid tillämpning av den förordningen och som är av sådant slag att de omfattas av sekretess. Samma princip ska också gälla för att skydda konfidentiella uppgifter mellan de anmälande parterna.</w:t>
      </w:r>
    </w:p>
    <w:p w14:paraId="52DF4059" w14:textId="77777777" w:rsidR="002138D6" w:rsidRPr="002138D6" w:rsidRDefault="002138D6" w:rsidP="002138D6">
      <w:pPr>
        <w:pStyle w:val="Point0number"/>
        <w:numPr>
          <w:ilvl w:val="0"/>
          <w:numId w:val="5"/>
        </w:numPr>
        <w:rPr>
          <w:noProof/>
        </w:rPr>
      </w:pPr>
      <w:r>
        <w:rPr>
          <w:noProof/>
        </w:rPr>
        <w:t>Om ni anser att det skulle skada era intressen om några av de uppgifter som ni har uppmanats att lämna offentliggörs eller på annat sätt sprids till andra parter, lämna dessa uppgifter separat och märk varje sida klart och tydligt med ”Affärshemligheter”. Ange också skälen till att dessa uppgifter inte bör spridas eller offentliggöras.</w:t>
      </w:r>
    </w:p>
    <w:p w14:paraId="52DF405A" w14:textId="77777777" w:rsidR="002138D6" w:rsidRPr="002138D6" w:rsidRDefault="002138D6" w:rsidP="002138D6">
      <w:pPr>
        <w:pStyle w:val="Point0number"/>
        <w:numPr>
          <w:ilvl w:val="0"/>
          <w:numId w:val="5"/>
        </w:numPr>
        <w:rPr>
          <w:noProof/>
        </w:rPr>
      </w:pPr>
      <w:r>
        <w:rPr>
          <w:noProof/>
        </w:rPr>
        <w:t>När det gäller fusioner eller gemensamma förvärv eller andra fall där anmälan fylls i av mer än en av parterna, kan affärshemligheter översändas i ett separat kuvert och i anmälan hänvisas till som en bilaga. Alla sådana bilagor måste bifogas anmälan så att den kan anses vara fullständig.</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lastRenderedPageBreak/>
        <w:t xml:space="preserve">AVSNITT 1 </w:t>
      </w:r>
      <w:r>
        <w:rPr>
          <w:noProof/>
        </w:rPr>
        <w:br/>
        <w:t>Allmän information om ärendet</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*Ärendenummer:</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*Ärendets namn:</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Språk:</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ska kompletteras med uppgifter från registreringsenheten för företagskoncentrationer</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Om inte annat anges ska hänvisningar till artiklar i tabellerna nedan läsas som hänvisningar till artiklarna i koncentrationsförordningen</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Anmälan enligt förenklad handläggning: ja</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Koncentrationsförordning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Behörighet:</w:t>
            </w:r>
            <w:r>
              <w:rPr>
                <w:noProof/>
              </w:rPr>
              <w:tab/>
            </w:r>
          </w:p>
          <w:p w14:paraId="52DF406D"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A965CB">
                  <w:rPr>
                    <w:rFonts w:ascii="Segoe UI Symbol" w:eastAsia="Calibri" w:hAnsi="Segoe UI Symbol" w:cs="Segoe UI Symbol"/>
                    <w:noProof/>
                  </w:rPr>
                  <w:t>☐</w:t>
                </w:r>
              </w:sdtContent>
            </w:sdt>
            <w:r w:rsidR="004E11D1">
              <w:rPr>
                <w:rFonts w:ascii="Times New Roman" w:hAnsi="Times New Roman"/>
                <w:noProof/>
              </w:rPr>
              <w:t xml:space="preserve"> Artikel 1.2 </w:t>
            </w:r>
          </w:p>
          <w:p w14:paraId="52DF406E"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A965CB">
                  <w:rPr>
                    <w:rFonts w:ascii="Segoe UI Symbol" w:eastAsia="Calibri" w:hAnsi="Segoe UI Symbol" w:cs="Segoe UI Symbol"/>
                    <w:noProof/>
                  </w:rPr>
                  <w:t>☐</w:t>
                </w:r>
              </w:sdtContent>
            </w:sdt>
            <w:r w:rsidR="004E11D1">
              <w:rPr>
                <w:rFonts w:ascii="Times New Roman" w:hAnsi="Times New Roman"/>
                <w:noProof/>
              </w:rPr>
              <w:t xml:space="preserve"> Artikel 1.3 </w:t>
            </w:r>
          </w:p>
          <w:p w14:paraId="52DF406F"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sidRPr="00A965CB">
                  <w:rPr>
                    <w:rFonts w:ascii="Segoe UI Symbol" w:eastAsia="Calibri" w:hAnsi="Segoe UI Symbol" w:cs="Segoe UI Symbol"/>
                    <w:noProof/>
                  </w:rPr>
                  <w:t>☐</w:t>
                </w:r>
              </w:sdtContent>
            </w:sdt>
            <w:r w:rsidR="004E11D1">
              <w:rPr>
                <w:rFonts w:ascii="Times New Roman" w:hAnsi="Times New Roman"/>
                <w:noProof/>
              </w:rPr>
              <w:t xml:space="preserve"> Artikel 4.5 </w:t>
            </w:r>
          </w:p>
          <w:p w14:paraId="52DF4070"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sidRPr="00A965CB">
                  <w:rPr>
                    <w:rFonts w:ascii="Segoe UI Symbol" w:eastAsia="Calibri" w:hAnsi="Segoe UI Symbol" w:cs="Segoe UI Symbol"/>
                    <w:noProof/>
                  </w:rPr>
                  <w:t>☐</w:t>
                </w:r>
              </w:sdtContent>
            </w:sdt>
            <w:r w:rsidR="004E11D1">
              <w:rPr>
                <w:rFonts w:ascii="Times New Roman" w:hAnsi="Times New Roman"/>
                <w:noProof/>
              </w:rPr>
              <w:t xml:space="preserve"> Artikel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Grund för anmälan: </w:t>
            </w:r>
          </w:p>
          <w:p w14:paraId="52DF4072"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A965CB">
                  <w:rPr>
                    <w:rFonts w:ascii="Segoe UI Symbol" w:eastAsia="Calibri" w:hAnsi="Segoe UI Symbol" w:cs="Segoe UI Symbol"/>
                    <w:noProof/>
                  </w:rPr>
                  <w:t>☐</w:t>
                </w:r>
              </w:sdtContent>
            </w:sdt>
            <w:r w:rsidR="004E11D1">
              <w:rPr>
                <w:rFonts w:ascii="Times New Roman" w:hAnsi="Times New Roman"/>
                <w:noProof/>
              </w:rPr>
              <w:t xml:space="preserve"> Artikel 4.1 </w:t>
            </w:r>
          </w:p>
          <w:p w14:paraId="52DF4073"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A965CB">
                  <w:rPr>
                    <w:rFonts w:ascii="Segoe UI Symbol" w:eastAsia="Calibri" w:hAnsi="Segoe UI Symbol" w:cs="Segoe UI Symbol"/>
                    <w:noProof/>
                  </w:rPr>
                  <w:t>☐</w:t>
                </w:r>
              </w:sdtContent>
            </w:sdt>
            <w:r w:rsidR="004E11D1">
              <w:rPr>
                <w:rFonts w:ascii="Times New Roman" w:hAnsi="Times New Roman"/>
                <w:noProof/>
              </w:rPr>
              <w:t xml:space="preserve"> Artikel 4.4 </w:t>
            </w:r>
          </w:p>
          <w:p w14:paraId="52DF4074"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Artikel 4.5 </w:t>
            </w:r>
          </w:p>
          <w:p w14:paraId="52DF4075"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Artikel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Koncentration:</w:t>
            </w:r>
          </w:p>
          <w:p w14:paraId="52DF4078" w14:textId="77777777" w:rsidR="002138D6" w:rsidRPr="00F87AAF"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A965CB">
                  <w:rPr>
                    <w:rFonts w:ascii="Segoe UI Symbol" w:hAnsi="Segoe UI Symbol" w:cs="Segoe UI Symbol"/>
                    <w:noProof/>
                  </w:rPr>
                  <w:t>☐</w:t>
                </w:r>
              </w:sdtContent>
            </w:sdt>
            <w:r w:rsidR="004E11D1">
              <w:rPr>
                <w:rFonts w:ascii="Times New Roman" w:hAnsi="Times New Roman"/>
                <w:noProof/>
              </w:rPr>
              <w:t xml:space="preserve"> Koncentration [artikel 3.1 a]</w:t>
            </w:r>
            <w:r w:rsidR="004E11D1">
              <w:rPr>
                <w:rStyle w:val="FootnoteReference"/>
                <w:rFonts w:ascii="Times New Roman" w:hAnsi="Times New Roman" w:cs="Times New Roman"/>
                <w:noProof/>
              </w:rPr>
              <w:footnoteReference w:id="18"/>
            </w:r>
            <w:r w:rsidR="004E11D1">
              <w:rPr>
                <w:rFonts w:ascii="Times New Roman" w:hAnsi="Times New Roman"/>
                <w:noProof/>
                <w:sz w:val="16"/>
              </w:rPr>
              <w:t xml:space="preserve"> </w:t>
            </w:r>
            <w:r w:rsidR="004E11D1">
              <w:rPr>
                <w:rFonts w:ascii="Times New Roman" w:hAnsi="Times New Roman"/>
                <w:noProof/>
              </w:rPr>
              <w:t xml:space="preserve"> </w:t>
            </w:r>
          </w:p>
          <w:p w14:paraId="52DF4079" w14:textId="77777777" w:rsidR="002138D6" w:rsidRPr="00F87AAF" w:rsidRDefault="001C301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A965CB">
                  <w:rPr>
                    <w:rFonts w:ascii="Segoe UI Symbol" w:hAnsi="Segoe UI Symbol" w:cs="Segoe UI Symbol"/>
                    <w:noProof/>
                  </w:rPr>
                  <w:t>☐</w:t>
                </w:r>
              </w:sdtContent>
            </w:sdt>
            <w:r w:rsidR="004E11D1">
              <w:rPr>
                <w:rFonts w:ascii="Times New Roman" w:hAnsi="Times New Roman"/>
                <w:noProof/>
              </w:rPr>
              <w:t xml:space="preserve"> Förvärv av ensam kontroll [artikel 3.1 b]</w:t>
            </w:r>
          </w:p>
          <w:p w14:paraId="52DF407A" w14:textId="77777777" w:rsidR="002138D6" w:rsidRPr="00F87AAF" w:rsidRDefault="001C301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A965CB">
                  <w:rPr>
                    <w:rFonts w:ascii="Segoe UI Symbol" w:hAnsi="Segoe UI Symbol" w:cs="Segoe UI Symbol"/>
                    <w:noProof/>
                  </w:rPr>
                  <w:t>☐</w:t>
                </w:r>
              </w:sdtContent>
            </w:sdt>
            <w:r w:rsidR="004E11D1">
              <w:rPr>
                <w:noProof/>
              </w:rPr>
              <w:t xml:space="preserve"> </w:t>
            </w:r>
            <w:r w:rsidR="004E11D1">
              <w:rPr>
                <w:rFonts w:ascii="Times New Roman" w:hAnsi="Times New Roman"/>
                <w:noProof/>
              </w:rPr>
              <w:t>Förvärv av gemensam kontroll [artikel 3.1 b]</w:t>
            </w:r>
            <w:r w:rsidR="004E11D1">
              <w:rPr>
                <w:rStyle w:val="FootnoteReference"/>
                <w:rFonts w:ascii="Times New Roman" w:hAnsi="Times New Roman" w:cs="Times New Roman"/>
                <w:noProof/>
              </w:rPr>
              <w:footnoteReference w:id="19"/>
            </w:r>
            <w:r w:rsidR="004E11D1">
              <w:rPr>
                <w:rFonts w:ascii="Times New Roman" w:hAnsi="Times New Roman"/>
                <w:noProof/>
                <w:sz w:val="16"/>
              </w:rPr>
              <w:t xml:space="preserve"> </w:t>
            </w:r>
            <w:r w:rsidR="004E11D1">
              <w:rPr>
                <w:rFonts w:ascii="Times New Roman" w:hAnsi="Times New Roman"/>
                <w:noProof/>
              </w:rPr>
              <w:t xml:space="preserve"> </w:t>
            </w:r>
          </w:p>
          <w:p w14:paraId="52DF407B" w14:textId="77777777" w:rsidR="002138D6" w:rsidRPr="00F87AAF" w:rsidRDefault="001C301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A965CB">
                  <w:rPr>
                    <w:rFonts w:ascii="Segoe UI Symbol" w:hAnsi="Segoe UI Symbol" w:cs="Segoe UI Symbol"/>
                    <w:noProof/>
                  </w:rPr>
                  <w:t>☐</w:t>
                </w:r>
              </w:sdtContent>
            </w:sdt>
            <w:r w:rsidR="004E11D1">
              <w:rPr>
                <w:rFonts w:ascii="Times New Roman" w:hAnsi="Times New Roman"/>
                <w:noProof/>
              </w:rPr>
              <w:t xml:space="preserve"> Förvärv av gemensam kontroll över ett nybildat gemensamt företag [artikel 3.4]</w:t>
            </w:r>
            <w:r w:rsidR="004E11D1">
              <w:rPr>
                <w:rStyle w:val="FootnoteReference"/>
                <w:rFonts w:ascii="Times New Roman" w:hAnsi="Times New Roman" w:cs="Times New Roman"/>
                <w:noProof/>
              </w:rPr>
              <w:footnoteReference w:id="20"/>
            </w:r>
            <w:r w:rsidR="004E11D1">
              <w:rPr>
                <w:rFonts w:ascii="Times New Roman" w:hAnsi="Times New Roman"/>
                <w:noProof/>
                <w:sz w:val="16"/>
              </w:rPr>
              <w:t xml:space="preserve"> </w:t>
            </w:r>
            <w:r w:rsidR="004E11D1">
              <w:rPr>
                <w:rFonts w:ascii="Times New Roman" w:hAnsi="Times New Roman"/>
                <w:noProof/>
              </w:rPr>
              <w:t xml:space="preserve"> </w:t>
            </w:r>
          </w:p>
          <w:p w14:paraId="52DF407C" w14:textId="77777777" w:rsidR="002138D6" w:rsidRPr="002138D6" w:rsidRDefault="001C301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Förvärv av gemensam kontroll i något annat scenario (dvs. minst en tidigare kontrollerande aktieägare återstår) [artikel 3.1 b och 3.4]</w:t>
            </w:r>
            <w:r w:rsidR="004E11D1">
              <w:rPr>
                <w:rStyle w:val="FootnoteReference"/>
                <w:rFonts w:ascii="Times New Roman" w:hAnsi="Times New Roman" w:cs="Times New Roman"/>
                <w:noProof/>
              </w:rPr>
              <w:footnoteReference w:id="21"/>
            </w:r>
            <w:r w:rsidR="004E11D1">
              <w:rPr>
                <w:rFonts w:ascii="Times New Roman" w:hAnsi="Times New Roman"/>
                <w:noProof/>
                <w:sz w:val="16"/>
              </w:rPr>
              <w:t xml:space="preserve"> </w:t>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Kategori av ärende i enlighet med tillkännagivandet om ett förenklat förfarande: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Punkt 5 a i tillkännagivandet om ett förenklat förfarande</w:t>
            </w:r>
          </w:p>
          <w:p w14:paraId="52DF4080"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Punkt 5 e i tillkännagivandet om ett förenklat förfarande</w:t>
            </w:r>
          </w:p>
          <w:p w14:paraId="52DF4081"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Punkt 5 b i tillkännagivandet om ett förenklat förfarande</w:t>
            </w:r>
          </w:p>
          <w:p w14:paraId="52DF4082"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Punkt 5 c i tillkännagivandet om ett förenklat förfarande</w:t>
            </w:r>
          </w:p>
          <w:p w14:paraId="52DF4083"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Punkt 8 i tillkännagivandet om ett förenklat förfarande</w:t>
            </w:r>
          </w:p>
          <w:p w14:paraId="52DF4084"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Punkt 5 d i tillkännagivandet om ett förenklat förfarande</w:t>
            </w:r>
          </w:p>
          <w:p w14:paraId="52DF4085" w14:textId="77777777" w:rsidR="002138D6" w:rsidRPr="002138D6" w:rsidRDefault="001C3017"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Punkt 9 i tillkännagivandet om ett förenklat förfarande</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lastRenderedPageBreak/>
              <w:t xml:space="preserve">Anmälan kopplad till ett tidigare ärende (sammanlänkad transaktion/parallell transaktion/ärende avbrutet eller återkallat)? JA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Om ja, ange ärendenummer:</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Anmälan kopplad till ett samråd om samma koncentration? JA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Om ja, ange samrådsnummer:</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Metod för att genomföra koncentrationen:</w:t>
            </w:r>
          </w:p>
          <w:p w14:paraId="52DF408D" w14:textId="77777777" w:rsidR="002138D6" w:rsidRPr="002138D6" w:rsidRDefault="001C301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Offentligt bud tillkännagivet den [DATUM].</w:t>
            </w:r>
          </w:p>
          <w:p w14:paraId="52DF408E" w14:textId="77777777" w:rsidR="002138D6" w:rsidRPr="002138D6" w:rsidRDefault="001C301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Inköp av andelar</w:t>
            </w:r>
          </w:p>
          <w:p w14:paraId="52DF408F" w14:textId="77777777" w:rsidR="002138D6" w:rsidRPr="002138D6" w:rsidRDefault="001C301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Inköp av tillgångar</w:t>
            </w:r>
          </w:p>
          <w:p w14:paraId="52DF4090" w14:textId="77777777" w:rsidR="002138D6" w:rsidRPr="002138D6" w:rsidRDefault="001C301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Inköp av värdepapper</w:t>
            </w:r>
          </w:p>
          <w:p w14:paraId="52DF4091" w14:textId="77777777" w:rsidR="002138D6" w:rsidRPr="002138D6" w:rsidRDefault="001C301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Förvaltningsavtal eller andra avtalsenliga medel</w:t>
            </w:r>
          </w:p>
          <w:p w14:paraId="52DF4092" w14:textId="77777777" w:rsidR="002138D6" w:rsidRPr="002138D6" w:rsidRDefault="001C301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Inköp av aktier i ett nyskapat företag som utgör ett gemensamt företag.</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Koncentrationens värde i euro:</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Säte för de företag som deltar i koncentrationen:</w:t>
            </w:r>
          </w:p>
          <w:p w14:paraId="52DF4096" w14:textId="77777777" w:rsidR="002138D6" w:rsidRPr="002138D6" w:rsidRDefault="001C3017"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 samma medlemsstat</w:t>
            </w:r>
          </w:p>
          <w:p w14:paraId="52DF4097" w14:textId="77777777" w:rsidR="002138D6" w:rsidRPr="002138D6" w:rsidRDefault="001C3017"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 samma tredjeland </w:t>
            </w:r>
          </w:p>
          <w:p w14:paraId="52DF4098" w14:textId="77777777" w:rsidR="002138D6" w:rsidRPr="002138D6" w:rsidRDefault="001C3017"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 olika medlemsstater</w:t>
            </w:r>
          </w:p>
          <w:p w14:paraId="52DF4099" w14:textId="77777777" w:rsidR="002138D6" w:rsidRPr="002138D6" w:rsidRDefault="001C3017"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 olika tredjeländer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AVSNITT 2</w:t>
      </w:r>
    </w:p>
    <w:p w14:paraId="52DF409D" w14:textId="77777777" w:rsidR="002138D6" w:rsidRPr="002138D6" w:rsidRDefault="002138D6" w:rsidP="002138D6">
      <w:pPr>
        <w:pStyle w:val="SectionTitle"/>
        <w:rPr>
          <w:noProof/>
        </w:rPr>
      </w:pPr>
      <w:r>
        <w:rPr>
          <w:noProof/>
        </w:rPr>
        <w:t>Företag som deltar i koncentrationen och deras omsättning</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Berörda företag</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Kategori</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Kontrollerat av</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Kort beskrivning av de berörda företagens affärsverksamhet:</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Ge ett diagram över ägande- och kontrollstrukturen för varje berört företag före och efter det att koncentrationen fullbordats.</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Berörda företag</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Ursprungsla</w:t>
            </w:r>
            <w:r>
              <w:rPr>
                <w:rFonts w:ascii="Times New Roman" w:hAnsi="Times New Roman"/>
                <w:noProof/>
              </w:rPr>
              <w:lastRenderedPageBreak/>
              <w:t>nd</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lastRenderedPageBreak/>
              <w:t>Roll</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Omsättning (i miljoner euro)</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År för omsättning</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Global nivå</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Hela EU</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Sammanlagd omsättning för alla berörda företag</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1C3017"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Vart och ett av de berörda företagen uppnår inte mer än två tredjedelar av sin sammanlagda omsättning inom unionen i en och samma medlemsstat.</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Om koncentrationen anmäls på grundval av artikel 1.3 i koncentrationsförordningen ska även följande tabell fyllas i. Lämna uppgifter om alla medlemsstater som uppfyller kriterierna i artikel 1.3 b och c och lägg vid behov till rader i tabellen:</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2227"/>
        <w:gridCol w:w="2637"/>
        <w:gridCol w:w="2105"/>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Namn på berörd medlemsstat vid tillämpning av artikel 1.3 b och c i koncentrationsförordningen</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Sammanlagd omsättning för alla berörda företag i denna medlemsstat</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 miljoner euro)</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Namnet på de relevanta berörda företagen vid tillämpning av artikel 1.3 c i koncentrationsförordningen</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De berörda företagens omsättning i denna medlemsstat</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 miljoner euro)</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1C3017"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Vart och ett av de berörda företagen uppnår inte mer än två tredjedelar av sin sammanlagda omsättning inom unionen i en och samma medlemsstat.</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Omsättning inom Eftastaternas territorium</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De berörda företagens omsättning inom Eftastaternas territorium uppgår till 25 % eller mer av deras sammanlagda omsättning inom Europeiska ekonomiska samarbetsområdets (EES) territorium.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JA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Vart och ett av minst två av de berörda företagens omsättning överstiger 250 miljoner euro inom Eftastaternas territorium, eller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JA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Den föreslagna koncentrationen skulle kunna bli en kandidat för hänskjutande till en Eftastat eftersom den ger upphov till berörda marknader inom något av Eftastaternas territorium som uppvisar alla kännetecken på en avgränsad marknad.</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JA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lastRenderedPageBreak/>
        <w:t>AVSNITT 3</w:t>
      </w:r>
    </w:p>
    <w:p w14:paraId="52DF413D" w14:textId="77777777" w:rsidR="002138D6" w:rsidRPr="002138D6" w:rsidRDefault="002138D6" w:rsidP="002138D6">
      <w:pPr>
        <w:pStyle w:val="SectionTitle"/>
        <w:rPr>
          <w:noProof/>
        </w:rPr>
      </w:pPr>
      <w:r>
        <w:rPr>
          <w:noProof/>
        </w:rPr>
        <w:t>Namn på den eller de berörda produkterna</w:t>
      </w:r>
      <w:r>
        <w:rPr>
          <w:rStyle w:val="FootnoteReference"/>
          <w:noProof/>
        </w:rPr>
        <w:footnoteReference w:id="28"/>
      </w:r>
      <w:r>
        <w:rPr>
          <w:noProof/>
        </w:rPr>
        <w:t xml:space="preserve"> enligt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Produktens/produkternas namn</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AVSNITT 4</w:t>
      </w:r>
    </w:p>
    <w:p w14:paraId="52DF4152" w14:textId="77777777" w:rsidR="002138D6" w:rsidRPr="002138D6" w:rsidRDefault="002138D6" w:rsidP="002138D6">
      <w:pPr>
        <w:pStyle w:val="SectionTitle"/>
        <w:rPr>
          <w:noProof/>
        </w:rPr>
      </w:pPr>
      <w:r>
        <w:rPr>
          <w:noProof/>
        </w:rPr>
        <w:t xml:space="preserve">Sammanfattande beskrivning av koncentrationen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 xml:space="preserve">Ge en icke-konfidentiell sammanfattning (på högst 250 ord) av de upplysningar som lämnats i avsnitt 1.1 som inbegriper hur koncentrationen genomförs (t.ex. genom förvärv av aktier, offentligt bud, kontrakt osv.), de artiklar i koncentrationsförordningen enligt vilka transaktionen ska betraktas som en koncentration, de berörda företagen. För vart och ett av de berörda företagen ska följande anges: Fullständigt namn, etableringsland, ytterst kontrollerande enhet, kort beskrivning av verksamheter och geografiska verksamhetsområden. För nybildade gemensamma företag tillhandahålls planerade verksamheter och geografiska verksamhetsområden. Meningen är att sammanfattningen ska publiceras på GD Konkurrens webbplats då anmälan görs. Sammanfattningen måste formuleras så att den inte innehåller konfidentiell information eller affärshemligheter.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Exempel (stryk för anmälan)</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Denna anmälan berör följande företag:</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[Fullständigt namn på företag A] ([Namn på företag A i kortform], [Företag A:s ursprungsland]), kontrollerat av [företag X]</w:t>
            </w:r>
            <w:r>
              <w:rPr>
                <w:noProof/>
              </w:rPr>
              <w:tab/>
              <w:t xml:space="preserve"> </w:t>
            </w:r>
            <w:r>
              <w:rPr>
                <w:noProof/>
              </w:rPr>
              <w:br/>
            </w:r>
            <w:r>
              <w:rPr>
                <w:rFonts w:ascii="Times New Roman" w:hAnsi="Times New Roman"/>
                <w:i/>
                <w:noProof/>
              </w:rPr>
              <w:t>[Fullständigt namn på företag B] ([Namn på företag B i kortform], [Företag B:s ursprungsland]), kontrollerat av [företag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[Företag A] förvärvar, på det sätt som avses i artikel 3.1 b i koncentrationsförordningen, ensam kontroll över (hela/delar av) [företag B] ELLER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[Företag A] går, på det sätt som avses i artikel 3.1 a i koncentrationsförordningen, samman med [företag B] ELLER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[Företag A] och [företag B] förvärvar, på det sätt som avses i artikel 3.1 b och artikel 3.4 i koncentrationsförordningen, gemensam kontroll över [företag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Koncentrationen genomförs med [medel för att genomföra koncentrationen, t.ex. sätt att köpa aktier/tillgångar osv.].</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lastRenderedPageBreak/>
              <w:t>De berörda företagen bedriver följande affärsverksamhet:</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för [företag A]: [Kort beskrivning av verksamheten, t.ex. diversifierade kemikalier med primär verksamhet inom lantbruksvetenskap, prestandaplaster och kemikalier samt kolväte- och energiprodukter och -tjänster].</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för [företag B]: [Kort beskrivning av verksamheten, t.ex. silikonbaserad teknik och innovation med primär verksamhet inom utveckling och produktion av polymerer och andra material baserade på silikonkemi].</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AVSNITT 5</w:t>
      </w:r>
    </w:p>
    <w:p w14:paraId="52DF4165" w14:textId="77777777" w:rsidR="002138D6" w:rsidRPr="002138D6" w:rsidRDefault="002138D6" w:rsidP="002138D6">
      <w:pPr>
        <w:pStyle w:val="SectionTitle"/>
        <w:rPr>
          <w:noProof/>
        </w:rPr>
      </w:pPr>
      <w:r>
        <w:rPr>
          <w:noProof/>
        </w:rPr>
        <w:t>Motivering till koncentrationen samt tidpunkt</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Motivering till koncentrationen </w:t>
            </w:r>
          </w:p>
          <w:p w14:paraId="52DF4167" w14:textId="77777777" w:rsidR="002138D6" w:rsidRPr="00A965CB"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Du bör ge en kortfattad beskrivning av motiveringen till den föreslagna koncentrationen.</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A965CB"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Tidpunkt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Ge en kortfattad beskrivning av tidpunkten för den föreslagna koncentrationen (inklusive ett rättsligt bindande datum för fullbordande, i förekommande fall).</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A965CB"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Komplettera ditt svar med eventuell ytterligare information som du vill lämna till kommissionen.</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AVSNITT 6</w:t>
      </w:r>
    </w:p>
    <w:p w14:paraId="52DF4176" w14:textId="77777777" w:rsidR="002138D6" w:rsidRPr="002138D6" w:rsidRDefault="002138D6" w:rsidP="002138D6">
      <w:pPr>
        <w:pStyle w:val="SectionTitle"/>
        <w:rPr>
          <w:noProof/>
        </w:rPr>
      </w:pPr>
      <w:r>
        <w:rPr>
          <w:noProof/>
        </w:rPr>
        <w:t>Jurisdiktion</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Kort beskrivning av koncentrationen och förändringen av kontrollen (högst 250 ord)</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Exempel 1 (stryk för anmälan)</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Enligt ett avtal om försäljning och köp av aktier som undertecknades den X.X.XX kommer [företag A] att förvärva aktier motsvarande 75 % av de sammanlagda rösterna i [företag B]. Återstående 25 % av rösträtterna i [företag B] kommer att innehas av [Minoritetsaktieägare M]. Eftersom beslut om [företag B:s] affärsstrategi kommer att antas med enkel majoritet kommer [företag A] att inneha en majoritet av aktierna och rösterna kommer att utöva ett avgörande inflytande över [företag B]. [Företag B] kommer därför att ensamt kontrolleras av [företag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Exempel 2 (stryk för anmälan)</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Enligt ett avtal om försäljning och köp av aktier som undertecknades den X.X.XX kommer [företag A] att förvärva aktier motsvarande 40 % av de sammanlagda rösterna i [företag B]. Återstående 60 % av rösträtterna i [företag B] kommer att innehas av [Företag C]. Styrelsen kommer att bestå av sju ledamöter och [företag A] kommer att utse tre av dem. [Företag A] kommer att ha vetorätt när det gäller utnämningen av den högsta ledningen samt budgeten och affärsplanen. [Företag B] kommer därför att kontrolleras gemensamt av [företag A] och [Företag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Förvärv av kontroll </w:t>
      </w:r>
    </w:p>
    <w:p w14:paraId="52DF4180"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Förvärv av ensam kontroll</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Förvärvaren förvärvar ensam kontroll över målföretaget/målföretagen i den mening som avses i artikel 3.2 i koncentrationsförordningen. Ange sätten att förvärva ensam kontroll genom att kryssa i de relevanta rutorna:</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1C3017"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A965CB">
                  <w:rPr>
                    <w:rFonts w:ascii="Segoe UI Symbol" w:hAnsi="Segoe UI Symbol" w:cs="Segoe UI Symbol"/>
                    <w:noProof/>
                  </w:rPr>
                  <w:t>☐</w:t>
                </w:r>
              </w:sdtContent>
            </w:sdt>
            <w:r w:rsidR="004E11D1">
              <w:rPr>
                <w:noProof/>
              </w:rPr>
              <w:t xml:space="preserve"> </w:t>
            </w:r>
            <w:r w:rsidR="004E11D1">
              <w:rPr>
                <w:rFonts w:ascii="Times New Roman" w:hAnsi="Times New Roman"/>
                <w:noProof/>
              </w:rPr>
              <w:t>[Företag 1] förvärvar positiv ensam kontroll, dvs. majoriteten av rösträtterna över målföretaget/målföretagen (rättslig ensam kontroll)</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1C3017"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A965CB">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[Företag 1] förvärvar negativ ensam kontroll över målföretaget/målföretagen, dvs. möjligheten att utöva ensam vetorätt när det gäller strategiska beslut (rättslig ensam kontroll). Förklara vilka dessa strategiska beslut är:</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noProof/>
              </w:rPr>
              <w:t xml:space="preserve"> </w:t>
            </w:r>
            <w:r>
              <w:rPr>
                <w:rFonts w:ascii="Times New Roman" w:hAnsi="Times New Roman"/>
                <w:noProof/>
              </w:rPr>
              <w:t xml:space="preserve">[Företag 1] förvärvar i praktiken ensam kontroll över målföretaget/målföretagen med dess [ange exakt aktieinnehav och rösträtt] %, eftersom det är mycket sannolikt att det kommer att uppnå majoritet vid (målföretagets) bolagsstämmor.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Ange också om någon av följande omständigheter föreligger i koncentrationen: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Röstningsmönstren vid målföretagets/målföretagens bolagsstämmor under de senaste fem åren är följande: [lämna information om närvaron vid dessa sammanträden för varje år]. Med sitt aktieinnehav skulle [företag 1] ha haft en majoritet vid bolagsstämman under flera år [ange vilka möten].  </w:t>
            </w:r>
          </w:p>
          <w:p w14:paraId="52DF418B" w14:textId="77777777" w:rsidR="002138D6" w:rsidRPr="002138D6" w:rsidRDefault="002138D6" w:rsidP="002138D6">
            <w:pPr>
              <w:pStyle w:val="ListParagraph"/>
              <w:ind w:hanging="265"/>
              <w:rPr>
                <w:noProof/>
                <w:sz w:val="22"/>
              </w:rPr>
            </w:pPr>
            <w:r>
              <w:rPr>
                <w:noProof/>
                <w:sz w:val="22"/>
              </w:rPr>
              <w:t>☐ De återstående andelarna har stor spridning.</w:t>
            </w:r>
          </w:p>
          <w:p w14:paraId="52DF418C" w14:textId="77777777" w:rsidR="002138D6" w:rsidRPr="002138D6" w:rsidRDefault="002138D6" w:rsidP="002138D6">
            <w:pPr>
              <w:pStyle w:val="ListParagraph"/>
              <w:ind w:hanging="265"/>
              <w:rPr>
                <w:noProof/>
                <w:sz w:val="22"/>
              </w:rPr>
            </w:pPr>
            <w:r>
              <w:rPr>
                <w:noProof/>
                <w:sz w:val="22"/>
              </w:rPr>
              <w:t xml:space="preserve">☐ Andra viktiga aktieägare har strukturella, ekonomiska eller familjerelaterade kopplingar till [företag 1]. Redogör för dessa kopplingar: […]. </w:t>
            </w:r>
          </w:p>
          <w:p w14:paraId="52DF418D" w14:textId="77777777" w:rsidR="002138D6" w:rsidRPr="002138D6" w:rsidRDefault="002138D6" w:rsidP="002138D6">
            <w:pPr>
              <w:pStyle w:val="ListParagraph"/>
              <w:ind w:hanging="265"/>
              <w:rPr>
                <w:rFonts w:eastAsia="Calibri"/>
                <w:noProof/>
                <w:sz w:val="22"/>
              </w:rPr>
            </w:pPr>
            <w:r>
              <w:rPr>
                <w:noProof/>
                <w:sz w:val="22"/>
              </w:rPr>
              <w:t>☐ Andra aktieägare har rent ekonomiska intressen i (målföretaget).</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1C3017"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Förvärv av gemensam kontroll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A965CB">
                  <w:rPr>
                    <w:rFonts w:ascii="Segoe UI Symbol" w:hAnsi="Segoe UI Symbol" w:cs="Segoe UI Symbol"/>
                    <w:noProof/>
                    <w:sz w:val="20"/>
                  </w:rPr>
                  <w:t>☐</w:t>
                </w:r>
              </w:sdtContent>
            </w:sdt>
            <w:r w:rsidR="004E11D1">
              <w:rPr>
                <w:noProof/>
              </w:rPr>
              <w:t xml:space="preserve"> [företag 1], [företag 2] och [företag 3] (lägg till andra vid behov) förvärvar gemensam kontroll över målföretaget/målföretagen i den mening som avses i artikel 3.2 i koncentrationsförordningen genom lika rösträtt eller utnämning till beslutsfattande organ eller vetorätt (punkterna 64–73 i kommissionens konsoliderade tillkännagivande om behörighet).</w:t>
            </w:r>
            <w:r w:rsidR="004E11D1">
              <w:rPr>
                <w:rFonts w:ascii="Times New Roman" w:hAnsi="Times New Roman"/>
                <w:noProof/>
                <w:sz w:val="20"/>
              </w:rPr>
              <w:t xml:space="preserve">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Förvärvare</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Företag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Företag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Företag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Aktieinnehav i det gemensamma företaget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Rösträtter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Antal företrädare som utsetts i målföretagets beslutsfattande organ</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/totalt antal medlemmar i beslutsfattande organ</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Företrädaren för ledningsorganet har utslagsröst (ja/nej)</w:t>
            </w:r>
          </w:p>
        </w:tc>
        <w:tc>
          <w:tcPr>
            <w:tcW w:w="2483" w:type="dxa"/>
          </w:tcPr>
          <w:p w14:paraId="52DF41AB" w14:textId="77777777" w:rsidR="002138D6" w:rsidRPr="002138D6" w:rsidRDefault="001C301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AC" w14:textId="77777777" w:rsidR="002138D6" w:rsidRPr="002138D6" w:rsidRDefault="001C3017"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c>
          <w:tcPr>
            <w:tcW w:w="2483" w:type="dxa"/>
          </w:tcPr>
          <w:p w14:paraId="52DF41AD" w14:textId="77777777" w:rsidR="002138D6" w:rsidRPr="002138D6" w:rsidRDefault="001C301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AE" w14:textId="77777777" w:rsidR="002138D6" w:rsidRPr="002138D6" w:rsidRDefault="001C3017"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c>
          <w:tcPr>
            <w:tcW w:w="2484" w:type="dxa"/>
          </w:tcPr>
          <w:p w14:paraId="52DF41AF" w14:textId="77777777" w:rsidR="002138D6" w:rsidRPr="002138D6" w:rsidRDefault="001C301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0" w14:textId="77777777" w:rsidR="002138D6" w:rsidRPr="002138D6" w:rsidRDefault="001C3017"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Vetorätt vid utnämning av högre chefer (ja/nej)</w:t>
            </w:r>
          </w:p>
        </w:tc>
        <w:tc>
          <w:tcPr>
            <w:tcW w:w="2483" w:type="dxa"/>
          </w:tcPr>
          <w:p w14:paraId="52DF41B3"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4"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c>
          <w:tcPr>
            <w:tcW w:w="2483" w:type="dxa"/>
          </w:tcPr>
          <w:p w14:paraId="52DF41B5"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6"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c>
          <w:tcPr>
            <w:tcW w:w="2484" w:type="dxa"/>
          </w:tcPr>
          <w:p w14:paraId="52DF41B7"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8"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Vetorätt vid antagande av affärsplan (ja/nej)</w:t>
            </w:r>
          </w:p>
          <w:p w14:paraId="52DF41BB" w14:textId="77777777" w:rsidR="002138D6" w:rsidRPr="00A965CB"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D"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c>
          <w:tcPr>
            <w:tcW w:w="2483" w:type="dxa"/>
          </w:tcPr>
          <w:p w14:paraId="52DF41BE"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F"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c>
          <w:tcPr>
            <w:tcW w:w="2484" w:type="dxa"/>
          </w:tcPr>
          <w:p w14:paraId="52DF41C0"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C1"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Om ja, bifoga en kopia av den eller de senaste affärsplanerna för målet.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Vetorätt vid antagande av budget (ja/nej)</w:t>
            </w:r>
          </w:p>
        </w:tc>
        <w:tc>
          <w:tcPr>
            <w:tcW w:w="2483" w:type="dxa"/>
          </w:tcPr>
          <w:p w14:paraId="52DF41C7"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C8"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c>
          <w:tcPr>
            <w:tcW w:w="2483" w:type="dxa"/>
          </w:tcPr>
          <w:p w14:paraId="52DF41C9"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CA"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c>
          <w:tcPr>
            <w:tcW w:w="2484" w:type="dxa"/>
          </w:tcPr>
          <w:p w14:paraId="52DF41CB"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CC" w14:textId="77777777" w:rsidR="002138D6" w:rsidRPr="002138D6" w:rsidRDefault="001C301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Nej</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Vetorätt när det gäller investeringar</w:t>
            </w:r>
          </w:p>
        </w:tc>
        <w:tc>
          <w:tcPr>
            <w:tcW w:w="2483" w:type="dxa"/>
          </w:tcPr>
          <w:p w14:paraId="52DF41CF"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D0"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Nej</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Ange i rutan nedan investeringsnivån och investeringsfrekvensen inom den specifika sektorn. </w:t>
            </w:r>
          </w:p>
        </w:tc>
        <w:tc>
          <w:tcPr>
            <w:tcW w:w="2483" w:type="dxa"/>
          </w:tcPr>
          <w:p w14:paraId="52DF41D2"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D3"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Nej</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Ange i rutan nedan investeringsnivån och investeringsfrekvensen inom den specifika sektorn. </w:t>
            </w:r>
          </w:p>
        </w:tc>
        <w:tc>
          <w:tcPr>
            <w:tcW w:w="2484" w:type="dxa"/>
          </w:tcPr>
          <w:p w14:paraId="52DF41D5"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D6"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Nej</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Ange i rutan nedan investeringsnivån och investeringsfrekvensen inom den specifika sektorn. </w:t>
            </w:r>
          </w:p>
        </w:tc>
      </w:tr>
      <w:tr w:rsidR="002138D6" w:rsidRPr="002138D6" w14:paraId="52DF41DD" w14:textId="77777777" w:rsidTr="00D50649">
        <w:tc>
          <w:tcPr>
            <w:tcW w:w="2483" w:type="dxa"/>
            <w:vMerge/>
            <w:vAlign w:val="center"/>
          </w:tcPr>
          <w:p w14:paraId="52DF41D9" w14:textId="77777777" w:rsidR="002138D6" w:rsidRPr="00A965CB"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A965CB"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A965CB"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A965CB"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Andra marknadsspecifika rättigheter</w:t>
            </w:r>
          </w:p>
        </w:tc>
        <w:tc>
          <w:tcPr>
            <w:tcW w:w="2483" w:type="dxa"/>
          </w:tcPr>
          <w:p w14:paraId="52DF41DF"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E0"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Nej</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Ange i rutan nedan vilken vetorätt.</w:t>
            </w:r>
          </w:p>
        </w:tc>
        <w:tc>
          <w:tcPr>
            <w:tcW w:w="2483" w:type="dxa"/>
          </w:tcPr>
          <w:p w14:paraId="52DF41E2"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E3"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Nej</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Ange i rutan nedan vilken vetorätt.</w:t>
            </w:r>
          </w:p>
        </w:tc>
        <w:tc>
          <w:tcPr>
            <w:tcW w:w="2484" w:type="dxa"/>
          </w:tcPr>
          <w:p w14:paraId="52DF41E5"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E6"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A965CB">
                  <w:rPr>
                    <w:rFonts w:ascii="Segoe UI Symbol" w:eastAsia="MS Gothic" w:hAnsi="Segoe UI Symbol" w:cs="Segoe UI Symbol"/>
                    <w:b/>
                    <w:noProof/>
                    <w:sz w:val="16"/>
                  </w:rPr>
                  <w:t>☐</w:t>
                </w:r>
              </w:sdtContent>
            </w:sdt>
            <w:r w:rsidR="004E11D1">
              <w:rPr>
                <w:rFonts w:ascii="Times New Roman" w:hAnsi="Times New Roman"/>
                <w:b/>
                <w:noProof/>
                <w:sz w:val="16"/>
              </w:rPr>
              <w:t xml:space="preserve">  Nej</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Ange i rutan nedan vilken vetorätt.</w:t>
            </w:r>
          </w:p>
        </w:tc>
      </w:tr>
      <w:tr w:rsidR="002138D6" w:rsidRPr="002138D6" w14:paraId="52DF41ED" w14:textId="77777777" w:rsidTr="00D50649">
        <w:tc>
          <w:tcPr>
            <w:tcW w:w="2483" w:type="dxa"/>
            <w:vMerge/>
            <w:vAlign w:val="center"/>
          </w:tcPr>
          <w:p w14:paraId="52DF41E9" w14:textId="77777777" w:rsidR="002138D6" w:rsidRPr="00A965CB"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A965CB"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A965CB"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A965CB"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1C3017"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A965CB">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sz w:val="20"/>
              </w:rPr>
              <w:t xml:space="preserve">[Företag 1]), [företag 2] och [företag 3] (lägg till andra vid behov) förvärvar gemensam kontroll över målföretaget/målföretagen i den mening som avses i artikel 3.2 i koncentrationsförordningen på annat sätt (se punkterna 74–80 i kommissionens konsoliderade tillkännagivande om behörighet), särskilt följande: </w:t>
            </w:r>
          </w:p>
          <w:p w14:paraId="52DF41EF"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A965CB">
                  <w:rPr>
                    <w:rFonts w:ascii="Segoe UI Symbol" w:eastAsia="MS Gothic" w:hAnsi="Segoe UI Symbol" w:cs="Segoe UI Symbol"/>
                    <w:noProof/>
                    <w:sz w:val="20"/>
                  </w:rPr>
                  <w:t>☐</w:t>
                </w:r>
              </w:sdtContent>
            </w:sdt>
            <w:r w:rsidR="004E11D1">
              <w:rPr>
                <w:noProof/>
              </w:rPr>
              <w:t xml:space="preserve"> [Företag 1], [företag 2] och [företag 3] (lägg till andra vid behov) förvärvar gemensam kontroll över målföretaget/målföretagen genom ett poolningsavtal, ett holdingbolag eller något annat rättsligt medel.</w:t>
            </w:r>
            <w:r w:rsidR="004E11D1">
              <w:rPr>
                <w:rFonts w:ascii="Times New Roman" w:hAnsi="Times New Roman"/>
                <w:noProof/>
                <w:sz w:val="20"/>
              </w:rPr>
              <w:t xml:space="preserve"> </w:t>
            </w:r>
          </w:p>
          <w:p w14:paraId="52DF41F0" w14:textId="77777777" w:rsidR="002138D6" w:rsidRPr="002138D6" w:rsidRDefault="001C301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A965CB">
                  <w:rPr>
                    <w:rFonts w:ascii="Segoe UI Symbol" w:eastAsia="MS Gothic" w:hAnsi="Segoe UI Symbol" w:cs="Segoe UI Symbol"/>
                    <w:noProof/>
                    <w:sz w:val="20"/>
                  </w:rPr>
                  <w:t>☐</w:t>
                </w:r>
              </w:sdtContent>
            </w:sdt>
            <w:r w:rsidR="004E11D1">
              <w:rPr>
                <w:noProof/>
              </w:rPr>
              <w:t xml:space="preserve"> [Företag 1], [företag 2] och [företag 3] (lägg till andra vid behov) förvärvar faktisk gemensam kontroll över målföretaget/målföretagen på grundval av en stark intressegemenskap.</w:t>
            </w:r>
            <w:r w:rsidR="004E11D1">
              <w:rPr>
                <w:rFonts w:ascii="Times New Roman" w:hAnsi="Times New Roman"/>
                <w:noProof/>
                <w:sz w:val="20"/>
              </w:rPr>
              <w:t xml:space="preserve"> Förklara dessa gemensamma intressen: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Självständig funktion (fylls i endast om koncentrationen omfattas av artikel 3.4 eller 3.1 b i kombination med artikel 3.4 i koncentrationsförordningen)</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1C3017"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Det gemensamma företaget är självständigt fungerande i den mening som avses i artikel 3.4 i koncentrationsförordningen, eftersom det gemensamma företaget på varaktig basis fyller en självständig ekonomisk enhets samtliga funktioner). Närmare bestämt:</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A965CB">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Det gemensamma företaget kommer att ha tillräckliga resurser för att kunna verka självständigt på marknaden, särskilt en särskild ledning samt tillräckligt med finansiella resurser, personal och tillgångar.</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A965CB">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Det gemensamma företaget kommer att ha egen tillgång till eller närvaro på marknaden oberoende av moderföretagen.</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A965CB">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Det gemensamma företaget kommer att uppnå mer än 50 % av sin försäljning till tredje parter på varaktig basis (dvs. efter en inledande period på tre år).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ELLER</w:t>
            </w:r>
          </w:p>
          <w:p w14:paraId="52DF41FC"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A965CB">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Det gemensamma företaget har för avsikt att göra mer än 50 % av sin försäljning till moderföretagen efter en inledande period, men den kommer att ske på grundval av marknadsvillkor, inbegripet på samma villkor som försäljning till tredje part.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A965CB">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Det gemensamma företaget är avsett att bedriva verksamhet på varaktig basis eftersom det inte är tidsbegränsat och dess verksamhet kommer att vara [ange varaktighet]. </w:t>
            </w:r>
          </w:p>
          <w:p w14:paraId="52DF41FF"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A965CB">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Det finns inga beslut från tredje part eller externa beslut som är av väsentlig betydelse för att det gemensamma företagets affärsverksamhet ska kunna inledas.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Övrigt: [förklara]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Komplettera ditt svar med eventuell ytterligare information som du vill lämna till kommissionen.</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AVSNITT 7</w:t>
      </w:r>
    </w:p>
    <w:p w14:paraId="52DF4208" w14:textId="77777777" w:rsidR="002138D6" w:rsidRPr="002138D6" w:rsidRDefault="002138D6" w:rsidP="002138D6">
      <w:pPr>
        <w:pStyle w:val="SectionTitle"/>
        <w:rPr>
          <w:noProof/>
        </w:rPr>
      </w:pPr>
      <w:r>
        <w:rPr>
          <w:noProof/>
        </w:rPr>
        <w:t>Kategori av förenklad handläggning (med hänvisning till de relevanta punkterna i tillkännagivandet om ett förenklat förfarande)</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Punkt 5 a i tillkännagivandet om ett förenklat förfarande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1C3017"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Det gemensamma företaget är inte verksamt inom Europeiska ekonomiska samarbetsområdet (EES):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A965CB">
                  <w:rPr>
                    <w:rFonts w:ascii="Segoe UI Symbol" w:hAnsi="Segoe UI Symbol" w:cs="Segoe UI Symbol"/>
                    <w:noProof/>
                  </w:rPr>
                  <w:t>☐</w:t>
                </w:r>
              </w:sdtContent>
            </w:sdt>
            <w:r w:rsidR="004E11D1">
              <w:rPr>
                <w:noProof/>
              </w:rPr>
              <w:t xml:space="preserve"> </w:t>
            </w:r>
            <w:r w:rsidR="004E11D1">
              <w:rPr>
                <w:rFonts w:ascii="Times New Roman" w:hAnsi="Times New Roman"/>
                <w:noProof/>
              </w:rPr>
              <w:t>Det gemensamma företaget har ingen nuvarande (dvs. vid tidpunkten för anmälan) eller förväntad omsättning (under de kommande tre åren efter anmälan) inom EES.</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A965CB">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Moderföretagen till det gemensamma företaget har inte planerat några överföringar av tillgångar till det gemensamma företaget inom EES vid tidpunkten för anmälan</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Om koncentrationen uppfyller kriterierna i punkt 5 a i tillkännagivandet om ett förenklat förfarande behöver avsnitten 8, 9 och 11 nedan inte fyllas i.</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OCH/ELLER</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Punkt 5 b i tillkännagivandet om ett förenklat förfarande □</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A965CB">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Det gemensamma företaget har försumbara nuvarande eller förväntade verksamheter inom EES: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Det gemensamma företagets aktuella årsomsättning och/eller omsättningen för den tillförda verksamheten</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noProof/>
              </w:rPr>
              <w:t xml:space="preserve"> </w:t>
            </w:r>
            <w:r w:rsidR="004E11D1">
              <w:rPr>
                <w:rFonts w:ascii="Times New Roman" w:hAnsi="Times New Roman"/>
                <w:noProof/>
              </w:rPr>
              <w:t>vid tidpunkten för anmälan samt den förväntade årsomsättningen under de tre åren efter anmälan understiger 100 miljoner euro inom EES.</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ab/>
            </w:r>
            <w:r w:rsidR="004E11D1">
              <w:rPr>
                <w:rFonts w:ascii="Times New Roman" w:hAnsi="Times New Roman"/>
                <w:noProof/>
              </w:rPr>
              <w:t>Det totala värdet av de överföringar av tillgångar till det gemensamma företaget som planeras vid tidpunkten för anmälan</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noProof/>
              </w:rPr>
              <w:t xml:space="preserve"> </w:t>
            </w:r>
            <w:r w:rsidR="004E11D1">
              <w:rPr>
                <w:rFonts w:ascii="Times New Roman" w:hAnsi="Times New Roman"/>
                <w:noProof/>
              </w:rPr>
              <w:t xml:space="preserve">är mindre än 100 miljoner euro inom EES.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OCH/ELLER</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Punkt 5 c i tillkännagivandet om ett förenklat förfarande</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Ingen av parterna i koncentrationen är verksam på samma produktmarknad och geografiska marknad.</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1C3017"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Ingen av parterna i koncentrationen är verksam på marknader i föregående eller efterföljande led i förhållande till varandra.</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Om koncentrationen uppfyller kriterierna i punkt 5 c i tillkännagivandet om ett förenklat förfarande behöver avsnitten 8, 9 och 11 nedan inte fyllas i.</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OCH/ELLER</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Punkt 5 d i tillkännagivandet om ett förenklat förfarande □</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1C301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noProof/>
              </w:rPr>
              <w:tab/>
            </w:r>
            <w:r w:rsidR="004E11D1">
              <w:rPr>
                <w:rFonts w:ascii="Times New Roman" w:hAnsi="Times New Roman"/>
                <w:noProof/>
              </w:rPr>
              <w:t>Två eller flera företag går samman eller ett eller flera företag förvärvar ensam eller gemensam kontroll över ett annat företag och villkoren i punkterna 5 d i och 5 d ii i tillkännagivandet om ett förenklat förfarande är uppfyllda enligt alla rimliga marknadsdefinitioner</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1C301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ab/>
            </w:r>
            <w:r w:rsidR="004E11D1">
              <w:rPr>
                <w:rFonts w:ascii="Times New Roman" w:hAnsi="Times New Roman"/>
                <w:noProof/>
              </w:rPr>
              <w:t>De sammanlagda marknadsandelarna för de parter i koncentrationen som bedriver affärsverksamhet på samma produktmarknad och geografiska marknad (horisontella överlappningar) uppfyller minst ett av följande villkor:</w:t>
            </w:r>
          </w:p>
          <w:p w14:paraId="52DF4227"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De är lägre än 20 % </w:t>
            </w:r>
          </w:p>
          <w:p w14:paraId="52DF4228"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De är lägre än 50 % och ökningen (delta) av Herfindahl-Hirschman-indexet (HHI) till följd av koncentrationen på denna marknad är lägre än 150</w:t>
            </w:r>
            <w:r w:rsidR="004E11D1">
              <w:rPr>
                <w:rStyle w:val="FootnoteReference"/>
                <w:rFonts w:ascii="Times New Roman" w:hAnsi="Times New Roman" w:cs="Times New Roman"/>
                <w:noProof/>
              </w:rPr>
              <w:footnoteReference w:id="37"/>
            </w:r>
            <w:r w:rsidR="004E11D1">
              <w:rPr>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1C301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De enskilda och sammanlagda marknadsandelarna för de parter i koncentrationen som är verksamma på en produktmarknad i ett tidigare eller senare marknadsled i förhållande till en produktmarknad där någon annan part i koncentrationen är verksam (vertikal förbindelse) uppfyller åtminstone ett av följande villkor:</w:t>
            </w:r>
          </w:p>
          <w:p w14:paraId="52DF422B"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A965CB">
                  <w:rPr>
                    <w:rFonts w:ascii="Segoe UI Symbol" w:hAnsi="Segoe UI Symbol" w:cs="Segoe UI Symbol"/>
                    <w:noProof/>
                  </w:rPr>
                  <w:t>☐</w:t>
                </w:r>
              </w:sdtContent>
            </w:sdt>
            <w:r w:rsidR="004E11D1">
              <w:rPr>
                <w:rFonts w:ascii="Times New Roman" w:hAnsi="Times New Roman"/>
                <w:noProof/>
              </w:rPr>
              <w:t xml:space="preserve"> är lägre än 30 % i föregående och efterföljande marknadsled,</w:t>
            </w:r>
          </w:p>
          <w:p w14:paraId="52DF422C"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A965CB">
                  <w:rPr>
                    <w:rFonts w:ascii="Segoe UI Symbol" w:hAnsi="Segoe UI Symbol" w:cs="Segoe UI Symbol"/>
                    <w:noProof/>
                  </w:rPr>
                  <w:t>☐</w:t>
                </w:r>
              </w:sdtContent>
            </w:sdt>
            <w:r w:rsidR="004E11D1">
              <w:rPr>
                <w:noProof/>
              </w:rPr>
              <w:t xml:space="preserve"> </w:t>
            </w:r>
            <w:r w:rsidR="004E11D1">
              <w:rPr>
                <w:rFonts w:ascii="Times New Roman" w:hAnsi="Times New Roman"/>
                <w:noProof/>
              </w:rPr>
              <w:t>är lägre än 30 % på marknaden i föregående led och enheten i efterföljande led har en andel av insatsvarorna i tidigare led som är lägre än 30 %,</w:t>
            </w:r>
          </w:p>
          <w:p w14:paraId="52DF422D"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A965CB">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är lägre än 50 % i både föregående och efterföljande marknadsled, ökningen (deltat) av HHI till följd av koncentrationen ligger under 150 i både föregående och efterföljande marknadsled, och det mindre företaget har samma marknadsandel i föregående och efterföljande marknadsled</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OCH/ELLER</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Punkt 5 e i tillkännagivandet om ett förenklat förfarande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1C3017"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ab/>
            </w:r>
            <w:r w:rsidR="004E11D1">
              <w:rPr>
                <w:rFonts w:ascii="Times New Roman" w:hAnsi="Times New Roman"/>
                <w:noProof/>
              </w:rPr>
              <w:t>Den anmälande parten förvärvar ensam kontroll över ett företag som den redan kontrollerar gemensamt.</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OCH/ELLER</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Punkt 8 i tillkännagivandet om ett förenklat förfarande □</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1C301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Enligt alla rimliga marknadsdefinitioner ligger i) parternas sammanlagda marknadsandelar kvar under 25 % på alla relevanta marknader där parternas verksamheter överlappar varandra, och ii) ingen av de särskilda omständigheter som beskrivs i avsnitt II.C i tillkännagivandet om ett förenklat förfarande föreligger.</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1C301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Enligt alla rimliga marknadsdefinitioner ligger parternas sammanlagda marknadsandelar kvar under 25 % på alla relevanta marknader där parternas verksamheter överlappar varandra, och även om en eller flera av de särskilda omständigheter som beskrivs i avsnitt II.C i tillkännagivandet om ett förenklat förfarande föreligger, orsakar ärendet inga konkurrensproblem av de skäl som förklaras i avsnitt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1C301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Inga av de omständigheter som beskrivs i avsnitt II.C om ett förenklat förfarande föreligger och de enskilda och sammanlagda marknadsandelarna för alla parter i koncentrationen som bedriver affärsverksamhet på en marknad i ett föregående eller efterföljande marknadsled från en marknad där någon annan part i koncentrationen är verksam (vertikala förbindelser) uppfyller minst ett av följande villkor: </w:t>
            </w:r>
          </w:p>
          <w:p w14:paraId="52DF423A"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A965CB">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De är lägre än 35 % i föregående och efterföljande marknadsled.</w:t>
            </w:r>
          </w:p>
          <w:p w14:paraId="52DF423B"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A965CB">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De är lägre än 50 % på en marknad, medan de enskilda och sammanlagda marknadsandelarna för alla parter i koncentrationen på alla andra vertikalt relaterade marknader är lägre än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1C301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En eller flera av de omständigheter som beskrivs i avsnitt II.C i tillkännagivandet om ett förenklat förfarande är uppfyllda, ärendet ger inte upphov till några konkurrensproblem av de skäl som anges i avsnitt 11 och de enskilda och sammanlagda marknadsandelarna för alla parter i koncentrationen som är involverade i vertikala förbindelser uppfyller minst ett av följande villkor:</w:t>
            </w:r>
          </w:p>
          <w:p w14:paraId="52DF423E"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A965CB">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De är lägre än 35 % i föregående och efterföljande marknadsled.</w:t>
            </w:r>
          </w:p>
          <w:p w14:paraId="52DF423F" w14:textId="77777777" w:rsidR="002138D6" w:rsidRPr="002138D6" w:rsidRDefault="001C301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A965CB">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De är lägre än 50 % på en marknad, medan de enskilda och sammanlagda marknadsandelarna för alla parter i koncentrationen på alla andra vertikalt relaterade marknader är lägre än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OCH/ELLER</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Punkt 9 i tillkännagivandet om ett förenklat förfarande □</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1C3017"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A965CB">
                  <w:rPr>
                    <w:rFonts w:ascii="Segoe UI Symbol" w:hAnsi="Segoe UI Symbol" w:cs="Segoe UI Symbol"/>
                    <w:noProof/>
                  </w:rPr>
                  <w:t>☐</w:t>
                </w:r>
              </w:sdtContent>
            </w:sdt>
            <w:r w:rsidR="004E11D1">
              <w:rPr>
                <w:noProof/>
              </w:rPr>
              <w:t xml:space="preserve"> </w:t>
            </w:r>
            <w:r w:rsidR="004E11D1">
              <w:rPr>
                <w:rFonts w:ascii="Times New Roman" w:hAnsi="Times New Roman"/>
                <w:noProof/>
              </w:rPr>
              <w:t>Det gemensamma företagets aktuella årsomsättning och/eller omsättningen för den tillförda verksamheten</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vid tidpunkten för anmälan överstiger 100 miljoner euro, men understiger 150 miljoner euro inom EES.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1C301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Det totala värdet av överföringar av tillgångar till det gemensamma företaget som planeras vid tidpunkten för anmälan överstiger 100 miljoner euro, men understiger 150 miljoner euro inom EES</w:t>
            </w:r>
            <w:r w:rsidR="004E11D1">
              <w:rPr>
                <w:rStyle w:val="FootnoteReference"/>
                <w:rFonts w:ascii="Times New Roman" w:eastAsia="Calibri" w:hAnsi="Times New Roman" w:cs="Times New Roman"/>
                <w:noProof/>
              </w:rPr>
              <w:footnoteReference w:id="40"/>
            </w:r>
            <w:r w:rsidR="004E11D1">
              <w:rPr>
                <w:rFonts w:ascii="Times New Roman" w:hAnsi="Times New Roman"/>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1C301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 xml:space="preserve">Om det gemensamma företaget är verksamt inom EES och koncentrationen ger upphov till horisontella överlappningar och/eller vertikala förbindelser, ska avsnitt 8 respektive 9 fyllas i.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Komplettera ert svar med eventuell ytterligare information som ni vill lämna till kommissionen.</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AVSNITT 8</w:t>
      </w:r>
    </w:p>
    <w:p w14:paraId="52DF4251" w14:textId="77777777" w:rsidR="002138D6" w:rsidRPr="002138D6" w:rsidRDefault="002138D6" w:rsidP="002138D6">
      <w:pPr>
        <w:pStyle w:val="SectionTitle"/>
        <w:rPr>
          <w:noProof/>
        </w:rPr>
      </w:pPr>
      <w:r>
        <w:rPr>
          <w:noProof/>
        </w:rPr>
        <w:t>Horisontella överlappningar</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Ni bör fylla i tabellen nedan om koncentrationen leder till horisontella överlappningar, inklusive överlappningar mellan i) planerade produkter</w:t>
      </w:r>
      <w:r>
        <w:rPr>
          <w:rStyle w:val="FootnoteReference"/>
          <w:rFonts w:ascii="Times New Roman" w:eastAsia="Calibri" w:hAnsi="Times New Roman" w:cs="Times New Roman"/>
          <w:b/>
          <w:noProof/>
        </w:rPr>
        <w:footnoteReference w:id="41"/>
      </w:r>
      <w:r>
        <w:rPr>
          <w:rFonts w:ascii="Times New Roman" w:hAnsi="Times New Roman"/>
          <w:b/>
          <w:noProof/>
        </w:rPr>
        <w:t xml:space="preserve"> och saluförda produkter eller ii) planerade produkter (dvs. överlappningar som gäller pipeline-to-pipeline)</w:t>
      </w:r>
      <w:r>
        <w:rPr>
          <w:rStyle w:val="FootnoteReference"/>
          <w:rFonts w:ascii="Times New Roman" w:hAnsi="Times New Roman" w:cs="Times New Roman"/>
          <w:noProof/>
        </w:rPr>
        <w:footnoteReference w:id="42"/>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Kopiera tabellen så många gånger som krävs för att täcka alla rimliga marknader som ni har beaktat:</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A965CB" w:rsidRDefault="002138D6" w:rsidP="002138D6">
      <w:pPr>
        <w:spacing w:after="0"/>
        <w:rPr>
          <w:rFonts w:ascii="Times New Roman" w:eastAsia="Times New Roman" w:hAnsi="Times New Roman" w:cs="Times New Roman"/>
          <w:noProof/>
        </w:rPr>
        <w:sectPr w:rsidR="002138D6" w:rsidRPr="00A965CB"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05"/>
        <w:gridCol w:w="1534"/>
        <w:gridCol w:w="1099"/>
        <w:gridCol w:w="1782"/>
        <w:gridCol w:w="898"/>
        <w:gridCol w:w="898"/>
        <w:gridCol w:w="898"/>
        <w:gridCol w:w="901"/>
        <w:gridCol w:w="898"/>
        <w:gridCol w:w="899"/>
        <w:gridCol w:w="3877"/>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Horisontella överlappningar – marknadsandelar och planerade produkter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Prejudikat (ta med en hänvisning till de relevanta punkterna)</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Rimlig produktmarknad som beaktats</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Rimlig geografisk marknad som beaktats</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Leverantör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Planerade produkter</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(Namn)</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Berört företag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Berört företag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Berört företag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Kombinerat</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Konkurrent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Ska inte fyllas i</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Konkurrent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Konkurrent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Övriga</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Totalt</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Ska inte fyllas i.</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Marknadsstorlek</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euro</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euro</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euro</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parternas verksamhet på denna marknad:</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Lämna närmare uppgifter här (särskilt om det inte finns några prejudikat bör ni lämna parternas synpunkter på definitionen av produktmarknaden/den geografiska marknaden)]:</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Mått, källor och metod som följts för beräkning av marknadsandelar.  Om värde och volym inte är de vanligaste måtten för beräkning av marknadsandelar på de relevanta marknaderna, ange marknadsandelar baserade på alternativa mått och förklara.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Om ärendet omfattas av punkt 5 d i bb i tillkännagivandet om ett förenklat förfarande ska delta HHI anges: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Lämna information om parternas planerade produkter och om deras konkurrenter (inbegripet utvecklingsstadiet):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Ange kontaktuppgifter för konkurrent 1, konkurrent 2 och konkurrent 3 i föreskrivet format:</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Komplettera ert svar med eventuell ytterligare information som ni vill lämna till kommissionen.</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AVSNITT 9</w:t>
      </w:r>
    </w:p>
    <w:p w14:paraId="52DF42EE" w14:textId="77777777" w:rsidR="002138D6" w:rsidRPr="002138D6" w:rsidRDefault="002138D6" w:rsidP="002138D6">
      <w:pPr>
        <w:pStyle w:val="SectionTitle"/>
        <w:keepNext w:val="0"/>
        <w:rPr>
          <w:noProof/>
        </w:rPr>
      </w:pPr>
      <w:r>
        <w:rPr>
          <w:noProof/>
        </w:rPr>
        <w:t>Vertikala förbindelser</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Ni bör fylla i tabellen nedan om koncentrationen leder till vertikala förbindelser,</w:t>
      </w:r>
      <w:r>
        <w:rPr>
          <w:rStyle w:val="FootnoteReference"/>
          <w:rFonts w:ascii="Times New Roman" w:hAnsi="Times New Roman" w:cs="Times New Roman"/>
          <w:noProof/>
        </w:rPr>
        <w:footnoteReference w:id="44"/>
      </w:r>
      <w:r>
        <w:rPr>
          <w:rFonts w:ascii="Times New Roman" w:hAnsi="Times New Roman"/>
          <w:b/>
          <w:noProof/>
          <w:sz w:val="16"/>
        </w:rPr>
        <w:t xml:space="preserve"> </w:t>
      </w:r>
      <w:r>
        <w:rPr>
          <w:rFonts w:ascii="Times New Roman" w:hAnsi="Times New Roman"/>
          <w:b/>
          <w:noProof/>
        </w:rPr>
        <w:t xml:space="preserve"> inbegripet mellan i) planerade produkter och saluförda produkter eller ii) planerade produkter (dvs. vertikala förbindelser som gäller pipeline-to-pipeline).  Kopiera tabellen så många gånger som krävs för att täcka alla rimliga marknader som ni har beaktat:</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A965CB" w:rsidRDefault="002138D6" w:rsidP="002138D6">
      <w:pPr>
        <w:spacing w:after="0"/>
        <w:rPr>
          <w:rFonts w:ascii="Times New Roman" w:eastAsia="Times New Roman" w:hAnsi="Times New Roman" w:cs="Times New Roman"/>
          <w:noProof/>
        </w:rPr>
        <w:sectPr w:rsidR="002138D6" w:rsidRPr="00A965CB"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099"/>
        <w:gridCol w:w="1534"/>
        <w:gridCol w:w="1074"/>
        <w:gridCol w:w="2240"/>
        <w:gridCol w:w="947"/>
        <w:gridCol w:w="950"/>
        <w:gridCol w:w="950"/>
        <w:gridCol w:w="950"/>
        <w:gridCol w:w="947"/>
        <w:gridCol w:w="950"/>
        <w:gridCol w:w="3903"/>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Vertikala förbindelser – marknadsandelar och planerade produkter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FÖREGÅENDE MARKNADSLED</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Prejudikat (ta med en hänvisning till de relevanta punkterna)</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Rimlig produktmarknad som beaktats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Rimlig geografisk marknad som beaktats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Leverantör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Planerade produkter (Namn)</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Berört företag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Berört företag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Berört företag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Kombinerat</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Övriga</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Totalt</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Marknadsstorlek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euro</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euro</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euro</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parternas verksamhet på denna marknad:</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Lämna närmare uppgifter här (särskilt om det inte finns några prejudikat bör ni lämna parternas synpunkter på definitionen av produktmarknaden/den geografiska marknaden)]:</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Mått, källor och metod som följts för beräkning av marknadsandelar.  Om värde och volym inte är de vanligaste måtten för beräkning av marknadsandelar på de relevanta marknaderna, ange marknadsandelar baserade på alternativa mått och förklara.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Om ärendet omfattas av punkt 5 d ii cc i tillkännagivandet om ett förenklat förfarande ska delta HHI anges (värde och volym för tre år):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Lämna information om parternas planerade produkter och om deras konkurrenter (inbegripet utvecklingsstadiet):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Ange kontaktuppgifter för konkurrent 1, konkurrent 2 och konkurrent 3 i föreskrivet format:</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EFTERFÖLJANDE MARKNADSLED</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Prejudikat (ta med en hänvisning till relevanta punkter)</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Rimlig produktmarknad som beaktats</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Rimlig geografisk marknad som beaktats</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Leverantör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Planerade produkter (Namn)</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Berört företag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Berört företag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Berört företag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Kombinerat</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Ska inte fyllas i.</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Övriga</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Totalt</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Ska inte fyllas i.</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Marknadens storlek</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euro</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euro</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euro</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parternas verksamhet på denna marknad:</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Lämna närmare uppgifter här (särskilt om det inte finns några prejudikat bör ni lämna parternas synpunkter på definitionen av produktmarknaden/den geografiska marknaden)]:</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Mått, källor och metod som följts för beräkning av marknadsandelar.  Om värde och volym inte är de vanligaste måtten för beräkning av marknadsandelar på de relevanta marknaderna, ange marknadsandelar baserade på alternativa mått och förklara.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Om ärendet omfattas av punkt 5 d ii cc i tillkännagivandet om ett förenklat förfarande ska delta HHI anges (värde och volym för tre år):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Lämna information om parternas planerade produkter och om deras konkurrenter (inbegripet utvecklingsstadiet):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Ange kontaktuppgifter för konkurrent 1, konkurrent 2 och konkurrent 3 i föreskrivet format.</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Komplettera ert svar med eventuell ytterligare information som ni vill lämna till kommissionen.</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AVSNITT 10</w:t>
      </w:r>
    </w:p>
    <w:p w14:paraId="52DF441C" w14:textId="77777777" w:rsidR="002138D6" w:rsidRPr="002138D6" w:rsidRDefault="002138D6" w:rsidP="002138D6">
      <w:pPr>
        <w:pStyle w:val="SectionTitle"/>
        <w:keepNext w:val="0"/>
        <w:rPr>
          <w:noProof/>
        </w:rPr>
      </w:pPr>
      <w:r>
        <w:rPr>
          <w:noProof/>
        </w:rPr>
        <w:t>Vertikala förbindelser som omfattas av punkt 5 d ii bb i tillkännagivandet om ett förenklat förfarande</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Fyll i tabellerna nedan om koncentrationen leder till vertikala förbindelser som omfattas av punkt 5 d ii bb i tillkännagivandet om ett förenklat förfarande, inbegripet mellan i) planerade projekt och saluförda produkter eller ii) planerade produkter (dvs. vertikala förbindelser som gäller pipeline-to-pipeline). Kopiera tabellen så många gånger som krävs för att täcka alla rimliga marknader som ni har beaktat:</w:t>
      </w:r>
      <w:r>
        <w:rPr>
          <w:rStyle w:val="FootnoteReference"/>
          <w:rFonts w:ascii="Times New Roman" w:hAnsi="Times New Roman" w:cs="Times New Roman"/>
          <w:b/>
          <w:noProof/>
        </w:rPr>
        <w:footnoteReference w:id="48"/>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Vertikala förbindelser som omfattas av punkt 5 d ii bb i tillkännagivandet om ett förenklat förfarande – marknadsandelar och planerade produkter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FÖREGÅENDE MARKNADSLED</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Prejudikat (ta med en hänvisning till relevanta punkter)</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Rimlig produktmarknad som beaktats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Rimlig geografisk marknad som beaktats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Leverans av produkter på marknader i föregående led</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(Marknadsandelar)</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Inköp av produkter på marknader i föregående led</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(Inköpsandelar)</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Enhet</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Planerade produkter (Namn)</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Berört företag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Berört företag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Berört företag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Kombinerat</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Konkurrent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Konkurrent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Konkurrent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Övriga</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Totalt</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Marknadsstorlek</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euro</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euro</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euro</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parternas verksamhet på denna marknad:</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Lämna närmare uppgifter här (särskilt om det inte finns några prejudikat ska parternas synpunkter på definitionen av produktmarknaden/den geografiska marknaden anges):</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Mått, källor och metod som följts för beräkning av marknadsandelar.  Om värde och volym inte är de vanligaste måtten för beräkning av marknadsandelar på de relevanta marknaderna, ange marknadsandelar baserade på alternativa mått och förklara.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Lämna information om parternas planerade produkter och om deras konkurrenter (inbegripet utvecklingsstadiet):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Förklara om ett eller flera av de berörda företagen köpte insatsvaran i tidigare led från ett eller flera andra berörda företag under år X. År X–1 eller År X-2, med angivande av procentandelen av dessa inköp av det berörda företagets totala inköp: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Ange kontaktuppgifter för konkurrent 1, konkurrent 2 och konkurrent 3 i föreskrivet format.</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EFTERFÖLJANDE MARKNADSLED</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Prejudikat (ta med en hänvisning till relevanta punkter)</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Rimlig produktmarknad som beaktats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Rimlig geografisk marknad som beaktats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Leverantör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Planerade produkter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(Namn)</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Värde</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Volym</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Berört företag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Berört företag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Berört företag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Kombinerat</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Konkurrent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Konkurrent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Konkurrent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Övriga</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Totalt</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Ska inte fyllas i.</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Marknadens storlek</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euro</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euro</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euro</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parternas verksamhet på denna marknad:</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Lämna närmare uppgifter här (särskilt om det inte finns några prejudikat bör ni lämna parternas synpunkter på definitionen av produktmarknaden/den geografiska marknaden)]:</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Mått, källor och metod som följts för beräkning av marknadsandelar.  Om värde och volym inte är de vanligaste måtten för beräkning av marknadsandelar på de relevanta marknaderna, ange marknadsandelar baserade på alternativa mått och förklara.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Lämna information om parternas planerade produkter och deras konkurrenter, inbegripet utvecklingsstadium: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Ange kontaktuppgifter för konkurrent 1, konkurrent 2 och konkurrent 3 i föreskrivet format.</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Uppskatta hur stor procentandel av den totala efterfrågan på insatsvaror i tidigare led som utgörs av marknaden i efterföljande led under år X, X-1 och X-2.  Du bör också identifiera de olika branscher, sektorer och sluttillämpningar där insatsvarorna i föregående led kan användas på andra sätt än marknaden i efterföljande led, inklusive procentandelen av den totala efterfrågan på produkten i tidigare led i varje bransch, sektor och/eller sluttillämpning.  Om denna information inte är tillgänglig för hela marknaden, ange hur stor andel av försäljningen från den part som är verksam på marknaden i föregående led som går till dess tio största kunder (inklusive övriga parter, i förekommande fall):</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Komplettera ert svar med eventuell ytterligare information som ni vill lämna till kommissionen.</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AVSNITT 11</w:t>
      </w:r>
    </w:p>
    <w:p w14:paraId="52DF457D" w14:textId="77777777" w:rsidR="002138D6" w:rsidRPr="002138D6" w:rsidRDefault="002138D6" w:rsidP="002138D6">
      <w:pPr>
        <w:pStyle w:val="SectionTitle"/>
        <w:rPr>
          <w:noProof/>
        </w:rPr>
      </w:pPr>
      <w:r>
        <w:rPr>
          <w:noProof/>
        </w:rPr>
        <w:t>Garantier och åtgärder som inte omfattas av det förenklade förfarandet</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Någon av parterna i koncentrationen har betydande icke-kontrollerande aktieinnehav (dvs. över 10 %) eller ledningsfunktioner i företag som är verksamma på samma marknader som någon av de andra parterna eller på vertikalt relaterade marknader (det förvärvande företaget har t.ex. ett minoritetsinnehav utan bestämmande inflytande eller gemensamma styrelseledamöter i ett företag som är verksamt på samma marknad som målföretaget).</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80"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En eller flera konkurrenter till parterna innehar ett betydande icke-kontrollerande aktieinnehav (dvs. över 10 %) i något av de berörda företagen.</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Om ja: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Ange aktieinnehavet i %: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Ange de rättigheter som är knutna till aktieinnehavet.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87"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Parterna är verksamma på nära angränsande marknader och någon av parterna har var för sig en marknadsandel på 30 % eller mer på någon av dessa marknader enligt en rimlig marknadsdefinition.</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8B"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Det kommer fortfarande att finnas färre än tre konkurrenter med marknadsandelar på över 5 % på någon av de marknader som ger upphov till horisontella överlappningar eller vertikala förbindelser enligt en rimlig marknadsdefinition.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8F"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De relevanta tröskelvärdena för marknadsandelar överskrids när det gäller kapacitet enligt en rimlig marknadsdefinition</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93"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Parterna (eller en av dem) är nya aktörer på de överlappande marknaderna (dvs. de har trätt in på marknaden under de senaste tre åren).</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97"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parterna är viktiga innovatörer på de överlappande marknaderna,</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parterna har fört ut en viktig planerad produkt på marknaden under de senaste fem åren,</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9F"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A2"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Koncentrationen ger upphov till överlappningar mellan pipeline-to-pipeline-produkter eller pipeline-to-marketed-produkter</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A6"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En av parterna har planer på att expandera in på produktmarknader och/eller geografiska marknader som den andra parten är verksam på eller som står i ett vertikalt förhållande till marknader där den andra parten är verksam.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Förklara de produkter eller tjänster som berörs av sådana planer och tidpunkten för dessa: </w:t>
            </w:r>
            <w:r>
              <w:rPr>
                <w:rFonts w:ascii="Times New Roman" w:hAnsi="Times New Roman"/>
                <w:b/>
                <w:i/>
                <w:noProof/>
                <w:sz w:val="20"/>
              </w:rPr>
              <w:t>[fritext],</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AC" w14:textId="77777777" w:rsidR="002138D6" w:rsidRPr="002138D6" w:rsidRDefault="001C301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I produktionskedjor med mer än två nivåer är parternas individuella eller sammanlagda marknadsandelar 30 % eller högre i någon av nivåerna i värdekedjan (i fråga om värde, volym, eller kapacitet).</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B0"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Det gemensamma företagets årsomsättning förväntas överstiga 100 miljoner euro inom EES under de följande tre åren.</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Det gemensamma företagets årsomsättning förväntas överstiga 150 miljoner euro inom EES under de följande tre åren.</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Om det gemensamma företagets årsomsättning förväntas överstiga 100 miljoner euro inom EES under de följande tre åren, ange den förväntade omsättningen för de kommande tre åren: </w:t>
            </w:r>
            <w:r>
              <w:rPr>
                <w:rFonts w:ascii="Times New Roman" w:hAnsi="Times New Roman"/>
                <w:b/>
                <w:i/>
                <w:noProof/>
                <w:sz w:val="20"/>
              </w:rPr>
              <w:t>[fritext].</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1C301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BA" w14:textId="77777777" w:rsidR="002138D6" w:rsidRPr="002138D6" w:rsidRDefault="001C301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1C301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BE" w14:textId="77777777" w:rsidR="002138D6" w:rsidRPr="002138D6" w:rsidRDefault="001C301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Nej</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Om ni svarade ”ja” på någon av frågorna ovan, förklara varför ni anser att ärendet bör behandlas enligt tillkännagivandet om ett förenklat förfarande och lämna alla relevanta uppgifter: </w:t>
            </w:r>
            <w:r>
              <w:rPr>
                <w:rFonts w:ascii="Times New Roman" w:hAnsi="Times New Roman"/>
                <w:b/>
                <w:i/>
                <w:noProof/>
                <w:sz w:val="20"/>
              </w:rPr>
              <w:t>[fritext],</w:t>
            </w:r>
          </w:p>
        </w:tc>
      </w:tr>
    </w:tbl>
    <w:p w14:paraId="52DF45C3" w14:textId="77777777" w:rsidR="002138D6" w:rsidRPr="002138D6" w:rsidRDefault="002138D6" w:rsidP="002138D6">
      <w:pPr>
        <w:pStyle w:val="SectionTitle"/>
        <w:spacing w:before="360"/>
        <w:rPr>
          <w:noProof/>
        </w:rPr>
      </w:pPr>
      <w:r>
        <w:rPr>
          <w:noProof/>
        </w:rPr>
        <w:t>AVSNITT 12</w:t>
      </w:r>
    </w:p>
    <w:p w14:paraId="52DF45C4" w14:textId="77777777" w:rsidR="002138D6" w:rsidRPr="002138D6" w:rsidRDefault="002138D6" w:rsidP="002138D6">
      <w:pPr>
        <w:pStyle w:val="SectionTitle"/>
        <w:rPr>
          <w:noProof/>
        </w:rPr>
      </w:pPr>
      <w:r>
        <w:rPr>
          <w:noProof/>
        </w:rPr>
        <w:t>Samarbetseffekter av gemensamma företag</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Behåller två eller flera moderföretag verksamheter på samma marknad som det gemensamma företaget eller på en marknad i ett föregående eller efterföljande led i förhållande till det gemensamma företagets marknader eller på en angränsande marknad som har nära anknytning till denna marknad?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Ja</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Nej</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Moderföretag</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Marknad</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Omsättning</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Marknadsandel</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Gemensamt företag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Marknad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Omsättning</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Marknadsandel</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Förklara om kriterierna i artikel 101.1 och 101.3 i fördraget om Europeiska unionens funktionssätt och, i tillämpliga fall, motsvarande bestämmelser i EES-avtalet är uppfyllda i detta fall.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Komplettera ert svar med eventuell ytterligare information som ni vill lämna till kommissionen. </w:t>
      </w:r>
    </w:p>
    <w:p w14:paraId="52DF45D7" w14:textId="77777777" w:rsidR="002138D6" w:rsidRPr="002138D6" w:rsidRDefault="002138D6" w:rsidP="002138D6">
      <w:pPr>
        <w:pStyle w:val="SectionTitle"/>
        <w:rPr>
          <w:noProof/>
        </w:rPr>
      </w:pPr>
      <w:r>
        <w:rPr>
          <w:noProof/>
        </w:rPr>
        <w:t>AVSNITT 13</w:t>
      </w:r>
    </w:p>
    <w:p w14:paraId="52DF45D8" w14:textId="77777777" w:rsidR="002138D6" w:rsidRPr="002138D6" w:rsidRDefault="002138D6" w:rsidP="002138D6">
      <w:pPr>
        <w:pStyle w:val="SectionTitle"/>
        <w:rPr>
          <w:noProof/>
        </w:rPr>
      </w:pPr>
      <w:r>
        <w:rPr>
          <w:noProof/>
        </w:rPr>
        <w:t>Kontaktuppgifter</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Anmälande part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Anmälande part 2 (i tillämpliga fall)</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Namn</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Namn</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E-post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E-post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Webbplats</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Webbplats</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Mål</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Namn</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E-post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Webbplats</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Befullmäktigat ombud för den anmälande parten</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Befullmäktigat ombud för anmälande part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Namn</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Namn</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Organisation</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Organisation</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E-post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E-post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AVSNITT 14</w:t>
      </w:r>
    </w:p>
    <w:p w14:paraId="52DF4608" w14:textId="77777777" w:rsidR="002138D6" w:rsidRPr="002138D6" w:rsidRDefault="002138D6" w:rsidP="002138D6">
      <w:pPr>
        <w:pStyle w:val="SectionTitle"/>
        <w:rPr>
          <w:noProof/>
        </w:rPr>
      </w:pPr>
      <w:r>
        <w:rPr>
          <w:noProof/>
        </w:rPr>
        <w:t>Bilagor</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1C3017"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Handlingar som rör koncentrationen</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Bestämmelser om ändring av kontroll:</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Bestämmelser om fullständig funktionalitet: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1C3017"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Ursprunglig fullmakt (från den eller de anmälande parterna)</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1C3017"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Uppgifter om omsättning – fördelning inom EES</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1C3017"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Metod för marknadsandelar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1C3017"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Endast i de fall då koncentrationen ger upphov till en eller flera horisontella överlappningar och/eller vertikala förbindelser inom EES ska följande anges: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Kopior av alla presentationer som utarbetats av eller för eller mottagits av någon av ledamöterna av direktionen, styrelsen eller tillsynsnämnden, mot bakgrund av företagets bolagsstyrning, eller övriga personer som utövar liknande funktioner (eller till vilken sådana funktioner har delegerats eller anförtrotts) eller aktieägarmötet för att analysera den anmälda koncentrationen.</w:t>
            </w:r>
          </w:p>
          <w:p w14:paraId="52DF4618" w14:textId="77777777" w:rsidR="002138D6" w:rsidRPr="00A965CB"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Uppgift om den internetadress, om en sådan finns, där de senaste årsredovisningarna och boksluten för samtliga parter i koncentrationen finns tillgängliga eller, om ingen sådan internetadress finns, kopior av de senaste årsredovisningarna och boksluten för parterna i koncentrationen.</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1C3017"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Andra bilagor</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Beskriv</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AVSNITT 15</w:t>
      </w:r>
    </w:p>
    <w:p w14:paraId="52DF4620" w14:textId="77777777" w:rsidR="002138D6" w:rsidRPr="002138D6" w:rsidRDefault="002138D6" w:rsidP="002138D6">
      <w:pPr>
        <w:pStyle w:val="SectionTitle"/>
        <w:rPr>
          <w:noProof/>
        </w:rPr>
      </w:pPr>
      <w:r>
        <w:rPr>
          <w:noProof/>
        </w:rPr>
        <w:t>Andra anmälningar</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Är koncentrationen anmälningspliktig i andra jurisdiktioner?</w:t>
      </w:r>
    </w:p>
    <w:p w14:paraId="52DF4623" w14:textId="77777777" w:rsidR="002138D6" w:rsidRPr="002138D6" w:rsidRDefault="001C3017"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Ja </w:t>
      </w:r>
    </w:p>
    <w:p w14:paraId="52DF4624" w14:textId="77777777" w:rsidR="002138D6" w:rsidRPr="002138D6" w:rsidRDefault="001C3017"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Nej</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Om ja, ange dem här:</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Ange om ni har lämnat in eller avser att lämna in en anmälan enligt artikel 20 i Europaparlamentets och rådets förordning (EU) 2022/2560 av den 14 december 2022 om utländska subventioner som snedvrider den inre marknaden (EUT L 330, 23.12.2022, s. 1).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AVSNITT 16</w:t>
      </w:r>
    </w:p>
    <w:p w14:paraId="52DF462A" w14:textId="77777777" w:rsidR="002138D6" w:rsidRPr="002138D6" w:rsidRDefault="002138D6" w:rsidP="002138D6">
      <w:pPr>
        <w:pStyle w:val="SectionTitle"/>
        <w:rPr>
          <w:noProof/>
        </w:rPr>
      </w:pPr>
      <w:r>
        <w:rPr>
          <w:noProof/>
        </w:rPr>
        <w:t>Försäkran</w:t>
      </w:r>
    </w:p>
    <w:p w14:paraId="52DF462B" w14:textId="77777777" w:rsidR="002138D6" w:rsidRPr="002138D6" w:rsidRDefault="001C3017"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ab/>
      </w:r>
      <w:r w:rsidR="004E11D1">
        <w:rPr>
          <w:rFonts w:ascii="Times New Roman" w:hAnsi="Times New Roman"/>
          <w:noProof/>
        </w:rPr>
        <w:t>Den anmälande parten eller de anmälande parterna försäkrar på heder och samvete att uppgifterna i detta formulär är sanna, korrekta och fullständiga, att kopiorna av relevanta handlingar överensstämmer med originalet och är fullständiga, att alla uppskattningar angivits som sådana och gjorts på grundval av faktaunderlaget samt att alla omdömen har lämnats i god tro.</w:t>
      </w:r>
    </w:p>
    <w:p w14:paraId="52DF462C" w14:textId="77777777" w:rsidR="002138D6" w:rsidRPr="002138D6" w:rsidRDefault="001C3017"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Den anmälande parten eller de anmälande parterna känner till artikel 14.1 a i koncentrationsförordningen.</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För digitalt undertecknade formulär finns följande fält endast för information. De bör motsvara metadata för motsvarande elektroniska signaturer.</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Datum:</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[undertecknare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Namn:</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Organisation:</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Befattning:</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Adress:</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Tfn:</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E-post:</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[e-signatur/underskrift]</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[undertecknare 2, om tillämpligt]</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Namn:</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Organisation:</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Befattning:</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Adress:</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Tfn:</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E-post:</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[e-signatur/underskrift]</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D62D2" w14:textId="0D2294EA" w:rsidR="00A965CB" w:rsidRPr="001C3017" w:rsidRDefault="00A965CB" w:rsidP="001C301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0944D922" w:rsidR="00D50649" w:rsidRPr="00AC7A35" w:rsidRDefault="00A965CB" w:rsidP="00D50649">
    <w:pPr>
      <w:pStyle w:val="Footer"/>
      <w:rPr>
        <w:rFonts w:ascii="Arial" w:hAnsi="Arial" w:cs="Arial"/>
        <w:b/>
        <w:sz w:val="48"/>
      </w:rPr>
    </w:pPr>
    <w:r>
      <w:rPr>
        <w:rFonts w:ascii="Arial" w:hAnsi="Arial"/>
        <w:b/>
        <w:sz w:val="48"/>
      </w:rPr>
      <w:t>SV</w:t>
    </w:r>
    <w:r w:rsidR="00D50649">
      <w:tab/>
    </w:r>
    <w:r w:rsidR="00D50649">
      <w:rPr>
        <w:rFonts w:ascii="Times New Roman" w:hAnsi="Times New Roman" w:cs="Times New Roman"/>
      </w:rPr>
      <w:fldChar w:fldCharType="begin"/>
    </w:r>
    <w:r w:rsidR="00D50649">
      <w:rPr>
        <w:rFonts w:ascii="Times New Roman" w:hAnsi="Times New Roman" w:cs="Times New Roman"/>
      </w:rPr>
      <w:instrText xml:space="preserve"> PAGE  \* MERGEFORMAT </w:instrText>
    </w:r>
    <w:r w:rsidR="00D50649">
      <w:rPr>
        <w:rFonts w:ascii="Times New Roman" w:hAnsi="Times New Roman" w:cs="Times New Roman"/>
      </w:rPr>
      <w:fldChar w:fldCharType="separate"/>
    </w:r>
    <w:r>
      <w:rPr>
        <w:rFonts w:ascii="Times New Roman" w:hAnsi="Times New Roman" w:cs="Times New Roman"/>
        <w:noProof/>
      </w:rPr>
      <w:t>21</w:t>
    </w:r>
    <w:r w:rsidR="00D50649">
      <w:rPr>
        <w:rFonts w:ascii="Times New Roman" w:hAnsi="Times New Roman" w:cs="Times New Roman"/>
      </w:rPr>
      <w:fldChar w:fldCharType="end"/>
    </w:r>
    <w:r w:rsidR="00D50649">
      <w:tab/>
    </w:r>
    <w:r>
      <w:rPr>
        <w:rFonts w:ascii="Arial" w:hAnsi="Arial"/>
        <w:b/>
        <w:sz w:val="48"/>
      </w:rPr>
      <w:t>SV</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5D7B236D" w:rsidR="00D50649" w:rsidRPr="00AC7A35" w:rsidRDefault="00D50649" w:rsidP="00D50649">
    <w:pPr>
      <w:pStyle w:val="FooterLandscape"/>
      <w:rPr>
        <w:rFonts w:ascii="Arial" w:hAnsi="Arial" w:cs="Arial"/>
        <w:b/>
        <w:sz w:val="48"/>
      </w:rPr>
    </w:pPr>
    <w:r>
      <w:rPr>
        <w:rFonts w:ascii="Arial" w:hAnsi="Arial"/>
        <w:b/>
        <w:sz w:val="48"/>
      </w:rPr>
      <w:t>SV</w:t>
    </w:r>
    <w:r>
      <w:tab/>
    </w:r>
    <w:r>
      <w:fldChar w:fldCharType="begin"/>
    </w:r>
    <w:r>
      <w:instrText xml:space="preserve"> PAGE  \* MERGEFORMAT </w:instrText>
    </w:r>
    <w:r>
      <w:fldChar w:fldCharType="separate"/>
    </w:r>
    <w:r w:rsidR="00A965CB">
      <w:rPr>
        <w:noProof/>
      </w:rPr>
      <w:t>22</w:t>
    </w:r>
    <w:r>
      <w:fldChar w:fldCharType="end"/>
    </w:r>
    <w:r>
      <w:tab/>
    </w:r>
    <w:r>
      <w:tab/>
    </w:r>
    <w:r>
      <w:rPr>
        <w:rFonts w:ascii="Arial" w:hAnsi="Arial"/>
        <w:b/>
        <w:sz w:val="48"/>
      </w:rPr>
      <w:t>SV</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5F436432" w:rsidR="00D50649" w:rsidRPr="00AC7A35" w:rsidRDefault="00A965CB" w:rsidP="00D50649">
    <w:pPr>
      <w:pStyle w:val="FooterLandscape"/>
      <w:rPr>
        <w:rFonts w:ascii="Arial" w:hAnsi="Arial" w:cs="Arial"/>
        <w:b/>
        <w:sz w:val="48"/>
      </w:rPr>
    </w:pPr>
    <w:r>
      <w:rPr>
        <w:rFonts w:ascii="Arial" w:hAnsi="Arial"/>
        <w:b/>
        <w:sz w:val="48"/>
      </w:rPr>
      <w:t>SV</w:t>
    </w:r>
    <w:r w:rsidR="00D50649">
      <w:tab/>
    </w:r>
    <w:r w:rsidR="00D50649">
      <w:fldChar w:fldCharType="begin"/>
    </w:r>
    <w:r w:rsidR="00D50649">
      <w:instrText xml:space="preserve"> PAGE  \* MERGEFORMAT </w:instrText>
    </w:r>
    <w:r w:rsidR="00D50649">
      <w:fldChar w:fldCharType="separate"/>
    </w:r>
    <w:r>
      <w:rPr>
        <w:noProof/>
      </w:rPr>
      <w:t>23</w:t>
    </w:r>
    <w:r w:rsidR="00D50649">
      <w:fldChar w:fldCharType="end"/>
    </w:r>
    <w:r w:rsidR="00D50649">
      <w:tab/>
    </w:r>
    <w:r w:rsidR="00D50649">
      <w:tab/>
    </w:r>
    <w:r>
      <w:rPr>
        <w:rFonts w:ascii="Arial" w:hAnsi="Arial"/>
        <w:b/>
        <w:sz w:val="48"/>
      </w:rPr>
      <w:t>SV</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3C7C" w14:textId="62D0035F" w:rsidR="00A965CB" w:rsidRPr="001C3017" w:rsidRDefault="001C3017" w:rsidP="001C3017">
    <w:pPr>
      <w:pStyle w:val="FooterCoverPage"/>
      <w:rPr>
        <w:rFonts w:ascii="Arial" w:hAnsi="Arial" w:cs="Arial"/>
        <w:b/>
        <w:sz w:val="48"/>
      </w:rPr>
    </w:pPr>
    <w:r w:rsidRPr="001C3017">
      <w:rPr>
        <w:rFonts w:ascii="Arial" w:hAnsi="Arial" w:cs="Arial"/>
        <w:b/>
        <w:sz w:val="48"/>
      </w:rPr>
      <w:t>SV</w:t>
    </w:r>
    <w:r w:rsidRPr="001C3017">
      <w:rPr>
        <w:rFonts w:ascii="Arial" w:hAnsi="Arial" w:cs="Arial"/>
        <w:b/>
        <w:sz w:val="48"/>
      </w:rPr>
      <w:tab/>
    </w:r>
    <w:r w:rsidRPr="001C3017">
      <w:rPr>
        <w:rFonts w:ascii="Arial" w:hAnsi="Arial" w:cs="Arial"/>
        <w:b/>
        <w:sz w:val="48"/>
      </w:rPr>
      <w:tab/>
    </w:r>
    <w:r w:rsidRPr="001C3017">
      <w:tab/>
    </w:r>
    <w:r w:rsidRPr="001C3017">
      <w:rPr>
        <w:rFonts w:ascii="Arial" w:hAnsi="Arial" w:cs="Arial"/>
        <w:b/>
        <w:sz w:val="48"/>
      </w:rPr>
      <w:t>SV</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3D70CA79" w:rsidR="00D50649" w:rsidRPr="00AC7A35" w:rsidRDefault="00D50649" w:rsidP="00D50649">
    <w:pPr>
      <w:pStyle w:val="Footer"/>
      <w:rPr>
        <w:rFonts w:ascii="Arial" w:hAnsi="Arial" w:cs="Arial"/>
        <w:b/>
        <w:sz w:val="48"/>
      </w:rPr>
    </w:pPr>
    <w:r>
      <w:rPr>
        <w:rFonts w:ascii="Arial" w:hAnsi="Arial"/>
        <w:b/>
        <w:sz w:val="48"/>
      </w:rPr>
      <w:t>EN</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A965CB">
      <w:rPr>
        <w:rFonts w:ascii="Times New Roman" w:hAnsi="Times New Roman" w:cs="Times New Roman"/>
        <w:noProof/>
        <w:sz w:val="24"/>
      </w:rPr>
      <w:t>25</w:t>
    </w:r>
    <w:r>
      <w:rPr>
        <w:rFonts w:ascii="Times New Roman" w:hAnsi="Times New Roman" w:cs="Times New Roman"/>
        <w:sz w:val="24"/>
      </w:rPr>
      <w:fldChar w:fldCharType="end"/>
    </w:r>
    <w:r>
      <w:tab/>
    </w:r>
    <w:r>
      <w:rPr>
        <w:rFonts w:ascii="Arial" w:hAnsi="Arial"/>
        <w:b/>
        <w:sz w:val="48"/>
      </w:rPr>
      <w:t>SV</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595BE39E" w:rsidR="00D50649" w:rsidRPr="00AC7A35" w:rsidRDefault="00D50649" w:rsidP="00D50649">
    <w:pPr>
      <w:pStyle w:val="FooterLandscape"/>
      <w:rPr>
        <w:rFonts w:ascii="Arial" w:hAnsi="Arial" w:cs="Arial"/>
        <w:b/>
        <w:sz w:val="48"/>
      </w:rPr>
    </w:pPr>
    <w:r>
      <w:rPr>
        <w:rFonts w:ascii="Arial" w:hAnsi="Arial"/>
        <w:b/>
        <w:sz w:val="48"/>
      </w:rPr>
      <w:t>SV</w:t>
    </w:r>
    <w:r>
      <w:tab/>
    </w:r>
    <w:r>
      <w:fldChar w:fldCharType="begin"/>
    </w:r>
    <w:r>
      <w:instrText xml:space="preserve"> PAGE  \* MERGEFORMAT </w:instrText>
    </w:r>
    <w:r>
      <w:fldChar w:fldCharType="separate"/>
    </w:r>
    <w:r w:rsidR="00A965CB">
      <w:rPr>
        <w:noProof/>
      </w:rPr>
      <w:t>27</w:t>
    </w:r>
    <w:r>
      <w:fldChar w:fldCharType="end"/>
    </w:r>
    <w:r>
      <w:tab/>
    </w:r>
    <w:r>
      <w:tab/>
    </w:r>
    <w:r>
      <w:rPr>
        <w:rFonts w:ascii="Arial" w:hAnsi="Arial"/>
        <w:b/>
        <w:sz w:val="48"/>
      </w:rPr>
      <w:t>SV</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5A3D3726" w:rsidR="00D50649" w:rsidRPr="006F0827" w:rsidRDefault="00D50649" w:rsidP="00D50649">
    <w:pPr>
      <w:pStyle w:val="Footer"/>
      <w:rPr>
        <w:rFonts w:ascii="Arial" w:hAnsi="Arial" w:cs="Arial"/>
        <w:b/>
        <w:sz w:val="48"/>
      </w:rPr>
    </w:pPr>
    <w:r>
      <w:rPr>
        <w:rFonts w:ascii="Arial" w:hAnsi="Arial"/>
        <w:b/>
        <w:sz w:val="48"/>
      </w:rPr>
      <w:t>SV</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A965CB">
      <w:rPr>
        <w:rFonts w:ascii="Times New Roman" w:hAnsi="Times New Roman" w:cs="Times New Roman"/>
        <w:noProof/>
        <w:sz w:val="24"/>
      </w:rPr>
      <w:t>32</w:t>
    </w:r>
    <w:r>
      <w:rPr>
        <w:rFonts w:ascii="Times New Roman" w:hAnsi="Times New Roman" w:cs="Times New Roman"/>
        <w:sz w:val="24"/>
      </w:rPr>
      <w:fldChar w:fldCharType="end"/>
    </w:r>
    <w:r>
      <w:tab/>
    </w:r>
    <w:r>
      <w:rPr>
        <w:rFonts w:ascii="Arial" w:hAnsi="Arial"/>
        <w:b/>
        <w:sz w:val="48"/>
      </w:rPr>
      <w:t>SV</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74B6F" w14:textId="77777777" w:rsidR="001C3017" w:rsidRPr="001C3017" w:rsidRDefault="001C3017" w:rsidP="001C301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43B5FBAE" w:rsidR="00D50649" w:rsidRPr="00AC7A35" w:rsidRDefault="00A965CB" w:rsidP="00D50649">
    <w:pPr>
      <w:pStyle w:val="Footer"/>
      <w:rPr>
        <w:rFonts w:ascii="Arial" w:hAnsi="Arial" w:cs="Arial"/>
        <w:b/>
        <w:sz w:val="48"/>
      </w:rPr>
    </w:pPr>
    <w:r>
      <w:rPr>
        <w:rFonts w:ascii="Arial" w:hAnsi="Arial"/>
        <w:b/>
        <w:sz w:val="48"/>
      </w:rPr>
      <w:t>SV</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sidR="001C3017">
      <w:rPr>
        <w:rFonts w:ascii="Times New Roman" w:hAnsi="Times New Roman" w:cs="Times New Roman"/>
        <w:noProof/>
        <w:sz w:val="24"/>
      </w:rPr>
      <w:t>1</w:t>
    </w:r>
    <w:r w:rsidR="00D50649">
      <w:rPr>
        <w:rFonts w:ascii="Times New Roman" w:hAnsi="Times New Roman" w:cs="Times New Roman"/>
        <w:sz w:val="24"/>
      </w:rPr>
      <w:fldChar w:fldCharType="end"/>
    </w:r>
    <w:r w:rsidR="00D50649">
      <w:tab/>
    </w:r>
    <w:r>
      <w:rPr>
        <w:rFonts w:ascii="Arial" w:hAnsi="Arial"/>
        <w:b/>
        <w:sz w:val="48"/>
      </w:rPr>
      <w:t>SV</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2D3A7938" w:rsidR="00D50649" w:rsidRPr="00AC7A35" w:rsidRDefault="00A965CB" w:rsidP="00D50649">
    <w:pPr>
      <w:pStyle w:val="FooterLandscape"/>
      <w:rPr>
        <w:rFonts w:ascii="Arial" w:hAnsi="Arial" w:cs="Arial"/>
        <w:b/>
        <w:sz w:val="48"/>
      </w:rPr>
    </w:pPr>
    <w:r>
      <w:rPr>
        <w:rFonts w:ascii="Arial" w:hAnsi="Arial"/>
        <w:b/>
        <w:sz w:val="48"/>
      </w:rPr>
      <w:t>SV</w:t>
    </w:r>
    <w:r w:rsidR="00D50649">
      <w:tab/>
    </w:r>
    <w:r w:rsidR="00D50649">
      <w:fldChar w:fldCharType="begin"/>
    </w:r>
    <w:r w:rsidR="00D50649">
      <w:instrText xml:space="preserve"> PAGE  \* MERGEFORMAT </w:instrText>
    </w:r>
    <w:r w:rsidR="00D50649">
      <w:fldChar w:fldCharType="separate"/>
    </w:r>
    <w:r>
      <w:rPr>
        <w:noProof/>
      </w:rPr>
      <w:t>19</w:t>
    </w:r>
    <w:r w:rsidR="00D50649">
      <w:fldChar w:fldCharType="end"/>
    </w:r>
    <w:r w:rsidR="00D50649">
      <w:tab/>
    </w:r>
    <w:r w:rsidR="00D50649">
      <w:tab/>
    </w:r>
    <w:r>
      <w:rPr>
        <w:rFonts w:ascii="Arial" w:hAnsi="Arial"/>
        <w:b/>
        <w:sz w:val="48"/>
      </w:rPr>
      <w:t>SV</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Rådets förordning (EG) nr 139/2004 av den 20 januari 2004 om kontroll av företagskoncentrationer (koncentrationsförordningen) (EUT L 24, 29.1.2004, s. 1), </w:t>
      </w:r>
      <w:r>
        <w:rPr>
          <w:rStyle w:val="Hyperlink"/>
          <w:color w:val="auto"/>
          <w:u w:val="none"/>
        </w:rPr>
        <w:t xml:space="preserve">tillgänglig via </w:t>
      </w:r>
      <w:hyperlink r:id="rId1" w:history="1">
        <w:r>
          <w:rPr>
            <w:rStyle w:val="Hyperlink"/>
          </w:rPr>
          <w:t>EUR-Lex - 32004R0139 - SV - EUR-Lex (europa.eu)</w:t>
        </w:r>
      </w:hyperlink>
      <w:r>
        <w:t>.</w:t>
      </w:r>
    </w:p>
  </w:footnote>
  <w:footnote w:id="2">
    <w:p w14:paraId="52DF467E" w14:textId="77777777" w:rsidR="00D50649" w:rsidRPr="00A965CB" w:rsidRDefault="00D50649" w:rsidP="002138D6">
      <w:pPr>
        <w:pStyle w:val="FootnoteText"/>
        <w:tabs>
          <w:tab w:val="left" w:pos="709"/>
        </w:tabs>
        <w:ind w:left="426" w:hanging="426"/>
        <w:rPr>
          <w:lang w:val="fr-BE"/>
        </w:rPr>
      </w:pPr>
      <w:r>
        <w:rPr>
          <w:rStyle w:val="FootnoteReference"/>
        </w:rPr>
        <w:footnoteRef/>
      </w:r>
      <w:r w:rsidRPr="00A965CB">
        <w:rPr>
          <w:lang w:val="fr-BE"/>
        </w:rPr>
        <w:tab/>
        <w:t>EUT L, [X], [X].[X].[X], s.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Kommissionens tillkännagivande om förenklad handläggning av vissa koncentrationer enligt rådets förordning (EG) nr 139/2004 (EUT C [X], [X].[X].[X], s. [X]) (</w:t>
      </w:r>
      <w:r>
        <w:rPr>
          <w:i/>
        </w:rPr>
        <w:t>tillkännagivandet om ett förenklat förfarande</w:t>
      </w:r>
      <w:r>
        <w:t xml:space="preserve">).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Med aktuell omsättning avses den omsättning som det gemensamma företaget genererar vid tidpunkten för anmälan. Omsättningen för gemensamma företag kan fastställas enligt de senaste räkenskaperna för moderföretagen, eller för själva det gemensamma företaget, beroende på om det finns separata räkenskaper för de resurser som kombineras i det gemensamma företaget eller inte.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Tillkännagivandet om ett förenklat förfarande, punkt 5 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Tillkännagivandet om ett förenklat förfarande, punkt 5 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Se tillkännagivandet om ett förenklat förfarande, punkt 5 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Se tillkännagivandet om ett förenklat förfarande, punkt 5 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Se tillkännagivandet om ett förenklat förfarande, punkt 5 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Se tillkännagivandet om ett förenklat förfarande, punkt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Se tillkännagivandet om ett förenklat förfarande, punkt 9. </w:t>
      </w:r>
    </w:p>
  </w:footnote>
  <w:footnote w:id="12">
    <w:p w14:paraId="52DF4688" w14:textId="77777777" w:rsidR="00D50649" w:rsidRPr="00D25448" w:rsidRDefault="00D50649" w:rsidP="002138D6">
      <w:pPr>
        <w:pStyle w:val="FootnoteText"/>
        <w:ind w:left="426" w:hanging="426"/>
      </w:pPr>
      <w:r>
        <w:rPr>
          <w:rStyle w:val="FootnoteReference"/>
        </w:rPr>
        <w:footnoteRef/>
      </w:r>
      <w:r>
        <w:tab/>
        <w:t>Se tillkännagivandet om ett förenklat förfarande, punkt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Begäran om hänförande till ett handläggarteam finns på: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Transaktioner som omfattas av punkterna 5 a och 5 c i tillkännagivandet om ett förenklat förfarande (se tillkännagivandet om ett förenklat förfarande, punkt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EUT L 295, 21.11.2018, s. 39,tillgänglig via </w:t>
      </w:r>
      <w:hyperlink r:id="rId3" w:history="1">
        <w:r>
          <w:rPr>
            <w:rStyle w:val="Hyperlink"/>
          </w:rPr>
          <w:t>https://eur-lex.europa.eu/legal-content/SV/TXT/?uri=celex%3A32018R1725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Se även ett meddelande om skydd av personuppgifter i samband med koncentrationsutredningar på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Se mallen för fullmaktsdokument på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A965CB" w:rsidRDefault="00D50649" w:rsidP="002138D6">
      <w:pPr>
        <w:pStyle w:val="FootnoteText1"/>
        <w:tabs>
          <w:tab w:val="left" w:pos="709"/>
        </w:tabs>
        <w:ind w:left="426" w:hanging="426"/>
        <w:rPr>
          <w:lang w:val="fr-BE"/>
        </w:rPr>
      </w:pPr>
      <w:r>
        <w:rPr>
          <w:rStyle w:val="FootnoteReference"/>
        </w:rPr>
        <w:footnoteRef/>
      </w:r>
      <w:r w:rsidRPr="00A965CB">
        <w:rPr>
          <w:lang w:val="fr-BE"/>
        </w:rPr>
        <w:tab/>
        <w:t xml:space="preserve">Se </w:t>
      </w:r>
      <w:hyperlink r:id="rId6" w:history="1">
        <w:r w:rsidRPr="00A965CB">
          <w:rPr>
            <w:rStyle w:val="Hyperlink2"/>
            <w:lang w:val="fr-BE"/>
          </w:rPr>
          <w:t>https://ec.europa.eu/competition-policy/mergers/practical-information_en</w:t>
        </w:r>
      </w:hyperlink>
      <w:r w:rsidRPr="00A965CB">
        <w:rPr>
          <w:rStyle w:val="Hyperlink2"/>
          <w:lang w:val="fr-BE"/>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En koncentration inträffar när två eller flera oberoende företag slås samman till ett nytt företag och upphör att existera som separata juridiska enheter. Se punkterna 9 och 10 i kommissionens konsoliderade tillkännagivande om behörighet enligt förordning (EG) nr 139/2004 om kontroll av företagskoncentrationer (kommissionens konsoliderade tillkännagivande om behörighet) (EUT C 95, 16.4.2008, s. 1), tillgängligt via </w:t>
      </w:r>
      <w:hyperlink r:id="rId7" w:history="1">
        <w:r>
          <w:rPr>
            <w:rStyle w:val="Hyperlink"/>
          </w:rPr>
          <w:t>https://eur-lex.europa.eu/legal-content/SV/TXT/?uri=CELEX%3A52008XC0416%2808%29</w:t>
        </w:r>
      </w:hyperlink>
      <w:r>
        <w:t>, för ytterligare information och vägledning om rättsliga aspekter.</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Detta scenario avser förvärv av gemensam kontroll över målföretag som inte tidigare kontrollerades av någon av de parter som förvärvar gemensam kontroll (dvs. förvärv av kontroll över ett företag från en icke-närstående tredje part).  Se särskilt kommissionens konsoliderade tillkännagivande om behörighet, punkt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Denna kategori avser ett nytt nybildat gemensamt företag till vilket moderföretagen inte överför någon befintlig ekonomisk verksamhet (dvs. ett dotterbolag eller en verksamhet med marknadsnärvaro) eller endast överför tillgångar som inte utgör en verksamhet i sig.</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Dessa fall omfattar bland annat i) bildande av nya självständigt fungerande gemensamma företag när ett eller flera moderföretag överför en befintlig affärsverksamhet eller ekonomisk verksamhet och ii) inträde eller ersättning av kontrollerande aktieägare i ett gemensamt företag. Se särskilt kommissionens konsoliderade tillkännagivande om behörighet, punkt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För en definition av berörda företag, se kommissionens konsoliderade tillkännagivande om behörighet, punkterna 129–153.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Anmälande part eller Annan</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Förvärvare vid förvärv av ensam eller gemensam kontroll (om fler än en, ange A1, A2 osv.).</w:t>
      </w:r>
    </w:p>
    <w:p w14:paraId="52DF4695" w14:textId="77777777" w:rsidR="00D50649" w:rsidRPr="00A53FE4" w:rsidRDefault="00D50649" w:rsidP="002138D6">
      <w:pPr>
        <w:pStyle w:val="FootnoteText1"/>
        <w:tabs>
          <w:tab w:val="left" w:pos="709"/>
        </w:tabs>
        <w:ind w:left="426" w:hanging="426"/>
        <w:contextualSpacing/>
      </w:pPr>
      <w:r>
        <w:tab/>
        <w:t>T = Målföretag vid förvärv av ensam kontroll (om fler än ett, ange T1, T2 osv.).</w:t>
      </w:r>
    </w:p>
    <w:p w14:paraId="52DF4696" w14:textId="77777777" w:rsidR="00D50649" w:rsidRPr="00A53FE4" w:rsidRDefault="00D50649" w:rsidP="002138D6">
      <w:pPr>
        <w:pStyle w:val="FootnoteText1"/>
        <w:tabs>
          <w:tab w:val="left" w:pos="709"/>
        </w:tabs>
        <w:ind w:left="426" w:hanging="426"/>
        <w:contextualSpacing/>
      </w:pPr>
      <w:r>
        <w:tab/>
        <w:t>JV = Gemensamt företag vid förvärv av gemensam kontroll (om fler än ett, ange JV1, JV2 osv.).</w:t>
      </w:r>
    </w:p>
    <w:p w14:paraId="52DF4697" w14:textId="77777777" w:rsidR="00D50649" w:rsidRDefault="00D50649" w:rsidP="002138D6">
      <w:pPr>
        <w:pStyle w:val="FootnoteText1"/>
        <w:tabs>
          <w:tab w:val="left" w:pos="709"/>
        </w:tabs>
        <w:ind w:left="426" w:hanging="426"/>
        <w:contextualSpacing/>
      </w:pPr>
      <w:r>
        <w:tab/>
        <w:t>MP = Sammangående part vid en koncentration (om fler än en, ange MP1, MP2 osv.).</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Uppgifterna om omsättning ska uttryckas i euro med de genomsnittliga växelkurserna för de år eller andra perioder det är fråga om.</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Om räkenskapsåret inte infaller med kalenderåret, ange räkenskapsårets slut i fullständigt datumformat (dd/mm/åååå).</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 xml:space="preserve"> Eftastater är Island, Liechtenstein och Norge.</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Ni bör endast ange Nace-koderna för de produkter som leder till ett meddelande om skydd av personuppgifter i samband med koncentrationsutredningar på I fall utan horisontella överlappningar eller icke horisontella förbindelser, ange Nace-koderna för målföretagets viktigaste produkter.</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Europaparlamentets och rådets förordning (EG) nr 1893/2006 av den 20 december 2006 om fastställande av den statistiska näringsgrensindelningen Nace rev. 2 och om ändring av rådets förordning (EEG) nr 3037/90 och vissa EG-förordningar om särskilda statistikområden (EUT L 393, 30.12.2006, s. 1) tillgänglig via </w:t>
      </w:r>
      <w:hyperlink r:id="rId8" w:history="1">
        <w:r>
          <w:rPr>
            <w:rStyle w:val="Hyperlink"/>
          </w:rPr>
          <w:t>EUR-Lex - 32006R1893 - SV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 xml:space="preserve"> Ni bör hänvisa till kommissionens konsoliderade tillkännagivande om behörighet.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Fyll i med beaktande av det beslutsfattande organ som fattar strategiska beslut av den typ som beskrivs i avsnitten 3.1 och 3.2 i kommissionens konsoliderade tillkännagivande om behörighet.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Alla tillgångar som planeras överföras till det gemensamma företaget vid tidpunkten för anmälan bör beaktas, oavsett när dessa tillgångar faktiskt kommer att överföras till det gemensamma företaget.</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Frasen ”och/eller” avser de olika situationer som omfattas. Här ingår bland annat följande:</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Vid gemensamt förvärv av ett målföretag är det omsättningen för detta målföretag (det gemensamma företaget) som ska beaktas. </w:t>
      </w:r>
    </w:p>
    <w:p w14:paraId="52DF46A2" w14:textId="77777777" w:rsidR="00D50649" w:rsidRPr="00A53FE4" w:rsidRDefault="00D50649" w:rsidP="002138D6">
      <w:pPr>
        <w:pStyle w:val="FootnoteText1"/>
        <w:numPr>
          <w:ilvl w:val="0"/>
          <w:numId w:val="31"/>
        </w:numPr>
        <w:tabs>
          <w:tab w:val="left" w:pos="709"/>
        </w:tabs>
        <w:ind w:left="426" w:hanging="426"/>
        <w:contextualSpacing/>
      </w:pPr>
      <w:r>
        <w:t>Vid bildandet av ett gemensamt företag till vilket moderföretagen bidrar med sina verksamheter är det omsättningen för de överförda verksamheterna som ska beaktas.</w:t>
      </w:r>
    </w:p>
    <w:p w14:paraId="52DF46A3" w14:textId="77777777" w:rsidR="00D50649" w:rsidRPr="0053665C" w:rsidRDefault="00D50649" w:rsidP="002138D6">
      <w:pPr>
        <w:pStyle w:val="FootnoteText1"/>
        <w:numPr>
          <w:ilvl w:val="0"/>
          <w:numId w:val="31"/>
        </w:numPr>
        <w:tabs>
          <w:tab w:val="left" w:pos="709"/>
        </w:tabs>
        <w:ind w:left="426" w:hanging="426"/>
        <w:contextualSpacing/>
      </w:pPr>
      <w:r>
        <w:t>Vid inträde av en ny kontrollerande part i ett redan befintligt gemensamt företag ska hänsyn tas till det gemensamma företagets omsättning och omsättningen från eventuella verksamheter som tillförs av det nya moderföretaget.</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Alla tillgångar som planeras överföras till det gemensamma företaget vid tidpunkten för anmälan bör beaktas, oavsett när dessa tillgångar faktiskt kommer att överföras till det gemensamma företaget.</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De två rutorna måste kryssas i för att denna kategori ska vara tillämplig.</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Tröskelvärdena för horisontella överlappningar och vertikala förbindelser tillämpas på varje rimlig alternativ definition av produktmarknaden och den geografiska marknaden som kan behöva övervägas i ett visst fall. Det är viktigt att de underliggande marknadsdefinitioner som anges i tillkännagivandet är tillräckligt exakta för att kunna motivera bedömningen att dessa tröskelvärden inte är uppfyllda och att samtliga rimliga  alternativa marknadsdefinitioner som kan behöva beaktas nämns (inklusive geografiska marknader som är mindre än de nationella).</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HHI beräknas genom att man adderar kvadraterna av de enskilda marknadsandelarna för samtliga företag på marknaden: se kommissionens riktlinjer för bedömning av horisontella koncentrationer enligt rådets förordning om kontroll av företagskoncentrationer (EUT C 31, 5.2.2004, s. 5, punkt 16 tillgängliga via </w:t>
      </w:r>
      <w:hyperlink r:id="rId9" w:history="1">
        <w:r>
          <w:rPr>
            <w:rStyle w:val="Hyperlink"/>
          </w:rPr>
          <w:t>https://eur-lex.europa.eu/legal-content/SV/ALL/?uri=celex%3A52004XC0205%2802%29</w:t>
        </w:r>
      </w:hyperlink>
      <w:r>
        <w:t>. För att beräkna det HHI-delta som koncentrationen leder till räcker det med att från kvadraten av summan av koncentrationsparternas marknadsandelar (med andra ord kvadraten av den sammanslagna enhetens marknadsandel efter koncentrationen) subtrahera summan av kvadraterna av parternas individuella marknadsandelar (eftersom marknadsandelarna för övriga konkurrenter på marknaden förblir oförändrade och därför inte påverkar resultatet av ekvationen).</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Denna kategori syftar till att fånga upp små steg till en befintlig vertikal integration. Till exempel förvärvar företag A, verksamt på en marknad i föregående och efterföljande led (med en andel på 45 % i var och en), företag B som är verksamt på samma marknader i föregående och efterföljande led (med en andel på 0,5 % på var och en).  Denna kategori omfattar inte situationer där huvuddelen av den vertikala integrationen är resultatet av transaktionen, även om de sammanlagda marknadsandelarna understiger 50 % och HHI-deltat är lägre än 150. Den fångar till exempel inte upp följande situation: Företag A, som är verksamt i föregående led med en marknadsandel på 45 % och i efterföljande led med en marknadsandel på 0,5 %, förvärvar företag B, som är verksamt i föregående led med en marknadsandel på 0,5 % och i efterföljande led med en marknadsandel på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Se fotnot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Se fotnot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Planerade produkter är produkter som sannolikt kommer att släppas ut på marknaden på kort eller medellång sikt.  </w:t>
      </w:r>
      <w:r>
        <w:rPr>
          <w:i/>
        </w:rPr>
        <w:t xml:space="preserve">Planerade produkter </w:t>
      </w:r>
      <w:r>
        <w:t xml:space="preserve">omfattar också tjänster.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Vid horisontella överlappningar som omfattar planerade produkter bör ni tillhandahålla andelar för de saluförda produkter som konkurrerar på den rimliga relevanta marknaden.</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Ange marknadsandelar för de parter och/eller konkurrenter som erbjuder saluförda produkter. Om det inte finns några saluförda produkter, ange minst tre konkurrenter som utvecklar konkurrerande planerade produkter.</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Utom vertikala förbindelser som omfattas av punkt 5 d ii bb i tillkännagivandet om ett förenklat förfarande  Avsnitt 10 nedan ska fyllas i när det gäller dessa vertikala förbindelser.</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Om ni till exempel, när det gäller det vertikala förhållandet mellan marknaden U i föregående led och marknaden D i efterföljande led, ansåg att det var möjligt att definiera de rimliga marknaderna U1 och U2 i föregående led, bör ni inkludera två tabeller: (i) information om U1 och D och (ii) information om U2 och D.</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Ange marknadsandelar för de parter och/eller konkurrenter som erbjuder saluförda produkter. Om det inte finns några saluförda produkter, ange minst tre konkurrenter som utvecklar konkurrerande planerade produkter.</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Ange marknadsandelar för de parter och/eller konkurrenter som erbjuder saluförda produkter. Om det inte finns några saluförda produkter, ange minst tre konkurrenter som utvecklar konkurrerande planerade produkter.</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Om ni till exempel, när det gäller det vertikala förhållandet mellan marknaden U i föregående led och marknaden D i efterföljande led, ansåg att det var möjligt att definiera de rimliga marknaderna U1 och U2 i föregående led, bör ni inkludera två tabeller: (i) information om U1 och D och (ii) information om U2 och D.</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Ange marknadsandelar för de parter och/eller konkurrenter som erbjuder saluförda produkter. Om det inte finns några saluförda produkter, ange minst tre konkurrenter som utvecklar konkurrerande planerade produkter.</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Ange marknadsandelar för de parter och/eller konkurrenter som erbjuder saluförda produkter. Om det inte finns några saluförda produkter, ange minst tre konkurrenter som utvecklar konkurrerande planerade produkter.</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Fyll i endast en tabell för alla marknader som omfattas av någon av kategorierna i tillkännagivandet om ett förenklat förfarande för vilka inga av skyddsåtgärderna/undantagen gäller (dvs. svaret på alla frågor i avsnitt 11 är ”nej”).  För varje marknad som omfattas av någon av kategorierna i tillkännagivandet om ett förenklat förfarande, där svaret på minst en fråga är ”ja”, ska en separat tabell lämnas.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Om detta mått är relevant för de marknader där koncentrationen ger upphov till en horisontell överlappning eller ett vertikalt förhållande mellan parternas verksamheter.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6A78" w14:textId="77777777" w:rsidR="001C3017" w:rsidRPr="001C3017" w:rsidRDefault="001C3017" w:rsidP="001C301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2CFB7" w14:textId="77777777" w:rsidR="001C3017" w:rsidRPr="001C3017" w:rsidRDefault="001C3017" w:rsidP="001C3017">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A6579" w14:textId="77777777" w:rsidR="001C3017" w:rsidRPr="001C3017" w:rsidRDefault="001C3017" w:rsidP="001C301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till"/>
    <w:docVar w:name="LW_ANNEX_NBR_FIRST" w:val="2"/>
    <w:docVar w:name="LW_ANNEX_NBR_LAST" w:val="2"/>
    <w:docVar w:name="LW_ANNEX_UNIQUE" w:val="0"/>
    <w:docVar w:name="LW_CORRIGENDUM" w:val="&lt;UNUSED&gt;"/>
    <w:docVar w:name="LW_COVERPAGE_EXISTS" w:val="True"/>
    <w:docVar w:name="LW_COVERPAGE_GUID" w:val="C5FBECAC-022B-4E33-9A43-25AAAB932D67"/>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yssel den "/>
    <w:docVar w:name="LW_EMISSION_SUFFIX" w:val=" "/>
    <w:docVar w:name="LW_ID_DOCTYPE_NONLW" w:val="CP-038"/>
    <w:docVar w:name="LW_LANGUE" w:val="SV"/>
    <w:docVar w:name="LW_LEVEL_OF_SENSITIVITY" w:val="Standard treatment"/>
    <w:docVar w:name="LW_NOM.INST" w:val="EUROPEISKA KOMMISSIONEN"/>
    <w:docVar w:name="LW_NOM.INST_JOINTDOC" w:val="&lt;EMPTY&gt;"/>
    <w:docVar w:name="LW_OBJETACTEPRINCIPAL.CP" w:val="om genomförande av rådets förordning (EG) nr 139/2004 om kontroll av företagskoncentrationer och om upphävande av kommissionens förordning (EG) nr 802/2004_x000d__x000d__x000d__x000d__x000d__x000d__x000d__x000d__x000d__x000d__x000d__x000d__x000d__x000d__x000d__x000d__x000d__x000d__x000b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A_x000b_"/>
    <w:docVar w:name="LW_TYPEACTEPRINCIPAL.CP" w:val="KOMMISSIONENS GENOMFÖRANDEFÖRORDNING (EU) …/…_x000b_"/>
    <w:docVar w:name="LwApiVersions" w:val="LW4CoDe 1.23.2.0; LW 8.0, Build 20211117"/>
  </w:docVars>
  <w:rsids>
    <w:rsidRoot w:val="00B624FB"/>
    <w:rsid w:val="00012B44"/>
    <w:rsid w:val="000A6C6F"/>
    <w:rsid w:val="001144CA"/>
    <w:rsid w:val="00154223"/>
    <w:rsid w:val="001752D7"/>
    <w:rsid w:val="001C3017"/>
    <w:rsid w:val="001E2FEA"/>
    <w:rsid w:val="00211ED5"/>
    <w:rsid w:val="002138D6"/>
    <w:rsid w:val="00223609"/>
    <w:rsid w:val="00224A6E"/>
    <w:rsid w:val="002A52BA"/>
    <w:rsid w:val="002C5E9B"/>
    <w:rsid w:val="002D05BE"/>
    <w:rsid w:val="002E59A6"/>
    <w:rsid w:val="003162DE"/>
    <w:rsid w:val="00327664"/>
    <w:rsid w:val="004C22AD"/>
    <w:rsid w:val="004E11D1"/>
    <w:rsid w:val="004E62A4"/>
    <w:rsid w:val="004F76FA"/>
    <w:rsid w:val="005201C6"/>
    <w:rsid w:val="005914C5"/>
    <w:rsid w:val="005E41FF"/>
    <w:rsid w:val="00670C03"/>
    <w:rsid w:val="00673BCE"/>
    <w:rsid w:val="00676E7F"/>
    <w:rsid w:val="006770AC"/>
    <w:rsid w:val="00737470"/>
    <w:rsid w:val="00774A47"/>
    <w:rsid w:val="008429E1"/>
    <w:rsid w:val="00962001"/>
    <w:rsid w:val="00A3455E"/>
    <w:rsid w:val="00A42683"/>
    <w:rsid w:val="00A965CB"/>
    <w:rsid w:val="00AC213E"/>
    <w:rsid w:val="00B04A43"/>
    <w:rsid w:val="00B3445C"/>
    <w:rsid w:val="00B624FB"/>
    <w:rsid w:val="00B722B7"/>
    <w:rsid w:val="00B77EE0"/>
    <w:rsid w:val="00BA380B"/>
    <w:rsid w:val="00CD6008"/>
    <w:rsid w:val="00CE54AE"/>
    <w:rsid w:val="00D04FC7"/>
    <w:rsid w:val="00D273A1"/>
    <w:rsid w:val="00D30CAE"/>
    <w:rsid w:val="00D50649"/>
    <w:rsid w:val="00DE739C"/>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sv-SE"/>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sv-SE"/>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sv-SE"/>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sv-SE"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sv-SE"/>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V/ALL/?uri=celex%3A32006R1893" TargetMode="External"/><Relationship Id="rId3" Type="http://schemas.openxmlformats.org/officeDocument/2006/relationships/hyperlink" Target="https://eur-lex.europa.eu/legal-content/SV/TXT/?uri=celex%3A32018R1725" TargetMode="External"/><Relationship Id="rId7" Type="http://schemas.openxmlformats.org/officeDocument/2006/relationships/hyperlink" Target="https://eur-lex.europa.eu/legal-content/SV/TXT/?uri=CELEX%3A52008XC0416(08)"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sv/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SV/ALL/?uri=celex%3A52004XC0205(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4.xml><?xml version="1.0" encoding="utf-8"?>
<ds:datastoreItem xmlns:ds="http://schemas.openxmlformats.org/officeDocument/2006/customXml" ds:itemID="{D0246978-DDF9-4FB7-910C-A3ACA56F7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8097</Words>
  <Characters>46157</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20</cp:revision>
  <dcterms:created xsi:type="dcterms:W3CDTF">2023-02-02T15:47:00Z</dcterms:created>
  <dcterms:modified xsi:type="dcterms:W3CDTF">2023-04-19T16:01:00Z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