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3B76F74E" w:rsidR="00B624FB" w:rsidRDefault="00BE18FF" w:rsidP="00BE18FF">
      <w:pPr>
        <w:pStyle w:val="Pagedecouverture"/>
        <w:rPr>
          <w:noProof/>
        </w:rPr>
      </w:pPr>
      <w:bookmarkStart w:id="0" w:name="LW_BM_COVERPAGE"/>
      <w:r>
        <w:rPr>
          <w:noProof/>
        </w:rPr>
        <w:pict w14:anchorId="0BB3F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B24AE7F2-D9BD-4738-AB4B-14D11EE3895F" style="width:455.25pt;height:425.25pt">
            <v:imagedata r:id="rId11" o:title=""/>
          </v:shape>
        </w:pict>
      </w:r>
    </w:p>
    <w:bookmarkEnd w:id="0"/>
    <w:p w14:paraId="52DF4018" w14:textId="77777777" w:rsidR="00B624FB" w:rsidRDefault="00B624FB" w:rsidP="00B624FB">
      <w:pPr>
        <w:rPr>
          <w:noProof/>
        </w:rPr>
        <w:sectPr w:rsidR="00B624FB" w:rsidSect="00BE18FF">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LIITE II </w:t>
      </w:r>
      <w:r>
        <w:rPr>
          <w:noProof/>
        </w:rPr>
        <w:br/>
        <w:t xml:space="preserve">YKSINKERTAISTETTU CO-LOMAKE YRITYSKESKITTYMÄSTÄ ILMOITTAMISEKSI ASETUKSEN (EY) N:o 139/2004 NOJALLA </w:t>
      </w:r>
    </w:p>
    <w:p w14:paraId="52DF401A" w14:textId="77777777" w:rsidR="00B624FB" w:rsidRPr="00997D31" w:rsidRDefault="00CE54AE" w:rsidP="00B624FB">
      <w:pPr>
        <w:pStyle w:val="Annexetitre"/>
        <w:rPr>
          <w:noProof/>
        </w:rPr>
      </w:pPr>
      <w:r>
        <w:rPr>
          <w:noProof/>
        </w:rPr>
        <w:t xml:space="preserve">(YKSINKERTAISTETTU CO-LOMAKE)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Johdanto</w:t>
      </w:r>
    </w:p>
    <w:p w14:paraId="52DF401C" w14:textId="77777777" w:rsidR="002138D6" w:rsidRPr="002138D6" w:rsidRDefault="002138D6" w:rsidP="002138D6">
      <w:pPr>
        <w:pStyle w:val="Point0number"/>
        <w:rPr>
          <w:noProof/>
        </w:rPr>
      </w:pPr>
      <w:r>
        <w:rPr>
          <w:noProof/>
        </w:rPr>
        <w:t xml:space="preserve">Yksinkertaistetussa CO-lomakkeessa selvitetään, mitä tietoja ilmoituksen tekijöiden on annettava ilmoittaessaan Euroopan komissiolle tietyistä ehdotetuista keskittymistä, joita voidaan tarkastella yksinkertaistetun menettelyn mukaisesti. </w:t>
      </w:r>
    </w:p>
    <w:p w14:paraId="52DF401D" w14:textId="209C88DB" w:rsidR="002138D6" w:rsidRPr="002138D6" w:rsidRDefault="002138D6" w:rsidP="002138D6">
      <w:pPr>
        <w:pStyle w:val="Point0number"/>
        <w:numPr>
          <w:ilvl w:val="0"/>
          <w:numId w:val="5"/>
        </w:numPr>
        <w:rPr>
          <w:noProof/>
        </w:rPr>
      </w:pPr>
      <w:r>
        <w:rPr>
          <w:noProof/>
        </w:rPr>
        <w:t>Tämän yksinkertaistetun CO-lomakkeen täyttämisessä on otettava huomioon yrityskeskittymien valvonnasta 20 päivänä tammikuuta 2004 annettu neuvoston asetus (EY) N:o 139/2004</w:t>
      </w:r>
      <w:r>
        <w:rPr>
          <w:rStyle w:val="FootnoteReference"/>
          <w:rFonts w:eastAsia="Calibri"/>
          <w:noProof/>
          <w:szCs w:val="24"/>
        </w:rPr>
        <w:footnoteReference w:id="1"/>
      </w:r>
      <w:r>
        <w:rPr>
          <w:noProof/>
        </w:rPr>
        <w:t>, jäljempänä ’sulautuma-asetus’, ja yrityskeskittymien valvonnasta annetun neuvoston asetuksen (EY) N:o 139/2004 täytäntöönpanosta [.. päivänä ..kuuta 2023] annettu komission täytäntöönpanoasetus (EU) [X/2023]</w:t>
      </w:r>
      <w:r>
        <w:rPr>
          <w:rStyle w:val="FootnoteReference"/>
          <w:noProof/>
          <w:szCs w:val="24"/>
        </w:rPr>
        <w:footnoteReference w:id="2"/>
      </w:r>
      <w:r>
        <w:rPr>
          <w:noProof/>
        </w:rPr>
        <w:t>, jäljempänä ’täytäntöönpanoasetus’, johon tämä yksinkertaistettu CO-lomake on liitetty. Lisäksi on otettava huomioon komission tiedonanto yksinkertaistetusta menettelystä tiettyjen keskittymien käsittelemiseksi.</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Yleensä yksinkertaistettua CO-lomaketta voidaan käyttää keskittymän ilmoittamiseksi, kun yksi seuraavista edellytyksistä täyttyy: </w:t>
      </w:r>
    </w:p>
    <w:p w14:paraId="52DF401F" w14:textId="77777777" w:rsidR="002138D6" w:rsidRPr="002138D6" w:rsidRDefault="002138D6" w:rsidP="002138D6">
      <w:pPr>
        <w:pStyle w:val="Point1letter"/>
        <w:numPr>
          <w:ilvl w:val="3"/>
          <w:numId w:val="5"/>
        </w:numPr>
        <w:rPr>
          <w:noProof/>
        </w:rPr>
      </w:pPr>
      <w:r>
        <w:rPr>
          <w:noProof/>
        </w:rPr>
        <w:t>vähintään kaksi yritystä hankkii yhteisen määräysvallan yhteisyrityksessä edellyttäen, että yhteisyrityksellä ei ole olemassa olevaa liikevaihtoa Euroopan talousalueella (ETA-alueella)</w:t>
      </w:r>
      <w:bookmarkStart w:id="8" w:name="_Ref86827794"/>
      <w:r>
        <w:rPr>
          <w:rStyle w:val="FootnoteReference"/>
          <w:noProof/>
        </w:rPr>
        <w:footnoteReference w:id="4"/>
      </w:r>
      <w:bookmarkEnd w:id="8"/>
      <w:r>
        <w:rPr>
          <w:noProof/>
        </w:rPr>
        <w:t xml:space="preserve"> ja kyseiset yritykset eivät ole ilmoitusajankohtana kaavailleet siirtävänsä omaisuuseriä ETA-alueella yhteisyritykselle;</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vähintään kaksi yritystä hankkii yhteisen määräysvallan yhteisyrityksessä edellyttäen, että yhteisyrityksen toiminta ETA-alueella on vain vähäistä. Tämä tarkoittaa keskittymiä, joiden kohdalla molemmat seuraavat edellytykset täyttyvät:</w:t>
      </w:r>
      <w:r>
        <w:rPr>
          <w:rStyle w:val="FootnoteReference"/>
          <w:noProof/>
          <w:szCs w:val="24"/>
        </w:rPr>
        <w:footnoteReference w:id="6"/>
      </w:r>
    </w:p>
    <w:p w14:paraId="52DF4021" w14:textId="77777777" w:rsidR="002138D6" w:rsidRPr="002138D6" w:rsidRDefault="002138D6" w:rsidP="002138D6">
      <w:pPr>
        <w:pStyle w:val="Point2"/>
        <w:rPr>
          <w:noProof/>
        </w:rPr>
      </w:pPr>
      <w:r>
        <w:rPr>
          <w:noProof/>
        </w:rPr>
        <w:t>i) yhteisyrityksen vuotuinen olemassa oleva liikevaihto ja/tai siirrettyjen toimintojen liikevaihto sekä odotettavissa oleva vuotuinen liikevaihto ETA-alueella on alle 100 miljoonaa euroa;</w:t>
      </w:r>
    </w:p>
    <w:p w14:paraId="52DF4022" w14:textId="77777777" w:rsidR="002138D6" w:rsidRPr="002138D6" w:rsidRDefault="002138D6" w:rsidP="002138D6">
      <w:pPr>
        <w:pStyle w:val="Point2"/>
        <w:rPr>
          <w:noProof/>
        </w:rPr>
      </w:pPr>
      <w:r>
        <w:rPr>
          <w:noProof/>
        </w:rPr>
        <w:t>ii) yhteisyritykselle ETA-alueella siirrettäviksi ilmoitusajankohtana kaavailtujen omaisuuserien kokonaisarvo on alle 100 miljoonaa euroa;</w:t>
      </w:r>
    </w:p>
    <w:p w14:paraId="52DF4023" w14:textId="77777777" w:rsidR="002138D6" w:rsidRPr="002138D6" w:rsidRDefault="002138D6" w:rsidP="002138D6">
      <w:pPr>
        <w:pStyle w:val="Point1letter"/>
        <w:numPr>
          <w:ilvl w:val="3"/>
          <w:numId w:val="5"/>
        </w:numPr>
        <w:rPr>
          <w:noProof/>
        </w:rPr>
      </w:pPr>
      <w:r>
        <w:rPr>
          <w:noProof/>
        </w:rPr>
        <w:t>vähintään kaksi yritystä sulautuu tai vähintään yksi yritys hankkii yksinomaisen tai yhteisen määräysvallan toisessa yrityksessä edellyttäen, että mikään keskittymän osapuolista ei harjoita liiketoimintaa samoilla tuote- ja maantieteellisillä markkinoilla eikä merkityksellisillä tuotemarkkinoilla, jotka edeltävät tai seuraavat tarjontaketjussa tuotemarkkinoita, joilla jokin toinen keskittymän osapuolista toimii;</w:t>
      </w:r>
      <w:r>
        <w:rPr>
          <w:rStyle w:val="FootnoteReference"/>
          <w:noProof/>
          <w:szCs w:val="24"/>
        </w:rPr>
        <w:footnoteReference w:id="7"/>
      </w:r>
    </w:p>
    <w:p w14:paraId="52DF4024" w14:textId="77777777" w:rsidR="002138D6" w:rsidRPr="002138D6" w:rsidRDefault="002138D6" w:rsidP="002138D6">
      <w:pPr>
        <w:pStyle w:val="Point1letter"/>
        <w:numPr>
          <w:ilvl w:val="3"/>
          <w:numId w:val="5"/>
        </w:numPr>
        <w:rPr>
          <w:noProof/>
        </w:rPr>
      </w:pPr>
      <w:r>
        <w:rPr>
          <w:noProof/>
        </w:rPr>
        <w:t>vähintään kaksi yritystä sulautuu tai vähintään yksi yritys hankkii yksinomaisen tai yhteisen määräysvallan toisessa yrityksessä ja jäljempänä esitetyt edellytykset täyttyvät kaikkien mahdollisten markkinamäärittelyjen osalta;</w:t>
      </w:r>
      <w:r>
        <w:rPr>
          <w:rStyle w:val="FootnoteReference"/>
          <w:noProof/>
          <w:szCs w:val="24"/>
        </w:rPr>
        <w:footnoteReference w:id="8"/>
      </w:r>
    </w:p>
    <w:p w14:paraId="52DF4025" w14:textId="77777777" w:rsidR="002138D6" w:rsidRPr="002138D6" w:rsidRDefault="002138D6" w:rsidP="002138D6">
      <w:pPr>
        <w:pStyle w:val="Point1"/>
        <w:ind w:left="1985"/>
        <w:rPr>
          <w:noProof/>
        </w:rPr>
      </w:pPr>
      <w:r>
        <w:rPr>
          <w:noProof/>
        </w:rPr>
        <w:t>i)</w:t>
      </w:r>
      <w:r>
        <w:rPr>
          <w:noProof/>
        </w:rPr>
        <w:tab/>
        <w:t>kaikkien samoilla tuote- ja maantieteellisillä markkinoilla liiketoimintaa harjoittavien keskittymän osapuolten (horisontaalinen päällekkäisyys) yhteenlaskettu markkinaosuus täyttää ainakin toisen seuraavista edellytyksistä:</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se on alle 20 prosenttia; </w:t>
      </w:r>
    </w:p>
    <w:p w14:paraId="52DF4027" w14:textId="77777777" w:rsidR="002138D6" w:rsidRPr="002138D6" w:rsidRDefault="002138D6" w:rsidP="002138D6">
      <w:pPr>
        <w:pStyle w:val="Text1"/>
        <w:ind w:left="2552" w:hanging="567"/>
        <w:rPr>
          <w:noProof/>
          <w:szCs w:val="24"/>
        </w:rPr>
      </w:pPr>
      <w:r>
        <w:rPr>
          <w:noProof/>
        </w:rPr>
        <w:t>bb) se on alle 50 prosenttia ja keskittymän tuloksena syntyvä Herfindahl-Hirschman-indeksin (HHI-indeksin) lisäys (</w:t>
      </w:r>
      <w:r>
        <w:rPr>
          <w:i/>
          <w:noProof/>
        </w:rPr>
        <w:t>delta</w:t>
      </w:r>
      <w:r>
        <w:rPr>
          <w:noProof/>
        </w:rPr>
        <w:t>) kyseisillä markkinoilla on alle 150;</w:t>
      </w:r>
    </w:p>
    <w:p w14:paraId="52DF4028" w14:textId="77777777" w:rsidR="002138D6" w:rsidRPr="002138D6" w:rsidRDefault="002138D6" w:rsidP="002138D6">
      <w:pPr>
        <w:pStyle w:val="Point1"/>
        <w:ind w:left="1985"/>
        <w:rPr>
          <w:noProof/>
        </w:rPr>
      </w:pPr>
      <w:r>
        <w:rPr>
          <w:noProof/>
        </w:rPr>
        <w:t>ii)</w:t>
      </w:r>
      <w:r>
        <w:rPr>
          <w:noProof/>
        </w:rPr>
        <w:tab/>
        <w:t>kaikkien niiden keskittymän osapuolten yksittäiset ja/tai yhteenlasketut markkinaosuudet, jotka harjoittavat liiketoimintaa tuotemarkkinoilla, jotka edeltävät tai seuraavat keskittymän jonkin toisen osapuolen tuotemarkkinoita tarjontaketjussa (vertikaalinen suhde), täyttävät vähintään yhden seuraavista edellytyksistä:</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ne ovat edeltävillä ja seuraavilla markkinoilla alle 30 prosenttia;</w:t>
      </w:r>
    </w:p>
    <w:p w14:paraId="52DF402A" w14:textId="77777777" w:rsidR="002138D6" w:rsidRPr="002138D6" w:rsidRDefault="002138D6" w:rsidP="002138D6">
      <w:pPr>
        <w:pStyle w:val="Text1"/>
        <w:ind w:left="2552" w:hanging="567"/>
        <w:rPr>
          <w:noProof/>
          <w:szCs w:val="24"/>
        </w:rPr>
      </w:pPr>
      <w:r>
        <w:rPr>
          <w:noProof/>
        </w:rPr>
        <w:t xml:space="preserve">bb) </w:t>
      </w:r>
      <w:r>
        <w:rPr>
          <w:noProof/>
        </w:rPr>
        <w:tab/>
        <w:t xml:space="preserve">ne ovat edeltävillä markkinoilla alle 30 prosenttia ja seuraavilla markkinoilla toimivien keskittymän osapuolten osuus tuotantopanosten ostoista edeltävillä markkinoilla on alle 30 prosenttia; </w:t>
      </w:r>
    </w:p>
    <w:p w14:paraId="52DF402B" w14:textId="47D9A1F5" w:rsidR="002138D6" w:rsidRPr="002138D6" w:rsidRDefault="002138D6" w:rsidP="002138D6">
      <w:pPr>
        <w:pStyle w:val="Text1"/>
        <w:ind w:left="2552" w:hanging="567"/>
        <w:rPr>
          <w:noProof/>
          <w:szCs w:val="24"/>
        </w:rPr>
      </w:pPr>
      <w:r>
        <w:rPr>
          <w:noProof/>
        </w:rPr>
        <w:t xml:space="preserve">cc) </w:t>
      </w:r>
      <w:r w:rsidR="00467210">
        <w:rPr>
          <w:noProof/>
        </w:rPr>
        <w:tab/>
      </w:r>
      <w:r>
        <w:rPr>
          <w:noProof/>
        </w:rPr>
        <w:t>ne ovat alle 50 prosenttia sekä edeltävillä että seuraavilla markkinoilla, keskittymän tuloksena syntyvä Herfindahl-Hirschman-indeksin (HHI-indeksin) lisäys (</w:t>
      </w:r>
      <w:r>
        <w:rPr>
          <w:i/>
          <w:noProof/>
        </w:rPr>
        <w:t>delta</w:t>
      </w:r>
      <w:r>
        <w:rPr>
          <w:noProof/>
        </w:rPr>
        <w:t>) on alle 150 sekä edeltävillä että seuraavilla markkinoilla ja markkinaosuudella laskettuna pienempi yritys on sama edeltävillä ja seuraavilla markkinoilla;</w:t>
      </w:r>
    </w:p>
    <w:p w14:paraId="52DF402C" w14:textId="77777777" w:rsidR="002138D6" w:rsidRPr="002138D6" w:rsidRDefault="002138D6" w:rsidP="002138D6">
      <w:pPr>
        <w:pStyle w:val="Point1letter"/>
        <w:numPr>
          <w:ilvl w:val="3"/>
          <w:numId w:val="5"/>
        </w:numPr>
        <w:rPr>
          <w:noProof/>
        </w:rPr>
      </w:pPr>
      <w:r>
        <w:rPr>
          <w:noProof/>
        </w:rPr>
        <w:t>osapuoli hankkii yksinomaisen määräysvallan yrityksessä, jossa sillä jo on yhteinen määräysvalta.</w:t>
      </w:r>
      <w:r>
        <w:rPr>
          <w:rStyle w:val="FootnoteReference"/>
          <w:noProof/>
          <w:szCs w:val="24"/>
        </w:rPr>
        <w:footnoteReference w:id="9"/>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Lisäksi komissio voi ilmoituksen tekijöiden pyynnöstä tarkastella yksinkertaistetulla menettelyllä ja yksinkertaistetun CO-lomakkeen pohjalta keskittymiä, joissa vähintään kaksi yritystä sulautuu tai yksi tai useampi yritys hankkii yksinomaisen tai yhteisen määräysvallan toisessa yrityksessä edellyttäen, että molemmat seuraavat edellytykset täyttyvät kaikkien mahdollisten markkinamäärittelyjen osalta:</w:t>
      </w:r>
      <w:r>
        <w:rPr>
          <w:rStyle w:val="FootnoteReference"/>
          <w:noProof/>
        </w:rPr>
        <w:footnoteReference w:id="10"/>
      </w:r>
      <w:bookmarkEnd w:id="9"/>
      <w:bookmarkEnd w:id="10"/>
    </w:p>
    <w:p w14:paraId="52DF402E" w14:textId="77777777" w:rsidR="002138D6" w:rsidRPr="002138D6" w:rsidRDefault="002138D6" w:rsidP="002138D6">
      <w:pPr>
        <w:pStyle w:val="Point1letter"/>
        <w:numPr>
          <w:ilvl w:val="3"/>
          <w:numId w:val="5"/>
        </w:numPr>
        <w:rPr>
          <w:noProof/>
        </w:rPr>
      </w:pPr>
      <w:r>
        <w:rPr>
          <w:noProof/>
        </w:rPr>
        <w:t xml:space="preserve">kaikkien horisontaaliseen päällekkäisyyteen osallisina olevien keskittymän osapuolten yhteenlaskettu markkinaosuus on alle 25 prosenttia; </w:t>
      </w:r>
    </w:p>
    <w:p w14:paraId="52DF402F" w14:textId="77777777" w:rsidR="002138D6" w:rsidRPr="002138D6" w:rsidRDefault="002138D6" w:rsidP="002138D6">
      <w:pPr>
        <w:pStyle w:val="Point1letter"/>
        <w:numPr>
          <w:ilvl w:val="3"/>
          <w:numId w:val="5"/>
        </w:numPr>
        <w:rPr>
          <w:noProof/>
        </w:rPr>
      </w:pPr>
      <w:r>
        <w:rPr>
          <w:noProof/>
        </w:rPr>
        <w:t xml:space="preserve">kaikkien vertikaalisessa suhteessa olevien keskittymän osapuolten yksittäiset ja yhteenlasketut markkinaosuudet täyttävät vähintään toisen seuraavista edellytyksistä: </w:t>
      </w:r>
    </w:p>
    <w:p w14:paraId="52DF4030" w14:textId="77777777" w:rsidR="002138D6" w:rsidRPr="002138D6" w:rsidRDefault="002138D6" w:rsidP="002138D6">
      <w:pPr>
        <w:pStyle w:val="Point2"/>
        <w:rPr>
          <w:noProof/>
        </w:rPr>
      </w:pPr>
      <w:r>
        <w:rPr>
          <w:noProof/>
        </w:rPr>
        <w:t>i)</w:t>
      </w:r>
      <w:r>
        <w:rPr>
          <w:noProof/>
        </w:rPr>
        <w:tab/>
        <w:t xml:space="preserve">ne ovat edeltävillä ja seuraavilla markkinoilla alle 35 prosenttia; </w:t>
      </w:r>
    </w:p>
    <w:p w14:paraId="52DF4031" w14:textId="77777777" w:rsidR="002138D6" w:rsidRPr="002138D6" w:rsidRDefault="002138D6" w:rsidP="002138D6">
      <w:pPr>
        <w:pStyle w:val="Point2"/>
        <w:rPr>
          <w:noProof/>
        </w:rPr>
      </w:pPr>
      <w:r>
        <w:rPr>
          <w:noProof/>
        </w:rPr>
        <w:t>ii)</w:t>
      </w:r>
      <w:r>
        <w:rPr>
          <w:noProof/>
        </w:rPr>
        <w:tab/>
        <w:t xml:space="preserve">ne ovat yksillä markkinoilla alle 50 prosenttia ja kaikkien vertikaalisessa suhteessa olevien keskittymän osapuolten yksittäiset ja yhteenlasketut markkinaosuudet kaikilla muilla vertikaalisessa suhteessa olevilla markkinoilla ovat alle 10 prosenttia.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Lisäksi komissio voi ilmoituksen tekijöiden pyynnöstä tarkastella yksinkertaistetulla menettelyllä ja yksinkertaistetun CO-lomakkeen pohjalta keskittymiä, joissa vähintään kaksi yritystä hankkii yhteisen määräysvallan yhteisyrityksessä edellyttäen, että</w:t>
      </w:r>
      <w:r>
        <w:rPr>
          <w:rStyle w:val="FootnoteReference"/>
          <w:rFonts w:eastAsia="Georgia"/>
          <w:noProof/>
          <w:szCs w:val="24"/>
        </w:rPr>
        <w:footnoteReference w:id="11"/>
      </w:r>
    </w:p>
    <w:p w14:paraId="52DF4033" w14:textId="77777777" w:rsidR="002138D6" w:rsidRPr="002138D6" w:rsidRDefault="002138D6" w:rsidP="002138D6">
      <w:pPr>
        <w:pStyle w:val="Point1letter"/>
        <w:numPr>
          <w:ilvl w:val="3"/>
          <w:numId w:val="5"/>
        </w:numPr>
        <w:rPr>
          <w:noProof/>
        </w:rPr>
      </w:pPr>
      <w:r>
        <w:rPr>
          <w:noProof/>
        </w:rPr>
        <w:t>yhteisyrityksen vuotuinen olemassa oleva liikevaihto ja/tai siirrettyjen toimintojen liikevaihto ETA-alueella on alle 150 miljoonaa euroa ja</w:t>
      </w:r>
    </w:p>
    <w:p w14:paraId="52DF4034" w14:textId="77777777" w:rsidR="002138D6" w:rsidRPr="002138D6" w:rsidRDefault="002138D6" w:rsidP="002138D6">
      <w:pPr>
        <w:pStyle w:val="Point1letter"/>
        <w:numPr>
          <w:ilvl w:val="3"/>
          <w:numId w:val="5"/>
        </w:numPr>
        <w:rPr>
          <w:noProof/>
        </w:rPr>
      </w:pPr>
      <w:r>
        <w:rPr>
          <w:noProof/>
        </w:rPr>
        <w:t>yhteisyritykselle ETA-alueella siirrettäviksi ilmoitusajankohtana kaavailtujen omaisuuserien kokonaisarvo on alle 150 miljoonaa euroa.</w:t>
      </w:r>
      <w:bookmarkEnd w:id="11"/>
      <w:bookmarkEnd w:id="12"/>
    </w:p>
    <w:p w14:paraId="52DF4035" w14:textId="77777777" w:rsidR="002138D6" w:rsidRPr="002138D6" w:rsidRDefault="002138D6" w:rsidP="002138D6">
      <w:pPr>
        <w:pStyle w:val="Point0number"/>
        <w:numPr>
          <w:ilvl w:val="0"/>
          <w:numId w:val="5"/>
        </w:numPr>
        <w:rPr>
          <w:noProof/>
        </w:rPr>
      </w:pPr>
      <w:r>
        <w:rPr>
          <w:noProof/>
        </w:rPr>
        <w:t xml:space="preserve">Komissio voi aina vaatia CO-lomakkeen esittämistä, jos vaikuttaa siltä, että edellytykset yksinkertaistetun CO-lomakkeen käyttämiselle eivät täyty, tai poikkeuksellisesti jos komissio näiden edellytysten täyttyessä katsoo kuitenkin CO-lomakkeella tehtävän ilmoituksen olevan välttämätön mahdollisten kilpailuongelmien tutkimiseksi asianmukaisella tavalla.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Yksinkertaistetun CO-lomakkeen täyttäminen ja lähettäminen </w:t>
      </w:r>
    </w:p>
    <w:p w14:paraId="52DF4037" w14:textId="77777777" w:rsidR="002138D6" w:rsidRPr="002138D6" w:rsidRDefault="002138D6" w:rsidP="002138D6">
      <w:pPr>
        <w:pStyle w:val="Point0number"/>
        <w:numPr>
          <w:ilvl w:val="0"/>
          <w:numId w:val="5"/>
        </w:numPr>
        <w:rPr>
          <w:noProof/>
        </w:rPr>
      </w:pPr>
      <w:r>
        <w:rPr>
          <w:noProof/>
        </w:rPr>
        <w:t xml:space="preserve">Jos kyseessä on sulautuma-asetuksen 3 artiklan 1 kohdan a alakohdassa tarkoitettu sulautuminen tai sulautuma-asetuksen 3 artiklan 1 kohdan b alakohdassa tarkoitettu yhteisen määräysvallan hankkiminen, kaikkien sulautumaan osallistuvien tai yhteisen määräysvallan hankkivien osapuolten on täytettävä yksinkertaistettu CO-lomake yhteisesti. Jos kyseessä on sulautuma-asetuksen 3 artiklan 1 kohdan b alakohdassa tarkoitettu yksinomaisen määräysvallan hankkiminen, yksinkertaistetun CO-lomakkeen täyttää hankinnan tekevä osapuoli. Jos kyseessä on yrityksestä tehty julkinen ostotarjous, yksinkertaistetun CO-lomakkeen täyttää tarjouksen tekijä. </w:t>
      </w:r>
    </w:p>
    <w:p w14:paraId="52DF4038" w14:textId="77777777" w:rsidR="002138D6" w:rsidRPr="002138D6" w:rsidRDefault="002138D6" w:rsidP="002138D6">
      <w:pPr>
        <w:pStyle w:val="Point0number"/>
        <w:numPr>
          <w:ilvl w:val="0"/>
          <w:numId w:val="5"/>
        </w:numPr>
        <w:rPr>
          <w:noProof/>
        </w:rPr>
      </w:pPr>
      <w:r>
        <w:rPr>
          <w:noProof/>
        </w:rPr>
        <w:t>Yksinkertaistetusta CO-lomakkeesta on täytettävä eri jaksoja sen mukaan, millaiset ovat keskittymän ominaispiirteet ja mitkä ovat perustelut sen soveltuvuudelle yksinkertaistettuun menettelyyn.</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Jaksot 1, 2, 3, 4, 5, 6, 7, 13, 14, 15 ja 16 on täytettävä kaikissa tapauksissa.</w:t>
      </w:r>
    </w:p>
    <w:p w14:paraId="52DF403A" w14:textId="77777777" w:rsidR="002138D6" w:rsidRPr="002138D6" w:rsidRDefault="002138D6" w:rsidP="002138D6">
      <w:pPr>
        <w:pStyle w:val="Point1letter"/>
        <w:numPr>
          <w:ilvl w:val="3"/>
          <w:numId w:val="5"/>
        </w:numPr>
        <w:rPr>
          <w:noProof/>
        </w:rPr>
      </w:pPr>
      <w:r>
        <w:rPr>
          <w:noProof/>
        </w:rPr>
        <w:t>Jakso 8 on täytettävä, jos keskittymä johtaa horisontaalisiin päällekkäisyyksiin osapuolten toimintojen välillä.</w:t>
      </w:r>
    </w:p>
    <w:p w14:paraId="52DF403B" w14:textId="77777777" w:rsidR="002138D6" w:rsidRPr="002138D6" w:rsidRDefault="002138D6" w:rsidP="002138D6">
      <w:pPr>
        <w:pStyle w:val="Point1letter"/>
        <w:numPr>
          <w:ilvl w:val="3"/>
          <w:numId w:val="5"/>
        </w:numPr>
        <w:rPr>
          <w:noProof/>
        </w:rPr>
      </w:pPr>
      <w:r>
        <w:rPr>
          <w:noProof/>
        </w:rPr>
        <w:t>Jaksot 9 ja/tai 10 on täytettävä, jos keskittymä johtaa vertikaalisiin suhteisiin osapuolten toimintojen välillä.</w:t>
      </w:r>
    </w:p>
    <w:p w14:paraId="52DF403C" w14:textId="77777777" w:rsidR="002138D6" w:rsidRPr="002138D6" w:rsidRDefault="002138D6" w:rsidP="002138D6">
      <w:pPr>
        <w:pStyle w:val="Point1letter"/>
        <w:numPr>
          <w:ilvl w:val="3"/>
          <w:numId w:val="5"/>
        </w:numPr>
        <w:rPr>
          <w:noProof/>
        </w:rPr>
      </w:pPr>
      <w:r>
        <w:rPr>
          <w:noProof/>
        </w:rPr>
        <w:t>Jakso 11 on täytettävä kaikissa tapauksissa, lukuun ottamatta keskittymiä, jotka kuuluvat yksinkertaistettua menettelyä koskevan tiedonannon 5 kappaleessa olevan a tai c kohdan piiriin.</w:t>
      </w:r>
    </w:p>
    <w:p w14:paraId="52DF403D" w14:textId="77777777" w:rsidR="002138D6" w:rsidRPr="002138D6" w:rsidRDefault="002138D6" w:rsidP="002138D6">
      <w:pPr>
        <w:pStyle w:val="Point1letter"/>
        <w:numPr>
          <w:ilvl w:val="3"/>
          <w:numId w:val="5"/>
        </w:numPr>
        <w:rPr>
          <w:noProof/>
        </w:rPr>
      </w:pPr>
      <w:r>
        <w:rPr>
          <w:noProof/>
        </w:rPr>
        <w:t xml:space="preserve">Jakso 12 on täytettävä, jos kyseessä on yhteisyritys. </w:t>
      </w:r>
    </w:p>
    <w:p w14:paraId="52DF403E" w14:textId="4C425D46" w:rsidR="002138D6" w:rsidRPr="002138D6" w:rsidRDefault="002138D6" w:rsidP="002138D6">
      <w:pPr>
        <w:pStyle w:val="Point0number"/>
        <w:numPr>
          <w:ilvl w:val="0"/>
          <w:numId w:val="5"/>
        </w:numPr>
        <w:rPr>
          <w:noProof/>
        </w:rPr>
      </w:pPr>
      <w:r>
        <w:rPr>
          <w:noProof/>
        </w:rPr>
        <w:t>Ennen ilmoituksen virallista lähettämistä yksinkertaistetussa menettelyssä ja riippumatta yksinkertaistetun menettelyn luokasta, johon keskittymä kuuluu, ilmoituksen tekijöiden on kaikissa tapauksissa lähetettävä käsittelijäryhmän nimeämispyyntö. Pyynnössä on ilmoitettava liiketoimen tyyppi, yksinkertaistetun menettelyn luokka, johon se kuuluu, ja oletettu ilmoittamisajankohta.</w:t>
      </w:r>
      <w:r>
        <w:rPr>
          <w:rStyle w:val="FootnoteReference"/>
          <w:noProof/>
        </w:rPr>
        <w:footnoteReference w:id="13"/>
      </w:r>
      <w:r w:rsidR="0030274D">
        <w:rPr>
          <w:noProof/>
        </w:rPr>
        <w:t xml:space="preserve"> </w:t>
      </w:r>
      <w:r>
        <w:rPr>
          <w:noProof/>
        </w:rPr>
        <w:t>Ilmoituksen tekijöitä pyydetään ilmoittamaan tiettyihin yksinkertaistetun menettelyn luokkiin kuuluvat tapaukset ilman ilmoitusta edeltäviä yhteydenottoja tai hyvin pian niiden jälkeen.</w:t>
      </w:r>
      <w:r>
        <w:rPr>
          <w:rStyle w:val="FootnoteReference"/>
          <w:noProof/>
        </w:rPr>
        <w:footnoteReference w:id="14"/>
      </w:r>
      <w:r>
        <w:rPr>
          <w:noProof/>
        </w:rPr>
        <w:t xml:space="preserve"> Tällaisissa tapauksissa käsittelijäryhmän nimeämispyyntö on lähetettävä vähintään viikkoa ennen oletettua ilmoittamisajankohtaa. Tapauksissa, joissa keskittymän osapuolten toimintojen välille muodostuu horisontaalisia päällekkäisyyksiä tai ei-horisontaalisia suhteita, ilmoitusta edeltävä yhteydenpito olisi käynnistettävä lähettämällä käsittelijäryhmän nimeämispyyntö vähintään kahta viikkoa ennen oletettua ilmoittamisajankohtaa. </w:t>
      </w:r>
    </w:p>
    <w:p w14:paraId="52DF403F" w14:textId="77777777" w:rsidR="002138D6" w:rsidRPr="002138D6" w:rsidRDefault="002138D6" w:rsidP="002138D6">
      <w:pPr>
        <w:pStyle w:val="Point0number"/>
        <w:numPr>
          <w:ilvl w:val="0"/>
          <w:numId w:val="5"/>
        </w:numPr>
        <w:rPr>
          <w:noProof/>
        </w:rPr>
      </w:pPr>
      <w:r>
        <w:rPr>
          <w:noProof/>
        </w:rPr>
        <w:t>Yksinkertaistetulla CO-lomakkeella toimitettujen henkilötietojen käsittelyssä noudatetaan luonnollisten henkilöiden suojelusta unionin toimielinten, elinten ja laitosten suorittamassa henkilötietojen käsittelyssä ja näiden tietojen vapaasta liikkuvuudesta sekä asetuksen (EY) N:o 45/2001 ja päätöksen N:o 1247/2002/EY kumoamisesta 23 päivänä lokakuuta 2018 annettua Euroopan parlamentin ja neuvoston asetusta (EU) 2018/1725</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Yksinkertaistetun CO-lomakkeen on oltava kunkin ilmoituksen tekijän puolesta lain nojalla toimimaan valtuutettujen henkilöiden tai ilmoituksen tekijän tai tekijöiden yhden tai useamman valtuutetun edustajan allekirjoittama. Asianomaiset valtuutusasiakirjat on esitettävä yksinkertaistetun CO-lomakkeen liitteenä.</w:t>
      </w:r>
      <w:r>
        <w:rPr>
          <w:rStyle w:val="FootnoteReference"/>
          <w:noProof/>
        </w:rPr>
        <w:footnoteReference w:id="16"/>
      </w:r>
      <w:r>
        <w:rPr>
          <w:noProof/>
        </w:rPr>
        <w:t xml:space="preserve"> Allekirjoituksiin liittyvät tekniset vaatimukset ja ohjeet julkaistaan aika ajoin </w:t>
      </w:r>
      <w:r>
        <w:rPr>
          <w:i/>
          <w:noProof/>
        </w:rPr>
        <w:t>Euroopan unionin virallisessa lehdessä</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Yksinkertaistetussa CO-lomakkeessa käytettävät määritelmät</w:t>
      </w:r>
    </w:p>
    <w:p w14:paraId="52DF4042" w14:textId="77777777" w:rsidR="002138D6" w:rsidRPr="002138D6" w:rsidRDefault="002138D6" w:rsidP="002138D6">
      <w:pPr>
        <w:pStyle w:val="Point0number"/>
        <w:numPr>
          <w:ilvl w:val="0"/>
          <w:numId w:val="5"/>
        </w:numPr>
        <w:rPr>
          <w:noProof/>
        </w:rPr>
      </w:pPr>
      <w:r>
        <w:rPr>
          <w:noProof/>
        </w:rPr>
        <w:t>Tässä yksinkertaistetussa CO-lomakkeessa käytetään seuraavia määritelmiä:</w:t>
      </w:r>
    </w:p>
    <w:p w14:paraId="52DF4043" w14:textId="77777777" w:rsidR="002138D6" w:rsidRPr="002138D6" w:rsidRDefault="002138D6" w:rsidP="002138D6">
      <w:pPr>
        <w:pStyle w:val="Point1letter"/>
        <w:numPr>
          <w:ilvl w:val="3"/>
          <w:numId w:val="5"/>
        </w:numPr>
        <w:rPr>
          <w:noProof/>
        </w:rPr>
      </w:pPr>
      <w:r>
        <w:rPr>
          <w:noProof/>
        </w:rPr>
        <w:t>’Keskittymän osapuolella’ tai ’osapuolella’ tarkoitetaan sekä hankkivia että hankittavia osapuolia tai sulautuvia osapuolia, mukaan luettuina kaikki yritykset, joista hankitaan määräysvallan tuottava osuus tai jotka ovat julkisen ostotarjouksen kohteena. Jollei toisin ilmoiteta, ’ilmoituksen tekijöillä’ ja ’keskittymän osapuolella’ tarkoitetaan kaikkia yrityksiä, jotka kuuluvat samaan ryhmään kuin kyseiset osapuolet.</w:t>
      </w:r>
    </w:p>
    <w:p w14:paraId="52DF4044" w14:textId="77777777" w:rsidR="002138D6" w:rsidRPr="002138D6" w:rsidRDefault="002138D6" w:rsidP="002138D6">
      <w:pPr>
        <w:pStyle w:val="Point1letter"/>
        <w:numPr>
          <w:ilvl w:val="3"/>
          <w:numId w:val="5"/>
        </w:numPr>
        <w:rPr>
          <w:noProof/>
        </w:rPr>
      </w:pPr>
      <w:r>
        <w:rPr>
          <w:noProof/>
        </w:rPr>
        <w:t>’Vuodella’ tarkoitetaan kalenterivuotta, ellei toisin ilmoiteta. Kaikkien yksinkertaistetussa CO-lomakkeessa vaadittujen tietojen on koskettava ilmoituksen tekovuotta edeltävää vuotta, ellei toisin ilmoiteta.</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Ilmoituksen täydellisyys ja todenmukaisuus </w:t>
      </w:r>
    </w:p>
    <w:p w14:paraId="52DF4046" w14:textId="77777777" w:rsidR="002138D6" w:rsidRPr="002138D6" w:rsidRDefault="002138D6" w:rsidP="002138D6">
      <w:pPr>
        <w:pStyle w:val="Point0number"/>
        <w:numPr>
          <w:ilvl w:val="0"/>
          <w:numId w:val="5"/>
        </w:numPr>
        <w:rPr>
          <w:noProof/>
        </w:rPr>
      </w:pPr>
      <w:r>
        <w:rPr>
          <w:noProof/>
        </w:rPr>
        <w:t>Kaikkien yksinkertaistetussa CO-lomakkeessa vaadittujen tietojen on oltava täydellisiä ja todenmukaisia. Vaaditut tiedot on annettava yksinkertaistetun CO-lomakkeen asiaa koskevassa jaksossa. Jokainen ilmoituksen täyttävä osapuoli on vastuussa siinä antamiensa tietojen paikkansapitävyydestä. Erityisesti on huomattava seuraavat seikat:</w:t>
      </w:r>
    </w:p>
    <w:p w14:paraId="52DF4047" w14:textId="77777777" w:rsidR="002138D6" w:rsidRPr="002138D6" w:rsidRDefault="002138D6" w:rsidP="002138D6">
      <w:pPr>
        <w:pStyle w:val="Point1letter"/>
        <w:numPr>
          <w:ilvl w:val="3"/>
          <w:numId w:val="5"/>
        </w:numPr>
        <w:rPr>
          <w:noProof/>
        </w:rPr>
      </w:pPr>
      <w:r>
        <w:rPr>
          <w:noProof/>
        </w:rPr>
        <w:t xml:space="preserve">Kuten sulautuma-asetuksen 10 artiklan 1 kohdassa ja täytäntöönpanoasetuksen 5 artiklan 2 ja 4 kohdassa säädetään, sulautuma-asetuksessa ilmoittamiselle asetetut määräajat alkavat kulua vasta kun komissio on vastaanottanut kaikki ilmoittamisen yhteydessä vaaditut tiedot. Tällä vaatimuksella varmistetaan, että komissio voi tutkia ilmoitetun keskittymän sulautuma-asetuksessa säädettyjen tiukkojen määräaikojen kuluessa. Jos ilmoitus on epätäydellinen, komissio ilmoittaa siitä kirjallisesti ja viipymättä ilmoituksen tekijöille tai niiden edustajille. </w:t>
      </w:r>
    </w:p>
    <w:p w14:paraId="52DF4048" w14:textId="77777777" w:rsidR="002138D6" w:rsidRPr="002138D6" w:rsidRDefault="002138D6" w:rsidP="002138D6">
      <w:pPr>
        <w:pStyle w:val="Point1letter"/>
        <w:numPr>
          <w:ilvl w:val="3"/>
          <w:numId w:val="5"/>
        </w:numPr>
        <w:rPr>
          <w:noProof/>
        </w:rPr>
      </w:pPr>
      <w:r>
        <w:rPr>
          <w:noProof/>
        </w:rPr>
        <w:t>Ilmoituksen tekijän tai tekijöiden on ilmoitusta valmistellessaan tarkistettava, että komissiolle ilmoitettavien yhteyshenkilöiden nimet, puhelinnumerot ja erityisesti sähköpostiosoitteet, ovat oikeita, asianmukaisia ja ajan tasalla.</w:t>
      </w:r>
    </w:p>
    <w:p w14:paraId="52DF4049" w14:textId="77777777" w:rsidR="002138D6" w:rsidRPr="002138D6" w:rsidRDefault="002138D6" w:rsidP="002138D6">
      <w:pPr>
        <w:pStyle w:val="Point1letter"/>
        <w:numPr>
          <w:ilvl w:val="3"/>
          <w:numId w:val="5"/>
        </w:numPr>
        <w:rPr>
          <w:noProof/>
        </w:rPr>
      </w:pPr>
      <w:r>
        <w:rPr>
          <w:noProof/>
        </w:rPr>
        <w:t>Ilmoituksessa annettuja virheellisiä tai harhaanjohtavia tietoja pidetään täytäntöönpanoasetuksen 5 artiklan 4 kohdan mukaisesti epätäydellisinä tietoina.</w:t>
      </w:r>
    </w:p>
    <w:p w14:paraId="52DF404A" w14:textId="2E755BBF" w:rsidR="002138D6" w:rsidRPr="002138D6" w:rsidRDefault="002138D6" w:rsidP="002138D6">
      <w:pPr>
        <w:pStyle w:val="Point1letter"/>
        <w:numPr>
          <w:ilvl w:val="3"/>
          <w:numId w:val="5"/>
        </w:numPr>
        <w:rPr>
          <w:noProof/>
        </w:rPr>
      </w:pPr>
      <w:r>
        <w:rPr>
          <w:noProof/>
        </w:rPr>
        <w:t>Pyydetyt yhteystiedot on ilmoitettava komission kilpailupääosaston verkkosivuillaan määräämässä muodossa.</w:t>
      </w:r>
      <w:r>
        <w:rPr>
          <w:rStyle w:val="FootnoteReference"/>
          <w:noProof/>
        </w:rPr>
        <w:footnoteReference w:id="17"/>
      </w:r>
      <w:r w:rsidR="0030274D">
        <w:rPr>
          <w:noProof/>
        </w:rPr>
        <w:t xml:space="preserve"> </w:t>
      </w:r>
      <w:r>
        <w:rPr>
          <w:noProof/>
        </w:rPr>
        <w:t xml:space="preserve">Tutkintaprosessin asianmukaisen sujumisen varmistamiseksi on tärkeää, että yhteystiedot pitävät paikkansa. Tätä varten ilmoittajien on varmistettava, että ilmoitetut sähköpostiosoitteet ovat henkilösidonnaisia ja liittyvät yksittäisiin yhteyshenkilöihin, eivätkä ole yrityksen yleisiä asiointisähköpostiosoitteita (kuten info@, myynti@). Komissio voi todeta ilmoituksen puutteelliseksi, jos yhteystiedot on ilmoitettu väärin. </w:t>
      </w:r>
    </w:p>
    <w:p w14:paraId="52DF404B" w14:textId="77777777" w:rsidR="002138D6" w:rsidRPr="002138D6" w:rsidRDefault="002138D6" w:rsidP="002138D6">
      <w:pPr>
        <w:pStyle w:val="Point1letter"/>
        <w:numPr>
          <w:ilvl w:val="3"/>
          <w:numId w:val="5"/>
        </w:numPr>
        <w:rPr>
          <w:noProof/>
        </w:rPr>
      </w:pPr>
      <w:r>
        <w:rPr>
          <w:noProof/>
        </w:rPr>
        <w:t>Sulautuma-asetuksen 14 artiklan 1 kohdan a alakohdan mukaan komissio voi määrätä ilmoituksen tekijöille sakon, joka on enimmillään 1 prosentti kyseisten yritysten kokonaisliikevaihdosta, jos ne tahallaan tai tuottamuksesta antavat virheellisiä tai harhaanjohtavia tietoja. Lisäksi komissio voi sulautuma-asetuksen 6 artiklan 3 kohdan a alakohdan ja 8 artiklan 6 kohdan a alakohdan nojalla kumota päätöksensä keskittymän soveltuvuudesta sisämarkkinoille, jos päätös on perustunut sellaisiin virheellisiin tietoihin, joista jokin keskittymän osapuolista on vastuussa.</w:t>
      </w:r>
    </w:p>
    <w:p w14:paraId="52DF404C" w14:textId="77777777" w:rsidR="002138D6" w:rsidRPr="002138D6" w:rsidRDefault="002138D6" w:rsidP="002138D6">
      <w:pPr>
        <w:pStyle w:val="Point1letter"/>
        <w:numPr>
          <w:ilvl w:val="3"/>
          <w:numId w:val="5"/>
        </w:numPr>
        <w:rPr>
          <w:noProof/>
        </w:rPr>
      </w:pPr>
      <w:r>
        <w:rPr>
          <w:noProof/>
        </w:rPr>
        <w:t>Ilmoituksen tekijät voivat kirjallisesti pyytää komissiota hyväksymään ilmoituksen täydellisenä siitä huolimatta, että kaikkia yksinkertaistetussa CO-lomakkeessa vaadittuja tietoja ei ole annettu, jos ne eivät kohtuullisesti katsoen ole kokonaan tai osin saatavilla (koska esimerkiksi kiistanalaisen tarjouksen voimassaoloaikana kohteesta ei ollut saatavilla kyseisiä tietoja). Komissio ottaa huomioon tällaisen pyynnön edellyttäen, että sille esitetään syyt, miksi kyseiset tiedot eivät olleet ilmoituksen tekijän saatavilla ja mahdollisimman tarkat arviot puuttuvista tiedoista ja arvioiden lähteet. Mahdollisuuksien mukaan pyynnössä olisi ilmoitettava, mistä komissio voisi saada pyydetyt tiedot, jotka eivät olleet ilmoituksen tekijän saatavilla.</w:t>
      </w:r>
    </w:p>
    <w:p w14:paraId="52DF404D" w14:textId="77777777" w:rsidR="002138D6" w:rsidRPr="002138D6" w:rsidRDefault="002138D6" w:rsidP="002138D6">
      <w:pPr>
        <w:pStyle w:val="Point1letter"/>
        <w:numPr>
          <w:ilvl w:val="3"/>
          <w:numId w:val="5"/>
        </w:numPr>
        <w:rPr>
          <w:noProof/>
        </w:rPr>
      </w:pPr>
      <w:r>
        <w:rPr>
          <w:noProof/>
        </w:rPr>
        <w:t>Komissio voi täytäntöönpanoasetuksen 4 artiklan 2 kohdan nojalla myöntää poikkeuksen velvoitteesta toimittaa jotkin ilmoituksessa vaaditut tiedot, jos komissio katsoo, että kyseisen velvoite ei ole tarpeen asian tutkinnan kannalta. Näin ollen ilmoituksen tekijä voi pyytää ennen ilmoituksen tekemistä kirjallisesti komissiolta vapautusta tällaisten tietojen toimitusvelvoitteesta, jos se katsoo, etteivät nämä tiedot ole välttämättömiä komissiolle sen tutkiessa asiaa. Tällainen vapautuspyyntö olisi lähetettävä ilmoitusta edeltävässä yhteydenpidossa samanaikaisesti yksinkertaistetun CO-lomakkeen luonnoksen kanssa. Vapautuspyynnöt olisi esitettävä asiasta vastaavalle käsittelijäryhmälle osoitetulla erillisellä sähköpostilla. Komissio ottaa vapautuspyynnöt huomioon edellyttäen, että niissä perustellaan riittävästi se, miksi kyseinen tieto ei ole välttämätön asian tutkimiseksi. Vapautuspyynnöt käsitellään yrityskeskittymien valvontamenettelyjä koskevien kilpailupääosaston parhaiden käytänteiden mukaisesti tavallisesti viiden työpäivän kuluessa. Selvyyden vuoksi on hyvä pitää mielessä, että vaikka komissio on saattanut hyväksyä sen, että tietyt yksinkertaistetussa CO-lomakkeessa pyydetyt tiedot eivät olleet välttämättömiä keskittymä-ilmoituksen täydellisyyden kannalta, komissio voi edelleen pyytää kyseisiä tietoja milloin tahansa (ennen ilmoitusta tai sen jälkeen) esimerkiksi sulautuma-asetuksen 11 artiklan mukaisella tietopyynnöllä.</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Siirtyminen tavanomaiseen menettelyyn ja CO-lomakkeella tehtävään ilmoitukseen</w:t>
      </w:r>
    </w:p>
    <w:p w14:paraId="52DF404F" w14:textId="77777777" w:rsidR="002138D6" w:rsidRPr="002138D6" w:rsidRDefault="002138D6" w:rsidP="002138D6">
      <w:pPr>
        <w:pStyle w:val="Point0number"/>
        <w:numPr>
          <w:ilvl w:val="0"/>
          <w:numId w:val="5"/>
        </w:numPr>
        <w:rPr>
          <w:noProof/>
        </w:rPr>
      </w:pPr>
      <w:r>
        <w:rPr>
          <w:noProof/>
        </w:rPr>
        <w:t>Kun komissio arvioi sitä, voidaanko keskittymästä ilmoittaa yksinkertaistetun menettelyn mukaisesti yksinkertaistetulla CO-lomakkeella, se varmistaa, että kaikki merkitykselliset seikat on esitetty riittävän selvästi. Tältä osin todenmukaisten ja täydellisten tietojen toimittaminen on ilmoituksen tekijöiden vastuulla.</w:t>
      </w:r>
    </w:p>
    <w:p w14:paraId="52DF4050" w14:textId="77777777" w:rsidR="002138D6" w:rsidRPr="002138D6" w:rsidRDefault="002138D6" w:rsidP="002138D6">
      <w:pPr>
        <w:pStyle w:val="Point0number"/>
        <w:numPr>
          <w:ilvl w:val="0"/>
          <w:numId w:val="5"/>
        </w:numPr>
        <w:rPr>
          <w:noProof/>
        </w:rPr>
      </w:pPr>
      <w:r>
        <w:rPr>
          <w:noProof/>
        </w:rPr>
        <w:t>Jos komissio katsoo ilmoituksen jättämisen jälkeen, että tapauksessa ei voida käyttää yksinkertaistettua menettelyä, komissio voi vaatia täysimääräisen tai mahdollisesti osittaisen ilmoituksen tekemistä CO-lomakkeella. Tämä on mahdollista, kun</w:t>
      </w:r>
    </w:p>
    <w:p w14:paraId="52DF4051" w14:textId="77777777" w:rsidR="002138D6" w:rsidRPr="002138D6" w:rsidRDefault="002138D6" w:rsidP="002138D6">
      <w:pPr>
        <w:pStyle w:val="Point1letter"/>
        <w:numPr>
          <w:ilvl w:val="3"/>
          <w:numId w:val="5"/>
        </w:numPr>
        <w:rPr>
          <w:noProof/>
        </w:rPr>
      </w:pPr>
      <w:r>
        <w:rPr>
          <w:noProof/>
        </w:rPr>
        <w:t>vaikuttaa siltä, että edellytykset yksinkertaistetun CO-lomakkeen käyttämiseen eivät täyty;</w:t>
      </w:r>
    </w:p>
    <w:p w14:paraId="52DF4052" w14:textId="77777777" w:rsidR="002138D6" w:rsidRPr="002138D6" w:rsidRDefault="002138D6" w:rsidP="002138D6">
      <w:pPr>
        <w:pStyle w:val="Point1letter"/>
        <w:numPr>
          <w:ilvl w:val="3"/>
          <w:numId w:val="5"/>
        </w:numPr>
        <w:rPr>
          <w:noProof/>
        </w:rPr>
      </w:pPr>
      <w:r>
        <w:rPr>
          <w:noProof/>
        </w:rPr>
        <w:t>yksinkertaistetun CO-lomakkeen käyttämistä koskevien edellytysten täyttymisestä huolimatta CO-lomakkeella tehtävä täysimääräinen tai osittainen ilmoitus on välttämätön mahdollisten kilpailuongelmien tutkimiseksi asianmukaisella tavalla tai sen toteamiseksi, että liiketoimi on sulautuma-asetuksen 3 artiklassa tarkoitettu keskittymä;</w:t>
      </w:r>
    </w:p>
    <w:p w14:paraId="52DF4053" w14:textId="77777777" w:rsidR="002138D6" w:rsidRPr="002138D6" w:rsidRDefault="002138D6" w:rsidP="002138D6">
      <w:pPr>
        <w:pStyle w:val="Point1letter"/>
        <w:numPr>
          <w:ilvl w:val="3"/>
          <w:numId w:val="5"/>
        </w:numPr>
        <w:rPr>
          <w:noProof/>
        </w:rPr>
      </w:pPr>
      <w:r>
        <w:rPr>
          <w:noProof/>
        </w:rPr>
        <w:t>yksinkertaistettu CO-lomake sisältää todenvastaisia tai harhaanjohtavia tietoja;</w:t>
      </w:r>
    </w:p>
    <w:p w14:paraId="52DF4054" w14:textId="77777777" w:rsidR="002138D6" w:rsidRPr="002138D6" w:rsidRDefault="002138D6" w:rsidP="002138D6">
      <w:pPr>
        <w:pStyle w:val="Point1letter"/>
        <w:numPr>
          <w:ilvl w:val="3"/>
          <w:numId w:val="5"/>
        </w:numPr>
        <w:rPr>
          <w:noProof/>
        </w:rPr>
      </w:pPr>
      <w:r>
        <w:rPr>
          <w:noProof/>
        </w:rPr>
        <w:t xml:space="preserve">jäsenvaltio tai EFTA-valtio tuo esille ilmoitettua keskittymää koskevia perusteltuja kilpailuongelmia 15 työpäivän kuluessa päivästä, jona se on vastaanottanut jäljennöksen yksinkertaistetusta CO-lomakkeesta; </w:t>
      </w:r>
    </w:p>
    <w:p w14:paraId="52DF4055" w14:textId="77777777" w:rsidR="002138D6" w:rsidRPr="002138D6" w:rsidRDefault="002138D6" w:rsidP="002138D6">
      <w:pPr>
        <w:pStyle w:val="Point1letter"/>
        <w:numPr>
          <w:ilvl w:val="3"/>
          <w:numId w:val="5"/>
        </w:numPr>
        <w:rPr>
          <w:noProof/>
        </w:rPr>
      </w:pPr>
      <w:r>
        <w:rPr>
          <w:noProof/>
        </w:rPr>
        <w:t>kolmas osapuoli tuo esille perusteltuja kilpailuongelmia komission kolmansien osapuolten huomautusten esittämiselle asettamassa määräajassa.</w:t>
      </w:r>
    </w:p>
    <w:p w14:paraId="52DF4056" w14:textId="77777777" w:rsidR="002138D6" w:rsidRPr="002138D6" w:rsidRDefault="002138D6" w:rsidP="002138D6">
      <w:pPr>
        <w:pStyle w:val="Point0number"/>
        <w:numPr>
          <w:ilvl w:val="0"/>
          <w:numId w:val="5"/>
        </w:numPr>
        <w:rPr>
          <w:noProof/>
        </w:rPr>
      </w:pPr>
      <w:r>
        <w:rPr>
          <w:noProof/>
        </w:rPr>
        <w:t>Tällaisissa tapauksissa ilmoitusta voidaan pitää olennaisesti epätäydellisenä täytäntöönpanoasetuksen 5 artiklan 2 kohdassa tarkoitetussa merkityksessä. Komissio ilmoittaa tästä kirjallisesti ja viipymättä ilmoituksen tekijöille tai niiden edustajille. Ilmoitus tulee voimaan vasta päivänä, jona kaikki vaadittavat tiedot on vastaanotettu.</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Luottamuksellisuus</w:t>
      </w:r>
    </w:p>
    <w:p w14:paraId="52DF4058" w14:textId="77777777" w:rsidR="002138D6" w:rsidRPr="002138D6" w:rsidRDefault="002138D6" w:rsidP="002138D6">
      <w:pPr>
        <w:pStyle w:val="Point0number"/>
        <w:numPr>
          <w:ilvl w:val="0"/>
          <w:numId w:val="5"/>
        </w:numPr>
        <w:rPr>
          <w:noProof/>
        </w:rPr>
      </w:pPr>
      <w:r>
        <w:rPr>
          <w:noProof/>
        </w:rPr>
        <w:t>Euroopan unionin toiminnasta tehdyn sopimuksen 339 artiklan, sulautuma-asetuksen 17 artiklan 2 kohdan sekä ETA-sopimuksen vastaavien määräysten mukaisesti komissio, jäsenvaltiot, EFTAn valvontaviranomainen ja EFTA-valtiot sekä niiden virkamiehet ja muut niiden palveluksessa olevat eivät saa ilmaista tietoja, jotka on saatu kyseistä asetusta sovellettaessa ja jotka luonteensa perusteella ovat salassa pidettäviä. Tätä periaatetta on sovellettava myös ilmoituksen tekijöiden välisen tietojen luottamuksellisuuden varmistamiseksi.</w:t>
      </w:r>
    </w:p>
    <w:p w14:paraId="52DF4059" w14:textId="77777777" w:rsidR="002138D6" w:rsidRPr="002138D6" w:rsidRDefault="002138D6" w:rsidP="002138D6">
      <w:pPr>
        <w:pStyle w:val="Point0number"/>
        <w:numPr>
          <w:ilvl w:val="0"/>
          <w:numId w:val="5"/>
        </w:numPr>
        <w:rPr>
          <w:noProof/>
        </w:rPr>
      </w:pPr>
      <w:r>
        <w:rPr>
          <w:noProof/>
        </w:rPr>
        <w:t>Jos ilmoituksen tekijä katsoo, että olisi sen etujen vastaista julkaista tai muulla tavoin paljastaa muille osapuolille joitakin pyydettyjä tietoja, tällaiset tiedot olisi toimitettava erikseen niin, että jokaisella sivulla on selkeästi merkintä ”liikesalaisuuksia”. Samalla on esitettävä perustelut sille, miksi näitä tietoja ei pitäisi paljastaa tai julkistaa.</w:t>
      </w:r>
    </w:p>
    <w:p w14:paraId="52DF405A" w14:textId="77777777" w:rsidR="002138D6" w:rsidRPr="002138D6" w:rsidRDefault="002138D6" w:rsidP="002138D6">
      <w:pPr>
        <w:pStyle w:val="Point0number"/>
        <w:numPr>
          <w:ilvl w:val="0"/>
          <w:numId w:val="5"/>
        </w:numPr>
        <w:rPr>
          <w:noProof/>
        </w:rPr>
      </w:pPr>
      <w:r>
        <w:rPr>
          <w:noProof/>
        </w:rPr>
        <w:t>Jos kyseessä on sulautuminen tai yhteishankinta, tai muissa tapauksissa, joissa ilmoituksen täyttää useampi kuin yksi osapuoli, liikesalaisuudet voidaan toimittaa erillisessä tiedostossa / erillisenä asiakirjana mainiten ne liitteinä ilmoituslomakkeessa. Kaikkien näiden liitteiden on oltava ilmoituksen mukana, jotta sitä voitaisiin pitää täydellisenä.</w:t>
      </w: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JAKSO 1 </w:t>
      </w:r>
      <w:r>
        <w:rPr>
          <w:noProof/>
        </w:rPr>
        <w:br/>
        <w:t>Yleiset asiatiedot</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*Asianumero:</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*Asianimi</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Kieli:</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Täytetään sulautumarekisteristä saatavilla tiedoilla.</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Ellei toisin mainita, alla olevissa taulukoissa olevat artiklaviittaukset ovat viittauksia sulautuma-asetuksen artikloihin.</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Ilmoitus yksinkertaistetussa menettelyssä: kyllä</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Sulautuma-asetus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Toimivalta:</w:t>
            </w:r>
            <w:r>
              <w:rPr>
                <w:noProof/>
              </w:rPr>
              <w:tab/>
            </w:r>
          </w:p>
          <w:p w14:paraId="52DF406D"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11056C">
                  <w:rPr>
                    <w:rFonts w:ascii="Segoe UI Symbol" w:eastAsia="Calibri" w:hAnsi="Segoe UI Symbol" w:cs="Segoe UI Symbol"/>
                    <w:noProof/>
                  </w:rPr>
                  <w:t>☐</w:t>
                </w:r>
              </w:sdtContent>
            </w:sdt>
            <w:r w:rsidR="004E11D1">
              <w:rPr>
                <w:rFonts w:ascii="Times New Roman" w:hAnsi="Times New Roman"/>
                <w:noProof/>
              </w:rPr>
              <w:t xml:space="preserve"> 1 artiklan 2 kohta </w:t>
            </w:r>
          </w:p>
          <w:p w14:paraId="52DF406E"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11056C">
                  <w:rPr>
                    <w:rFonts w:ascii="Segoe UI Symbol" w:eastAsia="Calibri" w:hAnsi="Segoe UI Symbol" w:cs="Segoe UI Symbol"/>
                    <w:noProof/>
                  </w:rPr>
                  <w:t>☐</w:t>
                </w:r>
              </w:sdtContent>
            </w:sdt>
            <w:r w:rsidR="004E11D1">
              <w:rPr>
                <w:rFonts w:ascii="Times New Roman" w:hAnsi="Times New Roman"/>
                <w:noProof/>
              </w:rPr>
              <w:t xml:space="preserve"> 1 artiklan 3 kohta </w:t>
            </w:r>
          </w:p>
          <w:p w14:paraId="52DF406F"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11056C">
                  <w:rPr>
                    <w:rFonts w:ascii="Segoe UI Symbol" w:eastAsia="Calibri" w:hAnsi="Segoe UI Symbol" w:cs="Segoe UI Symbol"/>
                    <w:noProof/>
                  </w:rPr>
                  <w:t>☐</w:t>
                </w:r>
              </w:sdtContent>
            </w:sdt>
            <w:r w:rsidR="004E11D1">
              <w:rPr>
                <w:rFonts w:ascii="Times New Roman" w:hAnsi="Times New Roman"/>
                <w:noProof/>
              </w:rPr>
              <w:t xml:space="preserve"> 4 artiklan 5 kohta </w:t>
            </w:r>
          </w:p>
          <w:p w14:paraId="52DF4070" w14:textId="3D799AD9"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22 artikla</w:t>
            </w:r>
            <w:r w:rsidR="0030274D">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Ilmoituksen peruste: </w:t>
            </w:r>
          </w:p>
          <w:p w14:paraId="52DF4072"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11056C">
                  <w:rPr>
                    <w:rFonts w:ascii="Segoe UI Symbol" w:eastAsia="Calibri" w:hAnsi="Segoe UI Symbol" w:cs="Segoe UI Symbol"/>
                    <w:noProof/>
                  </w:rPr>
                  <w:t>☐</w:t>
                </w:r>
              </w:sdtContent>
            </w:sdt>
            <w:r w:rsidR="004E11D1">
              <w:rPr>
                <w:rFonts w:ascii="Times New Roman" w:hAnsi="Times New Roman"/>
                <w:noProof/>
              </w:rPr>
              <w:t xml:space="preserve"> 4 artiklan 1 kohta </w:t>
            </w:r>
          </w:p>
          <w:p w14:paraId="52DF4073"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11056C">
                  <w:rPr>
                    <w:rFonts w:ascii="Segoe UI Symbol" w:eastAsia="Calibri" w:hAnsi="Segoe UI Symbol" w:cs="Segoe UI Symbol"/>
                    <w:noProof/>
                  </w:rPr>
                  <w:t>☐</w:t>
                </w:r>
              </w:sdtContent>
            </w:sdt>
            <w:r w:rsidR="004E11D1">
              <w:rPr>
                <w:rFonts w:ascii="Times New Roman" w:hAnsi="Times New Roman"/>
                <w:noProof/>
              </w:rPr>
              <w:t xml:space="preserve"> 4 artiklan 4 kohta </w:t>
            </w:r>
          </w:p>
          <w:p w14:paraId="52DF4074"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4 artiklan 5 kohta </w:t>
            </w:r>
          </w:p>
          <w:p w14:paraId="52DF4075" w14:textId="2623BAC8"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22 artikla</w:t>
            </w:r>
            <w:r w:rsidR="0030274D">
              <w:rPr>
                <w:rFonts w:ascii="Times New Roman" w:hAnsi="Times New Roman"/>
                <w:noProof/>
              </w:rPr>
              <w:t xml:space="preserve">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Keskittymä:</w:t>
            </w:r>
          </w:p>
          <w:p w14:paraId="52DF4078" w14:textId="6A1FD180" w:rsidR="002138D6" w:rsidRPr="00F87AAF"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Sulautuma [3 artiklan 1 kohdan a alakohta]</w:t>
            </w:r>
            <w:r w:rsidR="004E11D1">
              <w:rPr>
                <w:rStyle w:val="FootnoteReference"/>
                <w:rFonts w:ascii="Times New Roman" w:hAnsi="Times New Roman" w:cs="Times New Roman"/>
                <w:noProof/>
              </w:rPr>
              <w:footnoteReference w:id="18"/>
            </w:r>
            <w:r w:rsidR="0030274D">
              <w:rPr>
                <w:rFonts w:ascii="Times New Roman" w:hAnsi="Times New Roman"/>
                <w:noProof/>
                <w:sz w:val="16"/>
              </w:rPr>
              <w:t xml:space="preserve"> </w:t>
            </w:r>
          </w:p>
          <w:p w14:paraId="52DF4079" w14:textId="77777777" w:rsidR="002138D6" w:rsidRPr="00F87AAF" w:rsidRDefault="00BE18F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Yksinomaisen määräysvallan hankkiminen [3 artiklan 1 kohdan b alakohta]</w:t>
            </w:r>
          </w:p>
          <w:p w14:paraId="52DF407A" w14:textId="79DDF21D" w:rsidR="002138D6" w:rsidRPr="00F87AAF" w:rsidRDefault="00BE18F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11056C">
                  <w:rPr>
                    <w:rFonts w:ascii="Segoe UI Symbol" w:hAnsi="Segoe UI Symbol" w:cs="Segoe UI Symbol"/>
                    <w:noProof/>
                  </w:rPr>
                  <w:t>☐</w:t>
                </w:r>
              </w:sdtContent>
            </w:sdt>
            <w:r w:rsidR="004E11D1">
              <w:rPr>
                <w:noProof/>
              </w:rPr>
              <w:t xml:space="preserve"> </w:t>
            </w:r>
            <w:r w:rsidR="004E11D1">
              <w:rPr>
                <w:rFonts w:ascii="Times New Roman" w:hAnsi="Times New Roman"/>
                <w:noProof/>
              </w:rPr>
              <w:t>Yhteisen määräysvallan hankkiminen [3 artiklan 1 kohdan b alakohta]</w:t>
            </w:r>
            <w:r w:rsidR="004E11D1">
              <w:rPr>
                <w:rStyle w:val="FootnoteReference"/>
                <w:rFonts w:ascii="Times New Roman" w:hAnsi="Times New Roman" w:cs="Times New Roman"/>
                <w:noProof/>
              </w:rPr>
              <w:footnoteReference w:id="19"/>
            </w:r>
            <w:r w:rsidR="0030274D">
              <w:rPr>
                <w:rFonts w:ascii="Times New Roman" w:hAnsi="Times New Roman"/>
                <w:noProof/>
                <w:sz w:val="16"/>
              </w:rPr>
              <w:t xml:space="preserve"> </w:t>
            </w:r>
          </w:p>
          <w:p w14:paraId="52DF407B" w14:textId="1C45207B" w:rsidR="002138D6" w:rsidRPr="00F87AAF" w:rsidRDefault="00BE18F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Yhteisen määräysvallan hankkiminen täysin uudessa yhteisyrityksessä [3 artiklan 4 kohta]</w:t>
            </w:r>
            <w:r w:rsidR="004E11D1">
              <w:rPr>
                <w:rStyle w:val="FootnoteReference"/>
                <w:rFonts w:ascii="Times New Roman" w:hAnsi="Times New Roman" w:cs="Times New Roman"/>
                <w:noProof/>
              </w:rPr>
              <w:footnoteReference w:id="20"/>
            </w:r>
            <w:r w:rsidR="0030274D">
              <w:rPr>
                <w:rFonts w:ascii="Times New Roman" w:hAnsi="Times New Roman"/>
                <w:noProof/>
                <w:sz w:val="16"/>
              </w:rPr>
              <w:t xml:space="preserve"> </w:t>
            </w:r>
          </w:p>
          <w:p w14:paraId="52DF407C" w14:textId="2EB097F0" w:rsidR="002138D6" w:rsidRPr="002138D6" w:rsidRDefault="00BE18F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Yhteisen määräysvallan hankkiminen muussa skenaariossa (eli kun vähintään yksi aiemmin määräysvaltaa omannut osakas jää yritykseen) [3 artiklan 1 kohdan b alakohta ja 3 artiklan 4 kohta]</w:t>
            </w:r>
            <w:r w:rsidR="004E11D1">
              <w:rPr>
                <w:rStyle w:val="FootnoteReference"/>
                <w:rFonts w:ascii="Times New Roman" w:hAnsi="Times New Roman" w:cs="Times New Roman"/>
                <w:noProof/>
              </w:rPr>
              <w:footnoteReference w:id="21"/>
            </w:r>
            <w:r w:rsidR="0030274D">
              <w:rPr>
                <w:rFonts w:ascii="Times New Roman" w:hAnsi="Times New Roman"/>
                <w:noProof/>
                <w:sz w:val="16"/>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Käsittelyn luokka yksinkertaistettua menettelyä koskevan tiedonannon mukaisesti: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Yksinkertaistettua menettelyä koskevan tiedonannon 5 kappaleessa oleva a kohta</w:t>
            </w:r>
          </w:p>
          <w:p w14:paraId="52DF4080"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Yksinkertaistettua menettelyä koskevan tiedonannon 5 kappaleessa oleva e kohta</w:t>
            </w:r>
          </w:p>
          <w:p w14:paraId="52DF4081"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Yksinkertaistettua menettelyä koskevan tiedonannon 5 kappaleessa oleva b kohta</w:t>
            </w:r>
          </w:p>
          <w:p w14:paraId="52DF4082"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Yksinkertaistettua menettelyä koskevan tiedonannon 5 kappaleessa oleva c kohta</w:t>
            </w:r>
          </w:p>
          <w:p w14:paraId="52DF4083"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Yksinkertaistettua menettelyä koskevan tiedonannon 8 kappale</w:t>
            </w:r>
          </w:p>
          <w:p w14:paraId="52DF4084"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Yksinkertaistettua menettelyä koskevan tiedonannon 5 kappaleessa oleva d kohta</w:t>
            </w:r>
          </w:p>
          <w:p w14:paraId="52DF4085" w14:textId="77777777" w:rsidR="002138D6" w:rsidRPr="002138D6" w:rsidRDefault="00BE18FF"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Yksinkertaistettua menettelyä koskevan tiedonannon 9 kappale</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Liittyykö ilmoitus aiempaan asiaan (liittyvä operaatio / rinnakkaisliiketoimi / asia keskeytetty tai peruutettu)? KYLLÄ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EI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Jos kyllä, asianumero:</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Liittyykö ilmoitukseen kuuleminen samasta keskittymästä? KYLLÄ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EI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Jos kyllä, kuulemisen numero:</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Keskittymän toteutustapa:</w:t>
            </w:r>
          </w:p>
          <w:p w14:paraId="52DF408D" w14:textId="77777777" w:rsidR="002138D6" w:rsidRPr="002138D6" w:rsidRDefault="00BE18F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Julkinen ostotarjous [pvm.]</w:t>
            </w:r>
          </w:p>
          <w:p w14:paraId="52DF408E" w14:textId="77777777" w:rsidR="002138D6" w:rsidRPr="002138D6" w:rsidRDefault="00BE18F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Osakkeiden osto</w:t>
            </w:r>
          </w:p>
          <w:p w14:paraId="52DF408F" w14:textId="77777777" w:rsidR="002138D6" w:rsidRPr="002138D6" w:rsidRDefault="00BE18F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Omaisuuserien osto</w:t>
            </w:r>
          </w:p>
          <w:p w14:paraId="52DF4090" w14:textId="77777777" w:rsidR="002138D6" w:rsidRPr="002138D6" w:rsidRDefault="00BE18FF"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Arvopapereiden osto</w:t>
            </w:r>
          </w:p>
          <w:p w14:paraId="52DF4091" w14:textId="77777777" w:rsidR="002138D6" w:rsidRPr="002138D6" w:rsidRDefault="00BE18F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Hallintasopimus tai muu sopimusjärjestely</w:t>
            </w:r>
          </w:p>
          <w:p w14:paraId="52DF4092" w14:textId="77777777" w:rsidR="002138D6" w:rsidRPr="002138D6" w:rsidRDefault="00BE18FF"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Yhteisyrityksen muodostavan uuden yrityksen osakkeiden osto</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Keskittymän arvo euroissa:</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Keskittymään osallistuvien yritysten päätoimipaikat:</w:t>
            </w:r>
          </w:p>
          <w:p w14:paraId="52DF4096" w14:textId="77777777" w:rsidR="002138D6" w:rsidRPr="002138D6" w:rsidRDefault="00BE18FF"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Samassa jäsenvaltiossa</w:t>
            </w:r>
          </w:p>
          <w:p w14:paraId="52DF4097" w14:textId="77777777" w:rsidR="002138D6" w:rsidRPr="002138D6" w:rsidRDefault="00BE18FF"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Samassa kolmannessa maassa </w:t>
            </w:r>
          </w:p>
          <w:p w14:paraId="52DF4098" w14:textId="77777777" w:rsidR="002138D6" w:rsidRPr="002138D6" w:rsidRDefault="00BE18FF"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Eri jäsenvaltioissa</w:t>
            </w:r>
          </w:p>
          <w:p w14:paraId="52DF4099" w14:textId="77777777" w:rsidR="002138D6" w:rsidRPr="002138D6" w:rsidRDefault="00BE18FF"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Eri kolmansissa maissa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JAKSO 2</w:t>
      </w:r>
    </w:p>
    <w:p w14:paraId="52DF409D" w14:textId="77777777" w:rsidR="002138D6" w:rsidRPr="002138D6" w:rsidRDefault="002138D6" w:rsidP="002138D6">
      <w:pPr>
        <w:pStyle w:val="SectionTitle"/>
        <w:rPr>
          <w:noProof/>
        </w:rPr>
      </w:pPr>
      <w:r>
        <w:rPr>
          <w:noProof/>
        </w:rPr>
        <w:t>Keskittymään osallistuvat yritykset ja niiden liikevaihto</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Osallistuvat yritykset</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Luokka</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Määräysvaltaa käyttää:</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Lyhyt kuvaus osallistuvan yrityksen liiketoiminnasta</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Kaavio kunkin osallistuvan yrityksen omistus- ja määräysvaltarakenteesta ennen keskittymän toteutumista ja sen jälkeen:</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Osallistuvat yritykset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Alkuperämaa</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Rooli</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6C9532D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Liikevaihto (miljoonaa euroa)</w:t>
            </w:r>
            <w:r>
              <w:rPr>
                <w:rStyle w:val="FootnoteReference"/>
                <w:rFonts w:ascii="Times New Roman" w:hAnsi="Times New Roman" w:cs="Times New Roman"/>
                <w:noProof/>
              </w:rPr>
              <w:footnoteReference w:id="25"/>
            </w:r>
            <w:r w:rsidR="0030274D">
              <w:rPr>
                <w:rFonts w:ascii="Times New Roman" w:hAnsi="Times New Roman"/>
                <w:noProof/>
                <w:sz w:val="16"/>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Vuosi, jota liikevaihto koskee</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Maailmanlaajuisesti</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EU:n laajuisesti</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Kaikkien osallistuvien yritysten yhteenlaskettu liikevaihto</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BE18FF"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Jokaisen osallistuvan yrityksen unionin laajuisesta kokonaisliikevaihdosta enintään kaksi kolmasosaa tulee samasta jäsenvaltiosta.</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Jos sulautumasta ilmoitetaan sulautuma-asetuksen 1 artiklan 3 kohdan perusteella, on täytettävä myös seuraava taulukko. Tiedot on annettava kaikista 1 artiklan 3 kohdan b ja c alakohdan edellytykset täyttävistä jäsenvaltioista; taulukkoon voi lisätä rivejä tarpeen mukaan:</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Kyseisen jäsenvaltion nimi sulautuma-asetuksen 1 artiklan 3 kohdan b ja c alakohdan tarkoituksiin</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Kaikkien osallistuvien yritysten yhteenlaskettu liikevaihto tässä jäsenvaltiossa</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(miljoonaa euroa)</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Kyseisten yritysten nimet sulautuma-asetuksen 1 artiklan 3 kohdan c alakohdan tarkoituksiin</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Osallistuvan yrityksen liikevaihto tässä jäsenvaltiossa</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(miljoonaa euroa)</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BE18FF"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Jokaisen osallistuvan yrityksen unionin laajuisesta kokonaisliikevaihdosta enintään kaksi kolmasosaa tulee samasta jäsenvaltiosta.</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Liikevaihto EFTA-valtioiden alueella</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Osallistuvien yritysten yhteenlaskettu liikevaihto EFTA-valtioiden alueelta on vähintään 25 prosenttia niiden kokonaisliikevaihdosta Euroopan talousalueelta (ETA-alueelta).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KYLLÄ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EI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Jokaisella vähintään kahdesta osallistuvasta yrityksestä on yli 250 miljoonan euron liikevaihto EFTA-valtioiden alueelta.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KYLLÄ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EI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Ehdotettu keskittymä saattaisi sopia siirrettäväksi EFTA-valtion käsiteltäväksi, koska se aiheuttaa vaikutuksia kaikki erillisten markkinoiden tunnusmerkit täyttävillä markkinoilla EFTA-maiden alueella.</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KYLLÄ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EI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JAKSO 3</w:t>
      </w:r>
    </w:p>
    <w:p w14:paraId="52DF413D" w14:textId="77777777" w:rsidR="002138D6" w:rsidRPr="002138D6" w:rsidRDefault="002138D6" w:rsidP="002138D6">
      <w:pPr>
        <w:pStyle w:val="SectionTitle"/>
        <w:rPr>
          <w:noProof/>
        </w:rPr>
      </w:pPr>
      <w:r>
        <w:rPr>
          <w:noProof/>
        </w:rPr>
        <w:t>Kyseisten tuotteiden</w:t>
      </w:r>
      <w:r>
        <w:rPr>
          <w:rStyle w:val="FootnoteReference"/>
          <w:noProof/>
        </w:rPr>
        <w:footnoteReference w:id="28"/>
      </w:r>
      <w:r>
        <w:rPr>
          <w:noProof/>
        </w:rPr>
        <w:t xml:space="preserve"> NACE-luokituksen</w:t>
      </w:r>
      <w:r>
        <w:rPr>
          <w:rStyle w:val="FootnoteReference"/>
          <w:rFonts w:eastAsia="Calibri"/>
          <w:noProof/>
        </w:rPr>
        <w:footnoteReference w:id="29"/>
      </w:r>
      <w:r>
        <w:rPr>
          <w:noProof/>
        </w:rPr>
        <w:t xml:space="preserve"> mukaiset nimet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Tuotteiden nimet</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JAKSO 4</w:t>
      </w:r>
    </w:p>
    <w:p w14:paraId="52DF4152" w14:textId="77777777" w:rsidR="002138D6" w:rsidRPr="002138D6" w:rsidRDefault="002138D6" w:rsidP="002138D6">
      <w:pPr>
        <w:pStyle w:val="SectionTitle"/>
        <w:rPr>
          <w:noProof/>
        </w:rPr>
      </w:pPr>
      <w:r>
        <w:rPr>
          <w:noProof/>
        </w:rPr>
        <w:t xml:space="preserve">Keskittymän tiivistetty kuvaus </w:t>
      </w:r>
    </w:p>
    <w:p w14:paraId="52DF4153" w14:textId="0F9DB1AD"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Esittäkää enintään 250 sanan pituinen ei-luottamuksellinen tiivistelmä kohdassa 1.1. annetuista tiedoista sisältäen seuraavat: keskittymän toteuttamistapa (esim. osakkeiden osto, julkinen ostotarjous, sopimu</w:t>
      </w:r>
      <w:r w:rsidR="001E798B">
        <w:rPr>
          <w:rFonts w:ascii="Times New Roman" w:hAnsi="Times New Roman"/>
          <w:b/>
          <w:noProof/>
        </w:rPr>
        <w:t>s</w:t>
      </w:r>
      <w:r>
        <w:rPr>
          <w:rFonts w:ascii="Times New Roman" w:hAnsi="Times New Roman"/>
          <w:b/>
          <w:noProof/>
        </w:rPr>
        <w:t>); sulautuma-asetuksen artiklat, joiden nojalla liiketoimen on katsottava johtavan keskittymään; kyseessä olevat yritykset. Esittäkää kunkin osallistuvan yrityksen osalta seuraavat tiedot: täydellinen nimi, perustamismaa, viime kädessä määräysvaltaa käyttävä yhteisö, lyhyt kuvaus toiminnoista ja maantieteelliset toiminta-alueet. Perustettavien yhteisyritysten osalta ilmoittakaa kaavaillut toiminnot ja maantieteelliset toiminta-alueet. Tämä tiivistelmä on tarkoitus julkaista kilpailupääosaston verkkosivuilla ilmoituksen toimittamisen yhteydessä. Tiivistelmä on laadittava siten, että se ei sisällä luottamuksellisia tietoja tai liikesalaisuuksia.</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Esimerkki (poistetaan ilmoituksesta)</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Tämä ilmoitus koskee seuraavia yrityksiä:</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[Yrityksen A koko nimi] ([Yrityksen A lyhytnimi],[Yrityksen A alkuperämaa]), yrityksen [yritys X] määräysvallassa</w:t>
            </w:r>
            <w:r>
              <w:rPr>
                <w:noProof/>
              </w:rPr>
              <w:tab/>
              <w:t xml:space="preserve"> </w:t>
            </w:r>
            <w:r>
              <w:rPr>
                <w:noProof/>
              </w:rPr>
              <w:br/>
            </w:r>
            <w:r>
              <w:rPr>
                <w:rFonts w:ascii="Times New Roman" w:hAnsi="Times New Roman"/>
                <w:i/>
                <w:noProof/>
              </w:rPr>
              <w:t>[Yrityksen B koko nimi] ([Yrityksen B lyhytnimi],[Yrityksen B alkuperämaa]), yrityksen [yritys Y] määräysvallassa]</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[Yritys A] hankkii sulautuma-asetuksen 3 artiklan 1 kohdan b alakohdassa tarkoitetun yksinomaisen määräysvallan (yrityksessä / osassa yritystä) [yritys B] TAI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[Yritys A] sulautuu kokonaisuudessaan sulautuma-asetuksen 3 artiklan 1 kohdan a alakohdan merkityksessä yrityksen [Yritys B] kanssa TAI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[Yritys A] ja [Yritys B] hankkivat sulautuma-asetuksen 3 artiklan 1 kohdan b alakohdassa ja 3 artiklan 4 kohdassa tarkoitetun yhteisen määräysvallan yrityksessä [Yritys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Keskittymä aikaansaadaan [toteuttamistapa, esimerkiksi ostamalla osakkeita/omaisuuseriä jne.]</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Kyseisten yritysten liiketoiminnan sisältö on seuraava:</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[Yritys A]: [Lyhyt kuvaus toiminnasta, esim. erikoiskemikaalit pääasiassa maataloustieteiden alalla, erikoismuovit ja -kemikaalit sekä hiilivety- ja energiatuotteet ja -palvelut].</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[Yritys B]: [Lyhyt kuvaus toiminnasta, esim. silikonipohjaiset teknologiat ja innovaatiot, päätoimialana polymeerien ja muiden silikonikemiaan pohjautuvien materiaalien kehitys ja tuotanto].</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JAKSO 5</w:t>
      </w:r>
    </w:p>
    <w:p w14:paraId="52DF4165" w14:textId="77777777" w:rsidR="002138D6" w:rsidRPr="002138D6" w:rsidRDefault="002138D6" w:rsidP="002138D6">
      <w:pPr>
        <w:pStyle w:val="SectionTitle"/>
        <w:rPr>
          <w:noProof/>
        </w:rPr>
      </w:pPr>
      <w:r>
        <w:rPr>
          <w:noProof/>
        </w:rPr>
        <w:t>Keskittymän perustelut ja ajoitus</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Keskittymän perustelut </w:t>
            </w:r>
          </w:p>
          <w:p w14:paraId="52DF4167" w14:textId="77777777" w:rsidR="002138D6" w:rsidRPr="0011056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Tiivistetty kuvaus ehdotetun keskittymän perusteluista.</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Ajoitus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Tiivistetty kuvaus ehdotetun keskittymän aikataulutuksesta (ja oikeudellisesti sitova määräpäivä, jos sellainen on).</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Tässä voitte täydentää vastaustanne lisätiedoilla, jotka haluatte toimittaa komissiolle.</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JAKSO 6</w:t>
      </w:r>
    </w:p>
    <w:p w14:paraId="52DF4176" w14:textId="651DEB71" w:rsidR="002138D6" w:rsidRPr="002138D6" w:rsidRDefault="002138D6" w:rsidP="002138D6">
      <w:pPr>
        <w:pStyle w:val="SectionTitle"/>
        <w:rPr>
          <w:noProof/>
        </w:rPr>
      </w:pPr>
      <w:r>
        <w:rPr>
          <w:noProof/>
        </w:rPr>
        <w:t>Toimivalta</w:t>
      </w:r>
      <w:r>
        <w:rPr>
          <w:rStyle w:val="FootnoteReference"/>
          <w:noProof/>
        </w:rPr>
        <w:footnoteReference w:id="30"/>
      </w:r>
      <w:r w:rsidR="0030274D">
        <w:rPr>
          <w:noProof/>
          <w:sz w:val="16"/>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Keskittymän lyhyt kuvaus ja määräysvallan muutos (enintään 250 sanaa)</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Esimerkki 1 (poistetaan ilmoituksesta)</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[Yritys A] hankkii X.X.XX allekirjoitetun osakkeiden myynti- ja ostosopimuksen nojalla osakkeita, jotka oikeuttavat 75 prosentin osuuteen äänioikeuksista yrityksessä [yritys B]. Loput 25 prosenttia äänioikeuksista yrityksessä [yritys B] pysyvät vähemmistöosakkaalla [vähemmistöosakas M]. Koska yrityksen [yritys B] kaupalliseen strategiaan liittyvät päätökset tehdään yksinkertaisella enemmistöllä, yritys [yritys A] käyttää määräävää päätäntävaltaa yrityksessä [yritys B]. Näin ollen [yritys B] tulee olemaan yrityksen [yritys A] yksinomaisessa määräysvallassa.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Esimerkki 2 (poistetaan ilmoituksesta)</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[Yritys A] hankkii X.X.XX allekirjoitetun osakkeiden myynti- ja ostosopimuksen nojalla osakkeita, jotka oikeuttavan 40 prosentin osuuteen äänioikeuksista yrityksessä [yritys B]. Loput 60 prosenttia äänioikeuksista yrityksessä [yritys B] pysyvät yrityksellä [yritys C]. Hallitukseen kuuluu seitsemän jäsentä, joista kolme nimittää [yritys A]. Yrityksellä [yritys A] on veto-oikeus ylimmän johdon nimitysten, budjetin ja liiketoimintasuunnitelman suhteen. Näin ollen [yritys B] tulee olemaan yritysten [yritys A] ja [yritys C] yhteisessä määräysvallassa.</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Määräysvallan hankkiminen </w:t>
      </w:r>
    </w:p>
    <w:p w14:paraId="52DF4180"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Yksinomaisen määräysvallan hankkiminen</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Hankkija hankkii kohteessa sulautuma-asetuksen 3 artiklan 2 kohdassa tarkoitetun yksinomaisen määräysvallan. Yksinomaisen määräysvallan hankintatapa:</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BE18FF"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[Yritys 1] hankkii positiivisen yksinomaisen määräysvallan, eli enemmistön äänioikeuksista kohteessa (yksinomainen määräysvalta </w:t>
            </w:r>
            <w:r w:rsidR="004E11D1">
              <w:rPr>
                <w:rFonts w:ascii="Times New Roman" w:hAnsi="Times New Roman"/>
                <w:i/>
                <w:noProof/>
              </w:rPr>
              <w:t>de jure</w:t>
            </w:r>
            <w:r w:rsidR="004E11D1">
              <w:rPr>
                <w:rFonts w:ascii="Times New Roman" w:hAnsi="Times New Roman"/>
                <w:noProof/>
              </w:rPr>
              <w:t>).</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BE18FF"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11056C">
                  <w:rPr>
                    <w:rFonts w:ascii="Segoe UI Symbol" w:eastAsia="Times New Roman" w:hAnsi="Segoe UI Symbol" w:cs="Segoe UI Symbol"/>
                    <w:noProof/>
                  </w:rPr>
                  <w:t>☐</w:t>
                </w:r>
              </w:sdtContent>
            </w:sdt>
            <w:r w:rsidR="004E11D1">
              <w:rPr>
                <w:rFonts w:ascii="Times New Roman" w:hAnsi="Times New Roman"/>
                <w:noProof/>
              </w:rPr>
              <w:t xml:space="preserve"> [Yritys 1] hankkii negatiivisen yksinomaisen määräysvallan kohteessa, eli mahdollisuuden käyttää yksinomaista veto-oikeutta strategisten päätösten suhteen (yksinomainen määräysvalta </w:t>
            </w:r>
            <w:r w:rsidR="004E11D1">
              <w:rPr>
                <w:rFonts w:ascii="Times New Roman" w:hAnsi="Times New Roman"/>
                <w:i/>
                <w:noProof/>
              </w:rPr>
              <w:t>de jure</w:t>
            </w:r>
            <w:r w:rsidR="004E11D1">
              <w:rPr>
                <w:rFonts w:ascii="Times New Roman" w:hAnsi="Times New Roman"/>
                <w:noProof/>
              </w:rPr>
              <w:t>). Kyseeseen tulevat strategiset päätökset:</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[Yritys 1] hankkii </w:t>
            </w:r>
            <w:r>
              <w:rPr>
                <w:rFonts w:ascii="Times New Roman" w:hAnsi="Times New Roman"/>
                <w:i/>
                <w:noProof/>
              </w:rPr>
              <w:t>de facto</w:t>
            </w:r>
            <w:r>
              <w:rPr>
                <w:rFonts w:ascii="Times New Roman" w:hAnsi="Times New Roman"/>
                <w:noProof/>
              </w:rPr>
              <w:t xml:space="preserve"> yksinomaisen määräysvallan kohteessa [tarkka osuus osakkeista ja äänioikeuksista] prosentin osuudellaan, koska se hyvin todennäköisesti saavuttaa enemmistön (kohteen) osakaskokouksissa.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Ilmoittakaa, jos keskittymään liittyy seuraavankaltaisia piirteitä: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351114EF"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Äänestyskäyttäytyminen kohteen osakaskokouksissa kuluneen viiden vuoden aikana: [osallistumisaste kyseisissä kokouksissa kultakin vuodelta]. Osakemäärällään yrityksellä [yritys 1] olisi ollut enemmistö osakaskokouksissa vuosina [lisätään kokousten päivämäärät].</w:t>
            </w:r>
            <w:r w:rsidR="0030274D">
              <w:rPr>
                <w:noProof/>
                <w:sz w:val="22"/>
              </w:rPr>
              <w:t xml:space="preserve">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Loput osakkeet ovat hyvin hajallaan.</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Muilla tärkeillä osakkailla on rakenteellisia, taloudellisia tai perhesiteitä yritykseen [yritys 1]. Kuvaus kyseisistä siteistä: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Muiden osakkaiden intressit kohteessa ovat puhtaasti taloudellisia.</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BE18FF"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Yhteisen määräysvallan hankkiminen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11056C">
                  <w:rPr>
                    <w:rFonts w:ascii="Segoe UI Symbol" w:hAnsi="Segoe UI Symbol" w:cs="Segoe UI Symbol"/>
                    <w:noProof/>
                    <w:sz w:val="20"/>
                  </w:rPr>
                  <w:t>☐</w:t>
                </w:r>
              </w:sdtContent>
            </w:sdt>
            <w:r w:rsidR="004E11D1">
              <w:rPr>
                <w:rFonts w:ascii="Times New Roman" w:hAnsi="Times New Roman"/>
                <w:noProof/>
                <w:sz w:val="20"/>
              </w:rPr>
              <w:t xml:space="preserve"> [Yritys 1], [Yritys 2] ja [Yritys 3] (lisätään yrityksiä tarvittaessa) hankkivat kohteessa sulautuma-asetuksen 3 artiklan 2 kohdassa tarkoitetun yhteisen määräysvallan yhtäläisin äänioikeuksin tai yhtäläisin oikeuksin nimittää päätöksentekoelimiä tai yhtäläisin veto-oikeuksin (toimivaltatiedonannon 64–73 kappale).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Hankkijat</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Yritys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Yritys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Yritys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Osakkuus yhteisyrityksessä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Äänioikeudet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Nimitettyjen edustajien lukumäärä kohteen päätöksentekoelimessä</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päätöksentekoelimen jäsenten kokonaismäärä</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Hallintoelimessä edustajalla on ratkaiseva ääni (kyllä/ei)</w:t>
            </w:r>
          </w:p>
        </w:tc>
        <w:tc>
          <w:tcPr>
            <w:tcW w:w="2483" w:type="dxa"/>
          </w:tcPr>
          <w:p w14:paraId="52DF41AB" w14:textId="77777777" w:rsidR="002138D6" w:rsidRPr="002138D6" w:rsidRDefault="00BE18FF"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AC" w14:textId="77777777" w:rsidR="002138D6" w:rsidRPr="002138D6" w:rsidRDefault="00BE18FF"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3" w:type="dxa"/>
          </w:tcPr>
          <w:p w14:paraId="52DF41AD" w14:textId="77777777" w:rsidR="002138D6" w:rsidRPr="002138D6" w:rsidRDefault="00BE18FF"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AE" w14:textId="77777777" w:rsidR="002138D6" w:rsidRPr="002138D6" w:rsidRDefault="00BE18FF"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4" w:type="dxa"/>
          </w:tcPr>
          <w:p w14:paraId="52DF41AF" w14:textId="77777777" w:rsidR="002138D6" w:rsidRPr="002138D6" w:rsidRDefault="00BE18FF"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B0" w14:textId="77777777" w:rsidR="002138D6" w:rsidRPr="002138D6" w:rsidRDefault="00BE18FF"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Veto-oikeus ylimmän johdon nimityksissä (kyllä/ei)</w:t>
            </w:r>
          </w:p>
        </w:tc>
        <w:tc>
          <w:tcPr>
            <w:tcW w:w="2483" w:type="dxa"/>
          </w:tcPr>
          <w:p w14:paraId="52DF41B3"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B4"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3" w:type="dxa"/>
          </w:tcPr>
          <w:p w14:paraId="52DF41B5"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B6"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4" w:type="dxa"/>
          </w:tcPr>
          <w:p w14:paraId="52DF41B7"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B8"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Veto-oikeus liiketoimintasuunnitelman hyväksymisen suhteen (kyllä/ei)</w:t>
            </w:r>
          </w:p>
          <w:p w14:paraId="52DF41BB" w14:textId="77777777" w:rsidR="002138D6" w:rsidRPr="0011056C"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BD"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3" w:type="dxa"/>
          </w:tcPr>
          <w:p w14:paraId="52DF41BE"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BF"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4" w:type="dxa"/>
          </w:tcPr>
          <w:p w14:paraId="52DF41C0"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C1"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Jos kyllä, toimittakaa jäljennös kohteen tuoreimmista liiketoimintasuunnitelmista.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Veto-oikeus budjetin hyväksymisen suhteen (kyllä/ei)</w:t>
            </w:r>
          </w:p>
        </w:tc>
        <w:tc>
          <w:tcPr>
            <w:tcW w:w="2483" w:type="dxa"/>
          </w:tcPr>
          <w:p w14:paraId="52DF41C7"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C8"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3" w:type="dxa"/>
          </w:tcPr>
          <w:p w14:paraId="52DF41C9"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CA"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c>
          <w:tcPr>
            <w:tcW w:w="2484" w:type="dxa"/>
          </w:tcPr>
          <w:p w14:paraId="52DF41CB"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Kyllä</w:t>
            </w:r>
          </w:p>
          <w:p w14:paraId="52DF41CC" w14:textId="77777777" w:rsidR="002138D6" w:rsidRPr="002138D6" w:rsidRDefault="00BE18FF"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Ei</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Veto-oikeus investointien suhteen</w:t>
            </w:r>
          </w:p>
        </w:tc>
        <w:tc>
          <w:tcPr>
            <w:tcW w:w="2483" w:type="dxa"/>
          </w:tcPr>
          <w:p w14:paraId="52DF41CF"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Kyllä</w:t>
            </w:r>
          </w:p>
          <w:p w14:paraId="52DF41D0"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Ei</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Investointien taso ja taajuus kyseisellä toimialalla: </w:t>
            </w:r>
          </w:p>
        </w:tc>
        <w:tc>
          <w:tcPr>
            <w:tcW w:w="2483" w:type="dxa"/>
          </w:tcPr>
          <w:p w14:paraId="52DF41D2"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Kyllä</w:t>
            </w:r>
          </w:p>
          <w:p w14:paraId="52DF41D3"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Ei</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Investointien taso ja taajuus kyseisellä toimialalla: </w:t>
            </w:r>
          </w:p>
        </w:tc>
        <w:tc>
          <w:tcPr>
            <w:tcW w:w="2484" w:type="dxa"/>
          </w:tcPr>
          <w:p w14:paraId="52DF41D5"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Kyllä</w:t>
            </w:r>
          </w:p>
          <w:p w14:paraId="52DF41D6"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Ei</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Investointien taso ja taajuus kyseisellä toimialalla: </w:t>
            </w:r>
          </w:p>
        </w:tc>
      </w:tr>
      <w:tr w:rsidR="002138D6" w:rsidRPr="002138D6" w14:paraId="52DF41DD" w14:textId="77777777" w:rsidTr="00D50649">
        <w:tc>
          <w:tcPr>
            <w:tcW w:w="2483" w:type="dxa"/>
            <w:vMerge/>
            <w:vAlign w:val="center"/>
          </w:tcPr>
          <w:p w14:paraId="52DF41D9" w14:textId="77777777" w:rsidR="002138D6" w:rsidRPr="0011056C"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11056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11056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11056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Muut markkinakohtaiset oikeudet</w:t>
            </w:r>
          </w:p>
        </w:tc>
        <w:tc>
          <w:tcPr>
            <w:tcW w:w="2483" w:type="dxa"/>
          </w:tcPr>
          <w:p w14:paraId="52DF41DF"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Kyllä</w:t>
            </w:r>
          </w:p>
          <w:p w14:paraId="52DF41E0"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Ei</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Mitkä veto-oikeudet?</w:t>
            </w:r>
          </w:p>
        </w:tc>
        <w:tc>
          <w:tcPr>
            <w:tcW w:w="2483" w:type="dxa"/>
          </w:tcPr>
          <w:p w14:paraId="52DF41E2"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Kyllä</w:t>
            </w:r>
          </w:p>
          <w:p w14:paraId="52DF41E3"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Ei</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Mitkä veto-oikeudet?</w:t>
            </w:r>
          </w:p>
        </w:tc>
        <w:tc>
          <w:tcPr>
            <w:tcW w:w="2484" w:type="dxa"/>
          </w:tcPr>
          <w:p w14:paraId="52DF41E5"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Kyllä</w:t>
            </w:r>
          </w:p>
          <w:p w14:paraId="52DF41E6"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11056C">
                  <w:rPr>
                    <w:rFonts w:ascii="Segoe UI Symbol" w:eastAsia="MS Gothic" w:hAnsi="Segoe UI Symbol" w:cs="Segoe UI Symbol"/>
                    <w:b/>
                    <w:noProof/>
                    <w:sz w:val="16"/>
                  </w:rPr>
                  <w:t>☐</w:t>
                </w:r>
              </w:sdtContent>
            </w:sdt>
            <w:r w:rsidR="004E11D1">
              <w:rPr>
                <w:rFonts w:ascii="Times New Roman" w:hAnsi="Times New Roman"/>
                <w:b/>
                <w:noProof/>
                <w:sz w:val="16"/>
              </w:rPr>
              <w:t xml:space="preserve">  Ei</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Mitkä veto-oikeudet?</w:t>
            </w:r>
          </w:p>
        </w:tc>
      </w:tr>
      <w:tr w:rsidR="002138D6" w:rsidRPr="002138D6" w14:paraId="52DF41ED" w14:textId="77777777" w:rsidTr="00D50649">
        <w:tc>
          <w:tcPr>
            <w:tcW w:w="2483" w:type="dxa"/>
            <w:vMerge/>
            <w:vAlign w:val="center"/>
          </w:tcPr>
          <w:p w14:paraId="52DF41E9" w14:textId="77777777" w:rsidR="002138D6" w:rsidRPr="0011056C"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11056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11056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11056C"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BE18FF"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11056C">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[Yritys 1], [Yritys 2] ja [Yritys 3] (lisätään yrityksiä tarvittaessa) hankkivat kohteessa sulautuma-asetuksen 3 artiklan 2 kohdassa tarkoitetun yhteisen määräysvallan muilla keinoin (toimivaltatiedonannon 74–80 kappale), joita voivat olla erityisesti seuraavat: </w:t>
            </w:r>
          </w:p>
          <w:p w14:paraId="52DF41EF"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11056C">
                  <w:rPr>
                    <w:rFonts w:ascii="Segoe UI Symbol" w:eastAsia="MS Gothic" w:hAnsi="Segoe UI Symbol" w:cs="Segoe UI Symbol"/>
                    <w:noProof/>
                    <w:sz w:val="20"/>
                  </w:rPr>
                  <w:t>☐</w:t>
                </w:r>
              </w:sdtContent>
            </w:sdt>
            <w:r w:rsidR="004E11D1">
              <w:rPr>
                <w:rFonts w:ascii="Times New Roman" w:hAnsi="Times New Roman"/>
                <w:noProof/>
                <w:sz w:val="20"/>
              </w:rPr>
              <w:t xml:space="preserve"> [Yritys 1], [Yritys 2] ja [Yritys 3] (lisätään yrityksiä tarvittaessa) hankkivat kohteessa yhteisen määräysvallan yhteenliittymäsopimuksella, holding-yhtiöllä tai muulla juridisella järjestelyllä. </w:t>
            </w:r>
          </w:p>
          <w:p w14:paraId="52DF41F0" w14:textId="77777777" w:rsidR="002138D6" w:rsidRPr="002138D6" w:rsidRDefault="00BE18FF"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11056C">
                  <w:rPr>
                    <w:rFonts w:ascii="Segoe UI Symbol" w:eastAsia="MS Gothic" w:hAnsi="Segoe UI Symbol" w:cs="Segoe UI Symbol"/>
                    <w:noProof/>
                    <w:sz w:val="20"/>
                  </w:rPr>
                  <w:t>☐</w:t>
                </w:r>
              </w:sdtContent>
            </w:sdt>
            <w:r w:rsidR="004E11D1">
              <w:rPr>
                <w:rFonts w:ascii="Times New Roman" w:hAnsi="Times New Roman"/>
                <w:noProof/>
                <w:sz w:val="20"/>
              </w:rPr>
              <w:t xml:space="preserve"> [Yritys 1], [Yritys 2] ja [Yritys 3] (lisätään yrityksiä tarvittaessa) hankkivat kohteessa </w:t>
            </w:r>
            <w:r w:rsidR="004E11D1">
              <w:rPr>
                <w:rFonts w:ascii="Times New Roman" w:hAnsi="Times New Roman"/>
                <w:i/>
                <w:noProof/>
                <w:sz w:val="20"/>
              </w:rPr>
              <w:t>de facto</w:t>
            </w:r>
            <w:r w:rsidR="004E11D1">
              <w:rPr>
                <w:rFonts w:ascii="Times New Roman" w:hAnsi="Times New Roman"/>
                <w:noProof/>
                <w:sz w:val="20"/>
              </w:rPr>
              <w:t xml:space="preserve"> yhteisen määräysvallan intressien vahvan yhtenevyyden pohjalta. Mihin intressien yhtenevyys perustuu?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Täystoiminnallisuus (täytetään vain jos keskittymä kuuluu sulautuma-asetuksen 3 artiklan 4 kohdan tai 3 artiklan 1 kohdan b alakohdan piiriin, luettuna yhdessä sulautuma-asetuksen 3 artiklan 4 kohdan kanssa)</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BE18FF"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Yhteisyritys on sulautuma-asetuksen 3 artiklan 4 kohdassa tarkoitetulla tavalla täystoiminnallinen, koska yhteisyritys hoitaa pysyvästi kaiken itsenäiselle taloudelliselle yksikölle kuuluvan toiminnan. Tarkemmin sanoen:</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11056C">
                  <w:rPr>
                    <w:rFonts w:ascii="Segoe UI Symbol" w:eastAsia="MS Gothic" w:hAnsi="Segoe UI Symbol" w:cs="Segoe UI Symbol"/>
                    <w:noProof/>
                  </w:rPr>
                  <w:t>☐</w:t>
                </w:r>
              </w:sdtContent>
            </w:sdt>
            <w:r w:rsidR="004E11D1">
              <w:rPr>
                <w:rFonts w:ascii="Times New Roman" w:hAnsi="Times New Roman"/>
                <w:noProof/>
              </w:rPr>
              <w:t xml:space="preserve"> Yhteisyrityksellä on riittävät resurssit toimia itsenäisesti markkinoilla ja sillä on erityisesti oma johto, riittävä rahoitus, henkilöstö ja omaisuuserät.</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11056C">
                  <w:rPr>
                    <w:rFonts w:ascii="Segoe UI Symbol" w:eastAsia="Times New Roman" w:hAnsi="Segoe UI Symbol" w:cs="Segoe UI Symbol"/>
                    <w:noProof/>
                  </w:rPr>
                  <w:t>☐</w:t>
                </w:r>
              </w:sdtContent>
            </w:sdt>
            <w:r w:rsidR="004E11D1">
              <w:rPr>
                <w:rFonts w:ascii="Times New Roman" w:hAnsi="Times New Roman"/>
                <w:noProof/>
              </w:rPr>
              <w:t xml:space="preserve"> Yhteisyrityksellä on oma pääsy markkinoille tai oma mahdollisuus pysyä markkinoilla riippumatta sen emoyhtiöistä.</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6728A255"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11056C">
                  <w:rPr>
                    <w:rFonts w:ascii="Segoe UI Symbol" w:eastAsia="Times New Roman" w:hAnsi="Segoe UI Symbol" w:cs="Segoe UI Symbol"/>
                    <w:noProof/>
                  </w:rPr>
                  <w:t>☐</w:t>
                </w:r>
              </w:sdtContent>
            </w:sdt>
            <w:r w:rsidR="004E11D1">
              <w:rPr>
                <w:rFonts w:ascii="Times New Roman" w:hAnsi="Times New Roman"/>
                <w:noProof/>
              </w:rPr>
              <w:t xml:space="preserve"> Yhteisyritys tulee pysyväisluonteisesti (eli pidempään kuin ensimmäisen kolmivuotiskauden) saamaan yli 50 prosenttia myyntituloistaan myynnistä kolmansille osapuolille.</w:t>
            </w:r>
            <w:r w:rsidR="0030274D">
              <w:rPr>
                <w:rFonts w:ascii="Times New Roman" w:hAnsi="Times New Roman"/>
                <w:noProof/>
              </w:rPr>
              <w:t xml:space="preserve">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TAI</w:t>
            </w:r>
          </w:p>
          <w:p w14:paraId="52DF41FC"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Yhteisyrityksen on tarkoitus alkuvaiheen jälkeen saada yli 50 prosenttia myyntituloistaan myynnistä emoyhtiöille, mutta tämä tapahtuu markkinaehtoisesti eli samoin ehdoin kuin myynti kolmansille osapuolille.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11056C">
                  <w:rPr>
                    <w:rFonts w:ascii="Segoe UI Symbol" w:eastAsia="Times New Roman" w:hAnsi="Segoe UI Symbol" w:cs="Segoe UI Symbol"/>
                    <w:noProof/>
                  </w:rPr>
                  <w:t>☐</w:t>
                </w:r>
              </w:sdtContent>
            </w:sdt>
            <w:r w:rsidR="004E11D1">
              <w:rPr>
                <w:rFonts w:ascii="Times New Roman" w:hAnsi="Times New Roman"/>
                <w:noProof/>
              </w:rPr>
              <w:t xml:space="preserve"> Yhteisyrityksen on tarkoitus toimia pysyväisluonteisesti, koska sitä ei perusteta lyhyeksi määräajaksi ja yrityksen toiminnan kesto on [ilmoitetaan kesto]. </w:t>
            </w:r>
          </w:p>
          <w:p w14:paraId="52DF41FF" w14:textId="207D6360"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11056C">
                  <w:rPr>
                    <w:rFonts w:ascii="Segoe UI Symbol" w:eastAsia="Times New Roman" w:hAnsi="Segoe UI Symbol" w:cs="Segoe UI Symbol"/>
                    <w:noProof/>
                  </w:rPr>
                  <w:t>☐</w:t>
                </w:r>
              </w:sdtContent>
            </w:sdt>
            <w:r w:rsidR="004E11D1">
              <w:rPr>
                <w:rFonts w:ascii="Times New Roman" w:hAnsi="Times New Roman"/>
                <w:noProof/>
              </w:rPr>
              <w:t xml:space="preserve"> Ei ole olemassa vielä tekemättömiä kolmansien osapuolten tai muita ulkopuolisia päätöksiä, jotka ovat keskeisiä yhteisyrityksen liiketoiminnan käynnistämisen kannalta.</w:t>
            </w:r>
            <w:r w:rsidR="0030274D">
              <w:rPr>
                <w:rFonts w:ascii="Times New Roman" w:hAnsi="Times New Roman"/>
                <w:noProof/>
              </w:rPr>
              <w:t xml:space="preserve">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Muuta: [Tarkennettava]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Tässä voitte täydentää vastaustanne lisätiedoilla, jotka haluatte toimittaa komissiolle.</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JAKSO 7</w:t>
      </w:r>
    </w:p>
    <w:p w14:paraId="52DF4208" w14:textId="77777777" w:rsidR="002138D6" w:rsidRPr="002138D6" w:rsidRDefault="002138D6" w:rsidP="002138D6">
      <w:pPr>
        <w:pStyle w:val="SectionTitle"/>
        <w:rPr>
          <w:noProof/>
        </w:rPr>
      </w:pPr>
      <w:r>
        <w:rPr>
          <w:noProof/>
        </w:rPr>
        <w:t>Yksinkertaistetun käsittelyn luokka (viittauksin yksinkertaistettua menettelyä koskevan tiedonannon asianomaisiin kohtiin)</w:t>
      </w:r>
    </w:p>
    <w:p w14:paraId="52DF4209" w14:textId="213CC69B"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Yksinkertaistettua menettelyä koskevan tiedonannon 5 kappaleessa oleva a kohta</w:t>
      </w:r>
      <w:r w:rsidR="0030274D">
        <w:rPr>
          <w:rFonts w:ascii="Times New Roman" w:hAnsi="Times New Roman"/>
          <w:b/>
          <w:noProof/>
        </w:rPr>
        <w:t xml:space="preserve"> </w:t>
      </w:r>
      <w:r>
        <w:rPr>
          <w:rFonts w:ascii="Times New Roman" w:hAnsi="Times New Roman"/>
          <w:b/>
          <w:noProof/>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BE18FF"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Yhteisyritys ei toimi Euroopan talousalueella (ETA):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Yhteisyrityksellä ei ole (ilmoitusajankohtana) tai oletettavasti tule olemaan (ilmoitusta seuraavien kolmen vuoden aikana) liikevaihtoa ETA-alueella.</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11056C">
                  <w:rPr>
                    <w:rFonts w:ascii="Segoe UI Symbol" w:eastAsia="Times New Roman" w:hAnsi="Segoe UI Symbol" w:cs="Segoe UI Symbol"/>
                    <w:noProof/>
                  </w:rPr>
                  <w:t>☐</w:t>
                </w:r>
              </w:sdtContent>
            </w:sdt>
            <w:r w:rsidR="004E11D1">
              <w:rPr>
                <w:rFonts w:ascii="Times New Roman" w:hAnsi="Times New Roman"/>
                <w:noProof/>
              </w:rPr>
              <w:t xml:space="preserve"> Yhteisyrityksen emoyhtiöillä ei ilmoitusajankohtana ole suunnitteilla omaisuuserien siirtoja yhteisyritykselle ETA-alueella.</w:t>
            </w:r>
            <w:r w:rsidR="004E11D1">
              <w:rPr>
                <w:rStyle w:val="FootnoteReference"/>
                <w:rFonts w:ascii="Times New Roman" w:hAnsi="Times New Roman" w:cs="Times New Roman"/>
                <w:noProof/>
              </w:rPr>
              <w:footnoteReference w:id="32"/>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Jos keskittymä täyttää yksinkertaistettua menettelyä koskevan tiedonannon 5 kappaleessa olevan a kohdan kriteerit, jaksoja 8, 9 ja 11 ei tarvitse täyttää.</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JA/TAI</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Yksinkertaistettua menettelyä koskevan tiedonannon 5 kappaleessa oleva b kohta ☐</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Yrityksen olemassa tai odotettavissa oleva toiminta ETA-alueella on vain vähäistä: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Yhteisyrityksen vuotuinen olemassa oleva liikevaihto ja/tai siirrettyjen toimintojen liikevaihto</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ilmoitusajankohtana sekä odotettavissa oleva vuotuinen liikevaihto ilmoitusta seuraavien kolmen vuoden kuluessa ETA-alueella on alle 100 miljoonaa euroa.</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Yhteisyritykselle ETA-alueella siirrettäviksi ilmoitusajankohtana kaavailtujen omaisuuserien kokonaisarvo </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on alle 100 miljoonaa euroa.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JA/TAI</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Yksinkertaistettua menettelyä koskevan tiedonannon 5 kappaleessa oleva c kohta</w:t>
      </w:r>
      <w:r>
        <w:rPr>
          <w:rStyle w:val="FootnoteReference"/>
          <w:rFonts w:ascii="Times New Roman" w:hAnsi="Times New Roman" w:cs="Times New Roman"/>
          <w:b/>
          <w:noProof/>
        </w:rPr>
        <w:footnoteReference w:id="35"/>
      </w:r>
      <w:r>
        <w:rPr>
          <w:rFonts w:ascii="Times New Roman" w:hAnsi="Times New Roman"/>
          <w:b/>
          <w:noProof/>
        </w:rPr>
        <w:t xml:space="preserve"> ☐</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Mitkään keskittymän osapuolet eivät toimi keskenään samoilla tuote- ja maantieteellisillä markkinoilla.</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BE18FF"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Mitkään keskittymän osapuolet eivät toimi toisiinsa nähden tarjontaketjun edeltävän tai seuraavan tason markkinoilla.</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Jos keskittymä täyttää yksinkertaistettua menettelyä koskevan tiedonannon 5 kappaleessa olevan c kohdan kriteerit, jaksoja 8, 9 ja 11 ei tarvitse täyttää.</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JA/TAI</w:t>
      </w:r>
    </w:p>
    <w:p w14:paraId="52DF4223" w14:textId="7F67E760"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Yksinkertaistettua menettelyä koskevan tiedonannon 5 kappaleessa oleva d kohta</w:t>
      </w:r>
      <w:r w:rsidR="0030274D">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BE18FF"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Vähintään kaksi yritystä sulautuu tai vähintään yksi yritys hankkii yksinomaisen tai yhteisen määräysvallan toisessa yrityksessä ja yksinkertaistettua menettelyä koskevan tiedonannon 5 kappaleessa olevan d kohdan i ja ii alakohdan edellytykset täyttyvät kaikkien mahdollisten markkinamäärittelyjen osalta.</w:t>
            </w:r>
            <w:r w:rsidR="004E11D1">
              <w:rPr>
                <w:rStyle w:val="FootnoteReference"/>
                <w:rFonts w:ascii="Times New Roman" w:eastAsia="Calibri" w:hAnsi="Times New Roman" w:cs="Times New Roman"/>
                <w:noProof/>
              </w:rPr>
              <w:footnoteReference w:id="36"/>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BE18FF"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Kaikkien samoilla tuote- ja maantieteellisillä markkinoilla liiketoimintaa harjoittavien keskittymän osapuolten (horisontaaliset päällekkäisyydet) yhteenlasketut markkinaosuudet täyttävät ainakin toisen seuraavista edellytyksistä:</w:t>
            </w:r>
          </w:p>
          <w:p w14:paraId="52DF4227"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ne ovat alle 20 prosenttia; </w:t>
            </w:r>
          </w:p>
          <w:p w14:paraId="52DF4228"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ne ovat alle 50 prosenttia ja keskittymän tuloksena syntyvä Herfindahl-Hirschman-indeksin (HHI-indeksin) lisäys (</w:t>
            </w:r>
            <w:r w:rsidR="004E11D1">
              <w:rPr>
                <w:rFonts w:ascii="Times New Roman" w:hAnsi="Times New Roman"/>
                <w:i/>
                <w:noProof/>
              </w:rPr>
              <w:t>delta</w:t>
            </w:r>
            <w:r w:rsidR="004E11D1">
              <w:rPr>
                <w:rFonts w:ascii="Times New Roman" w:hAnsi="Times New Roman"/>
                <w:noProof/>
              </w:rPr>
              <w:t>) kyseisillä markkinoilla on alle 150.</w:t>
            </w:r>
            <w:r w:rsidR="004E11D1">
              <w:rPr>
                <w:rStyle w:val="FootnoteReference"/>
                <w:rFonts w:ascii="Times New Roman" w:hAnsi="Times New Roman" w:cs="Times New Roman"/>
                <w:noProof/>
              </w:rPr>
              <w:footnoteReference w:id="37"/>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BE18FF"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Kaikkien niiden keskittymän osapuolten yksittäiset ja yhteenlasketut markkinaosuudet, jotka harjoittavat liiketoimintaa tuotemarkkinoilla, jotka edeltävät tai seuraavat keskittymän jonkin toisen osapuolen tuotemarkkinoita tarjontaketjussa (vertikaalinen suhde), täyttävät vähintään yhden seuraavista edellytyksistä:</w:t>
            </w:r>
          </w:p>
          <w:p w14:paraId="52DF422B"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ne ovat tarjontaketjun edeltävillä ja seuraavilla markkinoilla alle 30 prosenttia;</w:t>
            </w:r>
          </w:p>
          <w:p w14:paraId="52DF422C"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11056C">
                  <w:rPr>
                    <w:rFonts w:ascii="Segoe UI Symbol" w:hAnsi="Segoe UI Symbol" w:cs="Segoe UI Symbol"/>
                    <w:noProof/>
                  </w:rPr>
                  <w:t>☐</w:t>
                </w:r>
              </w:sdtContent>
            </w:sdt>
            <w:r w:rsidR="004E11D1">
              <w:rPr>
                <w:rFonts w:ascii="Times New Roman" w:hAnsi="Times New Roman"/>
                <w:noProof/>
              </w:rPr>
              <w:t xml:space="preserve"> ne ovat tarjontaketjun edeltävillä markkinoilla alle 30 prosenttia ja seuraavilla markkinoilla toimivien yksiköiden osuus tuotantopanosten ostoista edeltävillä markkinoilla on alle 30 prosenttia;</w:t>
            </w:r>
          </w:p>
          <w:p w14:paraId="52DF422D"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11056C">
                  <w:rPr>
                    <w:rFonts w:ascii="Segoe UI Symbol" w:eastAsia="MS Gothic" w:hAnsi="Segoe UI Symbol" w:cs="Segoe UI Symbol"/>
                    <w:noProof/>
                  </w:rPr>
                  <w:t>☐</w:t>
                </w:r>
              </w:sdtContent>
            </w:sdt>
            <w:r w:rsidR="004E11D1">
              <w:rPr>
                <w:rFonts w:ascii="Times New Roman" w:hAnsi="Times New Roman"/>
                <w:noProof/>
              </w:rPr>
              <w:t xml:space="preserve"> ne ovat alle 50 prosenttia sekä edeltävillä että seuraavilla markkinoilla, keskittymän tuloksena syntyvä HHI-indeksin lisäys (delta) on alle 150 sekä edeltävillä että seuraavilla markkinoilla ja markkinaosuuksilla laskettuna pienempi yritys on sama edeltävillä ja seuraavilla markkinoilla.</w:t>
            </w:r>
            <w:r w:rsidR="004E11D1">
              <w:rPr>
                <w:rStyle w:val="FootnoteReference"/>
                <w:rFonts w:ascii="Times New Roman" w:hAnsi="Times New Roman" w:cs="Times New Roman"/>
                <w:noProof/>
                <w:lang w:val="en-US"/>
              </w:rPr>
              <w:footnoteReference w:id="38"/>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JA/TAI</w:t>
      </w:r>
    </w:p>
    <w:p w14:paraId="52DF4230" w14:textId="1AA374B9"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Yksinkertaistettua menettelyä koskevan tiedonannon 5 kappaleessa oleva e kohta</w:t>
      </w:r>
      <w:r w:rsidR="0030274D">
        <w:rPr>
          <w:rFonts w:ascii="Times New Roman" w:hAnsi="Times New Roman"/>
          <w:b/>
          <w:noProof/>
        </w:rPr>
        <w:t xml:space="preserve"> </w:t>
      </w:r>
      <w:r>
        <w:rPr>
          <w:rFonts w:ascii="Times New Roman" w:hAnsi="Times New Roman"/>
          <w:b/>
          <w:noProof/>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BE18FF"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Ilmoittava osapuoli hankkii yksinomaisen määräysvallan yrityksessä, jossa sillä jo on yhteinen määräysvalta.</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JA/TAI</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Yksinkertaistettua menettelyä koskevan tiedonannon 8 kappale (joustolauseke) ☐</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BE18F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Kaikkien mahdollisten markkinamäärittelyjen osalta i) osapuolten yhdistetyt markkinaosuudet ovat alle 25 prosenttia kaikilla merkityksellisillä markkinoilla, joilla osapuolten toiminnoissa on päällekkäisyyksiä, ja ii) kyseessä ei ole mikään yksinkertaistettua menettelyä koskevan tiedonannon kohdassa II.C kuvatuista erityistilanteista.</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BE18F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Kaikkien mahdollisten markkinamäärittelyjen osalta osapuolten yhdistetyt markkinaosuudet ovat alle 25 prosenttia kaikilla merkityksellisillä markkinoilla, joilla osapuolten toiminnoissa on päällekkäisyyksiä, ja vaikka kyseessä on yksi tai useampi yksinkertaistettua menettelyä koskevan tiedonannon II.C kohdassa kuvatuista erityistilanteista, asiaan ei liity kilpailuongelmia syistä, jotka selitetään jaksossa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BE18F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Kyseessä ei ole mikään yksinkertaistettua menettelyä koskevan tiedonannon II.C kohdassa kuvatuista erityistilanteista ja kaikkien niiden keskittymän osapuolten yksittäiset ja yhteenlasketut markkinaosuudet, jotka harjoittavat liiketoimintaa markkinoilla, jotka edeltävät tai seuraavat keskittymän jonkin toisen osapuolen markkinoita tarjontaketjussa (vertikaalinen suhde), täyttävät vähintään yhden seuraavista edellytyksistä: </w:t>
            </w:r>
          </w:p>
          <w:p w14:paraId="52DF423A"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11056C">
                  <w:rPr>
                    <w:rFonts w:ascii="Segoe UI Symbol" w:eastAsia="MS Gothic" w:hAnsi="Segoe UI Symbol" w:cs="Segoe UI Symbol"/>
                    <w:noProof/>
                  </w:rPr>
                  <w:t>☐</w:t>
                </w:r>
              </w:sdtContent>
            </w:sdt>
            <w:r w:rsidR="004E11D1">
              <w:rPr>
                <w:rFonts w:ascii="Times New Roman" w:hAnsi="Times New Roman"/>
                <w:noProof/>
              </w:rPr>
              <w:t xml:space="preserve"> ne ovat edeltävillä ja seuraavilla markkinoilla alle 35 prosenttia;</w:t>
            </w:r>
          </w:p>
          <w:p w14:paraId="52DF423B"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11056C">
                  <w:rPr>
                    <w:rFonts w:ascii="Segoe UI Symbol" w:eastAsia="MS Gothic" w:hAnsi="Segoe UI Symbol" w:cs="Segoe UI Symbol"/>
                    <w:noProof/>
                  </w:rPr>
                  <w:t>☐</w:t>
                </w:r>
              </w:sdtContent>
            </w:sdt>
            <w:r w:rsidR="004E11D1">
              <w:rPr>
                <w:rFonts w:ascii="Times New Roman" w:hAnsi="Times New Roman"/>
                <w:noProof/>
              </w:rPr>
              <w:t xml:space="preserve"> ne ovat yksillä markkinoilla alle 50 prosenttia ja kaikkien vertikaalisessa suhteessa olevien keskittymän osapuolten yksittäiset ja yhteenlasketut markkinaosuudet kaikilla muilla vertikaalisessa suhteessa olevilla markkinoilla ovat alle 10 prosenttia.</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BE18F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Kyseessä on yksi tai useampi yksinkertaistettua menettelyä koskevan tiedonannon II.C kohdassa kuvatuista erityistilanteista, asiaan ei liity kilpailuongelmia syistä, jotka selitetään jaksossa 11, ja kaikkien vertikaalisessa suhteessa olevien keskittymän osapuolten yksittäiset ja yhteenlasketut markkinaosuudet täyttävät vähintään toisen seuraavista edellytyksistä:</w:t>
            </w:r>
          </w:p>
          <w:p w14:paraId="52DF423E"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11056C">
                  <w:rPr>
                    <w:rFonts w:ascii="Segoe UI Symbol" w:eastAsia="MS Gothic" w:hAnsi="Segoe UI Symbol" w:cs="Segoe UI Symbol"/>
                    <w:noProof/>
                  </w:rPr>
                  <w:t>☐</w:t>
                </w:r>
              </w:sdtContent>
            </w:sdt>
            <w:r w:rsidR="004E11D1">
              <w:rPr>
                <w:rFonts w:ascii="Times New Roman" w:hAnsi="Times New Roman"/>
                <w:noProof/>
              </w:rPr>
              <w:t xml:space="preserve">  ne ovat edeltävillä ja seuraavilla markkinoilla alle 35 prosenttia;</w:t>
            </w:r>
          </w:p>
          <w:p w14:paraId="52DF423F" w14:textId="77777777" w:rsidR="002138D6" w:rsidRPr="002138D6" w:rsidRDefault="00BE18FF"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11056C">
                  <w:rPr>
                    <w:rFonts w:ascii="Segoe UI Symbol" w:eastAsia="Times New Roman" w:hAnsi="Segoe UI Symbol" w:cs="Segoe UI Symbol"/>
                    <w:noProof/>
                  </w:rPr>
                  <w:t>☐</w:t>
                </w:r>
              </w:sdtContent>
            </w:sdt>
            <w:r w:rsidR="004E11D1">
              <w:rPr>
                <w:rFonts w:ascii="Times New Roman" w:hAnsi="Times New Roman"/>
                <w:noProof/>
              </w:rPr>
              <w:t xml:space="preserve"> ne ovat yksillä markkinoilla alle 50 prosenttia ja kaikkien vertikaalisessa suhteessa olevien keskittymän osapuolten yksittäiset ja yhteenlasketut markkinaosuudet kaikilla muilla vertikaalisessa suhteessa olevilla markkinoilla ovat alle 10 prosenttia.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JA/TAI</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Yksinkertaistettua menettelyä koskevan tiedonannon 9 kappale (joustolauseke) ☐</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195266C" w:rsidR="002138D6" w:rsidRPr="002138D6" w:rsidRDefault="00BE18FF"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11056C">
                  <w:rPr>
                    <w:rFonts w:ascii="Segoe UI Symbol" w:hAnsi="Segoe UI Symbol" w:cs="Segoe UI Symbol"/>
                    <w:noProof/>
                  </w:rPr>
                  <w:t>☐</w:t>
                </w:r>
              </w:sdtContent>
            </w:sdt>
            <w:r w:rsidR="001E5616">
              <w:rPr>
                <w:rFonts w:ascii="Times New Roman" w:hAnsi="Times New Roman" w:cs="Times New Roman"/>
                <w:noProof/>
              </w:rPr>
              <w:t xml:space="preserve"> </w:t>
            </w:r>
            <w:r w:rsidR="0030274D">
              <w:rPr>
                <w:rFonts w:ascii="Times New Roman" w:hAnsi="Times New Roman"/>
                <w:noProof/>
              </w:rPr>
              <w:t xml:space="preserve"> </w:t>
            </w:r>
            <w:r w:rsidR="004E11D1">
              <w:rPr>
                <w:rFonts w:ascii="Times New Roman" w:hAnsi="Times New Roman"/>
                <w:noProof/>
              </w:rPr>
              <w:t>Yhteisyrityksen vuotuinen olemassa oleva liikevaihto ja/tai siirrettyjen toimintojen liikevaihto</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ilmoitusajankohtana ETA-alueella on yli 100 miljoonaa euroa, mutta alle 150 miljoonaa euroa.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BE18F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Yhteisyritykselle ETA-alueella siirrettäviksi ilmoitusajankohtana kaavailtujen omaisuuserien kokonaisarvo on yli 100 miljoonaa euroa, mutta alle 150 miljoonaa euroa.</w:t>
            </w:r>
            <w:r w:rsidR="004E11D1">
              <w:rPr>
                <w:rStyle w:val="FootnoteReference"/>
                <w:rFonts w:ascii="Times New Roman" w:eastAsia="Calibri" w:hAnsi="Times New Roman" w:cs="Times New Roman"/>
                <w:noProof/>
              </w:rPr>
              <w:footnoteReference w:id="40"/>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BE18FF"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Jos yhteisyritys toimii ETA-alueella ja keskittymä aiheuttaa horisontaalisia päällekkäisyyksiä ja/tai vertikaalisia suhteita, on täytettävä vastaavasti jakso 8 ja/tai jakso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Tässä voitte täydentää vastaustanne lisätiedoilla, jotka haluatte toimittaa komissiolle.</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JAKSO 8</w:t>
      </w:r>
    </w:p>
    <w:p w14:paraId="52DF4251" w14:textId="77777777" w:rsidR="002138D6" w:rsidRPr="002138D6" w:rsidRDefault="002138D6" w:rsidP="002138D6">
      <w:pPr>
        <w:pStyle w:val="SectionTitle"/>
        <w:rPr>
          <w:noProof/>
        </w:rPr>
      </w:pPr>
      <w:r>
        <w:rPr>
          <w:noProof/>
        </w:rPr>
        <w:t>Horisontaaliset päällekkäisyydet</w:t>
      </w:r>
    </w:p>
    <w:p w14:paraId="52DF4252" w14:textId="6A4DBAA9"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Alla oleva taulukko olisi täytettävä, jos keskittymä johtaa horisontaalisiin päällekkäisyyksiin, mukaan lukien päällekkäisyydet i) kehitysputkessa olevien tuotteiden</w:t>
      </w:r>
      <w:r>
        <w:rPr>
          <w:rStyle w:val="FootnoteReference"/>
          <w:rFonts w:ascii="Times New Roman" w:eastAsia="Calibri" w:hAnsi="Times New Roman" w:cs="Times New Roman"/>
          <w:b/>
          <w:noProof/>
        </w:rPr>
        <w:footnoteReference w:id="41"/>
      </w:r>
      <w:r>
        <w:rPr>
          <w:rFonts w:ascii="Times New Roman" w:hAnsi="Times New Roman"/>
          <w:b/>
          <w:noProof/>
        </w:rPr>
        <w:t xml:space="preserve"> ja markkinoitujen tuotteiden välillä tai ii) kehitysputkessa olevien tuotteiden välillä (eli kyseessä on kehitysputkien välinen päällekkäisyys).</w:t>
      </w:r>
      <w:r>
        <w:rPr>
          <w:rStyle w:val="FootnoteReference"/>
          <w:rFonts w:ascii="Times New Roman" w:hAnsi="Times New Roman" w:cs="Times New Roman"/>
          <w:noProof/>
        </w:rPr>
        <w:footnoteReference w:id="42"/>
      </w:r>
      <w:r w:rsidR="0030274D">
        <w:rPr>
          <w:rFonts w:ascii="Times New Roman" w:hAnsi="Times New Roman"/>
          <w:b/>
          <w:noProof/>
          <w:sz w:val="16"/>
        </w:rPr>
        <w:t xml:space="preserve"> </w:t>
      </w:r>
      <w:r>
        <w:rPr>
          <w:rFonts w:ascii="Times New Roman" w:hAnsi="Times New Roman"/>
          <w:b/>
          <w:noProof/>
        </w:rPr>
        <w:t>Taulukko toistetaan niin monta kertaa, että kaikki tarkastellut mahdolliset markkinat saadaan katettua:</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11056C" w:rsidRDefault="002138D6" w:rsidP="002138D6">
      <w:pPr>
        <w:spacing w:after="0"/>
        <w:rPr>
          <w:rFonts w:ascii="Times New Roman" w:eastAsia="Times New Roman" w:hAnsi="Times New Roman" w:cs="Times New Roman"/>
          <w:noProof/>
        </w:rPr>
        <w:sectPr w:rsidR="002138D6" w:rsidRPr="0011056C"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644"/>
        <w:gridCol w:w="1344"/>
        <w:gridCol w:w="1486"/>
        <w:gridCol w:w="1690"/>
        <w:gridCol w:w="806"/>
        <w:gridCol w:w="843"/>
        <w:gridCol w:w="769"/>
        <w:gridCol w:w="843"/>
        <w:gridCol w:w="772"/>
        <w:gridCol w:w="843"/>
        <w:gridCol w:w="3749"/>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Horisontaaliset päällekkäisyydet – markkinaosuudet ja kehitysputkessa olevat tuotteet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Ennakkotapaukset (viittauksin ennakkotapauksen olennaisiin kohtiin)</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Tarkasteltu mahdollinen tuotemarkkina</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Tarkasteltu mahdollinen maantieteellinen markkina</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Toimittaja</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Kehitysputkessa olevat tuotteet</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(Nimi)</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Osallistuva yritys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Osallistuva yritys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Osallistuva yritys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Yhdistetty</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Kilpailija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Ei täytetä</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Kilpailija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Kilpailija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Muut</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Yhteensä</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Ei täytetä.</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Markkinoiden koko</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euroa</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euroa</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euroa</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Kuvaus osapuolten toiminnasta näillä markkinoilla:</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Tarkemmat tiedot (varsinkin jos ennakkotapauksia ei ole, olisi esitettävä osapuolten näkemykset maantieteellisten/tuotemarkkinoiden määrittelystä):</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4BBAFAA1"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Markkinaosuuksien laskennassa käytetyt mittarit, lähteet ja menetelmät.</w:t>
            </w:r>
            <w:r w:rsidR="0030274D">
              <w:rPr>
                <w:rFonts w:ascii="Times New Roman" w:hAnsi="Times New Roman"/>
                <w:b/>
                <w:noProof/>
                <w:sz w:val="18"/>
              </w:rPr>
              <w:t xml:space="preserve"> </w:t>
            </w:r>
            <w:r>
              <w:rPr>
                <w:rFonts w:ascii="Times New Roman" w:hAnsi="Times New Roman"/>
                <w:b/>
                <w:noProof/>
                <w:sz w:val="18"/>
              </w:rPr>
              <w:t>Jos arvo ja volyymi eivät ole merkityksellisillä markkinoilla yleisimmin käytettyjä markkinaosuuden mittareita, esitetään vaihtoehtoisiin mittareihin perustuvat markkinaosuudet selvennyksineen:</w:t>
            </w:r>
            <w:r w:rsidR="0030274D">
              <w:rPr>
                <w:rFonts w:ascii="Times New Roman" w:hAnsi="Times New Roman"/>
                <w:b/>
                <w:noProof/>
                <w:sz w:val="18"/>
              </w:rPr>
              <w:t xml:space="preserve">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1F0B9664"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Jos asia kuuluu yksinkertaistettua menettelyä koskevan tiedonannon 5 kappaleessa olevan d kohdan i alakohdan bb alakohdan piiriin, ilmoitetaan HHI-indeksin muutos:</w:t>
            </w:r>
            <w:r w:rsidR="0030274D">
              <w:rPr>
                <w:rFonts w:ascii="Times New Roman" w:hAnsi="Times New Roman"/>
                <w:b/>
                <w:noProof/>
                <w:sz w:val="18"/>
              </w:rPr>
              <w:t xml:space="preserve">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Tiedot osapuolten kehitysputkessa olevista tuotteista ja niiden kilpailijoista (mukaan lukien kehitysaste):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Kilpailijoiden 1, 2 ja 3 yhteystiedot vaaditussa muodossa:</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Tässä voitte täydentää vastaustanne lisätiedoilla, jotka haluatte toimittaa komissiolle.</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JAKSO 9</w:t>
      </w:r>
    </w:p>
    <w:p w14:paraId="52DF42EE" w14:textId="77777777" w:rsidR="002138D6" w:rsidRPr="002138D6" w:rsidRDefault="002138D6" w:rsidP="002138D6">
      <w:pPr>
        <w:pStyle w:val="SectionTitle"/>
        <w:keepNext w:val="0"/>
        <w:rPr>
          <w:noProof/>
        </w:rPr>
      </w:pPr>
      <w:r>
        <w:rPr>
          <w:noProof/>
        </w:rPr>
        <w:t>Vertikaaliset suhteet</w:t>
      </w:r>
    </w:p>
    <w:p w14:paraId="52DF42EF" w14:textId="64275585"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sidRPr="0011056C">
        <w:rPr>
          <w:rFonts w:ascii="Times New Roman" w:hAnsi="Times New Roman"/>
          <w:b/>
          <w:noProof/>
        </w:rPr>
        <w:t>Alla oleva taulukko olisi täytettävä, jos keskittymä johtaa vertikaalisiin suhteisiin,</w:t>
      </w:r>
      <w:r w:rsidRPr="0011056C">
        <w:rPr>
          <w:rStyle w:val="FootnoteReference"/>
          <w:rFonts w:ascii="Times New Roman" w:hAnsi="Times New Roman" w:cs="Times New Roman"/>
          <w:noProof/>
        </w:rPr>
        <w:footnoteReference w:id="44"/>
      </w:r>
      <w:r w:rsidRPr="0011056C">
        <w:rPr>
          <w:rFonts w:ascii="Times New Roman" w:hAnsi="Times New Roman"/>
          <w:b/>
          <w:noProof/>
        </w:rPr>
        <w:t xml:space="preserve"> mukaan lukien vertikaaliset suhteet i) kehitysputkessa olevien tuotteiden ja markkinoitujen tuotteiden välillä tai ii) kehitysputkessa olevien tuotteiden välillä (eli kehitysputkessa olevien tuotteiden vertikaaliset suhteet).</w:t>
      </w:r>
      <w:r w:rsidR="0030274D">
        <w:rPr>
          <w:rFonts w:ascii="Times New Roman" w:hAnsi="Times New Roman"/>
          <w:b/>
          <w:noProof/>
        </w:rPr>
        <w:t xml:space="preserve"> </w:t>
      </w:r>
      <w:r>
        <w:rPr>
          <w:rFonts w:ascii="Times New Roman" w:hAnsi="Times New Roman"/>
          <w:b/>
          <w:noProof/>
        </w:rPr>
        <w:t>Taulukko toistetaan niin monta kertaa, että kaikki tarkastellut mahdolliset markkinat saadaan katettua:</w:t>
      </w:r>
      <w:r>
        <w:rPr>
          <w:rStyle w:val="FootnoteReference"/>
          <w:rFonts w:ascii="Times New Roman" w:hAnsi="Times New Roman" w:cs="Times New Roman"/>
          <w:noProof/>
        </w:rPr>
        <w:footnoteReference w:id="45"/>
      </w:r>
      <w:r w:rsidR="0030274D">
        <w:rPr>
          <w:rFonts w:ascii="Times New Roman" w:hAnsi="Times New Roman"/>
          <w:b/>
          <w:noProof/>
          <w:sz w:val="16"/>
        </w:rPr>
        <w:t xml:space="preserve"> </w:t>
      </w:r>
    </w:p>
    <w:p w14:paraId="52DF42F0" w14:textId="77777777" w:rsidR="002138D6" w:rsidRPr="0011056C" w:rsidRDefault="002138D6" w:rsidP="002138D6">
      <w:pPr>
        <w:spacing w:after="0"/>
        <w:rPr>
          <w:rFonts w:ascii="Times New Roman" w:eastAsia="Times New Roman" w:hAnsi="Times New Roman" w:cs="Times New Roman"/>
          <w:noProof/>
        </w:rPr>
        <w:sectPr w:rsidR="002138D6" w:rsidRPr="0011056C"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644"/>
        <w:gridCol w:w="1344"/>
        <w:gridCol w:w="1463"/>
        <w:gridCol w:w="2147"/>
        <w:gridCol w:w="854"/>
        <w:gridCol w:w="857"/>
        <w:gridCol w:w="857"/>
        <w:gridCol w:w="857"/>
        <w:gridCol w:w="854"/>
        <w:gridCol w:w="857"/>
        <w:gridCol w:w="3810"/>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Vertikaaliset suhteet – markkinaosuudet ja kehitysputkessa olevat tuotteet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TARJONTAKETJUN EDELTÄVÄ TASO</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Ennakkotapaukset (viittauksin ennakkotapauksen olennaisiin kohtiin)</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Tarkasteltu mahdollinen tuotemarkkina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Tarkasteltu mahdollinen maantieteellinen markkina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Toimittaja</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Kehitysputkessa olevat tuotteet (nimi)</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Osallistuva yritys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Osallistuva yritys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Osallistuva yritys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Yhdistetty</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Kilpailija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Kilpailija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Kilpailija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Muut</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Yhteensä</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Markkinoiden koko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euroa</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euroa</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euroa</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Kuvaus osapuolten toiminnasta näillä markkinoilla:</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Tarkemmat tiedot (varsinkin jos ennakkotapauksia ei ole, olisi esitettävä osapuolten näkemykset maantieteellisten/tuotemarkkinoiden määrittelystä):</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0C2D3872"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Markkinaosuuksien laskennassa käytetyt mittarit, lähteet ja menetelmät.</w:t>
            </w:r>
            <w:r w:rsidR="0030274D">
              <w:rPr>
                <w:rFonts w:ascii="Times New Roman" w:hAnsi="Times New Roman"/>
                <w:b/>
                <w:noProof/>
                <w:sz w:val="18"/>
              </w:rPr>
              <w:t xml:space="preserve"> </w:t>
            </w:r>
            <w:r>
              <w:rPr>
                <w:rFonts w:ascii="Times New Roman" w:hAnsi="Times New Roman"/>
                <w:b/>
                <w:noProof/>
                <w:sz w:val="18"/>
              </w:rPr>
              <w:t>Jos arvo ja volyymi eivät ole merkityksellisillä markkinoilla yleisimmin käytettyjä markkinaosuuden mittareita, esitetään vaihtoehtoisiin mittareihin perustuvat markkinaosuudet selvennyksineen:</w:t>
            </w:r>
            <w:r w:rsidR="0030274D">
              <w:rPr>
                <w:rFonts w:ascii="Times New Roman" w:hAnsi="Times New Roman"/>
                <w:b/>
                <w:noProof/>
                <w:sz w:val="18"/>
              </w:rPr>
              <w:t xml:space="preserve">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6A3010CE"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Jos asia kuuluu yksinkertaistettua menettelyä koskevan tiedonannon 5 kappaleessa olevan d kohdan ii alakohdan cc alakohdan piiriin, ilmoitetaan HHI-indeksin muutos (arvo ja volyymi kolmelta vuodelta):</w:t>
            </w:r>
            <w:r w:rsidR="0030274D">
              <w:rPr>
                <w:rFonts w:ascii="Times New Roman" w:hAnsi="Times New Roman"/>
                <w:b/>
                <w:noProof/>
                <w:sz w:val="18"/>
              </w:rPr>
              <w:t xml:space="preserve">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Tiedot osapuolten kehitysputkessa olevista tuotteista ja niiden kilpailijoista (mukaan lukien kehitysaste):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Kilpailijoiden 1, 2 ja 3 yhteystiedot vaaditussa muodossa:</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TARJONTAKETJUN SEURAAVA TASO</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Ennakkotapaukset (viittauksin ennakkotapauksen olennaisiin kohtiin)</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Tarkasteltu mahdollinen tuotemarkkina</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Tarkasteltu mahdollinen maantieteellinen markkina</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Toimittaja</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Kehitysputkessa olevat tuotteet (nimi)</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Osallistuva yritys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Osallistuva yritys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Osallistuva yritys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Yhdistetty</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Kilpailija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Ei täytetä.</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Kilpailija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Kilpailija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Muut</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Yhteensä</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Ei täytetä.</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Markkinoiden koko</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euroa</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euroa</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euroa</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Kuvaus osapuolten toiminnasta näillä markkinoilla:</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Tarkemmat tiedot (varsinkin jos ennakkotapauksia ei ole, olisi esitettävä osapuolten näkemykset maantieteellisten/tuotemarkkinoiden määrittelystä):</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586150F"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Markkinaosuuksien laskennassa käytetyt mittarit, lähteet ja menetelmät.</w:t>
            </w:r>
            <w:r w:rsidR="0030274D">
              <w:rPr>
                <w:rFonts w:ascii="Times New Roman" w:hAnsi="Times New Roman"/>
                <w:b/>
                <w:noProof/>
                <w:sz w:val="18"/>
              </w:rPr>
              <w:t xml:space="preserve"> </w:t>
            </w:r>
            <w:r>
              <w:rPr>
                <w:rFonts w:ascii="Times New Roman" w:hAnsi="Times New Roman"/>
                <w:b/>
                <w:noProof/>
                <w:sz w:val="18"/>
              </w:rPr>
              <w:t>Jos arvo ja volyymi eivät ole merkityksellisillä markkinoilla yleisimmin käytettyjä markkinaosuuden mittareita, esitetään vaihtoehtoisiin mittareihin perustuvat markkinaosuudet selvennyksineen:</w:t>
            </w:r>
            <w:r w:rsidR="0030274D">
              <w:rPr>
                <w:rFonts w:ascii="Times New Roman" w:hAnsi="Times New Roman"/>
                <w:b/>
                <w:noProof/>
                <w:sz w:val="18"/>
              </w:rPr>
              <w:t xml:space="preserve">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4599E75A"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Jos asia kuuluu yksinkertaistettua menettelyä koskevan tiedonannon 5 kappaleessa olevan d kohdan ii alakohdan cc alakohdan piiriin, ilmoitetaan HHI-indeksin muutos (arvo ja volyymi kolmelta vuodelta):</w:t>
            </w:r>
            <w:r w:rsidR="0030274D">
              <w:rPr>
                <w:rFonts w:ascii="Times New Roman" w:hAnsi="Times New Roman"/>
                <w:b/>
                <w:noProof/>
                <w:sz w:val="18"/>
              </w:rPr>
              <w:t xml:space="preserve">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Tiedot osapuolten kehitysputkessa olevista tuotteista ja niiden kilpailijoista (mukaan lukien kehitysaste):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Kilpailijoiden 1, 2 ja 3 yhteystiedot vaaditussa muodossa:</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Tässä voitte täydentää vastaustanne lisätiedoilla, jotka haluatte toimittaa komissiolle.</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JAKSO 10</w:t>
      </w:r>
    </w:p>
    <w:p w14:paraId="52DF441C" w14:textId="77777777" w:rsidR="002138D6" w:rsidRPr="002138D6" w:rsidRDefault="002138D6" w:rsidP="002138D6">
      <w:pPr>
        <w:pStyle w:val="SectionTitle"/>
        <w:keepNext w:val="0"/>
        <w:rPr>
          <w:noProof/>
        </w:rPr>
      </w:pPr>
      <w:r>
        <w:rPr>
          <w:noProof/>
        </w:rPr>
        <w:t>Yksinkertaistettua menettelyä koskevan tiedonannon 5 kappaleessa olevan d kohdan ii alakohdan bb alakohdan piiriin kuuluvat vertikaaliset suhteet</w:t>
      </w:r>
    </w:p>
    <w:p w14:paraId="52DF441D" w14:textId="5C5C1C72"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Alla olevat taulukot olisi täytettävä, jos keskittymä johtaa yksinkertaistettua menettelyä koskevan tiedonannon 5 kappaleessa olevan d kohdan ii alakohdan bb alakohdan piiriin kuuluviin vertikaalisiin suhteisiin, mukaan lukien tällaiset vertikaaliset suhteet i) kehitysputkessa olevien tuotteiden ja markkinoitujen tuotteiden välillä tai ii) kehitysputkessa olevien tuotteiden välillä (eli kehitysputkessa olevien tuotteiden vertikaaliset suhteet). Taulukko toistetaan niin monta kertaa, että kaikki tarkastellut mahdolliset markkinat saadaan katettua:</w:t>
      </w:r>
      <w:r>
        <w:rPr>
          <w:rStyle w:val="FootnoteReference"/>
          <w:rFonts w:ascii="Times New Roman" w:hAnsi="Times New Roman" w:cs="Times New Roman"/>
          <w:b/>
          <w:noProof/>
        </w:rPr>
        <w:footnoteReference w:id="48"/>
      </w:r>
      <w:r w:rsidR="0030274D">
        <w:rPr>
          <w:rFonts w:ascii="Times New Roman" w:hAnsi="Times New Roman"/>
          <w:b/>
          <w:noProof/>
          <w:sz w:val="16"/>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Yksinkertaistettua menettelyä koskevan tiedonannon 5 kappaleessa olevan d kohdan ii alakohdan bb alakohdan piiriin kuuluvat vertikaaliset suhteet – markkinaosuudet ja kehitysputkessa olevat tuotteet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TARJONTAKETJUN EDELTÄVÄ TASO</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Ennakkotapaukset (viittauksin ennakkotapauksen olennaisiin kohtiin)</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Tarkasteltu mahdollinen tuotemarkkina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Tarkasteltu mahdollinen maantieteellinen markkina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Tuotteiden tarjonta edeltävän tason markkinoilla</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(Markkinaosuudet)</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Tuotteiden hankinnat edeltävän tason markkinoilla</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(Hankintaosuudet)</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11056C"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Yksikkö</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Kehitysputkessa olevat tuotteet (nimi)</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Osallistuva yritys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Osallistuva yritys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Osallistuva yritys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Yhdistetty</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Kilpailija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Kilpailija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Kilpailija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Muut</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Yhteensä</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Markkinoiden koko</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euroa</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euroa</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euroa</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Kuvaus osapuolten toiminnasta näillä markkinoilla:</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Tarkemmat tiedot (varsinkin jos ennakkotapauksia ei ole, olisi esitettävä osapuolten näkemykset maantieteellisten/tuotemarkkinoiden määrittelystä):</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15E73D54"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Markkinaosuuksien laskennassa käytetyt mittarit, lähteet ja menetelmät.</w:t>
            </w:r>
            <w:r w:rsidR="0030274D">
              <w:rPr>
                <w:rFonts w:ascii="Times New Roman" w:hAnsi="Times New Roman"/>
                <w:b/>
                <w:noProof/>
                <w:sz w:val="18"/>
              </w:rPr>
              <w:t xml:space="preserve"> </w:t>
            </w:r>
            <w:r>
              <w:rPr>
                <w:rFonts w:ascii="Times New Roman" w:hAnsi="Times New Roman"/>
                <w:b/>
                <w:noProof/>
                <w:sz w:val="18"/>
              </w:rPr>
              <w:t>Jos arvo ja volyymi eivät ole merkityksellisillä markkinoilla yleisimmin käytettyjä markkinaosuuden mittareita, esitetään vaihtoehtoisiin mittareihin perustuvat markkinaosuudet selvennyksineen:</w:t>
            </w:r>
            <w:r w:rsidR="0030274D">
              <w:rPr>
                <w:rFonts w:ascii="Times New Roman" w:hAnsi="Times New Roman"/>
                <w:b/>
                <w:noProof/>
                <w:sz w:val="18"/>
              </w:rPr>
              <w:t xml:space="preserve">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Tiedot osapuolten kehitysputkessa olevista tuotteista ja niiden kilpailijoista (mukaan lukien kehitysaste):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Tässä todetaan, onko yksi tai useampi osallistuva yritys hankkinut tuotetta tarjontaketjun edeltävällä tasolla tuotantopanokseksi yhdeltä tai useammalta osallistuvalta yrityksellä vuonna X, vuonna X-1 tai vuonna X-2 ja ilmoitetaan kyseisten hankintojen osuus kyseisen osallistuvan yrityksen kokonaishankinnoista: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Kilpailijoiden 1, 2 ja 3 yhteystiedot vaaditussa muodossa:</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TARJONTAKETJUN SEURAAVA TASO</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Ennakkotapaukset (viittauksin ennakkotapauksen olennaisiin kohtiin)</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Tarkasteltu mahdollinen tuotemarkkina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Tarkasteltu mahdollinen maantieteellinen markkina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Toimittaja</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Vuosi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Kehitysputkessa olevat tuotteet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(Nimi)</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Arvo</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Volyymi</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Osallistuva yritys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Osallistuva yritys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Osallistuva yritys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Yhdistetty</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Kilpailija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Kilpailija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Kilpailija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Muut</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Yhteensä</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Ei täytetä.</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Markkinoiden koko</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euroa</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euroa</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euroa</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Kuvaus osapuolten toiminnasta näillä markkinoilla:</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Tarkemmat tiedot (varsinkin jos ennakkotapauksia ei ole, olisi esitettävä osapuolten näkemykset maantieteellisten/tuotemarkkinoiden määrittelystä):</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B6A8FD8"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Markkinaosuuksien laskennassa käytetyt mittarit, lähteet ja menetelmät.</w:t>
            </w:r>
            <w:r w:rsidR="0030274D">
              <w:rPr>
                <w:rFonts w:ascii="Times New Roman" w:hAnsi="Times New Roman"/>
                <w:b/>
                <w:noProof/>
                <w:sz w:val="18"/>
              </w:rPr>
              <w:t xml:space="preserve"> </w:t>
            </w:r>
            <w:r>
              <w:rPr>
                <w:rFonts w:ascii="Times New Roman" w:hAnsi="Times New Roman"/>
                <w:b/>
                <w:noProof/>
                <w:sz w:val="18"/>
              </w:rPr>
              <w:t>Jos arvo ja volyymi eivät ole merkityksellisillä markkinoilla yleisimmin käytettyjä markkinaosuuden mittareita, esitetään vaihtoehtoisiin mittareihin perustuvat markkinaosuudet selvennyksineen:</w:t>
            </w:r>
            <w:r w:rsidR="0030274D">
              <w:rPr>
                <w:rFonts w:ascii="Times New Roman" w:hAnsi="Times New Roman"/>
                <w:b/>
                <w:noProof/>
                <w:sz w:val="18"/>
              </w:rPr>
              <w:t xml:space="preserve">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Tiedot osapuolten kehitysputkessa olevista tuotteista ja niiden kilpailijoista (mukaan lukien kehitysaste):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Kilpailijoiden 1, 2 ja 3 yhteystiedot vaaditussa muodossa:</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38C80881"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Arvio siitä, mitä prosenttiosuutta tarjontaketjun edeltävän vaiheen markkinoiden tuotantopanoksen kokonaiskysynnästä tarjontaketjun myöhemmän vaiheen markkinat edustavat vuosina X, X-1 ja X-2.</w:t>
            </w:r>
            <w:r w:rsidR="0030274D">
              <w:rPr>
                <w:rFonts w:ascii="Times New Roman" w:hAnsi="Times New Roman"/>
                <w:b/>
                <w:noProof/>
                <w:sz w:val="18"/>
              </w:rPr>
              <w:t xml:space="preserve"> </w:t>
            </w:r>
            <w:r>
              <w:rPr>
                <w:rFonts w:ascii="Times New Roman" w:hAnsi="Times New Roman"/>
                <w:b/>
                <w:noProof/>
                <w:sz w:val="18"/>
              </w:rPr>
              <w:t>Lisäksi olisi eriteltävä eri toimialat, sektorit ja loppukäyttösovellukset (muut kuin tarjontaketjun myöhemmän vaiheen markkinat), jotka voivat käyttää tarjontaketjun edeltävän vaiheen tuotantopanosta, mukaan lukien edeltävän vaiheen tuotantopanoksen osuus kokonaiskysynnästä kunkin toimialan, sektorin ja/tai loppukäyttösovelluksen osalta.</w:t>
            </w:r>
            <w:r w:rsidR="0030274D">
              <w:rPr>
                <w:rFonts w:ascii="Times New Roman" w:hAnsi="Times New Roman"/>
                <w:b/>
                <w:noProof/>
                <w:sz w:val="18"/>
              </w:rPr>
              <w:t xml:space="preserve"> </w:t>
            </w:r>
            <w:r>
              <w:rPr>
                <w:rFonts w:ascii="Times New Roman" w:hAnsi="Times New Roman"/>
                <w:b/>
                <w:noProof/>
                <w:sz w:val="18"/>
              </w:rPr>
              <w:t>Jos tätä tietoa ei ole saatavilla koko markkinoista, olisi ilmoitettava se osuus edeltävän tason markkinoilla toimivan osapuolen myynnistä, joka suuntautuu sen 10 tärkeimmälle asiakkaalle (tarvittaessa muut osapuolet mukaan luettuina):</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Tässä voitte täydentää vastaustanne lisätiedoilla, jotka haluatte toimittaa komissiolle.</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JAKSO 11</w:t>
      </w:r>
    </w:p>
    <w:p w14:paraId="52DF457D" w14:textId="77777777" w:rsidR="002138D6" w:rsidRPr="002138D6" w:rsidRDefault="002138D6" w:rsidP="002138D6">
      <w:pPr>
        <w:pStyle w:val="SectionTitle"/>
        <w:rPr>
          <w:noProof/>
        </w:rPr>
      </w:pPr>
      <w:r>
        <w:rPr>
          <w:noProof/>
        </w:rPr>
        <w:t>Takeet ja poissulkemiset</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2"/>
        <w:gridCol w:w="1178"/>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Jollakin keskittymän osapuolella on merkittäviä (eli yli 10 prosentin) määräysvallattomia omistusosuuksia tai ristikkäisjohtajuuksia yrityksissä, jotka toimivat samoilla markkinoilla kuin jokin muu keskittymän osapuoli tai vertikaalisesti liitännäisillä markkinoilla (esim. hankkijayrityksellä on määräysvallaton vähemmistöosakkuus tai yhteisiä johtajia yrityksessä, joka toimii samoilla markkinoilla kuin kohde).</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80"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Yhdellä tai useammalla osapuolten kilpailijoista on merkittävä (eli yli 10 prosentin) määräysvallaton omistusosuus jossakin osallistuvassa yrityksessä.</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Jos kyllä: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omistusosuus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omistusosuuteen liittyvät oikeudet: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87"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Osapuolet toimivat hyvin läheisillä markkinoilla ja jollakin osapuolista on yksittäin vähintään 30 prosentin markkinaosuus jollakin näistä markkinoista jonkin mahdollisen markkinamäärittelyn osalta.</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8B"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8A5946C"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Joillekin mahdollisen markkinamäärittelyn mukaisista markkinoista, joille syntyy horisontaalisia päällekkäisyyksiä tai vertikaalisia suhteita, jää alle kolme yli 5 prosentin markkinaosuuden omaavaa kilpailijaa.</w:t>
            </w:r>
            <w:r w:rsidR="0030274D">
              <w:rPr>
                <w:rFonts w:ascii="Times New Roman" w:hAnsi="Times New Roman"/>
                <w:noProof/>
                <w:sz w:val="20"/>
              </w:rPr>
              <w:t xml:space="preserve">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8F"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Sovellettavat markkinaosuuden kynnysarvot ylittyvät kapasiteetin suhteen jonkin mahdollisen markkinamäärittelyn osalta.</w:t>
            </w:r>
            <w:r>
              <w:rPr>
                <w:rStyle w:val="FootnoteReference"/>
                <w:rFonts w:ascii="Times New Roman" w:hAnsi="Times New Roman" w:cs="Times New Roman"/>
                <w:noProof/>
                <w:sz w:val="20"/>
              </w:rPr>
              <w:footnoteReference w:id="52"/>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93"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Osapuolet (tai jokin niistä) ovat tulleet päällekkäisille markkinoille vasta hiljattain (eli viimeisten kolmen vuoden aikana).</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97"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Osapuolet ovat tärkeitä innovaattoreita päällekkäisillä markkinoilla.</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Osapuolet ovat tuoneet kehitysputkestaan markkinoille tärkeän tuotteen viimeisten viiden vuoden aikana.</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9F"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A2"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Keskittymä johtaa päällekkäisyyksiin kehitysputkessa olevien tuotteiden välillä tai kehitysputkessa olevien tuotteiden ja markkinoitujen tuotteiden välillä.</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A6"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Jokin osapuolista kaavailee laajentavansa maantieteellisille ja/tai tuotemarkkinoille, joilla toinen osapuoli jo toimii tai jotka ovat vertikaalisessa suhteessa tuotteisiin, joiden markkinoilla toinen osapuoli toimii.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Tällaisten suunnitelmien kohteena olevien tuotteiden tai palvelujen kuvaus ja suunnitelmien aikataulu: </w:t>
            </w:r>
            <w:r>
              <w:rPr>
                <w:rFonts w:ascii="Times New Roman" w:hAnsi="Times New Roman"/>
                <w:b/>
                <w:i/>
                <w:noProof/>
                <w:sz w:val="20"/>
              </w:rPr>
              <w:t>[vapaa tekstikenttä]</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AC" w14:textId="77777777" w:rsidR="002138D6" w:rsidRPr="002138D6" w:rsidRDefault="00BE18F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Yli kaksitasoisissa tuotantoketjuissa osapuolten yksittäiset tai yhteenlasketut markkinaosuudet ovat vähintään 30 prosenttia jollakin arvoketjun tasoista (arvossa, volyymissä tai kapasiteetissa laskettuna).</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B0"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Yhteisyrityksen vuotuisen liikevaihdon odotetaan olevan huomattavasti yli 100 miljoonaa euroa ETA-alueella seuraavien kolmen vuoden aikana.</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Yhteisyrityksen vuotuisen liikevaihdon odotetaan olevan huomattavasti yli 150 miljoonaa euroa ETA-alueella seuraavien kolmen vuoden aikana.</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Jos yhteisyrityksen vuotuisen liikevaihdon odotetaan olevan yli 100 miljoonaa euroa ETA-alueella seuraavien kolmen vuoden aikana, ilmoittakaa seuraavien kolmen vuoden odotettu liikevaihto: </w:t>
            </w:r>
            <w:r>
              <w:rPr>
                <w:rFonts w:ascii="Times New Roman" w:hAnsi="Times New Roman"/>
                <w:b/>
                <w:i/>
                <w:noProof/>
                <w:sz w:val="20"/>
              </w:rPr>
              <w:t>[vapaa tekstikenttä]</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BE18F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BA" w14:textId="77777777" w:rsidR="002138D6" w:rsidRPr="002138D6" w:rsidRDefault="00BE18F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BE18FF"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Kyllä</w:t>
            </w:r>
          </w:p>
          <w:p w14:paraId="52DF45BE" w14:textId="77777777" w:rsidR="002138D6" w:rsidRPr="002138D6" w:rsidRDefault="00BE18FF"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Ei</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Jos johonkin edellä olevista kysymyksistä on vastattu ”Kyllä”, on esitettävä seikkaperäiset perustelut sille, miksi kyseinen asia olisi käsiteltävä yksinkertaistettua menettelyä koskevan tiedonannon mukaisesti: </w:t>
            </w:r>
            <w:r>
              <w:rPr>
                <w:rFonts w:ascii="Times New Roman" w:hAnsi="Times New Roman"/>
                <w:b/>
                <w:i/>
                <w:noProof/>
                <w:sz w:val="20"/>
              </w:rPr>
              <w:t>[vapaa tekstikenttä]</w:t>
            </w:r>
          </w:p>
        </w:tc>
      </w:tr>
    </w:tbl>
    <w:p w14:paraId="52DF45C3" w14:textId="77777777" w:rsidR="002138D6" w:rsidRPr="002138D6" w:rsidRDefault="002138D6" w:rsidP="002138D6">
      <w:pPr>
        <w:pStyle w:val="SectionTitle"/>
        <w:spacing w:before="360"/>
        <w:rPr>
          <w:noProof/>
        </w:rPr>
      </w:pPr>
      <w:r>
        <w:rPr>
          <w:noProof/>
        </w:rPr>
        <w:t>JAKSO 12</w:t>
      </w:r>
    </w:p>
    <w:p w14:paraId="52DF45C4" w14:textId="77777777" w:rsidR="002138D6" w:rsidRPr="002138D6" w:rsidRDefault="002138D6" w:rsidP="002138D6">
      <w:pPr>
        <w:pStyle w:val="SectionTitle"/>
        <w:rPr>
          <w:noProof/>
        </w:rPr>
      </w:pPr>
      <w:r>
        <w:rPr>
          <w:noProof/>
        </w:rPr>
        <w:t>Yhteisyrityksen yhteistoiminnalliset vaikutukset</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Jääkö kahdelle tai useammalle emoyhtiölle merkittävässä määrin toimintaa samoille markkinoille kuin millä yhteisyrityksen on määrä toimia tai yhteisyrityksen markkinoita edeltäville tai seuraaville markkinoille tai yhteisyrityksen markkinoihin läheisesti liittyville lähimarkkinoille?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Kyllä</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Ei</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Emoyhtiö</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Markkina</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Liikevaihto</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Markkinaosuus</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Yhteisyritys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Markkina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Liikevaihto</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Markkinaosuus</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Perustelut sille, miksi Euroopan unionin toiminnasta tehdyn sopimuksen 101 artiklan 1 ja 3 kohdan tai soveltuvin osin ETA-sopimuksen vastaavien määräysten sisältämät edellytykset täyttyvät tässä tapauksessa.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Tässä voitte täydentää vastaustanne lisätiedoilla, jotka haluatte toimittaa komissiolle. </w:t>
      </w:r>
    </w:p>
    <w:p w14:paraId="52DF45D7" w14:textId="77777777" w:rsidR="002138D6" w:rsidRPr="002138D6" w:rsidRDefault="002138D6" w:rsidP="002138D6">
      <w:pPr>
        <w:pStyle w:val="SectionTitle"/>
        <w:rPr>
          <w:noProof/>
        </w:rPr>
      </w:pPr>
      <w:r>
        <w:rPr>
          <w:noProof/>
        </w:rPr>
        <w:t>JAKSO 13</w:t>
      </w:r>
    </w:p>
    <w:p w14:paraId="52DF45D8" w14:textId="77777777" w:rsidR="002138D6" w:rsidRPr="002138D6" w:rsidRDefault="002138D6" w:rsidP="002138D6">
      <w:pPr>
        <w:pStyle w:val="SectionTitle"/>
        <w:rPr>
          <w:noProof/>
        </w:rPr>
      </w:pPr>
      <w:r>
        <w:rPr>
          <w:noProof/>
        </w:rPr>
        <w:t>Yhteystiedot</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Ilmoituksen tekijä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Ilmoituksen tekijä 2 (tarvittaessa)</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Nimi</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Nimi</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Osoite</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Osoite</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Puhelinnumero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Puhelinnumero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Sähköpostiosoite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Sähköpostiosoite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Verkkosivusto</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Verkkosivusto</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Kohde</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Puhelinnumero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Nimi</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Sähköpostiosoite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Osoite</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Verkkosivusto</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Ilmoituksen tekijän valtuutettu edustaja</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Ilmoituksen tekijän 2 valtuutettu edustaja</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Nimi</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Nimi</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Organisaatio</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Organisaatio</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Osoite</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Osoite</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Puhelinnumero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Puhelinnumero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Sähköpostiosoite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Sähköpostiosoite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JAKSO 14</w:t>
      </w:r>
    </w:p>
    <w:p w14:paraId="52DF4608" w14:textId="77777777" w:rsidR="002138D6" w:rsidRPr="002138D6" w:rsidRDefault="002138D6" w:rsidP="002138D6">
      <w:pPr>
        <w:pStyle w:val="SectionTitle"/>
        <w:rPr>
          <w:noProof/>
        </w:rPr>
      </w:pPr>
      <w:r>
        <w:rPr>
          <w:noProof/>
        </w:rPr>
        <w:t>Liitteet</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BE18FF"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Keskittymän aikaansaavat asiakirjat</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Määräysvallan muutoksiin johtavat määräykset:</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Täystoiminnallisuuteen johtavat määräykset: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BE18FF"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Alkuperäinen valtakirja (kaikilta ilmoituksen tekijöiltä)</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BE18FF"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Liikevaihtotiedot – jakautuminen ETA-alueella</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BE18FF"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Markkinaosuuksien laskentamenetelmä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BE18FF"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Vain tapauksissa, joissa keskittymä johtaa horisontaalisiin päällekkäisyyksiin ja/tai vertikaalisiin yhteyksiin ETA-alueella, toimitetaan seuraavat: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Jäljennökset kaikista esityksistä, jotka joku johtoelimen, hallituksen tai johtoryhmän jäsen yrityshallintorakenteen mukaan tai muu henkilö, joka hoitaa samankaltaisia tehtäviä (tai jonka tehtäväksi on uskottu tällaisten tehtävien hoitaminen), tai joku yhtiökokouksen jäsen on laatinut tai jotka on laadittu jonkun edellä mainitun henkilön pyynnöstä tai jotka joku edellä mainituista henkilöistä on saanut ilmoitetun keskittymän analysoimista varten.</w:t>
            </w:r>
          </w:p>
          <w:p w14:paraId="52DF4618" w14:textId="77777777" w:rsidR="002138D6" w:rsidRPr="0011056C"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Mahdollinen verkko-osoite, jossa on saatavilla kaikkien keskittymän osapuolten viimeisimmät vuosikertomukset ja vuositilinpäätökset, tai ellei tällaista verkko-osoitetta ole, jäljennökset keskittymän osapuolten viimeisimmistä vuosikertomuksista ja vuositilinpäätöksistä.</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BE18FF"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Muut liitteet</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Kuvaus:</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JAKSO 15</w:t>
      </w:r>
    </w:p>
    <w:p w14:paraId="52DF4620" w14:textId="77777777" w:rsidR="002138D6" w:rsidRPr="002138D6" w:rsidRDefault="002138D6" w:rsidP="002138D6">
      <w:pPr>
        <w:pStyle w:val="SectionTitle"/>
        <w:rPr>
          <w:noProof/>
        </w:rPr>
      </w:pPr>
      <w:r>
        <w:rPr>
          <w:noProof/>
        </w:rPr>
        <w:t>Muut ilmoitukset</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Onko keskittymä ilmoitusvelvollinen muilla lainkäyttöalueilla?</w:t>
      </w:r>
    </w:p>
    <w:p w14:paraId="52DF4623" w14:textId="77777777" w:rsidR="002138D6" w:rsidRPr="002138D6" w:rsidRDefault="00BE18FF"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Kyllä </w:t>
      </w:r>
    </w:p>
    <w:p w14:paraId="52DF4624" w14:textId="77777777" w:rsidR="002138D6" w:rsidRPr="002138D6" w:rsidRDefault="00BE18FF"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Ei</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Jos kyllä, kyseiset lainkäyttöalueet ovat:</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6084C4CB"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Ilmoittakaa, jos olette tehnyt tai aiotte tehdä sisämarkkinoita vääristävistä ulkomaisista tuista 14 päivänä joulukuuta 2022 annetun Euroopan parlamentin ja neuvoston asetuksen (EU) 2022/2560 (EUVL L 330, 23.12.2022, s. </w:t>
      </w:r>
      <w:r w:rsidR="00CA13A4">
        <w:rPr>
          <w:rFonts w:ascii="Times New Roman" w:hAnsi="Times New Roman"/>
          <w:b/>
          <w:noProof/>
        </w:rPr>
        <w:t>1</w:t>
      </w:r>
      <w:r>
        <w:rPr>
          <w:rFonts w:ascii="Times New Roman" w:hAnsi="Times New Roman"/>
          <w:b/>
          <w:noProof/>
        </w:rPr>
        <w:t xml:space="preserve">) 20 artiklan mukaisen ilmoituksen.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JAKSO 16</w:t>
      </w:r>
    </w:p>
    <w:p w14:paraId="52DF462A" w14:textId="77777777" w:rsidR="002138D6" w:rsidRPr="002138D6" w:rsidRDefault="002138D6" w:rsidP="002138D6">
      <w:pPr>
        <w:pStyle w:val="SectionTitle"/>
        <w:rPr>
          <w:noProof/>
        </w:rPr>
      </w:pPr>
      <w:r>
        <w:rPr>
          <w:noProof/>
        </w:rPr>
        <w:t>Vakuutus</w:t>
      </w:r>
    </w:p>
    <w:p w14:paraId="52DF462B" w14:textId="77777777" w:rsidR="002138D6" w:rsidRPr="002138D6" w:rsidRDefault="00BE18FF"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Ilmoituksen tekijät vakuuttavat, että tässä lomakkeessa olevat tiedot on heidän vilpittömän tietämyksensä mukaan annettu rehellisesti ja ne ovat todenmukaisia ja täydellisiä, että he ovat toimittaneet tarvittavien asiakirjojen todenmukaiset ja täydelliset jäljennökset, että kaikki arviot on ilmoitettu arvioiksi ja että ne ovat allekirjoittaneiden parhaita mahdollisia arvioita seikoista, joita ne koskevat, ja että kaikki näkemykset on esitetty vilpittömässä mielessä.</w:t>
      </w:r>
    </w:p>
    <w:p w14:paraId="52DF462C" w14:textId="77777777" w:rsidR="002138D6" w:rsidRPr="002138D6" w:rsidRDefault="00BE18FF"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Ilmoituksen tekijät ovat tietoisia sulautuma-asetuksen 14 artiklan 1 kohdan a alakohdasta.</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Digitaalisesti allekirjoitettujen lomakkeiden osalta seuraavat kentät ovat pelkästään tiedoksi. Niiden olisi vastattava vastaavien sähköisten allekirjoitusten metatietoja.</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Päivämäärä:</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[allekirjoittaja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Nimi:</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Organisaatio:</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Asema:</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Osoite:</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Puhelinnumero:</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Sähköposti:</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[’sähköisesti allekirjoitettu’ / allekirjoitus]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[mahdollinen allekirjoittaja 2]</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Nimi:</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Organisaatio:</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Asema:</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Osoite:</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Puhelinnumero:</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Sähköposti:</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[’sähköisesti allekirjoitettu’ / allekirjoitus]</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49A44" w14:textId="76548109" w:rsidR="0011056C" w:rsidRPr="00BE18FF" w:rsidRDefault="0011056C" w:rsidP="00BE18F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0B699EE5" w:rsidR="00D50649" w:rsidRPr="00AC7A35" w:rsidRDefault="00D50649" w:rsidP="00D50649">
    <w:pPr>
      <w:pStyle w:val="Footer"/>
      <w:rPr>
        <w:rFonts w:ascii="Arial" w:hAnsi="Arial" w:cs="Arial"/>
        <w:b/>
        <w:sz w:val="48"/>
      </w:rPr>
    </w:pPr>
    <w:r>
      <w:rPr>
        <w:rFonts w:ascii="Arial" w:hAnsi="Arial"/>
        <w:b/>
        <w:sz w:val="48"/>
      </w:rPr>
      <w:t>FI</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11056C">
      <w:rPr>
        <w:rFonts w:ascii="Times New Roman" w:hAnsi="Times New Roman" w:cs="Times New Roman"/>
        <w:noProof/>
      </w:rPr>
      <w:t>21</w:t>
    </w:r>
    <w:r>
      <w:rPr>
        <w:rFonts w:ascii="Times New Roman" w:hAnsi="Times New Roman" w:cs="Times New Roman"/>
      </w:rPr>
      <w:fldChar w:fldCharType="end"/>
    </w:r>
    <w:r w:rsidR="0011056C">
      <w:tab/>
    </w:r>
    <w:r>
      <w:rPr>
        <w:rFonts w:ascii="Arial" w:hAnsi="Arial"/>
        <w:b/>
        <w:sz w:val="48"/>
      </w:rPr>
      <w:t>FI</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72B107B8" w:rsidR="00D50649" w:rsidRPr="00AC7A35" w:rsidRDefault="00D50649" w:rsidP="00D50649">
    <w:pPr>
      <w:pStyle w:val="FooterLandscape"/>
      <w:rPr>
        <w:rFonts w:ascii="Arial" w:hAnsi="Arial" w:cs="Arial"/>
        <w:b/>
        <w:sz w:val="48"/>
      </w:rPr>
    </w:pPr>
    <w:r>
      <w:rPr>
        <w:rFonts w:ascii="Arial" w:hAnsi="Arial"/>
        <w:b/>
        <w:sz w:val="48"/>
      </w:rPr>
      <w:t>FI</w:t>
    </w:r>
    <w:r>
      <w:tab/>
    </w:r>
    <w:r>
      <w:fldChar w:fldCharType="begin"/>
    </w:r>
    <w:r>
      <w:instrText xml:space="preserve"> PAGE  \* MERGEFORMAT </w:instrText>
    </w:r>
    <w:r>
      <w:fldChar w:fldCharType="separate"/>
    </w:r>
    <w:r w:rsidR="0011056C">
      <w:rPr>
        <w:noProof/>
      </w:rPr>
      <w:t>22</w:t>
    </w:r>
    <w:r>
      <w:fldChar w:fldCharType="end"/>
    </w:r>
    <w:r>
      <w:tab/>
    </w:r>
    <w:r>
      <w:tab/>
    </w:r>
    <w:r>
      <w:rPr>
        <w:rFonts w:ascii="Arial" w:hAnsi="Arial"/>
        <w:b/>
        <w:sz w:val="48"/>
      </w:rPr>
      <w:t>FI</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34610EC9" w:rsidR="00D50649" w:rsidRPr="00AC7A35" w:rsidRDefault="00D50649" w:rsidP="00D50649">
    <w:pPr>
      <w:pStyle w:val="FooterLandscape"/>
      <w:rPr>
        <w:rFonts w:ascii="Arial" w:hAnsi="Arial" w:cs="Arial"/>
        <w:b/>
        <w:sz w:val="48"/>
      </w:rPr>
    </w:pPr>
    <w:r>
      <w:rPr>
        <w:rFonts w:ascii="Arial" w:hAnsi="Arial"/>
        <w:b/>
        <w:sz w:val="48"/>
      </w:rPr>
      <w:t>FI</w:t>
    </w:r>
    <w:r>
      <w:tab/>
    </w:r>
    <w:r>
      <w:fldChar w:fldCharType="begin"/>
    </w:r>
    <w:r>
      <w:instrText xml:space="preserve"> PAGE  \* MERGEFORMAT </w:instrText>
    </w:r>
    <w:r>
      <w:fldChar w:fldCharType="separate"/>
    </w:r>
    <w:r w:rsidR="0011056C">
      <w:rPr>
        <w:noProof/>
      </w:rPr>
      <w:t>23</w:t>
    </w:r>
    <w:r>
      <w:fldChar w:fldCharType="end"/>
    </w:r>
    <w:r>
      <w:tab/>
    </w:r>
    <w:r>
      <w:tab/>
    </w:r>
    <w:r>
      <w:rPr>
        <w:rFonts w:ascii="Arial" w:hAnsi="Arial"/>
        <w:b/>
        <w:sz w:val="48"/>
      </w:rPr>
      <w:t>FI</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D914" w14:textId="2431FC1C" w:rsidR="0011056C" w:rsidRPr="00BE18FF" w:rsidRDefault="00BE18FF" w:rsidP="00BE18FF">
    <w:pPr>
      <w:pStyle w:val="FooterCoverPage"/>
      <w:rPr>
        <w:rFonts w:ascii="Arial" w:hAnsi="Arial" w:cs="Arial"/>
        <w:b/>
        <w:sz w:val="48"/>
      </w:rPr>
    </w:pPr>
    <w:r w:rsidRPr="00BE18FF">
      <w:rPr>
        <w:rFonts w:ascii="Arial" w:hAnsi="Arial" w:cs="Arial"/>
        <w:b/>
        <w:sz w:val="48"/>
      </w:rPr>
      <w:t>FI</w:t>
    </w:r>
    <w:r w:rsidRPr="00BE18FF">
      <w:rPr>
        <w:rFonts w:ascii="Arial" w:hAnsi="Arial" w:cs="Arial"/>
        <w:b/>
        <w:sz w:val="48"/>
      </w:rPr>
      <w:tab/>
    </w:r>
    <w:r w:rsidRPr="00BE18FF">
      <w:rPr>
        <w:rFonts w:ascii="Arial" w:hAnsi="Arial" w:cs="Arial"/>
        <w:b/>
        <w:sz w:val="48"/>
      </w:rPr>
      <w:tab/>
    </w:r>
    <w:r w:rsidRPr="00BE18FF">
      <w:tab/>
    </w:r>
    <w:r w:rsidRPr="00BE18FF">
      <w:rPr>
        <w:rFonts w:ascii="Arial" w:hAnsi="Arial" w:cs="Arial"/>
        <w:b/>
        <w:sz w:val="48"/>
      </w:rPr>
      <w:t>FI</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56B26A74" w:rsidR="00D50649" w:rsidRPr="00AC7A35" w:rsidRDefault="00D50649" w:rsidP="00D50649">
    <w:pPr>
      <w:pStyle w:val="Footer"/>
      <w:rPr>
        <w:rFonts w:ascii="Arial" w:hAnsi="Arial" w:cs="Arial"/>
        <w:b/>
        <w:sz w:val="48"/>
      </w:rPr>
    </w:pPr>
    <w:r>
      <w:rPr>
        <w:rFonts w:ascii="Arial" w:hAnsi="Arial"/>
        <w:b/>
        <w:sz w:val="48"/>
      </w:rPr>
      <w:t>FI</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11056C">
      <w:rPr>
        <w:rFonts w:ascii="Times New Roman" w:hAnsi="Times New Roman" w:cs="Times New Roman"/>
        <w:noProof/>
        <w:sz w:val="24"/>
      </w:rPr>
      <w:t>24</w:t>
    </w:r>
    <w:r>
      <w:rPr>
        <w:rFonts w:ascii="Times New Roman" w:hAnsi="Times New Roman" w:cs="Times New Roman"/>
        <w:sz w:val="24"/>
      </w:rPr>
      <w:fldChar w:fldCharType="end"/>
    </w:r>
    <w:r w:rsidR="0011056C">
      <w:tab/>
    </w:r>
    <w:r>
      <w:rPr>
        <w:rFonts w:ascii="Arial" w:hAnsi="Arial"/>
        <w:b/>
        <w:sz w:val="48"/>
      </w:rPr>
      <w:t>FI</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335F5B45" w:rsidR="00D50649" w:rsidRPr="00AC7A35" w:rsidRDefault="00D50649" w:rsidP="00D50649">
    <w:pPr>
      <w:pStyle w:val="FooterLandscape"/>
      <w:rPr>
        <w:rFonts w:ascii="Arial" w:hAnsi="Arial" w:cs="Arial"/>
        <w:b/>
        <w:sz w:val="48"/>
      </w:rPr>
    </w:pPr>
    <w:r>
      <w:rPr>
        <w:rFonts w:ascii="Arial" w:hAnsi="Arial"/>
        <w:b/>
        <w:sz w:val="48"/>
      </w:rPr>
      <w:t>FI</w:t>
    </w:r>
    <w:r>
      <w:tab/>
    </w:r>
    <w:r>
      <w:fldChar w:fldCharType="begin"/>
    </w:r>
    <w:r>
      <w:instrText xml:space="preserve"> PAGE  \* MERGEFORMAT </w:instrText>
    </w:r>
    <w:r>
      <w:fldChar w:fldCharType="separate"/>
    </w:r>
    <w:r w:rsidR="0011056C">
      <w:rPr>
        <w:noProof/>
      </w:rPr>
      <w:t>27</w:t>
    </w:r>
    <w:r>
      <w:fldChar w:fldCharType="end"/>
    </w:r>
    <w:r>
      <w:tab/>
    </w:r>
    <w:r>
      <w:tab/>
    </w:r>
    <w:r>
      <w:rPr>
        <w:rFonts w:ascii="Arial" w:hAnsi="Arial"/>
        <w:b/>
        <w:sz w:val="48"/>
      </w:rPr>
      <w:t>FI</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59FC587C" w:rsidR="00D50649" w:rsidRPr="006F0827" w:rsidRDefault="00D50649" w:rsidP="00D50649">
    <w:pPr>
      <w:pStyle w:val="Footer"/>
      <w:rPr>
        <w:rFonts w:ascii="Arial" w:hAnsi="Arial" w:cs="Arial"/>
        <w:b/>
        <w:sz w:val="48"/>
      </w:rPr>
    </w:pPr>
    <w:r>
      <w:rPr>
        <w:rFonts w:ascii="Arial" w:hAnsi="Arial"/>
        <w:b/>
        <w:sz w:val="48"/>
      </w:rPr>
      <w:t>FI</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11056C">
      <w:rPr>
        <w:rFonts w:ascii="Times New Roman" w:hAnsi="Times New Roman" w:cs="Times New Roman"/>
        <w:noProof/>
        <w:sz w:val="24"/>
      </w:rPr>
      <w:t>32</w:t>
    </w:r>
    <w:r>
      <w:rPr>
        <w:rFonts w:ascii="Times New Roman" w:hAnsi="Times New Roman" w:cs="Times New Roman"/>
        <w:sz w:val="24"/>
      </w:rPr>
      <w:fldChar w:fldCharType="end"/>
    </w:r>
    <w:r>
      <w:tab/>
    </w:r>
    <w:r>
      <w:tab/>
    </w:r>
    <w:r>
      <w:rPr>
        <w:rFonts w:ascii="Arial" w:hAnsi="Arial"/>
        <w:b/>
        <w:sz w:val="48"/>
      </w:rPr>
      <w:t>FI</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377EA" w14:textId="77777777" w:rsidR="00BE18FF" w:rsidRPr="00BE18FF" w:rsidRDefault="00BE18FF" w:rsidP="00BE18F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50FDDCBB" w:rsidR="00D50649" w:rsidRPr="00AC7A35" w:rsidRDefault="00D50649" w:rsidP="00D50649">
    <w:pPr>
      <w:pStyle w:val="Footer"/>
      <w:rPr>
        <w:rFonts w:ascii="Arial" w:hAnsi="Arial" w:cs="Arial"/>
        <w:b/>
        <w:sz w:val="48"/>
      </w:rPr>
    </w:pPr>
    <w:r>
      <w:rPr>
        <w:rFonts w:ascii="Arial" w:hAnsi="Arial"/>
        <w:b/>
        <w:sz w:val="48"/>
      </w:rPr>
      <w:t>FI</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BE18FF">
      <w:rPr>
        <w:rFonts w:ascii="Times New Roman" w:hAnsi="Times New Roman" w:cs="Times New Roman"/>
        <w:noProof/>
        <w:sz w:val="24"/>
      </w:rPr>
      <w:t>1</w:t>
    </w:r>
    <w:r>
      <w:rPr>
        <w:rFonts w:ascii="Times New Roman" w:hAnsi="Times New Roman" w:cs="Times New Roman"/>
        <w:sz w:val="24"/>
      </w:rPr>
      <w:fldChar w:fldCharType="end"/>
    </w:r>
    <w:r w:rsidR="0011056C">
      <w:tab/>
    </w:r>
    <w:r>
      <w:rPr>
        <w:rFonts w:ascii="Arial" w:hAnsi="Arial"/>
        <w:b/>
        <w:sz w:val="48"/>
      </w:rPr>
      <w:t>FI</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7FDDFF6A" w:rsidR="00D50649" w:rsidRPr="00AC7A35" w:rsidRDefault="00D50649" w:rsidP="00D50649">
    <w:pPr>
      <w:pStyle w:val="FooterLandscape"/>
      <w:rPr>
        <w:rFonts w:ascii="Arial" w:hAnsi="Arial" w:cs="Arial"/>
        <w:b/>
        <w:sz w:val="48"/>
      </w:rPr>
    </w:pPr>
    <w:r>
      <w:rPr>
        <w:rFonts w:ascii="Arial" w:hAnsi="Arial"/>
        <w:b/>
        <w:sz w:val="48"/>
      </w:rPr>
      <w:t>FI</w:t>
    </w:r>
    <w:r>
      <w:tab/>
    </w:r>
    <w:r>
      <w:fldChar w:fldCharType="begin"/>
    </w:r>
    <w:r>
      <w:instrText xml:space="preserve"> PAGE  \* MERGEFORMAT </w:instrText>
    </w:r>
    <w:r>
      <w:fldChar w:fldCharType="separate"/>
    </w:r>
    <w:r w:rsidR="0011056C">
      <w:rPr>
        <w:noProof/>
      </w:rPr>
      <w:t>19</w:t>
    </w:r>
    <w:r>
      <w:fldChar w:fldCharType="end"/>
    </w:r>
    <w:r>
      <w:tab/>
    </w:r>
    <w:r>
      <w:tab/>
    </w:r>
    <w:r>
      <w:rPr>
        <w:rFonts w:ascii="Arial" w:hAnsi="Arial"/>
        <w:b/>
        <w:sz w:val="48"/>
      </w:rPr>
      <w:t>FI</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Neuvoston asetus (EY) N:o 139/2004, annettu 20 päivänä tammikuuta 2004, yrityskeskittymien valvonnasta (’sulautuma-asetus’) (EUVL L 24, 29.1.2004, s. 1)</w:t>
      </w:r>
      <w:r>
        <w:rPr>
          <w:rStyle w:val="Hyperlink"/>
          <w:color w:val="auto"/>
          <w:u w:val="none"/>
        </w:rPr>
        <w:t>,</w:t>
      </w:r>
      <w:hyperlink r:id="rId1" w:history="1">
        <w:r>
          <w:rPr>
            <w:rStyle w:val="Hyperlink"/>
          </w:rPr>
          <w:t xml:space="preserve"> EUR-Lex - 32004R0139 - FI - EUR-Lex (europa.eu)</w:t>
        </w:r>
      </w:hyperlink>
      <w:r>
        <w:t>.</w:t>
      </w:r>
    </w:p>
  </w:footnote>
  <w:footnote w:id="2">
    <w:p w14:paraId="52DF467E" w14:textId="77777777" w:rsidR="00D50649" w:rsidRPr="0011056C" w:rsidRDefault="00D50649" w:rsidP="002138D6">
      <w:pPr>
        <w:pStyle w:val="FootnoteText"/>
        <w:tabs>
          <w:tab w:val="left" w:pos="709"/>
        </w:tabs>
        <w:ind w:left="426" w:hanging="426"/>
        <w:rPr>
          <w:lang w:val="fr-FR"/>
        </w:rPr>
      </w:pPr>
      <w:r>
        <w:rPr>
          <w:rStyle w:val="FootnoteReference"/>
        </w:rPr>
        <w:footnoteRef/>
      </w:r>
      <w:r w:rsidRPr="0011056C">
        <w:rPr>
          <w:lang w:val="fr-FR"/>
        </w:rPr>
        <w:tab/>
        <w:t>EUVL L, [X], [X].[X].[X], s.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Komission tiedonanto tiettyjen keskittymien yksinkertaistetusta käsittelystä neuvoston asetuksen (ETY) N:o 139/2004 nojalla, jäljempänä ’yksinkertaistettua menettelyä koskeva tiedonanto’ (EUVL С [X], [X].[X].[X], p. [X]).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’Olemassa olevalla liikevaihdolla’ tarkoitetaan yhteisyrityksen liikevaihtoa ilmoituksen tekoajankohtana. Yhteisyrityksen liikevaihto voidaan laskea emoyhtiöiden tai itse yhteisyrityksen viimeisimmistä tarkistetuista tilinpäätöksistä sen mukaan, onko yhteisyritykseen yhdistetystä omaisuudesta saatavilla erilliset tilit.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Yksinkertaistettua menettelyä koskevan tiedonannon 5 kappaleessa oleva a kohta.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Yksinkertaistettua menettelyä koskevan tiedonannon 5 kappaleessa oleva b kohta.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Yksinkertaistettua menettelyä koskevan tiedonannon 5 kappaleessa oleva c kohta.</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Yksinkertaistettua menettelyä koskevan tiedonannon 5 kappaleessa oleva d kohta.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Yksinkertaistettua menettelyä koskevan tiedonannon 5 kappaleessa oleva e kohta.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Yksinkertaistettua menettelyä koskevan tiedonannon 8 kappale.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Yksinkertaistettua menettelyä koskevan tiedonannon 9 kappale. </w:t>
      </w:r>
    </w:p>
  </w:footnote>
  <w:footnote w:id="12">
    <w:p w14:paraId="52DF4688" w14:textId="77777777" w:rsidR="00D50649" w:rsidRPr="00D25448" w:rsidRDefault="00D50649" w:rsidP="002138D6">
      <w:pPr>
        <w:pStyle w:val="FootnoteText"/>
        <w:ind w:left="426" w:hanging="426"/>
      </w:pPr>
      <w:r>
        <w:rPr>
          <w:rStyle w:val="FootnoteReference"/>
        </w:rPr>
        <w:footnoteRef/>
      </w:r>
      <w:r>
        <w:tab/>
        <w:t>Yksinkertaistettua menettelyä koskevan tiedonannon 9 kappale.</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Käsittelijäryhmän nimeämispyyntölomake löytyy osoitteesta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Erityisesti yksinkertaistetusta menettelystä annetun tiedonannon 5 kappaleessa olevan a ja c kohdan piiriin kuuluvat liiketoimet (ks. yksinkertaistettua menettelyä koskevan tiedonannon 27 kappale).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rsidRPr="0011056C">
        <w:rPr>
          <w:lang w:val="fr-FR"/>
        </w:rPr>
        <w:tab/>
        <w:t xml:space="preserve">EUVL L 295, 21.11.2018, s. 39, </w:t>
      </w:r>
      <w:hyperlink r:id="rId3" w:history="1">
        <w:r w:rsidRPr="0011056C">
          <w:rPr>
            <w:rStyle w:val="Hyperlink"/>
            <w:lang w:val="fr-FR"/>
          </w:rPr>
          <w:t>https://eur-lex.europa.eu/legal-content/FI/TXT/?uri=celex%3A32018R1725</w:t>
        </w:r>
      </w:hyperlink>
      <w:r>
        <w:fldChar w:fldCharType="begin"/>
      </w:r>
      <w:r w:rsidRPr="0011056C">
        <w:rPr>
          <w:lang w:val="fr-FR"/>
        </w:rPr>
        <w:instrText>https://eur-lex.europa.eu/legal-content/EN/TXT/?uri=celex%3A32018R1725</w:instrText>
      </w:r>
      <w:r>
        <w:fldChar w:fldCharType="separate"/>
      </w:r>
      <w:r w:rsidRPr="0011056C">
        <w:rPr>
          <w:rStyle w:val="Hyperlink"/>
          <w:lang w:val="fr-FR"/>
        </w:rPr>
        <w:t>EUR-Lex - 32018R1725 - EN - EUR-Lex (europa.eu)</w:t>
      </w:r>
      <w:r>
        <w:rPr>
          <w:rStyle w:val="Hyperlink"/>
        </w:rPr>
        <w:fldChar w:fldCharType="end"/>
      </w:r>
      <w:r w:rsidRPr="0011056C">
        <w:rPr>
          <w:lang w:val="fr-FR"/>
        </w:rPr>
        <w:t xml:space="preserve">. </w:t>
      </w:r>
      <w:r>
        <w:t xml:space="preserve">Ks. myös yrityskeskittymien tutkintaan liittyvä tietosuojalauseke osoitteessa </w:t>
      </w:r>
      <w:hyperlink r:id="rId4" w:history="1">
        <w:r>
          <w:rPr>
            <w:rStyle w:val="Hyperlink2"/>
          </w:rPr>
          <w:t>https://ec.europa.eu/competition-policy/index/privacy-policy-competition-investigations_en.</w:t>
        </w:r>
      </w:hyperlink>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Ks. valtakirjan malli osoitteessa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11056C" w:rsidRDefault="00D50649" w:rsidP="002138D6">
      <w:pPr>
        <w:pStyle w:val="FootnoteText1"/>
        <w:tabs>
          <w:tab w:val="left" w:pos="709"/>
        </w:tabs>
        <w:ind w:left="426" w:hanging="426"/>
        <w:rPr>
          <w:lang w:val="en-GB"/>
        </w:rPr>
      </w:pPr>
      <w:r>
        <w:rPr>
          <w:rStyle w:val="FootnoteReference"/>
        </w:rPr>
        <w:footnoteRef/>
      </w:r>
      <w:r w:rsidRPr="0011056C">
        <w:rPr>
          <w:lang w:val="en-GB"/>
        </w:rPr>
        <w:tab/>
        <w:t xml:space="preserve">Ks. </w:t>
      </w:r>
      <w:hyperlink r:id="rId6" w:history="1">
        <w:r w:rsidRPr="0011056C">
          <w:rPr>
            <w:rStyle w:val="Hyperlink2"/>
            <w:lang w:val="en-GB"/>
          </w:rPr>
          <w:t>https://ec.europa.eu/competition-policy/mergers/practical-information_en</w:t>
        </w:r>
      </w:hyperlink>
      <w:r w:rsidRPr="0011056C">
        <w:rPr>
          <w:rStyle w:val="Hyperlink2"/>
          <w:lang w:val="en-GB"/>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Sulautumasta on kyse kun vähintään kaksi riippumatonta yritystä sulautuu yhteen uudeksi yritykseksi ja lakkaa olemasta erillisinä oikeudellisina yksiköinä. Ks. komission konsolidoitu tiedonanto toimivaltakysymyksistä, annettu yrityskeskittymien valvonnasta annetun neuvoston asetuksen (EY) N:o 139/2004 mukaisesti (’toimivaltatiedonanto’) (EUVL C 95, 16.4.2008, s. 1), 9 ja 10 kappale, joissa annetaan lisätietoa ja ohjeistusta toimivaltanäkökohdista, </w:t>
      </w:r>
      <w:hyperlink r:id="rId7" w:history="1">
        <w:r>
          <w:rPr>
            <w:rStyle w:val="Hyperlink"/>
          </w:rPr>
          <w:t>https://eur-lex.europa.eu/legal-content/FI/TXT/?uri=CELEX%3A52008XC0416%2808%29</w:t>
        </w:r>
      </w:hyperlink>
      <w:r>
        <w:t>.</w:t>
      </w:r>
    </w:p>
  </w:footnote>
  <w:footnote w:id="19">
    <w:p w14:paraId="52DF468F" w14:textId="7701859D" w:rsidR="00D50649" w:rsidRPr="00846FBB" w:rsidRDefault="00D50649" w:rsidP="002138D6">
      <w:pPr>
        <w:pStyle w:val="FootnoteText1"/>
        <w:tabs>
          <w:tab w:val="left" w:pos="709"/>
        </w:tabs>
        <w:ind w:left="426" w:hanging="426"/>
        <w:contextualSpacing/>
      </w:pPr>
      <w:r>
        <w:rPr>
          <w:rStyle w:val="FootnoteReference"/>
        </w:rPr>
        <w:footnoteRef/>
      </w:r>
      <w:r>
        <w:tab/>
        <w:t>Tässä skenaariossa viitataan yhteisen määräysvallan hankintoihin kohdeyrityksissä, jotka eivät aiemmin olleet minkään yhteistä määräysvaltaa hankkivan osapuolen määräysvallassa (eli määräysvalta yrityksessä hankitaan kolmannelta osapuolelta, joka ei liity hankkijoihin).</w:t>
      </w:r>
      <w:r w:rsidR="0030274D">
        <w:t xml:space="preserve"> </w:t>
      </w:r>
      <w:r>
        <w:t xml:space="preserve">Ks. erityisesti toimivaltatiedonannon 91 kappale.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Tämä luokka viittaa täysin uuden yhteisyrityksen luomiseen niin, että emoyhtiöt eivät siirrä yhteisyritykseen olemassa olevia taloudellisia toimintoja (eli tytäryhtiötä tai markkinaliiketoimintaa) tai siirtävät siihen vain omaisuuseriä, jotka eivät itsessään ole liiketoimintaa.</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Näihin tapauksiin kuuluvat muun muassa i) uuden täystoiminnallisen yhteisyrityksen luominen, kun yksi tai useampi emoyhtiö siirtää siihen olemassa olevan liiketoiminnan tai taloudellisen toiminnon ja ii) yhteisyrityksessä määräysvaltaa omaavien osakkaiden lisääminen tai korvaaminen. Ks. erityisesti toimivaltatiedonannon 92 kappale.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Osallistuvien yritysten määritelmä, ks. toimivaltatiedonannon 129–153 kappale.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NP (</w:t>
      </w:r>
      <w:r>
        <w:rPr>
          <w:i/>
        </w:rPr>
        <w:t>Notifying Party</w:t>
      </w:r>
      <w:r>
        <w:t>, ilmoituksen tekijä) tai Muu.</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Hankkija (</w:t>
      </w:r>
      <w:r>
        <w:rPr>
          <w:i/>
        </w:rPr>
        <w:t>Acquirer</w:t>
      </w:r>
      <w:r>
        <w:t>), kun kyse yksinomaisen tai yhteisen määräysvallan hankkimisesta (jos hankkijoita on useampia, A1, A2 jne.).</w:t>
      </w:r>
    </w:p>
    <w:p w14:paraId="52DF4695" w14:textId="77777777" w:rsidR="00D50649" w:rsidRPr="00A53FE4" w:rsidRDefault="00D50649" w:rsidP="002138D6">
      <w:pPr>
        <w:pStyle w:val="FootnoteText1"/>
        <w:tabs>
          <w:tab w:val="left" w:pos="709"/>
        </w:tabs>
        <w:ind w:left="426" w:hanging="426"/>
        <w:contextualSpacing/>
      </w:pPr>
      <w:r>
        <w:tab/>
        <w:t>T = Kohde (</w:t>
      </w:r>
      <w:r>
        <w:rPr>
          <w:i/>
        </w:rPr>
        <w:t>Target</w:t>
      </w:r>
      <w:r>
        <w:t>), kun kyse yksinomaisen määräysvallan hankkimisesta (jos kohteita on useampia, T1, T2 jne.).</w:t>
      </w:r>
    </w:p>
    <w:p w14:paraId="52DF4696" w14:textId="77777777" w:rsidR="00D50649" w:rsidRPr="00A53FE4" w:rsidRDefault="00D50649" w:rsidP="002138D6">
      <w:pPr>
        <w:pStyle w:val="FootnoteText1"/>
        <w:tabs>
          <w:tab w:val="left" w:pos="709"/>
        </w:tabs>
        <w:ind w:left="426" w:hanging="426"/>
        <w:contextualSpacing/>
      </w:pPr>
      <w:r>
        <w:tab/>
        <w:t>JV = Yhteisyritys (</w:t>
      </w:r>
      <w:r>
        <w:rPr>
          <w:i/>
        </w:rPr>
        <w:t>Joint Venture</w:t>
      </w:r>
      <w:r>
        <w:t>), kun kyse yhteisen määräysvallan hankkimisesta (jos yhteisyrityksiä on useampia, JV1, JV2 jne.).</w:t>
      </w:r>
    </w:p>
    <w:p w14:paraId="52DF4697" w14:textId="77777777" w:rsidR="00D50649" w:rsidRDefault="00D50649" w:rsidP="002138D6">
      <w:pPr>
        <w:pStyle w:val="FootnoteText1"/>
        <w:tabs>
          <w:tab w:val="left" w:pos="709"/>
        </w:tabs>
        <w:ind w:left="426" w:hanging="426"/>
        <w:contextualSpacing/>
      </w:pPr>
      <w:r>
        <w:tab/>
        <w:t>MP = Sulautuva osapuoli (</w:t>
      </w:r>
      <w:r>
        <w:rPr>
          <w:i/>
        </w:rPr>
        <w:t>Merging Party</w:t>
      </w:r>
      <w:r>
        <w:t>), kun kyse sulautumasta (jos osapuolia on useampia, MP1, MP2 jne.).</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Liikevaihto on ilmoitettava euroina kyseisinä vuosina tai kyseisinä muina ajanjaksoina vallinneiden vaihtokurssien keskiarvon mukaan.</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Jos tilikausi ei ole sama kuin kalenterivuosi, ilmoitetaan tilikauden päättyminen päivämäärämuodossa (pp.kk.vvvv).</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EFTA-valtioita ovat Islanti, Liechtenstein ja Norja.</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Tässä ilmoitetaan vain niiden tuotteiden NACE-koodit, jotka johtavat horisontaalisiin päällekkäisyyksiin ja/tai ei-horisontaalisiin suhteisiin. Jos horisontaalisia päällekkäisyyksiä tai ei-horisontaalisia suhteita ei ole, ilmoitetaan kohteen päätuotteiden NACE-koodit.</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Euroopan parlamentin ja neuvoston asetus (EY) N:o 1893/2006, annettu 20 päivänä joulukuuta 2006, tilastollisen toimialaluokituksen NACE Rev. 2 vahvistamisesta sekä neuvoston asetuksen (ETY) N:o 3037/90 ja tiettyjen eri tilastoaloja koskevien yhteisön asetusten muuttamisesta (EUVL L 393, 30.12.2006, s. 1), </w:t>
      </w:r>
      <w:hyperlink r:id="rId8" w:history="1">
        <w:r>
          <w:rPr>
            <w:rStyle w:val="Hyperlink"/>
          </w:rPr>
          <w:t>EUR-Lex - 32006R1893 - FI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Ks. toimivaltatiedonanto.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Päätöksentekoelin, joka tekee toimivaltatiedonannon 3.1 ja 3.2 kohdassa kuvatut luonteeltaan strategiset päätökset.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Huomioon olisi otettava kaikki ilmoitusajankohtana suunnitteilla olevat omaisuuserien siirrot yhteisyritykselle riippumatta ajankohdasta, jolloin nämä omaisuuserät tullaan todellisuudessa siirtämään yhteisyritykselle.</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Ilmaisulla ’ja/tai’ viitataan mahdollisten tilanteiden moninaisuuteen. Näitä ovat muun muassa seuraavat:</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jos kyse on kohdeyrityksen yhteishankinnasta, huomioon otettava liikevaihto on kohdeyrityksen (eli yhteisyrityksen) liikevaihto; </w:t>
      </w:r>
    </w:p>
    <w:p w14:paraId="52DF46A2" w14:textId="77777777" w:rsidR="00D50649" w:rsidRPr="00A53FE4" w:rsidRDefault="00D50649" w:rsidP="002138D6">
      <w:pPr>
        <w:pStyle w:val="FootnoteText1"/>
        <w:numPr>
          <w:ilvl w:val="0"/>
          <w:numId w:val="31"/>
        </w:numPr>
        <w:tabs>
          <w:tab w:val="left" w:pos="709"/>
        </w:tabs>
        <w:ind w:left="426" w:hanging="426"/>
        <w:contextualSpacing/>
      </w:pPr>
      <w:r>
        <w:t>jos perustetaan yhteisyritys, jolle emoyhtiöt siirtävät toimintaansa, huomioon otettava liikevaihto on siirrettyjen toimintojen liikevaihto;</w:t>
      </w:r>
    </w:p>
    <w:p w14:paraId="52DF46A3" w14:textId="77777777" w:rsidR="00D50649" w:rsidRPr="0053665C" w:rsidRDefault="00D50649" w:rsidP="002138D6">
      <w:pPr>
        <w:pStyle w:val="FootnoteText1"/>
        <w:numPr>
          <w:ilvl w:val="0"/>
          <w:numId w:val="31"/>
        </w:numPr>
        <w:tabs>
          <w:tab w:val="left" w:pos="709"/>
        </w:tabs>
        <w:ind w:left="426" w:hanging="426"/>
        <w:contextualSpacing/>
      </w:pPr>
      <w:r>
        <w:t>jos olemassa olevaan yhteisyritykseen tulee uusi määräysvaltaa käyttävä osapuoli, on otettava huomioon yhteisyrityksen liikevaihto ja uuden emoyhtiön (mahdollisesti) siirtämien toimintojen liikevaihto.</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Huomioon olisi otettava kaikki ilmoitusajankohtana suunnitteilla olevat omaisuuserien siirrot yhteisyritykselle riippumatta ajankohdasta, jolloin nämä omaisuuserät tullaan todellisuudessa siirtämään yhteisyritykselle.</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Molemmat kaksi ruutua on rastitettava, jotta kyseessä on tämä luokka.</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Horisontaalisten päällekkäisyyksien ja vertikaalisten suhteiden kynnysarvoja sovelletaan kaikkiin mahdollisiin vaihtoehtoisiin tuote- ja maantieteellisten markkinoiden määritelmiin, joita yksittäisessä tapauksessa voidaan joutua ottamaan huomioon. Ilmoituksessa esitettyjen markkinamääritelmien on oltava riittävän tarkat sen toteamiseksi, että kynnysarvoja ei ylitetä, ja kaikki mahdolliset vaihtoehtoiset markkinamääritelmät, joita voidaan joutua ottamaan huomioon, on esitettävä (kansallisia markkinoita pienemmät maantieteelliset markkinat mukaan luettuina).</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HHI-indeksi määritetään laskemalla yhteen kaikkien kyseisillä markkinoilla toimivien yritysten markkinaosuuksien neliöt: ks. komission suuntaviivat horisontaalisten sulautumien arvioinnista yrityskeskittymien valvonnasta annetun neuvoston asetuksen nojalla (EUVL C 31, 5.2.2004, s. 5), 16 kappale, </w:t>
      </w:r>
      <w:hyperlink r:id="rId9" w:history="1">
        <w:r>
          <w:rPr>
            <w:rStyle w:val="Hyperlink"/>
          </w:rPr>
          <w:t>https://eur-lex.europa.eu/legal-content/FI/ALL/?uri=celex%3A52004XC0205%2802%29</w:t>
        </w:r>
      </w:hyperlink>
      <w:r>
        <w:t>. Keskittymästä aiheutuvan HHI:n muutoksen (</w:t>
      </w:r>
      <w:r>
        <w:rPr>
          <w:i/>
        </w:rPr>
        <w:t>deltan</w:t>
      </w:r>
      <w:r>
        <w:t>) laskemiseksi riittää kuitenkin, että keskittymän osapuolten markkinaosuuksien summan neliöstä (toisin sanoen sulautuman tuloksena syntyvän yrityksen markkinaosuuden neliöstä keskittymän jälkeen) vähennetään osapuolten erillisten markkinaosuuksien neliöiden summa (koska kaikkien muiden markkinoilla toimivien kilpailijoiden markkinaosuudet säilyvät ennallaan eivätkä näin ollen vaikuta yhtälön tulokseen).</w:t>
      </w:r>
    </w:p>
  </w:footnote>
  <w:footnote w:id="38">
    <w:p w14:paraId="52DF46A8" w14:textId="2D7F9137" w:rsidR="00D50649" w:rsidRPr="008B4CA8" w:rsidRDefault="00D50649" w:rsidP="002138D6">
      <w:pPr>
        <w:pStyle w:val="FootnoteText1"/>
        <w:tabs>
          <w:tab w:val="left" w:pos="709"/>
        </w:tabs>
        <w:ind w:left="426" w:hanging="426"/>
        <w:contextualSpacing/>
      </w:pPr>
      <w:r>
        <w:rPr>
          <w:rStyle w:val="FootnoteReference"/>
        </w:rPr>
        <w:footnoteRef/>
      </w:r>
      <w:r>
        <w:tab/>
        <w:t xml:space="preserve"> Tällä luokalla pyritään kattamaan jo olemassa olevan vertikaalisen integraation pienet lisäykset. Esimerkki: Sekä edeltävillä että seuraavilla markkinoilla 45 prosentin markkinaosuudella toimiva yritys A hankkii yrityksen B, joka toimii samoilla edeltävillä ja seuraavilla markkinoilla 0,5 prosentin markkinaosuudella.</w:t>
      </w:r>
      <w:r w:rsidR="0030274D">
        <w:t xml:space="preserve"> </w:t>
      </w:r>
      <w:r>
        <w:t>Tämä luokka ei kata tilanteita, joissa pääosa vertikaalisesta integraatiosta on tulosta kyseisestä liiketoimesta, vaikka yhteenlasketut markkinaosuudet olisivatkin alle 50 prosenttia ja HHI-indeksin muutos alle 150. Tämä luokka ei kata esimerkiksi seuraavaa tilannetta: Edeltävillä markkinoilla 45 prosentin markkinaosuudella ja seuraavilla markkinoilla 0,5 prosentin markkinaosuudella toimiva yritys A hankkii yrityksen B, joka toimii edeltävillä markkinoilla 0,5 prosentin markkinaosuudella ja seuraavilla markkinoilla 45 prosentin markkinaosuudella.</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Ks. alaviite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Ks. alaviite </w:t>
      </w:r>
      <w:r>
        <w:fldChar w:fldCharType="begin"/>
      </w:r>
      <w:r>
        <w:instrText xml:space="preserve"> NOTEREF _Ref101281515 \h </w:instrText>
      </w:r>
      <w:r>
        <w:fldChar w:fldCharType="separate"/>
      </w:r>
      <w:r>
        <w:t>32</w:t>
      </w:r>
      <w:r>
        <w:fldChar w:fldCharType="end"/>
      </w:r>
      <w:r>
        <w:t>.</w:t>
      </w:r>
    </w:p>
  </w:footnote>
  <w:footnote w:id="41">
    <w:p w14:paraId="52DF46AB" w14:textId="3BF95AA4" w:rsidR="00D50649" w:rsidRPr="002F1A8F" w:rsidRDefault="00D50649" w:rsidP="002138D6">
      <w:pPr>
        <w:pStyle w:val="FootnoteText"/>
        <w:ind w:left="426" w:hanging="426"/>
      </w:pPr>
      <w:r>
        <w:rPr>
          <w:rStyle w:val="FootnoteReference"/>
        </w:rPr>
        <w:footnoteRef/>
      </w:r>
      <w:r>
        <w:t xml:space="preserve"> </w:t>
      </w:r>
      <w:r>
        <w:tab/>
        <w:t>Kehitysputkessa olevat tuotteet ovat tuotteita, jotka todennäköisesti tuodaan markkinoille lyhyellä tai keskipitkällä aikavälillä.</w:t>
      </w:r>
      <w:r w:rsidR="0030274D">
        <w:t xml:space="preserve"> </w:t>
      </w:r>
      <w:r>
        <w:t xml:space="preserve">’Kehitysputkessa olevilla tuotteilla’ viitataan myös palveluihin.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Kun on kyse kehitysputkessa oleviin tuotteisiin liittyvistä horisontaalisista päällekkäisyyksistä, olisi ilmoitettava mahdollisilla merkityksellisillä markkinoilla kilpailevien markkinoitujen tuotteiden markkinaosuudet.</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Tässä olisi ilmoitettava markkinoituja tuotteita tarjoavien osapuolten ja/tai kilpailijoiden markkinaosuudet. </w:t>
      </w:r>
      <w:r>
        <w:rPr>
          <w:sz w:val="18"/>
        </w:rPr>
        <w:t>Jos</w:t>
      </w:r>
      <w:r>
        <w:t xml:space="preserve"> markkinoituja tuotteita ei ole, </w:t>
      </w:r>
      <w:r>
        <w:rPr>
          <w:sz w:val="18"/>
        </w:rPr>
        <w:t>olisi</w:t>
      </w:r>
      <w:r>
        <w:t xml:space="preserve"> mainittava vähintään kolme kilpailevia tuotteita kehittävää kilpailijaa.</w:t>
      </w:r>
    </w:p>
  </w:footnote>
  <w:footnote w:id="44">
    <w:p w14:paraId="52DF46AE" w14:textId="5AC0F62C" w:rsidR="00D50649" w:rsidRDefault="00D50649" w:rsidP="002138D6">
      <w:pPr>
        <w:pStyle w:val="FootnoteText1"/>
        <w:tabs>
          <w:tab w:val="left" w:pos="709"/>
        </w:tabs>
        <w:ind w:left="426" w:hanging="426"/>
      </w:pPr>
      <w:r>
        <w:rPr>
          <w:rStyle w:val="FootnoteReference"/>
        </w:rPr>
        <w:footnoteRef/>
      </w:r>
      <w:r>
        <w:tab/>
        <w:t>Pois lukien vertikaaliset suhteet, jotka kuuluvat yksinkertaistettua menettelyä koskevan tiedonannon 5 kappaleessa olevan d kohdan ii alakohdan bb alakohdan piiriin</w:t>
      </w:r>
      <w:r>
        <w:rPr>
          <w:sz w:val="18"/>
        </w:rPr>
        <w:t>.</w:t>
      </w:r>
      <w:r w:rsidR="0030274D">
        <w:t xml:space="preserve"> </w:t>
      </w:r>
      <w:r>
        <w:t>Tällaisten vertikaalisten suhteiden osalta olisi täytettävä jakso 10.</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Esimerkiksi jos tarjontaketjun edeltävien markkinoiden U (</w:t>
      </w:r>
      <w:r>
        <w:rPr>
          <w:i/>
        </w:rPr>
        <w:t>Upstream</w:t>
      </w:r>
      <w:r>
        <w:t>) ja seuraavien markkinoiden D (</w:t>
      </w:r>
      <w:r>
        <w:rPr>
          <w:i/>
        </w:rPr>
        <w:t>Downstream</w:t>
      </w:r>
      <w:r>
        <w:t>) vertikaalisen suhteen osalta on tarkasteltu mahdollisia edeltävien markkinoiden määrittelyjä U1 ja U2, olisi esitettävä kaksi taulukkoa: i) tiedot U1:stä ja D:stä sekä ii) tiedot U2:sta ja D:stä.</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Tässä olisi ilmoitettava markkinoituja tuotteita tarjoavien osapuolten ja/tai kilpailijoiden markkinaosuudet. </w:t>
      </w:r>
      <w:r>
        <w:rPr>
          <w:sz w:val="18"/>
        </w:rPr>
        <w:t>Jos</w:t>
      </w:r>
      <w:r>
        <w:t xml:space="preserve"> markkinoituja tuotteita ei ole, </w:t>
      </w:r>
      <w:r>
        <w:rPr>
          <w:sz w:val="18"/>
        </w:rPr>
        <w:t>olisi</w:t>
      </w:r>
      <w:r>
        <w:t xml:space="preserve"> mainittava vähintään kolme kilpailevia tuotteita kehittävää kilpailijaa.</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Tässä olisi ilmoitettava markkinoituja tuotteita tarjoavien osapuolten ja/tai kilpailijoiden markkinaosuudet. </w:t>
      </w:r>
      <w:r>
        <w:rPr>
          <w:sz w:val="18"/>
        </w:rPr>
        <w:t>Jos</w:t>
      </w:r>
      <w:r>
        <w:t xml:space="preserve"> markkinoituja tuotteita ei ole, </w:t>
      </w:r>
      <w:r>
        <w:rPr>
          <w:sz w:val="18"/>
        </w:rPr>
        <w:t>olisi</w:t>
      </w:r>
      <w:r>
        <w:t xml:space="preserve"> mainittava vähintään kolme kilpailevia tuotteita kehittävää kilpailijaa.</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Esimerkiksi jos tarjontaketjun edeltävien markkinoiden U (</w:t>
      </w:r>
      <w:r>
        <w:rPr>
          <w:i/>
        </w:rPr>
        <w:t>Upstream</w:t>
      </w:r>
      <w:r>
        <w:t>) ja seuraavien markkinoiden D (</w:t>
      </w:r>
      <w:r>
        <w:rPr>
          <w:i/>
        </w:rPr>
        <w:t>Downstream</w:t>
      </w:r>
      <w:r>
        <w:t>) vertikaalisen suhteen osalta on tarkasteltu mahdollisia edeltävien markkinoiden määrittelyjä U1 ja U2, olisi esitettävä kaksi taulukkoa: i) tiedot U1:stä ja D:stä sekä ii) tiedot U2:sta ja D:stä.</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Tässä olisi ilmoitettava markkinoituja tuotteita tarjoavien osapuolten ja/tai kilpailijoiden markkinaosuudet. </w:t>
      </w:r>
      <w:r>
        <w:rPr>
          <w:sz w:val="18"/>
        </w:rPr>
        <w:t>Jos</w:t>
      </w:r>
      <w:r>
        <w:t xml:space="preserve"> markkinoituja tuotteita ei ole, </w:t>
      </w:r>
      <w:r>
        <w:rPr>
          <w:sz w:val="18"/>
        </w:rPr>
        <w:t>olisi</w:t>
      </w:r>
      <w:r>
        <w:t xml:space="preserve"> mainittava vähintään kolme kilpailevia tuotteita kehittävää kilpailijaa.</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Tässä olisi ilmoitettava markkinoituja tuotteita tarjoavien osapuolten ja/tai kilpailijoiden markkinaosuudet. </w:t>
      </w:r>
      <w:r>
        <w:rPr>
          <w:sz w:val="18"/>
        </w:rPr>
        <w:t>Jos</w:t>
      </w:r>
      <w:r>
        <w:t xml:space="preserve"> markkinoituja tuotteita ei ole, </w:t>
      </w:r>
      <w:r>
        <w:rPr>
          <w:sz w:val="18"/>
        </w:rPr>
        <w:t>olisi</w:t>
      </w:r>
      <w:r>
        <w:t xml:space="preserve"> mainittava vähintään kolme kilpailevia tuotteita kehittävää kilpailijaa.</w:t>
      </w:r>
    </w:p>
  </w:footnote>
  <w:footnote w:id="51">
    <w:p w14:paraId="52DF46B5" w14:textId="296F178E" w:rsidR="00D50649" w:rsidRDefault="00D50649" w:rsidP="002138D6">
      <w:pPr>
        <w:pStyle w:val="FootnoteText1"/>
        <w:tabs>
          <w:tab w:val="left" w:pos="709"/>
        </w:tabs>
        <w:ind w:left="426" w:hanging="426"/>
        <w:contextualSpacing/>
      </w:pPr>
      <w:r>
        <w:rPr>
          <w:rStyle w:val="FootnoteReference"/>
        </w:rPr>
        <w:footnoteRef/>
      </w:r>
      <w:r>
        <w:tab/>
        <w:t>Kaikki markkinat, jotka kuuluvat niihin yksinkertaistettua menettelyä koskevan tiedonannon luokkiin, joihin ei sovelleta mitään menettelyllisiä takeita tai poissulkemisia (eli vastaus kaikkiin kysymyksiin jaksossa 11 on ”Ei”) kuvataan kaikki samassa taulukossa.</w:t>
      </w:r>
      <w:r w:rsidR="0030274D">
        <w:t xml:space="preserve"> </w:t>
      </w:r>
      <w:r>
        <w:t>Jokaisesta sellaisesta johonkin yksinkertaistettua menettelyä koskevan tiedonannon luokkaan kuuluvasta markkinasta, jonka osalta vastaus ainakin yhteen kysymykseen on ”Kyllä”, olisi täytettävä erillinen taulukko.</w:t>
      </w:r>
      <w:r w:rsidR="0030274D">
        <w:t xml:space="preserve">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Jos tämä mittari on merkityksellinen niiden markkinoiden kannalta, joilla keskittymä aiheuttaa horisontaalisen päällekkäisyyden tai vertikaalisen suhteen osapuolten toimintojen välillä.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9A631" w14:textId="77777777" w:rsidR="00BE18FF" w:rsidRPr="00BE18FF" w:rsidRDefault="00BE18FF" w:rsidP="00BE18F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6355E" w14:textId="77777777" w:rsidR="00BE18FF" w:rsidRPr="00BE18FF" w:rsidRDefault="00BE18FF" w:rsidP="00BE18FF">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69768" w14:textId="77777777" w:rsidR="00BE18FF" w:rsidRPr="00BE18FF" w:rsidRDefault="00BE18FF" w:rsidP="00BE18F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asiakirjaan"/>
    <w:docVar w:name="LW_ANNEX_NBR_FIRST" w:val="2"/>
    <w:docVar w:name="LW_ANNEX_NBR_LAST" w:val="2"/>
    <w:docVar w:name="LW_ANNEX_UNIQUE" w:val="0"/>
    <w:docVar w:name="LW_CORRIGENDUM" w:val="&lt;UNUSED&gt;"/>
    <w:docVar w:name="LW_COVERPAGE_EXISTS" w:val="True"/>
    <w:docVar w:name="LW_COVERPAGE_GUID" w:val="B24AE7F2-D9BD-4738-AB4B-14D11EE3895F"/>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yssel "/>
    <w:docVar w:name="LW_EMISSION_SUFFIX" w:val=" "/>
    <w:docVar w:name="LW_ID_DOCTYPE_NONLW" w:val="CP-038"/>
    <w:docVar w:name="LW_LANGUE" w:val="FI"/>
    <w:docVar w:name="LW_LEVEL_OF_SENSITIVITY" w:val="Standard treatment"/>
    <w:docVar w:name="LW_NOM.INST" w:val="EUROOPAN KOMISSIO"/>
    <w:docVar w:name="LW_NOM.INST_JOINTDOC" w:val="&lt;EMPTY&gt;"/>
    <w:docVar w:name="LW_OBJETACTEPRINCIPAL.CP" w:val="yrityskeskittymien valvonnasta annetun neuvoston asetuksen (EY) N:o 139/2004 täytäntöönpanosta ja komission asetuksen (EY) N:o 802/2004 kumoamisesta&lt;FMT:Font=Calibri&gt; _x000d__x000d__x000d__x000d__x000d__x000d__x000d__x000d__x000d__x000d__x000d__x000d__x000d__x000d__x000d__x000d__x000d__x000d_&lt;/FMT&gt;_x000b_&lt;FMT:Font=Calibri&gt;_x000d__x000d__x000d__x000d__x000d__x000d__x000d__x000d__x000d__x000d__x000d__x000d__x000d__x000d__x000d__x000d__x000d__x000d_&lt;/FMT&gt;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ITE_x000b_"/>
    <w:docVar w:name="LW_TYPEACTEPRINCIPAL.CP" w:val="KOMISSION TÄYTÄNTÖÖNPANOASETUS (EU) …/…"/>
    <w:docVar w:name="LwApiVersions" w:val="LW4CoDe 1.23.2.0; LW 8.0, Build 20211117"/>
  </w:docVars>
  <w:rsids>
    <w:rsidRoot w:val="00B624FB"/>
    <w:rsid w:val="00012B44"/>
    <w:rsid w:val="00053E5D"/>
    <w:rsid w:val="0011056C"/>
    <w:rsid w:val="001144CA"/>
    <w:rsid w:val="00154223"/>
    <w:rsid w:val="001752D7"/>
    <w:rsid w:val="001E5616"/>
    <w:rsid w:val="001E798B"/>
    <w:rsid w:val="002138D6"/>
    <w:rsid w:val="00223609"/>
    <w:rsid w:val="00224A6E"/>
    <w:rsid w:val="00253DDA"/>
    <w:rsid w:val="002A52BA"/>
    <w:rsid w:val="002C5E9B"/>
    <w:rsid w:val="002D05BE"/>
    <w:rsid w:val="002E59A6"/>
    <w:rsid w:val="0030274D"/>
    <w:rsid w:val="003162DE"/>
    <w:rsid w:val="00327664"/>
    <w:rsid w:val="0044235D"/>
    <w:rsid w:val="00467210"/>
    <w:rsid w:val="004C22AD"/>
    <w:rsid w:val="004E11D1"/>
    <w:rsid w:val="004E62A4"/>
    <w:rsid w:val="004F414A"/>
    <w:rsid w:val="004F76FA"/>
    <w:rsid w:val="005201C6"/>
    <w:rsid w:val="005914C5"/>
    <w:rsid w:val="005E41FF"/>
    <w:rsid w:val="00621764"/>
    <w:rsid w:val="00670C03"/>
    <w:rsid w:val="0067146A"/>
    <w:rsid w:val="00673BCE"/>
    <w:rsid w:val="00676E7F"/>
    <w:rsid w:val="0069209D"/>
    <w:rsid w:val="00737470"/>
    <w:rsid w:val="00763CC4"/>
    <w:rsid w:val="00795743"/>
    <w:rsid w:val="007A5876"/>
    <w:rsid w:val="008429E1"/>
    <w:rsid w:val="00912A35"/>
    <w:rsid w:val="00962001"/>
    <w:rsid w:val="00A3455E"/>
    <w:rsid w:val="00A42683"/>
    <w:rsid w:val="00A44AC7"/>
    <w:rsid w:val="00A600DD"/>
    <w:rsid w:val="00AC213E"/>
    <w:rsid w:val="00B04A43"/>
    <w:rsid w:val="00B3445C"/>
    <w:rsid w:val="00B624FB"/>
    <w:rsid w:val="00B77EE0"/>
    <w:rsid w:val="00BA380B"/>
    <w:rsid w:val="00BE18FF"/>
    <w:rsid w:val="00CA13A4"/>
    <w:rsid w:val="00CD6008"/>
    <w:rsid w:val="00CE54AE"/>
    <w:rsid w:val="00D04FC7"/>
    <w:rsid w:val="00D244FB"/>
    <w:rsid w:val="00D273A1"/>
    <w:rsid w:val="00D30CAE"/>
    <w:rsid w:val="00D50649"/>
    <w:rsid w:val="00D6025E"/>
    <w:rsid w:val="00DB7B01"/>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fi-FI"/>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fi-FI"/>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fi-FI"/>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fi-FI"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fi-FI"/>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I/ALL/?uri=celex%3A32006R1893" TargetMode="External"/><Relationship Id="rId3" Type="http://schemas.openxmlformats.org/officeDocument/2006/relationships/hyperlink" Target="https://eur-lex.europa.eu/legal-content/FI/TXT/?uri=celex%3A32018R1725" TargetMode="External"/><Relationship Id="rId7" Type="http://schemas.openxmlformats.org/officeDocument/2006/relationships/hyperlink" Target="https://eur-lex.europa.eu/legal-content/FI/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FI/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FI/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E4753A3-8DA6-4085-8712-7A1338427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8360</Words>
  <Characters>47654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33</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