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54599513" w:rsidR="00B624FB" w:rsidRDefault="005830DE" w:rsidP="005830DE">
      <w:pPr>
        <w:pStyle w:val="Pagedecouverture"/>
        <w:rPr>
          <w:noProof/>
        </w:rPr>
      </w:pPr>
      <w:bookmarkStart w:id="0" w:name="LW_BM_COVERPAGE"/>
      <w:r>
        <w:rPr>
          <w:noProof/>
        </w:rPr>
        <w:pict w14:anchorId="6AFA6B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C11DB611-744D-4AFA-9378-4407391E6736" style="width:455.25pt;height:438.75pt">
            <v:imagedata r:id="rId11" o:title=""/>
          </v:shape>
        </w:pict>
      </w:r>
    </w:p>
    <w:bookmarkEnd w:id="0"/>
    <w:p w14:paraId="52DF4018" w14:textId="77777777" w:rsidR="00B624FB" w:rsidRDefault="00B624FB" w:rsidP="00B624FB">
      <w:pPr>
        <w:rPr>
          <w:noProof/>
        </w:rPr>
        <w:sectPr w:rsidR="00B624FB" w:rsidSect="005830DE">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II PIELIKUMS </w:t>
      </w:r>
      <w:r>
        <w:rPr>
          <w:noProof/>
        </w:rPr>
        <w:br/>
        <w:t xml:space="preserve">SAĪSINĀTĀ CO VEIDNE KONCENTRĀCIJAS DARĪJUMA PAZIŅOŠANAI SASKAŅĀ AR REGULU (EK) Nr. 139/2004 </w:t>
      </w:r>
    </w:p>
    <w:p w14:paraId="52DF401A" w14:textId="77777777" w:rsidR="00B624FB" w:rsidRPr="00997D31" w:rsidRDefault="00CE54AE" w:rsidP="00B624FB">
      <w:pPr>
        <w:pStyle w:val="Annexetitre"/>
        <w:rPr>
          <w:noProof/>
        </w:rPr>
      </w:pPr>
      <w:r>
        <w:rPr>
          <w:noProof/>
        </w:rPr>
        <w:t xml:space="preserve">(SAĪSINĀTĀ CO VEIDNE)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Ievads</w:t>
      </w:r>
    </w:p>
    <w:p w14:paraId="52DF401C" w14:textId="77777777" w:rsidR="002138D6" w:rsidRPr="002138D6" w:rsidRDefault="002138D6" w:rsidP="002138D6">
      <w:pPr>
        <w:pStyle w:val="Point0number"/>
        <w:rPr>
          <w:noProof/>
        </w:rPr>
      </w:pPr>
      <w:r>
        <w:rPr>
          <w:noProof/>
        </w:rPr>
        <w:t xml:space="preserve">Saīsinātajā CO veidnē ir noteikta informācija, kura paziņotājām pusēm ir jānodrošina, iesniedzot Eiropas Komisijai paziņojumu par noteiktiem iecerētajiem koncentrācijas darījumiem, kurus var izskatīt vienkāršotajā procedūrā. </w:t>
      </w:r>
    </w:p>
    <w:p w14:paraId="52DF401D" w14:textId="209C88DB" w:rsidR="002138D6" w:rsidRPr="002138D6" w:rsidRDefault="002138D6" w:rsidP="002138D6">
      <w:pPr>
        <w:pStyle w:val="Point0number"/>
        <w:numPr>
          <w:ilvl w:val="0"/>
          <w:numId w:val="5"/>
        </w:numPr>
        <w:rPr>
          <w:noProof/>
        </w:rPr>
      </w:pPr>
      <w:r>
        <w:rPr>
          <w:noProof/>
        </w:rPr>
        <w:t>Saīsinātās CO veidnes aizpildīšanas kontekstā vēršam uzmanību uz Padomes 2004. gada 20. janvāra Regulu (EK) Nr. 139/2004 par kontroli pār uzņēmumu koncentrāciju</w:t>
      </w:r>
      <w:r>
        <w:rPr>
          <w:rStyle w:val="FootnoteReference"/>
          <w:rFonts w:eastAsia="Calibri"/>
          <w:noProof/>
          <w:szCs w:val="24"/>
        </w:rPr>
        <w:footnoteReference w:id="1"/>
      </w:r>
      <w:r>
        <w:rPr>
          <w:noProof/>
        </w:rPr>
        <w:t xml:space="preserve"> (“Apvienošanās regula”) un Komisijas 2023. gada [X] Īstenošanas regulu (ES) [X]/2023, ar ko īsteno Padomes Regulu (EK) Nr. 139/2004 par kontroli pār uzņēmumu koncentrāciju</w:t>
      </w:r>
      <w:r>
        <w:rPr>
          <w:rStyle w:val="FootnoteReference"/>
          <w:noProof/>
          <w:szCs w:val="24"/>
        </w:rPr>
        <w:footnoteReference w:id="2"/>
      </w:r>
      <w:r>
        <w:rPr>
          <w:noProof/>
        </w:rPr>
        <w:t xml:space="preserve"> (“Īstenošanas regula”), kuras pielikumā iekļauta šī saīsinātā CO veidne. Tāpat vēršam uzmanību arī uz Komisijas paziņojumu par noteiktu koncentrācijas darījumu vienkāršotu izskatīšanu</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Vispārīgā gadījumā saīsināto CO veidni koncentrācijas darījuma paziņošanai var izmantot, ja ir izpildīts kāds no šiem nosacījumiem: </w:t>
      </w:r>
    </w:p>
    <w:p w14:paraId="52DF401F" w14:textId="77777777" w:rsidR="002138D6" w:rsidRPr="002138D6" w:rsidRDefault="002138D6" w:rsidP="002138D6">
      <w:pPr>
        <w:pStyle w:val="Point1letter"/>
        <w:numPr>
          <w:ilvl w:val="3"/>
          <w:numId w:val="5"/>
        </w:numPr>
        <w:rPr>
          <w:noProof/>
        </w:rPr>
      </w:pPr>
      <w:r>
        <w:rPr>
          <w:noProof/>
        </w:rPr>
        <w:t>divi vai vairāki uzņēmumi iegūst kopīgu kontroli pār kopuzņēmumu ar nosacījumu, ka attiecīgais kopuzņēmums negūst apgrozījumu (“pašreizējais apgrozījums”)</w:t>
      </w:r>
      <w:bookmarkStart w:id="8" w:name="_Ref86827794"/>
      <w:r>
        <w:rPr>
          <w:rStyle w:val="FootnoteReference"/>
          <w:noProof/>
        </w:rPr>
        <w:footnoteReference w:id="4"/>
      </w:r>
      <w:bookmarkEnd w:id="8"/>
      <w:r>
        <w:rPr>
          <w:noProof/>
        </w:rPr>
        <w:t xml:space="preserve"> Eiropas Ekonomikas zonā (EEZ), un attiecīgie uzņēmumi paziņojuma iesniegšanas brīdī nav plānojuši kopuzņēmumam nodot aktīvus EEZ teritorijā</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divi vai vairāki uzņēmumi iegūst kopīgu kontroli pār kopuzņēmumu ar nosacījumu, ka kopuzņēmums tikai nebūtiskā apjomā darbojas EEZ. Šajā scenārijā ietilpst koncentrācijas darījumi, kas atbilst visiem šiem nosacījumiem</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kopuzņēmuma pašreizējais gada apgrozījums un/vai nododamo darbību apgrozījums, kā arī paredzamais gada apgrozījums EEZ teritorijā ir mazāks par 100 miljoniem EUR;</w:t>
      </w:r>
    </w:p>
    <w:p w14:paraId="52DF4022" w14:textId="77777777" w:rsidR="002138D6" w:rsidRPr="002138D6" w:rsidRDefault="002138D6" w:rsidP="002138D6">
      <w:pPr>
        <w:pStyle w:val="Point2"/>
        <w:rPr>
          <w:noProof/>
        </w:rPr>
      </w:pPr>
      <w:r>
        <w:rPr>
          <w:noProof/>
        </w:rPr>
        <w:t>ii)</w:t>
      </w:r>
      <w:r>
        <w:rPr>
          <w:noProof/>
        </w:rPr>
        <w:tab/>
        <w:t>kopuzņēmumam paziņošanas brīdī EEZ teritorijā ir plānots nodot aktīvus, kuru kopējā vērtība ir mazāka par 100 miljoniem EUR;</w:t>
      </w:r>
    </w:p>
    <w:p w14:paraId="52DF4023" w14:textId="77777777" w:rsidR="002138D6" w:rsidRPr="002138D6" w:rsidRDefault="002138D6" w:rsidP="002138D6">
      <w:pPr>
        <w:pStyle w:val="Point1letter"/>
        <w:numPr>
          <w:ilvl w:val="3"/>
          <w:numId w:val="5"/>
        </w:numPr>
        <w:rPr>
          <w:noProof/>
        </w:rPr>
      </w:pPr>
      <w:r>
        <w:rPr>
          <w:noProof/>
        </w:rPr>
        <w:t>divi vai vairāki uzņēmumi apvienojas vai viens vai vairāki uzņēmumi iegūst attiecīgi vienpersonisku vai kopīgu kontroli pār citu uzņēmumu ar nosacījumu, ka neviena no koncentrācijas darījuma pusēm neveic uzņēmējdarbību tajā pašā produktu un ģeogrāfiskajā tirgū vai konkrētajā augšupējā vai lejupējā produktu tirgū attiecībā pret produktu tirgu, kurā darbojas jebkura cita koncentrācijas darījuma puse</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divi vai vairāki uzņēmumi apvienojas vai viens vai vairāki uzņēmumi iegūst attiecīgi vienpersonisku vai kopīgu kontroli pār citu uzņēmumu un attiecībā uz visām iespējamajām tirgus definīcijām ir izpildīti visi šie nosacījumi</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visu koncentrācijas darījuma pušu, kuras veic uzņēmējdarbību vienā un tajā pašā produktu un ģeogrāfiskajā tirgū (horizontālā pārklāšanās), kopējā tirgus daļa atbilst vismaz vienam no šiem nosacījumiem:</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tā ir mazāka par 20 %; </w:t>
      </w:r>
    </w:p>
    <w:p w14:paraId="52DF4027" w14:textId="77777777" w:rsidR="002138D6" w:rsidRPr="002138D6" w:rsidRDefault="002138D6" w:rsidP="002138D6">
      <w:pPr>
        <w:pStyle w:val="Text1"/>
        <w:ind w:left="2552" w:hanging="567"/>
        <w:rPr>
          <w:noProof/>
          <w:szCs w:val="24"/>
        </w:rPr>
      </w:pPr>
      <w:r>
        <w:rPr>
          <w:noProof/>
        </w:rPr>
        <w:t>bb)</w:t>
      </w:r>
      <w:r>
        <w:rPr>
          <w:noProof/>
        </w:rPr>
        <w:tab/>
        <w:t xml:space="preserve">tā ir mazāka par 50 % un </w:t>
      </w:r>
      <w:r>
        <w:rPr>
          <w:i/>
          <w:noProof/>
        </w:rPr>
        <w:t>Herfindahl-Hirschman</w:t>
      </w:r>
      <w:r>
        <w:rPr>
          <w:noProof/>
        </w:rPr>
        <w:t xml:space="preserve"> indeksa (“</w:t>
      </w:r>
      <w:r>
        <w:rPr>
          <w:i/>
          <w:noProof/>
        </w:rPr>
        <w:t>HHI</w:t>
      </w:r>
      <w:r>
        <w:rPr>
          <w:noProof/>
        </w:rPr>
        <w:t>”) izmaiņu rādītājs (“delta”), kas izriet no koncentrācijas darījuma, šajā tirgū ir mazāks par 150;</w:t>
      </w:r>
    </w:p>
    <w:p w14:paraId="52DF4028" w14:textId="77777777" w:rsidR="002138D6" w:rsidRPr="002138D6" w:rsidRDefault="002138D6" w:rsidP="002138D6">
      <w:pPr>
        <w:pStyle w:val="Point1"/>
        <w:ind w:left="1985"/>
        <w:rPr>
          <w:noProof/>
        </w:rPr>
      </w:pPr>
      <w:r>
        <w:rPr>
          <w:noProof/>
        </w:rPr>
        <w:t>ii)</w:t>
      </w:r>
      <w:r>
        <w:rPr>
          <w:noProof/>
        </w:rPr>
        <w:tab/>
        <w:t>visām koncentrācijas darījuma pusēm, kuras veic uzņēmējdarbību augšupējā vai lejupējā produktu tirgū attiecībā pret produktu tirgu, kurā darbojas jebkura cita koncentrācijas darījuma puse (vertikālās attiecības), atsevišķā un/vai kopējā tirgus daļa atbilst vismaz vienam no šiem nosacījumiem:</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tā ir mazāka par 30 % gan augšupējos, gan lejupējos tirgos;</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tā ir mazāka par 30 % augšupējā tirgū un koncentrācijas darījuma pusēm, kuras darbojas lejupējā tirgū, tirgus daļa attiecībā uz augšupējo resursu iegādi ir mazāka par 30 %;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 xml:space="preserve">tā ir mazāka par 50 % gan augšupējos, gan lejupējos tirgos un </w:t>
      </w:r>
      <w:r>
        <w:rPr>
          <w:i/>
          <w:noProof/>
        </w:rPr>
        <w:t>Herfindahl-Hirschman</w:t>
      </w:r>
      <w:r>
        <w:rPr>
          <w:noProof/>
        </w:rPr>
        <w:t xml:space="preserve"> indeksa (“</w:t>
      </w:r>
      <w:r>
        <w:rPr>
          <w:i/>
          <w:noProof/>
        </w:rPr>
        <w:t>HHI</w:t>
      </w:r>
      <w:r>
        <w:rPr>
          <w:noProof/>
        </w:rPr>
        <w:t>”) izmaiņu rādītājs (“delta”), kas izriet no koncentrācijas darījuma, gan augšupējos, gan lejupējos tirgos ir mazāks par 150, un tirgus daļas ziņā mazākais uzņēmums ir tas pats gan augšupējos, gan lejupējos tirgos;</w:t>
      </w:r>
    </w:p>
    <w:p w14:paraId="52DF402C" w14:textId="77777777" w:rsidR="002138D6" w:rsidRPr="002138D6" w:rsidRDefault="002138D6" w:rsidP="002138D6">
      <w:pPr>
        <w:pStyle w:val="Point1letter"/>
        <w:numPr>
          <w:ilvl w:val="3"/>
          <w:numId w:val="5"/>
        </w:numPr>
        <w:rPr>
          <w:noProof/>
        </w:rPr>
      </w:pPr>
      <w:r>
        <w:rPr>
          <w:noProof/>
        </w:rPr>
        <w:t>puse plāno iegūt vienpersonisku kontroli pār uzņēmumu, pār kuru tai jau ir kopīga kontrole</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Turklāt Komisija pēc paziņotāju pušu pieprasījuma var vienkāršotajā procedūrā uz saīsinātās CO veidnes pamata izskatīt tādus koncentrācijas darījumus, kuros divi vai vairāki uzņēmumi apvienojas vai viens vai vairāki uzņēmumi iegūst attiecīgi vienpersonisku vai kopīgu kontroli pār citu uzņēmumu, ar nosacījumu, ka attiecībā uz visām iespējamajām tirgus definīcijām ir izpildīti abi šie nosacījumi</w:t>
      </w:r>
      <w:r>
        <w:rPr>
          <w:rStyle w:val="FootnoteReference"/>
          <w:noProof/>
        </w:rPr>
        <w:footnoteReference w:id="10"/>
      </w:r>
      <w:r>
        <w:rPr>
          <w:noProof/>
        </w:rPr>
        <w:t>:</w:t>
      </w:r>
      <w:bookmarkEnd w:id="9"/>
      <w:bookmarkEnd w:id="10"/>
    </w:p>
    <w:p w14:paraId="52DF402E" w14:textId="77777777" w:rsidR="002138D6" w:rsidRPr="002138D6" w:rsidRDefault="002138D6" w:rsidP="002138D6">
      <w:pPr>
        <w:pStyle w:val="Point1letter"/>
        <w:numPr>
          <w:ilvl w:val="3"/>
          <w:numId w:val="5"/>
        </w:numPr>
        <w:rPr>
          <w:noProof/>
        </w:rPr>
      </w:pPr>
      <w:r>
        <w:rPr>
          <w:noProof/>
        </w:rPr>
        <w:t xml:space="preserve">visām koncentrācijas darījuma pusēm, kuru darbībām ir horizontālā pārklāšanās, kopējā tirgus daļa ir mazāka par 25 %; </w:t>
      </w:r>
    </w:p>
    <w:p w14:paraId="52DF402F" w14:textId="77777777" w:rsidR="002138D6" w:rsidRPr="002138D6" w:rsidRDefault="002138D6" w:rsidP="002138D6">
      <w:pPr>
        <w:pStyle w:val="Point1letter"/>
        <w:numPr>
          <w:ilvl w:val="3"/>
          <w:numId w:val="5"/>
        </w:numPr>
        <w:rPr>
          <w:noProof/>
        </w:rPr>
      </w:pPr>
      <w:r>
        <w:rPr>
          <w:noProof/>
        </w:rPr>
        <w:t xml:space="preserve">visu vertikālās attiecībās esošo koncentrācijas darījuma pušu atsevišķā un kopējā tirgus daļa atbilst vismaz vienam no šiem nosacījumiem: </w:t>
      </w:r>
    </w:p>
    <w:p w14:paraId="52DF4030" w14:textId="77777777" w:rsidR="002138D6" w:rsidRPr="002138D6" w:rsidRDefault="002138D6" w:rsidP="002138D6">
      <w:pPr>
        <w:pStyle w:val="Point2"/>
        <w:rPr>
          <w:noProof/>
        </w:rPr>
      </w:pPr>
      <w:r>
        <w:rPr>
          <w:noProof/>
        </w:rPr>
        <w:t>i)</w:t>
      </w:r>
      <w:r>
        <w:rPr>
          <w:noProof/>
        </w:rPr>
        <w:tab/>
        <w:t xml:space="preserve">tā ir mazāka par 35 % gan augšupējos, gan lejupējos tirgos; </w:t>
      </w:r>
    </w:p>
    <w:p w14:paraId="52DF4031" w14:textId="77777777" w:rsidR="002138D6" w:rsidRPr="002138D6" w:rsidRDefault="002138D6" w:rsidP="002138D6">
      <w:pPr>
        <w:pStyle w:val="Point2"/>
        <w:rPr>
          <w:noProof/>
        </w:rPr>
      </w:pPr>
      <w:r>
        <w:rPr>
          <w:noProof/>
        </w:rPr>
        <w:t>ii)</w:t>
      </w:r>
      <w:r>
        <w:rPr>
          <w:noProof/>
        </w:rPr>
        <w:tab/>
        <w:t xml:space="preserve">tā ir mazāka par 50 % vienā tirgū, bet visos pārējos vertikālo attiecību tirgos visu koncentrācijas darījuma pušu atsevišķās un kopējās tirgus daļas ir mazākas par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Turklāt Komisija pēc paziņotāju pušu pieprasījuma var vienkāršotajā procedūrā uz saīsinātās CO veidnes pamata izskatīt tādus koncentrācijas darījumus, kuros divi vai vairāki uzņēmumi iegūst kopīgu kontroli pār kopuzņēmumu, ar nosacījumu, ka</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kopuzņēmuma pašreizējais gada apgrozījums un/vai nododamo darbību apgrozījums EEZ teritorijā ir mazāks par 150 miljoniem EUR; un</w:t>
      </w:r>
    </w:p>
    <w:p w14:paraId="52DF4034" w14:textId="77777777" w:rsidR="002138D6" w:rsidRPr="002138D6" w:rsidRDefault="002138D6" w:rsidP="002138D6">
      <w:pPr>
        <w:pStyle w:val="Point1letter"/>
        <w:numPr>
          <w:ilvl w:val="3"/>
          <w:numId w:val="5"/>
        </w:numPr>
        <w:rPr>
          <w:noProof/>
        </w:rPr>
      </w:pPr>
      <w:r>
        <w:rPr>
          <w:noProof/>
        </w:rPr>
        <w:t>kopuzņēmumam paziņošanas brīdī EEZ teritorijā ir plānots nodot aktīvus, kuru kopējā vērtība ir mazāka par 150 miljoniem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Komisija tomēr var pieprasīt izmantot pilno CO veidni, ja atklājas, ka nav izpildīti saīsinātās CO veidnes izmantošanas nosacījumi, vai – izņēmuma gadījumā – ja tie ir izpildīti, taču Komisija tomēr uzskata, ka pienācīgai iespējamo konkurences problēmu izvērtēšanai ir vajadzīgs atbilstoši CO veidnei iesniegts paziņojums.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Kā aizpildīt un iesniegt saīsināto CO veidni </w:t>
      </w:r>
    </w:p>
    <w:p w14:paraId="52DF4037" w14:textId="77777777" w:rsidR="002138D6" w:rsidRPr="002138D6" w:rsidRDefault="002138D6" w:rsidP="002138D6">
      <w:pPr>
        <w:pStyle w:val="Point0number"/>
        <w:numPr>
          <w:ilvl w:val="0"/>
          <w:numId w:val="5"/>
        </w:numPr>
        <w:rPr>
          <w:noProof/>
        </w:rPr>
      </w:pPr>
      <w:r>
        <w:rPr>
          <w:noProof/>
        </w:rPr>
        <w:t xml:space="preserve">Ja plānota apvienošanās Apvienošanās regulas 3. panta 1. punkta a) apakšpunkta nozīmē vai kopīgas kontroles iegūšana Apvienošanās regulas 3. panta 1. punkta b) apakšpunkta nozīmē, saīsinātā CO veidne kopīgi jāaizpilda pusēm, kas apvienojas vai iegūst kopīgu kontroli. Ja plānota vienpersoniskas kontroles iegūšana Apvienošanās regulas 3. panta 1. punkta b) apakšpunkta nozīmē, saīsinātā CO veidne jāaizpilda kontroles ieguvējam. Ja plānots publisks uzņēmuma pārņemšanas piedāvājums, saīsinātā CO veidne jāaizpilda piedāvājuma veicējam. </w:t>
      </w:r>
    </w:p>
    <w:p w14:paraId="52DF4038" w14:textId="77777777" w:rsidR="002138D6" w:rsidRPr="002138D6" w:rsidRDefault="002138D6" w:rsidP="002138D6">
      <w:pPr>
        <w:pStyle w:val="Point0number"/>
        <w:numPr>
          <w:ilvl w:val="0"/>
          <w:numId w:val="5"/>
        </w:numPr>
        <w:rPr>
          <w:noProof/>
        </w:rPr>
      </w:pPr>
      <w:r>
        <w:rPr>
          <w:noProof/>
        </w:rPr>
        <w:t>Tas, kuras saīsinātās CO veidnes iedaļas jāaizpilda, ir atkarīgs no konkrētā koncentrācijas darījuma iezīmēm un iemesliem, kuru dēļ koncentrācijas darījumu var izskatīt vienkāršotajā procedūrā</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visos gadījumos jāaizpilda 1., 2., 3., 4., 5., 6., 7., 13., 14., 15. un 16 . iedaļa;</w:t>
      </w:r>
    </w:p>
    <w:p w14:paraId="52DF403A" w14:textId="77777777" w:rsidR="002138D6" w:rsidRPr="002138D6" w:rsidRDefault="002138D6" w:rsidP="002138D6">
      <w:pPr>
        <w:pStyle w:val="Point1letter"/>
        <w:numPr>
          <w:ilvl w:val="3"/>
          <w:numId w:val="5"/>
        </w:numPr>
        <w:rPr>
          <w:noProof/>
        </w:rPr>
      </w:pPr>
      <w:r>
        <w:rPr>
          <w:noProof/>
        </w:rPr>
        <w:t>8. iedaļa jāaizpilda, ja koncentrācijas darījuma rezultātā starp pušu darbībām rastos horizontālās pārklāšanās;</w:t>
      </w:r>
    </w:p>
    <w:p w14:paraId="52DF403B" w14:textId="77777777" w:rsidR="002138D6" w:rsidRPr="002138D6" w:rsidRDefault="002138D6" w:rsidP="002138D6">
      <w:pPr>
        <w:pStyle w:val="Point1letter"/>
        <w:numPr>
          <w:ilvl w:val="3"/>
          <w:numId w:val="5"/>
        </w:numPr>
        <w:rPr>
          <w:noProof/>
        </w:rPr>
      </w:pPr>
      <w:r>
        <w:rPr>
          <w:noProof/>
        </w:rPr>
        <w:t>9. un/vai 10. iedaļa jāaizpilda, ja koncentrācijas darījuma rezultātā starp pušu darbībām būtu vertikālās attiecības;</w:t>
      </w:r>
    </w:p>
    <w:p w14:paraId="52DF403C" w14:textId="77777777" w:rsidR="002138D6" w:rsidRPr="002138D6" w:rsidRDefault="002138D6" w:rsidP="002138D6">
      <w:pPr>
        <w:pStyle w:val="Point1letter"/>
        <w:numPr>
          <w:ilvl w:val="3"/>
          <w:numId w:val="5"/>
        </w:numPr>
        <w:rPr>
          <w:noProof/>
        </w:rPr>
      </w:pPr>
      <w:r>
        <w:rPr>
          <w:noProof/>
        </w:rPr>
        <w:t>11. iedaļa jāaizpilda visos gadījumos, izņemot koncentrācijas darījumus, uz kuriem attiecas Paziņojuma par vienkāršoto procedūru 5. punkta a) vai c) apakšpunkts;</w:t>
      </w:r>
    </w:p>
    <w:p w14:paraId="52DF403D" w14:textId="77777777" w:rsidR="002138D6" w:rsidRPr="002138D6" w:rsidRDefault="002138D6" w:rsidP="002138D6">
      <w:pPr>
        <w:pStyle w:val="Point1letter"/>
        <w:numPr>
          <w:ilvl w:val="3"/>
          <w:numId w:val="5"/>
        </w:numPr>
        <w:rPr>
          <w:noProof/>
        </w:rPr>
      </w:pPr>
      <w:r>
        <w:rPr>
          <w:noProof/>
        </w:rPr>
        <w:t xml:space="preserve">12. iedaļa jāaizpilda kopuzņēmumu gadījumā. </w:t>
      </w:r>
    </w:p>
    <w:p w14:paraId="52DF403E" w14:textId="77777777" w:rsidR="002138D6" w:rsidRPr="002138D6" w:rsidRDefault="002138D6" w:rsidP="002138D6">
      <w:pPr>
        <w:pStyle w:val="Point0number"/>
        <w:numPr>
          <w:ilvl w:val="0"/>
          <w:numId w:val="5"/>
        </w:numPr>
        <w:rPr>
          <w:noProof/>
        </w:rPr>
      </w:pPr>
      <w:r>
        <w:rPr>
          <w:noProof/>
        </w:rPr>
        <w:t>Neatkarīgi no koncentrācijas darījuma kategorijas paziņotājām pusēm pirms paziņojuma oficiālas iesniegšanas vienkāršotās procedūras ietvaros ir vienmēr jāiesniedz pieprasījums norīkot lietas izskatītājus. Pieprasījumā ir jānorāda darījuma veids, attiecīgā vienkāršotās procedūras kategorija un paredzētais paziņošanas datums</w:t>
      </w:r>
      <w:r>
        <w:rPr>
          <w:rStyle w:val="FootnoteReference"/>
          <w:noProof/>
        </w:rPr>
        <w:footnoteReference w:id="13"/>
      </w:r>
      <w:r>
        <w:rPr>
          <w:noProof/>
        </w:rPr>
        <w:t>.  Atsevišķu koncentrācijas darījumu kategoriju gadījumā paziņotājas puses tiek aicinātas iesniegt paziņojumu uzreiz – bez pirmspaziņošanas saziņas – vai tikai ar pavisam īsu pirmspaziņošanas saziņu</w:t>
      </w:r>
      <w:r>
        <w:rPr>
          <w:rStyle w:val="FootnoteReference"/>
          <w:noProof/>
        </w:rPr>
        <w:footnoteReference w:id="14"/>
      </w:r>
      <w:r>
        <w:rPr>
          <w:noProof/>
        </w:rPr>
        <w:t xml:space="preserve">. Tādos gadījumos pieprasījums norīkot lietas izskatītājus jāiesniedz vismaz vienu nedēļu pirms paredzētā paziņošanas datuma. Gadījumos, kad starp koncentrācijas darījuma pušu darbībām rastos horizontālās pārklāšanās vai nehorizontālās attiecības, pirmspaziņošanas saziņa būtu jāsāk, pieprasījumu norīkot lietas izskatītājus iesniedzot vismaz divas nedēļas pirms paredzētā paziņošanas datuma. </w:t>
      </w:r>
    </w:p>
    <w:p w14:paraId="52DF403F" w14:textId="77777777" w:rsidR="002138D6" w:rsidRPr="002138D6" w:rsidRDefault="002138D6" w:rsidP="002138D6">
      <w:pPr>
        <w:pStyle w:val="Point0number"/>
        <w:numPr>
          <w:ilvl w:val="0"/>
          <w:numId w:val="5"/>
        </w:numPr>
        <w:rPr>
          <w:noProof/>
        </w:rPr>
      </w:pPr>
      <w:r>
        <w:rPr>
          <w:noProof/>
        </w:rPr>
        <w:t>Visi atbilstoši saīsinātajai CO veidnei iesniegtie personas dati tiks apstrādāti, ievērojot Eiropas Parlamenta un Padomes 2018. gada 23. oktobra Regulu (ES) 2018/1725 par fizisku personu aizsardzību attiecībā uz personas datu apstrādi Savienības iestādēs, struktūrās, birojos un aģentūrās un par šādu datu brīvu apriti un ar ko atceļ Regulu (EK) Nr. 45/2001 un Lēmumu Nr. 1247/2002/EK</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Saīsinātā CO veidne jāparaksta personām, kuras ir likumīgi pilnvarotas rīkoties ikvienas paziņotājas puses vārdā, vai vienam vai vairākiem paziņotājas puses vai pušu pilnvarotiem ārējiem pārstāvjiem. Attiecīgie pilnvarojuma dokumenti jāpievieno saīsinātajai CO veidnei</w:t>
      </w:r>
      <w:r>
        <w:rPr>
          <w:rStyle w:val="FootnoteReference"/>
          <w:noProof/>
        </w:rPr>
        <w:footnoteReference w:id="16"/>
      </w:r>
      <w:r>
        <w:rPr>
          <w:noProof/>
        </w:rPr>
        <w:t xml:space="preserve">. Tehniskās specifikācijas un instrukcijas attiecībā uz parakstīšanu tiks publicētas </w:t>
      </w:r>
      <w:r>
        <w:rPr>
          <w:i/>
          <w:noProof/>
        </w:rPr>
        <w:t>Eiropas Savienības Oficiālajā Vēstnesī</w:t>
      </w:r>
      <w:r>
        <w:rPr>
          <w:noProof/>
        </w:rPr>
        <w:t xml:space="preserve"> un pēc vajadzības tiks atjauninātas.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Definīcijas saīsinātās CO veidnes vajadzībām</w:t>
      </w:r>
    </w:p>
    <w:p w14:paraId="52DF4042" w14:textId="77777777" w:rsidR="002138D6" w:rsidRPr="002138D6" w:rsidRDefault="002138D6" w:rsidP="002138D6">
      <w:pPr>
        <w:pStyle w:val="Point0number"/>
        <w:numPr>
          <w:ilvl w:val="0"/>
          <w:numId w:val="5"/>
        </w:numPr>
        <w:rPr>
          <w:noProof/>
        </w:rPr>
      </w:pPr>
      <w:r>
        <w:rPr>
          <w:noProof/>
        </w:rPr>
        <w:t>Šajā veidnē ir lietoti šādi definētie termini:</w:t>
      </w:r>
    </w:p>
    <w:p w14:paraId="52DF4043" w14:textId="77777777" w:rsidR="002138D6" w:rsidRPr="002138D6" w:rsidRDefault="002138D6" w:rsidP="002138D6">
      <w:pPr>
        <w:pStyle w:val="Point1letter"/>
        <w:numPr>
          <w:ilvl w:val="3"/>
          <w:numId w:val="5"/>
        </w:numPr>
        <w:rPr>
          <w:noProof/>
        </w:rPr>
      </w:pPr>
      <w:r>
        <w:rPr>
          <w:noProof/>
        </w:rPr>
        <w:t>“koncentrācijas darījuma puse(-es)” jeb “puse(-es)” nozīmē gan kontroles ieguvēju(-as) pusi(-es), gan iegūstamo(-ās) pusi(-es) vai puses, kas apvienojas, tai skaitā visus uzņēmumus, kuros tiek iegūta kontrolējoša līdzdalība vai uz kuriem vērsts publisks pārņemšanas piedāvājums. Ja vien nav norādīts citādi, termini “paziņotāja(-as) puse(-es)” un “koncentrācijas darījuma puse(-es)” ietver visus uzņēmumus, kas ietilpst tajā pašā grupā kā attiecīgās puses;</w:t>
      </w:r>
    </w:p>
    <w:p w14:paraId="52DF4044" w14:textId="77777777" w:rsidR="002138D6" w:rsidRPr="002138D6" w:rsidRDefault="002138D6" w:rsidP="002138D6">
      <w:pPr>
        <w:pStyle w:val="Point1letter"/>
        <w:numPr>
          <w:ilvl w:val="3"/>
          <w:numId w:val="5"/>
        </w:numPr>
        <w:rPr>
          <w:noProof/>
        </w:rPr>
      </w:pPr>
      <w:r>
        <w:rPr>
          <w:noProof/>
        </w:rPr>
        <w:t>“gads” ir kalendārais gads, ja vien nav norādīts citādi. Visa šajā saīsinātajā CO veidnē prasītā informācija jāsniedz par gadu pirms paziņojuma iesniegšanas, ja vien nav norādīts citādi.</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Prasība par pareizu un pilnīgu paziņojumu </w:t>
      </w:r>
    </w:p>
    <w:p w14:paraId="52DF4046" w14:textId="77777777" w:rsidR="002138D6" w:rsidRPr="002138D6" w:rsidRDefault="002138D6" w:rsidP="002138D6">
      <w:pPr>
        <w:pStyle w:val="Point0number"/>
        <w:numPr>
          <w:ilvl w:val="0"/>
          <w:numId w:val="5"/>
        </w:numPr>
        <w:rPr>
          <w:noProof/>
        </w:rPr>
      </w:pPr>
      <w:r>
        <w:rPr>
          <w:noProof/>
        </w:rPr>
        <w:t>Visai saīsinātajā CO veidnē sniegtajai informācijai jābūt pareizai un pilnīgai. Prasītā informācija jāsniedz attiecīgajā saīsinātās CO veidnes iedaļā. Par sniegtās informācijas pareizību atbild puse, kas sagatavo paziņojumu. Jo īpaši jāievēro turpmāk minētais:</w:t>
      </w:r>
    </w:p>
    <w:p w14:paraId="52DF4047" w14:textId="77777777" w:rsidR="002138D6" w:rsidRPr="002138D6" w:rsidRDefault="002138D6" w:rsidP="002138D6">
      <w:pPr>
        <w:pStyle w:val="Point1letter"/>
        <w:numPr>
          <w:ilvl w:val="3"/>
          <w:numId w:val="5"/>
        </w:numPr>
        <w:rPr>
          <w:noProof/>
        </w:rPr>
      </w:pPr>
      <w:r>
        <w:rPr>
          <w:noProof/>
        </w:rPr>
        <w:t xml:space="preserve">kā paredzēts Apvienošanās regulas 10. panta 1. punktā un Īstenošanas regulas 5. panta 2. un 4. punktā, Apvienošanās regulā noteiktos termiņus attiecībā uz paziņojumu nesāk skaitīt, pirms Komisija nav saņēmusi visu paziņojumā sniedzamo informāciju. Šīs prasības mērķis ir dot Komisijai iespēju novērtēt paziņoto koncentrācijas darījumu Apvienošanās regulas stingri noteiktajos termiņos. Ja paziņojums ir nepilnīgs, Komisija par to nekavējoties rakstiski informē paziņotājas puses vai to pārstāvjus; </w:t>
      </w:r>
    </w:p>
    <w:p w14:paraId="52DF4048" w14:textId="77777777" w:rsidR="002138D6" w:rsidRPr="002138D6" w:rsidRDefault="002138D6" w:rsidP="002138D6">
      <w:pPr>
        <w:pStyle w:val="Point1letter"/>
        <w:numPr>
          <w:ilvl w:val="3"/>
          <w:numId w:val="5"/>
        </w:numPr>
        <w:rPr>
          <w:noProof/>
        </w:rPr>
      </w:pPr>
      <w:r>
        <w:rPr>
          <w:noProof/>
        </w:rPr>
        <w:t>paziņotājām pusēm paziņojuma sagatavošanas gaitā jāpārliecinās par to, ka Komisijai nosūtītie kontaktpersonu vārdi, uzvārdi un tālruņa numuri, bet jo īpaši e-pasta adreses, ir pareizi, atbilstīgi un aktuāli;</w:t>
      </w:r>
    </w:p>
    <w:p w14:paraId="52DF4049" w14:textId="77777777" w:rsidR="002138D6" w:rsidRPr="002138D6" w:rsidRDefault="002138D6" w:rsidP="002138D6">
      <w:pPr>
        <w:pStyle w:val="Point1letter"/>
        <w:numPr>
          <w:ilvl w:val="3"/>
          <w:numId w:val="5"/>
        </w:numPr>
        <w:rPr>
          <w:noProof/>
        </w:rPr>
      </w:pPr>
      <w:r>
        <w:rPr>
          <w:noProof/>
        </w:rPr>
        <w:t>kā noteikts Īstenošanas regulas 5. panta 4. punktā, paziņojumā iekļautu nepareizu vai maldinošu informāciju uzskata par nepilnīgu informāciju;</w:t>
      </w:r>
    </w:p>
    <w:p w14:paraId="52DF404A" w14:textId="77777777" w:rsidR="002138D6" w:rsidRPr="002138D6" w:rsidRDefault="002138D6" w:rsidP="002138D6">
      <w:pPr>
        <w:pStyle w:val="Point1letter"/>
        <w:numPr>
          <w:ilvl w:val="3"/>
          <w:numId w:val="5"/>
        </w:numPr>
        <w:rPr>
          <w:noProof/>
        </w:rPr>
      </w:pPr>
      <w:r>
        <w:rPr>
          <w:noProof/>
        </w:rPr>
        <w:t>prasītā kontaktinformācija jāsniedz tādā formātā, kādu Konkurences ģenerāldirektorāts (“Konkurences ĢD”) noteicis savā vietnē</w:t>
      </w:r>
      <w:r>
        <w:rPr>
          <w:rStyle w:val="FootnoteReference"/>
          <w:noProof/>
        </w:rPr>
        <w:footnoteReference w:id="17"/>
      </w:r>
      <w:r>
        <w:rPr>
          <w:noProof/>
        </w:rPr>
        <w:t xml:space="preserve">.   Pienācīgai izskatīšanas procesa norisei ir būtiski, lai kontaktinformācija būtu precīza. Tālab pārliecinieties, ka norādītas ir konkrēto kontaktpersonu personalizētās e-pasta adreses, nevis uzņēmuma vispārējā pastkaste (piemēram, info@, hello@). Komisija var paziņojumu atzīt par nepilnīgu, ja nav sniegta pareiza kontaktinformācija; </w:t>
      </w:r>
    </w:p>
    <w:p w14:paraId="52DF404B" w14:textId="77777777" w:rsidR="002138D6" w:rsidRPr="002138D6" w:rsidRDefault="002138D6" w:rsidP="002138D6">
      <w:pPr>
        <w:pStyle w:val="Point1letter"/>
        <w:numPr>
          <w:ilvl w:val="3"/>
          <w:numId w:val="5"/>
        </w:numPr>
        <w:rPr>
          <w:noProof/>
        </w:rPr>
      </w:pPr>
      <w:r>
        <w:rPr>
          <w:noProof/>
        </w:rPr>
        <w:t>ievērojot Apvienošanās regulas 14. panta 1. punkta a) apakšpunktu, paziņotājām pusēm, kuras tīši vai nolaidības dēļ sniedz nepareizu vai maldinošu informāciju, var tikt uzlikts naudas sods, kas var sasniegt 1 % no attiecīgā uzņēmuma kopējā apgrozījuma. Turklāt, ievērojot Apvienošanās regulas 6. panta 3. punkta a) apakšpunktu un 8. panta 6. punkta a) apakšpunktu, Komisija var atsaukt lēmumu par koncentrācijas darījuma saderību, ja minētā lēmuma pamatā ir nepareiza informācija, par ko ir atbildīga kāda no koncentrācijas darījuma pusēm;</w:t>
      </w:r>
    </w:p>
    <w:p w14:paraId="52DF404C" w14:textId="77777777" w:rsidR="002138D6" w:rsidRPr="002138D6" w:rsidRDefault="002138D6" w:rsidP="002138D6">
      <w:pPr>
        <w:pStyle w:val="Point1letter"/>
        <w:numPr>
          <w:ilvl w:val="3"/>
          <w:numId w:val="5"/>
        </w:numPr>
        <w:rPr>
          <w:noProof/>
        </w:rPr>
      </w:pPr>
      <w:r>
        <w:rPr>
          <w:noProof/>
        </w:rPr>
        <w:t>varat rakstiski lūgt, lai Komisija paziņojumu atzīst par pilnīgu, neraugoties uz kādas saīsinātajā CO veidnē prasītās informācijas neiesniegšanu, ja minētā informācija pamatotu iemeslu dēļ jums ir pilnībā vai daļēji nepieejama (piemēram, apstrīdēta iegādes piedāvājuma gadījumā var nebūt pieejama informācija par mērķuzņēmumu). Komisija šādu pieprasījumu izskatīs, ja būsiet norādījuši pamatotos iemeslus, kuru dēļ attiecīgā informācija nav pieejama, un snieguši precīzākās iespējamās aplēses par trūkstošajiem datiem, norādot aplēšu avotus. Ja iespējams, norādiet, kur Komisija var iegūt prasīto informāciju, kas jums nav pieejama;</w:t>
      </w:r>
    </w:p>
    <w:p w14:paraId="52DF404D" w14:textId="77777777" w:rsidR="002138D6" w:rsidRPr="002138D6" w:rsidRDefault="002138D6" w:rsidP="002138D6">
      <w:pPr>
        <w:pStyle w:val="Point1letter"/>
        <w:numPr>
          <w:ilvl w:val="3"/>
          <w:numId w:val="5"/>
        </w:numPr>
        <w:rPr>
          <w:noProof/>
        </w:rPr>
      </w:pPr>
      <w:r>
        <w:rPr>
          <w:noProof/>
        </w:rPr>
        <w:t>saskaņā ar Īstenošanas regulas 4. panta 2. punktu Komisija var atbrīvot no pienākuma paziņojumā sniegt kādu konkrētu informāciju, ja tā uzskata, ka minēto pienākumu vai citu prasību izpilde konkrētās lietas izskatīšanai nav nepieciešama. Tālab pirmspaziņošanas stadijā varat rakstiski prasīt Komisijai atbrīvot jūs no pienākuma sniegt konkrētu informāciju, attiecību uz kuru uzskatāt, ka tā Komisijai konkrētās lietas izskatīšanai nav nepieciešama. Atbrīvojuma pieprasījumi jāiesniedz vienlaikus ar paziņojuma projektu atbilstoši saīsinātajai CO veidnei. Atbrīvojuma pieprasījumi jānoformē kā atsevišķa e-vēstule, kas adresēta atbildīgajiem lietas izskatītājiem. Komisija atbrīvojuma pieprasījumu izskatīs, ja būsiet norādījuši pietiekamus iemeslus tam, kāpēc attiecīgā informācija nav nepieciešama konkrētās lietas izskatīšanai. Saskaņā ar Konkurences ĢD dokumentu “</w:t>
      </w:r>
      <w:r>
        <w:rPr>
          <w:i/>
          <w:noProof/>
        </w:rPr>
        <w:t>Best Practices on the conduct of EC merger control proceedings</w:t>
      </w:r>
      <w:r>
        <w:rPr>
          <w:noProof/>
        </w:rPr>
        <w:t>” (EK apvienošanās kontroles procedūru izpildes paraugprakse) Konkurences ĢD atbilde uz atbrīvojuma pieprasījumu vispārīgā gadījumā tiks sniegta piecu darbdienu laikā. Skaidrības labad jānorāda, ka tas, ka Komisija ir piekritusi, ka kādu konkrētu saīsinātajā CO veidnē prasīto informāciju nav nepieciešams iekļaut koncentrācijas darījuma paziņojumā, neliedz Komisijai jebkurā laikā (pirms vai pēc paziņošanas) pieprasīt šo informāciju, jo īpaši ar informācijas pieprasījumu saskaņā ar Apvienošanās regulas 11. pantu.</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Atgriešanās pie parastās procedūras un paziņošana atbilstoši CO veidnei</w:t>
      </w:r>
    </w:p>
    <w:p w14:paraId="52DF404F" w14:textId="77777777" w:rsidR="002138D6" w:rsidRPr="002138D6" w:rsidRDefault="002138D6" w:rsidP="002138D6">
      <w:pPr>
        <w:pStyle w:val="Point0number"/>
        <w:numPr>
          <w:ilvl w:val="0"/>
          <w:numId w:val="5"/>
        </w:numPr>
        <w:rPr>
          <w:noProof/>
        </w:rPr>
      </w:pPr>
      <w:r>
        <w:rPr>
          <w:noProof/>
        </w:rPr>
        <w:t>Novērtējot to, vai par koncentrācijas darījumu var paziņot vienkāršoti, atbilstoši saīsinātajai CO veidnei, Komisija pārliecināsies, vai ir pietiekami skaidri konstatējami visi attiecīgie apstākļi. Šajā nolūkā paziņotāju pušu pienākums ir sniegt pareizu un pilnīgu informāciju.</w:t>
      </w:r>
    </w:p>
    <w:p w14:paraId="52DF4050" w14:textId="77777777" w:rsidR="002138D6" w:rsidRPr="002138D6" w:rsidRDefault="002138D6" w:rsidP="002138D6">
      <w:pPr>
        <w:pStyle w:val="Point0number"/>
        <w:numPr>
          <w:ilvl w:val="0"/>
          <w:numId w:val="5"/>
        </w:numPr>
        <w:rPr>
          <w:noProof/>
        </w:rPr>
      </w:pPr>
      <w:r>
        <w:rPr>
          <w:noProof/>
        </w:rPr>
        <w:t>Ja pēc paziņošanas par koncentrācijas darījumu Komisija atzīst, ka konkrētā lieta nav tāda, par ko var paziņot vienkāršoti, tā var pieprasīt pilna vai attiecīgi daļēja paziņojuma iesniegšanu atbilstoši CO veidnei. Tas var notikt jebkuros no šiem apstākļiem:</w:t>
      </w:r>
    </w:p>
    <w:p w14:paraId="52DF4051" w14:textId="77777777" w:rsidR="002138D6" w:rsidRPr="002138D6" w:rsidRDefault="002138D6" w:rsidP="002138D6">
      <w:pPr>
        <w:pStyle w:val="Point1letter"/>
        <w:numPr>
          <w:ilvl w:val="3"/>
          <w:numId w:val="5"/>
        </w:numPr>
        <w:rPr>
          <w:noProof/>
        </w:rPr>
      </w:pPr>
      <w:r>
        <w:rPr>
          <w:noProof/>
        </w:rPr>
        <w:t>atklājas, ka nav izpildīti saīsinātās CO veidnes izmantošanas nosacījumi;</w:t>
      </w:r>
    </w:p>
    <w:p w14:paraId="52DF4052" w14:textId="77777777" w:rsidR="002138D6" w:rsidRPr="002138D6" w:rsidRDefault="002138D6" w:rsidP="002138D6">
      <w:pPr>
        <w:pStyle w:val="Point1letter"/>
        <w:numPr>
          <w:ilvl w:val="3"/>
          <w:numId w:val="5"/>
        </w:numPr>
        <w:rPr>
          <w:noProof/>
        </w:rPr>
      </w:pPr>
      <w:r>
        <w:rPr>
          <w:noProof/>
        </w:rPr>
        <w:t>saīsinātās CO veidnes izmantošanas nosacījumi ir izpildīti, taču, lai pienācīgi izvērtētu iespējamās konkurences problēmas vai noteiktu, vai attiecīgais darījums ir koncentrācija Apvienošanās regulas 3. panta nozīmē, tomēr ir vajadzīgs pilns vai daļējs paziņojums atbilstoši CO veidnei;</w:t>
      </w:r>
    </w:p>
    <w:p w14:paraId="52DF4053" w14:textId="77777777" w:rsidR="002138D6" w:rsidRPr="002138D6" w:rsidRDefault="002138D6" w:rsidP="002138D6">
      <w:pPr>
        <w:pStyle w:val="Point1letter"/>
        <w:numPr>
          <w:ilvl w:val="3"/>
          <w:numId w:val="5"/>
        </w:numPr>
        <w:rPr>
          <w:noProof/>
        </w:rPr>
      </w:pPr>
      <w:r>
        <w:rPr>
          <w:noProof/>
        </w:rPr>
        <w:t>paziņojumā atbilstoši saīsinātajai CO veidnei ietverta nepareiza vai maldinoša informācija;</w:t>
      </w:r>
    </w:p>
    <w:p w14:paraId="52DF4054" w14:textId="77777777" w:rsidR="002138D6" w:rsidRPr="002138D6" w:rsidRDefault="002138D6" w:rsidP="002138D6">
      <w:pPr>
        <w:pStyle w:val="Point1letter"/>
        <w:numPr>
          <w:ilvl w:val="3"/>
          <w:numId w:val="5"/>
        </w:numPr>
        <w:rPr>
          <w:noProof/>
        </w:rPr>
      </w:pPr>
      <w:r>
        <w:rPr>
          <w:noProof/>
        </w:rPr>
        <w:t xml:space="preserve">kāda dalībvalsts vai EBTA valsts 15 darbdienu laikā no atbilstoši saīsinātajai CO veidnei sagatavotā paziņojuma kopijas saņemšanas pauž argumentētas bažas par paziņotā koncentrācijas darījuma ietekmi uz konkurenci; </w:t>
      </w:r>
    </w:p>
    <w:p w14:paraId="52DF4055" w14:textId="77777777" w:rsidR="002138D6" w:rsidRPr="002138D6" w:rsidRDefault="002138D6" w:rsidP="002138D6">
      <w:pPr>
        <w:pStyle w:val="Point1letter"/>
        <w:numPr>
          <w:ilvl w:val="3"/>
          <w:numId w:val="5"/>
        </w:numPr>
        <w:rPr>
          <w:noProof/>
        </w:rPr>
      </w:pPr>
      <w:r>
        <w:rPr>
          <w:noProof/>
        </w:rPr>
        <w:t>kāda trešā persona pauž argumentētas bažas par konkurenci termiņā, ko Komisija noteikusi trešo personu piezīmju iesniegšanai.</w:t>
      </w:r>
    </w:p>
    <w:p w14:paraId="52DF4056" w14:textId="77777777" w:rsidR="002138D6" w:rsidRPr="002138D6" w:rsidRDefault="002138D6" w:rsidP="002138D6">
      <w:pPr>
        <w:pStyle w:val="Point0number"/>
        <w:numPr>
          <w:ilvl w:val="0"/>
          <w:numId w:val="5"/>
        </w:numPr>
        <w:rPr>
          <w:noProof/>
        </w:rPr>
      </w:pPr>
      <w:r>
        <w:rPr>
          <w:noProof/>
        </w:rPr>
        <w:t>Šādos gadījumos var atzīt, ka paziņojums kādā būtiskā aspektā ir nepilnīgs Īstenošanas regulas 5. panta 2. punkta nozīmē. Komisija par to nekavējoties rakstiski informēs paziņotājas puses vai to pārstāvjus. Paziņojums stāsies spēkā tikai dienā, kad būs saņemta visa prasītā informācija.</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Konfidencialitāte</w:t>
      </w:r>
    </w:p>
    <w:p w14:paraId="52DF4058" w14:textId="77777777" w:rsidR="002138D6" w:rsidRPr="002138D6" w:rsidRDefault="002138D6" w:rsidP="002138D6">
      <w:pPr>
        <w:pStyle w:val="Point0number"/>
        <w:numPr>
          <w:ilvl w:val="0"/>
          <w:numId w:val="5"/>
        </w:numPr>
        <w:rPr>
          <w:noProof/>
        </w:rPr>
      </w:pPr>
      <w:r>
        <w:rPr>
          <w:noProof/>
        </w:rPr>
        <w:t>Līguma par Eiropas Savienības darbību 339. pants un Apvienošanās regulas 17. panta 2. punkts, kā arī atbilstīgie EEZ līguma noteikumi prasa, lai Komisija, dalībvalstis, EBTA Uzraudzības iestāde un EBTA valstis, to ierēdņi un citi darbinieki neizpaustu regulas piemērošanas gaitā iegūto informāciju, uz kuru attiecas dienesta noslēpuma ievērošanas pienākums. Šis pats princips piemērojams, lai garantētu konfidencialitāti paziņotāju pušu starpā.</w:t>
      </w:r>
    </w:p>
    <w:p w14:paraId="52DF4059" w14:textId="77777777" w:rsidR="002138D6" w:rsidRPr="002138D6" w:rsidRDefault="002138D6" w:rsidP="002138D6">
      <w:pPr>
        <w:pStyle w:val="Point0number"/>
        <w:numPr>
          <w:ilvl w:val="0"/>
          <w:numId w:val="5"/>
        </w:numPr>
        <w:rPr>
          <w:noProof/>
        </w:rPr>
      </w:pPr>
      <w:r>
        <w:rPr>
          <w:noProof/>
        </w:rPr>
        <w:t>Ja uzskatāt, ka no jums prasītās informācijas publicēšana vai citāda izpaušana citām pusēm var negatīvi skart jūsu intereses, iesniedziet šo informāciju atsevišķi, katru lapu skaidri marķējot ar norādi “Komercnoslēpums”. Jums turklāt jānorāda iemesli, kuru dēļ šī informācija nav izpaužama vai publicējama.</w:t>
      </w:r>
    </w:p>
    <w:p w14:paraId="52DF405A" w14:textId="77777777" w:rsidR="002138D6" w:rsidRPr="002138D6" w:rsidRDefault="002138D6" w:rsidP="002138D6">
      <w:pPr>
        <w:pStyle w:val="Point0number"/>
        <w:numPr>
          <w:ilvl w:val="0"/>
          <w:numId w:val="5"/>
        </w:numPr>
        <w:rPr>
          <w:noProof/>
        </w:rPr>
      </w:pPr>
      <w:r>
        <w:rPr>
          <w:noProof/>
        </w:rPr>
        <w:t>Apvienošanās vai kopīgas kontroles iegūšanas gadījumos un citos gadījumos, kad paziņojumu sagatavo vairākas puses, komercnoslēpumus var iesniegt atsevišķi un paziņojumā uz tiem atsaukties kā uz pielikumu. Lai paziņojumu varētu uzskatīt par pilnīgu, tajā jābūt iekļautiem visiem šiem pielikumiem.</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1. IEDAĻA </w:t>
      </w:r>
      <w:r>
        <w:rPr>
          <w:noProof/>
        </w:rPr>
        <w:br/>
        <w:t>Vispārīga informācija par lietu</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Lietas numurs*:</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Lietas nosaukums*:</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Valoda:</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Aizpilda ar Apvienošanās lietu reģistra sniegto informāciju.</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Ja nav norādīts citādi, nākamajās tabulās sniegtās atsauces uz pantiem ir atsauces uz Apvienošanās regulu.</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Paziņojums, kuru var izskatīt vienkāršotajā procedūrā: jā</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Apvienošanās regula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Jurisdikcija:</w:t>
            </w:r>
            <w:r>
              <w:rPr>
                <w:noProof/>
              </w:rPr>
              <w:tab/>
            </w:r>
          </w:p>
          <w:p w14:paraId="52DF406D"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1. panta 2. punkts </w:t>
            </w:r>
          </w:p>
          <w:p w14:paraId="52DF406E"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1. panta 3. punkts </w:t>
            </w:r>
          </w:p>
          <w:p w14:paraId="52DF406F"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4. panta 5. punkts </w:t>
            </w:r>
          </w:p>
          <w:p w14:paraId="52DF4070"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22. pants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Paziņošanas pamats: </w:t>
            </w:r>
          </w:p>
          <w:p w14:paraId="52DF4072"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4. panta 1. punkts </w:t>
            </w:r>
          </w:p>
          <w:p w14:paraId="52DF4073"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4. panta 4. punkts </w:t>
            </w:r>
          </w:p>
          <w:p w14:paraId="52DF4074"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4. panta 5. punkts </w:t>
            </w:r>
          </w:p>
          <w:p w14:paraId="52DF4075"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22. pants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Koncentrācijas darījuma veids:</w:t>
            </w:r>
          </w:p>
          <w:p w14:paraId="52DF4078" w14:textId="77777777" w:rsidR="002138D6" w:rsidRPr="00F87AAF"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noProof/>
              </w:rPr>
              <w:t xml:space="preserve"> </w:t>
            </w:r>
            <w:r w:rsidR="004E11D1">
              <w:rPr>
                <w:rFonts w:ascii="Times New Roman" w:hAnsi="Times New Roman"/>
                <w:noProof/>
              </w:rPr>
              <w:t>apvienošanās [3. panta 1. punkta a) apakšpunkts]</w:t>
            </w:r>
            <w:r w:rsidR="004E11D1">
              <w:rPr>
                <w:rStyle w:val="FootnoteReference"/>
                <w:rFonts w:ascii="Times New Roman" w:hAnsi="Times New Roman" w:cs="Times New Roman"/>
                <w:noProof/>
              </w:rPr>
              <w:footnoteReference w:id="18"/>
            </w:r>
            <w:r w:rsidR="004E11D1">
              <w:rPr>
                <w:rFonts w:ascii="Times New Roman" w:hAnsi="Times New Roman"/>
                <w:noProof/>
              </w:rPr>
              <w:t xml:space="preserve"> </w:t>
            </w:r>
          </w:p>
          <w:p w14:paraId="52DF4079" w14:textId="77777777" w:rsidR="002138D6" w:rsidRPr="00F87AAF" w:rsidRDefault="005830DE"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noProof/>
              </w:rPr>
              <w:t xml:space="preserve"> </w:t>
            </w:r>
            <w:r w:rsidR="004E11D1">
              <w:rPr>
                <w:rFonts w:ascii="Times New Roman" w:hAnsi="Times New Roman"/>
                <w:noProof/>
              </w:rPr>
              <w:t>vienpersoniskas kontroles iegūšana [3. panta 1. punkta b) apakšpunkts]</w:t>
            </w:r>
          </w:p>
          <w:p w14:paraId="52DF407A" w14:textId="77777777" w:rsidR="002138D6" w:rsidRPr="00F87AAF" w:rsidRDefault="005830DE"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noProof/>
              </w:rPr>
              <w:t xml:space="preserve"> </w:t>
            </w:r>
            <w:r w:rsidR="004E11D1">
              <w:rPr>
                <w:rFonts w:ascii="Times New Roman" w:hAnsi="Times New Roman"/>
                <w:noProof/>
              </w:rPr>
              <w:t>kopīgas kontroles iegūšana [3. panta 1. punkta b) apakšpunkts]</w:t>
            </w:r>
            <w:r w:rsidR="004E11D1">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5830DE"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noProof/>
              </w:rPr>
              <w:t xml:space="preserve"> </w:t>
            </w:r>
            <w:r w:rsidR="004E11D1">
              <w:rPr>
                <w:rFonts w:ascii="Times New Roman" w:hAnsi="Times New Roman"/>
                <w:noProof/>
              </w:rPr>
              <w:t>kopīgas kontroles iegūšana jaunizveidotā kopuzņēmumā [3. panta 4. punkts]</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411F75E9" w:rsidR="002138D6" w:rsidRPr="002138D6" w:rsidRDefault="005830DE"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kopīgas kontroles iegūšana jebkādā citā scenārijā (t. i., kontroli iegūst vismaz viens līdzšinējais kontrolējošs </w:t>
            </w:r>
            <w:r w:rsidR="003C04F4">
              <w:rPr>
                <w:rFonts w:ascii="Times New Roman" w:hAnsi="Times New Roman"/>
                <w:noProof/>
              </w:rPr>
              <w:t>dalībniek</w:t>
            </w:r>
            <w:r w:rsidR="004E11D1">
              <w:rPr>
                <w:rFonts w:ascii="Times New Roman" w:hAnsi="Times New Roman"/>
                <w:noProof/>
              </w:rPr>
              <w:t>s) [3. panta 1. punkta b) apakšpunkts un 4. punkts]</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Lietas kategorija saskaņā ar Paziņojumu par vienkāršoto procedūru: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5. punkta a) apakšpunkts</w:t>
            </w:r>
          </w:p>
          <w:p w14:paraId="52DF4080"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5. punkta e) apakšpunkts</w:t>
            </w:r>
          </w:p>
          <w:p w14:paraId="52DF4081"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5. punkta b) apakšpunkts</w:t>
            </w:r>
          </w:p>
          <w:p w14:paraId="52DF4082"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5. punkta c) apakšpunkts</w:t>
            </w:r>
          </w:p>
          <w:p w14:paraId="52DF4083"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8. punkts</w:t>
            </w:r>
          </w:p>
          <w:p w14:paraId="52DF4084"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5. punkta d) apakšpunkts</w:t>
            </w:r>
          </w:p>
          <w:p w14:paraId="52DF4085" w14:textId="77777777" w:rsidR="002138D6" w:rsidRPr="002138D6" w:rsidRDefault="005830DE"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Paziņojuma par vienkāršoto procedūru 9. punkts</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Vai paziņojumam ir saikne ar iepriekšēju lietu (par saistītu/paralēlu/apturētu/atsauktu darījumu)? JĀ</w:t>
            </w:r>
            <w:r>
              <w:rPr>
                <w:noProof/>
              </w:rPr>
              <w:t xml:space="preserve">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NĒ</w:t>
            </w:r>
            <w:r>
              <w:rPr>
                <w:noProof/>
              </w:rPr>
              <w:t xml:space="preserv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Ja atbilde ir “jā”, norādiet lietas numuru:</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Vai paziņojumam ir saikne ar apspriešanu par to pašu darījumu? JĀ</w:t>
            </w:r>
            <w:r>
              <w:rPr>
                <w:noProof/>
              </w:rPr>
              <w:t xml:space="preserve">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NĒ</w:t>
            </w:r>
            <w:r>
              <w:rPr>
                <w:noProof/>
              </w:rPr>
              <w:t xml:space="preserv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Ja atbilde ir “jā”, norādiet apspriešanas numuru:</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Darījuma īstenošanas veids:</w:t>
            </w:r>
          </w:p>
          <w:p w14:paraId="52DF408D" w14:textId="77777777" w:rsidR="002138D6" w:rsidRPr="002138D6" w:rsidRDefault="005830DE"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publisks pārņemšanas piedāvājums, izsludināts [DATUMS]</w:t>
            </w:r>
          </w:p>
          <w:p w14:paraId="52DF408E" w14:textId="77777777" w:rsidR="002138D6" w:rsidRPr="002138D6" w:rsidRDefault="005830DE"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kapitāldaļu iegāde</w:t>
            </w:r>
          </w:p>
          <w:p w14:paraId="52DF408F" w14:textId="77777777" w:rsidR="002138D6" w:rsidRPr="002138D6" w:rsidRDefault="005830DE"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aktīvu iegāde</w:t>
            </w:r>
          </w:p>
          <w:p w14:paraId="52DF4090" w14:textId="77777777" w:rsidR="002138D6" w:rsidRPr="002138D6" w:rsidRDefault="005830DE"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vērtspapīru iegāde</w:t>
            </w:r>
          </w:p>
          <w:p w14:paraId="52DF4091" w14:textId="77777777" w:rsidR="002138D6" w:rsidRPr="002138D6" w:rsidRDefault="005830DE"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pārvaldības līgums vai citāds līgums</w:t>
            </w:r>
          </w:p>
          <w:p w14:paraId="52DF4092" w14:textId="77777777" w:rsidR="002138D6" w:rsidRPr="002138D6" w:rsidRDefault="005830DE"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kapitāldaļu iegāde jaunveidojamā kopuzņēmumā</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Darījuma vērtība,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Darījumā iesaistīto uzņēmumu juridiskā adrese:</w:t>
            </w:r>
          </w:p>
          <w:p w14:paraId="52DF4096" w14:textId="77777777" w:rsidR="002138D6" w:rsidRPr="002138D6" w:rsidRDefault="005830DE"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tajā pašā dalībvalstī</w:t>
            </w:r>
          </w:p>
          <w:p w14:paraId="52DF4097" w14:textId="77777777" w:rsidR="002138D6" w:rsidRPr="002138D6" w:rsidRDefault="005830DE"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tajā pašā trešā valstī </w:t>
            </w:r>
          </w:p>
          <w:p w14:paraId="52DF4098" w14:textId="77777777" w:rsidR="002138D6" w:rsidRPr="002138D6" w:rsidRDefault="005830DE"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dažādās dalībvalstīs</w:t>
            </w:r>
          </w:p>
          <w:p w14:paraId="52DF4099" w14:textId="77777777" w:rsidR="002138D6" w:rsidRPr="002138D6" w:rsidRDefault="005830DE"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dažādās trešās valstīs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2. IEDAĻA</w:t>
      </w:r>
    </w:p>
    <w:p w14:paraId="52DF409D" w14:textId="77777777" w:rsidR="002138D6" w:rsidRPr="002138D6" w:rsidRDefault="002138D6" w:rsidP="002138D6">
      <w:pPr>
        <w:pStyle w:val="SectionTitle"/>
        <w:rPr>
          <w:noProof/>
        </w:rPr>
      </w:pPr>
      <w:r>
        <w:rPr>
          <w:noProof/>
        </w:rPr>
        <w:t>Koncentrācijas darījumā iesaistītie uzņēmumi un to apgrozījums</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Attiecīgie uzņēmumi</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Kategorija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Uzņēmumu kontrolē:</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Attiecīgo uzņēmumu uzņēmējdarbības īss apraksts</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Struktūrshēma, kurā attēlota katra attiecīgā uzņēmuma īpašumtiesību un kontroles struktūra pirms koncentrācijas darījuma un pēc tā pabeigšanas:</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Attiecīgie uzņēmumi</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Reģistrā-</w:t>
            </w:r>
            <w:r>
              <w:rPr>
                <w:rFonts w:ascii="Times New Roman" w:hAnsi="Times New Roman"/>
                <w:noProof/>
              </w:rPr>
              <w:br/>
              <w:t>cijas valsts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Loma</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Apgrozījums (miljonos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Apgrozījuma gads</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Pasaulē</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ES</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Visu attiecīgo uzņēmumu kopējais apgrozījums</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5830DE"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Neviens no attiecīgajiem uzņēmumiem negūst vairāk nekā divas trešdaļas no ES kopējā apgrozījuma vienā un tajā pašā dalībvalstī.</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Ja par apvienošanos tiek paziņots saskaņā ar Apvienošanās regulas 1. panta 3. punktu, aizpildiet arī nākamo tabulu. Tajā iekļaujiet informāciju par visām dalībvalstīm, kas atbilst 1. panta 3. punkta b) un c) apakšpunkta kritērijiem. Ja nepieciešams, pievienojiet papildu rindas.</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Apvienošanās regulas 1. panta 3. punkta b) un c) apakšpunkta kritērijiem atbilstīgā dalībvalsts</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Visu attiecīgo uzņēmumu kopējais apgrozījums šajā dalībvalstī</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(miljonos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Apvienošanās regulas 1. panta 3. punkta c) apakšpunkta kritērijiem atbilstīgu attiecīgo uzņēmumu nosaukumi</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Katra attiecīgā uzņēmuma apgrozījums šajā dalībvalstī</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(miljonos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5830DE"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Neviens no attiecīgajiem uzņēmumiem negūst vairāk nekā divas trešdaļas no ES kopējā apgrozījuma vienā un tajā pašā dalībvalstī.</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Apgrozījums EBTA valstu teritorijā</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EBTA valstu teritorijā darbojošos attiecīgo uzņēmumu kopējais apgrozījums ir 25 % vai vairāk no to kopējā apgrozījuma Eiropas Ekonomikas zonas (EEZ) teritorijā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JĀ</w:t>
            </w:r>
            <w:r>
              <w:rPr>
                <w:noProof/>
              </w:rPr>
              <w:t xml:space="preserve">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NĒ</w:t>
            </w:r>
            <w:r>
              <w:rPr>
                <w:noProof/>
              </w:rPr>
              <w:t xml:space="preserv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Katram no vismaz diviem attiecīgajiem uzņēmumiem apgrozījums EBTA valstu teritorijā pārsniedz 250 miljonus EUR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JĀ</w:t>
            </w:r>
            <w:r>
              <w:rPr>
                <w:noProof/>
              </w:rPr>
              <w:t xml:space="preserve">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NĒ</w:t>
            </w:r>
            <w:r>
              <w:rPr>
                <w:noProof/>
              </w:rPr>
              <w:t xml:space="preserv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Iecerētais koncentrācijas darījums varētu tikt nodots izskatīšanai EBTA valstī, jo tas kādā EBTA valstī ietekmē tirgu(-us), kam piemīt visas atsevišķa tirgus iezīmes</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JĀ</w:t>
            </w:r>
            <w:r>
              <w:rPr>
                <w:noProof/>
              </w:rPr>
              <w:t xml:space="preserve">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NĒ</w:t>
            </w:r>
            <w:r>
              <w:rPr>
                <w:noProof/>
              </w:rPr>
              <w:t xml:space="preserv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3. IEDAĻA</w:t>
      </w:r>
    </w:p>
    <w:p w14:paraId="52DF413D" w14:textId="77777777" w:rsidR="002138D6" w:rsidRPr="002138D6" w:rsidRDefault="002138D6" w:rsidP="002138D6">
      <w:pPr>
        <w:pStyle w:val="SectionTitle"/>
        <w:rPr>
          <w:noProof/>
        </w:rPr>
      </w:pPr>
      <w:r>
        <w:rPr>
          <w:noProof/>
        </w:rPr>
        <w:t>Attiecīgā(-o) produkta(-u)</w:t>
      </w:r>
      <w:r>
        <w:rPr>
          <w:rStyle w:val="FootnoteReference"/>
          <w:noProof/>
        </w:rPr>
        <w:footnoteReference w:id="28"/>
      </w:r>
      <w:r>
        <w:rPr>
          <w:noProof/>
        </w:rPr>
        <w:t xml:space="preserve"> nosaukums atbilstoši </w:t>
      </w:r>
      <w:r>
        <w:rPr>
          <w:i/>
          <w:noProof/>
        </w:rPr>
        <w:t>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Produkta(-u) nosaukums(-i)</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i/>
                <w:noProof/>
              </w:rPr>
              <w:t>NACE</w:t>
            </w:r>
            <w:r>
              <w:rPr>
                <w:rFonts w:ascii="Times New Roman" w:hAnsi="Times New Roman"/>
                <w:noProof/>
              </w:rPr>
              <w:t xml:space="preserve"> kods</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4. IEDAĻA</w:t>
      </w:r>
    </w:p>
    <w:p w14:paraId="52DF4152" w14:textId="77777777" w:rsidR="002138D6" w:rsidRPr="002138D6" w:rsidRDefault="002138D6" w:rsidP="002138D6">
      <w:pPr>
        <w:pStyle w:val="SectionTitle"/>
        <w:rPr>
          <w:noProof/>
        </w:rPr>
      </w:pPr>
      <w:r>
        <w:rPr>
          <w:noProof/>
        </w:rPr>
        <w:t xml:space="preserve">Koncentrācijas darījuma īss kopsavilkums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Sniedziet 1.1. iedaļā prasītās informācijas nekonfidenciālu kopsavilkumu (ne vairāk kā 250 vārdu apjomā), kurā ietverta šāda informācija: koncentrācijas darījuma īstenošanas veids (piemēram, kapitāldaļu iegāde, publisks pārņemšanas piedāvājums, līguma noslēgšana); Apvienošanās regulas panti, saskaņā ar kuriem darījums kvalificējas kā koncentrācijas darījums; attiecīgie uzņēmumi. Par katru attiecīgo uzņēmumu sniedziet pilnu nosaukumu, reģistrācijas valsti, galīgo kontrolējošo subjektu, darbību īsu aprakstu un darbības teritorijas. Jaunveidojamu kopuzņēmumu gadījumā norādiet plānotās darbības un darbības teritorijas. Šis kopsavilkums paziņošanas brīdī tiks publicēts Konkurences ĢD vietnē. Kopsavilkums jāsagatavo tā, lai tajā nebūtu konfidenciālas informācijas un komercnoslēpumu.</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Piemērs (šo piemēru no sagatavotā paziņojuma dzēst)</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Šis paziņojums attiecas uz šādiem uzņēmumiem:</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[A uzņēmuma pilnais nosaukums] ([A uzņēmuma īsais nosaukums], [A uzņēmuma reģistrācijas valsts]), kuru kontrolē [X uzņēmums],</w:t>
            </w:r>
            <w:r>
              <w:rPr>
                <w:noProof/>
              </w:rPr>
              <w:tab/>
              <w:t xml:space="preserve"> </w:t>
            </w:r>
            <w:r>
              <w:rPr>
                <w:noProof/>
              </w:rPr>
              <w:br/>
            </w:r>
            <w:r>
              <w:rPr>
                <w:rFonts w:ascii="Times New Roman" w:hAnsi="Times New Roman"/>
                <w:i/>
                <w:noProof/>
              </w:rPr>
              <w:t>[B uzņēmuma pilnais nosaukums] ([B uzņēmuma īsais nosaukums], [B uzņēmuma reģistrācijas valsts]), kuru kontrolē [Y uzņēmums].</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 uzņēmums] Apvienošanās regulas 3. panta 1. punkta b) apakšpunkta nozīmē vienpersoniski iegūs (pilnīgu/daļēju) kontroli pār [B uzņēmumu] VAI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 uzņēmums] Apvienošanās regulas 3. panta 1. punkta a) apakšpunkta nozīmē īstenos pilnīgu apvienošanos ar [B uzņēmumu], VAI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 uzņēmums] un [B uzņēmums] Apvienošanās regulas 3. panta 1. punkta b) apakšpunkta un 4. punkta nozīmē iegūs kopīgu kontroli pār [uzņēmumu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Koncentrācijas darījums tiek veikts [darījuma īstenošanas veids, piemēram, “iegādājoties daļas/aktīvus” u. tml.].</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Attiecīgie uzņēmumi veic šādu uzņēmējdarbību:</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[A uzņēmums] – [īss darbības apraksts, piemēram, “plaša profila ķīmiskās ražošanas uzņēmums, kura galvenās darbības jomas ir agronomija, specializētā plastmasa un ķīmiskās vielas un ogļūdeņražu un enerģētikas produkti un pakalpojumi”],</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[B uzņēmums] – [īss darbības apraksts, piemēram, “silikona tehnoloģiju un inovācijas uzņēmums, kura galvenās darbības jomas ir polimēru un citu silikona ķīmijas materiālu izstrāde un ražošana”].</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5. IEDAĻA</w:t>
      </w:r>
    </w:p>
    <w:p w14:paraId="52DF4165" w14:textId="77777777" w:rsidR="002138D6" w:rsidRPr="002138D6" w:rsidRDefault="002138D6" w:rsidP="002138D6">
      <w:pPr>
        <w:pStyle w:val="SectionTitle"/>
        <w:rPr>
          <w:noProof/>
        </w:rPr>
      </w:pPr>
      <w:r>
        <w:rPr>
          <w:noProof/>
        </w:rPr>
        <w:t>Koncentrācijas darījuma motīvi un grafiks</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Koncentrācijas darījuma motīvi </w:t>
            </w:r>
          </w:p>
          <w:p w14:paraId="52DF4167"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en-US"/>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Sniedziet iecerētā koncentrācijas darījuma motīvu īsu kopsavilkumu.</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Grafiks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Sniedziet īsu kopsavilkumu par iecerētā koncentrācijas darījuma īstenošanas grafiku (tai skaitā juridiski saistošo datumu darījuma pabeigšanai, ja tāds ir).</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Attiecīgā gadījumā papildu informācija, kuru vēlaties darīt zināmu Komisijai.</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6. IEDAĻA</w:t>
      </w:r>
    </w:p>
    <w:p w14:paraId="52DF4176" w14:textId="77777777" w:rsidR="002138D6" w:rsidRPr="002138D6" w:rsidRDefault="002138D6" w:rsidP="002138D6">
      <w:pPr>
        <w:pStyle w:val="SectionTitle"/>
        <w:rPr>
          <w:noProof/>
        </w:rPr>
      </w:pPr>
      <w:r>
        <w:rPr>
          <w:noProof/>
        </w:rPr>
        <w:t>Jurisdikcija</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Īss koncentrācijas darījuma un kontroles maiņas apraksts (ne vairāk kā 250 vārdu apjomā)</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1. piemērs (šo piemēru no sagatavotā paziņojuma dzēst)</w:t>
            </w:r>
          </w:p>
          <w:p w14:paraId="52DF4179" w14:textId="1EE92F40"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 xml:space="preserve">Saskaņā ar X.X.XX. parakstīto kapitāldaļu pirkšanas un pārdošanas līgumu [A uzņēmums] iegūs kapitāldaļas, kas atbilst 75 % no visām [B uzņēmuma] balsstiesībām. Atlikušie 25 % [B uzņēmuma] balsstiesību būs [mazākuma </w:t>
            </w:r>
            <w:r w:rsidR="003C04F4">
              <w:rPr>
                <w:rFonts w:ascii="Times New Roman" w:hAnsi="Times New Roman"/>
                <w:i/>
                <w:noProof/>
              </w:rPr>
              <w:t>dalībn</w:t>
            </w:r>
            <w:r>
              <w:rPr>
                <w:rFonts w:ascii="Times New Roman" w:hAnsi="Times New Roman"/>
                <w:i/>
                <w:noProof/>
              </w:rPr>
              <w:t>iekam M]. Tā kā lēmumi par [B uzņēmuma] komercstratēģiju tiks pieņemti ar vienkāršu balsu vairākumu, [A uzņēmumam] kā kapitāldaļu un balsstiesību vairākuma turētājam būs izšķiroša ietekme uz [B uzņēmumu]. Tādējādi [A uzņēmumam] būs vienpersoniska kontrole pār [B uzņēmumu].</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2. piemērs (šo piemēru no sagatavotā paziņojuma dzēst)</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Saskaņā ar X.X.XX. parakstīto kapitāldaļu pirkšanas un pārdošanas līgumu [A uzņēmums] iegūs kapitāldaļas, kas atbilst 40 % no visām [B uzņēmuma] balsstiesībām. Atlikušie 60 % [B uzņēmuma] balsstiesību būs [C uzņēmumam]. Valdē būs septiņi locekļi, no kuriem trijus iecels [A uzņēmums]. [A uzņēmumam] būs veto tiesības attiecībā uz augstākās vadības iecelšanu, budžetu un uzņēmējdarbības plānu. Tādējādi [A uzņēmumam] un [C uzņēmumam] būs kopīga kontrole pār [B uzņēmumu].</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Kontroles iegūšana </w:t>
      </w:r>
    </w:p>
    <w:p w14:paraId="52DF4180"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b/>
          <w:noProof/>
        </w:rPr>
        <w:t>Vienpersoniskas kontroles iegūšana</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Ieguvējs iegūst vienpersonisku kontroli par mērķuzņēmumu(-iem) Apvienošanās regulas 3. panta 2. punkta nozīmē. Atzīmējot attiecīgos lodziņus, norādiet, kādā veidā tiek iegūta vienpersoniskā kontrole.</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5830DE"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[1. uzņēmums] iegūst pozitīvu vienpersonisku kontroli, t. i., mērķuzņēmuma(-u) balsstiesību vairākumu (</w:t>
            </w:r>
            <w:r w:rsidR="004E11D1">
              <w:rPr>
                <w:rFonts w:ascii="Times New Roman" w:hAnsi="Times New Roman"/>
                <w:i/>
                <w:noProof/>
              </w:rPr>
              <w:t>de iure</w:t>
            </w:r>
            <w:r w:rsidR="004E11D1">
              <w:rPr>
                <w:rFonts w:ascii="Times New Roman" w:hAnsi="Times New Roman"/>
                <w:noProof/>
              </w:rPr>
              <w:t xml:space="preserve"> vienpersoniska kontrole).</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5830DE"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[1. uzņēmums] iegūst negatīvu vienpersonisku kontroli, t. i., iespēju izmantot vienpersoniskas veto tiesības attiecībā uz stratēģiskiem lēmumiem (</w:t>
            </w:r>
            <w:r w:rsidR="004E11D1">
              <w:rPr>
                <w:rFonts w:ascii="Times New Roman" w:hAnsi="Times New Roman"/>
                <w:i/>
                <w:noProof/>
              </w:rPr>
              <w:t>de iure</w:t>
            </w:r>
            <w:r w:rsidR="004E11D1">
              <w:rPr>
                <w:rFonts w:ascii="Times New Roman" w:hAnsi="Times New Roman"/>
                <w:noProof/>
              </w:rPr>
              <w:t xml:space="preserve"> vienpersoniska kontrole). Norādiet, par kādiem stratēģiskajiem lēmumiem ir runa:</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28B082C2"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[1. uzņēmums] iegūst </w:t>
            </w:r>
            <w:r>
              <w:rPr>
                <w:rFonts w:ascii="Times New Roman" w:hAnsi="Times New Roman"/>
                <w:i/>
                <w:noProof/>
              </w:rPr>
              <w:t>de facto</w:t>
            </w:r>
            <w:r>
              <w:rPr>
                <w:rFonts w:ascii="Times New Roman" w:hAnsi="Times New Roman"/>
                <w:noProof/>
              </w:rPr>
              <w:t xml:space="preserve"> vienpersonisku kontroli pār mērķuzņēmumu(-iem), un ļoti iespējams, ka ar tā [norādiet precīzu </w:t>
            </w:r>
            <w:r w:rsidR="003C04F4">
              <w:rPr>
                <w:rFonts w:ascii="Times New Roman" w:hAnsi="Times New Roman"/>
                <w:noProof/>
              </w:rPr>
              <w:t>līdzdalību</w:t>
            </w:r>
            <w:r>
              <w:rPr>
                <w:rFonts w:ascii="Times New Roman" w:hAnsi="Times New Roman"/>
                <w:noProof/>
              </w:rPr>
              <w:t xml:space="preserve"> un balsstiesības procentos] panāktu vairākumu (mērķuzņēmuma) </w:t>
            </w:r>
            <w:r w:rsidR="003C04F4">
              <w:rPr>
                <w:rFonts w:ascii="Times New Roman" w:hAnsi="Times New Roman"/>
                <w:noProof/>
              </w:rPr>
              <w:t>dalībniek</w:t>
            </w:r>
            <w:r>
              <w:rPr>
                <w:rFonts w:ascii="Times New Roman" w:hAnsi="Times New Roman"/>
                <w:noProof/>
              </w:rPr>
              <w:t xml:space="preserve">u sanāksmēs.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Norādiet arī, vai konkrētajam koncentrācijas darījumam piemīt kāda no šīm iezīmēm: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5288116"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Pēdējos piecos gados balsošanas profils mērķuzņēmuma(-u) </w:t>
            </w:r>
            <w:r w:rsidR="003C04F4">
              <w:rPr>
                <w:noProof/>
                <w:sz w:val="22"/>
              </w:rPr>
              <w:t>dalībniek</w:t>
            </w:r>
            <w:r>
              <w:rPr>
                <w:noProof/>
                <w:sz w:val="22"/>
              </w:rPr>
              <w:t xml:space="preserve">u sanāksmē ir bijis šāds: [par katru gadu sniedziet šo sanāksmju apmeklētības līmeni]. [1. uzņēmumam] ar tā </w:t>
            </w:r>
            <w:r w:rsidR="003C04F4" w:rsidRPr="003C04F4">
              <w:rPr>
                <w:noProof/>
                <w:sz w:val="22"/>
              </w:rPr>
              <w:t>līdzdalību</w:t>
            </w:r>
            <w:r>
              <w:rPr>
                <w:noProof/>
                <w:sz w:val="22"/>
              </w:rPr>
              <w:t xml:space="preserve"> [norādiet attiecīgās sanāksmes]. gadā </w:t>
            </w:r>
            <w:r w:rsidR="003C04F4">
              <w:rPr>
                <w:noProof/>
                <w:sz w:val="22"/>
              </w:rPr>
              <w:t>dalībniek</w:t>
            </w:r>
            <w:r>
              <w:rPr>
                <w:noProof/>
                <w:sz w:val="22"/>
              </w:rPr>
              <w:t xml:space="preserve">u sanāksmē būtu bijis vairākums.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Pārējās kapitāldaļas ir ļoti izkliedētas.</w:t>
            </w:r>
          </w:p>
          <w:p w14:paraId="52DF418C" w14:textId="3A251696"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Citiem nozīmīgiem </w:t>
            </w:r>
            <w:r w:rsidR="003C04F4">
              <w:rPr>
                <w:noProof/>
                <w:sz w:val="22"/>
              </w:rPr>
              <w:t>dalībniek</w:t>
            </w:r>
            <w:r>
              <w:rPr>
                <w:noProof/>
                <w:sz w:val="22"/>
              </w:rPr>
              <w:t xml:space="preserve">iem ir strukturālas, ekonomiskas vai ģimenes saiknes ar [1. uzņēmumu]. Raksturojiet šīs saiknes: [..]. </w:t>
            </w:r>
          </w:p>
          <w:p w14:paraId="52DF418D" w14:textId="2531162B"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Citu </w:t>
            </w:r>
            <w:r w:rsidR="003C04F4">
              <w:rPr>
                <w:noProof/>
                <w:sz w:val="22"/>
              </w:rPr>
              <w:t>dalībniek</w:t>
            </w:r>
            <w:r>
              <w:rPr>
                <w:noProof/>
                <w:sz w:val="22"/>
              </w:rPr>
              <w:t>u līdzdalība (mērķuzņēmumā) ir tīri finansiāla.</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5830DE"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noProof/>
        </w:rPr>
        <w:t xml:space="preserve"> </w:t>
      </w:r>
      <w:r w:rsidR="004E11D1">
        <w:rPr>
          <w:rFonts w:ascii="Times New Roman" w:hAnsi="Times New Roman"/>
          <w:b/>
          <w:noProof/>
        </w:rPr>
        <w:t xml:space="preserve">Kopīgas kontroles iegūšana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Pr>
                    <w:rFonts w:ascii="Segoe UI Symbol" w:hAnsi="Segoe UI Symbol" w:cs="Segoe UI Symbol"/>
                    <w:noProof/>
                    <w:sz w:val="20"/>
                    <w:lang w:val="en-US"/>
                  </w:rPr>
                  <w:t>☐</w:t>
                </w:r>
              </w:sdtContent>
            </w:sdt>
            <w:r w:rsidR="004E11D1">
              <w:rPr>
                <w:noProof/>
              </w:rPr>
              <w:t xml:space="preserve"> </w:t>
            </w:r>
            <w:r w:rsidR="004E11D1">
              <w:rPr>
                <w:rFonts w:ascii="Times New Roman" w:hAnsi="Times New Roman"/>
                <w:noProof/>
                <w:sz w:val="20"/>
              </w:rPr>
              <w:t xml:space="preserve">[1. uzņēmums], [2. uzņēmums] un [3. uzņēmums] (ja nepieciešams, papildiniet) iegūst kopīgu kontroli pār mērķuzņēmumu(-iem) Apvienošanās regulas 3. panta 2. punkta nozīmē, un šo kontroli nodrošina balsstiesību paritāte vai pārstāvība lēmumu pieņemšanas struktūrās, vai veto tiesības (Komisijas konsolidētā jurisdikcijas paziņojuma 64.–73. punkts).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Kontroles ieguvēji</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1. uzņēmums</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2. uzņēmums</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3. uzņēmums</w:t>
            </w:r>
          </w:p>
        </w:tc>
      </w:tr>
      <w:tr w:rsidR="002138D6" w:rsidRPr="002138D6" w14:paraId="52DF419F" w14:textId="77777777" w:rsidTr="00D50649">
        <w:tc>
          <w:tcPr>
            <w:tcW w:w="2483" w:type="dxa"/>
          </w:tcPr>
          <w:p w14:paraId="52DF419B" w14:textId="0670E613" w:rsidR="002138D6" w:rsidRPr="002138D6" w:rsidRDefault="00240140" w:rsidP="00D50649">
            <w:pPr>
              <w:rPr>
                <w:rFonts w:ascii="Times New Roman" w:eastAsia="Calibri" w:hAnsi="Times New Roman" w:cs="Times New Roman"/>
                <w:b/>
                <w:noProof/>
              </w:rPr>
            </w:pPr>
            <w:r>
              <w:rPr>
                <w:rFonts w:ascii="Times New Roman" w:hAnsi="Times New Roman"/>
                <w:b/>
                <w:noProof/>
                <w:sz w:val="16"/>
              </w:rPr>
              <w:t>Līdzdalība</w:t>
            </w:r>
            <w:r w:rsidR="002138D6">
              <w:rPr>
                <w:rFonts w:ascii="Times New Roman" w:hAnsi="Times New Roman"/>
                <w:b/>
                <w:noProof/>
                <w:sz w:val="16"/>
              </w:rPr>
              <w:t xml:space="preserve"> kopuzņēmumā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Balsstiesības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Mērķuzņēmuma lēmumu pieņemšanas struktūrā iecelto pārstāvju skaits</w:t>
            </w:r>
            <w:r>
              <w:rPr>
                <w:rStyle w:val="FootnoteReference"/>
                <w:rFonts w:ascii="Times New Roman" w:hAnsi="Times New Roman" w:cs="Times New Roman"/>
                <w:b/>
                <w:noProof/>
                <w:sz w:val="16"/>
                <w:lang w:val="en-US"/>
              </w:rPr>
              <w:footnoteReference w:id="31"/>
            </w:r>
            <w:r>
              <w:rPr>
                <w:rFonts w:ascii="Times New Roman" w:hAnsi="Times New Roman"/>
                <w:b/>
                <w:noProof/>
                <w:sz w:val="16"/>
              </w:rPr>
              <w:t> / lēmumu pieņemšanas struktūras locekļu kopskaits</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Vadības struktūras pārstāvim ir izšķirošā balss (jā/nē)</w:t>
            </w:r>
          </w:p>
        </w:tc>
        <w:tc>
          <w:tcPr>
            <w:tcW w:w="2483" w:type="dxa"/>
          </w:tcPr>
          <w:p w14:paraId="52DF41AB" w14:textId="77777777" w:rsidR="002138D6" w:rsidRPr="002138D6" w:rsidRDefault="005830DE"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AC" w14:textId="77777777" w:rsidR="002138D6" w:rsidRPr="002138D6" w:rsidRDefault="005830DE"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3" w:type="dxa"/>
          </w:tcPr>
          <w:p w14:paraId="52DF41AD" w14:textId="77777777" w:rsidR="002138D6" w:rsidRPr="002138D6" w:rsidRDefault="005830DE"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AE" w14:textId="77777777" w:rsidR="002138D6" w:rsidRPr="002138D6" w:rsidRDefault="005830DE"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4" w:type="dxa"/>
          </w:tcPr>
          <w:p w14:paraId="52DF41AF" w14:textId="77777777" w:rsidR="002138D6" w:rsidRPr="002138D6" w:rsidRDefault="005830DE"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B0" w14:textId="77777777" w:rsidR="002138D6" w:rsidRPr="002138D6" w:rsidRDefault="005830DE"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tiesības attiecībā uz augstākās vadības iecelšanu (jā/nē)</w:t>
            </w:r>
          </w:p>
        </w:tc>
        <w:tc>
          <w:tcPr>
            <w:tcW w:w="2483" w:type="dxa"/>
          </w:tcPr>
          <w:p w14:paraId="52DF41B3"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B4"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3" w:type="dxa"/>
          </w:tcPr>
          <w:p w14:paraId="52DF41B5"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B6"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4" w:type="dxa"/>
          </w:tcPr>
          <w:p w14:paraId="52DF41B7"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B8"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tiesības attiecībā uz uzņēmējdarbības plāna pieņemšanu (jā/nē)</w:t>
            </w:r>
          </w:p>
          <w:p w14:paraId="52DF41BB"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BC"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BD"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3" w:type="dxa"/>
          </w:tcPr>
          <w:p w14:paraId="52DF41BE"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BF"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4" w:type="dxa"/>
          </w:tcPr>
          <w:p w14:paraId="52DF41C0"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C1"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Ja atbilde ir “Jā”, iesniedziet mērķuzņēmuma jaunākā uzņēmējdarbības plāna kopiju.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tiesības attiecībā uz budžeta pieņemšanu (jā/nē)</w:t>
            </w:r>
          </w:p>
        </w:tc>
        <w:tc>
          <w:tcPr>
            <w:tcW w:w="2483" w:type="dxa"/>
          </w:tcPr>
          <w:p w14:paraId="52DF41C7"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C8"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3" w:type="dxa"/>
          </w:tcPr>
          <w:p w14:paraId="52DF41C9"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CA"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c>
          <w:tcPr>
            <w:tcW w:w="2484" w:type="dxa"/>
          </w:tcPr>
          <w:p w14:paraId="52DF41CB"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CC" w14:textId="77777777" w:rsidR="002138D6" w:rsidRPr="002138D6" w:rsidRDefault="005830DE"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tiesības attiecībā uz investīcijām</w:t>
            </w:r>
          </w:p>
        </w:tc>
        <w:tc>
          <w:tcPr>
            <w:tcW w:w="2483" w:type="dxa"/>
          </w:tcPr>
          <w:p w14:paraId="52DF41CF"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D0"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Laukā zem šā teksta norādiet investīciju līmeni un to veikšanas biežumu konkrētajā nozarē: </w:t>
            </w:r>
          </w:p>
        </w:tc>
        <w:tc>
          <w:tcPr>
            <w:tcW w:w="2483" w:type="dxa"/>
          </w:tcPr>
          <w:p w14:paraId="52DF41D2"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D3"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Laukā zem šā teksta norādiet investīciju līmeni un to veikšanas biežumu konkrētajā nozarē: </w:t>
            </w:r>
          </w:p>
        </w:tc>
        <w:tc>
          <w:tcPr>
            <w:tcW w:w="2484" w:type="dxa"/>
          </w:tcPr>
          <w:p w14:paraId="52DF41D5"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D6"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Laukā zem šā teksta norādiet investīciju līmeni un to veikšanas biežumu konkrētajā nozarē: </w:t>
            </w:r>
          </w:p>
        </w:tc>
      </w:tr>
      <w:tr w:rsidR="002138D6" w:rsidRPr="002138D6" w14:paraId="52DF41DD" w14:textId="77777777" w:rsidTr="00D50649">
        <w:tc>
          <w:tcPr>
            <w:tcW w:w="2483" w:type="dxa"/>
            <w:vMerge/>
            <w:vAlign w:val="center"/>
          </w:tcPr>
          <w:p w14:paraId="52DF41D9"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DA"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3" w:type="dxa"/>
          </w:tcPr>
          <w:p w14:paraId="52DF41DB"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4" w:type="dxa"/>
          </w:tcPr>
          <w:p w14:paraId="52DF41DC"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Citas tiesības attiecībā uz tirgu</w:t>
            </w:r>
          </w:p>
        </w:tc>
        <w:tc>
          <w:tcPr>
            <w:tcW w:w="2483" w:type="dxa"/>
          </w:tcPr>
          <w:p w14:paraId="52DF41DF"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E0"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Laukā zem šā teksta norādiet veto tiesību veidu:</w:t>
            </w:r>
          </w:p>
        </w:tc>
        <w:tc>
          <w:tcPr>
            <w:tcW w:w="2483" w:type="dxa"/>
          </w:tcPr>
          <w:p w14:paraId="52DF41E2"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E3"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Laukā zem šā teksta norādiet veto tiesību veidu:</w:t>
            </w:r>
          </w:p>
        </w:tc>
        <w:tc>
          <w:tcPr>
            <w:tcW w:w="2484" w:type="dxa"/>
          </w:tcPr>
          <w:p w14:paraId="52DF41E5"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Jā</w:t>
            </w:r>
          </w:p>
          <w:p w14:paraId="52DF41E6"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Nē</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Laukā zem šā teksta norādiet veto tiesību veidu:</w:t>
            </w:r>
          </w:p>
        </w:tc>
      </w:tr>
      <w:tr w:rsidR="002138D6" w:rsidRPr="002138D6" w14:paraId="52DF41ED" w14:textId="77777777" w:rsidTr="00D50649">
        <w:tc>
          <w:tcPr>
            <w:tcW w:w="2483" w:type="dxa"/>
            <w:vMerge/>
            <w:vAlign w:val="center"/>
          </w:tcPr>
          <w:p w14:paraId="52DF41E9"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EA"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3" w:type="dxa"/>
          </w:tcPr>
          <w:p w14:paraId="52DF41EB"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4" w:type="dxa"/>
          </w:tcPr>
          <w:p w14:paraId="52DF41EC"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r>
      <w:tr w:rsidR="002138D6" w:rsidRPr="002138D6" w14:paraId="52DF41F1" w14:textId="77777777" w:rsidTr="00D50649">
        <w:tc>
          <w:tcPr>
            <w:tcW w:w="9933" w:type="dxa"/>
            <w:gridSpan w:val="4"/>
            <w:vAlign w:val="center"/>
          </w:tcPr>
          <w:p w14:paraId="52DF41EE" w14:textId="77777777" w:rsidR="002138D6" w:rsidRPr="002138D6" w:rsidRDefault="005830DE"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Pr>
                    <w:rFonts w:ascii="Segoe UI Symbol" w:hAnsi="Segoe UI Symbol" w:cs="Segoe UI Symbol"/>
                    <w:noProof/>
                    <w:sz w:val="16"/>
                    <w:szCs w:val="16"/>
                    <w:lang w:val="en-US"/>
                  </w:rPr>
                  <w:t>☐</w:t>
                </w:r>
              </w:sdtContent>
            </w:sdt>
            <w:r w:rsidR="004E11D1">
              <w:rPr>
                <w:noProof/>
              </w:rPr>
              <w:t xml:space="preserve"> </w:t>
            </w:r>
            <w:r w:rsidR="004E11D1">
              <w:rPr>
                <w:rFonts w:ascii="Times New Roman" w:hAnsi="Times New Roman"/>
                <w:noProof/>
                <w:sz w:val="20"/>
              </w:rPr>
              <w:t xml:space="preserve">[1. uzņēmums], [2. uzņēmums] un [3. uzņēmums] (ja nepieciešams, papildiniet) iegūst kopīgu kontroli pār mērķuzņēmumu(-iem) Apvienošanās regulas 3. panta 2. punkta nozīmē citādā veidā (skatīt Komisijas konsolidētā jurisdikcijas paziņojuma 74.–80. punktu), konkrēti: </w:t>
            </w:r>
          </w:p>
          <w:p w14:paraId="52DF41EF"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 w:val="20"/>
                    <w:lang w:val="en-US"/>
                  </w:rPr>
                  <w:t>☐</w:t>
                </w:r>
              </w:sdtContent>
            </w:sdt>
            <w:r w:rsidR="004E11D1">
              <w:rPr>
                <w:noProof/>
              </w:rPr>
              <w:t xml:space="preserve"> </w:t>
            </w:r>
            <w:r w:rsidR="004E11D1">
              <w:rPr>
                <w:rFonts w:ascii="Times New Roman" w:hAnsi="Times New Roman"/>
                <w:noProof/>
                <w:sz w:val="20"/>
              </w:rPr>
              <w:t xml:space="preserve">[1. uzņēmums], [2. uzņēmums] un [3. uzņēmums] (ja nepieciešams, papildiniet) iegūst kopīgu kontroli pār mērķuzņēmumu(-iem), izmantojot balsstiesību kopības nolīgumu, pārvaldītājsabiedrību vai citus juridiskus līdzekļus. </w:t>
            </w:r>
          </w:p>
          <w:p w14:paraId="52DF41F0" w14:textId="77777777" w:rsidR="002138D6" w:rsidRPr="002138D6" w:rsidRDefault="005830DE"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 w:val="20"/>
                    <w:lang w:val="en-US"/>
                  </w:rPr>
                  <w:t>☐</w:t>
                </w:r>
              </w:sdtContent>
            </w:sdt>
            <w:r w:rsidR="004E11D1">
              <w:rPr>
                <w:noProof/>
              </w:rPr>
              <w:t xml:space="preserve"> </w:t>
            </w:r>
            <w:r w:rsidR="004E11D1">
              <w:rPr>
                <w:rFonts w:ascii="Times New Roman" w:hAnsi="Times New Roman"/>
                <w:noProof/>
                <w:sz w:val="20"/>
              </w:rPr>
              <w:t xml:space="preserve">[1. uzņēmums], [2. uzņēmums] un [3. uzņēmums] (ja nepieciešams, papildiniet) iegūst </w:t>
            </w:r>
            <w:r w:rsidR="004E11D1">
              <w:rPr>
                <w:rFonts w:ascii="Times New Roman" w:hAnsi="Times New Roman"/>
                <w:i/>
                <w:noProof/>
                <w:sz w:val="20"/>
              </w:rPr>
              <w:t>de facto</w:t>
            </w:r>
            <w:r w:rsidR="004E11D1">
              <w:rPr>
                <w:rFonts w:ascii="Times New Roman" w:hAnsi="Times New Roman"/>
                <w:noProof/>
                <w:sz w:val="20"/>
              </w:rPr>
              <w:t xml:space="preserve"> kopīgu kontroli pār mērķuzņēmumu(-iem) spēcīgas interešu kopības dēļ. Raksturojiet šo interešu kopību: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Pilnfunkciju kopuzņēmumi (aizpildīt tikai tad, ja uz koncentrācijas darījumu attiecas Apvienošanās regulas 3. panta 4. punkts vai 3. panta 1. punkta b) apakšpunkts apvienojumā ar 3. panta 4. punktu)</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5830DE"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Kopuzņēmums ir pilnfunkciju kopuzņēmums Apvienošanās regulas 3. panta 4. punkta nozīmē, jo tas ilgtermiņā pildīs visas autonoma saimnieciskā subjekta funkcijas. Konkrēti:</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Kopuzņēmumam būs pietiekami resursi neatkarīgai darbībai tirgū, jo īpaši atsevišķa vadība un pietiekama apjoma finanšu resursi, darbaspēks un aktīvi.</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Kopuzņēmumam būs pašam sava piekļuve tirgum vai klātbūtne tirgū neatkarīgi no tā mātesuzņēmumiem.</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 xml:space="preserve">Kopuzņēmuma noietu ilgtermiņā (t. i., pēc sākotnējā trīs gadu perioda) vairāk nekā 50 % apjomā veidos pārdošana trešām personām.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VAI</w:t>
            </w:r>
          </w:p>
          <w:p w14:paraId="52DF41FC"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 xml:space="preserve">Paredzams, ka kopuzņēmuma noietu pēc sākotnējā perioda vairāk nekā 50 % apjomā veidos pārdošana mātesuzņēmumiem, taču pārdošana notiks atbilstoši tirgus nosacījumiem, tai skaitā atbilstoši tiem pašiem noteikumiem kā pārdošana trešām personām.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 xml:space="preserve">Paredzēts, ka kopuzņēmums darbosies ilgtermiņā, jo tam nav paredzēts īss un ierobežots darbības laiks – tas būs [norādīt ilgumu]. </w:t>
            </w:r>
          </w:p>
          <w:p w14:paraId="52DF41FF"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 xml:space="preserve">Nav nepieciešami nekādi trešo personu vai ārēji lēmumi, kuriem būtu ļoti svarīga nozīme kopuzņēmuma uzņēmējdarbības sākšanā.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 xml:space="preserve">Cits pamatojums: [norādīt].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Attiecīgā gadījumā papildu informācija, kuru vēlaties darīt zināmu Komisijai.</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7. IEDAĻA</w:t>
      </w:r>
    </w:p>
    <w:p w14:paraId="52DF4208" w14:textId="77777777" w:rsidR="002138D6" w:rsidRPr="002138D6" w:rsidRDefault="002138D6" w:rsidP="002138D6">
      <w:pPr>
        <w:pStyle w:val="SectionTitle"/>
        <w:rPr>
          <w:noProof/>
        </w:rPr>
      </w:pPr>
      <w:r>
        <w:rPr>
          <w:noProof/>
        </w:rPr>
        <w:t>Darījuma kategorija (saskaņā ar Paziņojuma par vienkāršoto procedūru attiecīgajiem punktiem)</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Paziņojuma par vienkāršoto procedūru 5. punkta a) apakšpunkts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5830DE"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Kopuzņēmums nedarbojas Eiropas Ekonomikas zonas (EEZ) teritorijā: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kopuzņēmums negūst (t. i., paziņošanas brīdī) un nav paredzējis (triju gadu laikā no paziņošanas brīža) gūt apgrozījumu EEZ;</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kopuzņēmuma mātesuzņēmumi paziņošanas brīdī nav plānojuši kopuzņēmumam nodot aktīvus EEZ teritorijā</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Ja koncentrācijas darījums atbilst Paziņojuma par vienkāršoto procedūru 5. punkta a) apakšpunkta kritērijiem, 8., 9. un 11. iedaļa nav jāaizpilda.</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UN/VAI</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Paziņojuma par vienkāršoto procedūru 5. punkta b) apakšpunkts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 xml:space="preserve">Kopuzņēmums tikai nebūtiskā apjomā darbojas vai plāno darboties EEZ: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kopuzņēmuma pašreizējais gada apgrozījums un/vai nododamo darbību apgrozījums</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paziņošanas brīdī, kā arī paredzamais gada apgrozījums EEZ teritorijā triju gadu laikā no paziņošanas brīža ir mazāks par 100 miljoniem EUR;</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kopuzņēmumam paziņošanas brīdī EEZ teritorijā ir plānots nodot aktīvus</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kuru kopējā vērtība ir mazāka par 100 miljoniem EUR.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UN/VAI</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Paziņojuma par vienkāršoto procedūru 5. punkta c) apakšpunkts</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Neviena no koncentrācijas darījuma pusēm nedarbojas vienā un tajā pašā produktu un ģeogrāfiskajā tirgū.</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5830DE"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Neviena no koncentrācijas darījuma pusēm nedarbojas augšupējā vai lejupējā tirgū attiecībā pret citām pusēm.</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Ja koncentrācijas darījums atbilst Paziņojuma par vienkāršoto procedūru 5. punkta c) apakšpunkta kritērijiem, 8., 9. un 11. iedaļa nav jāaizpilda.</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UN/VAI</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Paziņojuma par vienkāršoto procedūru 5. punkta d) apakšpunkts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5830DE"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Divi vai vairāki uzņēmumi apvienojas vai viens vai vairāki uzņēmumi iegūst attiecīgi vienpersonisku vai kopīgu kontroli pār citu uzņēmumu un attiecībā uz visām iespējamajām tirgus definīcijām ir izpildīti Paziņojuma par vienkāršoto procedūru 5. punkta d) apakšpunkta i) un ii) apakšpunkta nosacījumi</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5830DE"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Visu koncentrācijas darījuma pušu, kuras veic uzņēmējdarbību vienā un tajā pašā produktu un ģeogrāfiskajā tirgū (horizontālā pārklāšanās), kopējā tirgus daļa atbilst vismaz vienam no šiem nosacījumiem:</w:t>
            </w:r>
          </w:p>
          <w:p w14:paraId="52DF4227"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tā ir mazāka par 20 %; </w:t>
            </w:r>
          </w:p>
          <w:p w14:paraId="52DF4228"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tā ir mazāka par 50 % un </w:t>
            </w:r>
            <w:r w:rsidR="004E11D1">
              <w:rPr>
                <w:rFonts w:ascii="Times New Roman" w:hAnsi="Times New Roman"/>
                <w:i/>
                <w:noProof/>
              </w:rPr>
              <w:t>Herfindahl-Hirschman</w:t>
            </w:r>
            <w:r w:rsidR="004E11D1">
              <w:rPr>
                <w:rFonts w:ascii="Times New Roman" w:hAnsi="Times New Roman"/>
                <w:noProof/>
              </w:rPr>
              <w:t xml:space="preserve"> indeksa (“</w:t>
            </w:r>
            <w:r w:rsidR="004E11D1">
              <w:rPr>
                <w:rFonts w:ascii="Times New Roman" w:hAnsi="Times New Roman"/>
                <w:i/>
                <w:noProof/>
              </w:rPr>
              <w:t>HHI</w:t>
            </w:r>
            <w:r w:rsidR="004E11D1">
              <w:rPr>
                <w:rFonts w:ascii="Times New Roman" w:hAnsi="Times New Roman"/>
                <w:noProof/>
              </w:rPr>
              <w:t>”) izmaiņu rādītājs (“delta”), kas izriet no koncentrācijas darījuma, šajā tirgū ir mazāks par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5830DE"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rPr>
              <w:t>Visām koncentrācijas darījuma pusēm, kuras veic uzņēmējdarbību augšupējā vai lejupējā produktu tirgū attiecībā pret produktu tirgu, kurā darbojas jebkura cita koncentrācijas darījuma puse (vertikālās attiecības), atsevišķā un kopējā tirgus daļa atbilst vismaz vienam no šiem nosacījumiem:</w:t>
            </w:r>
          </w:p>
          <w:p w14:paraId="52DF422B"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tā ir mazāka par 30 % gan augšupējos, gan lejupējos tirgos;</w:t>
            </w:r>
          </w:p>
          <w:p w14:paraId="52DF422C"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tā ir mazāka par 30 % augšupējā tirgū un pusēm, kuras darbojas lejupējā tirgū, tirgus daļa attiecībā uz augšupējo resursu iegādi ir mazāka par 30 %;</w:t>
            </w:r>
          </w:p>
          <w:p w14:paraId="52DF422D"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tā ir mazāka par 50 % gan augšupējos, gan lejupējos tirgos un HHI izmaiņu rādītājs (“delta”), kas izriet no koncentrācijas darījuma, gan augšupējos, gan lejupējos tirgos ir mazāks par 150, un tirgus daļas ziņā mazākais uzņēmums ir tas pats gan augšupējos, gan lejupējos tirgos</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UN/VAI</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Paziņojuma par vienkāršoto procedūru 5. punkta e) apakšpunkts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5830DE"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Paziņotāja puse iegūst vienpersonisku kontroli pār uzņēmumu, pār kuru tai jau ir kopīga kontrole.</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UN/VAI</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Paziņojuma par vienkāršoto procedūru 8. punkts (elastīguma klauzula)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Atbilstoši visām iespējamajām tirgus definīcijām i) pušu kopējā tirgus daļa ir mazāka par 25 % ikvienā konkrētajā tirgū, kurā pušu darbības pārklājas, un ii) nepastāv neviena no īpašajām situācijām, kas aprakstītas Paziņojuma par vienkāršoto procedūru II daļas C iedaļā.</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Atbilstoši visām iespējamajām tirgus definīcijām pušu kopējā tirgus daļa ir mazāka par 25 % ikvienā konkrētajā tirgū, kurā pušu darbības pārklājas, un, kaut arī pastāv viena vai vairākas no īpašajām situācijām, kas aprakstītas Paziņojuma par vienkāršoto procedūru II daļas C iedaļā, lieta 11. iedaļā norādīto iemeslu dēļ nerada konkurences problēmas.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Nepastāv neviena no īpašajām situācijām, kas aprakstītas Paziņojuma par vienkāršoto procedūru II daļas C iedaļā, un visām koncentrācijas darījuma pusēm, kuras veic uzņēmējdarbību augšupējā vai lejupējā tirgū attiecībā pret tirgu, kurā darbojas jebkura cita koncentrācijas darījuma puse (vertikālās attiecības), atsevišķā un kopējā tirgus daļa atbilst vismaz vienam no šiem nosacījumiem: </w:t>
            </w:r>
          </w:p>
          <w:p w14:paraId="52DF423A"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tā ir mazāka par 35 % gan augšupējos, gan lejupējos tirgos;</w:t>
            </w:r>
          </w:p>
          <w:p w14:paraId="52DF423B"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tā ir mazāka par 50 % vienā tirgū, bet visos pārējos vertikālo attiecību tirgos visu koncentrācijas darījuma pušu atsevišķās un kopējās tirgus daļas ir mazākas par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Pastāv viena vai vairākas no īpašajām situācijām, kas aprakstītas Paziņojuma par vienkāršoto procedūru II daļas C iedaļā, lieta 11. iedaļā norādīto iemeslu dēļ nerada konkurences problēmas, un visu vertikālās attiecībās esošo koncentrācijas darījuma pušu atsevišķā un kopējā tirgus daļa atbilst vismaz vienam no šiem nosacījumiem:</w:t>
            </w:r>
          </w:p>
          <w:p w14:paraId="52DF423E"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tā ir mazāka par 35 % gan augšupējos, gan lejupējos tirgos;</w:t>
            </w:r>
          </w:p>
          <w:p w14:paraId="52DF423F" w14:textId="77777777" w:rsidR="002138D6" w:rsidRPr="002138D6" w:rsidRDefault="005830DE"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 xml:space="preserve">tā ir mazāka par 50 % vienā tirgū, bet visos pārējos vertikālo attiecību tirgos visu koncentrācijas darījuma pušu atsevišķās un kopējās tirgus daļas ir mazākas par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UN/VAI</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Paziņojuma par vienkāršoto procedūru 9. punkts (elastīguma klauzula)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Kopuzņēmuma pašreizējais gada apgrozījums un/vai nododamo darbību apgrozījums</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EEZ teritorijā paziņošanas brīdī pārsniedz 100 miljonus EUR, bet ir mazāks par 150 miljoniem EUR.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Kopuzņēmumam paziņošanas brīdī EEZ teritorijā ir plānots nodot aktīvus, kuru kopējā vērtība pārsniedz 100 miljonus EUR, bet ir mazāka par 150 miljoniem EUR</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5830DE"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 xml:space="preserve">Ja kopuzņēmums darbojas EEZ teritorijā un koncentrācijas darījuma rezultātā rastos horizontālās pārklāšanās un/vai vertikālās attiecības, aizpildiet attiecīgi 8. un/vai 9. iedaļu.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Attiecīgā gadījumā papildu informācija, kuru vēlaties darīt zināmu Komisijai.</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8. IEDAĻA</w:t>
      </w:r>
    </w:p>
    <w:p w14:paraId="52DF4251" w14:textId="77777777" w:rsidR="002138D6" w:rsidRPr="002138D6" w:rsidRDefault="002138D6" w:rsidP="002138D6">
      <w:pPr>
        <w:pStyle w:val="SectionTitle"/>
        <w:rPr>
          <w:noProof/>
        </w:rPr>
      </w:pPr>
      <w:r>
        <w:rPr>
          <w:noProof/>
        </w:rPr>
        <w:t>Horizontālā pārklāšanās</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Aizpildiet nākamo tabulu, ja koncentrācijas darījuma rezultātā rastos horizontālās pārklāšanās, tai skaitā pārklāšanās starp i) izstrādes stadijā esošajiem produktiem</w:t>
      </w:r>
      <w:r>
        <w:rPr>
          <w:rStyle w:val="FootnoteReference"/>
          <w:rFonts w:ascii="Times New Roman" w:eastAsia="Calibri" w:hAnsi="Times New Roman" w:cs="Times New Roman"/>
          <w:b/>
          <w:noProof/>
        </w:rPr>
        <w:footnoteReference w:id="41"/>
      </w:r>
      <w:r>
        <w:rPr>
          <w:rFonts w:ascii="Times New Roman" w:hAnsi="Times New Roman"/>
          <w:b/>
          <w:noProof/>
        </w:rPr>
        <w:t xml:space="preserve"> un tirgotajiem produktiem vai ii) izstrādes stadijā esošajiem produktiem (t. i., savstarpēji)</w:t>
      </w:r>
      <w:r>
        <w:rPr>
          <w:rStyle w:val="FootnoteReference"/>
          <w:rFonts w:ascii="Times New Roman" w:hAnsi="Times New Roman" w:cs="Times New Roman"/>
          <w:noProof/>
        </w:rPr>
        <w:footnoteReference w:id="42"/>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Tabulu atkārtojiet tik daudz reižu, cik vajadzīgs, lai nosegtu visus iespējamos tirgus, ko esat apzinājuši.</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2138D6" w:rsidRDefault="002138D6" w:rsidP="002138D6">
      <w:pPr>
        <w:spacing w:after="0"/>
        <w:rPr>
          <w:rFonts w:ascii="Times New Roman" w:eastAsia="Times New Roman" w:hAnsi="Times New Roman" w:cs="Times New Roman"/>
          <w:noProof/>
          <w:lang w:val="en-US"/>
        </w:rPr>
        <w:sectPr w:rsidR="002138D6" w:rsidRPr="002138D6"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83"/>
        <w:gridCol w:w="1124"/>
        <w:gridCol w:w="1226"/>
        <w:gridCol w:w="1807"/>
        <w:gridCol w:w="924"/>
        <w:gridCol w:w="924"/>
        <w:gridCol w:w="924"/>
        <w:gridCol w:w="927"/>
        <w:gridCol w:w="924"/>
        <w:gridCol w:w="924"/>
        <w:gridCol w:w="3902"/>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Horizontālās pārklāšanās: tirgus daļas un izstrādes stadijā esošie produkti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(iekļaujiet atsauci uz attiecīgajiem punktiem)</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Apzinātais iespējamais produktu tirgus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Apzinātais iespējamais ģeogrāfiskais tirgus</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Piegādātājs</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gads</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gads</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gads</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Izstrādes stadijā esošie produkti</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(nosaukums)</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1. attiecīgais uzņēmums</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2. attiecīgais uzņēmums</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3. attiecīgais uzņēmums</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Kopā</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1. konkurents</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Atstāt neaizpildītu</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2. konkurents</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3. konkurents</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Citi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Kopā</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Atstāt neaizpildītu</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Tirgus lielums</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Aprakstiet pušu darbības šajā tirgū:</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Sniedziet sīkāku informāciju šeit (konkrēti, gadījumā, ja precedentu nav, norādiet pušu viedokli par produktu/ģeogrāfiskā tirgus definīciju):</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Tirgus daļu aprēķinā izmantotie rādītāji, avoti un metodika;  ja vērtība un apjoms nav visizplatītākie rādītāji tirgus daļu aprēķināšanai konkrētajos tirgos, norādiet tirgus daļas atbilstoši alternatīvajiem rādītājiem un sniedziet skaidrojumu: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Ja uz darījumu attiecas Paziņojuma par vienkāršoto procedūru 5. punkta d) apakšpunkta i) punkta bb) apakšpunkts, norādiet </w:t>
            </w:r>
            <w:r>
              <w:rPr>
                <w:rFonts w:ascii="Times New Roman" w:hAnsi="Times New Roman"/>
                <w:b/>
                <w:i/>
                <w:noProof/>
                <w:sz w:val="18"/>
              </w:rPr>
              <w:t>HHI</w:t>
            </w:r>
            <w:r>
              <w:rPr>
                <w:rFonts w:ascii="Times New Roman" w:hAnsi="Times New Roman"/>
                <w:b/>
                <w:noProof/>
                <w:sz w:val="18"/>
              </w:rPr>
              <w:t xml:space="preserve"> deltu: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Sniedziet informāciju par pušu un to konkurentu izstrādes stadijā esošajiem produktiem (tai skaitā izstrādes posmu):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Paredzētajā formātā norādiet 1., 2. un 3. konkurenta kontaktinformāciju:</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Attiecīgā gadījumā papildu informācija, kuru vēlaties darīt zināmu Komisijai.</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9. IEDAĻA</w:t>
      </w:r>
    </w:p>
    <w:p w14:paraId="52DF42EE" w14:textId="77777777" w:rsidR="002138D6" w:rsidRPr="002138D6" w:rsidRDefault="002138D6" w:rsidP="002138D6">
      <w:pPr>
        <w:pStyle w:val="SectionTitle"/>
        <w:keepNext w:val="0"/>
        <w:rPr>
          <w:noProof/>
        </w:rPr>
      </w:pPr>
      <w:r>
        <w:rPr>
          <w:noProof/>
        </w:rPr>
        <w:t>Vertikālās attiecības</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sidRPr="00BD15FE">
        <w:rPr>
          <w:rFonts w:ascii="Times New Roman" w:hAnsi="Times New Roman"/>
          <w:b/>
          <w:noProof/>
        </w:rPr>
        <w:t>Aizpildiet nākamo tabulu, ja koncentrācijas darījuma rezultātā rastos vertikālās attiecības</w:t>
      </w:r>
      <w:r w:rsidRPr="00BD15FE">
        <w:rPr>
          <w:rStyle w:val="FootnoteReference"/>
          <w:rFonts w:ascii="Times New Roman" w:hAnsi="Times New Roman" w:cs="Times New Roman"/>
          <w:noProof/>
        </w:rPr>
        <w:footnoteReference w:id="44"/>
      </w:r>
      <w:r w:rsidRPr="00BD15FE">
        <w:rPr>
          <w:rFonts w:ascii="Times New Roman" w:hAnsi="Times New Roman"/>
          <w:b/>
          <w:noProof/>
        </w:rPr>
        <w:t>, tai skaitā starp i) izstrādes stadijā esošajiem produktiem un tirgotajiem produktiem vai ii) izstrādes stadijā esošajiem produktiem (t. i., savstarpēji).</w:t>
      </w:r>
      <w:r>
        <w:rPr>
          <w:rFonts w:ascii="Times New Roman" w:hAnsi="Times New Roman"/>
          <w:b/>
          <w:noProof/>
        </w:rPr>
        <w:t xml:space="preserve">  Tabulu atkārtojiet tik daudz reižu, cik vajadzīgs, lai nosegtu visus iespējamos tirgus, ko esat apzinājuši</w:t>
      </w:r>
      <w:r>
        <w:rPr>
          <w:rStyle w:val="FootnoteReference"/>
          <w:rFonts w:ascii="Times New Roman" w:hAnsi="Times New Roman" w:cs="Times New Roman"/>
          <w:noProof/>
        </w:rPr>
        <w:footnoteReference w:id="45"/>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2138D6" w:rsidRDefault="002138D6" w:rsidP="002138D6">
      <w:pPr>
        <w:spacing w:after="0"/>
        <w:rPr>
          <w:rFonts w:ascii="Times New Roman" w:eastAsia="Times New Roman" w:hAnsi="Times New Roman" w:cs="Times New Roman"/>
          <w:noProof/>
          <w:lang w:val="en-US"/>
        </w:rPr>
        <w:sectPr w:rsidR="002138D6" w:rsidRPr="002138D6"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83"/>
        <w:gridCol w:w="1083"/>
        <w:gridCol w:w="1203"/>
        <w:gridCol w:w="2259"/>
        <w:gridCol w:w="978"/>
        <w:gridCol w:w="981"/>
        <w:gridCol w:w="981"/>
        <w:gridCol w:w="981"/>
        <w:gridCol w:w="978"/>
        <w:gridCol w:w="982"/>
        <w:gridCol w:w="3935"/>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Vertikālās attiecības: tirgus daļas un izstrādes stadijā esošie produkti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AUGŠUPĒJAIS</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(iekļaujiet atsauci uz attiecīgajiem punktiem)</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Apzinātais iespējamais produktu tirgus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Apzinātais iespējamais ģeogrāfiskais tirgus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Piegādātājs</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gads</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gads</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gads</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Izstrādes stadijā esošie produkti (nosaukums)</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 attiecīgais uzņēmums</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2. attiecīgais uzņēmums</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3. attiecīgais uzņēmums</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Kopā</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1. konkurents</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2. konkurents</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3. konkurents</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Citi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Kopā</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Tirgus lielums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Aprakstiet pušu darbības šajā tirgū:</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Sniedziet sīkāku informāciju šeit (konkrēti, gadījumā, ja precedentu nav, norādiet pušu viedokli par produktu/ģeogrāfiskā tirgus definīciju):</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Tirgus daļu aprēķinā izmantotie rādītāji, avoti un metodika;  ja vērtība un apjoms nav visizplatītākie rādītāji tirgus daļu aprēķināšanai konkrētajos tirgos, norādiet tirgus daļas atbilstoši alternatīvajiem rādītājiem un sniedziet skaidrojumu: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Ja uz darījumu attiecas Paziņojuma par vienkāršoto procedūru 5. punkta d) apakšpunkta ii) punkta cc) apakšpunkts, norādiet </w:t>
            </w:r>
            <w:r>
              <w:rPr>
                <w:rFonts w:ascii="Times New Roman" w:hAnsi="Times New Roman"/>
                <w:b/>
                <w:i/>
                <w:noProof/>
                <w:sz w:val="18"/>
              </w:rPr>
              <w:t>HHI</w:t>
            </w:r>
            <w:r>
              <w:rPr>
                <w:rFonts w:ascii="Times New Roman" w:hAnsi="Times New Roman"/>
                <w:b/>
                <w:noProof/>
                <w:sz w:val="18"/>
              </w:rPr>
              <w:t xml:space="preserve"> deltu (par trim gadiem, pēc vērtības un pēc apjoma):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Sniedziet informāciju par pušu un to konkurentu izstrādes stadijā esošajiem produktiem (tai skaitā izstrādes posmu):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Paredzētajā formātā norādiet 1., 2. un 3. konkurenta kontaktinformāciju:</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LEJUPĒJAIS</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(iekļaujiet atsauci uz attiecīgajiem punktiem)</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Apzinātais iespējamais produktu tirgus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Apzinātais iespējamais ģeogrāfiskais tirgus</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Piegādātājs</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gads</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gads</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gads</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Izstrādes stadijā esošie produkti (nosaukums)</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1. attiecīgais uzņēmums</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2. attiecīgais uzņēmums</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3. attiecīgais uzņēmums</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Kopā</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1. konkurents</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Atstāt neaizpildītu</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2. konkurents</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3. konkurents</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Citi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Kopā</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Atstāt neaizpildītu</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Tirgus lielums</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Aprakstiet pušu darbības šajā tirgū:</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Sniedziet sīkāku informāciju šeit (konkrēti, gadījumā, ja precedentu nav, norādiet pušu viedokli par produktu/ģeogrāfiskā tirgus definīciju):</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Tirgus daļu aprēķinā izmantotie rādītāji, avoti un metodika;  ja vērtība un apjoms nav visizplatītākie rādītāji tirgus daļu aprēķināšanai konkrētajos tirgos, norādiet tirgus daļas atbilstoši alternatīvajiem rādītājiem un sniedziet skaidrojumu: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Ja uz darījumu attiecas Paziņojuma par vienkāršoto procedūru 5. punkta d) apakšpunkta ii) punkta cc) apakšpunkts, norādiet </w:t>
            </w:r>
            <w:r>
              <w:rPr>
                <w:rFonts w:ascii="Times New Roman" w:hAnsi="Times New Roman"/>
                <w:b/>
                <w:i/>
                <w:noProof/>
                <w:sz w:val="18"/>
              </w:rPr>
              <w:t>HHI</w:t>
            </w:r>
            <w:r>
              <w:rPr>
                <w:rFonts w:ascii="Times New Roman" w:hAnsi="Times New Roman"/>
                <w:b/>
                <w:noProof/>
                <w:sz w:val="18"/>
              </w:rPr>
              <w:t xml:space="preserve"> deltu (par trim gadiem, pēc vērtības un pēc apjoma):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Sniedziet informāciju par pušu un to konkurentu izstrādes stadijā esošajiem produktiem (tai skaitā izstrādes posmu):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Paredzētajā formātā norādiet 1., 2. un 3. konkurenta kontaktinformāciju:</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Attiecīgā gadījumā papildu informācija, kuru vēlaties darīt zināmu Komisijai.</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10. IEDAĻA</w:t>
      </w:r>
    </w:p>
    <w:p w14:paraId="52DF441C" w14:textId="77777777" w:rsidR="002138D6" w:rsidRPr="002138D6" w:rsidRDefault="002138D6" w:rsidP="002138D6">
      <w:pPr>
        <w:pStyle w:val="SectionTitle"/>
        <w:keepNext w:val="0"/>
        <w:rPr>
          <w:noProof/>
        </w:rPr>
      </w:pPr>
      <w:r>
        <w:rPr>
          <w:noProof/>
        </w:rPr>
        <w:t>Vertikālās attiecības, uz kurām attiecas Paziņojuma par vienkāršoto procedūru 5. punkta d) apakšpunkta ii) punkta bb) apakšpunkts</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Aizpildiet nākamās tabulas, ja koncentrācijas darījuma rezultātā rastos vertikālās attiecības, uz kurām attiecas Paziņojuma par vienkāršoto procedūru 5. punkta d) apakšpunkta ii) punkta bb) apakšpunkts, tai skaitā starp i) izstrādes stadijā esošajiem produktiem un tirgotajiem produktiem vai ii) izstrādes stadijā esošajiem produktiem (t. i., savstarpēji). Tabulu atkārtojiet tik daudz reižu, cik vajadzīgs, lai nosegtu visus iespējamos tirgus, ko esat apzinājuši</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Vertikālās attiecības, uz kurām attiecas Paziņojuma par vienkāršoto procedūru 5. punkta d) apakšpunkta ii) punkta bb) apakšpunkts: tirgus daļas un izstrādes stadijā esošie produkti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AUGŠUPĒJAIS</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(iekļaujiet atsauci uz attiecīgajiem punktiem)</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Apzinātais iespējamais produktu tirgus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Apzinātais iespējamais ģeogrāfiskais tirgus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Produktu piegāde augšupējos tirgos</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(tirgus daļas)</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Produktu iegāde augšupējos tirgos</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(iegādes daļas)</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Subjekts</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gads</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gads</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gads</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Izstrādes stadijā esošie produkti (nosaukums)</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gads</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gads</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gads</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 attiecīgais uzņēmums</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2. attiecīgais uzņēmums</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3. attiecīgais uzņēmums</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Kopā</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 konkurents</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2. konkurents</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3. konkurents</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Citi</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Kopā</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Tirgus lielums</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Aprakstiet pušu darbības šajā tirgū:</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Sniedziet sīkāku informāciju šeit (konkrēti, gadījumā, ja precedentu nav, norādiet pušu viedokli par produktu/ģeogrāfiskā tirgus definīciju):</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Tirgus daļu aprēķinā izmantotie rādītāji, avoti un metodika;  ja vērtība un apjoms nav visizplatītākie rādītāji tirgus daļu aprēķināšanai konkrētajos tirgos, norādiet tirgus daļas atbilstoši alternatīvajiem rādītājiem un sniedziet skaidrojumu: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Sniedziet informāciju par pušu un to konkurentu izstrādes stadijā esošajiem produktiem (tai skaitā izstrādes posmu):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Norādiet, vai viens vai vairāki attiecīgie uzņēmumi iegādājās augšupējo resursproduktu no viena vai vairākiem citiem attiecīgajiem uzņēmumiem X gadā, X–1 gadā vai X–2 gadā, uzrādot šo iegāžu apjomu procentos no attiecīgā uzņēmuma iegāžu kopapjoma: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Paredzētajā formātā norādiet 1., 2. un 3. konkurenta kontaktinformāciju:</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LEJUPĒJAIS</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(iekļaujiet atsauci uz attiecīgajiem punktiem)</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Apzinātais iespējamais produktu tirgus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Apzinātais iespējamais ģeogrāfiskais tirgus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Piegādātājs</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gads</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gads</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gads</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Izstrādes stadijā esošie produkti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(nosaukums)</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vērtības</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Pēc apjoma</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1. attiecīgais uzņēmums</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2. attiecīgais uzņēmums</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3. attiecīgais uzņēmums</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Kopā</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1. konkurents</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2. konkurents</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3. konkurents</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Citi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Kopā</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Atstāt neaizpildītu</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Tirgus lielums</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Aprakstiet pušu darbības šajā tirgū:</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Sniedziet sīkāku informāciju šeit (konkrēti, gadījumā, ja precedentu nav, norādiet pušu viedokli par produktu/ģeogrāfiskā tirgus definīciju):</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Tirgus daļu aprēķinā izmantotie rādītāji, avoti un metodika;  ja vērtība un apjoms nav visizplatītākie rādītāji tirgus daļu aprēķināšanai konkrētajos tirgos, norādiet tirgus daļas atbilstoši alternatīvajiem rādītājiem un sniedziet skaidrojumu: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Sniedziet informāciju par pušu un to konkurentu izstrādes stadijā esošajiem produktiem (tai skaitā izstrādes posmu):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Paredzētajā formātā norādiet 1., 2. un 3. konkurenta kontaktinformāciju:</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Sniedziet aplēsi par to, cik liels ir lejupējā tirgus pieprasījums procentos no kopējā pieprasījuma pēc konkrētā augšupējā resursa X gadā, X–1 gadā un X–2 gadā.  Norādiet, kurās nozarēs un sektoros un kādiem galalietojumiem papildus lejupējam tirgum var izmantot konkrēto augšupējo resursu, un to, kāds ir katras nozares, sektora un/vai galalietojuma pieprasījums procentos no kopējā pieprasījuma pēc konkrētā augšupējā produkta.  Ja šī informācija nav pieejama par visu tirgu, norādiet, kāda ir augšupējā tirgū darbojošās puses pārdošanas daļa tās 10 galvenajiem klientiem (attiecīgā gadījumā ieskaitot citas puses):</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Attiecīgā gadījumā papildu informācija, kuru vēlaties darīt zināmu Komisijai.</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11. IEDAĻA</w:t>
      </w:r>
    </w:p>
    <w:p w14:paraId="52DF457D" w14:textId="77777777" w:rsidR="002138D6" w:rsidRPr="002138D6" w:rsidRDefault="002138D6" w:rsidP="002138D6">
      <w:pPr>
        <w:pStyle w:val="SectionTitle"/>
        <w:rPr>
          <w:noProof/>
        </w:rPr>
      </w:pPr>
      <w:r>
        <w:rPr>
          <w:noProof/>
        </w:rPr>
        <w:t>Aizsardzības pasākumi un izņēmumi</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601681F4" w:rsidR="002138D6" w:rsidRPr="002138D6" w:rsidRDefault="002138D6" w:rsidP="00240140">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Kādai no koncentrācijas darījuma pusēm ir ievērojam</w:t>
            </w:r>
            <w:r w:rsidR="00240140">
              <w:rPr>
                <w:rFonts w:ascii="Times New Roman" w:hAnsi="Times New Roman"/>
                <w:noProof/>
                <w:sz w:val="20"/>
              </w:rPr>
              <w:t>a</w:t>
            </w:r>
            <w:r>
              <w:rPr>
                <w:rFonts w:ascii="Times New Roman" w:hAnsi="Times New Roman"/>
                <w:noProof/>
                <w:sz w:val="20"/>
              </w:rPr>
              <w:t xml:space="preserve"> nekontrolējoš</w:t>
            </w:r>
            <w:r w:rsidR="00240140">
              <w:rPr>
                <w:rFonts w:ascii="Times New Roman" w:hAnsi="Times New Roman"/>
                <w:noProof/>
                <w:sz w:val="20"/>
              </w:rPr>
              <w:t>a</w:t>
            </w:r>
            <w:r>
              <w:rPr>
                <w:rFonts w:ascii="Times New Roman" w:hAnsi="Times New Roman"/>
                <w:noProof/>
                <w:sz w:val="20"/>
              </w:rPr>
              <w:t xml:space="preserve"> </w:t>
            </w:r>
            <w:r w:rsidR="00240140">
              <w:rPr>
                <w:rFonts w:ascii="Times New Roman" w:hAnsi="Times New Roman"/>
                <w:noProof/>
                <w:sz w:val="20"/>
              </w:rPr>
              <w:t>līdzdalība</w:t>
            </w:r>
            <w:r>
              <w:rPr>
                <w:rFonts w:ascii="Times New Roman" w:hAnsi="Times New Roman"/>
                <w:noProof/>
                <w:sz w:val="20"/>
              </w:rPr>
              <w:t xml:space="preserve"> (t. i., virs 10 %) vai pārklājošies vadības amati uzņēmumos, kuri darbojas tajos pašos tirgos kā kāda cita puse vai vertikālo attiecību tirgos (piemēram, kontroles ieguvējam uzņēmumam ir nekontrolējoš</w:t>
            </w:r>
            <w:r w:rsidR="00240140">
              <w:rPr>
                <w:rFonts w:ascii="Times New Roman" w:hAnsi="Times New Roman"/>
                <w:noProof/>
                <w:sz w:val="20"/>
              </w:rPr>
              <w:t>a</w:t>
            </w:r>
            <w:r>
              <w:rPr>
                <w:rFonts w:ascii="Times New Roman" w:hAnsi="Times New Roman"/>
                <w:noProof/>
                <w:sz w:val="20"/>
              </w:rPr>
              <w:t xml:space="preserve"> mazākuma </w:t>
            </w:r>
            <w:r w:rsidR="00240140">
              <w:rPr>
                <w:rFonts w:ascii="Times New Roman" w:hAnsi="Times New Roman"/>
                <w:noProof/>
                <w:sz w:val="20"/>
              </w:rPr>
              <w:t xml:space="preserve">līdzdalība </w:t>
            </w:r>
            <w:r>
              <w:rPr>
                <w:rFonts w:ascii="Times New Roman" w:hAnsi="Times New Roman"/>
                <w:noProof/>
                <w:sz w:val="20"/>
              </w:rPr>
              <w:t>uzņēmumā, kas darbojas tajā pašā tirgū kā mērķuzņēmums, vai kopīgi vadītāji ar to).</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80"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5B4DAFA1"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Vienam vai vairākiem pušu konkurentiem kādā no attiecīgajiem uzņēmumiem ir ievērojam</w:t>
            </w:r>
            <w:r w:rsidR="00240140">
              <w:rPr>
                <w:rFonts w:ascii="Times New Roman" w:hAnsi="Times New Roman"/>
                <w:noProof/>
                <w:sz w:val="20"/>
              </w:rPr>
              <w:t>a</w:t>
            </w:r>
            <w:r>
              <w:rPr>
                <w:rFonts w:ascii="Times New Roman" w:hAnsi="Times New Roman"/>
                <w:noProof/>
                <w:sz w:val="20"/>
              </w:rPr>
              <w:t xml:space="preserve"> nekontrolējoš</w:t>
            </w:r>
            <w:r w:rsidR="00240140">
              <w:rPr>
                <w:rFonts w:ascii="Times New Roman" w:hAnsi="Times New Roman"/>
                <w:noProof/>
                <w:sz w:val="20"/>
              </w:rPr>
              <w:t>a</w:t>
            </w:r>
            <w:r>
              <w:rPr>
                <w:rFonts w:ascii="Times New Roman" w:hAnsi="Times New Roman"/>
                <w:noProof/>
                <w:sz w:val="20"/>
              </w:rPr>
              <w:t xml:space="preserve"> </w:t>
            </w:r>
            <w:r w:rsidR="00240140">
              <w:rPr>
                <w:rFonts w:ascii="Times New Roman" w:hAnsi="Times New Roman"/>
                <w:noProof/>
                <w:sz w:val="20"/>
              </w:rPr>
              <w:t xml:space="preserve">līdzdalība </w:t>
            </w:r>
            <w:r>
              <w:rPr>
                <w:rFonts w:ascii="Times New Roman" w:hAnsi="Times New Roman"/>
                <w:noProof/>
                <w:sz w:val="20"/>
              </w:rPr>
              <w:t>(t. i., virs 10 %).</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Ja “Jā”: </w:t>
            </w:r>
          </w:p>
          <w:p w14:paraId="52DF4584" w14:textId="204C09FB"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norādiet </w:t>
            </w:r>
            <w:r w:rsidR="00240140">
              <w:rPr>
                <w:rFonts w:ascii="Times New Roman" w:hAnsi="Times New Roman"/>
                <w:noProof/>
                <w:sz w:val="20"/>
              </w:rPr>
              <w:t xml:space="preserve">līdzdalību </w:t>
            </w:r>
            <w:r>
              <w:rPr>
                <w:rFonts w:ascii="Times New Roman" w:hAnsi="Times New Roman"/>
                <w:noProof/>
                <w:sz w:val="20"/>
              </w:rPr>
              <w:t xml:space="preserve">procentos: </w:t>
            </w:r>
          </w:p>
          <w:p w14:paraId="52DF4585" w14:textId="41B4E40E"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norādiet ar </w:t>
            </w:r>
            <w:r w:rsidR="00240140">
              <w:rPr>
                <w:rFonts w:ascii="Times New Roman" w:hAnsi="Times New Roman"/>
                <w:noProof/>
                <w:sz w:val="20"/>
              </w:rPr>
              <w:t xml:space="preserve">līdzdalību </w:t>
            </w:r>
            <w:r>
              <w:rPr>
                <w:rFonts w:ascii="Times New Roman" w:hAnsi="Times New Roman"/>
                <w:noProof/>
                <w:sz w:val="20"/>
              </w:rPr>
              <w:t xml:space="preserve">saistītās tiesības: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87"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Puses darbojas cieši saistītos blakustirgos un kādai no pusēm jebkurā no šiem tirgiem atbilstoši jebkurai iespējamajai tirgus definīcijai atsevišķā tirgus daļa ir 30 % vai lielāka.</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8B"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Tirgos, kuros atbilstoši jebkurai iespējamajai tirgus definīcijai rastos horizontālās pārklāšanās vai vertikālās attiecības, paliktu mazāk nekā trīs tādi konkurenti, kuru tirgus daļa pārsniedz 5 %.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8F"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Atbilstoši jebkurai iespējamajai tirgus definīcijai konkrētajā tirgū tiek jaudas ziņā pārsniegtas tirgus daļas robežvērtības</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93"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Puses (vai viena no tām) ir nesen (t. i., pēdējo triju gadu laikā) iegājušas pārklājošos tirgos.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97"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Puses tirgos ar pārklāšanos ir nozīmīgas novatores.</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Puses pēdējo piecu gadu laikā ir laidušas tirgū jaunu, nozīmīgu produktu, ko tās bija izstrādājušas.</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9F"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A2"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Koncentrācijas darījums radītu pārklāšanos starp izstrādes stadijā esošiem produktiem vai starp izstrādes stadijā esošiem produktiem un tirgotiem produktiem.</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A6"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Kāda no pusēm plāno izvērst darbību produktu un/vai ģeogrāfiskajos tirgos, kuros darbojas cita puse vai kuri ir vertikālās attiecībās ar citas puses produktu tirgu.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Norādiet produktus vai pakalpojumus, par kuriem ir šādi plāni, un šo plānu īstenošanas grafiku: </w:t>
            </w:r>
            <w:r>
              <w:rPr>
                <w:rFonts w:ascii="Times New Roman" w:hAnsi="Times New Roman"/>
                <w:b/>
                <w:i/>
                <w:noProof/>
                <w:sz w:val="20"/>
              </w:rPr>
              <w:t>[brīvteksts]</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AC" w14:textId="77777777" w:rsidR="002138D6" w:rsidRPr="002138D6" w:rsidRDefault="005830DE"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Ražošanas ķēdēs, kurās ir vairāk nekā divi posmi, pušu atsevišķās vai kopējās tirgus daļas jebkurā vērtībķēdes posmā ir 30 % vai lielākas (pēc vērtības, apjoma vai jaudas).</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B0"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Paredzams, ka kopuzņēmuma gada apgrozījums EEZ teritorijā nākamo triju gadu laikā ievērojami pārsniegs 100 miljonus EUR.</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Paredzams, ka kopuzņēmuma gada apgrozījums EEZ teritorijā nākamo triju gadu laikā ievērojami pārsniegs 150 miljonus EUR.</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Ja ir paredzams, ka kopuzņēmuma gada apgrozījums EEZ teritorijā nākamo triju gadu laikā pārsniegs 100 miljonus EUR, norādiet nākamo triju gadu paredzamo apgrozījumu: </w:t>
            </w:r>
            <w:r>
              <w:rPr>
                <w:rFonts w:ascii="Times New Roman" w:hAnsi="Times New Roman"/>
                <w:b/>
                <w:i/>
                <w:noProof/>
                <w:sz w:val="20"/>
              </w:rPr>
              <w:t>[brīvteksts]</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5830DE"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BA" w14:textId="77777777" w:rsidR="002138D6" w:rsidRPr="002138D6" w:rsidRDefault="005830DE"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5830DE"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Jā</w:t>
            </w:r>
          </w:p>
          <w:p w14:paraId="52DF45BE" w14:textId="77777777" w:rsidR="002138D6" w:rsidRPr="002138D6" w:rsidRDefault="005830DE"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sz w:val="20"/>
              </w:rPr>
              <w:t>Nē</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Ja par kādu no šīs iedaļas apgalvojumiem atzīmējāt “Jā”, paskaidrojiet, kāpēc koncentrācijas darījums, jūsuprāt, būtu jāizskata saskaņā ar Paziņojumu par vienkāršoto procedūru, un sniedziet visu attiecīgo informāciju: </w:t>
            </w:r>
            <w:r>
              <w:rPr>
                <w:rFonts w:ascii="Times New Roman" w:hAnsi="Times New Roman"/>
                <w:b/>
                <w:i/>
                <w:noProof/>
                <w:sz w:val="20"/>
              </w:rPr>
              <w:t>[brīvteksts]</w:t>
            </w:r>
          </w:p>
        </w:tc>
      </w:tr>
    </w:tbl>
    <w:p w14:paraId="52DF45C3" w14:textId="77777777" w:rsidR="002138D6" w:rsidRPr="002138D6" w:rsidRDefault="002138D6" w:rsidP="002138D6">
      <w:pPr>
        <w:pStyle w:val="SectionTitle"/>
        <w:spacing w:before="360"/>
        <w:rPr>
          <w:noProof/>
        </w:rPr>
      </w:pPr>
      <w:r>
        <w:rPr>
          <w:noProof/>
        </w:rPr>
        <w:t>12. IEDAĻA</w:t>
      </w:r>
    </w:p>
    <w:p w14:paraId="52DF45C4" w14:textId="77777777" w:rsidR="002138D6" w:rsidRPr="002138D6" w:rsidRDefault="002138D6" w:rsidP="002138D6">
      <w:pPr>
        <w:pStyle w:val="SectionTitle"/>
        <w:rPr>
          <w:noProof/>
        </w:rPr>
      </w:pPr>
      <w:r>
        <w:rPr>
          <w:noProof/>
        </w:rPr>
        <w:t>Kopuzņēmuma ietekme uz sadarbību</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Vai divi vai vairāki mātesuzņēmumi turpinās darbību tajā pašā tirgū, kurā darbojas kopuzņēmums, vai augšupējā vai lejupējā tirgū attiecībā pret tirgu, kurā darbojas kopuzņēmums, vai blakustirgū, kas ir cieši saistīts ar minēto tirgu?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noProof/>
              </w:rPr>
              <w:t xml:space="preserve"> </w:t>
            </w:r>
            <w:r>
              <w:rPr>
                <w:rFonts w:ascii="Times New Roman" w:hAnsi="Times New Roman"/>
                <w:noProof/>
              </w:rPr>
              <w:t>Jā</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noProof/>
              </w:rPr>
              <w:t xml:space="preserve"> </w:t>
            </w:r>
            <w:r>
              <w:rPr>
                <w:rFonts w:ascii="Times New Roman" w:hAnsi="Times New Roman"/>
                <w:noProof/>
              </w:rPr>
              <w:t>Nē</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Mātesuzņēmums</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Tirgus</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Apgrozījums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Tirgus daļa</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Kopuzņēmums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Tirgus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Apgrozījums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Tirgus daļa</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Norādiet, vai šajā gadījumā ir ievēroti Līguma par Eiropas Savienības darbību 101. panta 1. un 3. punkta un attiecīgā gadījumā atbilstīgie EEZ līguma noteikumi.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Attiecīgā gadījumā papildu informācija, kuru vēlaties darīt zināmu Komisijai. </w:t>
      </w:r>
    </w:p>
    <w:p w14:paraId="52DF45D7" w14:textId="77777777" w:rsidR="002138D6" w:rsidRPr="002138D6" w:rsidRDefault="002138D6" w:rsidP="002138D6">
      <w:pPr>
        <w:pStyle w:val="SectionTitle"/>
        <w:rPr>
          <w:noProof/>
        </w:rPr>
      </w:pPr>
      <w:r>
        <w:rPr>
          <w:noProof/>
        </w:rPr>
        <w:t>13. IEDAĻA</w:t>
      </w:r>
    </w:p>
    <w:p w14:paraId="52DF45D8" w14:textId="77777777" w:rsidR="002138D6" w:rsidRPr="002138D6" w:rsidRDefault="002138D6" w:rsidP="002138D6">
      <w:pPr>
        <w:pStyle w:val="SectionTitle"/>
        <w:rPr>
          <w:noProof/>
        </w:rPr>
      </w:pPr>
      <w:r>
        <w:rPr>
          <w:noProof/>
        </w:rPr>
        <w:t>Kontaktinformācija</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Paziņotāja puse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2. paziņotāja puse (attiecīgā gad.)</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Nosaukums</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Nosaukums</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Adrese</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Adrese</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Tālruņa numurs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Tālruņa numurs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E-pasts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E-pasts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Vietne</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Vietne</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Mērķuzņēmums</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Tālruņa numurs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Nosaukums</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E-pasts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Adrese</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Vietne</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Paziņotājas puses pilnvarotais pārstāvis</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2. paziņotājas puses pilnvarotais pārstāvis</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Nosaukums</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Nosaukums</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Uzņēmums</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Uzņēmums</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Adrese</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Adrese</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Tālruņa numurs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Tālruņa numurs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E-pasts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E-pasts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14. IEDAĻA</w:t>
      </w:r>
    </w:p>
    <w:p w14:paraId="52DF4608" w14:textId="77777777" w:rsidR="002138D6" w:rsidRPr="002138D6" w:rsidRDefault="002138D6" w:rsidP="002138D6">
      <w:pPr>
        <w:pStyle w:val="SectionTitle"/>
        <w:rPr>
          <w:noProof/>
        </w:rPr>
      </w:pPr>
      <w:r>
        <w:rPr>
          <w:noProof/>
        </w:rPr>
        <w:t>Pielikumi</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5830DE"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Dokumenti, kas attiecas uz koncentrācijas darījuma īstenošanu</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Noteikumi par kontroles maiņu:</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Noteikumi par pilnfunkciju raksturu: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5830DE"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Pilnvaras oriģināls (ko izsniegusi paziņotāja puse vai puses)</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5830DE"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Dati par apgrozījumu dalījumā pa EEZ valstīm</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5830DE"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Tirgus daļu aprēķina metodika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5830DE"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Informācija, kas jāsniedz tikai gadījumā, ja koncentrācijas darījuma rezultātā EEZ teritorijā rastos horizontālās pārklāšanās un/vai vertikālās attiecības: </w:t>
            </w:r>
          </w:p>
          <w:p w14:paraId="52DF4616" w14:textId="77777777" w:rsidR="002138D6" w:rsidRPr="002138D6" w:rsidRDefault="002138D6" w:rsidP="00D50649">
            <w:pPr>
              <w:rPr>
                <w:rFonts w:ascii="Times New Roman" w:eastAsia="Calibri" w:hAnsi="Times New Roman" w:cs="Times New Roman"/>
                <w:noProof/>
              </w:rPr>
            </w:pPr>
          </w:p>
          <w:p w14:paraId="52DF4617" w14:textId="36720B7E"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 xml:space="preserve">visu to prezentāciju kopijas, ko paziņojamā koncentrācijas darījuma analizēšanas nolūkā sagatavojuši, uzdevuši sagatavot vai saņēmuši valdes, direktoru padomes vai uzraudzības padomes locekļi (atkarībā no konkrētās uzņēmuma pārvaldības struktūras) vai citas personas, kuras pilda līdzīgas funkcijas (vai kurām šādas funkcijas ir deleģētas vai nodotas ar pilnvarojumu), vai </w:t>
            </w:r>
            <w:r w:rsidR="003C04F4">
              <w:rPr>
                <w:rFonts w:ascii="Times New Roman" w:hAnsi="Times New Roman"/>
                <w:noProof/>
              </w:rPr>
              <w:t>dalībniek</w:t>
            </w:r>
            <w:r>
              <w:rPr>
                <w:rFonts w:ascii="Times New Roman" w:hAnsi="Times New Roman"/>
                <w:noProof/>
              </w:rPr>
              <w:t>u sanāksme;</w:t>
            </w:r>
          </w:p>
          <w:p w14:paraId="52DF4618" w14:textId="77777777" w:rsidR="002138D6" w:rsidRPr="002138D6" w:rsidRDefault="002138D6" w:rsidP="00D50649">
            <w:pPr>
              <w:ind w:left="360"/>
              <w:contextualSpacing/>
              <w:rPr>
                <w:rFonts w:ascii="Times New Roman" w:eastAsia="Times New Roman" w:hAnsi="Times New Roman" w:cs="Times New Roman"/>
                <w:noProof/>
                <w:lang w:val="en-US"/>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interneta adrese (ja tāda ir), kurā pieejami visu koncentrācijas darījuma pušu jaunākie gada ziņojumi un grāmatvedības pārskati, vai, ja šādas adreses nav, – koncentrācijas darījuma pušu jaunāko gada ziņojumu un grāmatvedības pārskatu kopijas.</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5830DE"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Citi pielikumi</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Uzskaitiet tos</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15. IEDAĻA</w:t>
      </w:r>
    </w:p>
    <w:p w14:paraId="52DF4620" w14:textId="77777777" w:rsidR="002138D6" w:rsidRPr="002138D6" w:rsidRDefault="002138D6" w:rsidP="002138D6">
      <w:pPr>
        <w:pStyle w:val="SectionTitle"/>
        <w:rPr>
          <w:noProof/>
        </w:rPr>
      </w:pPr>
      <w:r>
        <w:rPr>
          <w:noProof/>
        </w:rPr>
        <w:t>Citi paziņojumi</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Vai par koncentrācijas darījumu ir jāpaziņo citās jurisdikcijās?</w:t>
      </w:r>
    </w:p>
    <w:p w14:paraId="52DF4623" w14:textId="77777777" w:rsidR="002138D6" w:rsidRPr="002138D6" w:rsidRDefault="005830DE"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noProof/>
        </w:rPr>
        <w:t xml:space="preserve"> </w:t>
      </w:r>
      <w:r w:rsidR="004E11D1">
        <w:rPr>
          <w:rFonts w:ascii="Times New Roman" w:hAnsi="Times New Roman"/>
          <w:noProof/>
        </w:rPr>
        <w:t xml:space="preserve">Jā </w:t>
      </w:r>
    </w:p>
    <w:p w14:paraId="52DF4624" w14:textId="77777777" w:rsidR="002138D6" w:rsidRPr="002138D6" w:rsidRDefault="005830DE"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noProof/>
        </w:rPr>
        <w:t xml:space="preserve"> </w:t>
      </w:r>
      <w:r w:rsidR="004E11D1">
        <w:rPr>
          <w:rFonts w:ascii="Times New Roman" w:hAnsi="Times New Roman"/>
          <w:noProof/>
        </w:rPr>
        <w:t>Nē</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Ja ir jāpaziņo, uzskaitiet šīs jurisdikcijas:</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Norādiet, vai esat iesnieguši vai plānojat iesniegt paziņojumu saskaņā ar 20. pantu Eiropas Parlamenta un Padomes 2022. gada 14. decembra Regulā (ES) 2022/2560 par ārvalstu subsīdijām, kas izkropļo iekšējo tirgu (OV L 330, 23.12.2022., 1.–45. lpp.).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16. IEDAĻA</w:t>
      </w:r>
    </w:p>
    <w:p w14:paraId="52DF462A" w14:textId="77777777" w:rsidR="002138D6" w:rsidRPr="002138D6" w:rsidRDefault="002138D6" w:rsidP="002138D6">
      <w:pPr>
        <w:pStyle w:val="SectionTitle"/>
        <w:rPr>
          <w:noProof/>
        </w:rPr>
      </w:pPr>
      <w:r>
        <w:rPr>
          <w:noProof/>
        </w:rPr>
        <w:t>Apliecinājums</w:t>
      </w:r>
    </w:p>
    <w:p w14:paraId="52DF462B" w14:textId="77777777" w:rsidR="002138D6" w:rsidRPr="002138D6" w:rsidRDefault="005830DE"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Paziņotāja puse vai puses pēc labākās sirdsapziņas apliecina, ka, ciktāl tām zināms, šajā paziņojumā sniegtā informācija ir patiesa, pareiza un pilnīga, ir iesniegtas patiesas un pilnīgas attiecīgo dokumentu kopijas, visas aplēses ir pienācīgi apzīmētas kā aplēses un ir precīzākais iespējamais to pamatā esošo faktu aptuvenais novērtējums un visi paustie viedokļi ir patiesi.</w:t>
      </w:r>
    </w:p>
    <w:p w14:paraId="52DF462C" w14:textId="77777777" w:rsidR="002138D6" w:rsidRPr="002138D6" w:rsidRDefault="005830DE"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Paziņotājai pusei vai pusēm ir zināmi Apvienošanās regulas 14. panta 1. punkta a) apakšpunkta noteikumi.</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Digitāli parakstītu veidņu gadījumā nākamie lauki ir tikai informatīvi. Tiem jāatbilst attiecīgo elektronisko parakstu metadatiem.</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Datums:</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[1. parakstītājs]</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Vārds, uzvārds:</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Uzņēmums:</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Amats:</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Adrese:</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Tālruņa numurs:</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E-pasts:</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[“E-paraksts”/paraksts]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[2. parakstītājs (attiecīgā gad.)]</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Vārds, uzvārds:</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Uzņēmums:</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Amats:</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Adrese:</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Tālruņa numurs:</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E-pasts:</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[“E-paraksts”/paraksts]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6F94A" w14:textId="720E9CA7" w:rsidR="00E80B41" w:rsidRPr="005830DE" w:rsidRDefault="00E80B41" w:rsidP="005830D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5FA4FB7F" w:rsidR="00D50649" w:rsidRPr="00AC7A35" w:rsidRDefault="00D50649" w:rsidP="00D50649">
    <w:pPr>
      <w:pStyle w:val="Footer"/>
      <w:rPr>
        <w:rFonts w:ascii="Arial" w:hAnsi="Arial" w:cs="Arial"/>
        <w:b/>
        <w:sz w:val="48"/>
      </w:rPr>
    </w:pPr>
    <w:r>
      <w:rPr>
        <w:rFonts w:ascii="Arial" w:hAnsi="Arial"/>
        <w:b/>
        <w:sz w:val="48"/>
      </w:rPr>
      <w:t>LV</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240140">
      <w:rPr>
        <w:rFonts w:ascii="Times New Roman" w:hAnsi="Times New Roman" w:cs="Times New Roman"/>
        <w:noProof/>
      </w:rPr>
      <w:t>20</w:t>
    </w:r>
    <w:r>
      <w:rPr>
        <w:rFonts w:ascii="Times New Roman" w:hAnsi="Times New Roman" w:cs="Times New Roman"/>
      </w:rPr>
      <w:fldChar w:fldCharType="end"/>
    </w:r>
    <w:r>
      <w:tab/>
    </w:r>
    <w:r>
      <w:rPr>
        <w:rFonts w:ascii="Arial" w:hAnsi="Arial"/>
        <w:b/>
        <w:sz w:val="48"/>
      </w:rPr>
      <w:t>LV</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45F5B262" w:rsidR="00D50649" w:rsidRPr="00AC7A35" w:rsidRDefault="00D50649" w:rsidP="00D50649">
    <w:pPr>
      <w:pStyle w:val="FooterLandscape"/>
      <w:rPr>
        <w:rFonts w:ascii="Arial" w:hAnsi="Arial" w:cs="Arial"/>
        <w:b/>
        <w:sz w:val="48"/>
      </w:rPr>
    </w:pPr>
    <w:r>
      <w:rPr>
        <w:rFonts w:ascii="Arial" w:hAnsi="Arial"/>
        <w:b/>
        <w:sz w:val="48"/>
      </w:rPr>
      <w:t>LV</w:t>
    </w:r>
    <w:r>
      <w:tab/>
    </w:r>
    <w:r>
      <w:fldChar w:fldCharType="begin"/>
    </w:r>
    <w:r>
      <w:instrText xml:space="preserve"> PAGE  \* MERGEFORMAT </w:instrText>
    </w:r>
    <w:r>
      <w:fldChar w:fldCharType="separate"/>
    </w:r>
    <w:r w:rsidR="00240140">
      <w:rPr>
        <w:noProof/>
      </w:rPr>
      <w:t>21</w:t>
    </w:r>
    <w:r>
      <w:fldChar w:fldCharType="end"/>
    </w:r>
    <w:r>
      <w:tab/>
    </w:r>
    <w:r>
      <w:tab/>
    </w:r>
    <w:r>
      <w:rPr>
        <w:rFonts w:ascii="Arial" w:hAnsi="Arial"/>
        <w:b/>
        <w:sz w:val="48"/>
      </w:rPr>
      <w:t>LV</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59BD1FCB" w:rsidR="00D50649" w:rsidRPr="00AC7A35" w:rsidRDefault="00D50649" w:rsidP="00D50649">
    <w:pPr>
      <w:pStyle w:val="FooterLandscape"/>
      <w:rPr>
        <w:rFonts w:ascii="Arial" w:hAnsi="Arial" w:cs="Arial"/>
        <w:b/>
        <w:sz w:val="48"/>
      </w:rPr>
    </w:pPr>
    <w:r>
      <w:rPr>
        <w:rFonts w:ascii="Arial" w:hAnsi="Arial"/>
        <w:b/>
        <w:sz w:val="48"/>
      </w:rPr>
      <w:t>LV</w:t>
    </w:r>
    <w:r>
      <w:tab/>
    </w:r>
    <w:r>
      <w:fldChar w:fldCharType="begin"/>
    </w:r>
    <w:r>
      <w:instrText xml:space="preserve"> PAGE  \* MERGEFORMAT </w:instrText>
    </w:r>
    <w:r>
      <w:fldChar w:fldCharType="separate"/>
    </w:r>
    <w:r w:rsidR="00240140">
      <w:rPr>
        <w:noProof/>
      </w:rPr>
      <w:t>22</w:t>
    </w:r>
    <w:r>
      <w:fldChar w:fldCharType="end"/>
    </w:r>
    <w:r>
      <w:tab/>
    </w:r>
    <w:r>
      <w:tab/>
    </w:r>
    <w:r>
      <w:rPr>
        <w:rFonts w:ascii="Arial" w:hAnsi="Arial"/>
        <w:b/>
        <w:sz w:val="48"/>
      </w:rPr>
      <w:t>LV</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EFD85" w14:textId="5A869378" w:rsidR="00E80B41" w:rsidRPr="005830DE" w:rsidRDefault="005830DE" w:rsidP="005830DE">
    <w:pPr>
      <w:pStyle w:val="FooterCoverPage"/>
      <w:rPr>
        <w:rFonts w:ascii="Arial" w:hAnsi="Arial" w:cs="Arial"/>
        <w:b/>
        <w:sz w:val="48"/>
      </w:rPr>
    </w:pPr>
    <w:r w:rsidRPr="005830DE">
      <w:rPr>
        <w:rFonts w:ascii="Arial" w:hAnsi="Arial" w:cs="Arial"/>
        <w:b/>
        <w:sz w:val="48"/>
      </w:rPr>
      <w:t>LV</w:t>
    </w:r>
    <w:r w:rsidRPr="005830DE">
      <w:rPr>
        <w:rFonts w:ascii="Arial" w:hAnsi="Arial" w:cs="Arial"/>
        <w:b/>
        <w:sz w:val="48"/>
      </w:rPr>
      <w:tab/>
    </w:r>
    <w:r w:rsidRPr="005830DE">
      <w:rPr>
        <w:rFonts w:ascii="Arial" w:hAnsi="Arial" w:cs="Arial"/>
        <w:b/>
        <w:sz w:val="48"/>
      </w:rPr>
      <w:tab/>
    </w:r>
    <w:r w:rsidRPr="005830DE">
      <w:tab/>
    </w:r>
    <w:r w:rsidRPr="005830DE">
      <w:rPr>
        <w:rFonts w:ascii="Arial" w:hAnsi="Arial" w:cs="Arial"/>
        <w:b/>
        <w:sz w:val="48"/>
      </w:rPr>
      <w:t>LV</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1A71EA7B" w:rsidR="00D50649" w:rsidRPr="00AC7A35" w:rsidRDefault="00D50649" w:rsidP="00D50649">
    <w:pPr>
      <w:pStyle w:val="Footer"/>
      <w:rPr>
        <w:rFonts w:ascii="Arial" w:hAnsi="Arial" w:cs="Arial"/>
        <w:b/>
        <w:sz w:val="48"/>
      </w:rPr>
    </w:pPr>
    <w:r>
      <w:rPr>
        <w:rFonts w:ascii="Arial" w:hAnsi="Arial"/>
        <w:b/>
        <w:sz w:val="48"/>
      </w:rPr>
      <w:t>LV</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240140">
      <w:rPr>
        <w:rFonts w:ascii="Times New Roman" w:hAnsi="Times New Roman" w:cs="Times New Roman"/>
        <w:noProof/>
        <w:sz w:val="24"/>
      </w:rPr>
      <w:t>24</w:t>
    </w:r>
    <w:r>
      <w:rPr>
        <w:rFonts w:ascii="Times New Roman" w:hAnsi="Times New Roman" w:cs="Times New Roman"/>
        <w:sz w:val="24"/>
      </w:rPr>
      <w:fldChar w:fldCharType="end"/>
    </w:r>
    <w:r>
      <w:tab/>
    </w:r>
    <w:r>
      <w:rPr>
        <w:rFonts w:ascii="Arial" w:hAnsi="Arial"/>
        <w:b/>
        <w:sz w:val="48"/>
      </w:rPr>
      <w:t>LV</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6F00D464" w:rsidR="00D50649" w:rsidRPr="00AC7A35" w:rsidRDefault="00D50649" w:rsidP="00D50649">
    <w:pPr>
      <w:pStyle w:val="FooterLandscape"/>
      <w:rPr>
        <w:rFonts w:ascii="Arial" w:hAnsi="Arial" w:cs="Arial"/>
        <w:b/>
        <w:sz w:val="48"/>
      </w:rPr>
    </w:pPr>
    <w:r>
      <w:rPr>
        <w:rFonts w:ascii="Arial" w:hAnsi="Arial"/>
        <w:b/>
        <w:sz w:val="48"/>
      </w:rPr>
      <w:t>LV</w:t>
    </w:r>
    <w:r>
      <w:tab/>
    </w:r>
    <w:r>
      <w:fldChar w:fldCharType="begin"/>
    </w:r>
    <w:r>
      <w:instrText xml:space="preserve"> PAGE  \* MERGEFORMAT </w:instrText>
    </w:r>
    <w:r>
      <w:fldChar w:fldCharType="separate"/>
    </w:r>
    <w:r w:rsidR="00240140">
      <w:rPr>
        <w:noProof/>
      </w:rPr>
      <w:t>26</w:t>
    </w:r>
    <w:r>
      <w:fldChar w:fldCharType="end"/>
    </w:r>
    <w:r>
      <w:tab/>
    </w:r>
    <w:r>
      <w:tab/>
    </w:r>
    <w:r>
      <w:rPr>
        <w:rFonts w:ascii="Arial" w:hAnsi="Arial"/>
        <w:b/>
        <w:sz w:val="48"/>
      </w:rPr>
      <w:t>LV</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394E4E75" w:rsidR="00D50649" w:rsidRPr="006F0827" w:rsidRDefault="00D50649" w:rsidP="00D50649">
    <w:pPr>
      <w:pStyle w:val="Footer"/>
      <w:rPr>
        <w:rFonts w:ascii="Arial" w:hAnsi="Arial" w:cs="Arial"/>
        <w:b/>
        <w:sz w:val="48"/>
      </w:rPr>
    </w:pPr>
    <w:r>
      <w:rPr>
        <w:rFonts w:ascii="Arial" w:hAnsi="Arial"/>
        <w:b/>
        <w:sz w:val="48"/>
      </w:rPr>
      <w:t>LV</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240140">
      <w:rPr>
        <w:rFonts w:ascii="Times New Roman" w:hAnsi="Times New Roman" w:cs="Times New Roman"/>
        <w:noProof/>
        <w:sz w:val="24"/>
      </w:rPr>
      <w:t>28</w:t>
    </w:r>
    <w:r>
      <w:rPr>
        <w:rFonts w:ascii="Times New Roman" w:hAnsi="Times New Roman" w:cs="Times New Roman"/>
        <w:sz w:val="24"/>
      </w:rPr>
      <w:fldChar w:fldCharType="end"/>
    </w:r>
    <w:r>
      <w:tab/>
    </w:r>
    <w:r>
      <w:rPr>
        <w:rFonts w:ascii="Arial" w:hAnsi="Arial"/>
        <w:b/>
        <w:sz w:val="48"/>
      </w:rPr>
      <w:t>LV</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8397C" w14:textId="77777777" w:rsidR="005830DE" w:rsidRPr="005830DE" w:rsidRDefault="005830DE" w:rsidP="005830DE">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4337F4A0" w:rsidR="00D50649" w:rsidRPr="00AC7A35" w:rsidRDefault="00D50649" w:rsidP="00D50649">
    <w:pPr>
      <w:pStyle w:val="Footer"/>
      <w:rPr>
        <w:rFonts w:ascii="Arial" w:hAnsi="Arial" w:cs="Arial"/>
        <w:b/>
        <w:sz w:val="48"/>
      </w:rPr>
    </w:pPr>
    <w:r>
      <w:rPr>
        <w:rFonts w:ascii="Arial" w:hAnsi="Arial"/>
        <w:b/>
        <w:sz w:val="48"/>
      </w:rPr>
      <w:t>LV</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830DE">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LV</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114302EC" w:rsidR="00D50649" w:rsidRPr="00AC7A35" w:rsidRDefault="00D50649" w:rsidP="00D50649">
    <w:pPr>
      <w:pStyle w:val="FooterLandscape"/>
      <w:rPr>
        <w:rFonts w:ascii="Arial" w:hAnsi="Arial" w:cs="Arial"/>
        <w:b/>
        <w:sz w:val="48"/>
      </w:rPr>
    </w:pPr>
    <w:r>
      <w:rPr>
        <w:rFonts w:ascii="Arial" w:hAnsi="Arial"/>
        <w:b/>
        <w:sz w:val="48"/>
      </w:rPr>
      <w:t>LV</w:t>
    </w:r>
    <w:r>
      <w:tab/>
    </w:r>
    <w:r>
      <w:fldChar w:fldCharType="begin"/>
    </w:r>
    <w:r>
      <w:instrText xml:space="preserve"> PAGE  \* MERGEFORMAT </w:instrText>
    </w:r>
    <w:r>
      <w:fldChar w:fldCharType="separate"/>
    </w:r>
    <w:r w:rsidR="00240140">
      <w:rPr>
        <w:noProof/>
      </w:rPr>
      <w:t>18</w:t>
    </w:r>
    <w:r>
      <w:fldChar w:fldCharType="end"/>
    </w:r>
    <w:r>
      <w:tab/>
    </w:r>
    <w:r>
      <w:tab/>
    </w:r>
    <w:r>
      <w:rPr>
        <w:rFonts w:ascii="Arial" w:hAnsi="Arial"/>
        <w:b/>
        <w:sz w:val="48"/>
      </w:rPr>
      <w:t>LV</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Padomes Regula (EK) Nr. 139/2004 (2004. gada 20. janvāris) par kontroli pār uzņēmumu koncentrāciju (“Apvienošanās regula”) (OV L 24, 29.1.2004., 1. lpp.), </w:t>
      </w:r>
      <w:hyperlink r:id="rId1" w:history="1">
        <w:r>
          <w:rPr>
            <w:rStyle w:val="Hyperlink"/>
          </w:rPr>
          <w:t>EUR-Lex – 32004R0139 – LV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OV L [X], [X].[X].[X]., [X]. lpp.</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Komisijas paziņojums par noteiktu koncentrācijas darījumu vienkāršotu izskatīšanu saskaņā ar Padomes Regulu (EK) Nr. 139/2004 (OV С [X], [X].[X].[X]., [X]. lpp.) (“Paziņojums par vienkāršoto procedūru”).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“Pašreizējais apgrozījums” ir apgrozījums, kas kopuzņēmumam ir paziņošanas brīdī. Kopuzņēmuma apgrozījumu var noteikt, balstoties uz jaunākajiem revidētajiem pārskatiem par mātesuzņēmumiem vai pašu kopuzņēmumu (atkarībā no tā, vai ir pieejami atsevišķi pārskati par kopuzņēmumā apvienotajiem resursiem).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Paziņojuma par vienkāršoto procedūru 5. punkta a) apakšpunkts.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Paziņojuma par vienkāršoto procedūru 5. punkta b) apakšpunkts.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Skatīt Paziņojuma par vienkāršoto procedūru 5. punkta c) apakšpunktu.</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Skatīt Paziņojuma par vienkāršoto procedūru 5. punkta d) apakšpunktu.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Skatīt Paziņojuma par vienkāršoto procedūru 5. punkta e) apakšpunktu.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Skatīt Paziņojuma par vienkāršoto procedūru 8. punktu.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Skatīt Paziņojuma par vienkāršoto procedūru 9. punktu. </w:t>
      </w:r>
    </w:p>
  </w:footnote>
  <w:footnote w:id="12">
    <w:p w14:paraId="52DF4688" w14:textId="77777777" w:rsidR="00D50649" w:rsidRPr="00D25448" w:rsidRDefault="00D50649" w:rsidP="002138D6">
      <w:pPr>
        <w:pStyle w:val="FootnoteText"/>
        <w:ind w:left="426" w:hanging="426"/>
      </w:pPr>
      <w:r>
        <w:rPr>
          <w:rStyle w:val="FootnoteReference"/>
        </w:rPr>
        <w:footnoteRef/>
      </w:r>
      <w:r>
        <w:tab/>
        <w:t>Skatīt Paziņojuma par vienkāršoto procedūru 9. punktu.</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Pieprasījums norīkot lietas izskatītājus ir pieejams šeit: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Tas jo īpaši attiecas uz darījumiem, kas atbilst Paziņojuma par vienkāršoto procedūru 5. punkta a) un c) apakšpunktam (skatīt Paziņojuma par vienkāršoto procedūru 27. punktu).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OV L 295, 21.11.2018., 39. lpp., </w:t>
      </w:r>
      <w:hyperlink r:id="rId3" w:history="1">
        <w:r>
          <w:rPr>
            <w:rStyle w:val="Hyperlink"/>
          </w:rPr>
          <w:t>https://eur-lex.europa.eu/legal-content/LV/TXT/?uri=celex%3A32018R1725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Skatīt arī Paziņojumu par personas datu aizsardzību uzņēmumu apvienošanās izmeklēšanā: </w:t>
      </w:r>
      <w:hyperlink r:id="rId4" w:history="1">
        <w:r>
          <w:rPr>
            <w:rStyle w:val="Hyperlink2"/>
          </w:rPr>
          <w:t>https://ec.europa.eu/competition-policy/system/files/2021-05/privacy_statement_mergers_lv.pdf</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ab/>
        <w:t xml:space="preserve">Pilnvaras veidne ir pieejama vietnē </w:t>
      </w:r>
      <w:hyperlink r:id="rId5" w:history="1">
        <w:r>
          <w:rPr>
            <w:rStyle w:val="Hyperlink"/>
          </w:rPr>
          <w:t>https://ec.europa.eu/competition/mergers/legislation/power_of_attorney_template_en.docx</w:t>
        </w:r>
      </w:hyperlink>
      <w:r>
        <w:t xml:space="preserve"> (tikai angļu valodā).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Skatīt vietni </w:t>
      </w:r>
      <w:hyperlink r:id="rId6" w:history="1">
        <w:r>
          <w:rPr>
            <w:rStyle w:val="Hyperlink2"/>
          </w:rPr>
          <w:t>https://ec.europa.eu/competition-policy/mergers/practical-information_en</w:t>
        </w:r>
      </w:hyperlink>
      <w: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Apvienošanās ir darījums, kurā divi vai vairāki neatkarīgi uzņēmumi apvienojas jaunā uzņēmumā un beidz pastāvēt kā atsevišķas juridiskas personas. Sīkāku informāciju un norādījumus par jurisdikcijas aspektiem skatīt 9. un 10. punktā Komisijas konsolidētajā jurisdikcijas paziņojumā saskaņā ar Padomes Regulu (EK) Nr. 139/2004 par kontroli pār uzņēmumu koncentrāciju (“Komisijas konsolidētais jurisdikcijas paziņojums”) (OV C 95, 16.4.2008., 1. lpp.), </w:t>
      </w:r>
      <w:hyperlink r:id="rId7" w:history="1">
        <w:r>
          <w:rPr>
            <w:rStyle w:val="Hyperlink"/>
          </w:rPr>
          <w:t>https://eur-lex.europa.eu/legal-content/LV/TXT/?uri=CELEX%3A52008XC0416%2808%29</w:t>
        </w:r>
      </w:hyperlink>
      <w:r>
        <w:t>.</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Šajā scenārijā kopīga kontrole tiek iegūta pār mērķuzņēmumiem, kurus iepriekš nekontrolēja neviena no pusēm, kas iegūst kopīgu kontroli (t. i., kontroli pār uzņēmumu iegūst cits uzņēmums, kas ir nesaistīta trešā persona).  Skatīt jo īpaši Komisijas konsolidētā jurisdikcijas paziņojuma 91. punktu.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Šī kategorija ietver tādu jaunu kopuzņēmumu izveidi, kuriem mātesuzņēmumi nenodod esošu saimniecisko darbību (t. i., filiāli vai uzņēmējdarbības bloku ar klātbūtni tirgū) vai nodod tikai tādus aktīvus, kas kopā neveido uzņēmējdarbības bloku.</w:t>
      </w:r>
    </w:p>
  </w:footnote>
  <w:footnote w:id="21">
    <w:p w14:paraId="52DF4691" w14:textId="3897185E" w:rsidR="00D50649" w:rsidRPr="00846FBB" w:rsidRDefault="00D50649" w:rsidP="002138D6">
      <w:pPr>
        <w:pStyle w:val="FootnoteText1"/>
        <w:tabs>
          <w:tab w:val="left" w:pos="709"/>
        </w:tabs>
        <w:ind w:left="426" w:hanging="426"/>
      </w:pPr>
      <w:r>
        <w:rPr>
          <w:rStyle w:val="FootnoteReference"/>
        </w:rPr>
        <w:footnoteRef/>
      </w:r>
      <w:r>
        <w:tab/>
        <w:t xml:space="preserve">Šie darījumi cita starpā ietver i) jaunu pilnfunkciju kopuzņēmumu izveidi gadījumā, kad viens vai vairāki mātesuzņēmumi nodod esošu uzņēmējdarbības bloku vai saimniecisko darbību, un ii) kontrolējošu </w:t>
      </w:r>
      <w:r w:rsidR="003C04F4">
        <w:t>dalībniek</w:t>
      </w:r>
      <w:r>
        <w:t xml:space="preserve">u pievienošanos kopuzņēmumam vai to aizstāšanu. Skatīt jo īpaši Komisijas konsolidētā jurisdikcijas paziņojuma 92. punktu.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Jēdziena “attiecīgie uzņēmumi” skaidrojumu skatīt Komisijas konsolidētā jurisdikcijas paziņojuma 129.–153. punktā.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ab/>
        <w:t>“PP” (paziņotāja puse) vai “Cita”.</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I = ieguvējs vienpersoniskas vai kopīgas kontroles iegūšanas gadījumā (ja vairāk nekā viens, precizējiet I1, I2 utt.).</w:t>
      </w:r>
    </w:p>
    <w:p w14:paraId="52DF4695" w14:textId="77777777" w:rsidR="00D50649" w:rsidRPr="00A53FE4" w:rsidRDefault="00D50649" w:rsidP="002138D6">
      <w:pPr>
        <w:pStyle w:val="FootnoteText1"/>
        <w:tabs>
          <w:tab w:val="left" w:pos="709"/>
        </w:tabs>
        <w:ind w:left="426" w:hanging="426"/>
        <w:contextualSpacing/>
      </w:pPr>
      <w:r>
        <w:tab/>
        <w:t>M = mērķuzņēmums vienpersoniskas kontroles iegūšanas gadījumā (ja vairāk nekā viens, precizējiet M1, M2 utt.).</w:t>
      </w:r>
    </w:p>
    <w:p w14:paraId="52DF4696" w14:textId="77777777" w:rsidR="00D50649" w:rsidRPr="00A53FE4" w:rsidRDefault="00D50649" w:rsidP="002138D6">
      <w:pPr>
        <w:pStyle w:val="FootnoteText1"/>
        <w:tabs>
          <w:tab w:val="left" w:pos="709"/>
        </w:tabs>
        <w:ind w:left="426" w:hanging="426"/>
        <w:contextualSpacing/>
      </w:pPr>
      <w:r>
        <w:tab/>
        <w:t>KU = kopuzņēmums kopīgas kontroles iegūšanas gadījumā (ja vairāk nekā viens, precizējiet KU1, KU2 utt.).</w:t>
      </w:r>
    </w:p>
    <w:p w14:paraId="52DF4697" w14:textId="77777777" w:rsidR="00D50649" w:rsidRDefault="00D50649" w:rsidP="002138D6">
      <w:pPr>
        <w:pStyle w:val="FootnoteText1"/>
        <w:tabs>
          <w:tab w:val="left" w:pos="709"/>
        </w:tabs>
        <w:ind w:left="426" w:hanging="426"/>
        <w:contextualSpacing/>
      </w:pPr>
      <w:r>
        <w:tab/>
        <w:t>AP = apvienošanās puse apvienošanās gadījumā (ja vairāk nekā viena, precizējiet AP1, AP2 utt.).</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Informācija par apgrozījumu jāsniedz, summas izsakot euro pēc vidējā maiņas kursa attiecīgajā gadā vai citā attiecīgajā periodā.</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Ja fiskālais gads nesakrīt ar kalendāro gadu, norādiet fiskālā gada beigas pilna datuma formātā (dd/mm/gggg).</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EBTA valstis ir Islande, Lihtenšteina un Norvēģija.</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r>
      <w:r>
        <w:rPr>
          <w:i/>
        </w:rPr>
        <w:t>NACE</w:t>
      </w:r>
      <w:r>
        <w:t xml:space="preserve"> kodus norādiet tikai par produktiem, attiecībā uz kuriem rastos horizontālās pārklāšanās un/vai nehorizontālās attiecības. Ja horizontālās pārklāšanās un nehorizontālās attiecības nerastos, norādiet mērķuzņēmuma galveno produktu </w:t>
      </w:r>
      <w:r>
        <w:rPr>
          <w:i/>
        </w:rPr>
        <w:t>NACE</w:t>
      </w:r>
      <w:r>
        <w:t xml:space="preserve"> kodus.</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Eiropas Parlamenta un Padomes Regula (EK) Nr. 1893/2006 (2006. gada 20. decembris), ar ko izveido </w:t>
      </w:r>
      <w:r>
        <w:rPr>
          <w:i/>
        </w:rPr>
        <w:t>NACE</w:t>
      </w:r>
      <w:r>
        <w:t xml:space="preserve"> 2. red. saimniecisko darbību statistisko klasifikāciju, kā arī groza Padomes Regulu (EEK) Nr. 3037/90 un dažas EK regulas par īpašām statistikas jomām (OV L 393, 30.12.2006., 1. lpp.) </w:t>
      </w:r>
      <w:hyperlink r:id="rId8" w:history="1">
        <w:r>
          <w:rPr>
            <w:rStyle w:val="Hyperlink"/>
          </w:rPr>
          <w:t>EUR-Lex – 32006R1893 – LV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Skatīt Komisijas konsolidēto jurisdikcijas paziņojumu.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Aizpildiet šo lauku par lēmumu pieņemšanas struktūru, kura pieņem tādus stratēģiskos lēmumus, kas raksturoti Komisijas konsolidētā jurisdikcijas paziņojuma 3.1. un 3.2. iedaļā.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Tas attiecas uz visiem aktīviem, kurus paziņojuma iesniegšanas brīdī plānots nodot kopuzņēmumam, neatkarīgi no datuma, kurā šie aktīvi tiks faktiski nodoti kopuzņēmumam.</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Ar “un/vai” paredzēts aptvert dažādās iespējamās situācijas. Tai skaitā:</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ja tiek iegūta kopīga kontrole pār mērķuzņēmumu, vērā ņemamais apgrozījums ir šā mērķuzņēmuma (kopuzņēmuma) apgrozījums, </w:t>
      </w:r>
    </w:p>
    <w:p w14:paraId="52DF46A2" w14:textId="77777777" w:rsidR="00D50649" w:rsidRPr="00A53FE4" w:rsidRDefault="00D50649" w:rsidP="002138D6">
      <w:pPr>
        <w:pStyle w:val="FootnoteText1"/>
        <w:numPr>
          <w:ilvl w:val="0"/>
          <w:numId w:val="31"/>
        </w:numPr>
        <w:tabs>
          <w:tab w:val="left" w:pos="709"/>
        </w:tabs>
        <w:ind w:left="426" w:hanging="426"/>
        <w:contextualSpacing/>
      </w:pPr>
      <w:r>
        <w:t>tāda kopuzņēmuma izveides gadījumā, kuram mātesuzņēmumi nodod savas darbības, vērā ņemamais apgrozījums ir nododamo darbību apgrozījums,</w:t>
      </w:r>
    </w:p>
    <w:p w14:paraId="52DF46A3" w14:textId="77777777" w:rsidR="00D50649" w:rsidRPr="0053665C" w:rsidRDefault="00D50649" w:rsidP="002138D6">
      <w:pPr>
        <w:pStyle w:val="FootnoteText1"/>
        <w:numPr>
          <w:ilvl w:val="0"/>
          <w:numId w:val="31"/>
        </w:numPr>
        <w:tabs>
          <w:tab w:val="left" w:pos="709"/>
        </w:tabs>
        <w:ind w:left="426" w:hanging="426"/>
        <w:contextualSpacing/>
      </w:pPr>
      <w:r>
        <w:t>ja jauna kontrolējošā puse pievienojas pastāvošam kopuzņēmumam, jāņem vērā kopuzņēmuma apgrozījums un jaunā mātesuzņēmuma nododamo darbību (ja tādas ir) apgrozījums.</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Tas attiecas uz visiem aktīviem, kurus paziņojuma iesniegšanas brīdī plānots nodot kopuzņēmumam, neatkarīgi no datuma, kurā šie aktīvi tiks faktiski nodoti kopuzņēmumam.</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Lai būtu piemērojama šī kategorija, jābūt atzīmētiem abiem nākamajiem lodziņiem.</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Robežvērtības attiecībā uz horizontālo pārklāšanos un vertikālajām attiecībām ir piemērojamas visām iespējamām produktu un ģeogrāfiskā tirgus definīcijām, kas var būt ņemamas vērā konkrētajā gadījumā. Svarīgi nodrošināt, lai paziņojumā sniegtās attiecīgo tirgu definīcijas būtu pietiekami precīzas un tādējādi ļautu pamatot atzinumu, ka minētās robežvērtības nav pārsniegtas, un lai būtu norādītas visas citas iespējamās tirgus definīcijas, kas var būt ņemamas vērā (ieskaitot ģeogrāfiskos tirgus, kas ir šaurāki par valsts mēroga tirgu).</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r>
      <w:r>
        <w:rPr>
          <w:i/>
        </w:rPr>
        <w:t>HHI</w:t>
      </w:r>
      <w:r>
        <w:t xml:space="preserve"> aprēķina, summējot visu tirgū darbojošos uzņēmumu atsevišķās tirgus daļas, kas kāpinātas kvadrātā; skatīt 16. punktu Komisijas Pamatnostādnēs par horizontālo apvienošanos novērtēšanu saskaņā ar Padomes Regulu par uzņēmumu koncentrāciju kontroli (OV C 31, 5.2.2004., 5. lpp.), </w:t>
      </w:r>
      <w:hyperlink r:id="rId9" w:history="1">
        <w:r>
          <w:rPr>
            <w:rStyle w:val="Hyperlink"/>
          </w:rPr>
          <w:t>https://eur-lex.europa.eu/legal-content/LV/ALL/?uri=celex%3A52004XC0205%2802%29</w:t>
        </w:r>
      </w:hyperlink>
      <w:r>
        <w:t xml:space="preserve">. Savukārt, lai aprēķinātu </w:t>
      </w:r>
      <w:r>
        <w:rPr>
          <w:i/>
        </w:rPr>
        <w:t>HHI</w:t>
      </w:r>
      <w:r>
        <w:t xml:space="preserve"> delta, kas izriet no koncentrācijas darījuma, vienkārši no darījuma pušu tirgus daļu summas, kas kāpināta kvadrātā (citiem vārdiem, apvienotā subjekta tirgus daļas pēc koncentrācijas, kāpinātas kvadrātā), jāatņem summa, ko veido pušu atsevišķās tirgus daļas, kas kāpinātas kvadrātā (jo visu pārējo konkurentu tirgus daļas tirgū paliek nemainīgas un tādējādi neietekmē vienādojuma rezultātu).</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 xml:space="preserve">Ar šo kategoriju paredzēts aptvert nelielus tirgus daļas pieaugumus jau esošā vertikālajā integrācijā. Piemēram, ja A uzņēmums, kurš darbojas augšupējā un lejupējā tirgū un kura tirgus daļa katrā no šiem tirgiem ir 45 %, iegūst kontroli pār B uzņēmumu, kurš darbojas tajos pašos augšupējos un lejupējos tirgos un kura tirgus daļa katrā no tiem ir 0,5 %.  Šī kategorija turpretī neaptver situācijas, kurās vertikālā integrācija pārsvarā izriet no konkrētā darījuma, pat ja kopējās tirgus daļas ir mazākas par 50 % un </w:t>
      </w:r>
      <w:r>
        <w:rPr>
          <w:i/>
        </w:rPr>
        <w:t>HHI</w:t>
      </w:r>
      <w:r>
        <w:t xml:space="preserve"> delta ir mazāka par 150.  Piemēram, šī kategorija neaptver situāciju, kurā A uzņēmums ar 45 % tirgus daļu augšupējā tirgū un 0,5 % tirgus daļu lejupējā tirgū iegūst kontroli pār B uzņēmumu ar 0,5 % tirgus daļu augšupējā tirgū un 45 % tirgus daļu lejupējā tirgū.</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Skatīt </w:t>
      </w:r>
      <w:r>
        <w:fldChar w:fldCharType="begin"/>
      </w:r>
      <w:r>
        <w:instrText xml:space="preserve"> NOTEREF _Ref101281513 \h </w:instrText>
      </w:r>
      <w:r>
        <w:fldChar w:fldCharType="separate"/>
      </w:r>
      <w:r>
        <w:t>31</w:t>
      </w:r>
      <w:r>
        <w:fldChar w:fldCharType="end"/>
      </w:r>
      <w:r>
        <w:t xml:space="preserve">. zemsvītras piezīmi.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Skatīt </w:t>
      </w:r>
      <w:r>
        <w:fldChar w:fldCharType="begin"/>
      </w:r>
      <w:r>
        <w:instrText xml:space="preserve"> NOTEREF _Ref101281515 \h </w:instrText>
      </w:r>
      <w:r>
        <w:fldChar w:fldCharType="separate"/>
      </w:r>
      <w:r>
        <w:t>32</w:t>
      </w:r>
      <w:r>
        <w:fldChar w:fldCharType="end"/>
      </w:r>
      <w:r>
        <w:t>. zemsvītras piezīmi.</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“Izstrādes stadijā esoši produkti” ir produkti, kas varētu tikt laisti tirgū īstermiņā vai vidējā termiņā.  Termins “izstrādes stadijā esoši produkti” aptver arī pakalpojumus.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Attiecībā uz horizontālo pārklāšanos, kura attiecas uz izstrādes stadijā esošiem produktiem, norādiet tirgus daļas tirgotajiem produktiem, kuri konkurē iespējamajā konkrētajā tirgū.</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Attiecībā uz pusēm un/vai konkurentiem, kas piedāvā tirgotos produktus, norādiet tirgus daļas. Ja tirgoto produktu nav, norādiet vismaz trīs konkurentus, kas izstrādā konkurējošus produktus.</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Izņemot vertikālās attiecības, uz kurām attiecas Paziņojuma par vienkāršoto procedūru 5. punkta d) apakšpunkta ii) punkta bb) apakšpunkts.  Attiecībā uz šādām vertikālajām attiecībām jāaizpilda 10. iedaļa.</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Piemēram, ja attiecībā uz vertikālajām attiecībām starp augšupējo tirgu A un lejupējo tirgu L bijāt noteikuši iespējamās augšupējā tirgus definīcijas A1 un A2, iekļaujiet divas tabulas – i) ar informāciju par A1 un L un ii) ar informāciju par A2 un L.</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Attiecībā uz pusēm un/vai konkurentiem, kas piedāvā tirgotos produktus, norādiet tirgus daļas. Ja tirgoto produktu nav, norādiet vismaz trīs konkurentus, kas izstrādā konkurējošus produktus.</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Attiecībā uz pusēm un/vai konkurentiem, kas piedāvā tirgotos produktus, norādiet tirgus daļas. Ja tirgoto produktu nav, norādiet vismaz trīs konkurentus, kas izstrādā konkurējošus produktus.</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Piemēram, ja attiecībā uz vertikālajām attiecībām starp augšupējo tirgu A un lejupējo tirgu L bijāt noteikuši iespējamās augšupējā tirgus definīcijas A1 un A2, iekļaujiet divas tabulas – i) ar informāciju par A1 un L un ii) ar informāciju par A2 un L.</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Attiecībā uz pusēm un/vai konkurentiem, kas piedāvā tirgotos produktus, norādiet tirgus daļas. Ja tirgoto produktu nav, norādiet vismaz trīs konkurentus, kas izstrādā konkurējošus produktus.</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Attiecībā uz pusēm un/vai konkurentiem, kas piedāvā tirgotos produktus, norādiet tirgus daļas. Ja tirgoto produktu nav, norādiet vismaz trīs konkurentus, kas izstrādā konkurējošus produktus.</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Aizpildiet tikai vienu tabulu attiecībā uz visiem tirgiem, kuri ietilpst kādā Paziņojuma par vienkāršoto procedūru kategorijā un kuriem nav piemērojams neviens aizsardzības pasākums / izņēmums (t. i., par visiem šīs 11. iedaļas apgalvojumiem atzīmējāt “Nē”).  Savukārt par katru tirgu, kurš ietilpst kādā Paziņojuma par vienkāršoto procedūru kategorijā un attiecībā uz kuru vismaz par vienu apgalvojumu atzīmējāt “Jā”, jāaizpilda atsevišķa tabula.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Ja šis rādītājs ir jānorāda attiecībā uz tirgiem, kuros koncentrācijas darījuma rezultātā pušu darbības pārklātos vai rastos vertikālas attiecības.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E046E" w14:textId="77777777" w:rsidR="005830DE" w:rsidRPr="005830DE" w:rsidRDefault="005830DE" w:rsidP="005830D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57547" w14:textId="77777777" w:rsidR="005830DE" w:rsidRPr="005830DE" w:rsidRDefault="005830DE" w:rsidP="005830DE">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0BCE7" w14:textId="77777777" w:rsidR="005830DE" w:rsidRPr="005830DE" w:rsidRDefault="005830DE" w:rsidP="005830DE">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okumentam"/>
    <w:docVar w:name="LW_ANNEX_NBR_FIRST" w:val="2"/>
    <w:docVar w:name="LW_ANNEX_NBR_LAST" w:val="2"/>
    <w:docVar w:name="LW_ANNEX_UNIQUE" w:val="0"/>
    <w:docVar w:name="LW_CORRIGENDUM" w:val="&lt;UNUSED&gt;"/>
    <w:docVar w:name="LW_COVERPAGE_EXISTS" w:val="True"/>
    <w:docVar w:name="LW_COVERPAGE_GUID" w:val="C11DB611-744D-4AFA-9378-4407391E6736"/>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isel\u275?, "/>
    <w:docVar w:name="LW_EMISSION_SUFFIX" w:val="."/>
    <w:docVar w:name="LW_ID_DOCTYPE_NONLW" w:val="CP-038"/>
    <w:docVar w:name="LW_LANGUE" w:val="LV"/>
    <w:docVar w:name="LW_LEVEL_OF_SENSITIVITY" w:val="Standard treatment"/>
    <w:docVar w:name="LW_NOM.INST" w:val="EIROPAS KOMISIJA"/>
    <w:docVar w:name="LW_NOM.INST_JOINTDOC" w:val="&lt;EMPTY&gt;"/>
    <w:docVar w:name="LW_OBJETACTEPRINCIPAL.CP" w:val="ar ko īsteno Padomes Regulu (EK) Nr. 139/2004 par kontroli pār uzņēmumu koncentrāciju un atceļ Komisijas Regulu (EK) Nr. 802/2004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IELIKUMS_x000b_"/>
    <w:docVar w:name="LW_TYPEACTEPRINCIPAL.CP" w:val="KOMISIJAS ĪSTENOŠANAS REGULA (ES) …/..,_x000b_"/>
    <w:docVar w:name="LwApiVersions" w:val="LW4CoDe 1.23.2.0; LW 8.0, Build 20211117"/>
  </w:docVars>
  <w:rsids>
    <w:rsidRoot w:val="00B624FB"/>
    <w:rsid w:val="00012B44"/>
    <w:rsid w:val="001144CA"/>
    <w:rsid w:val="00154223"/>
    <w:rsid w:val="001752D7"/>
    <w:rsid w:val="002138D6"/>
    <w:rsid w:val="00223609"/>
    <w:rsid w:val="00224A6E"/>
    <w:rsid w:val="00240140"/>
    <w:rsid w:val="002A52BA"/>
    <w:rsid w:val="002C5E9B"/>
    <w:rsid w:val="002D05BE"/>
    <w:rsid w:val="002D6539"/>
    <w:rsid w:val="002E59A6"/>
    <w:rsid w:val="003162DE"/>
    <w:rsid w:val="00327664"/>
    <w:rsid w:val="003C04F4"/>
    <w:rsid w:val="004C22AD"/>
    <w:rsid w:val="004E11D1"/>
    <w:rsid w:val="004E62A4"/>
    <w:rsid w:val="004F76FA"/>
    <w:rsid w:val="005201C6"/>
    <w:rsid w:val="005830DE"/>
    <w:rsid w:val="005914C5"/>
    <w:rsid w:val="005E41FF"/>
    <w:rsid w:val="00670C03"/>
    <w:rsid w:val="00673BCE"/>
    <w:rsid w:val="00676E7F"/>
    <w:rsid w:val="006C2B32"/>
    <w:rsid w:val="00737470"/>
    <w:rsid w:val="008429E1"/>
    <w:rsid w:val="00900C7C"/>
    <w:rsid w:val="00962001"/>
    <w:rsid w:val="009F06D0"/>
    <w:rsid w:val="00A3455E"/>
    <w:rsid w:val="00A42683"/>
    <w:rsid w:val="00AC213E"/>
    <w:rsid w:val="00B04A43"/>
    <w:rsid w:val="00B3445C"/>
    <w:rsid w:val="00B624FB"/>
    <w:rsid w:val="00B77EE0"/>
    <w:rsid w:val="00BA380B"/>
    <w:rsid w:val="00BD15FE"/>
    <w:rsid w:val="00CD6008"/>
    <w:rsid w:val="00CE54AE"/>
    <w:rsid w:val="00D04FC7"/>
    <w:rsid w:val="00D273A1"/>
    <w:rsid w:val="00D30CAE"/>
    <w:rsid w:val="00D50649"/>
    <w:rsid w:val="00D520CF"/>
    <w:rsid w:val="00DE739C"/>
    <w:rsid w:val="00E80B41"/>
    <w:rsid w:val="00E82663"/>
    <w:rsid w:val="00F52D48"/>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lv-LV"/>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lv-LV"/>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lv-LV"/>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lv-LV"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lv-LV"/>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V/ALL/?uri=celex%3A32006R1893" TargetMode="External"/><Relationship Id="rId3" Type="http://schemas.openxmlformats.org/officeDocument/2006/relationships/hyperlink" Target="https://eur-lex.europa.eu/legal-content/LV/TXT/?uri=celex%3A32018R1725" TargetMode="External"/><Relationship Id="rId7" Type="http://schemas.openxmlformats.org/officeDocument/2006/relationships/hyperlink" Target="https://eur-lex.europa.eu/legal-content/LV/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LV/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system/files/2021-05/privacy_statement_mergers_lv.pdf" TargetMode="External"/><Relationship Id="rId9" Type="http://schemas.openxmlformats.org/officeDocument/2006/relationships/hyperlink" Target="https://eur-lex.europa.eu/legal-content/LV/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D17A7-1380-47D7-85C6-D5CA47DD9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7812</Words>
  <Characters>44534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23</cp:revision>
  <dcterms:created xsi:type="dcterms:W3CDTF">2023-02-02T15:47:00Z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