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Del III.6</w:t>
            </w:r>
          </w:p>
          <w:p w14:paraId="1C239D2C" w14:textId="171BCF76" w:rsidR="000442F5" w:rsidRPr="009916D5" w:rsidRDefault="00531803" w:rsidP="007B485D">
            <w:pPr>
              <w:pStyle w:val="Heading2"/>
              <w:spacing w:before="240" w:after="240"/>
              <w:jc w:val="center"/>
              <w:rPr>
                <w:sz w:val="32"/>
                <w:szCs w:val="32"/>
              </w:rPr>
            </w:pPr>
            <w:r>
              <w:rPr>
                <w:sz w:val="32"/>
              </w:rPr>
              <w:t>Supplerende informationsskema for statsstøtte ydet i henhold til retningslinjerne for statsstøtte til klima, miljøbeskyttelse og energi 2022 (CEEAG)</w:t>
            </w:r>
            <w:r>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Kapitel 4.11 – Støtte i form af nedsættelser af elafgifter til energiintensive brugere</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Dette supplerende informationsskema skal anvendes ved anmeldelse af enhver støtte, der er omfattet af retningslinjerne for statsstøtte til klima, miljøbeskyttelse og energi 2022 (herefter "CEEAG").</w:t>
      </w:r>
    </w:p>
    <w:p w14:paraId="1B60656B" w14:textId="5A450E3F" w:rsidR="009E2EA1" w:rsidRPr="00711243" w:rsidRDefault="0072538B" w:rsidP="009E2EA1">
      <w:pPr>
        <w:spacing w:before="120" w:after="120"/>
        <w:ind w:right="-142"/>
        <w:jc w:val="both"/>
        <w:rPr>
          <w:i/>
          <w:iCs/>
        </w:rPr>
      </w:pPr>
      <w:r>
        <w:rPr>
          <w:i/>
        </w:rPr>
        <w:t xml:space="preserve">Dette supplerende informationsskema vedrører foranstaltninger, der er omhandlet i kapitel 4.11 i CEEAG. Hvis anmeldelsen omfatter foranstaltninger, der er omhandlet i mere end et kapitel i CEEAG, skal det supplerende informationsskema, som omhandler det pågældende kapitel i CEEAG, ligeledes udfyldes, når skemaet bliver tilgængeligt. </w:t>
      </w:r>
    </w:p>
    <w:p w14:paraId="05E36007" w14:textId="48DD17A5" w:rsidR="009E2EA1" w:rsidRPr="00711243" w:rsidRDefault="009E2EA1" w:rsidP="009E2EA1">
      <w:pPr>
        <w:spacing w:before="120" w:after="120"/>
        <w:ind w:right="-142"/>
        <w:jc w:val="both"/>
        <w:rPr>
          <w:i/>
          <w:iCs/>
        </w:rPr>
      </w:pPr>
      <w:r>
        <w:rPr>
          <w:i/>
        </w:rPr>
        <w:t>Alle de dokumenter, som medlemsstaterne vedlægger dette supplerende informationsskema som bilag, skal nummereres, og dokumentnumrene skal anføres i de relevante afsnit i dette supplerende informationsskema.</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Afsnit A: Resumé af de vigtigste karakteristika ved den eller de anmeldte foranstaltninger</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Baggrund for og formål med den eller de anmeldte foranstaltninger.</w:t>
      </w:r>
    </w:p>
    <w:p w14:paraId="53AAF227" w14:textId="40775AB0" w:rsidR="00931262" w:rsidRDefault="00931262" w:rsidP="004F64BC">
      <w:pPr>
        <w:pStyle w:val="ListParagraph"/>
        <w:keepLines/>
        <w:numPr>
          <w:ilvl w:val="0"/>
          <w:numId w:val="21"/>
        </w:numPr>
        <w:spacing w:after="240"/>
        <w:ind w:left="993" w:hanging="142"/>
        <w:jc w:val="both"/>
      </w:pPr>
      <w:r>
        <w:t>Angiv, om der er tale om en ny foranstaltning eller en ændring af en eksisterende foranstaltning. Hvis der er tale om en ændring, skal der angives nærmere oplysninger om ændringerne af ordningen.</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Hvis der ikke allerede er redegjort for det i afsnit 5.2 i formularen vedrørende generelle oplysninger (del I), angives baggrunden og hovedformålet, herunder forbindelsen til eventuelle EU-miljømål, som foranstaltningen har til formål at understøtte.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Angiv eventuelle andre formål, der forfølges med foranstaltningen. For mål, der ikke er rent miljømæssige, skal det forklares, om de kan medføre forvridninger af det indre marked.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Ikrafttræden og varighed:</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I det omfang det ikke allerede er angivet i afsnit 5.5 i formularen vedrørende generelle oplysninger (del I), skal følgende angives:</w:t>
      </w:r>
    </w:p>
    <w:p w14:paraId="186C0754" w14:textId="77777777" w:rsidR="00B77C6D" w:rsidRDefault="00B77C6D" w:rsidP="00B77C6D">
      <w:pPr>
        <w:pStyle w:val="ListParagraph"/>
        <w:numPr>
          <w:ilvl w:val="1"/>
          <w:numId w:val="44"/>
        </w:numPr>
        <w:spacing w:after="240"/>
        <w:ind w:left="2127"/>
        <w:contextualSpacing w:val="0"/>
        <w:jc w:val="both"/>
        <w:rPr>
          <w:szCs w:val="24"/>
        </w:rPr>
      </w:pPr>
      <w:r>
        <w:t xml:space="preserve">For en støtteordning: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den dato, fra hvilken ordningen efter planen skal træde i kraft</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ordningens varighed</w:t>
      </w:r>
      <w:r>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77777777" w:rsidR="00B77C6D" w:rsidRDefault="00B77C6D" w:rsidP="00B77C6D">
      <w:pPr>
        <w:pStyle w:val="ListParagraph"/>
        <w:numPr>
          <w:ilvl w:val="1"/>
          <w:numId w:val="44"/>
        </w:numPr>
        <w:spacing w:before="120" w:after="120"/>
        <w:ind w:left="2127"/>
        <w:contextualSpacing w:val="0"/>
        <w:jc w:val="both"/>
        <w:rPr>
          <w:szCs w:val="24"/>
        </w:rPr>
      </w:pPr>
      <w:r>
        <w:t>For individuel støtte: (planlagt) støttetildelingstidspunkt (tilsagn om støtte) og udbetalingsdato (første udbetalingsdato, hvis der er planlagt forskellige på hinanden følgende udbetalinger):</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Støttemodtager(e)</w:t>
      </w:r>
      <w:r>
        <w:tab/>
      </w:r>
    </w:p>
    <w:p w14:paraId="06E5A4C8" w14:textId="44380450" w:rsidR="00B77C6D" w:rsidRDefault="0068024A" w:rsidP="00B77C6D">
      <w:pPr>
        <w:pStyle w:val="ListParagraph"/>
        <w:numPr>
          <w:ilvl w:val="0"/>
          <w:numId w:val="22"/>
        </w:numPr>
        <w:spacing w:after="240"/>
        <w:ind w:hanging="229"/>
        <w:jc w:val="both"/>
        <w:rPr>
          <w:szCs w:val="24"/>
        </w:rPr>
      </w:pPr>
      <w:r>
        <w:t>Beskriv foranstaltningens/foranstaltningernes (potentielle) støttemodtager(e), hvis dette ikke allerede er angivet i afsnit 3 i formularen vedrørende generelle oplysninger (del I).</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Angiv (de potentielle) støttemodtageres lokalisering (dvs. om kun økonomiske enheder, der er beliggende i de respektive medlemsstater, eller om dem i andre medlemsstater ligeledes er berettigede til at deltage i foranstaltningen).</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Angiv med henblik på at vurdere, om punkt 15 i CEEAG er overholdt, hvorvidt der i henhold til foranstaltningen/foranstaltningerne ydes støtte til fordel for en virksomhed (individuel eller en del af en ordning), der ikke har efterkommet et krav om tilbagebetaling af støtte, som Kommissionen ved en tidligere afgørelse har erklæret ulovlig og uforenelig med det indre marked.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Oplys i bekræftende fald det støttebeløb, der endnu ikke er tilbagebetalt, med henblik på Kommissionens hensyntagen til dette i vurderingen af støtteforanstaltningen/støtteforanstaltningerne.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Bekræft, at foranstaltningen/foranstaltningerne ikke omfatter støtte til aktiviteter, der falder uden for anvendelsesområdet for CEEAG (se punkt 13 i CEEAG). Angiv i modsat fald nærmere oplysninger.</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Budget og finansiering af foranstaltningen/foranstaltningerne</w:t>
      </w:r>
      <w:r>
        <w:t>.</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vertAlign w:val="superscript"/>
        </w:rPr>
        <w:t xml:space="preserve"> </w:t>
      </w:r>
      <w:r>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Da foranstaltningen vedrører en afgift, skal det angives, om:</w:t>
      </w:r>
      <w:bookmarkEnd w:id="3"/>
    </w:p>
    <w:p w14:paraId="21BE29C3"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afgiften er fastsat ved lov eller anden retsakt. Angiv i bekræftende fald retsakten, dens nummer og datoen, hvor retsakten blev vedtaget og trådte i kraft, samt et link til retsakten</w:t>
      </w:r>
    </w:p>
    <w:p w14:paraId="1754D836" w14:textId="77777777" w:rsidR="00B77C6D" w:rsidRDefault="00B77C6D" w:rsidP="00E7597C">
      <w:pPr>
        <w:keepLines/>
        <w:tabs>
          <w:tab w:val="left" w:leader="dot" w:pos="9072"/>
        </w:tabs>
        <w:spacing w:before="120" w:after="120"/>
        <w:ind w:left="927"/>
        <w:jc w:val="both"/>
      </w:pPr>
      <w:r>
        <w:lastRenderedPageBreak/>
        <w:tab/>
      </w:r>
    </w:p>
    <w:p w14:paraId="17CC5546" w14:textId="54C11AFE" w:rsidR="001F75B2" w:rsidRPr="001F75B2" w:rsidRDefault="001F75B2" w:rsidP="00E7597C">
      <w:pPr>
        <w:pStyle w:val="ListParagraph"/>
        <w:keepLines/>
        <w:numPr>
          <w:ilvl w:val="1"/>
          <w:numId w:val="23"/>
        </w:numPr>
        <w:spacing w:before="240" w:after="120"/>
        <w:ind w:left="2001" w:hanging="357"/>
        <w:contextualSpacing w:val="0"/>
        <w:jc w:val="both"/>
        <w:rPr>
          <w:rFonts w:cs="Arial Unicode MS"/>
          <w:bCs/>
        </w:rPr>
      </w:pPr>
      <w:bookmarkStart w:id="4" w:name="_Hlk172879385"/>
      <w:r>
        <w:t>afgiftsnedsættelsen er finansieret ved at forhøje afgiften for andre forbrugere</w:t>
      </w:r>
      <w:bookmarkEnd w:id="4"/>
    </w:p>
    <w:p w14:paraId="63B7575D" w14:textId="6407E221" w:rsidR="00B77C6D" w:rsidRDefault="001F75B2" w:rsidP="00E7597C">
      <w:pPr>
        <w:keepLines/>
        <w:tabs>
          <w:tab w:val="left" w:leader="dot" w:pos="9072"/>
        </w:tabs>
        <w:spacing w:before="120" w:after="120"/>
        <w:ind w:left="927"/>
        <w:jc w:val="both"/>
      </w:pPr>
      <w:r>
        <w:tab/>
      </w:r>
      <w:r>
        <w:tab/>
      </w:r>
    </w:p>
    <w:p w14:paraId="008A55C5" w14:textId="77777777" w:rsidR="00B77C6D" w:rsidRDefault="00B77C6D" w:rsidP="00E7597C">
      <w:pPr>
        <w:pStyle w:val="ListParagraph"/>
        <w:keepLines/>
        <w:numPr>
          <w:ilvl w:val="1"/>
          <w:numId w:val="23"/>
        </w:numPr>
        <w:spacing w:before="240" w:after="120"/>
        <w:ind w:left="2001" w:hanging="357"/>
        <w:contextualSpacing w:val="0"/>
        <w:jc w:val="both"/>
        <w:rPr>
          <w:rFonts w:cs="Arial Unicode MS"/>
          <w:bCs/>
        </w:rPr>
      </w:pPr>
      <w:r>
        <w:t>afgiften fuldt ud finansierer foranstaltningen eller kun gør det delvist. Hvis afgiften kun delvis finansierer foranstaltningen, skal de øvrige finansieringskilder for foranstaltningen og deres respektive andel angives</w:t>
      </w:r>
    </w:p>
    <w:p w14:paraId="56091CF7" w14:textId="77777777" w:rsidR="00B77C6D" w:rsidRDefault="00B77C6D" w:rsidP="00E7597C">
      <w:pPr>
        <w:keepLines/>
        <w:tabs>
          <w:tab w:val="left" w:leader="dot" w:pos="9072"/>
        </w:tabs>
        <w:spacing w:before="120" w:after="120"/>
        <w:ind w:left="927"/>
        <w:jc w:val="both"/>
      </w:pPr>
      <w:r>
        <w:tab/>
      </w:r>
    </w:p>
    <w:p w14:paraId="0D234BB7" w14:textId="77777777" w:rsidR="00B77C6D" w:rsidRDefault="00B77C6D" w:rsidP="00D304A1">
      <w:pPr>
        <w:pStyle w:val="ListParagraph"/>
        <w:keepLines/>
        <w:numPr>
          <w:ilvl w:val="1"/>
          <w:numId w:val="23"/>
        </w:numPr>
        <w:spacing w:before="240" w:after="120"/>
        <w:ind w:left="2001" w:hanging="357"/>
        <w:contextualSpacing w:val="0"/>
        <w:jc w:val="both"/>
        <w:rPr>
          <w:rFonts w:cs="Arial Unicode MS"/>
          <w:bCs/>
        </w:rPr>
      </w:pPr>
      <w:r>
        <w:t>den afgift, der finansierer den anmeldte foranstaltning, også finansierer andre støtteforanstaltninger. Angiv i bekræftende fald de øvrige støtteforanstaltninger, der finansieres af den pågældende afgift.</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Afsnit B: Forenelighedsvurdering af støtten</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Positiv betingelse: Støtten skal fremme udviklingen af en økonomisk aktivitet</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Bidrag til udviklingen af en økonomisk aktivitet og tilskyndelsesvirkning</w:t>
            </w:r>
          </w:p>
        </w:tc>
      </w:tr>
    </w:tbl>
    <w:p w14:paraId="1E2599D2" w14:textId="090DDB6C" w:rsidR="000442F5" w:rsidRPr="00DB40A5" w:rsidRDefault="000442F5" w:rsidP="00D304A1">
      <w:pPr>
        <w:keepLines/>
        <w:spacing w:before="360" w:after="120"/>
        <w:jc w:val="both"/>
        <w:rPr>
          <w:i/>
        </w:rPr>
      </w:pPr>
      <w:r>
        <w:rPr>
          <w:i/>
        </w:rPr>
        <w:t xml:space="preserve">Med henblik på angivelsen af oplysningerne i dette afsnit henvises til afsnit 4.11.1 i CEEAG. </w:t>
      </w:r>
    </w:p>
    <w:p w14:paraId="3B179A23" w14:textId="692B32B4" w:rsidR="00FE59FF" w:rsidRDefault="00956022" w:rsidP="007D3768">
      <w:pPr>
        <w:numPr>
          <w:ilvl w:val="0"/>
          <w:numId w:val="4"/>
        </w:numPr>
        <w:ind w:left="426" w:hanging="426"/>
        <w:jc w:val="both"/>
      </w:pPr>
      <w:r>
        <w:t xml:space="preserve">Kommissionen kan i henhold til artikel 107, stk. 3, litra c), i traktaten om Den Europæiske Unions funktionsmåde (TEUF) erklære "støtte til fremme af udviklingen af visse erhvervsgrene eller økonomiske regioner, når den ikke ændrer samhandelsvilkårene på en måde, der strider mod den fælles interesse", forenelig med det indre marked. Støtte, der er forenelig i henhold til denne bestemmelse i TEUF, skal derfor bidrage til udviklingen af en bestemt økonomisk aktivitet </w:t>
      </w:r>
    </w:p>
    <w:p w14:paraId="3D019745" w14:textId="31E2DE72" w:rsidR="00C75792" w:rsidRPr="008515FB" w:rsidRDefault="00FE59FF" w:rsidP="00E7597C">
      <w:pPr>
        <w:spacing w:before="240"/>
        <w:ind w:left="357"/>
        <w:jc w:val="both"/>
      </w:pPr>
      <w:r>
        <w:t>Statsstøtte kan desuden kun anses for at fremme en økonomisk aktivitet, hvis den har en tilskyndelsesvirkning. Der er tale om tilskyndelsesvirkning, når støtten motiverer støttemodtageren til at ændre adfærd henimod udviklingen af en økonomisk aktivitet i overensstemmelse med støttens formål, og hvis denne adfærdsændring ikke ville have fundet sted uden støtten.</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Redegør for, hvordan afgiftsreduktionsmekanismen giver støtteberettigede virksomheder tilskyndelse til at undgå risikoen for, at aktiviteter flyttes uden for Unionen, hvor miljødisciplinerne mangler eller er mindre ambitiøse, eller giver tilskyndelse til at fremme elektrificering af produktionsprocesser i overensstemmelse med punkt 400 i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Angiv, i hvilken del af (udkastet til) retsgrundlaget denne overvejelse er afspejlet.</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Ingen overtrædelse af relevante EU-retlige bestemmelser</w:t>
            </w:r>
          </w:p>
        </w:tc>
      </w:tr>
    </w:tbl>
    <w:p w14:paraId="665FE026" w14:textId="0459581F" w:rsidR="00DE1D68" w:rsidRDefault="00DE1D68" w:rsidP="00DE1D68">
      <w:pPr>
        <w:spacing w:before="360" w:after="120"/>
        <w:jc w:val="both"/>
        <w:rPr>
          <w:i/>
        </w:rPr>
      </w:pPr>
      <w:r>
        <w:rPr>
          <w:i/>
        </w:rPr>
        <w:t xml:space="preserve">Med henblik på angivelsen af oplysningerne i dette afsnit henvises til afsnit 3.1.3, punkt 33, i CEEAG. </w:t>
      </w:r>
    </w:p>
    <w:p w14:paraId="3E98C3D7" w14:textId="0DD79AFD" w:rsidR="00BE702A" w:rsidRDefault="0023543E" w:rsidP="00E7597C">
      <w:pPr>
        <w:pStyle w:val="ListParagraph"/>
        <w:keepLines/>
        <w:spacing w:before="120" w:after="120"/>
        <w:ind w:left="1287"/>
        <w:contextualSpacing w:val="0"/>
        <w:jc w:val="both"/>
        <w:rPr>
          <w:rFonts w:cs="Arial Unicode MS"/>
          <w:bCs/>
        </w:rPr>
      </w:pPr>
      <w:r>
        <w:t>Angiv oplysninger til bekræftelse af overholdelsen af de relevante bestemmelser i EU-retten i overensstemmelse med punkt 33 i CEEAG</w:t>
      </w:r>
    </w:p>
    <w:p w14:paraId="1E0A5288" w14:textId="77777777" w:rsidR="00A97DDF" w:rsidRDefault="00A97DDF" w:rsidP="00E7597C">
      <w:pPr>
        <w:keepLines/>
        <w:tabs>
          <w:tab w:val="left" w:leader="dot" w:pos="9072"/>
        </w:tabs>
        <w:spacing w:before="120" w:after="120"/>
        <w:ind w:left="851"/>
        <w:jc w:val="both"/>
        <w:rPr>
          <w:color w:val="000000"/>
        </w:rPr>
      </w:pPr>
      <w: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Negativ betingelse: Støtten påvirker ikke samhandelsvilkårene på en måde, der strider mod den fælles interesse</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Minimering af konkurrence- og samhandelsfordrejninger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Behovet for statsstøtte og støttens hensigtsmæssighed</w:t>
            </w:r>
          </w:p>
        </w:tc>
      </w:tr>
    </w:tbl>
    <w:p w14:paraId="3C23674F" w14:textId="3EF4BD10" w:rsidR="00663008" w:rsidRPr="00F83660" w:rsidRDefault="00663008" w:rsidP="00663008">
      <w:pPr>
        <w:spacing w:before="360" w:after="120"/>
        <w:jc w:val="both"/>
        <w:rPr>
          <w:i/>
          <w:color w:val="000000"/>
        </w:rPr>
      </w:pPr>
      <w:r>
        <w:rPr>
          <w:i/>
        </w:rPr>
        <w:t>Med henblik på angivelsen af oplysningerne i dette afsnit henvises til afsnit 4.11.2 og punkt 413 i CEEAG.</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Punkt 403 i CEEAG finder anvendelse på nedsættelser af afgifter på elforbrug til finansiering af energi- og miljømål. For hver af de afgifter, der påtænkes nedsat, gives der en fuldstændig og detaljeret beskrivelse af afgifternes art, anvendelsesområde og anvendelse ved at forklare, hvordan afgiftssystemet fungerer i praksis (ordningens funktion og den støtteydende myndighed) og ved at henvise til de lovgivningsmæssige rammer (retsgrundlaget). </w:t>
      </w:r>
    </w:p>
    <w:p w14:paraId="72782B48" w14:textId="77777777" w:rsidR="00A97DDF" w:rsidRDefault="00A97DDF" w:rsidP="00A97DDF">
      <w:pPr>
        <w:tabs>
          <w:tab w:val="left" w:leader="dot" w:pos="9072"/>
        </w:tabs>
        <w:spacing w:before="120" w:after="120"/>
        <w:ind w:left="851"/>
        <w:jc w:val="both"/>
        <w:rPr>
          <w:color w:val="000000"/>
        </w:rPr>
      </w:pPr>
      <w: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Der skal navnlig oplyses følgende:</w:t>
      </w:r>
    </w:p>
    <w:p w14:paraId="28606A54" w14:textId="5FF42D56"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formålet med hver enkelt afgift (redegørelse for, hvordan indtægterne fra de enkelte afgifter anvendes)</w:t>
      </w:r>
    </w:p>
    <w:p w14:paraId="3E421772" w14:textId="02259217" w:rsidR="00A97DDF" w:rsidRPr="009046DC" w:rsidRDefault="00A97DDF" w:rsidP="009046DC">
      <w:pPr>
        <w:tabs>
          <w:tab w:val="left" w:leader="dot" w:pos="9072"/>
        </w:tabs>
        <w:spacing w:before="120" w:after="120"/>
        <w:ind w:left="851"/>
        <w:jc w:val="both"/>
        <w:rPr>
          <w:color w:val="000000"/>
        </w:rPr>
      </w:pPr>
      <w:r>
        <w:tab/>
      </w:r>
    </w:p>
    <w:p w14:paraId="5C8C4521" w14:textId="21D3937B" w:rsidR="00A97DDF" w:rsidRPr="00A97DDF" w:rsidRDefault="00FE59FF" w:rsidP="00E7597C">
      <w:pPr>
        <w:pStyle w:val="ListParagraph"/>
        <w:keepLines/>
        <w:numPr>
          <w:ilvl w:val="0"/>
          <w:numId w:val="50"/>
        </w:numPr>
        <w:spacing w:before="240" w:after="120"/>
        <w:ind w:left="2001" w:hanging="357"/>
        <w:contextualSpacing w:val="0"/>
        <w:jc w:val="both"/>
        <w:rPr>
          <w:rFonts w:cs="Arial Unicode MS"/>
          <w:bCs/>
        </w:rPr>
      </w:pPr>
      <w:r>
        <w:t>hvordan afgiften opkræves, og hvem den pålægges, hvad opkrævningsgrundlaget er for en virksomhed, metoden til beregning af afgiftssatsen, hvorvidt, hvorfor og hvordan forskellige afgiftssatser anvendes på tværs af det afgiftsbelagte grundlag, og hvor ofte og på hvilket grundlag afgiftssatsen revideres</w:t>
      </w:r>
    </w:p>
    <w:p w14:paraId="3D06ECCA" w14:textId="77777777" w:rsidR="00A97DDF" w:rsidRDefault="00A97DDF" w:rsidP="00E7597C">
      <w:pPr>
        <w:keepLines/>
        <w:tabs>
          <w:tab w:val="left" w:leader="dot" w:pos="9072"/>
        </w:tabs>
        <w:spacing w:before="120" w:after="120"/>
        <w:ind w:left="851"/>
        <w:jc w:val="both"/>
        <w:rPr>
          <w:color w:val="000000"/>
        </w:rPr>
      </w:pPr>
      <w:r>
        <w:tab/>
      </w:r>
    </w:p>
    <w:p w14:paraId="4CA16BA7" w14:textId="5F53E29C" w:rsidR="008B1377" w:rsidRPr="008B1377" w:rsidRDefault="000E669F" w:rsidP="00E7597C">
      <w:pPr>
        <w:pStyle w:val="ListParagraph"/>
        <w:keepLines/>
        <w:numPr>
          <w:ilvl w:val="0"/>
          <w:numId w:val="50"/>
        </w:numPr>
        <w:spacing w:before="240" w:after="120"/>
        <w:ind w:left="2001" w:hanging="357"/>
        <w:contextualSpacing w:val="0"/>
        <w:jc w:val="both"/>
        <w:rPr>
          <w:rFonts w:cs="Arial Unicode MS"/>
          <w:bCs/>
        </w:rPr>
      </w:pPr>
      <w:r>
        <w:t xml:space="preserve">beskriv de forskellige enheder, der er involveret i fastsættelsen og revisionen af afgiften, samt dem, der er involveret i opkrævning og forvaltning af indtægterne fra afgiften </w:t>
      </w:r>
    </w:p>
    <w:p w14:paraId="67ABBA8F" w14:textId="77777777" w:rsidR="008B1377" w:rsidRDefault="008B1377" w:rsidP="00E7597C">
      <w:pPr>
        <w:keepLines/>
        <w:tabs>
          <w:tab w:val="left" w:leader="dot" w:pos="9072"/>
        </w:tabs>
        <w:spacing w:before="120" w:after="120"/>
        <w:ind w:left="851"/>
        <w:jc w:val="both"/>
        <w:rPr>
          <w:color w:val="000000"/>
        </w:rPr>
      </w:pPr>
      <w:r>
        <w:tab/>
      </w:r>
    </w:p>
    <w:p w14:paraId="60EB7862" w14:textId="191151DA" w:rsidR="00A97DDF" w:rsidRPr="00A97DDF" w:rsidRDefault="008B1377" w:rsidP="00E7597C">
      <w:pPr>
        <w:pStyle w:val="ListParagraph"/>
        <w:keepLines/>
        <w:numPr>
          <w:ilvl w:val="0"/>
          <w:numId w:val="50"/>
        </w:numPr>
        <w:spacing w:before="120" w:after="120"/>
        <w:contextualSpacing w:val="0"/>
        <w:jc w:val="both"/>
        <w:rPr>
          <w:rFonts w:cs="Arial Unicode MS"/>
          <w:bCs/>
        </w:rPr>
      </w:pPr>
      <w:r>
        <w:t>beskriv, hvordan afgiftsopkrævnings- og omfordelingssystemet fungerer</w:t>
      </w:r>
    </w:p>
    <w:p w14:paraId="6459F489" w14:textId="54827983" w:rsidR="00A97DDF" w:rsidRPr="009046DC" w:rsidRDefault="00A97DDF" w:rsidP="00E7597C">
      <w:pPr>
        <w:keepLines/>
        <w:tabs>
          <w:tab w:val="left" w:leader="dot" w:pos="9072"/>
        </w:tabs>
        <w:spacing w:before="120" w:after="120"/>
        <w:ind w:left="851"/>
        <w:jc w:val="both"/>
        <w:rPr>
          <w:color w:val="000000"/>
        </w:rPr>
      </w:pPr>
      <w:r>
        <w:tab/>
      </w:r>
    </w:p>
    <w:p w14:paraId="0A0299DC" w14:textId="022EBBC3" w:rsidR="00FE59FF" w:rsidRPr="00A97DDF" w:rsidRDefault="000E669F" w:rsidP="00E7597C">
      <w:pPr>
        <w:pStyle w:val="ListParagraph"/>
        <w:keepLines/>
        <w:numPr>
          <w:ilvl w:val="0"/>
          <w:numId w:val="50"/>
        </w:numPr>
        <w:spacing w:before="120" w:after="120"/>
        <w:contextualSpacing w:val="0"/>
        <w:jc w:val="both"/>
        <w:rPr>
          <w:rFonts w:cs="Arial Unicode MS"/>
          <w:bCs/>
        </w:rPr>
      </w:pPr>
      <w:r>
        <w:t>angiv de seneste årlige tal for de anvendte afgiftssatser og de samlede indtægter. Fremlæg eventuelle prognoser for fremtiden.</w:t>
      </w:r>
    </w:p>
    <w:p w14:paraId="373FD785" w14:textId="77777777" w:rsidR="00A97DDF" w:rsidRDefault="00A97DDF" w:rsidP="00E7597C">
      <w:pPr>
        <w:keepLines/>
        <w:tabs>
          <w:tab w:val="left" w:leader="dot" w:pos="9072"/>
        </w:tabs>
        <w:spacing w:before="120" w:after="120"/>
        <w:ind w:left="851"/>
        <w:jc w:val="both"/>
        <w:rPr>
          <w:color w:val="000000"/>
        </w:rPr>
      </w:pPr>
      <w: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lastRenderedPageBreak/>
        <w:t>I henhold til punkt 404 i CEEAG skal medlemsstaterne medtage alle nedsættelser af potentielt flere elafgifter for energiintensive brugere i en enkelt ordning og underrette Kommissionen om den kumulative virkning af alle støtteberettigede afgifter og alle foreslåede nedsættelser.</w:t>
      </w:r>
    </w:p>
    <w:p w14:paraId="3EF0E8A7" w14:textId="542E1B2A" w:rsidR="008D467D" w:rsidRDefault="00937DCD" w:rsidP="00E7597C">
      <w:pPr>
        <w:pStyle w:val="ListParagraph"/>
        <w:keepLines/>
        <w:numPr>
          <w:ilvl w:val="0"/>
          <w:numId w:val="43"/>
        </w:numPr>
        <w:spacing w:before="120" w:after="120"/>
        <w:contextualSpacing w:val="0"/>
        <w:jc w:val="both"/>
      </w:pPr>
      <w:r>
        <w:t xml:space="preserve">Bekræft, at alle afgiftsnedsættelser, der skal indrømmes på grundlag af afsnit 4.11 i CEEAG, er omfattet af den anmeldte foranstaltning, og at eventuelle fremtidige nedsættelser af andre afgifter end de omfattede vil blive anmeldt gennem en ændring af den anmeldte foranstaltning. </w:t>
      </w:r>
    </w:p>
    <w:p w14:paraId="5D95920A" w14:textId="71C4C3A1" w:rsidR="008D467D" w:rsidRPr="00C01760" w:rsidRDefault="008D467D" w:rsidP="00E7597C">
      <w:pPr>
        <w:keepLines/>
        <w:tabs>
          <w:tab w:val="left" w:leader="dot" w:pos="9072"/>
        </w:tabs>
        <w:spacing w:before="120" w:after="120"/>
        <w:ind w:left="851"/>
        <w:jc w:val="both"/>
        <w:rPr>
          <w:color w:val="000000"/>
        </w:rPr>
      </w:pPr>
      <w:r>
        <w:tab/>
      </w:r>
    </w:p>
    <w:p w14:paraId="359D41E7" w14:textId="10C378E6" w:rsidR="008D467D" w:rsidRDefault="00937DCD" w:rsidP="00E7597C">
      <w:pPr>
        <w:pStyle w:val="ListParagraph"/>
        <w:keepLines/>
        <w:numPr>
          <w:ilvl w:val="0"/>
          <w:numId w:val="43"/>
        </w:numPr>
        <w:spacing w:before="120" w:after="120"/>
        <w:contextualSpacing w:val="0"/>
        <w:jc w:val="both"/>
      </w:pPr>
      <w:r>
        <w:t>Giv på grundlag af de seneste år og mulige fremskrivninger underretning om den kumulative virkning af alle relevante afgifter (både i absolutte og relative tal sammenlignet med de samlede elomkostninger og de samlede afgifter og skatter på el) og de dermed forbundne nedsættelser for støttemodtagerne under den anmeldte ordning.</w:t>
      </w:r>
    </w:p>
    <w:p w14:paraId="3692203F" w14:textId="3E761774" w:rsidR="008D467D" w:rsidRPr="00C01760" w:rsidRDefault="008D467D" w:rsidP="00E7597C">
      <w:pPr>
        <w:keepLines/>
        <w:tabs>
          <w:tab w:val="left" w:leader="dot" w:pos="9072"/>
        </w:tabs>
        <w:spacing w:before="120" w:after="120"/>
        <w:ind w:left="851"/>
        <w:jc w:val="both"/>
        <w:rPr>
          <w:color w:val="000000"/>
        </w:rPr>
      </w:pPr>
      <w: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Beskriv, om støtten under den anmeldte foranstaltning vil have form af en forudgående nedsættelse af afgifterne, en efterfølgende kompensation (refusion) eller en kombination af de to. Angiv specifikke henvisninger i dit svar til (udkastet til) retsgrundlaget (f.eks. artikel 7, stk. 3). </w:t>
      </w:r>
    </w:p>
    <w:p w14:paraId="21504F4B" w14:textId="77777777" w:rsidR="00855B10" w:rsidRDefault="00855B10" w:rsidP="00855B10">
      <w:pPr>
        <w:tabs>
          <w:tab w:val="left" w:leader="dot" w:pos="9072"/>
        </w:tabs>
        <w:spacing w:before="120" w:after="120"/>
        <w:ind w:left="851"/>
        <w:jc w:val="both"/>
        <w:rPr>
          <w:color w:val="000000"/>
        </w:rPr>
      </w:pPr>
      <w:r>
        <w:tab/>
      </w:r>
    </w:p>
    <w:p w14:paraId="2A380F03" w14:textId="0D5BB75C" w:rsidR="00855B10" w:rsidRPr="00855B10" w:rsidRDefault="00AB606C" w:rsidP="00855B10">
      <w:pPr>
        <w:pStyle w:val="ListParagraph"/>
        <w:numPr>
          <w:ilvl w:val="0"/>
          <w:numId w:val="51"/>
        </w:numPr>
        <w:spacing w:before="120" w:after="120"/>
        <w:contextualSpacing w:val="0"/>
        <w:jc w:val="both"/>
      </w:pPr>
      <w:r>
        <w:t>Hvis støtten ydes i form af en afgiftsnedsættelse, skal følgende bekræftes (jf. punkt 413 i CEEAG):</w:t>
      </w:r>
    </w:p>
    <w:p w14:paraId="34DF0A0F" w14:textId="02B0E1F4" w:rsidR="00855B10" w:rsidRPr="00855B10" w:rsidRDefault="00855B10" w:rsidP="005A4E16">
      <w:pPr>
        <w:pStyle w:val="ListParagraph"/>
        <w:keepLines/>
        <w:numPr>
          <w:ilvl w:val="1"/>
          <w:numId w:val="51"/>
        </w:numPr>
        <w:spacing w:before="240" w:after="120"/>
        <w:ind w:left="2154" w:hanging="357"/>
        <w:contextualSpacing w:val="0"/>
        <w:jc w:val="both"/>
      </w:pPr>
      <w:r>
        <w:t>at der er indført en mekanisme til efterfølgende kontrol</w:t>
      </w:r>
    </w:p>
    <w:p w14:paraId="6B91C21B" w14:textId="77777777" w:rsidR="00855B10" w:rsidRDefault="00855B10" w:rsidP="005A4E16">
      <w:pPr>
        <w:keepLines/>
        <w:tabs>
          <w:tab w:val="left" w:leader="dot" w:pos="9072"/>
        </w:tabs>
        <w:spacing w:before="120" w:after="120"/>
        <w:ind w:left="851"/>
        <w:jc w:val="both"/>
        <w:rPr>
          <w:color w:val="000000"/>
        </w:rPr>
      </w:pPr>
      <w:r>
        <w:tab/>
      </w:r>
    </w:p>
    <w:p w14:paraId="51D06BC9" w14:textId="77777777" w:rsidR="00855B10" w:rsidRPr="00E80F06" w:rsidRDefault="00855B10" w:rsidP="005A4E16">
      <w:pPr>
        <w:pStyle w:val="ListParagraph"/>
        <w:keepLines/>
        <w:numPr>
          <w:ilvl w:val="1"/>
          <w:numId w:val="51"/>
        </w:numPr>
        <w:spacing w:before="240" w:after="120"/>
        <w:ind w:left="2154" w:hanging="357"/>
        <w:contextualSpacing w:val="0"/>
        <w:jc w:val="both"/>
      </w:pPr>
      <w:r>
        <w:t>og at støtte, der eventuelt er betalt for meget, tilbagebetales inden den 1. juli i det følgende år. Angiv, hvor disse oplysninger kan findes i (udkastet til) retsgrundlaget.</w:t>
      </w:r>
    </w:p>
    <w:p w14:paraId="43A4C207" w14:textId="77777777" w:rsidR="00855B10" w:rsidRDefault="00855B10" w:rsidP="00855B10">
      <w:pPr>
        <w:tabs>
          <w:tab w:val="left" w:leader="dot" w:pos="9072"/>
        </w:tabs>
        <w:spacing w:before="120" w:after="120"/>
        <w:ind w:left="851"/>
        <w:jc w:val="both"/>
        <w:rPr>
          <w:color w:val="000000"/>
        </w:rPr>
      </w:pPr>
      <w:r>
        <w:tab/>
      </w:r>
    </w:p>
    <w:p w14:paraId="0A9FE732" w14:textId="200050F6" w:rsidR="00855B10" w:rsidRDefault="00AB606C" w:rsidP="008D467D">
      <w:pPr>
        <w:pStyle w:val="ListParagraph"/>
        <w:numPr>
          <w:ilvl w:val="0"/>
          <w:numId w:val="51"/>
        </w:numPr>
        <w:spacing w:before="120" w:after="120"/>
        <w:contextualSpacing w:val="0"/>
        <w:jc w:val="both"/>
      </w:pPr>
      <w:r>
        <w:t>Hvis støtten ydes i form af en refusion, skal det bekræftes, at den beregnes på grundlag af det konstaterede elforbrug og, hvor det er relevant, bruttoværditilvæksten i den periode, hvor de støtteberettigede afgifter blev anvendt (jf. punkt 413, sidste punktum).</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t>Støtteberettigelse</w:t>
            </w:r>
          </w:p>
        </w:tc>
      </w:tr>
    </w:tbl>
    <w:p w14:paraId="2460A5B7" w14:textId="139EC6FA" w:rsidR="00AB322D" w:rsidRPr="00E74034" w:rsidRDefault="00AB322D" w:rsidP="00AB322D">
      <w:pPr>
        <w:spacing w:before="360" w:after="120"/>
        <w:jc w:val="both"/>
        <w:rPr>
          <w:i/>
        </w:rPr>
      </w:pPr>
      <w:r>
        <w:rPr>
          <w:i/>
        </w:rPr>
        <w:t xml:space="preserve">Med henblik på angivelsen af oplysningerne i dette afsnit henvises til afsnit 4.11.3.1, punkt 405-407, i CEEAG.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I punkt 405 i CEEAG defineres elektricitetsintensive "sektorer med betydelig risiko" (litra a)) og "risikosektorer" (litra b)). For at kontrollere overholdelsen af punkt 405 i CEEAG skal det bekræftes, at alle støtteberettigede elektricitetsintensive "sektorer med </w:t>
      </w:r>
      <w:r>
        <w:lastRenderedPageBreak/>
        <w:t xml:space="preserve">betydelig risiko" og "risikosektorer" under den anmeldte foranstaltning, er anført i relaterede dele af bilag I til CEEAG, og der skal som bilag til denne formular vedlægges de lister over NACE-4-sektorer med betydelig risiko og NACE-4-risikosektorer, som er støtteberettigede i medfør af denne foranstaltning, med angivelse af, hvor disse oplysninger kan findes i (udkastet til) retsgrundlaget (f.eks. artikel 7, stk. 3).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Det fremgår af punkt 406 i CEEAG, at en sektor eller delsektor</w:t>
      </w:r>
      <w:r>
        <w:rPr>
          <w:vertAlign w:val="superscript"/>
        </w:rPr>
        <w:footnoteReference w:id="5"/>
      </w:r>
      <w:r>
        <w:t>, der ikke er opført i bilag I til CEEAG, også vil blive betragtet som støtteberettiget, hvis den opfylder kriterierne i punkt 405. Hvis det er hensigten, at støtte i henhold til den anmeldte foranstaltning også skal ydes til sektorer og/eller delsektorer, der ikke er omfattet af bilag I til retningslinjerne:</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påvis overensstemmelse med metoden i punkt 405 i CEEAG for hver (del)sektor</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angiv data i bilaget til denne formular, som er repræsentative for sektoren eller delsektoren på EU-plan</w:t>
      </w:r>
      <w:r>
        <w:rPr>
          <w:vertAlign w:val="superscript"/>
        </w:rPr>
        <w:footnoteReference w:id="6"/>
      </w:r>
      <w:r>
        <w:t>, verificeret af en uafhængig ekspert og baseret på en periode på mindst tre på hinanden følgende år, der begynder tidligst i 2013.</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Beskriv, hvordan ansøgerne skal påvise, at de opererer i en støtteberettiget sektor, med angivelse af, hvor disse oplysninger kan findes i (udkastet til) retsgrundlaget (f.eks. artikel 7, stk.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Anfør alle andre betingelser for at være støtteberettiget inden for rammerne af den anmeldte foranstaltning med angivelse af, hvor disse oplysninger kan findes i retsgrundlaget (f.eks. artikel 7, stk. 3). Redegør navnlig for, a) om støttemodtagere eller (del)sektorer, der i princippet er støtteberettigede i henhold til bilag I til retningslinjerne, er udelukket, b) om der er yderligere kriterier for støtteberettigelse, som finder anvendelse og ikke er nævnt i afsnit 4.11 i CEEAG, eller c) om der påtænkes forskellige afgiftsnedsættelser for støttemodtagere i samme kategori.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I overensstemmelse med punkt 407 i CEEAG er det muligt yderligere at begrænse foranstaltningens støtteberettigede modtagere. Hvis dette er tilfældet, skal der redegøres for det bagvedliggende rationale for hver sådan yderligere betingelse for støtteberettigelse, og det skal påvises, at i) den pågældende betingelse er baseret på objektive, ikke-diskriminerende og gennemsigtige kriterier, og at ii) støtten i princippet ydes på samme måde for alle støtteberettigede modtagere i samme sektor, hvis de befinder sig i en tilsvarende faktuel situation.</w:t>
      </w:r>
    </w:p>
    <w:p w14:paraId="48E66AD1" w14:textId="4EAD5AB0" w:rsidR="00937DCD" w:rsidRDefault="00A151E7" w:rsidP="00D304A1">
      <w:pPr>
        <w:tabs>
          <w:tab w:val="left" w:leader="dot" w:pos="9072"/>
        </w:tabs>
        <w:spacing w:before="120" w:after="360"/>
        <w:jc w:val="both"/>
      </w:pPr>
      <w:r>
        <w:lastRenderedPageBreak/>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Støttens proportionalitet (begrænsning af støtten til det minimum, der er nødvendigt for at nå målet), herunder kumulering</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Støttens proportionalitet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Med henblik på angivelsen af oplysningerne i dette afsnit henvises til afsnit 4.11.3.2 og punkt 407 i CEEAG.</w:t>
      </w:r>
    </w:p>
    <w:p w14:paraId="0CBF90E1" w14:textId="306749D7" w:rsidR="00B06A84" w:rsidRDefault="00644950" w:rsidP="005A4E16">
      <w:pPr>
        <w:numPr>
          <w:ilvl w:val="0"/>
          <w:numId w:val="4"/>
        </w:numPr>
        <w:spacing w:before="240"/>
        <w:ind w:left="567" w:hanging="567"/>
        <w:jc w:val="both"/>
      </w:pPr>
      <w:r>
        <w:t>Med henblik på at dokumentere overensstemmelse med afsnit 4.11.3.2 og punkt 407 i CEEAG skal der gives en fuldstændig og detaljeret beskrivelse af metoden til beregning af afgiftsnedsættelser for de støtteberettigede modtagere, med angivelse af, hvor disse oplysninger kan findes i (udkastet til) retsgrundlaget (f.eks. artikel 7, stk. 3). Navnlig:</w:t>
      </w:r>
    </w:p>
    <w:p w14:paraId="2E456933" w14:textId="4F8D31AD" w:rsidR="00937DCD" w:rsidRDefault="006813BD" w:rsidP="009E4296">
      <w:pPr>
        <w:pStyle w:val="ListParagraph"/>
        <w:numPr>
          <w:ilvl w:val="0"/>
          <w:numId w:val="38"/>
        </w:numPr>
        <w:spacing w:before="120" w:after="120"/>
        <w:contextualSpacing w:val="0"/>
        <w:jc w:val="both"/>
      </w:pPr>
      <w:r>
        <w:t>Angiv den maksimale afgiftsreduktionssats for virksomheder, der opererer i henholdsvis "sektorer med betydelig risiko" og "risikosektorer".</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Angiv, om den anmeldte foranstaltning indebærer en yderligere begrænsning af de ekstraomkostningerne, der følger af de relevante elektricitetsafgifter, sammenlignet med punkt "i" ovenfor. Angiv også, hvis det er tilfældet, a) værdien af sådanne begrænsninger i forhold til bruttoværditilvæksten (BVT) for virksomheder, der opererer i "sektorer med betydelig risiko" og i "risikosektorer", og b) beskriv, hvordan BVT for støtteberettigede virksomheder, der opererer i "sektorer med betydelig risiko" og "risikosektorer", beregnes.</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Bekræft, at afgiftsnedsættelser under alle omstændigheder ikke vil resultere i en afgift på under 0,5 EUR/MWh. </w:t>
      </w:r>
    </w:p>
    <w:p w14:paraId="78DCDF61" w14:textId="14157D2C" w:rsidR="00762E7A" w:rsidRPr="008515FB" w:rsidRDefault="00762E7A" w:rsidP="00762E7A">
      <w:pPr>
        <w:tabs>
          <w:tab w:val="left" w:leader="dot" w:pos="9072"/>
        </w:tabs>
        <w:spacing w:before="120" w:after="120"/>
        <w:jc w:val="both"/>
      </w:pPr>
      <w:r>
        <w:t xml:space="preserve"> </w:t>
      </w:r>
      <w:r>
        <w:tab/>
      </w:r>
    </w:p>
    <w:p w14:paraId="0E51C1C8" w14:textId="507FE509" w:rsidR="00937DCD" w:rsidRDefault="00C17C85" w:rsidP="005A4E16">
      <w:pPr>
        <w:numPr>
          <w:ilvl w:val="0"/>
          <w:numId w:val="4"/>
        </w:numPr>
        <w:spacing w:before="240"/>
        <w:ind w:left="567" w:hanging="567"/>
        <w:jc w:val="both"/>
      </w:pPr>
      <w:r>
        <w:t>Angiv, om den anmeldte foranstaltning i overensstemmelse med punkt 410 i CEEAG indebærer højere støtteintensiteter for de virksomheder, der opererer i "risikosektorer" og reducerer deres elforbrugs CO</w:t>
      </w:r>
      <w:r>
        <w:rPr>
          <w:vertAlign w:val="subscript"/>
        </w:rPr>
        <w:t>2</w:t>
      </w:r>
      <w:r>
        <w:t xml:space="preserve">-fodaftryk. </w:t>
      </w:r>
    </w:p>
    <w:p w14:paraId="293F5C0A" w14:textId="77777777" w:rsidR="00937DCD" w:rsidRDefault="00C17C85" w:rsidP="005A4E16">
      <w:pPr>
        <w:pStyle w:val="ListParagraph"/>
        <w:keepLines/>
        <w:spacing w:before="120" w:after="120"/>
        <w:ind w:left="567"/>
        <w:contextualSpacing w:val="0"/>
        <w:jc w:val="both"/>
      </w:pPr>
      <w:r>
        <w:t>I bekræftende fald:</w:t>
      </w:r>
    </w:p>
    <w:p w14:paraId="29CAF0A6" w14:textId="64FF48FB" w:rsidR="00937DCD" w:rsidRDefault="003653B6" w:rsidP="005A4E16">
      <w:pPr>
        <w:pStyle w:val="ListParagraph"/>
        <w:keepLines/>
        <w:numPr>
          <w:ilvl w:val="0"/>
          <w:numId w:val="52"/>
        </w:numPr>
        <w:spacing w:before="120" w:after="120"/>
        <w:contextualSpacing w:val="0"/>
        <w:jc w:val="both"/>
      </w:pPr>
      <w:r>
        <w:t>Beskriv de højere støtteintensiteter, og bekræft de dertil knyttede betingelser, som de pågældende virksomheder skal opfylde (dvs. 50 % af elforbruget fra kulstoffrie kilder, hvoraf enten mindst 10 % er fra et terminsinstrument som f.eks. en elkøbsaftale eller mindst 5 % er fra produktion på stedet eller i nærheden af anlægget) med angivelse af, hvor disse oplysninger kan findes i (udkastet til) retsgrundlaget (f.eks. artikel 7, stk.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Beskriv, hvordan opfyldelsen af disse betingelser vil blive overvåget, og hvis der er tale om efterfølgende overvågning, hvad følgerne vil være i tilfælde af manglende overholdelse fra en virksomheds side.</w:t>
      </w:r>
    </w:p>
    <w:p w14:paraId="1AF5F330" w14:textId="71EE6354" w:rsidR="00762E7A" w:rsidRPr="008515FB" w:rsidRDefault="00762E7A" w:rsidP="00762E7A">
      <w:pPr>
        <w:tabs>
          <w:tab w:val="left" w:leader="dot" w:pos="9072"/>
        </w:tabs>
        <w:spacing w:before="120" w:after="120"/>
        <w:jc w:val="both"/>
      </w:pPr>
      <w:r>
        <w:lastRenderedPageBreak/>
        <w:t xml:space="preserve"> </w:t>
      </w:r>
      <w:r>
        <w:tab/>
      </w:r>
    </w:p>
    <w:p w14:paraId="1469FE3D" w14:textId="323FC3C7" w:rsidR="000575C3" w:rsidRPr="008515FB" w:rsidRDefault="00762E7A" w:rsidP="005A4E16">
      <w:pPr>
        <w:numPr>
          <w:ilvl w:val="0"/>
          <w:numId w:val="4"/>
        </w:numPr>
        <w:spacing w:before="240"/>
        <w:ind w:left="567" w:hanging="567"/>
        <w:jc w:val="both"/>
      </w:pPr>
      <w:r>
        <w:t xml:space="preserve">Beskriv, såfremt det er relevant, eventuelle yderligere ændringer af afgiftsreduktionssatsen blandt de støttemodtagere, der opererer i henholdsvis "sektorer med betydelig risiko" og "risikosektorer", med angivelse af, hvor disse oplysninger kan findes i (udkastet til) retsgrundlaget (f.eks. artikel 7, stk. 3). Påvis, at a) de forskellige afgiftsnedsættelser er baseret på objektive, ikke-diskriminerende og gennemsigtige kriterier, og at b) støtten i princippet ydes på samme måde for alle støtteberettigede modtagere i samme sektor, hvis de befinder sig i en tilsvarende faktuel situation.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Energisyn og energiledelsessystemer </w:t>
            </w:r>
          </w:p>
        </w:tc>
      </w:tr>
    </w:tbl>
    <w:p w14:paraId="7C447A12" w14:textId="28CC1D2E" w:rsidR="00F17D00" w:rsidRDefault="00F17D00" w:rsidP="00F17D00">
      <w:pPr>
        <w:pStyle w:val="ListParagraph"/>
        <w:spacing w:before="120" w:after="120"/>
        <w:ind w:left="567"/>
        <w:contextualSpacing w:val="0"/>
        <w:jc w:val="both"/>
        <w:rPr>
          <w:i/>
        </w:rPr>
      </w:pPr>
      <w:r>
        <w:rPr>
          <w:i/>
        </w:rPr>
        <w:t>Med henblik på angivelsen af oplysningerne i dette afsnit henvises til afsnit 4.11.3.4 i CEEAG.</w:t>
      </w:r>
    </w:p>
    <w:p w14:paraId="455D1B6E" w14:textId="06E6D973" w:rsidR="00DF586F" w:rsidRDefault="00DF586F" w:rsidP="005A4E16">
      <w:pPr>
        <w:numPr>
          <w:ilvl w:val="0"/>
          <w:numId w:val="4"/>
        </w:numPr>
        <w:spacing w:before="240"/>
        <w:ind w:left="567" w:hanging="567"/>
        <w:jc w:val="both"/>
      </w:pPr>
      <w:r>
        <w:t>Beskriv i overensstemmelse med punkt 414 i CEEAG, hvordan de nationale myndigheder inden for rammerne af den anmeldte foranstaltning vil kontrollere, at støttemodtagerne opfylder forpligtelsen til at foretage et energisyn som omhandlet i artikel 8 i direktiv 2012/27/EU. Angiv, hvor disse oplysninger kan findes i (udkastet til) retsgrundlaget (f.eks. artikel 7, stk.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I henhold til punkt 415 i CEEAG skal støttemodtagere, der skal foretage energisyn, overholde mindst én af følgende tre muligheder: a) gennemføre revisionsanbefalingerne, i det omfang tilbagebetalingstiden er højst 3 år, og omkostningerne ved deres investeringer er forholdsmæssige, eller b) dække mindst 30 % af deres elforbrug fra CO</w:t>
      </w:r>
      <w:r>
        <w:rPr>
          <w:vertAlign w:val="subscript"/>
        </w:rPr>
        <w:t>2</w:t>
      </w:r>
      <w:r>
        <w:t>-frie kilder eller c) investere mindst 50 % af støtten i projekter, der fører til betydelige reduktioner af drivhusgasemissionerne. Beskriv, hvordan de nationale myndigheder inden for rammerne af den anmeldte foranstaltning vil overvåge, at støttemodtagere, der skal foretage energisyn i henhold til artikel 8, stk. 4, i direktiv 2012/27/EU, overholder en eller flere af de tre muligheder, der er anført i punkt 415 i CEEAG, med angivelse af, hvor disse oplysninger kan findes i (udkastet til) retsgrundlaget (f.eks. artikel 7, stk. 3). Angiv nærmere oplysninger for hver mulighed i den anmeldte foranstaltning:</w:t>
      </w:r>
    </w:p>
    <w:p w14:paraId="4CD0D5F0" w14:textId="6354CA9F" w:rsidR="00937DCD" w:rsidRDefault="00937DCD" w:rsidP="009E4296">
      <w:pPr>
        <w:pStyle w:val="ListParagraph"/>
        <w:numPr>
          <w:ilvl w:val="0"/>
          <w:numId w:val="41"/>
        </w:numPr>
        <w:spacing w:before="120" w:after="120"/>
        <w:jc w:val="both"/>
      </w:pPr>
      <w:r>
        <w:t>hvordan støttemodtagerne præcist skal påvise, at de overholder reglerne</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hvornår der er frist for at opfylde kravene (f.eks. at de relevante investeringer gennemføres inden for et år efter tildelingen af støtten), og hvor ofte støttemodtagerne skal dokumentere, at de opfylder kravene (f.eks. årligt)</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hvordan og hvor ofte opfyldelsen af betingelserne vil blive overvåget (f.eks. årligt)</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lastRenderedPageBreak/>
        <w:t>hvilke konsekvenser manglende overholdelse vil få for støttemodtagerne (f.eks. afslag på at yde støtte, hvis der er tale om forudgående kontrol, eller tilbagebetaling af den støtte, der allerede er ydet, hvis der er tale om efterfølgende kontrol).</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Kumulering</w:t>
            </w:r>
          </w:p>
        </w:tc>
      </w:tr>
    </w:tbl>
    <w:p w14:paraId="2346A85D" w14:textId="5800D648" w:rsidR="00B21377" w:rsidRPr="002A3B51" w:rsidRDefault="00B21377" w:rsidP="00B21377">
      <w:pPr>
        <w:pStyle w:val="ListParagraph"/>
        <w:spacing w:before="120" w:after="120"/>
        <w:ind w:left="567"/>
        <w:contextualSpacing w:val="0"/>
        <w:jc w:val="both"/>
      </w:pPr>
      <w:r>
        <w:rPr>
          <w:i/>
        </w:rPr>
        <w:t>Med henblik på angivelsen af oplysningerne i dette afsnit henvises til punkt 56-57 i CEEAG</w:t>
      </w:r>
      <w:r>
        <w:t>.</w:t>
      </w:r>
    </w:p>
    <w:p w14:paraId="7159B0AA" w14:textId="326791FE" w:rsidR="00E5484B" w:rsidRPr="002A3B51" w:rsidRDefault="00B10F0D" w:rsidP="005A4E16">
      <w:pPr>
        <w:numPr>
          <w:ilvl w:val="0"/>
          <w:numId w:val="4"/>
        </w:numPr>
        <w:spacing w:before="240"/>
        <w:ind w:left="567" w:hanging="567"/>
        <w:jc w:val="both"/>
      </w:pPr>
      <w:r>
        <w:t>For så vidt som det ikke allerede er angivet i formularen vedrørende generelle oplysninger (del I) og for at kontrollere overholdelsen af punkt 56 i CEEAG, skal det præciseres, om støtten under den eller de anmeldte foranstaltninger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Hvis punkt 56 i CEEAG finder anvendelse på den eller de anmeldte støtteforanstaltninger, skal der gives en begrundelse for, at det samlede støttebeløb, der ydes i henhold til den eller de anmeldte foranstaltninger til en aktivitet, ikke fører til overkompensation eller overstiger det maksimale støttebeløb, som er tilladt i henhold til punkt 408-410 i CEEAG. Angiv for hver foranstaltning, hvorunder støtte givet i henhold til den eller de anmeldte støtteforanstaltninger kan kumuleres, den metode, der er anvendt til at sikre overholdelse af betingelserne i punkt 56 i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Hvis punkt 57 i CEEAG finder anvendelse, dvs. at den støtte, der ydes i henhold til den eller de anmeldte foranstaltninger, kombineres med centralt forvaltede EU-midler</w:t>
      </w:r>
      <w:r>
        <w:rPr>
          <w:rStyle w:val="FootnoteReference"/>
          <w:lang w:eastAsia="en-GB"/>
        </w:rPr>
        <w:footnoteReference w:id="7"/>
      </w:r>
      <w:r>
        <w:t>, skal det begrundes, hvordan den samlede offentlige finansiering, der ydes i forbindelse med de samme støtteberettigede omkostninger, ikke fører til overkompensation.</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Overgangsregler</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Med henblik på angivelsen af oplysningerne i dette afsnit henvises til afsnit 4.11.3.5 i CEEAG.</w:t>
      </w:r>
    </w:p>
    <w:p w14:paraId="50B72823" w14:textId="74224ADE" w:rsidR="009E3717" w:rsidRPr="009E3717" w:rsidRDefault="00B10F0D" w:rsidP="005A4E16">
      <w:pPr>
        <w:numPr>
          <w:ilvl w:val="0"/>
          <w:numId w:val="4"/>
        </w:numPr>
        <w:spacing w:before="240"/>
        <w:ind w:left="567" w:hanging="567"/>
        <w:jc w:val="both"/>
      </w:pPr>
      <w:r>
        <w:t xml:space="preserve">Angiv, om denne anmeldelse omfatter uanmeldt støtte ydet i form af nedsatte elafgifter til energiintensive brugere i perioden forud for offentliggørelsen af CEEAG. Forklar i bekræftende fald, hvordan den uanmeldte støtte er i overensstemmelse med punkt 419, litra a) og b), i CEEAG. </w:t>
      </w:r>
      <w:r>
        <w:tab/>
      </w:r>
    </w:p>
    <w:p w14:paraId="4A9E8F47" w14:textId="19AEA7B3" w:rsidR="009E3717" w:rsidRDefault="009E3717" w:rsidP="009E3717">
      <w:pPr>
        <w:tabs>
          <w:tab w:val="left" w:leader="dot" w:pos="9072"/>
        </w:tabs>
        <w:spacing w:before="120" w:after="120"/>
        <w:ind w:left="567"/>
        <w:jc w:val="both"/>
      </w:pPr>
      <w:r>
        <w:lastRenderedPageBreak/>
        <w:tab/>
      </w:r>
    </w:p>
    <w:p w14:paraId="26BD1683" w14:textId="6223DFFD" w:rsidR="00F17D00" w:rsidRPr="00F8461C" w:rsidRDefault="00F17D00" w:rsidP="005A4E16">
      <w:pPr>
        <w:numPr>
          <w:ilvl w:val="0"/>
          <w:numId w:val="4"/>
        </w:numPr>
        <w:spacing w:before="240"/>
        <w:ind w:left="567" w:hanging="567"/>
        <w:jc w:val="both"/>
      </w:pPr>
      <w:r>
        <w:t xml:space="preserve">Angiv, om den anmeldte foranstaltning indeholder en overgangsplan for at undgå forstyrrende ændringer i afgiftsbyrden for individuelle virksomheder, der ikke opfylder betingelserne for støtteberettigelse i afsnit 4.11 i CEEAG. Besvar i bekræftende fald de følgende spørgsmål i dette afsnit.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Forklar i overensstemmelse med punkt 416 i CEEAG, hvordan støtteberettigelsen i forbindelse med overgangsplanen vil være begrænset til virksomheder, der i) opfyldte kriterierne for støtteberettigelse i afsnit 3.7.2 i retningslinjerne for statsstøtte til miljøbeskyttelse og energi 2014-2020 og ii) har modtaget støtte i form af reducerede afgifter i mindst et af de to år forud for ændringen af de eksisterende støtteordninger for at bringe dem i overensstemmelse med CEEAG. Angiv, hvor disse oplysninger kan findes i (udkastet til) retsgrundlaget (f.eks. artikel 7, stk.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t>Beskriv, hvordan overgangsplanen vil indebære en gradvis og fuldstændig tilpasning til de betingelser, der følger af anvendelsen af støtteberettigelses- og proportionalitetskriterierne i afsnit 4.11 i CEEAG, og navnlig, hvordan støtteintensiteten falder over tid, og hvordan loftet over BVT stiger over tid i overensstemmelse med den tidsplan, der er nævnt i punkt 417 i CEEAG. Angiv med specifikke henvisninger, hvor disse oplysninger kan findes i (udkastet til) retsgrundlaget (f.eks. artikel 7, stk.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Angiv, om overgangsplanen undtagelsesvis tillader faste støtteintensiteter i hele overgangsperioden, forudsat at de berørte virksomheder reducerer kulstofaftrykket af deres elforbrug i overensstemmelse med betingelserne i punkt 418 i CEEAG (dvs. 50 % af elforbruget fra kulstoffrie kilder, hvoraf enten mindst 10 % er fra et terminsinstrument som f.eks. en elkøbsaftale eller mindst 5 % er fra produktion på stedet eller i nærheden af anlægget). Angiv i bekræftende fald, hvor disse oplysninger kan findes i (udkastet til) retsgrundlaget (f.eks. artikel 7, stk. 3), og forklar, hvordan overholdelsen af punkt 418 i CEEAG sikres og overvåges af de nationale myndigheder.</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Gennemsigtighed</w:t>
            </w:r>
          </w:p>
        </w:tc>
      </w:tr>
    </w:tbl>
    <w:p w14:paraId="1E96F77E" w14:textId="2D16554D" w:rsidR="00016924" w:rsidRPr="005A4E16" w:rsidRDefault="006773CE" w:rsidP="005A4E16">
      <w:pPr>
        <w:keepNext/>
        <w:keepLines/>
        <w:spacing w:before="360" w:after="120"/>
        <w:jc w:val="both"/>
        <w:rPr>
          <w:i/>
        </w:rPr>
      </w:pPr>
      <w:r>
        <w:rPr>
          <w:i/>
        </w:rPr>
        <w:t xml:space="preserve">Med henblik på angivelsen af oplysningerne i dette afsnit henvises til afsnit 3.2.1.4, punkt 58-62, i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Bekræft, at medlemsstaten vil opfylde kravene om gennemsigtighed i punkt 58-61 i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lastRenderedPageBreak/>
        <w:t xml:space="preserve">For at kontrollere overholdelsen af punkt 61 i CEEAG skal det bekræftes, at oplysningerne i punkt 58, litra b), vil være tilgængelige i mindst 10 år fra det tidspunkt, hvor støtten blev tildelt, for at gøre det muligt at håndhæve statsstøttereglerne i henhold til TEUF.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Undgåelse af støttens uberettigede negative virkninger på konkurrencen og samhandelen og på balanceringen</w:t>
            </w:r>
          </w:p>
        </w:tc>
      </w:tr>
    </w:tbl>
    <w:p w14:paraId="6CD3884F" w14:textId="00B875A5" w:rsidR="00F83660" w:rsidRPr="00B215FD" w:rsidRDefault="00F83660" w:rsidP="000C2EFD">
      <w:pPr>
        <w:keepNext/>
        <w:keepLines/>
        <w:spacing w:before="360" w:after="120"/>
        <w:jc w:val="both"/>
        <w:rPr>
          <w:i/>
        </w:rPr>
      </w:pPr>
      <w:r>
        <w:rPr>
          <w:i/>
        </w:rPr>
        <w:t xml:space="preserve">Med henblik på angivelsen af oplysningerne i dette afsnit henvises til afsnit 3.2.2 i CEEAG. </w:t>
      </w:r>
    </w:p>
    <w:p w14:paraId="5D5F17EA" w14:textId="02FA14EA" w:rsidR="00F83660" w:rsidRPr="001D7B55" w:rsidRDefault="00F83660" w:rsidP="005A4E16">
      <w:pPr>
        <w:keepLines/>
        <w:numPr>
          <w:ilvl w:val="0"/>
          <w:numId w:val="4"/>
        </w:numPr>
        <w:spacing w:before="240"/>
        <w:ind w:left="567" w:hanging="567"/>
        <w:jc w:val="both"/>
      </w:pPr>
      <w:r>
        <w:t>Med henblik på at påvise overholdelsen af punkt 70 i CEEAG:</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t xml:space="preserve">Bekræft, at ordningens varighed er højst 10 år fra datoen for meddelelsen </w:t>
      </w:r>
      <w:r>
        <w:rPr>
          <w:color w:val="000000"/>
          <w:shd w:val="clear" w:color="auto" w:fill="FFFFFF"/>
        </w:rPr>
        <w:t>af Kommissionens afgørelse om støttens forenelighed med det indre marked.</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Bekræft, at medlemsstaten vil anmelde foranstaltningen/foranstaltningerne igen, hvis den ønsker at forlænge foranstaltningens varighed ud over denne maksimale periode på 10 år.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Afvejning af støttens positive virkninger i forhold til de negative virkninger for konkurrencen og samhandelen</w:t>
            </w:r>
          </w:p>
        </w:tc>
      </w:tr>
    </w:tbl>
    <w:p w14:paraId="2BA426DC" w14:textId="523B5AF6" w:rsidR="00265702" w:rsidRPr="00863406" w:rsidRDefault="00265702" w:rsidP="000C2EFD">
      <w:pPr>
        <w:keepNext/>
        <w:keepLines/>
        <w:spacing w:before="360" w:after="120"/>
        <w:jc w:val="both"/>
        <w:rPr>
          <w:i/>
          <w:color w:val="000000"/>
        </w:rPr>
      </w:pPr>
      <w:r>
        <w:rPr>
          <w:i/>
        </w:rPr>
        <w:t>Med henblik på angivelsen af oplysningerne i dette afsnit henvises til afsnit 3.3, punkt 71-76, og punkt 400-402 i CEEAG.</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I overensstemmelse med punkt 75 i CEEAG skal det præciseres, om den eller de anmeldte foranstaltninger indeholder elementer, der skal lette SMV'ers deltagelse. Angiv i bekræftende fald oplysninger om disse elementer, og begrund, hvordan de positive virkninger af at sikre deltagelse og accept af SMV'er i den eller de anmeldte foranstaltninger opvejer de mulige konkurrenceforvridende virkninger.</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For så vidt angår anvendelsen af punkt 76, litra c), i CEEAG skal det præciseres, om støtteforanstaltningen/støtteforanstaltningerne er tidsbegrænsede.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lastRenderedPageBreak/>
              <w:t>Evaluering</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Med henblik på angivelsen af oplysningerne i dette afsnit henvises til punkt 76, litra a), og kapitel 5, punkt 455-463, i CEEAG.</w:t>
      </w:r>
    </w:p>
    <w:p w14:paraId="7C72F6EA" w14:textId="04D9ACCD" w:rsidR="00FD7E6B" w:rsidRDefault="00FD7E6B" w:rsidP="005A4E16">
      <w:pPr>
        <w:numPr>
          <w:ilvl w:val="0"/>
          <w:numId w:val="4"/>
        </w:numPr>
        <w:spacing w:before="240"/>
        <w:ind w:left="567" w:hanging="567"/>
        <w:jc w:val="both"/>
      </w:pPr>
      <w:r>
        <w:t>Hvis den eller de anmeldte foranstaltninger overskrider budget- eller udgiftstærsklerne i punkt 456 i CEEAG, skal det enten forklares, hvorfor undtagelsen i punkt 457 i CEEAG efter jeres mening bør finde anvendelse, eller der skal vedlægges et bilag til dette supplerende informationsskema, som indeholder et udkast til evalueringsplan, der dækker det anvendelsesområde, der er nævnt i punkt 458 i CEEAG</w:t>
      </w:r>
      <w:r>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Hvis der fremlægges et udkast til evalueringsplan, skal der:</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t>nedenfor gives et resumé af udkastet til evalueringsplanen i bilaget</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gives en bekræftelse af, at punkt 460 i CEEAG vil blive overholdt.</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angives den dato og det internetlink, hvor evalueringsplanen offentliggøres.</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Med henblik på at påvise overholdelsen af punkt 461 i CEEAG:</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Angiv, om den uafhængige ekspert allerede er blevet udvalgt eller vil blive udvalgt senere.</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Angiv oplysninger om proceduren for udvælgelse af eksperten.</w:t>
      </w:r>
    </w:p>
    <w:p w14:paraId="34029CDE" w14:textId="77777777" w:rsidR="00FD7E6B" w:rsidRPr="0051324D" w:rsidRDefault="00FD7E6B" w:rsidP="005A4E16">
      <w:pPr>
        <w:pStyle w:val="ListParagraph"/>
        <w:keepLines/>
        <w:spacing w:before="120" w:after="120"/>
        <w:ind w:left="1440"/>
        <w:contextualSpacing w:val="0"/>
        <w:jc w:val="both"/>
      </w:pPr>
      <w:r>
        <w:lastRenderedPageBreak/>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Begrund, hvordan eksperten er uafhængig af den støttetildelende myndighed.</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Med henblik på at påvise overholdelsen af punkt 461 i CEEAG: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 udløber, jf. punkt 463 i CEEAG. Bemærk, at denne frist kan afkortes for ordninger, der udløser evalueringskravet i de sidste to gennemførelsesår.</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Bekræft, at midtvejsrapporten og den endelige evalueringsrapport vil blive offentliggjort. Angiv den dato og det internetlink, hvor disse rapporter offentliggøres.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Rapportering og overvågning</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Med henblik på angivelsen af oplysningerne i dette afsnit henvises til afsnit 6, punkt 464-465, i CEEAG.</w:t>
      </w:r>
    </w:p>
    <w:p w14:paraId="3FBE246E" w14:textId="1FB553B4" w:rsidR="00FD7E6B" w:rsidRDefault="00FD7E6B" w:rsidP="005A4E16">
      <w:pPr>
        <w:keepLines/>
        <w:numPr>
          <w:ilvl w:val="0"/>
          <w:numId w:val="4"/>
        </w:numPr>
        <w:spacing w:before="240"/>
        <w:ind w:left="567" w:hanging="567"/>
        <w:jc w:val="both"/>
      </w:pPr>
      <w:r>
        <w:t>Bekræft, at medlemsstaten vil opfylde kravene om rapportering og overvågning i afsnit 6, punkt 464 og 465, i CEEAG.</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EUT C 80 af 18.2.2022, s. 1.</w:t>
      </w:r>
    </w:p>
  </w:footnote>
  <w:footnote w:id="3">
    <w:p w14:paraId="40B31757" w14:textId="710C01BF" w:rsidR="00B77C6D" w:rsidRDefault="00B77C6D" w:rsidP="00B77C6D">
      <w:pPr>
        <w:pStyle w:val="FootnoteText"/>
      </w:pPr>
      <w:r>
        <w:rPr>
          <w:rStyle w:val="FootnoteReference"/>
        </w:rPr>
        <w:footnoteRef/>
      </w:r>
      <w:r>
        <w:tab/>
        <w:t xml:space="preserve">Bemærk, at for en støtteordning er varigheden den periode, hvor der kan ansøges om og træffes afgørelse om støtte (herunder derfor også den tid, der er nødvendig for, at myndighederne kan godkende støtteansøgningerne). Den varighed, der henvises til i dette spørgsmål, vedrører ikke varigheden af de kontrakter, der er indgået inden for rammerne af støtteordningen og kan fortsætte ud over foranstaltningens varighed. </w:t>
      </w:r>
    </w:p>
  </w:footnote>
  <w:footnote w:id="4">
    <w:p w14:paraId="28F42BB8" w14:textId="2923C271" w:rsidR="0068024A" w:rsidRPr="0067348B" w:rsidRDefault="0068024A" w:rsidP="0068024A">
      <w:pPr>
        <w:pStyle w:val="FootnoteText"/>
      </w:pPr>
      <w:r>
        <w:rPr>
          <w:rStyle w:val="FootnoteReference"/>
        </w:rPr>
        <w:footnoteRef/>
      </w:r>
      <w:r>
        <w:tab/>
        <w:t>Bemærk, at en ændring af det faktiske eller anslåede budget kan være en ændring af støtten, som kræver en ny anmeldelse.</w:t>
      </w:r>
    </w:p>
  </w:footnote>
  <w:footnote w:id="5">
    <w:p w14:paraId="3A832CB6" w14:textId="77777777" w:rsidR="00FE3196" w:rsidRPr="00D6380C" w:rsidRDefault="00FE3196" w:rsidP="00470AF2">
      <w:pPr>
        <w:pStyle w:val="FootnoteText"/>
        <w:ind w:left="567" w:hanging="567"/>
      </w:pPr>
      <w:r>
        <w:rPr>
          <w:rStyle w:val="FootnoteReference"/>
        </w:rPr>
        <w:footnoteRef/>
      </w:r>
      <w:r>
        <w:tab/>
        <w:t>I definitionen af den statistiske nomenklatur for økonomiske aktiviteter i Det Europæiske Fællesskab ("NACE rev. 2" -nomenklaturen) til et opdelingsniveau på højst otte cifre ("PRODCOM"-niveau).</w:t>
      </w:r>
    </w:p>
  </w:footnote>
  <w:footnote w:id="6">
    <w:p w14:paraId="555714D6" w14:textId="77777777" w:rsidR="00FE3196" w:rsidRPr="00D91CFC" w:rsidRDefault="00FE3196" w:rsidP="00470AF2">
      <w:pPr>
        <w:pStyle w:val="FootnoteText"/>
        <w:ind w:left="567" w:hanging="567"/>
      </w:pPr>
      <w:r>
        <w:rPr>
          <w:rStyle w:val="FootnoteReference"/>
        </w:rPr>
        <w:footnoteRef/>
      </w:r>
      <w:r>
        <w:tab/>
        <w:t>F.eks. data, der dækker en betydelig procentdel af bruttoværditilvæksten på EU-plan i den pågældende sektor eller delsektor.</w:t>
      </w:r>
    </w:p>
  </w:footnote>
  <w:footnote w:id="7">
    <w:p w14:paraId="086AD512" w14:textId="7087BE19" w:rsidR="00FE3196" w:rsidRDefault="00FE3196">
      <w:pPr>
        <w:pStyle w:val="FootnoteText"/>
      </w:pPr>
      <w:r>
        <w:rPr>
          <w:rStyle w:val="FootnoteReference"/>
        </w:rPr>
        <w:footnoteRef/>
      </w:r>
      <w:r>
        <w:tab/>
        <w:t>Centralt forvaltede EU-midler forvaltes centralt af EU-institutioner, EU-agenturer, EU-kontorer, EU-fællesforetagender eller andre EU-organer, som ikke direkte eller indirekte er underlagt medlemsstatens kontrol.</w:t>
      </w:r>
    </w:p>
  </w:footnote>
  <w:footnote w:id="8">
    <w:p w14:paraId="2FB02E44" w14:textId="77777777" w:rsidR="00FD7E6B" w:rsidRDefault="00FD7E6B" w:rsidP="00FD7E6B">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E3D70"/>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4884"/>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2.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3850</Words>
  <Characters>23067</Characters>
  <Application>Microsoft Office Word</Application>
  <DocSecurity>0</DocSecurity>
  <Lines>480</Lines>
  <Paragraphs>165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3</cp:revision>
  <cp:lastPrinted>2022-10-05T12:42:00Z</cp:lastPrinted>
  <dcterms:created xsi:type="dcterms:W3CDTF">2024-08-01T10:54:00Z</dcterms:created>
  <dcterms:modified xsi:type="dcterms:W3CDTF">2024-09-06T15:12:00Z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