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III.6 dalis</w:t>
            </w:r>
          </w:p>
          <w:p w14:paraId="1C239D2C" w14:textId="171BCF76" w:rsidR="000442F5" w:rsidRPr="009916D5" w:rsidRDefault="00531803" w:rsidP="007B485D">
            <w:pPr>
              <w:pStyle w:val="Heading2"/>
              <w:spacing w:before="240" w:after="240"/>
              <w:jc w:val="center"/>
              <w:rPr>
                <w:sz w:val="32"/>
                <w:szCs w:val="32"/>
              </w:rPr>
            </w:pPr>
            <w:r>
              <w:rPr>
                <w:sz w:val="32"/>
              </w:rPr>
              <w:t>Papildomos informacijos apie valstybės pagalbą, suteiktą pagal 2022 m. valstybės pagalbos klimato ir aplinkos apsaugai ir energetikai gaires</w:t>
            </w:r>
            <w:r w:rsidR="007B485D" w:rsidRPr="009916D5">
              <w:rPr>
                <w:sz w:val="32"/>
                <w:szCs w:val="32"/>
                <w:vertAlign w:val="superscript"/>
              </w:rPr>
              <w:footnoteReference w:id="2"/>
            </w:r>
            <w:r>
              <w:rPr>
                <w:sz w:val="32"/>
              </w:rPr>
              <w:t xml:space="preserve">, pateikimo forma </w:t>
            </w:r>
            <w:bookmarkEnd w:id="0"/>
            <w:bookmarkEnd w:id="1"/>
          </w:p>
          <w:p w14:paraId="34AE2082" w14:textId="77777777" w:rsidR="002B52B3" w:rsidRDefault="002B52B3" w:rsidP="00AB6B5D">
            <w:pPr>
              <w:jc w:val="center"/>
              <w:rPr>
                <w:sz w:val="32"/>
                <w:szCs w:val="32"/>
              </w:rPr>
            </w:pPr>
            <w:r>
              <w:rPr>
                <w:sz w:val="32"/>
              </w:rPr>
              <w:t>4.11 skyrius. Pagalba sumažinant elektros energijos mokesčius daug energijos naudojantiems vartotojams</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Ši papildomos informacijos pateikimo forma turi būti pildoma, kai pranešama apie bet kokią pagalbą, kuriai taikomos 2022 m. valstybės pagalbos klimato ir aplinkos apsaugai ir energetikai gairės (toliau – PKAAE gairės).</w:t>
      </w:r>
    </w:p>
    <w:p w14:paraId="1B60656B" w14:textId="5A450E3F" w:rsidR="009E2EA1" w:rsidRPr="00711243" w:rsidRDefault="0072538B" w:rsidP="009E2EA1">
      <w:pPr>
        <w:spacing w:before="120" w:after="120"/>
        <w:ind w:right="-142"/>
        <w:jc w:val="both"/>
        <w:rPr>
          <w:i/>
          <w:iCs/>
        </w:rPr>
      </w:pPr>
      <w:r>
        <w:rPr>
          <w:i/>
        </w:rPr>
        <w:t xml:space="preserve">Šioje formoje pateikiama papildoma informacija apie priemones, kurioms taikomas PKAAE gairių 4.11 skyrius. Jei pranešama apie priemones, kurioms taikomas daugiau nei vienas PKAAE gairių skyrius, užpildykite ir atitinkamą su atitinkamu PKAAE gairių skyriumi susijusią papildomos informacijos pateikimo formą, kai turėsite reikiamą informaciją. </w:t>
      </w:r>
    </w:p>
    <w:p w14:paraId="05E36007" w14:textId="48DD17A5" w:rsidR="009E2EA1" w:rsidRPr="00711243" w:rsidRDefault="009E2EA1" w:rsidP="009E2EA1">
      <w:pPr>
        <w:spacing w:before="120" w:after="120"/>
        <w:ind w:right="-142"/>
        <w:jc w:val="both"/>
        <w:rPr>
          <w:i/>
          <w:iCs/>
        </w:rPr>
      </w:pPr>
      <w:r>
        <w:rPr>
          <w:i/>
        </w:rPr>
        <w:t>Valstybės narės turi sunumeruoti visus prie šios papildomos informacijos pateikimo formos pridedamus dokumentus ir nurodyti dokumentų numerius atitinkamose šios formos skirsniuose.</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A skirsnis. Priemonės (-ių), apie kurią (-ias) pranešama, pagrindinių charakteristikų santrauka</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Priemonės (-ių), apie kurią (-ias) pranešama, aplinkybės ir tikslas (-ai)</w:t>
      </w:r>
    </w:p>
    <w:p w14:paraId="53AAF227" w14:textId="40775AB0" w:rsidR="00931262" w:rsidRDefault="00931262" w:rsidP="004F64BC">
      <w:pPr>
        <w:pStyle w:val="ListParagraph"/>
        <w:keepLines/>
        <w:numPr>
          <w:ilvl w:val="0"/>
          <w:numId w:val="21"/>
        </w:numPr>
        <w:spacing w:after="240"/>
        <w:ind w:left="993" w:hanging="142"/>
        <w:jc w:val="both"/>
      </w:pPr>
      <w:r>
        <w:t>Nurodykite, ar tai nauja priemonė, ar esamos priemonės pakeitimas. Jei tai pakeitimas, pateikite išsamią informaciją apie schemos pakeitimus.</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Jei dar nenurodėte formos „Bendroji informacija“ 5.2 skirsnyje (I dalis), nurodykite priemonės aplinkybes ir pagrindinį tikslą, įskaitant ryšį su bet kokiais Sąjungos aplinkosauginiais tikslais, kurių siekimą ketinama remti.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Nurodykite visus kitus ja siekiamus tikslus. Jei tikslai yra ne vien aplinkosauginiai, paaiškinkite, ar juos pasiekus gali būti iškraipoma vidaus rinka.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Įsigaliojimas ir galiojimo trukmė</w:t>
      </w:r>
      <w:r>
        <w:t>:</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Jei dar nenurodėte formos „Bendroji informacija“ 5.5 skirsnyje (I dalis), pateikite šią informaciją.</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Pagalbos schemos atveju nurodykite: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numatomą pagalbos schemos įsigaliojimo datą;</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schemos trukmę</w:t>
      </w:r>
      <w:r w:rsidRPr="0096487F">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Individualios pagalbos atveju nurodykite (planuojamą) pagalbos suteikimo datą (pažado suteikti pagalbą datą) ir mokėjimo datą (pirmojo mokėjimo datą, jei numatomi įvairūs paskesni mokėjimai):</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t>Pagalbos gavėjas (-ai)</w:t>
      </w:r>
      <w:r>
        <w:rPr>
          <w:b/>
        </w:rPr>
        <w:tab/>
      </w:r>
    </w:p>
    <w:p w14:paraId="06E5A4C8" w14:textId="44380450" w:rsidR="00B77C6D" w:rsidRDefault="0068024A" w:rsidP="00B77C6D">
      <w:pPr>
        <w:pStyle w:val="ListParagraph"/>
        <w:numPr>
          <w:ilvl w:val="0"/>
          <w:numId w:val="22"/>
        </w:numPr>
        <w:spacing w:after="240"/>
        <w:ind w:hanging="229"/>
        <w:jc w:val="both"/>
        <w:rPr>
          <w:szCs w:val="24"/>
        </w:rPr>
      </w:pPr>
      <w:r>
        <w:lastRenderedPageBreak/>
        <w:t>Jei dar nenurodėte „Bendrosios informacijos formos“ 3 skirsnyje (I dalis), apibūdinkite (galimą) priemonės (-ių) pagalbos gavėją (-us).</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t>Nurodykite (galimo) pagalbos gavėjo (-ų) vietą (t. y. ar teisę dalyvauti priemonėje turi tik atitinkamose valstybėse narėse esantys ūkio subjektai, ar ir kitose valstybėse narėse esantys ūkio subjektai).</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Kad būtų galima įvertinti, ar laikomasi PKAAE gairių 15 punkto, nurodykite, ar pagal priemonę (-es) teikiama pagalba (individuali arba pagal schemą) įmonei, kuriai išduotas vykdomasis raštas sumoms išieškoti pagal ankstesnį Komisijos sprendimą, kuriuo skelbiama, kad pagalba yra neteisėta ir nesuderinama su vidaus rinka.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Jei taip, pateikite informaciją apie pagalbos sumą, kuri dar nesusigrąžinta, kad Komisija į ją atsižvelgtų vertindama pagalbos priemonę (-es).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Patvirtinkite, kad priemone (-ėmis) nėra teikiama pagalba veiklai, kuri nepatenka į PKAAE gairių taikymo sritį (žr. PKAAE gairių 13 punktą). Kitu atveju pateikite išsamią informaciją.</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rPr>
        <w:t>Priemonės (-ių) biudžetas ir finansavimas</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Jei dar nenurodėte formos „Bendroji informacija“ 7.1 skirsnyje (I dalis) pateikiamoje lentelėje, nurodykite metinį ir (arba) bendrą biudžetą visai priemonės (-ių) taikymo trukmei. Jei bendras biudžetas nežinomas (pvz., jis priklauso nuo konkursų rezultatų), nurodykite biudžeto sąmatą ir prielaidas, naudotas atitinkamai biudžeto sąmatai apskaičiuoti.</w:t>
      </w:r>
      <w:r>
        <w:rPr>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Jei priemonė susijusi su mokesčiu, paaiškinkite, ar:</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mokestis nustatytas įstatymu arba kitu teisės aktu; jei taip, nurodykite teisės aktą, jo numerį, priėmimo ir įsigaliojimo datą, interneto nuorodą į jį;</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t>mokesčio sumažinimas finansuojamas didinant mokestį kitiems vartotojams</w:t>
      </w:r>
      <w:bookmarkEnd w:id="4"/>
      <w:r>
        <w:t>;</w:t>
      </w:r>
    </w:p>
    <w:p w14:paraId="63B7575D" w14:textId="6407E221" w:rsidR="00B77C6D" w:rsidRDefault="001F75B2" w:rsidP="00E7597C">
      <w:pPr>
        <w:keepLines/>
        <w:tabs>
          <w:tab w:val="left" w:leader="dot" w:pos="9072"/>
        </w:tabs>
        <w:spacing w:before="120" w:after="120"/>
        <w:ind w:left="927"/>
        <w:jc w:val="both"/>
      </w:pPr>
      <w:r>
        <w:lastRenderedPageBreak/>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priemonė yra visiškai ar tik iš dalies finansuojama iš mokesčio. Jei priemonė tik iš dalies finansuojama iš mokesčio, nurodyti kitus priemonės finansavimo šaltinius ir atitinkamas jų dalis;</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priemonė, apie kurią pranešama, finansuojama iš mokesčio, iš kurio finansuojamos ir kitos pagalbos priemonės. Jei taip, nurodykite tas kitas iš atitinkamo mokesčio finansuojamas pagalbos priemones.</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B skirsnis. Pagalbos suderinamumo vertinimas</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Pozityvioji sąlyga: pagalba turi skatinti ekonominės veiklos plėtrą</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Indėlis į ekonominės veiklos plėtrą ir skatinamasis poveikis</w:t>
            </w:r>
          </w:p>
        </w:tc>
      </w:tr>
    </w:tbl>
    <w:p w14:paraId="1E2599D2" w14:textId="090DDB6C" w:rsidR="000442F5" w:rsidRPr="00DB40A5" w:rsidRDefault="000442F5" w:rsidP="00D304A1">
      <w:pPr>
        <w:keepLines/>
        <w:spacing w:before="360" w:after="120"/>
        <w:jc w:val="both"/>
        <w:rPr>
          <w:i/>
        </w:rPr>
      </w:pPr>
      <w:r>
        <w:rPr>
          <w:i/>
        </w:rPr>
        <w:t xml:space="preserve">Kad pateiktumėte šiame skirsnyje prašomą informaciją, žr. PKAAE gairių </w:t>
      </w:r>
      <w:r>
        <w:rPr>
          <w:i/>
          <w:color w:val="000000"/>
        </w:rPr>
        <w:t>4.11.1 skirsnį</w:t>
      </w:r>
      <w:r>
        <w:rPr>
          <w:i/>
        </w:rPr>
        <w:t xml:space="preserve">. </w:t>
      </w:r>
    </w:p>
    <w:p w14:paraId="3B179A23" w14:textId="692B32B4" w:rsidR="00FE59FF" w:rsidRDefault="00956022" w:rsidP="007D3768">
      <w:pPr>
        <w:numPr>
          <w:ilvl w:val="0"/>
          <w:numId w:val="4"/>
        </w:numPr>
        <w:ind w:left="426" w:hanging="426"/>
        <w:jc w:val="both"/>
      </w:pPr>
      <w:r>
        <w:t xml:space="preserve">Sutarties dėl Europos Sąjungos veikimo (SESV) 107 straipsnio 3 dalies c punkte nustatyta, kad Komisija gali pripažinti, kad suderinama yra „pagalba, skirta tam tikros ekonominės veiklos rūšių arba tam tikrų ekonomikos sričių plėtrai skatinti, jei ji netrikdo prekybos sąlygų taip, kad prieštarautų bendram interesui“. Todėl pagal šią SESV nuostatą suderinama pagalba turi prisidėti prie tam tikros ekonominės veiklos plėtros. </w:t>
      </w:r>
    </w:p>
    <w:p w14:paraId="3D019745" w14:textId="31E2DE72" w:rsidR="00C75792" w:rsidRPr="008515FB" w:rsidRDefault="00FE59FF" w:rsidP="00E7597C">
      <w:pPr>
        <w:spacing w:before="240"/>
        <w:ind w:left="357"/>
        <w:jc w:val="both"/>
      </w:pPr>
      <w:r>
        <w:t>Be to, valstybės pagalba gali būti laikoma skatinančia ekonominę veiklą, tik jei ji turi skatinamąjį poveikį. Pagalba tokį poveikį daro, jei ji skatina pagalbos gavėją keisti savo elgesį, susijusį su ekonominės veiklos, kuri vykdoma teikiant pagalbą, plėtra, ir jei be pagalbos šis elgesys nepasikeistų.</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Paaiškinkite, kaip mokesčio sumažinimo mechanizmu reikalavimus atitinkančios įmonės skatinamos išvengti rizikos, kad veikla bus perkelta už Sąjungos ribų, kur aplinkosaugos reikalavimai netaikomi arba yra ne tokie griežti, arba skatinamas gamybos procesų elektrifikavimas pagal PKAAE 400 punktą.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Nurodykite, kurioje teisinio pagrindo (projekto) dalyje atsižvelgiama į šį aspektą.</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Nepažeidžiama jokia atitinkama Sąjungos teisės nuostata</w:t>
            </w:r>
          </w:p>
        </w:tc>
      </w:tr>
    </w:tbl>
    <w:p w14:paraId="665FE026" w14:textId="0459581F" w:rsidR="00DE1D68" w:rsidRDefault="00DE1D68" w:rsidP="00DE1D68">
      <w:pPr>
        <w:spacing w:before="360" w:after="120"/>
        <w:jc w:val="both"/>
        <w:rPr>
          <w:i/>
        </w:rPr>
      </w:pPr>
      <w:r>
        <w:rPr>
          <w:i/>
        </w:rPr>
        <w:t xml:space="preserve">Kad pateiktumėte šiame skirsnyje prašomą informaciją, žr. PKAAE gairių 3.1.3 skirsnį (33 punktą). </w:t>
      </w:r>
    </w:p>
    <w:p w14:paraId="3E98C3D7" w14:textId="0DD79AFD" w:rsidR="00BE702A" w:rsidRDefault="0023543E" w:rsidP="00E7597C">
      <w:pPr>
        <w:pStyle w:val="ListParagraph"/>
        <w:keepLines/>
        <w:spacing w:before="120" w:after="120"/>
        <w:ind w:left="1287"/>
        <w:contextualSpacing w:val="0"/>
        <w:jc w:val="both"/>
        <w:rPr>
          <w:rFonts w:cs="Arial Unicode MS"/>
          <w:bCs/>
        </w:rPr>
      </w:pPr>
      <w:r>
        <w:t>Pateikite informaciją ir patvirtinkite, kad laikomasi atitinkamų ES teisės nuostatų, kaip nurodyta PKAAE gairių 33 punkte.</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Negatyvioji sąlyga: pagalba negalima trikdyti prekybos sąlygų taip, kad prieštarautų bendram interesui</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Konkurencijos ir prekybos iškraipymo mažinimas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Valstybės pagalbos intervencijos būtinybė ir pagalbos tinkamumas</w:t>
            </w:r>
          </w:p>
        </w:tc>
      </w:tr>
    </w:tbl>
    <w:p w14:paraId="3C23674F" w14:textId="3EF4BD10" w:rsidR="00663008" w:rsidRPr="00F83660" w:rsidRDefault="00663008" w:rsidP="00663008">
      <w:pPr>
        <w:spacing w:before="360" w:after="120"/>
        <w:jc w:val="both"/>
        <w:rPr>
          <w:i/>
          <w:color w:val="000000"/>
        </w:rPr>
      </w:pPr>
      <w:r>
        <w:rPr>
          <w:i/>
          <w:color w:val="000000"/>
        </w:rPr>
        <w:t>Kad</w:t>
      </w:r>
      <w:r>
        <w:rPr>
          <w:i/>
        </w:rPr>
        <w:t xml:space="preserve"> pateiktumėte šiame skirsnyje prašomą informaciją</w:t>
      </w:r>
      <w:r>
        <w:rPr>
          <w:i/>
          <w:color w:val="000000"/>
        </w:rPr>
        <w:t xml:space="preserve">, žr. PKAAE gairių 4.11.2 skirsnį ir 413 punktą.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PKAAE gairių 403 punktas taikomas elektros energijos suvartojimo mokesčių, kurių lėšomis finansuojami energetikos ir aplinkosauginiai tikslai, sumažinimui. Dėl kiekvieno mokesčio, kurį numatoma sumažinti, pateikite išsamų mokesčių pobūdžio, apimties ir taikymo aprašymą, paaiškindami, kaip mokesčių sistema veikia praktikoje (sistemos veikimas ir pagalbą teikianti institucija), ir pateikite detalias nuorodas į jos reglamentavimo sistemą (teisinį pagrindą). </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Visų pirma pasidalykite informacija apie šiuos elementus:</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kiekvieno mokesčio tikslą (paaiškindami, kaip naudojamos iš kiekvieno mokesčio gautos pajamos);</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kaip ir kas mokesčiu apmokestinamas; kokia yra įmonei taikomo mokesčio bazė; mokesčio tarifo apskaičiavimo metodiką; ar, kodėl ir kaip visai mokesčio bazei taikomi skirtingi mokesčio tarifai; kaip dažnai ir kokiu pagrindu peržiūrimas mokesčio tarifas;</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apibūdinkite įvairius subjektus, dalyvaujančius nustatant ir peržiūrint tarifą, taip pat renkant mokestį ir tvarkant iš jo gautas pajamas;    </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apibūdinkite, kaip veikia mokesčio surinkimo ir perskirstymo sistema;</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t>pateikite naujausius metinius taikomų mokesčio tarifų ir visų gautų pajamų duomenis. Jei įmanoma, pateikite ateities prognozes.</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t xml:space="preserve">PKAAE 404 punkte nustatyta, kad valstybės narės į vieną schemą turi įtraukti visas elektros energijos mokesčių lengvatas, kurios gali būti taikomos daug energijos </w:t>
      </w:r>
      <w:r>
        <w:lastRenderedPageBreak/>
        <w:t>naudojantiems vartotojams, ir informuoti Komisiją apie bendrą visų reikalavimus atitinkančių mokesčių ir visų siūlomų lengvatų poveikį.</w:t>
      </w:r>
    </w:p>
    <w:p w14:paraId="3EF0E8A7" w14:textId="542E1B2A" w:rsidR="008D467D" w:rsidRDefault="00937DCD" w:rsidP="00E7597C">
      <w:pPr>
        <w:pStyle w:val="ListParagraph"/>
        <w:keepLines/>
        <w:numPr>
          <w:ilvl w:val="0"/>
          <w:numId w:val="43"/>
        </w:numPr>
        <w:spacing w:before="120" w:after="120"/>
        <w:contextualSpacing w:val="0"/>
        <w:jc w:val="both"/>
      </w:pPr>
      <w:r>
        <w:t xml:space="preserve">Patvirtinkite, kad priemonė, apie kurią pranešama, apima visas mokesčio lengvatas, kurios turi būti suteiktos pagal PKAAE 4.11 skirsnį, ir kad apie galimą mokesčių, išskyrus tuos, kuriems lengvatos taikomos, sumažinimą ateityje bus pranešta iš dalies pakeičiant priemonę, apie kurią pranešama. </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Remdamiesi pastarųjų metų ir galimomis prognozėmis, pateikite informaciją apie bendrą visų atitinkamų mokesčių (absoliučia ir santykine verte, palyginti su bendromis elektros energijos sąnaudomis ir bendrais elektros energijos mokesčiais, rinkliavomis ir kitais mokesčiais) ir susijusių lengvatų poveikį pagalbos gavėjams pagal schemą, apie kurią pranešama.</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Apibūdinkite, ar pagalba pagal priemonę, apie kurią pranešama, bus teikiama </w:t>
      </w:r>
      <w:r>
        <w:rPr>
          <w:i/>
          <w:iCs/>
        </w:rPr>
        <w:t>ex ante</w:t>
      </w:r>
      <w:r>
        <w:t xml:space="preserve"> mokesčių sumažinimo forma, </w:t>
      </w:r>
      <w:r>
        <w:rPr>
          <w:i/>
          <w:iCs/>
        </w:rPr>
        <w:t>ex post</w:t>
      </w:r>
      <w:r>
        <w:t xml:space="preserve"> kompensacijos sumos (mokesčių grąžinimo) forma, ar derinant abu būdus. Savo atsakyme pateikite konkrečias nuorodas į teisinį pagrindą (projektą) (pvz., „7 straipsnio 3 dalis“). </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Pagal PKAAE gairių 413 punktą, jei pagalba teikiama mokesčių sumažinimo forma, patvirtinkite:</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 xml:space="preserve">kad sukurtas </w:t>
      </w:r>
      <w:r>
        <w:rPr>
          <w:i/>
          <w:iCs/>
        </w:rPr>
        <w:t>ex post</w:t>
      </w:r>
      <w:r>
        <w:t xml:space="preserve"> stebėsenos mechanizmas</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ir kad visos pagalbos permokos būtų grąžintos iki kitų metų liepos 1 d. Nurodykite, kur šią informaciją galima rasti teisiniame pagrinde (projekte).</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Jei pagalba teikiama grąžinant mokesčius, remdamiesi PKAAE gairių 413 punkto paskutiniu sakiniu patvirtinkite, kad ji apskaičiuojama remiantis nustatytu elektros energijos suvartojimo lygiu ir, jei taikoma, bendrąja pridėtine verte per laikotarpį, kuriuo buvo taikomi reikalavimus atitinkantys mokesčiai.</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Tinkamumas finansuoti</w:t>
            </w:r>
          </w:p>
        </w:tc>
      </w:tr>
    </w:tbl>
    <w:p w14:paraId="2460A5B7" w14:textId="139EC6FA" w:rsidR="00AB322D" w:rsidRPr="00E74034" w:rsidRDefault="00AB322D" w:rsidP="00AB322D">
      <w:pPr>
        <w:spacing w:before="360" w:after="120"/>
        <w:jc w:val="both"/>
        <w:rPr>
          <w:i/>
        </w:rPr>
      </w:pPr>
      <w:r>
        <w:rPr>
          <w:i/>
        </w:rPr>
        <w:t xml:space="preserve">Kad pateiktumėte šiame skirsnyje prašomą informaciją, žr. PKAAE gairių 4.11.3.1 skirsnį (405–407 punktus). </w:t>
      </w:r>
    </w:p>
    <w:p w14:paraId="70D92710" w14:textId="06DE4555" w:rsidR="00937DCD" w:rsidRDefault="00956022" w:rsidP="005A4E16">
      <w:pPr>
        <w:pStyle w:val="ListParagraph"/>
        <w:numPr>
          <w:ilvl w:val="0"/>
          <w:numId w:val="4"/>
        </w:numPr>
        <w:spacing w:before="240" w:after="120"/>
        <w:ind w:left="567" w:hanging="567"/>
        <w:contextualSpacing w:val="0"/>
        <w:jc w:val="both"/>
      </w:pPr>
      <w:r>
        <w:t xml:space="preserve">PKAAE gairių 405 punkte apibrėžiami daug elektros energijos suvartojantys didelę riziką patiriantys (a punktas) ir riziką patiriantys (b punktas) sektoriai. Kad būtų galima patikrinti, ar laikomasi PKAAE gairių 405 punkto, patvirtinkite, kad visi reikalavimus atitinkantys daug elektros energijos suvartojantys riziką ir didelę riziką patiriantys </w:t>
      </w:r>
      <w:r>
        <w:lastRenderedPageBreak/>
        <w:t xml:space="preserve">sektoriai pagal priemonę, apie kurią pranešama, yra išvardyti susijusiose PKAAE I priedo dalyse, o šios formos priede pateikite NACE 4 riziką ir didelę riziką patiriančių sektorių, kurie atitinka pagalbos teikimo pagal priemonę reikalavimus, sąrašus, </w:t>
      </w:r>
      <w:r>
        <w:rPr>
          <w:shd w:val="clear" w:color="auto" w:fill="FFFFFF"/>
        </w:rPr>
        <w:t>nurodydami, kur šią informaciją galima rasti teisiniame pagrinde (projekte) (pvz., „7 straipsnio 3 dalis“)</w:t>
      </w:r>
      <w:r>
        <w:t xml:space="preserve">.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PKAAE gairių 406 punkte nustatyta, kad į PKAAE I priedą neįtrauktas sektorius ar pasektoris</w:t>
      </w:r>
      <w:r w:rsidR="00470AF2" w:rsidRPr="00470AF2">
        <w:rPr>
          <w:vertAlign w:val="superscript"/>
        </w:rPr>
        <w:footnoteReference w:id="5"/>
      </w:r>
      <w:r>
        <w:t xml:space="preserve"> taip pat bus laikomas atitinkančiu reikalavimus, jei jis atitinka 405 punkte nurodytus tinkamumo kriterijus. Jei pagalbą pagal priemonę, apie kurią pranešama, ketinama teikti ir į PKAAE I priedą neįtrauktiems sektoriams ir (arba) pasektoriams:</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įrodykite, kad kiekvienas sektorius ir (arba) pasektoris atitinka PKAAE 405 punkte nustatytą metodiką;</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šios formos priede pateikite duomenis, kurie yra tipiniai Sąjungos sektoriaus ar pasektorio lygmens duomenys</w:t>
      </w:r>
      <w:r w:rsidR="00470AF2" w:rsidRPr="00470AF2">
        <w:rPr>
          <w:vertAlign w:val="superscript"/>
        </w:rPr>
        <w:footnoteReference w:id="6"/>
      </w:r>
      <w:r>
        <w:t>, kuriuos patikrino nepriklausomas ekspertas ir kurie grindžiami bent trejų metų iš eilės laikotarpiu, prasidedančiu ne anksčiau kaip 2013 m.</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Apibūdinkite, kaip pareiškėjai turės įrodyti, kad vykdo veiklą reikalavimus atitinkančiame sektoriuje, nurodydami, kur šią informaciją galima rasti teisiniame pagrinde (projekte) (pvz., „7 straipsnio 3 dalis“).</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Išvardykite visas kitas sąlygas, atitinkančias pagalbos teikimo pagal priemonę, apie kurią pranešama, reikalavimus, nurodydami, kur šią informaciją galima rasti teisiniame pagrinde (pvz., „7 straipsnio 3 dalis“). Visų pirma paaiškinkite: a) ar pagalbos gavėjai arba sektoriai ar subsektoriai, kurie iš esmės atitinka reikalavimus pagal PKAAE I priedą, neįtraukiami, b) ar yra papildomų tinkamumo kriterijų, kurie būtų taikomi ir nepaminėti PKAAE 4.11 skirsnyje, arba c) ar tos pačios kategorijos gavėjams numatytos skirtingo dydžio mokesčio lengvatos.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Kaip nurodyta PKAAE gairių 407 punkte, reikalavimus atitinkančių pagalbos gavėjų skaičių galima dar labiau apriboti. Tokiu atveju paaiškinkite kiekvienos tokios papildomos tinkamumo sąlygos pagrindimą ir įrodykite, kad i) atitinkama sąlyga grindžiama objektyviais, nediskriminaciniais ir skaidriais kriterijais ir kad pagalba iš esmės vienodai skiriama visiems tame pačiame sektoriuje veikiantiems reikalavimus atitinkantiems pagalbos gavėjams, jei jų faktinė padėtis yra panaši.</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lastRenderedPageBreak/>
              <w:t>Pagalbos proporcingumas (minimali pagalba, būtina jos tikslui pasiekti), įskaitant sumavimą</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Pagalbos proporcingumas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Kad pateiktumėte šiame skirsnyje prašomą informaciją, žr. PKAAE gairių 4.11.3.2 skirsnį ir 407 punktą.</w:t>
      </w:r>
    </w:p>
    <w:p w14:paraId="0CBF90E1" w14:textId="306749D7" w:rsidR="00B06A84" w:rsidRDefault="00644950" w:rsidP="005A4E16">
      <w:pPr>
        <w:numPr>
          <w:ilvl w:val="0"/>
          <w:numId w:val="4"/>
        </w:numPr>
        <w:spacing w:before="240"/>
        <w:ind w:left="567" w:hanging="567"/>
        <w:jc w:val="both"/>
      </w:pPr>
      <w:r>
        <w:t>Siekdami įrodyti, kad laikomasi PKAAE gairių 4.11.3.2 skirsnio ir 407 punkto, pateikite išsamų reikalavimus atitinkantiems pagalbos gavėjams taikomų mokesčio lengvatų apskaičiavimo metodikos aprašymą, nurodydami, kur šią informaciją galima rasti teisiniame pagrinde (projekte) (pvz., „7 straipsnio 3 dalis“). Visų pirma:</w:t>
      </w:r>
    </w:p>
    <w:p w14:paraId="2E456933" w14:textId="4F8D31AD" w:rsidR="00937DCD" w:rsidRDefault="006813BD" w:rsidP="009E4296">
      <w:pPr>
        <w:pStyle w:val="ListParagraph"/>
        <w:numPr>
          <w:ilvl w:val="0"/>
          <w:numId w:val="38"/>
        </w:numPr>
        <w:spacing w:before="120" w:after="120"/>
        <w:contextualSpacing w:val="0"/>
        <w:jc w:val="both"/>
      </w:pPr>
      <w:r>
        <w:t>nurodykite didžiausią mokesčio sumažinimo tarifą, taikomą atitinkamai riziką ir didelę riziką patiriančiuose sektoriuose veikiančioms įmonėms;</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nurodykite, ar priemone, apie kurią pranešama, numatoma, palyginti su pirmiau nurodytu i punktu, dar labiau apriboti papildomas išlaidas, atsirandančias dėl atitinkamų elektros energijos mokesčių. Tokiu atveju, taip pat a) nurodykite tokių ribų vertę, palyginti su įmonių, veikiančių riziką ir didelę riziką patiriančiuose sektoriuose, bendrąja pridėtine verte (BPV), ir b) aprašykite, kaip apskaičiuojama reikalavimus atitinkančių įmonių, veikiančių riziką ir didelę riziką patiriančiuose sektoriuose, BPV;</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patvirtinkite, kad, bet kuriuo atveju, sumažinus mokestį mokestis nebus mažesnis nei 0,5 EUR/MWh.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t xml:space="preserve">Nurodykite, ar pagal priemonę, apie kurią pranešama, pagal PKAAE gairių 410 punktą numatomas didesnis pagalbos intensyvumas toms įmonėms, kurios veikia riziką patiriančiuose sektoriuose, kurie mažina vartojant elektros energiją išmetamo anglies dioksido rodiklį. </w:t>
      </w:r>
    </w:p>
    <w:p w14:paraId="293F5C0A" w14:textId="77777777" w:rsidR="00937DCD" w:rsidRDefault="00C17C85" w:rsidP="005A4E16">
      <w:pPr>
        <w:pStyle w:val="ListParagraph"/>
        <w:keepLines/>
        <w:spacing w:before="120" w:after="120"/>
        <w:ind w:left="567"/>
        <w:contextualSpacing w:val="0"/>
        <w:jc w:val="both"/>
      </w:pPr>
      <w:r>
        <w:t>Jei taip,</w:t>
      </w:r>
    </w:p>
    <w:p w14:paraId="29CAF0A6" w14:textId="64FF48FB" w:rsidR="00937DCD" w:rsidRDefault="003653B6" w:rsidP="005A4E16">
      <w:pPr>
        <w:pStyle w:val="ListParagraph"/>
        <w:keepLines/>
        <w:numPr>
          <w:ilvl w:val="0"/>
          <w:numId w:val="52"/>
        </w:numPr>
        <w:spacing w:before="120" w:after="120"/>
        <w:contextualSpacing w:val="0"/>
        <w:jc w:val="both"/>
      </w:pPr>
      <w:r>
        <w:t>apibūdinkite didesnį pagalbos intensyvumą ir patvirtinkite susijusias sąlygas, kurių turi laikytis atitinkamos įmonės (t. y. 50 proc. suvartojamos elektros energijos gauti iš anglies dioksido neišskiriančių šaltinių, iš jų bent 10 proc. pirkti pagal išankstinį sandorį, pavyzdžiui, elektros energijos pirkimo sutartį, arba bent 5 proc. gaminti veiklos vietoje ar netoli jos), nurodydami, kur šią informaciją galima rasti teisiniame pagrinde (projekte) (pvz., „7 straipsnio 3 dalis“);</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 xml:space="preserve">apibūdinkite, kaip bus stebima, ar laikomasi šių sąlygų, o jei bus vykdoma </w:t>
      </w:r>
      <w:r>
        <w:rPr>
          <w:i/>
          <w:iCs/>
        </w:rPr>
        <w:t>ex post</w:t>
      </w:r>
      <w:r>
        <w:t xml:space="preserve"> stebėsena, – koks būtų poveikis, jei įmonė jų nesilaikytų.</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lastRenderedPageBreak/>
        <w:t xml:space="preserve">Jei taikytina, aprašykite bet kokį tolesnį mokesčio sumažinimo tarifo moduliavimą, taikomą atitinkamai riziką ir didelę riziką patiriančiuose sektoriuose veikiantiems pagalbos gavėjams, nurodydami, kur šią informaciją galima rasti teisiniame pagrinde (projekte) (pvz., „7 straipsnio 3 dalis“). Įrodykite, kad a) skirtingo dydžio mokesčio lengvatos grindžiamos objektyviais, nediskriminaciniais ir skaidriais kriterijais ir kad b) pagalba teikiama iš esmės tokiu pačiu būdu visiems reikalavimus atitinkantiems pagalbos gavėjams, veikiantiems tame pačiame sektoriuje, jei jų faktinė padėtis yra panaši.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Energijos vartojimo auditas ir vadybos sistemos </w:t>
            </w:r>
          </w:p>
        </w:tc>
      </w:tr>
    </w:tbl>
    <w:p w14:paraId="7C447A12" w14:textId="28CC1D2E" w:rsidR="00F17D00" w:rsidRDefault="00F17D00" w:rsidP="00F17D00">
      <w:pPr>
        <w:pStyle w:val="ListParagraph"/>
        <w:spacing w:before="120" w:after="120"/>
        <w:ind w:left="567"/>
        <w:contextualSpacing w:val="0"/>
        <w:jc w:val="both"/>
        <w:rPr>
          <w:i/>
        </w:rPr>
      </w:pPr>
      <w:r>
        <w:rPr>
          <w:i/>
        </w:rPr>
        <w:t>Kad pateiktumėte šiame skirsnyje prašomą informaciją, žr. PKAAE gairių 4.11.3.4 skirsnį.</w:t>
      </w:r>
    </w:p>
    <w:p w14:paraId="455D1B6E" w14:textId="06E6D973" w:rsidR="00DF586F" w:rsidRDefault="00DF586F" w:rsidP="005A4E16">
      <w:pPr>
        <w:numPr>
          <w:ilvl w:val="0"/>
          <w:numId w:val="4"/>
        </w:numPr>
        <w:spacing w:before="240"/>
        <w:ind w:left="567" w:hanging="567"/>
        <w:jc w:val="both"/>
      </w:pPr>
      <w:r>
        <w:t>Remdamiesi PKAAE gairių 414 punktu, apibūdinkite, kaip nacionalinės institucijos pagal priemonę, apie kurią pranešama, patikrins, ar pagalbos gavėjai laikosi savo įsipareigojimo atlikti energijos vartojimo auditą, kaip nurodyta Direktyvos 2012/27/ES 8 straipsnyje. Nurodykite, kur šią informaciją galima rasti teisiniame pagrinde (projekte) (pvz., „7 straipsnio 3 dalis“).</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PKAAE gairių 415 punkte nustatyta, kad pagalbos gavėjai, privalantys atlikti energijos vartojimo auditą, turi laikytis bent vienos iš trijų toliau nurodytų sąlygų, t. y.: a) įgyvendinti audito rekomendacijas, su sąlyga, kad jų investicijų atsipirkimo laikas neviršija trejų metų ir išlaidos yra proporcingos, arba b) užtikrinti, kad bent 30 proc. jų suvartojamos elektros energijos būtų pagaminama iš anglies dioksido neišskiriančių šaltinių, arba c) investuoti ne mažiau kaip 50 proc. pagalbos į projektus, dėl kurių labai sumažinamas išmetamas šiltnamio efektą sukeliančių dujų kiekis. Aprašykite, kaip nacionalinės institucijos pagal priemonę, apie kurią pranešama, stebės, ar pagalbos gavėjai, privalantys atlikti energijos vartojimo auditą pagal Direktyvos 2012/27/ES 8 straipsnio 4 dalį, atitinka vieną ar daugiau iš trijų PKAAE gairių 415 punkte išvardytų sąlygų, nurodydami, kur šią informaciją galima rasti teisiniame pagrinde (projekte) (pvz., „7 straipsnio 3 dalis“). Visų pirma pateikite išsamią informaciją apie kiekvieną priemonėje, apie kurią pranešama, numatytą sąlygą:</w:t>
      </w:r>
    </w:p>
    <w:p w14:paraId="4CD0D5F0" w14:textId="6354CA9F" w:rsidR="00937DCD" w:rsidRDefault="00937DCD" w:rsidP="009E4296">
      <w:pPr>
        <w:pStyle w:val="ListParagraph"/>
        <w:numPr>
          <w:ilvl w:val="0"/>
          <w:numId w:val="41"/>
        </w:numPr>
        <w:spacing w:before="120" w:after="120"/>
        <w:jc w:val="both"/>
      </w:pPr>
      <w:r>
        <w:t>kaip tiksliai pagalbos gavėjai turės įrodyti, kad laikosi reikalavimų;</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koks reikalavimų laikymosi terminas (pvz., užbaigti atitinkamas investicijas per vienus metus nuo pagalbos suteikimo) ir kaip dažnai pagalbos gavėjai turės įrodyti, kad laikosi reikalavimų (pvz., kasmet);</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kaip ir kaip dažnai bus stebima, kaip laikomasi sąlygų (pvz., kasmet);</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 xml:space="preserve">kokios bus reikalavimų nesilaikymo pasekmės pagalbos gavėjams (pvz., atsisakymas teikti pagalbą, jei bus atliktas </w:t>
      </w:r>
      <w:r>
        <w:rPr>
          <w:i/>
          <w:iCs/>
        </w:rPr>
        <w:t>ex ante</w:t>
      </w:r>
      <w:r>
        <w:t xml:space="preserve"> patikrinimas, arba jau suteiktos pagalbos grąžinimas, jei bus atliktas </w:t>
      </w:r>
      <w:r>
        <w:rPr>
          <w:i/>
          <w:iCs/>
        </w:rPr>
        <w:t>ex post</w:t>
      </w:r>
      <w:r>
        <w:t xml:space="preserve"> patikrinimas).</w:t>
      </w:r>
    </w:p>
    <w:p w14:paraId="2CC12D69" w14:textId="77777777" w:rsidR="00DF586F" w:rsidRDefault="00DF586F" w:rsidP="005A4E16">
      <w:pPr>
        <w:keepLines/>
        <w:tabs>
          <w:tab w:val="left" w:leader="dot" w:pos="9072"/>
        </w:tabs>
        <w:spacing w:before="120" w:after="360"/>
        <w:ind w:left="567"/>
        <w:jc w:val="both"/>
      </w:pPr>
      <w:r>
        <w:lastRenderedPageBreak/>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Sumavimas</w:t>
            </w:r>
          </w:p>
        </w:tc>
      </w:tr>
    </w:tbl>
    <w:p w14:paraId="2346A85D" w14:textId="5800D648" w:rsidR="00B21377" w:rsidRPr="002A3B51" w:rsidRDefault="00B21377" w:rsidP="00B21377">
      <w:pPr>
        <w:pStyle w:val="ListParagraph"/>
        <w:spacing w:before="120" w:after="120"/>
        <w:ind w:left="567"/>
        <w:contextualSpacing w:val="0"/>
        <w:jc w:val="both"/>
      </w:pPr>
      <w:r>
        <w:rPr>
          <w:i/>
        </w:rPr>
        <w:t>Kad pateiktumėte šiame skirsnyje prašomą informaciją, žr. PKAAE gairių 56–57 punktus</w:t>
      </w:r>
      <w:r>
        <w:t>.</w:t>
      </w:r>
    </w:p>
    <w:p w14:paraId="7159B0AA" w14:textId="326791FE" w:rsidR="00E5484B" w:rsidRPr="002A3B51" w:rsidRDefault="00B10F0D" w:rsidP="005A4E16">
      <w:pPr>
        <w:numPr>
          <w:ilvl w:val="0"/>
          <w:numId w:val="4"/>
        </w:numPr>
        <w:spacing w:before="240"/>
        <w:ind w:left="567" w:hanging="567"/>
        <w:jc w:val="both"/>
      </w:pPr>
      <w:r>
        <w:t xml:space="preserve">Jei šios informacijos dar nenurodėte formoje „Bendroji informacija“ (I dalis), kad būtų galima patikrinti, ar laikomasi PKAAE gairių 56 punkto, paaiškinkite, ar pagalba pagal priemonę (-es), apie kurią (-ias) pranešama, gali būti suteikta vienu metu pagal kelias pagalbos schemas arba sumuojama su </w:t>
      </w:r>
      <w:r>
        <w:rPr>
          <w:i/>
          <w:iCs/>
        </w:rPr>
        <w:t>ad hoc</w:t>
      </w:r>
      <w:r>
        <w:t xml:space="preserve"> arba </w:t>
      </w:r>
      <w:r>
        <w:rPr>
          <w:i/>
          <w:iCs/>
        </w:rPr>
        <w:t>de minimis</w:t>
      </w:r>
      <w:r>
        <w:t xml:space="preserve"> pagalba tų pačių finansuoti tinkamų išlaidų atžvilgiu. Jei taip, pateikite išsamią informaciją apie tas pagalbos schemas, </w:t>
      </w:r>
      <w:r>
        <w:rPr>
          <w:i/>
        </w:rPr>
        <w:t>ad hoc</w:t>
      </w:r>
      <w:r>
        <w:t xml:space="preserve"> pagalbą arba </w:t>
      </w:r>
      <w:r>
        <w:rPr>
          <w:i/>
        </w:rPr>
        <w:t>de minimis</w:t>
      </w:r>
      <w:r>
        <w:t xml:space="preserve"> pagalbą ir apie tai, kaip bus sumuojama pagalba.</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Jei pagalbos priemonei (-ėms), apie kurią (-ias) pranešama, taikomas PKAAE gairių 56 punktas, pagrįskite, kodėl dėl bendros pagal priemonę (-es), apie kurią (-ias) pranešama, veiklai skirtos pagalbos sumos nesusidaro kompensacijos permoka arba neviršijama didžiausia pagalbos suma, leidžiama pagal PKAAE gairių 408–410 punktus. Kiekvienos priemonės, pagal kurias teikiamą pagalbą galima sumuoti su pagal priemonę (-es), apie kurią (-ias) pranešama, teikiama pagalba, atveju nurodykite metodą, kuriuo užtikrinama, kad būtų laikomasi PKAAE gairių 56 punkte nustatytų sąlygų.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Jei taikomas PKAAE gairių 57 punktas, t. y. pagal priemonę (-es), apie kurią (-ias) pranešama, teikiama pagalba yra derinama su centralizuotai valdomu Sąjungos finansavimu</w:t>
      </w:r>
      <w:r w:rsidR="009B2F61">
        <w:rPr>
          <w:rStyle w:val="FootnoteReference"/>
          <w:lang w:eastAsia="en-GB"/>
        </w:rPr>
        <w:footnoteReference w:id="7"/>
      </w:r>
      <w:r>
        <w:t xml:space="preserve">, pagrįskite, kodėl dėl </w:t>
      </w:r>
      <w:r>
        <w:rPr>
          <w:shd w:val="clear" w:color="auto" w:fill="FFFFFF"/>
        </w:rPr>
        <w:t>bendros</w:t>
      </w:r>
      <w:r>
        <w:t xml:space="preserve"> </w:t>
      </w:r>
      <w:r>
        <w:rPr>
          <w:shd w:val="clear" w:color="auto" w:fill="FFFFFF"/>
        </w:rPr>
        <w:t>viešojo finansavimo sumos, skiriamos toms pačioms tinkamoms finansuoti išlaidoms padengti, nesusidaro kompensacijos permoka</w:t>
      </w:r>
      <w:r>
        <w:t>.</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Pereinamojo laikotarpio taisyklės</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Kad pateiktumėte šiame skirsnyje prašomą informaciją, žr. PKAAE gairių 4.11.3.5 skirsnį.</w:t>
      </w:r>
    </w:p>
    <w:p w14:paraId="50B72823" w14:textId="74224ADE" w:rsidR="009E3717" w:rsidRPr="009E3717" w:rsidRDefault="00B10F0D" w:rsidP="005A4E16">
      <w:pPr>
        <w:numPr>
          <w:ilvl w:val="0"/>
          <w:numId w:val="4"/>
        </w:numPr>
        <w:spacing w:before="240"/>
        <w:ind w:left="567" w:hanging="567"/>
        <w:jc w:val="both"/>
      </w:pPr>
      <w:r>
        <w:t xml:space="preserve">Nurodykite, ar šis pranešimas apima pagalbą, apie kurią nebuvo pranešta ir kuri buvo suteikta sumažinus elektros energijos mokesčius daug energijos naudojantiems vartotojams laikotarpiu iki PKAAE gairių paskelbimo. Jei taip, paaiškinkite, kaip pagalba, apie kurią nebuvo pranešta, atitinka PKAAE gairių 419 punkto a ir b papunkčius.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lastRenderedPageBreak/>
        <w:t xml:space="preserve">Nurodykite, ar priemone, apie kurią pranešama, nustatomas pereinamojo laikotarpio planas siekiant išvengti radikalių mokesčių naštos pokyčių atskiroms įmonėms, kurios neatitinka PKAAE gairių 4.11 skirsnyje nustatytų tinkamumo finansuoti sąlygų. Jei taip, pateikite atsakymus kituose šio skirsnio punktuose.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t>Remdamiesi PKAAE gairių 416 punktu, paaiškinkite, kaip pereinamojo laikotarpio plano taikymas tik toms įmonėms, kurios i) atitiko 2014–2020 m. Valstybės pagalbos aplinkos apsaugai ir energetikai gairių 3.7.2 skirsnyje nustatytus tinkamumo kriterijus ir ii) bent vienus iš dvejų metų iki esamų pagalbos schemų pakeitimo gavo pagalbą sumažintų mokesčių forma, padės joms atitikti PKAAE gaires. Nurodykite, kur šią informaciją galima rasti teisiniame pagrinde (projekte) (pvz., „7 straipsnio 3 dalis“).</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Apibūdinkite, kaip pereinamojo laikotarpio plane bus numatytas laipsniškas ir visapusiškas sąlygų, atsirandančių taikant PKAAE gairių 4.11 skirsnyje nustatytus tinkamumo ir proporcingumo kriterijus, pritaikymą, visų pirma, kaip ilgainiui pagalbos intensyvumas mažėja ir kaip BPV viršutinė riba ilgainiui didėja pagal PKAAE gairių 417 punkte nurodytą tvarkaraštį. Konkrečiai nurodykite, kur šią informaciją galima rasti teisiniame pagrinde (projekte) (pvz., „7 straipsnio 3 dalis“).</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Nurodykite, ar pagal pereinamojo laikotarpio planą išimties tvarka bus leidžiamas fiksuotas pagalbos intensyvumas per visą pereinamąjį laikotarpį, su sąlyga, kad atitinkamos įmonės sumažins vartojant elektros energiją išmetamo anglies dioksido rodiklį laikydamosi PKAAE gairių 418 punkto sąlygų (t. y. 50 proc. suvartojamos elektros energijos gaus iš anglies dioksido neišskiriančių šaltinių, iš jų bent 10 proc. pirks pagal išankstinį sandorį, pavyzdžiui, elektros energijos pirkimo sutartį, arba bent 5 proc. gamins veiklos vietoje ar netoli jos). Jei taip, nurodykite, kur šią informaciją galima rasti teisiniame pagrinde (projekte) (pvz., „7 straipsnio 3 dalis“) ir paaiškinkite, kaip nacionalinės institucijos užtikrina ir stebina atitiktį PKAAE gairių 418 punktui.</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Skaidrumas</w:t>
            </w:r>
          </w:p>
        </w:tc>
      </w:tr>
    </w:tbl>
    <w:p w14:paraId="1E96F77E" w14:textId="2D16554D" w:rsidR="00016924" w:rsidRPr="005A4E16" w:rsidRDefault="006773CE" w:rsidP="005A4E16">
      <w:pPr>
        <w:keepNext/>
        <w:keepLines/>
        <w:spacing w:before="360" w:after="120"/>
        <w:jc w:val="both"/>
        <w:rPr>
          <w:i/>
        </w:rPr>
      </w:pPr>
      <w:r>
        <w:rPr>
          <w:i/>
          <w:color w:val="000000"/>
        </w:rPr>
        <w:t>Kad pateiktumėte šiame skirsnyje prašomą informaciją, žr. PKAAE gairių 3.2.1.4 skirsnį (58–62 punktus).</w:t>
      </w:r>
      <w:r>
        <w:rPr>
          <w:i/>
        </w:rPr>
        <w:t xml:space="preserve">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Patvirtinkite, kad valstybė narė laikysis PKAAE gairių 58–61 punktuose nustatytų skaidrumo reikalavimų.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02AC33DB" w:rsidR="005440AC" w:rsidRPr="00421F63" w:rsidRDefault="006B7161" w:rsidP="005A4E16">
      <w:pPr>
        <w:keepLines/>
        <w:numPr>
          <w:ilvl w:val="0"/>
          <w:numId w:val="4"/>
        </w:numPr>
        <w:spacing w:before="240"/>
        <w:ind w:left="567" w:hanging="567"/>
        <w:jc w:val="both"/>
      </w:pPr>
      <w:r>
        <w:t xml:space="preserve">Siekdami patikrinti, ar laikomasi PKAAE gairių 61 punkto, patvirtinkite, kad 58 punkto b papunktyje pateikta informacija bus prieinama bent dešimt metų nuo pagalbos suteikimo dienos, kad būtų galima užtikrinti valstybės pagalbos taisyklių vykdymą pagal SESV.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lastRenderedPageBreak/>
              <w:t>Nederamo neigiamo pagalbos poveikio konkurencijai ir prekybai vengimas ir pusiausvyros užtikrinimas</w:t>
            </w:r>
          </w:p>
        </w:tc>
      </w:tr>
    </w:tbl>
    <w:p w14:paraId="6CD3884F" w14:textId="710752B3" w:rsidR="00F83660" w:rsidRPr="00B215FD" w:rsidRDefault="00F83660" w:rsidP="000C2EFD">
      <w:pPr>
        <w:keepNext/>
        <w:keepLines/>
        <w:spacing w:before="360" w:after="120"/>
        <w:jc w:val="both"/>
        <w:rPr>
          <w:i/>
        </w:rPr>
      </w:pPr>
      <w:r>
        <w:rPr>
          <w:i/>
        </w:rPr>
        <w:t xml:space="preserve">Kad pateiktumėte šiame skirsnyje prašomą informaciją, žr. PKAAE gairių 3.2.2 skirsnį. </w:t>
      </w:r>
    </w:p>
    <w:p w14:paraId="5D5F17EA" w14:textId="02FA14EA" w:rsidR="00F83660" w:rsidRPr="001D7B55" w:rsidRDefault="00F83660" w:rsidP="005A4E16">
      <w:pPr>
        <w:keepLines/>
        <w:numPr>
          <w:ilvl w:val="0"/>
          <w:numId w:val="4"/>
        </w:numPr>
        <w:spacing w:before="240"/>
        <w:ind w:left="567" w:hanging="567"/>
        <w:jc w:val="both"/>
      </w:pPr>
      <w:r>
        <w:t>Kad būtų galima patikrinti, ar laikomasi PKAAE gairių 70 punkto:</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 xml:space="preserve">patvirtinkite, kad schemos taikymo trukmė yra ne ilgesnė kaip dešimt metų </w:t>
      </w:r>
      <w:r>
        <w:rPr>
          <w:color w:val="000000"/>
          <w:shd w:val="clear" w:color="auto" w:fill="FFFFFF"/>
        </w:rPr>
        <w:t>nuo pranešimo apie Komisijos sprendimą, kuriuo pagalba pripažįstama suderinama, dienos</w:t>
      </w:r>
      <w:r>
        <w:t>;</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rPr>
          <w:color w:val="000000"/>
          <w:shd w:val="clear" w:color="auto" w:fill="FFFFFF"/>
        </w:rPr>
        <w:t>patvirtinkite</w:t>
      </w:r>
      <w:r>
        <w:t xml:space="preserve">, kad jei valstybė narė nori pratęsti priemonės galiojimo laikotarpį ilgiau nei tas ilgiausias dešimties metų laikotarpis, ji apie priemonę (-es) dar kartą praneš.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t>Teigiamo pagalbos poveikio ir neigiamo poveikio konkurencijai ir prekybai pasvėrimas</w:t>
            </w:r>
          </w:p>
        </w:tc>
      </w:tr>
    </w:tbl>
    <w:p w14:paraId="2BA426DC" w14:textId="523B5AF6" w:rsidR="00265702" w:rsidRPr="00863406" w:rsidRDefault="00265702" w:rsidP="000C2EFD">
      <w:pPr>
        <w:keepNext/>
        <w:keepLines/>
        <w:spacing w:before="360" w:after="120"/>
        <w:jc w:val="both"/>
        <w:rPr>
          <w:i/>
          <w:color w:val="000000"/>
        </w:rPr>
      </w:pPr>
      <w:r>
        <w:rPr>
          <w:i/>
          <w:color w:val="000000"/>
        </w:rPr>
        <w:t>Kad</w:t>
      </w:r>
      <w:r>
        <w:rPr>
          <w:i/>
        </w:rPr>
        <w:t xml:space="preserve"> pateiktumėte šiame skirsnyje prašomą informaciją</w:t>
      </w:r>
      <w:r>
        <w:rPr>
          <w:i/>
          <w:color w:val="000000"/>
        </w:rPr>
        <w:t xml:space="preserve">, žr. PKAAE gairių 3.3 skirsnį (71–76 punktus) ir 400–402 punktus. </w:t>
      </w:r>
    </w:p>
    <w:p w14:paraId="18165957" w14:textId="76C6222C" w:rsidR="004B2EF3" w:rsidRPr="00AC1973" w:rsidRDefault="004B2EF3" w:rsidP="005A4E16">
      <w:pPr>
        <w:keepLines/>
        <w:numPr>
          <w:ilvl w:val="0"/>
          <w:numId w:val="4"/>
        </w:numPr>
        <w:spacing w:before="240"/>
        <w:ind w:left="567" w:hanging="567"/>
        <w:jc w:val="both"/>
      </w:pPr>
      <w:r>
        <w:t>Remdamiesi PKAAE gairių 75 punktu, paaiškinkite, ar priemonė (-ės), apie kurią (-ias) pranešama, turi aspektų, kuriais MVĮ sudaromos palankesnės sąlygos dalyvauti. Jei taip, pateikite informacijos apie tuos aspektus ir pagrįskite, kaip teigiamas MVĮ dalyvavimo ir pritarimo jų dalyvavimui priemonėje (-se), apie kurią (-ias) pranešama, užtikrinimo poveikis nusveria galimą iškreipiamąjį poveikį.</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Dėl PKAAE gairių 76 punkto c papunkčio taikymo nurodykite, ar pagalbos priemonė(-ės) būtų taikoma(-os) ribotą laiką.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Vertinimas</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Kad pateiktumėte šiame skirsnyje prašomą informaciją, žr. PKAAE gairių 76 punkto a papunktį ir 5 skyrių (455–463 punktus).</w:t>
      </w:r>
    </w:p>
    <w:p w14:paraId="7C72F6EA" w14:textId="04D9ACCD" w:rsidR="00FD7E6B" w:rsidRDefault="00FD7E6B" w:rsidP="005A4E16">
      <w:pPr>
        <w:numPr>
          <w:ilvl w:val="0"/>
          <w:numId w:val="4"/>
        </w:numPr>
        <w:spacing w:before="240"/>
        <w:ind w:left="567" w:hanging="567"/>
        <w:jc w:val="both"/>
      </w:pPr>
      <w:r>
        <w:t xml:space="preserve">Jei priemonė (-ės), apie kurią (-ias) pranešama, viršija PKAAE gairių 456 punkte nustatytas biudžeto ir (arba) išlaidų ribas, paaiškinkite, kodėl, jūsų nuomone, turėtų būti taikoma PKAAE gairių 457 punkte nustatyta išimtis, arba šios papildomos informacijos </w:t>
      </w:r>
      <w:r>
        <w:lastRenderedPageBreak/>
        <w:t>pateikimo formos priede pateikite, be kita ko, vertinimo plano projektą, apimantį PKAAE gairių 458 punkte nurodytą taikymo sritį</w:t>
      </w:r>
      <w:r w:rsidRPr="00C7201E">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Jei pateikiamas vertinimo plano projektas:</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pateikite šios pranešimo formos priede pateikto vertinimo plano projekto santrauką;</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patvirtinkite, kad bus laikomasi PKAAE gairių 460 punkto;</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pateikite interneto nuorodą į vertinimo planą ir nurodykite, nuo kada jis bus skelbiamas viešai.</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t xml:space="preserve">Jeigu pagalbos schemos </w:t>
      </w:r>
      <w:r>
        <w:rPr>
          <w:i/>
        </w:rPr>
        <w:t>ex post</w:t>
      </w:r>
      <w:r>
        <w:t xml:space="preserve"> vertinimas šiuo metu neatliekamas ir jos taikymo trukmė viršija trejus metus, kad būtų galima patikrinti, ar laikomasi PKAAE gairių 459 punkto b papunkčio, patvirtinkite, kad vertinimo plano projektą pateiksite per 30 darbo dienų po reikšmingo pakeitimo, dėl kurio schemos biudžetas padidėjo ir viršija 150 mln. EUR bet kuriais metais arba 750 mln. EUR per visą schemos taikymo trukmę.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 xml:space="preserve">Jeigu pagalbos schemos </w:t>
      </w:r>
      <w:r>
        <w:rPr>
          <w:i/>
        </w:rPr>
        <w:t>ex post</w:t>
      </w:r>
      <w:r>
        <w:t xml:space="preserve"> vertinimas šiuo metu neatliekamas, kad būtų galima patikrinti, ar laikomasi PKAAE gairių 459 punkto c papunkčio, pateikite įsipareigojimą, kad valstybė narė vertinimo plano projektą pateiks </w:t>
      </w:r>
      <w:r>
        <w:rPr>
          <w:shd w:val="clear" w:color="auto" w:fill="FFFFFF"/>
        </w:rPr>
        <w:t>per 30 darbo dienų po 150 mln. EUR viršijančių praėjusių metų išlaidų užregistravimo oficialiojoje apskaitoje</w:t>
      </w:r>
      <w:r>
        <w:t xml:space="preserve">.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Kad būtų galima patikrinti, ar laikomasi PKAAE gairių 461 punkto:</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patikslinkite, ar nepriklausomas ekspertas jau atrinktas, ar bus atrinktas;</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pateikite informaciją apie eksperto atrankos procedūrą;</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pagrįskite, kodėl ekspertas nepriklauso nuo pagalbą teikiančios institucijos.</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Kad būtų galima patikrinti, ar laikomasi PKAAE gairių 461 punkto: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lastRenderedPageBreak/>
        <w:t>nurodykite siūlomus tarpinės ir galutinės vertinimo ataskaitų pateikimo terminus. Atkreipkite dėmesį, kad galutinė vertinimo ataskaita Komisijai turi būti pateikta laiku, kad ji galėtų įvertinti galimybę pratęsti pagalbos schemos galiojimą, ir ne vėliau nei likus devyniems mėnesiams iki jos galiojimo pabaigos, kaip nurodyta PKAAE gairių 463 punkte. Atkreipkite dėmesį, kad šis terminas galėtų būti sutrumpintas schemoms, kurios turi būti įvertintos per paskutinius dvejus įgyvendinimo metus;</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patvirtinkite, kad tarpinė ir galutinė vertinimo ataskaitos bus skelbiamos viešai. Pateikite interneto nuorodą į tas ataskaitas ir nurodykite, nuo kada jos bus skelbiamos viešai.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t>Ataskaitų teikimas ir stebėsena</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Kad pateiktumėte šiame skirsnyje prašomą informaciją, žr. PKAAE gairių 6 skirsnį (464–465 punktus).</w:t>
      </w:r>
    </w:p>
    <w:p w14:paraId="3FBE246E" w14:textId="1FB553B4" w:rsidR="00FD7E6B" w:rsidRDefault="00FD7E6B" w:rsidP="005A4E16">
      <w:pPr>
        <w:keepLines/>
        <w:numPr>
          <w:ilvl w:val="0"/>
          <w:numId w:val="4"/>
        </w:numPr>
        <w:spacing w:before="240"/>
        <w:ind w:left="567" w:hanging="567"/>
        <w:jc w:val="both"/>
      </w:pPr>
      <w:r>
        <w:t>Patvirtinkite, kad valstybė narė laikysis PKAAE gairių 6 skirsnio 464 ir 465 punktuose nustatytų ataskaitų teikimo ir stebėsenos reikalavimų.</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OL C 80, 2022 2 18, p. 1.</w:t>
      </w:r>
    </w:p>
  </w:footnote>
  <w:footnote w:id="3">
    <w:p w14:paraId="40B31757" w14:textId="710C01BF" w:rsidR="00B77C6D" w:rsidRDefault="00B77C6D" w:rsidP="00B77C6D">
      <w:pPr>
        <w:pStyle w:val="FootnoteText"/>
      </w:pPr>
      <w:r>
        <w:rPr>
          <w:rStyle w:val="FootnoteReference"/>
        </w:rPr>
        <w:footnoteRef/>
      </w:r>
      <w:r>
        <w:tab/>
        <w:t xml:space="preserve">Atkreipkite dėmesį, kad pagalbos schemos taikymo trukmė – tai laikotarpis, per kurį galima prašyti pagalbos ir priimti sprendimą ją suteikti (taigi, taip pat įskaičiuojamas laikas, kurio valdžios institucijoms reikia pagalbos paraiškoms patvirtinti). Šiame punkte minima taikymo trukmė nėra susijusi su pagal pagalbos schemą sudarytų sutarčių trukme, kuri gali būti ilgesnė nei priemonės taikymo trukmė. </w:t>
      </w:r>
    </w:p>
  </w:footnote>
  <w:footnote w:id="4">
    <w:p w14:paraId="28F42BB8" w14:textId="2923C271" w:rsidR="0068024A" w:rsidRPr="0067348B" w:rsidRDefault="0068024A" w:rsidP="0068024A">
      <w:pPr>
        <w:pStyle w:val="FootnoteText"/>
      </w:pPr>
      <w:r>
        <w:rPr>
          <w:rStyle w:val="FootnoteReference"/>
        </w:rPr>
        <w:footnoteRef/>
      </w:r>
      <w:r>
        <w:tab/>
        <w:t>Atkreipkite dėmesį, kad faktinio biudžeto arba biudžeto sąmatos pakeitimas gali būti laikomas pagalbos pakeitimu, dėl kurio reikia pateikti naują pranešimą.</w:t>
      </w:r>
    </w:p>
  </w:footnote>
  <w:footnote w:id="5">
    <w:p w14:paraId="3A832CB6" w14:textId="77777777" w:rsidR="00FE3196" w:rsidRPr="00D6380C" w:rsidRDefault="00FE3196" w:rsidP="00470AF2">
      <w:pPr>
        <w:pStyle w:val="FootnoteText"/>
        <w:ind w:left="567" w:hanging="567"/>
      </w:pPr>
      <w:r>
        <w:rPr>
          <w:rStyle w:val="FootnoteReference"/>
        </w:rPr>
        <w:footnoteRef/>
      </w:r>
      <w:r>
        <w:tab/>
        <w:t>Pagal Europos bendrijos statistinio ekonominės veiklos rūšių klasifikatoriaus apibrėžtį (NACE 2 red. klasifikatorius) iki ne didesnio kaip aštuonių skaitmenų suskirstymo lygio (PRODCOM lygmuo).</w:t>
      </w:r>
    </w:p>
  </w:footnote>
  <w:footnote w:id="6">
    <w:p w14:paraId="555714D6" w14:textId="77777777" w:rsidR="00FE3196" w:rsidRPr="00D91CFC" w:rsidRDefault="00FE3196" w:rsidP="00470AF2">
      <w:pPr>
        <w:pStyle w:val="FootnoteText"/>
        <w:ind w:left="567" w:hanging="567"/>
      </w:pPr>
      <w:r>
        <w:rPr>
          <w:rStyle w:val="FootnoteReference"/>
        </w:rPr>
        <w:footnoteRef/>
      </w:r>
      <w:r>
        <w:tab/>
        <w:t>Pavyzdžiui, duomenis, apimančius didelę atitinkamo sektoriaus ar pasektorio bendrosios pridėtinės vertės procentinę dalį ES lygmeniu.</w:t>
      </w:r>
    </w:p>
  </w:footnote>
  <w:footnote w:id="7">
    <w:p w14:paraId="086AD512" w14:textId="7087BE19" w:rsidR="00FE3196" w:rsidRDefault="00FE3196">
      <w:pPr>
        <w:pStyle w:val="FootnoteText"/>
      </w:pPr>
      <w:r>
        <w:rPr>
          <w:rStyle w:val="FootnoteReference"/>
        </w:rPr>
        <w:footnoteRef/>
      </w:r>
      <w:r>
        <w:tab/>
        <w:t>Centralizuotai valdomas Sąjungos finansavimas – Sąjungos finansavimas, kurį centralizuotai valdo Europos Sąjungos institucijos, agentūros, bendrosios įmonės ar kitos įstaigos ir kurio tiesiogiai ar netiesiogiai nekontroliuoja valstybė narė.</w:t>
      </w:r>
    </w:p>
  </w:footnote>
  <w:footnote w:id="8">
    <w:p w14:paraId="2FB02E44" w14:textId="77777777" w:rsidR="00FD7E6B" w:rsidRDefault="00FD7E6B" w:rsidP="00FD7E6B">
      <w:pPr>
        <w:pStyle w:val="FootnoteText"/>
      </w:pPr>
      <w:r>
        <w:rPr>
          <w:rStyle w:val="FootnoteReference"/>
        </w:rPr>
        <w:footnoteRef/>
      </w:r>
      <w:r>
        <w:tab/>
        <w:t xml:space="preserve">Pranešimo apie vertinimo planą papildomos informacijos lapo (III.8 dalis) šablonas pateikiamas adresu </w:t>
      </w:r>
      <w:hyperlink w:anchor="evaluation-plan" w:history="1">
        <w:r>
          <w:rPr>
            <w:rStyle w:val="Hyperlink"/>
          </w:rPr>
          <w:t>https://competition-policy.ec.europa.eu/state-aid/legislation/forms-notifications-and-reporting_en?prefLang=lt</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1560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t-L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t-L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3426</Words>
  <Characters>22855</Characters>
  <Application>Microsoft Office Word</Application>
  <DocSecurity>0</DocSecurity>
  <Lines>476</Lines>
  <Paragraphs>163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3</cp:revision>
  <cp:lastPrinted>2022-10-05T12:42:00Z</cp:lastPrinted>
  <dcterms:created xsi:type="dcterms:W3CDTF">2024-08-01T10:54:00Z</dcterms:created>
  <dcterms:modified xsi:type="dcterms:W3CDTF">2024-09-06T15:24:00Z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