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Osa III.6</w:t>
            </w:r>
          </w:p>
          <w:p w14:paraId="1C239D2C" w14:textId="171BCF76" w:rsidR="000442F5" w:rsidRPr="009916D5" w:rsidRDefault="00531803" w:rsidP="007B485D">
            <w:pPr>
              <w:pStyle w:val="Heading2"/>
              <w:spacing w:before="240" w:after="240"/>
              <w:jc w:val="center"/>
              <w:rPr>
                <w:sz w:val="32"/>
                <w:szCs w:val="32"/>
              </w:rPr>
            </w:pPr>
            <w:r>
              <w:rPr>
                <w:sz w:val="32"/>
              </w:rPr>
              <w:t>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 </w:t>
            </w:r>
            <w:bookmarkEnd w:id="0"/>
            <w:bookmarkEnd w:id="1"/>
          </w:p>
          <w:p w14:paraId="34AE2082" w14:textId="77777777" w:rsidR="002B52B3" w:rsidRDefault="002B52B3" w:rsidP="00AB6B5D">
            <w:pPr>
              <w:jc w:val="center"/>
              <w:rPr>
                <w:sz w:val="32"/>
                <w:szCs w:val="32"/>
              </w:rPr>
            </w:pPr>
            <w:r>
              <w:rPr>
                <w:sz w:val="32"/>
              </w:rPr>
              <w:t>4.11 luku – Energiaintensiivisille käyttäjille myönnettävien sähkömaksualennusten muodossa annettava tuki</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1B60656B" w14:textId="5A450E3F" w:rsidR="009E2EA1" w:rsidRPr="00711243" w:rsidRDefault="0072538B" w:rsidP="009E2EA1">
      <w:pPr>
        <w:spacing w:before="120" w:after="120"/>
        <w:ind w:right="-142"/>
        <w:jc w:val="both"/>
        <w:rPr>
          <w:i/>
          <w:iCs/>
        </w:rPr>
      </w:pPr>
      <w:r>
        <w:rPr>
          <w:i/>
        </w:rPr>
        <w:t xml:space="preserve">Tämä lisätietolomake koskee suuntaviivojen 4.11 luvun piiriin kuuluvia toimenpiteitä. Jos ilmoitus koskee toimenpiteitä, jotka kuuluvat useamman kuin yhden suuntaviivojen luvun piiriin, täyttäkää kaikkia kyseeseen tulevia lukuja koskevat lisätietolomakkeet, kun ne tulevat saataville. </w:t>
      </w:r>
    </w:p>
    <w:p w14:paraId="05E36007" w14:textId="48DD17A5" w:rsidR="009E2EA1" w:rsidRPr="00711243" w:rsidRDefault="009E2EA1" w:rsidP="009E2EA1">
      <w:pPr>
        <w:spacing w:before="120" w:after="120"/>
        <w:ind w:right="-142"/>
        <w:jc w:val="both"/>
        <w:rPr>
          <w:i/>
          <w:iCs/>
        </w:rPr>
      </w:pPr>
      <w:r>
        <w:rPr>
          <w:i/>
        </w:rPr>
        <w:t>Kaikki asiakirjat, jotka jäsenvaltiot esittävät tämän lisätietolomakkeen liitteinä, on numeroitava, ja asiakirjojen numerot on mainittava tämän lisätietolomakkeen asianomaisissa jaksoissa.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Jakso A: Yhteenveto ilmoitetun toimenpiteen tärkeimmistä ominaispiirteistä</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Ilmoitetun toimenpiteen tausta ja tavoitteet</w:t>
      </w:r>
    </w:p>
    <w:p w14:paraId="53AAF227" w14:textId="40775AB0" w:rsidR="00931262" w:rsidRDefault="00931262" w:rsidP="004F64BC">
      <w:pPr>
        <w:pStyle w:val="ListParagraph"/>
        <w:keepLines/>
        <w:numPr>
          <w:ilvl w:val="0"/>
          <w:numId w:val="21"/>
        </w:numPr>
        <w:spacing w:after="240"/>
        <w:ind w:left="993" w:hanging="142"/>
        <w:jc w:val="both"/>
      </w:pPr>
      <w:r>
        <w:t>Ilmoittakaa, onko kyseessä uusi toimenpide vai olemassa olevan toimenpiteen muutos. Jos kyseessä on muutos, antakaa yksityiskohtaiset tiedot ohjelmaan tehdyistä muutoksista.</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Ilmoittakaa tausta ja päätavoite, mukaan lukien mahdolliset yhteydet unionin ympäristötavoitteisiin, joita toimenpiteellä on tarkoitus tukea, jos asiaa ei ole jo käsitelty yleistietolomakkeen (osa I) kohdassa 5.2.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Ilmoittakaa toimenpiteen mahdolliset muut tavoitteet. Jos tavoitteet eivät liity ainoastaan ympäristöön, selittäkää, voivatko ne johtaa sisämarkkinoiden vääristymiseen.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Voimaantulo ja kesto</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Jos asiaa ei ole jo käsitelty yleistietolomakkeen (osa I) kohdassa 5.5, ilmoittakaa</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tukiohjelman tapauksessa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päivämäärä, josta alkaen ohjelman on tarkoitus tulla voimaan;</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ohjelman kesto;</w:t>
      </w:r>
      <w:r>
        <w:rPr>
          <w:rStyle w:val="FootnoteReference"/>
          <w:rFonts w:cs="Arial Unicode MS"/>
          <w:bCs/>
          <w:lang w:bidi="si-LK"/>
        </w:rPr>
        <w:footnoteReference w:id="3"/>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yksittäisen tuen tapauksessa tuen (suunniteltu) myöntämispäivä (lupaus tuesta) ja maksupäivä (ensimmäinen maksupäivä, jos maksu tehdään osissa):</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Tuensaaja(t)</w:t>
      </w:r>
      <w:r>
        <w:tab/>
      </w:r>
    </w:p>
    <w:p w14:paraId="06E5A4C8" w14:textId="44380450" w:rsidR="00B77C6D" w:rsidRDefault="0068024A" w:rsidP="00B77C6D">
      <w:pPr>
        <w:pStyle w:val="ListParagraph"/>
        <w:numPr>
          <w:ilvl w:val="0"/>
          <w:numId w:val="22"/>
        </w:numPr>
        <w:spacing w:after="240"/>
        <w:ind w:hanging="229"/>
        <w:jc w:val="both"/>
        <w:rPr>
          <w:szCs w:val="24"/>
        </w:rPr>
      </w:pPr>
      <w:r>
        <w:lastRenderedPageBreak/>
        <w:t>Kuvailkaa toimenpiteen (mahdolliset) tuensaajat, ellei niitä ole jo ilmoitettu yleistietolomakkeen (osa I) kohdassa 3.</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Ilmoittakaa (mahdollisten) tuensaajien sijainti (ts. voivatko toimenpiteeseen osallistua ainoastaan asianomaisissa jäsenvaltioissa vai myös muissa jäsenvaltioissa sijaitsevat taloudelliset yksiköt).</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Jos kyllä, antakaa tiedot vielä perimättä olevan tuen määrästä, jotta komissio voi ottaa sen huomioon arvioidessaan tukitoimenpidettä.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Vahvistakaa, että toimenpiteeseen ei sisälly tukea toimintoihin, jotka eivät kuulu suuntaviivojen soveltamisalaan (ks. suuntaviivojen 13 kappale). Muussa tapauksessa antakaa lisätietoa.</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Toimenpiteen budjetti ja rahoitus</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vertAlign w:val="superscript"/>
        </w:rPr>
        <w:t xml:space="preserve"> </w:t>
      </w:r>
      <w:r>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Koska toimenpide koskee maksua, täsmentäkää,</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säädetäänkö maksusta laissa tai muussa säädöksessä; jos kyllä, ilmoittakaa säädöksen nimi, numero, antamis- ja voimaantulopäivä sekä linkki säädökseen;</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rahoitetaanko maksun alennus korottamalla maksua muiden kuluttajien osalta</w:t>
      </w:r>
      <w:bookmarkEnd w:id="4"/>
      <w:r>
        <w:t>;</w:t>
      </w:r>
    </w:p>
    <w:p w14:paraId="63B7575D" w14:textId="6407E221" w:rsidR="00B77C6D" w:rsidRDefault="001F75B2" w:rsidP="00E7597C">
      <w:pPr>
        <w:keepLines/>
        <w:tabs>
          <w:tab w:val="left" w:leader="dot" w:pos="9072"/>
        </w:tabs>
        <w:spacing w:before="120" w:after="120"/>
        <w:ind w:left="927"/>
        <w:jc w:val="both"/>
      </w:pPr>
      <w:r>
        <w:lastRenderedPageBreak/>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rahoitetaanko toimenpide maksuilla kokonaan vai vain osittain. Jos toimenpide rahoitetaan maksuilla vain osittain, ilmoittakaa toimenpiteen muut rahoituslähteet ja niiden osuudet;</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rahoitetaanko ilmoitetun toimenpiteen rahoittamiseksi perittävillä maksuilla myös muita tukitoimenpiteitä. Jos kyllä, luetelkaa tässä muut kyseisillä maksuilla rahoitettavat tukitoimenpiteet.</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Jakso B: Tuen sisämarkkinoille soveltuvuuden arviointi</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Positiivinen edellytys: tuen on edistettävä tietyn taloudellisen toiminnan kehitystä</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Tietyn taloudellisen toiminnan kehityksen edistäminen ja kannustava vaikutus</w:t>
            </w:r>
          </w:p>
        </w:tc>
      </w:tr>
    </w:tbl>
    <w:p w14:paraId="1E2599D2" w14:textId="090DDB6C" w:rsidR="000442F5" w:rsidRPr="00DB40A5" w:rsidRDefault="000442F5" w:rsidP="00D304A1">
      <w:pPr>
        <w:keepLines/>
        <w:spacing w:before="360" w:after="120"/>
        <w:jc w:val="both"/>
        <w:rPr>
          <w:i/>
        </w:rPr>
      </w:pPr>
      <w:r>
        <w:rPr>
          <w:i/>
        </w:rPr>
        <w:t xml:space="preserve">Tämän jakson tietoja varten ks. suuntaviivojen 4.11.1 kohta. </w:t>
      </w:r>
    </w:p>
    <w:p w14:paraId="3B179A23" w14:textId="692B32B4" w:rsidR="00FE59FF" w:rsidRDefault="00956022" w:rsidP="007D3768">
      <w:pPr>
        <w:numPr>
          <w:ilvl w:val="0"/>
          <w:numId w:val="4"/>
        </w:numPr>
        <w:ind w:left="426" w:hanging="426"/>
        <w:jc w:val="both"/>
      </w:pPr>
      <w:r>
        <w:t xml:space="preserve">Euroopan unionin toiminnasta tehdyn sopimuksen (SEUT) 107 artiklan 3 kohdan c alakohdan mukaan komissio voi pitää sisämarkkinoille soveltuvana ”tukea tietyn taloudellisen toiminnan tai talousalueen kehityksen edistämiseen, jos tuki ei muuta kaupankäynnin edellytyksiä yhteisen edun kanssa ristiriitaisella tavalla”. Sen vuoksi kyseisen SEUT-sopimuksen määräyksen mukaisen tuen on edistettävä tietyn taloudellisen toiminnan kehitystä. </w:t>
      </w:r>
    </w:p>
    <w:p w14:paraId="3D019745" w14:textId="31E2DE72" w:rsidR="00C75792" w:rsidRPr="008515FB" w:rsidRDefault="00FE59FF" w:rsidP="00E7597C">
      <w:pPr>
        <w:spacing w:before="240"/>
        <w:ind w:left="357"/>
        <w:jc w:val="both"/>
      </w:pPr>
      <w:r>
        <w:t>Lisäksi tuen voidaan katsoa edistävän taloudellista toimintaa vain, jos sillä on kannustava vaikutus. Kannustava vaikutus ilmenee silloin, kun tuki kannustaa tuensaajaa muuttamaan käyttäytymistään tietyn tuella tavoitellun taloudellisen toiminnan kehittämiseksi ja jos käyttäytymisen muutos ei tapahtuisi ilman tukea.</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Selittäkää suuntaviivojen 400 kappaleen mukaisesti, miten maksunalennusmekanismi tarjoaa tukikelpoisille yrityksille kannustimia välttää riski siitä, että toimintoja siirtyy unionin ulkopuolelle maihin, joissa ei ole ympäristövaatimuksia tai joissa ne eivät ole yhtä kunnianhimoisia, tai kannustimia tuotantoprosessien sähköistämiseen.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Ilmoittakaa, missä oikeusperustan (luonnoksen) osassa tämä näkökohta ilmenee.</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Mitään asiaan liittyvää unionin oikeuden säännöstä ei rikota</w:t>
            </w:r>
          </w:p>
        </w:tc>
      </w:tr>
    </w:tbl>
    <w:p w14:paraId="665FE026" w14:textId="0459581F" w:rsidR="00DE1D68" w:rsidRDefault="00DE1D68" w:rsidP="00DE1D68">
      <w:pPr>
        <w:spacing w:before="360" w:after="120"/>
        <w:jc w:val="both"/>
        <w:rPr>
          <w:i/>
        </w:rPr>
      </w:pPr>
      <w:r>
        <w:rPr>
          <w:i/>
        </w:rPr>
        <w:t xml:space="preserve">Tämän jakson tietoja varten ks. suuntaviivojen 3.1.3 kohta (33 kappale). </w:t>
      </w:r>
    </w:p>
    <w:p w14:paraId="3E98C3D7" w14:textId="0DD79AFD" w:rsidR="00BE702A" w:rsidRDefault="0023543E" w:rsidP="00E7597C">
      <w:pPr>
        <w:pStyle w:val="ListParagraph"/>
        <w:keepLines/>
        <w:spacing w:before="120" w:after="120"/>
        <w:ind w:left="1287"/>
        <w:contextualSpacing w:val="0"/>
        <w:jc w:val="both"/>
        <w:rPr>
          <w:rFonts w:cs="Arial Unicode MS"/>
          <w:bCs/>
        </w:rPr>
      </w:pPr>
      <w:r>
        <w:t>Antakaa tiedot, jotka vahvistavat, että asiaa koskevia EU:n lainsäädännön säännöksiä on noudatettu suuntaviivojen 33 kappaleen mukaisesti.</w:t>
      </w:r>
    </w:p>
    <w:p w14:paraId="1E0A5288" w14:textId="77777777" w:rsidR="00A97DDF" w:rsidRDefault="00A97DDF" w:rsidP="00E7597C">
      <w:pPr>
        <w:keepLines/>
        <w:tabs>
          <w:tab w:val="left" w:leader="dot" w:pos="9072"/>
        </w:tabs>
        <w:spacing w:before="120" w:after="120"/>
        <w:ind w:left="851"/>
        <w:jc w:val="both"/>
        <w:rPr>
          <w:color w:val="000000"/>
        </w:rPr>
      </w:pPr>
      <w: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Negatiivinen edellytys: tuki ei saa perusteettomasti vaikuttaa kaupankäynnin edellytyksiin yhteisen edun vastaisesti</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Kilpailun ja kaupan vääristymien minimointi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Valtiontuen tarve ja tuen asianmukaisuus</w:t>
            </w:r>
          </w:p>
        </w:tc>
      </w:tr>
    </w:tbl>
    <w:p w14:paraId="3C23674F" w14:textId="3EF4BD10" w:rsidR="00663008" w:rsidRPr="00F83660" w:rsidRDefault="00663008" w:rsidP="00663008">
      <w:pPr>
        <w:spacing w:before="360" w:after="120"/>
        <w:jc w:val="both"/>
        <w:rPr>
          <w:i/>
          <w:color w:val="000000"/>
        </w:rPr>
      </w:pPr>
      <w:r>
        <w:rPr>
          <w:i/>
        </w:rPr>
        <w:t>Tämän jakson tietoja varten ks. suuntaviivojen 4.11.2 kohta ja 413 kappale.</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Suuntaviivojen 403 kappaletta sovelletaan alennuksiin energia- ja ympäristötavoitteiden rahoittamiseksi perittävistä sähkönkulutusmaksuista. Esittäkää jokaisen maksun, josta on tarkoitus myöntää alennuksia, osalta täydellinen ja yksityiskohtainen kuvaus maksun luonteesta, laajuudesta ja soveltamisesta selittämällä, miten maksujärjestelmä toimii käytännössä (järjestelmän ja myöntävän viranomaisen toiminta) ja antakaa yksityiskohtaiset viittaukset sen sääntelykehykseen (oikeusperusta). </w:t>
      </w:r>
    </w:p>
    <w:p w14:paraId="72782B48" w14:textId="77777777" w:rsidR="00A97DDF" w:rsidRDefault="00A97DDF" w:rsidP="00A97DDF">
      <w:pPr>
        <w:tabs>
          <w:tab w:val="left" w:leader="dot" w:pos="9072"/>
        </w:tabs>
        <w:spacing w:before="120" w:after="120"/>
        <w:ind w:left="851"/>
        <w:jc w:val="both"/>
        <w:rPr>
          <w:color w:val="000000"/>
        </w:rPr>
      </w:pPr>
      <w: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Antakaa tietoa erityisesti seuraavista:</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kunkin maksun tarkoitus (selvitys siitä, miten kustakin maksusta saadut tulot käytetään);</w:t>
      </w:r>
    </w:p>
    <w:p w14:paraId="3E421772" w14:textId="02259217" w:rsidR="00A97DDF" w:rsidRPr="009046DC" w:rsidRDefault="00A97DDF" w:rsidP="009046DC">
      <w:pPr>
        <w:tabs>
          <w:tab w:val="left" w:leader="dot" w:pos="9072"/>
        </w:tabs>
        <w:spacing w:before="120" w:after="120"/>
        <w:ind w:left="851"/>
        <w:jc w:val="both"/>
        <w:rPr>
          <w:color w:val="000000"/>
        </w:rPr>
      </w:pPr>
      <w: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miten ja keneltä maksu peritään; millä perusteella maksu peritään yritykseltä; maksun suuruuden laskentamenetelmä; sovelletaanko maksuperusteeseen useita erisuuruisia maksuasteita, ja jos kyllä, miksi ja miten; kuinka usein ja millä perusteella maksun suuruutta tarkistetaan;</w:t>
      </w:r>
    </w:p>
    <w:p w14:paraId="3D06ECCA" w14:textId="77777777" w:rsidR="00A97DDF" w:rsidRDefault="00A97DDF" w:rsidP="00E7597C">
      <w:pPr>
        <w:keepLines/>
        <w:tabs>
          <w:tab w:val="left" w:leader="dot" w:pos="9072"/>
        </w:tabs>
        <w:spacing w:before="120" w:after="120"/>
        <w:ind w:left="851"/>
        <w:jc w:val="both"/>
        <w:rPr>
          <w:color w:val="000000"/>
        </w:rPr>
      </w:pPr>
      <w: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kuvailkaa eri toimijat, jotka osallistuvat maksun määrittämiseen ja tarkistamiseen, sekä toimijat, jotka osallistuvat maksun kautta saatujen tulojen keräämiseen ja hallinnointiin; </w:t>
      </w:r>
    </w:p>
    <w:p w14:paraId="67ABBA8F" w14:textId="77777777" w:rsidR="008B1377" w:rsidRDefault="008B1377" w:rsidP="00E7597C">
      <w:pPr>
        <w:keepLines/>
        <w:tabs>
          <w:tab w:val="left" w:leader="dot" w:pos="9072"/>
        </w:tabs>
        <w:spacing w:before="120" w:after="120"/>
        <w:ind w:left="851"/>
        <w:jc w:val="both"/>
        <w:rPr>
          <w:color w:val="000000"/>
        </w:rPr>
      </w:pPr>
      <w: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kuvailkaa, miten maksujen keruu- ja uudelleenjakojärjestelmä toimii;</w:t>
      </w:r>
    </w:p>
    <w:p w14:paraId="6459F489" w14:textId="54827983" w:rsidR="00A97DDF" w:rsidRPr="009046DC" w:rsidRDefault="00A97DDF" w:rsidP="00E7597C">
      <w:pPr>
        <w:keepLines/>
        <w:tabs>
          <w:tab w:val="left" w:leader="dot" w:pos="9072"/>
        </w:tabs>
        <w:spacing w:before="120" w:after="120"/>
        <w:ind w:left="851"/>
        <w:jc w:val="both"/>
        <w:rPr>
          <w:color w:val="000000"/>
        </w:rPr>
      </w:pPr>
      <w: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antakaa viimeisimmät vuotuiset luvut sovelletuista maksuista ja kerätyistä kokonaistuloista. Esittäkää tulevaisuutta koskevat ennusteet, jos ne ovat saatavilla.</w:t>
      </w:r>
    </w:p>
    <w:p w14:paraId="373FD785" w14:textId="77777777" w:rsidR="00A97DDF" w:rsidRDefault="00A97DDF" w:rsidP="00E7597C">
      <w:pPr>
        <w:keepLines/>
        <w:tabs>
          <w:tab w:val="left" w:leader="dot" w:pos="9072"/>
        </w:tabs>
        <w:spacing w:before="120" w:after="120"/>
        <w:ind w:left="851"/>
        <w:jc w:val="both"/>
        <w:rPr>
          <w:color w:val="000000"/>
        </w:rPr>
      </w:pPr>
      <w: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 xml:space="preserve">Suuntaviivojen 404 kappaleessa todetaan, että jäsenvaltioiden on sisällytettävä kaikki energiaintensiivisten käyttäjien mahdollisia useita sähkömaksuja koskevat alennukset </w:t>
      </w:r>
      <w:r>
        <w:lastRenderedPageBreak/>
        <w:t>yhteen ohjelmaan ja toimitettava komissiolle tiedot kaikkien tukikelpoisten maksujen ja ehdotettujen vähennysten kumulatiivisesta vaikutuksesta.</w:t>
      </w:r>
    </w:p>
    <w:p w14:paraId="3EF0E8A7" w14:textId="542E1B2A" w:rsidR="008D467D" w:rsidRDefault="00937DCD" w:rsidP="00E7597C">
      <w:pPr>
        <w:pStyle w:val="ListParagraph"/>
        <w:keepLines/>
        <w:numPr>
          <w:ilvl w:val="0"/>
          <w:numId w:val="43"/>
        </w:numPr>
        <w:spacing w:before="120" w:after="120"/>
        <w:contextualSpacing w:val="0"/>
        <w:jc w:val="both"/>
      </w:pPr>
      <w:r>
        <w:t xml:space="preserve">Vahvistakaa, että ilmoitettu toimenpide kattaa kaikki suuntaviivojen 4.11 kohdan perusteella myönnettävät maksualennukset ja että muihin kuin toimenpiteen kattamiin maksuihin mahdollisesti myöhemmin tehtävistä alennuksista ilmoitetaan ilmoitetun toimenpiteen muutoksella. </w:t>
      </w:r>
    </w:p>
    <w:p w14:paraId="5D95920A" w14:textId="71C4C3A1" w:rsidR="008D467D" w:rsidRPr="00C01760" w:rsidRDefault="008D467D" w:rsidP="00E7597C">
      <w:pPr>
        <w:keepLines/>
        <w:tabs>
          <w:tab w:val="left" w:leader="dot" w:pos="9072"/>
        </w:tabs>
        <w:spacing w:before="120" w:after="120"/>
        <w:ind w:left="851"/>
        <w:jc w:val="both"/>
        <w:rPr>
          <w:color w:val="000000"/>
        </w:rPr>
      </w:pPr>
      <w:r>
        <w:tab/>
      </w:r>
    </w:p>
    <w:p w14:paraId="359D41E7" w14:textId="10C378E6" w:rsidR="008D467D" w:rsidRDefault="00937DCD" w:rsidP="00E7597C">
      <w:pPr>
        <w:pStyle w:val="ListParagraph"/>
        <w:keepLines/>
        <w:numPr>
          <w:ilvl w:val="0"/>
          <w:numId w:val="43"/>
        </w:numPr>
        <w:spacing w:before="120" w:after="120"/>
        <w:contextualSpacing w:val="0"/>
        <w:jc w:val="both"/>
      </w:pPr>
      <w:r>
        <w:t>Antakaa viime vuosien ja mahdollisten ennusteiden perusteella tiedot kaikkien asian kannalta merkityksellisten maksujen kumulatiivisesta vaikutuksesta (sekä absoluuttisesti että suhteutettuna, verrattuna sähkökustannuksiin kokonaisuudessaan sekä sähkömaksujen ja -verojen kokonaismäärään) ja niihin liittyvien alennusten kumulatiivisesta vaikutuksesta tuensaajiin ilmoitetussa ohjelmassa.</w:t>
      </w:r>
    </w:p>
    <w:p w14:paraId="3692203F" w14:textId="3E761774" w:rsidR="008D467D" w:rsidRPr="00C01760" w:rsidRDefault="008D467D" w:rsidP="00E7597C">
      <w:pPr>
        <w:keepLines/>
        <w:tabs>
          <w:tab w:val="left" w:leader="dot" w:pos="9072"/>
        </w:tabs>
        <w:spacing w:before="120" w:after="120"/>
        <w:ind w:left="851"/>
        <w:jc w:val="both"/>
        <w:rPr>
          <w:color w:val="000000"/>
        </w:rPr>
      </w:pPr>
      <w: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Kuvailkaa, myönnetäänkö ilmoitetun toimenpiteen mukainen tuki maksujen ennakkoalennuksena, jälkikäteen maksettavana kompensaationa (palautuksena) vai näiden yhdistelmänä. Viitatkaa vastauksessanne oikeusperustaan (oikeusperustan luonnokseen) (esim. 7 artiklan 3 kohta). </w:t>
      </w:r>
    </w:p>
    <w:p w14:paraId="21504F4B" w14:textId="77777777" w:rsidR="00855B10" w:rsidRDefault="00855B10" w:rsidP="00855B10">
      <w:pPr>
        <w:tabs>
          <w:tab w:val="left" w:leader="dot" w:pos="9072"/>
        </w:tabs>
        <w:spacing w:before="120" w:after="120"/>
        <w:ind w:left="851"/>
        <w:jc w:val="both"/>
        <w:rPr>
          <w:color w:val="000000"/>
        </w:rPr>
      </w:pPr>
      <w:r>
        <w:tab/>
      </w:r>
    </w:p>
    <w:p w14:paraId="2A380F03" w14:textId="0D5BB75C" w:rsidR="00855B10" w:rsidRPr="00855B10" w:rsidRDefault="00AB606C" w:rsidP="00855B10">
      <w:pPr>
        <w:pStyle w:val="ListParagraph"/>
        <w:numPr>
          <w:ilvl w:val="0"/>
          <w:numId w:val="51"/>
        </w:numPr>
        <w:spacing w:before="120" w:after="120"/>
        <w:contextualSpacing w:val="0"/>
        <w:jc w:val="both"/>
      </w:pPr>
      <w:r>
        <w:t>Jos tuki myönnetään maksujen alennuksena, vahvistakaa suuntaviivojen 413 kappaleen mukaisesti, että</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käytössä on jälkikäteisvalvontamekanismi;</w:t>
      </w:r>
    </w:p>
    <w:p w14:paraId="6B91C21B" w14:textId="77777777" w:rsidR="00855B10" w:rsidRDefault="00855B10" w:rsidP="005A4E16">
      <w:pPr>
        <w:keepLines/>
        <w:tabs>
          <w:tab w:val="left" w:leader="dot" w:pos="9072"/>
        </w:tabs>
        <w:spacing w:before="120" w:after="120"/>
        <w:ind w:left="851"/>
        <w:jc w:val="both"/>
        <w:rPr>
          <w:color w:val="000000"/>
        </w:rPr>
      </w:pPr>
      <w: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liikaa maksettu tuki maksetaan takaisin ennen seuraavan vuoden heinäkuun 1. päivää. Ilmoittakaa, mistä tämä tieto löytyy oikeusperustasta (oikeusperustan luonnoksesta).</w:t>
      </w:r>
    </w:p>
    <w:p w14:paraId="43A4C207" w14:textId="77777777" w:rsidR="00855B10" w:rsidRDefault="00855B10" w:rsidP="00855B10">
      <w:pPr>
        <w:tabs>
          <w:tab w:val="left" w:leader="dot" w:pos="9072"/>
        </w:tabs>
        <w:spacing w:before="120" w:after="120"/>
        <w:ind w:left="851"/>
        <w:jc w:val="both"/>
        <w:rPr>
          <w:color w:val="000000"/>
        </w:rPr>
      </w:pPr>
      <w:r>
        <w:tab/>
      </w:r>
    </w:p>
    <w:p w14:paraId="0A9FE732" w14:textId="200050F6" w:rsidR="00855B10" w:rsidRDefault="00AB606C" w:rsidP="008D467D">
      <w:pPr>
        <w:pStyle w:val="ListParagraph"/>
        <w:numPr>
          <w:ilvl w:val="0"/>
          <w:numId w:val="51"/>
        </w:numPr>
        <w:spacing w:before="120" w:after="120"/>
        <w:contextualSpacing w:val="0"/>
        <w:jc w:val="both"/>
      </w:pPr>
      <w:r>
        <w:t>Vahvistakaa suuntaviivojen 413 kappaleen viimeisen virkkeen mukaisesti, että jos tuki myönnetään palautuksena, se lasketaan todetun sähkönkulutuksen tason ja tarvittaessa bruttoarvonlisäyksen perusteella sinä aikana, jona tukikelpoisia maksuja on sovellettu.</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Tukikelpoisuus</w:t>
            </w:r>
          </w:p>
        </w:tc>
      </w:tr>
    </w:tbl>
    <w:p w14:paraId="2460A5B7" w14:textId="139EC6FA" w:rsidR="00AB322D" w:rsidRPr="00E74034" w:rsidRDefault="00AB322D" w:rsidP="00AB322D">
      <w:pPr>
        <w:spacing w:before="360" w:after="120"/>
        <w:jc w:val="both"/>
        <w:rPr>
          <w:i/>
        </w:rPr>
      </w:pPr>
      <w:r>
        <w:rPr>
          <w:i/>
        </w:rPr>
        <w:t xml:space="preserve">Tämän jakson tietoja varten ks. suuntaviivojen 4.11.3.1 kohta (405–407 kappale).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Suuntaviivojen 405 kappaleessa määritellään ”huomattavan riskialttiit” (a kohta) ja ”riskialttiit” (b kohta) sähköintensiiviset alat. Vahvistakaa suuntaviivojen 405 kappaleen noudattamisen todentamiseksi, että kaikki ilmoitetun toimenpiteen piiriin kuuluvat tukikelpoiset ”riskialttiit” ja ”huomattavan riskialttiit” sähköintensiiviset alat luetellaan suuntaviivojen liitteessä I olevissa asiaan liittyvissä osissa, ja toimittakaa tämän </w:t>
      </w:r>
      <w:r>
        <w:lastRenderedPageBreak/>
        <w:t xml:space="preserve">lomakkeen liitteessä luettelot ”riskialttiista” ja ”huomattavan riskialttiista” NACE-4-aloista, joille voidaan myöntää toimenpiteen mukaista tukea, ja ilmoittakaa, mistä nämä tiedot löytyvät oikeusperustasta (oikeusperustan luonnoksesta) (esim. 7 artiklan 3 kohta).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Suuntaviivojen 406 kappaleessa todetaan, että myös sellaista toimialaa tai toimialan osaa</w:t>
      </w:r>
      <w:r>
        <w:rPr>
          <w:vertAlign w:val="superscript"/>
        </w:rPr>
        <w:footnoteReference w:id="5"/>
      </w:r>
      <w:r>
        <w:t>, joka ei sisälly suuntaviivojen liitteeseen I, pidetään tukikelpoisena edellyttäen, että se täyttää 405 kappaleessa esitetyt tukikelpoisuuskriteerit. Jos ilmoitetun toimenpiteen mukaista tukea on tarkoitus myöntää myös aloille ja/tai toimialojen osille, jotka eivät sisälly suuntaviivojen liitteeseen I,</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osoittakaa, että kukin toimiala tai toimialan osa täyttää suuntaviivojen 405 kappaleessa esitetyt kriteerit;</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esittäkää tämän lomakkeen liitteessä tiedot, jotka ovat unionin tasolla toimialaa tai toimialan osaa kuvaavia</w:t>
      </w:r>
      <w:r>
        <w:rPr>
          <w:vertAlign w:val="superscript"/>
        </w:rPr>
        <w:footnoteReference w:id="6"/>
      </w:r>
      <w:r>
        <w:t>, jotka riippumaton asiantuntija on todentanut ja jotka perustuvat vähintään kolmen peräkkäisen vuoden ajanjaksoon, joka alkaa aikaisintaan vuonna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Kuvailkaa, miten hakijoiden on osoitettava toimivansa tukikelpoisella alalla, ja ilmoittakaa, mistä nämä tiedot löytyvät oikeusperustasta (oikeusperustan luonnoksesta) (esim. 7 artiklan 3 kohta).</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Luetelkaa kaikki muut tukikelpoisuusedellytykset ilmoitetussa toimenpiteessä ja ilmoittakaa, mistä nämä tiedot löytyvät oikeusperustasta (esim. 7 artiklan 3 kohta). Selittäkää erityisesti, a) onko tuensaajia tai toimialoja tai toimialan osia, jotka ovat periaatteessa tukikelpoisia suuntaviivojen liitteen I nojalla, suljettu ulkopuolelle, b) sovelletaanko muita tukikelpoisuuskriteerejä, joita ei mainita suuntaviivojen 4.11 kohdassa, tai c) suunnitellaanko samaan luokkaan kuuluville tuensaajille erilaisia maksualennuksia.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Suuntaviivojen 407 kappaleen mukaan toimenpiteen tuensaajia on mahdollista rajoittaa lisää. Tällaisissa tapauksissa perustelkaa kukin tällainen tukikelpoisuutta koskeva lisäedellytys ja osoittakaa, että i) kyseinen edellytys pohjautuu objektiivisiin, syrjimättömiin ja läpinäkyviin kriteereihin ja ii) tuki myönnetään periaatteessa samalla tavalla kaikille saman alan tukikelpoisille tuensaajille, jos ne ovat samanlaisessa tilanteessa.</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lastRenderedPageBreak/>
              <w:t>Tuen oikeasuhteisuus (tuen rajaaminen vähimpään, joka on tarpeen tuen tavoitteen saavuttamiseksi), mukaan lukien tuen kasautuminen</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Tuen oikeasuhteisuus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Tämän jakson tietoja varten ks. suuntaviivojen 4.11.3.2 kohta ja 407 kappale.</w:t>
      </w:r>
    </w:p>
    <w:p w14:paraId="0CBF90E1" w14:textId="306749D7" w:rsidR="00B06A84" w:rsidRDefault="00644950" w:rsidP="005A4E16">
      <w:pPr>
        <w:numPr>
          <w:ilvl w:val="0"/>
          <w:numId w:val="4"/>
        </w:numPr>
        <w:spacing w:before="240"/>
        <w:ind w:left="567" w:hanging="567"/>
        <w:jc w:val="both"/>
      </w:pPr>
      <w:r>
        <w:t>Jotta voidaan osoittaa suuntaviivojen 4.11.3.2 kohdan ja 407 kappaleen noudattaminen, esittäkää täydellinen ja yksityiskohtainen kuvaus tukikelpoisiin tuensaajiin sovellettavien maksualennusten laskentamenetelmästä ja ilmoittakaa, mistä nämä tiedot löytyvät oikeusperustasta (oikeusperustan luonnoksesta) (esim. 7 artiklan 3 kohta). Antakaa erityisesti seuraavat tiedot:</w:t>
      </w:r>
    </w:p>
    <w:p w14:paraId="2E456933" w14:textId="4F8D31AD" w:rsidR="00937DCD" w:rsidRDefault="006813BD" w:rsidP="009E4296">
      <w:pPr>
        <w:pStyle w:val="ListParagraph"/>
        <w:numPr>
          <w:ilvl w:val="0"/>
          <w:numId w:val="38"/>
        </w:numPr>
        <w:spacing w:before="120" w:after="120"/>
        <w:contextualSpacing w:val="0"/>
        <w:jc w:val="both"/>
      </w:pPr>
      <w:r>
        <w:t>Ilmoittakaa maksualennusten enimmäismäärä, jota sovelletaan ”riskialttiilla” ja ”huomattavan riskialttiilla” aloilla toimiviin yrityksiin.</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Ilmoittakaa, rajoitetaanko ilmoitetussa toimenpiteessä edellä olevaan luetelmakohtaan i verrattuna asianomaisista sähkömaksuista aiheutuvia lisäkustannuksia vielä enemmän. Jos näin on, antakaa myös a) tällaisten rajoitusten arvo suhteessa ”riskialttiilla” ja ”huomattavan riskialttiilla” aloilla toimivien yritysten bruttoarvonlisäykseen ja b) kuvailkaa, miten ”riskialttiilla” ja ”huomattavan riskialttiilla” aloilla toimivien tukikelpoisten yritysten bruttoarvonlisäys lasketaan.</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Vahvistakaa, että maksujen alennukset eivät missään tapauksessa johda siihen, että maksu on alle 0,5 euroa/MWh.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Ilmoittakaa, sisältyykö ilmoitettuun toimenpiteeseen suuntaviivojen 410 kappaleen mukaiset korkeammat tuki-intensiteetit sellaisille ”riskialttiilla” aloilla toimiville yrityksille, jotka pienentävät sähkönkulutuksensa hiilijalanjälkeä. </w:t>
      </w:r>
    </w:p>
    <w:p w14:paraId="293F5C0A" w14:textId="77777777" w:rsidR="00937DCD" w:rsidRDefault="00C17C85" w:rsidP="005A4E16">
      <w:pPr>
        <w:pStyle w:val="ListParagraph"/>
        <w:keepLines/>
        <w:spacing w:before="120" w:after="120"/>
        <w:ind w:left="567"/>
        <w:contextualSpacing w:val="0"/>
        <w:jc w:val="both"/>
      </w:pPr>
      <w:r>
        <w:t>Jos kyllä:</w:t>
      </w:r>
    </w:p>
    <w:p w14:paraId="29CAF0A6" w14:textId="64FF48FB" w:rsidR="00937DCD" w:rsidRDefault="003653B6" w:rsidP="005A4E16">
      <w:pPr>
        <w:pStyle w:val="ListParagraph"/>
        <w:keepLines/>
        <w:numPr>
          <w:ilvl w:val="0"/>
          <w:numId w:val="52"/>
        </w:numPr>
        <w:spacing w:before="120" w:after="120"/>
        <w:contextualSpacing w:val="0"/>
        <w:jc w:val="both"/>
      </w:pPr>
      <w:r>
        <w:t>Kuvailkaa korkeammat tuki-intensiteetit ja vahvistakaa niihin liittyvät edellytykset, jotka asianomaisten yritysten on täytettävä (eli 50 prosenttia sähkönkulutuksesta hiilettömistä lähteistä, josta joko vähintään 10 prosenttia katetaan ennakkositoumuksella, kuten sähkönhankintasopimuksella, tai vähintään 5 prosenttia paikan päällä tai lähellä tuotettavalla sähköllä), ja ilmoittakaa, mistä nämä tiedot löytyvät oikeusperustasta (oikeusperustan luonnoksesta) (esim. 7 artiklan 3 kohta).</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Kuvailkaa, miten näiden edellytysten täyttymistä seurataan, ja jos kyseessä on jälkiseuranta, mitä vaikutuksia seuraa yritykselle, joka ei täytä edellytyksiä.</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lastRenderedPageBreak/>
        <w:t xml:space="preserve">Kuvailkaa tarvittaessa maksualennusten mahdolliset lisämukautukset niiden tuensaajien osalta, jotka toimivat ”riskialttiilla” ja ”huomattavan riskialttiilla” aloilla, ja ilmoittakaa, mistä nämä tiedot löytyvät oikeusperustasta (oikeusperustan luonnoksesta) (esim. 7 artiklan 3 kohta). Osoittakaa, että a) erilaiset maksualennukset perustuvat objektiivisiin, syrjimättömiin ja läpinäkyviin kriteereihin ja b) tukea myönnetään periaatteessa samalla tavoin kaikille samalla toimialalla toimiville tukikelpoisille tuensaajille, jos ne ovat samanlaisessa tilanteessa.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Energiakatselmukset ja energianhallintajärjestelmät </w:t>
            </w:r>
          </w:p>
        </w:tc>
      </w:tr>
    </w:tbl>
    <w:p w14:paraId="7C447A12" w14:textId="28CC1D2E" w:rsidR="00F17D00" w:rsidRDefault="00F17D00" w:rsidP="00F17D00">
      <w:pPr>
        <w:pStyle w:val="ListParagraph"/>
        <w:spacing w:before="120" w:after="120"/>
        <w:ind w:left="567"/>
        <w:contextualSpacing w:val="0"/>
        <w:jc w:val="both"/>
        <w:rPr>
          <w:i/>
        </w:rPr>
      </w:pPr>
      <w:r>
        <w:rPr>
          <w:i/>
        </w:rPr>
        <w:t>Tämän jakson tietoja varten ks. suuntaviivojen 4.11.3.4 kohta.</w:t>
      </w:r>
    </w:p>
    <w:p w14:paraId="455D1B6E" w14:textId="06E6D973" w:rsidR="00DF586F" w:rsidRDefault="00DF586F" w:rsidP="005A4E16">
      <w:pPr>
        <w:numPr>
          <w:ilvl w:val="0"/>
          <w:numId w:val="4"/>
        </w:numPr>
        <w:spacing w:before="240"/>
        <w:ind w:left="567" w:hanging="567"/>
        <w:jc w:val="both"/>
      </w:pPr>
      <w:r>
        <w:t>Kuvailkaa suuntaviivojen 414 kappaleen mukaisesti, miten kansalliset viranomaiset varmistavat ilmoitetun toimenpiteen yhteydessä, että tuensaaja noudattaa velvoitetta tehdä direktiivin 2012/27/EU 8 artiklassa tarkoitettu energiakatselmus. Ilmoittakaa, mistä tämä tieto löytyy oikeusperustasta (oikeusperustan luonnoksesta) (esim. 7 artiklan 3 kohta).</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Suuntaviivojen 415 kappaleen mukaan tuensaajien, joiden on tehtävä energiakatselmus, on täytettävä vähintään yksi seuraavista vaatimuksista: niiden on a) noudatettava katselmuksen perusteella tehtäviä suosituksia siltä osin kuin takaisinmaksuaika on enintään kolme vuotta ja investointien kustannukset ovat oikeasuhteisia, b) katettava vähintään 30 prosenttia sähkönkulutuksestaan hiilettömistä lähteistä tuotetulla sähköllä tai c) investoitava tuesta vähintään 50 prosenttia hankkeisiin, jotka johtavat kasvihuonekaasupäästöjen huomattavaan vähenemiseen. Kuvailkaa, miten kansalliset viranomaiset seuraavat ilmoitetun toimenpiteen yhteydessä, että tuensaajat, joiden on tehtävä direktiivin 2012/27/EU 8 artiklan 4 kohdan mukainen energiakatselmus, täyttävät vähintään yhden suuntaviivojen 415 kappaleessa luetelluista kolmesta vaatimuksesta, ja ilmoittakaa, mistä nämä tiedot löytyvät oikeusperustasta (oikeusperustan luonnoksesta) (esim. 7 artiklan 3 kohta). Esittäkää kustakin ilmoitettua toimenpidettä koskevasta vaihtoehdosta seuraavat tiedot:</w:t>
      </w:r>
    </w:p>
    <w:p w14:paraId="4CD0D5F0" w14:textId="6354CA9F" w:rsidR="00937DCD" w:rsidRDefault="00937DCD" w:rsidP="009E4296">
      <w:pPr>
        <w:pStyle w:val="ListParagraph"/>
        <w:numPr>
          <w:ilvl w:val="0"/>
          <w:numId w:val="41"/>
        </w:numPr>
        <w:spacing w:before="120" w:after="120"/>
        <w:jc w:val="both"/>
      </w:pPr>
      <w:r>
        <w:t>miten tuensaajien tarkalleen ottaen on osoitettava, että sääntöjä noudatetaan;</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mikä on määräaika vaatimusten täyttämiselle (esim. investointien saaminen päätökseen vuoden kuluessa tuen myöntämisestä) ja kuinka usein tuensaajien on todistettava vaatimusten noudattaminen (esim. vuosittain);</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miten ja kuinka usein edellytysten täyttymistä seurataan (esim. vuosittain);</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mitä seurauksia noudattamatta jättämisellä on tuensaajille (esim. tuen epääminen, jos kyseessä on ennakkotarkastus, tai jo myönnetyn tuen takaisinperintä, jos kyseessä on jälkitarkastus)?</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lastRenderedPageBreak/>
              <w:t>Kasautuminen</w:t>
            </w:r>
          </w:p>
        </w:tc>
      </w:tr>
    </w:tbl>
    <w:p w14:paraId="2346A85D" w14:textId="5800D648" w:rsidR="00B21377" w:rsidRPr="002A3B51" w:rsidRDefault="00B21377" w:rsidP="00B21377">
      <w:pPr>
        <w:pStyle w:val="ListParagraph"/>
        <w:spacing w:before="120" w:after="120"/>
        <w:ind w:left="567"/>
        <w:contextualSpacing w:val="0"/>
        <w:jc w:val="both"/>
      </w:pPr>
      <w:r>
        <w:rPr>
          <w:i/>
        </w:rPr>
        <w:t>Tämän jakson tietoja varten ks. suuntaviivojen 56–57 kappale</w:t>
      </w:r>
      <w:r>
        <w:t>.</w:t>
      </w:r>
    </w:p>
    <w:p w14:paraId="7159B0AA" w14:textId="326791FE" w:rsidR="00E5484B" w:rsidRPr="002A3B51" w:rsidRDefault="00B10F0D" w:rsidP="005A4E16">
      <w:pPr>
        <w:numPr>
          <w:ilvl w:val="0"/>
          <w:numId w:val="4"/>
        </w:numPr>
        <w:spacing w:before="240"/>
        <w:ind w:left="567" w:hanging="567"/>
        <w:jc w:val="both"/>
      </w:pPr>
      <w:r>
        <w:t>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yleistietolomakkeessa (osa I). Jos näin on, esittäkää tiedot kyseisistä tukiohjelmista, tapauskohtaisesta tuesta tai vähämerkityksisestä tuesta sekä siitä, miten tuki kasautuu.</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Jos ilmoitettuun tukitoimenpiteeseen sovelletaan suuntaviivojen 56 kappaletta, perustelkaa, miten ilmoitetusta toimenpiteestä toiminnalle myönnettävän tuen kokonaismäärä ei johda ylikompensaatioon tai ylitä suuntaviivojen 408–410 kappaleessa kuvattuja sallittuja tuen enimmäismääriä. Täsmentäkää kullekin toimenpiteelle, jonka kanssa ilmoitetusta toimenpiteestä myönnetty tuki voi kasautua, menetelmä, jolla varmistetaan suuntaviivojen 56 kappaleessa kuvattujen ehtojen täyttyminen.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Jos kyseessä on suuntaviivojen 57 kappaleen mukainen tilanne eli jos ilmoitetusta toimenpiteestä myönnetty tuki yhdistetään keskitetysti hallinnoituun unionin rahoitukseen</w:t>
      </w:r>
      <w:r>
        <w:rPr>
          <w:rStyle w:val="FootnoteReference"/>
          <w:lang w:eastAsia="en-GB"/>
        </w:rPr>
        <w:footnoteReference w:id="7"/>
      </w:r>
      <w:r>
        <w:t xml:space="preserve">, perustelkaa, miten </w:t>
      </w:r>
      <w:r>
        <w:rPr>
          <w:shd w:val="clear" w:color="auto" w:fill="FFFFFF"/>
        </w:rPr>
        <w:t>samoihin tukikelpoisiin kustannuksiin myönnetyn julkisen rahoituksen kokonaismäärä ei johda ylikompensaatioon</w:t>
      </w:r>
      <w:r>
        <w: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Siirtymäsäännöt</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Tämän jakson tietoja varten ks. suuntaviivojen 4.11.3.5 kohta.</w:t>
      </w:r>
    </w:p>
    <w:p w14:paraId="50B72823" w14:textId="74224ADE" w:rsidR="009E3717" w:rsidRPr="009E3717" w:rsidRDefault="00B10F0D" w:rsidP="005A4E16">
      <w:pPr>
        <w:numPr>
          <w:ilvl w:val="0"/>
          <w:numId w:val="4"/>
        </w:numPr>
        <w:spacing w:before="240"/>
        <w:ind w:left="567" w:hanging="567"/>
        <w:jc w:val="both"/>
      </w:pPr>
      <w:r>
        <w:t xml:space="preserve">Ilmoittakaa, koskeeko tämä ilmoitus myös ilmoittamatonta tukea, joka on myönnetty energiaintensiivisille käyttäjille suuntaviivojen julkaisemista edeltävänä aikana alennettujen sähkömaksujen muodossa. Jos kyllä, selittäkää, miten ilmoittamaton tuki on suuntaviivojen 419 kappaleen a ja b kohdan mukaista.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Ilmoittakaa, vahvistetaanko ilmoitetussa toimenpiteessä siirtymäsuunnitelma, jolla vältetään liian rajut muutokset sellaisten yksittäisten yritysten maksurasituksessa, jotka eivät täytä suuntaviivojen 4.11 kohdan tukikelpoisuusedellytyksiä. Jos kyllä, vastatkaa tämän jakson seuraaviin kysymyksiin.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lastRenderedPageBreak/>
        <w:t>Selittäkää suuntaviivojen 416 kappaleen mukaisesti, miten siirtymäsuunnitelman soveltaminen rajoitetaan yrityksiin, jotka i) täyttivät valtiontuesta ympäristönsuojelulle ja energia-alalle vuosina 2014–2020 annettujen suuntaviivojen 3.7.2 kohdan tukikelpoisuuskriteerit ja ii) saivat tukea alennettuina maksuina vähintään yhtenä niistä kahdesta vuodesta, jotka edelsivät voimassa olevien tukiohjelmien muuttamista niiden saattamiseksi yhdenmukaisiksi suuntaviivojen kanssa. Ilmoittakaa, mistä tämä tieto löytyy oikeusperustasta (oikeusperustan luonnoksesta) (esim. 7 artiklan 3 kohta).</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Kuvailkaa, miten siirtymäsuunnitelma edellyttää asteittaista ja täydellistä mukautusta suuntaviivojen 4.11 kohdan tukikelpoisuus- ja suhteellisuuskriteerien soveltamisesta johtuviin edellytyksiin, ja erityisesti, miten tuki-intensiteetti laskee ja osuus bruttoarvonlisäyksestä nousee ajan mittaan suuntaviivojen 417 kappaleessa kuvatun aikataulun mukaisesti. Ilmoittakaa täsmällisesti, mistä tämä tieto löytyy oikeusperustasta (oikeusperustan luonnoksesta) (esim. 7 artiklan 3 kohta).</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Ilmoittakaa, sallitaanko siirtymäsuunnitelmassa poikkeuksellisesti kiinteiden tuki-intensiteettien soveltaminen koko siirtymäkauden ajan edellyttäen, että kyseiset yritykset pienentävät sähkönkulutuksensa hiilijalanjälkeä suuntaviivojen 418 kappaleen edellytysten mukaisesti (eli 50 prosenttia sähkönkulutuksesta hiilettömistä lähteistä, josta joko vähintään 10 prosenttia katetaan ennakkositoumuksella, kuten sähkönhankintasopimuksella, tai vähintään 5 prosenttia paikan päällä tai lähellä tuotettavalla sähköllä). Jos kyllä, ilmoittakaa, mistä nämä tiedot löytyvät oikeusperustasta (oikeusperustan luonnoksesta) (esim. 7 artiklan 3 kohta), ja selittäkää, miten kansalliset viranomaiset varmistavat suuntaviivojen 418 kappaleen noudattamisen ja valvovat sitä.</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Läpinäkyvyys</w:t>
            </w:r>
          </w:p>
        </w:tc>
      </w:tr>
    </w:tbl>
    <w:p w14:paraId="1E96F77E" w14:textId="2D16554D" w:rsidR="00016924" w:rsidRPr="005A4E16" w:rsidRDefault="006773CE" w:rsidP="005A4E16">
      <w:pPr>
        <w:keepNext/>
        <w:keepLines/>
        <w:spacing w:before="360" w:after="120"/>
        <w:jc w:val="both"/>
        <w:rPr>
          <w:i/>
        </w:rPr>
      </w:pPr>
      <w:r>
        <w:rPr>
          <w:i/>
        </w:rPr>
        <w:t xml:space="preserve">Tämän jakson tietoja varten ks. suuntaviivojen 3.2.1.4 kohta (58–62 kappale).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Vahvistakaa, että jäsenvaltio noudattaa suuntaviivojen 58–61 kappaleessa kuvattuja läpinäkyvyysvaatimuksia.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Vahvistakaa suuntaviivojen 61 kappaleen noudattamisen todentamiseksi, että kohdan 58 luetelmakohdassa b tarkoitetut tiedot ovat saatavilla vähintään kymmenen vuoden ajan tuen myöntämispäivästä, jotta SEUT-sopimuksen mukaisia valtiontukisääntöjä voidaan valvoa.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lastRenderedPageBreak/>
              <w:t>Kilpailuun ja kauppaan kohdistuvien tuen kohtuuttomien kielteisten vaikutusten välttäminen ja punninta</w:t>
            </w:r>
          </w:p>
        </w:tc>
      </w:tr>
    </w:tbl>
    <w:p w14:paraId="6CD3884F" w14:textId="13592A40" w:rsidR="00F83660" w:rsidRPr="00B215FD" w:rsidRDefault="00F83660" w:rsidP="000C2EFD">
      <w:pPr>
        <w:keepNext/>
        <w:keepLines/>
        <w:spacing w:before="360" w:after="120"/>
        <w:jc w:val="both"/>
        <w:rPr>
          <w:i/>
        </w:rPr>
      </w:pPr>
      <w:r>
        <w:rPr>
          <w:i/>
        </w:rPr>
        <w:t>Tämän jakson tietoja varten ks. suuntaviivojen 3.2.</w:t>
      </w:r>
      <w:r w:rsidR="00860D0B">
        <w:rPr>
          <w:i/>
        </w:rPr>
        <w:t>2</w:t>
      </w:r>
      <w:r>
        <w:rPr>
          <w:i/>
        </w:rPr>
        <w:t xml:space="preserve"> kohta. </w:t>
      </w:r>
    </w:p>
    <w:p w14:paraId="5D5F17EA" w14:textId="02FA14EA" w:rsidR="00F83660" w:rsidRPr="001D7B55" w:rsidRDefault="00F83660" w:rsidP="005A4E16">
      <w:pPr>
        <w:keepLines/>
        <w:numPr>
          <w:ilvl w:val="0"/>
          <w:numId w:val="4"/>
        </w:numPr>
        <w:spacing w:before="240"/>
        <w:ind w:left="567" w:hanging="567"/>
        <w:jc w:val="both"/>
      </w:pPr>
      <w:r>
        <w:t>Suuntaviivojen 70 kappaleen noudattamisen todentamiseksi:</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vahvistakaa, että ohjelman kesto on enintään 10 vuotta siitä, kun komissio on antanut tiedoksi päätöksensä, jolla se toteaa tuen sisämarkkinoille soveltuvaksi.</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vahvistakaa, että jos jäsenvaltio haluaa jatkaa toimenpiteen kestoa yli 10 vuoden, se ilmoittaa toimenpiteestä uudelleen.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Tuen myönteisten vaikutusten punnitseminen suhteessa kilpailuun ja kauppaan kohdistuviin kielteisiin vaikutuksiin</w:t>
            </w:r>
          </w:p>
        </w:tc>
      </w:tr>
    </w:tbl>
    <w:p w14:paraId="2BA426DC" w14:textId="523B5AF6" w:rsidR="00265702" w:rsidRPr="00863406" w:rsidRDefault="00265702" w:rsidP="000C2EFD">
      <w:pPr>
        <w:keepNext/>
        <w:keepLines/>
        <w:spacing w:before="360" w:after="120"/>
        <w:jc w:val="both"/>
        <w:rPr>
          <w:i/>
          <w:color w:val="000000"/>
        </w:rPr>
      </w:pPr>
      <w:r>
        <w:rPr>
          <w:i/>
        </w:rPr>
        <w:t>Tämän jakson tietoja varten ks. suuntaviivojen 3.3 kohta (71–76 kappale) ja 400–402 kappale.</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Selventäkää suuntaviivojen 75 kappaleen mukaisesti, sisältyykö ilmoitettuun toimenpiteeseen piirteitä, jotka helpottavat pk-yritysten osallistumista. Jos kyllä, antakaa tiedot näistä piirteistä ja perustelkaa, miten myönteiset vaikutukset siitä, että varmistetaan pk-yritysten osallistuminen ja hyväksyminen ilmoitettuun toimenpiteeseen, ovat suuremmat kuin mahdolliset kilpailua vääristävät vaikutukset.</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Täsmentäkää, rajoitetaanko tukitoimenpiteiden kestoa suuntaviivojen 76 kappaleen c kohdan mukaisesti.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Arviointi</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Tämän jakson tietoja varten ks. suuntaviivojen 76 kappaleen a kohta ja 5 luku (455–463 kappale).</w:t>
      </w:r>
    </w:p>
    <w:p w14:paraId="7C72F6EA" w14:textId="04D9ACCD" w:rsidR="00FD7E6B" w:rsidRDefault="00FD7E6B" w:rsidP="005A4E16">
      <w:pPr>
        <w:numPr>
          <w:ilvl w:val="0"/>
          <w:numId w:val="4"/>
        </w:numPr>
        <w:spacing w:before="240"/>
        <w:ind w:left="567" w:hanging="567"/>
        <w:jc w:val="both"/>
      </w:pPr>
      <w:r>
        <w:t>Jos ilmoitettu toimenpide ylittää suuntaviivojen 456 kappaleessa esitetyt budjetin/menojen kynnysarvot, selittäkää, miksi mielestänne olisi sovellettava suuntaviivojen 457 kappaleen mukaista poikkeusta, tai liittäkää tähän lisätietolomakkeeseen liite, joka sisältää luonnoksen suuntaviivojen 458 kappaleessa mainitut seikat kattavaksi arviointisuunnitelmaksi</w:t>
      </w:r>
      <w:r>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lastRenderedPageBreak/>
        <w:t>……………………………………………………………………………………………</w:t>
      </w:r>
    </w:p>
    <w:p w14:paraId="3F84AA42" w14:textId="77777777" w:rsidR="00FD7E6B" w:rsidRDefault="00FD7E6B" w:rsidP="005A4E16">
      <w:pPr>
        <w:keepLines/>
        <w:numPr>
          <w:ilvl w:val="0"/>
          <w:numId w:val="4"/>
        </w:numPr>
        <w:spacing w:before="240"/>
        <w:ind w:left="567" w:hanging="567"/>
        <w:jc w:val="both"/>
      </w:pPr>
      <w:r>
        <w:t>Jos toimitatte arviointisuunnitelman luonnoksen,</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esittäkää alla yhteenveto liitteessä olevasta arviointisuunnitelman luonnoksesta;</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vahvistakaa, että suuntaviivojen 460 kappaletta noudatetaan;</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antakaa linkki verkkosivulle, jolla arviointisuunnitelma julkaistaan, ja ilmoittakaa julkaisemisen päivämäärä.</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Suuntaviivojen 461 kappaleen noudattamisen todentamiseksi:</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täsmentäkää, onko riippumaton asiantuntija jo valittu vai valitaanko tämä tulevaisuudessa;</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antakaa tiedot asiantuntijan valintamenettelystä;</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perustelkaa, miten asiantuntija on riippumaton tuen myöntävästä viranomaisesta.</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Suuntaviivojen 461 kappaleen noudattamisen todentamiseksi: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 xml:space="preserve">Ilmoittakaa ehdottamanne määräajat väliarviointiraportin ja lopullisen arviointiraportin toimittamiselle. Huomatkaa, että suuntaviivojen 463 kappaleen mukaan jälkiarviointiraportti on toimitettava komissiolle riittävän ajoissa, jotta komissio voi arvioida tukijärjestelmän voimassaolon mahdollista </w:t>
      </w:r>
      <w:r>
        <w:lastRenderedPageBreak/>
        <w:t>jatkamista, ja viimeistään yhdeksän kuukautta ennen sen voimassaolon päättymistä. Huomatkaa, että tätä määräaikaa voidaan lyhentää ohjelmissa, joihin kohdistuu arviointivaatimus niiden kahden viimeisen toteutusvuoden aikana.</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Vahvistakaa, että väliarviointiraportti ja lopullinen arviointiraportti julkistetaan. Antakaa linkki verkkosivulle, jolla raportit julkaistaan, ja ilmoittakaa julkaisemisen päivämäärä.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Raportointi ja seuranta</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Tämän jakson tietoja varten ks. suuntaviivojen 6 luku (464–465 kappale).</w:t>
      </w:r>
    </w:p>
    <w:p w14:paraId="3FBE246E" w14:textId="1FB553B4" w:rsidR="00FD7E6B" w:rsidRDefault="00FD7E6B" w:rsidP="005A4E16">
      <w:pPr>
        <w:keepLines/>
        <w:numPr>
          <w:ilvl w:val="0"/>
          <w:numId w:val="4"/>
        </w:numPr>
        <w:spacing w:before="240"/>
        <w:ind w:left="567" w:hanging="567"/>
        <w:jc w:val="both"/>
      </w:pPr>
      <w:r>
        <w:t>Vahvistakaa, että jäsenvaltio noudattaa suuntaviivojen 6 luvun 464 ja 465 kappaleessa esitettyjä raportointi- ja seurantavaatimuksia.</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EUVL C 80, 18.2.2022, s. 1.</w:t>
      </w:r>
    </w:p>
  </w:footnote>
  <w:footnote w:id="3">
    <w:p w14:paraId="40B31757" w14:textId="710C01BF" w:rsidR="00B77C6D" w:rsidRDefault="00B77C6D" w:rsidP="00B77C6D">
      <w:pPr>
        <w:pStyle w:val="FootnoteText"/>
      </w:pPr>
      <w:r>
        <w:rPr>
          <w:rStyle w:val="FootnoteReference"/>
        </w:rPr>
        <w:footnoteRef/>
      </w:r>
      <w:r>
        <w:tab/>
        <w:t xml:space="preserve">Huomatkaa, että tukiohjelman kesto on se ajanjakso, jona tukea voidaan hakea ja jona siitä voidaan päättää (mukaan lukien aika, jonka viranomaiset tarvitsevat tukihakemusten hyväksymiseen). Tässä kysymyksessä tarkoitettu kesto ei liity tukiohjelman puitteissa tehtyjen sopimusten kestoon, vaan sopimukset voivat jatkua myös toimenpiteen päättymisen jälkeen. </w:t>
      </w:r>
    </w:p>
  </w:footnote>
  <w:footnote w:id="4">
    <w:p w14:paraId="28F42BB8" w14:textId="2923C271" w:rsidR="0068024A" w:rsidRPr="0067348B" w:rsidRDefault="0068024A" w:rsidP="0068024A">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Euroopan yhteisön tilastollisen toimialaluokituksen (NACE rev. 2 -luokitus) määritelmässä enintään kahdeksan numeron tarkkuudella (PRODCOM-taso).</w:t>
      </w:r>
    </w:p>
  </w:footnote>
  <w:footnote w:id="6">
    <w:p w14:paraId="555714D6" w14:textId="77777777" w:rsidR="00FE3196" w:rsidRPr="00D91CFC" w:rsidRDefault="00FE3196" w:rsidP="00470AF2">
      <w:pPr>
        <w:pStyle w:val="FootnoteText"/>
        <w:ind w:left="567" w:hanging="567"/>
      </w:pPr>
      <w:r>
        <w:rPr>
          <w:rStyle w:val="FootnoteReference"/>
        </w:rPr>
        <w:footnoteRef/>
      </w:r>
      <w:r>
        <w:tab/>
        <w:t>Esimerkiksi tiedot, jotka kattavat merkittävän prosentuaalisen osuuden kyseisen toimialan tai toimialan osan bruttoarvonlisäyksestä EU:n tasolla.</w:t>
      </w:r>
    </w:p>
  </w:footnote>
  <w:footnote w:id="7">
    <w:p w14:paraId="086AD512" w14:textId="7087BE19" w:rsidR="00FE3196" w:rsidRDefault="00FE3196">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8">
    <w:p w14:paraId="2FB02E44" w14:textId="77777777" w:rsidR="00FD7E6B" w:rsidRDefault="00FD7E6B" w:rsidP="00FD7E6B">
      <w:pPr>
        <w:pStyle w:val="FootnoteText"/>
      </w:pPr>
      <w:r>
        <w:rPr>
          <w:rStyle w:val="FootnoteReference"/>
        </w:rPr>
        <w:footnoteRef/>
      </w:r>
      <w:r>
        <w:t xml:space="preserve"> </w:t>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D0B"/>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2771</Words>
  <Characters>22922</Characters>
  <Application>Microsoft Office Word</Application>
  <DocSecurity>0</DocSecurity>
  <Lines>467</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3</cp:revision>
  <cp:lastPrinted>2022-10-05T12:42:00Z</cp:lastPrinted>
  <dcterms:created xsi:type="dcterms:W3CDTF">2024-08-01T10:54:00Z</dcterms:created>
  <dcterms:modified xsi:type="dcterms:W3CDTF">2024-09-06T15:17:00Z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