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Cuid III.6</w:t>
            </w:r>
          </w:p>
          <w:p w14:paraId="1C239D2C" w14:textId="171BCF76" w:rsidR="000442F5" w:rsidRPr="009916D5" w:rsidRDefault="00531803" w:rsidP="007B485D">
            <w:pPr>
              <w:pStyle w:val="Heading2"/>
              <w:spacing w:before="240" w:after="240"/>
              <w:jc w:val="center"/>
              <w:rPr>
                <w:sz w:val="32"/>
                <w:szCs w:val="32"/>
              </w:rPr>
            </w:pPr>
            <w:r>
              <w:rPr>
                <w:sz w:val="32"/>
              </w:rPr>
              <w:t>Bileog faisnéise forlíontaí maidir le Státchabhair a dheonaítear faoi na Treoirlínte maidir le Státchabhair le haghaidh na haeráide, chosaint an chomhshaoil agus an fhuinnimh 2022 (CEEAG)</w:t>
            </w:r>
            <w:r w:rsidR="007B485D" w:rsidRPr="009916D5">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Caibidil 4.11 - Cabhair i bhfoirm laghduithe ar thobhaigh leictreachais d’úsáideoirí dianfhuinnimh</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Ní mór an bhileog faisnéise forlíontaí seo a úsáid chun fógra a thabhairt faoi aon chabhair a chumhdaítear sna Treoirlínte maidir le Státchabhair le haghaidh na haeráide, chosaint an chomhshaoil agus an fhuinnimh 2022 (dá ngairtear ‘CEEAG’ anseo feasta).</w:t>
      </w:r>
    </w:p>
    <w:p w14:paraId="1B60656B" w14:textId="5A450E3F" w:rsidR="009E2EA1" w:rsidRPr="00711243" w:rsidRDefault="0072538B" w:rsidP="009E2EA1">
      <w:pPr>
        <w:spacing w:before="120" w:after="120"/>
        <w:ind w:right="-142"/>
        <w:jc w:val="both"/>
        <w:rPr>
          <w:i/>
          <w:iCs/>
        </w:rPr>
      </w:pPr>
      <w:r>
        <w:rPr>
          <w:i/>
        </w:rPr>
        <w:t xml:space="preserve">Baineann an bhileog faisnéise forlíontaí seo le bearta a chumhdaítear i gCaibidil 4.11 CEEAG. Má áirítear san fhógra bearta a chumhdaítear i níos mó ná caibidil amháin CEEAG, líon isteach freisin an bhileog faisnéise forlíontaí a bhaineann leis an gcaibidil CEEAG lena mbaineann a luaithe a bheidh sí ar fáil. </w:t>
      </w:r>
    </w:p>
    <w:p w14:paraId="05E36007" w14:textId="48DD17A5" w:rsidR="009E2EA1" w:rsidRPr="00711243" w:rsidRDefault="009E2EA1" w:rsidP="009E2EA1">
      <w:pPr>
        <w:spacing w:before="120" w:after="120"/>
        <w:ind w:right="-142"/>
        <w:jc w:val="both"/>
        <w:rPr>
          <w:i/>
          <w:iCs/>
        </w:rPr>
      </w:pPr>
      <w:r>
        <w:rPr>
          <w:i/>
        </w:rPr>
        <w:t>Na doiciméid uile a sholáthraíonn na Ballstáit mar iarscríbhinní a ghabhann leis an mbileog faisnéise forlíontaí sin, ní mór iad a bheith uimhrithe agus ní mór uimhreacha doiciméid a bheith léirithe sna ranna ábhartha den bhileog faisnéise forlíontaí sin.</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Roinn A: Achoimre ar phríomh-shaintréithe an bhirt/na mbeart a dtugtar fógra ina leith</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Cúlra agus cuspóir/cuspóirí an bhirt/na mbeart a dtugtar fógra ina leith.</w:t>
      </w:r>
    </w:p>
    <w:p w14:paraId="53AAF227" w14:textId="40775AB0" w:rsidR="00931262" w:rsidRDefault="00931262" w:rsidP="004F64BC">
      <w:pPr>
        <w:pStyle w:val="ListParagraph"/>
        <w:keepLines/>
        <w:numPr>
          <w:ilvl w:val="0"/>
          <w:numId w:val="21"/>
        </w:numPr>
        <w:spacing w:after="240"/>
        <w:ind w:left="993" w:hanging="142"/>
        <w:jc w:val="both"/>
      </w:pPr>
      <w:r>
        <w:t>Sonraigh cé acu is beart nua nó leasú ar bheart atá ann cheana é seo. Más leasú é, tabhair sonraí maidir leis na hathruithe ar an scéim.</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Más rud é nár pléadh iad cheana féin faoi roinn 5.2 den Fhoirm Faisnéise Ginearálta (Cuid. I), tabhair an cúlra agus an príomhchuspóir, lena n-áirítear an nasc le haon spriocanna de chuid an Aontais a bhfuil sé beartaithe leis an mbeart tacú leo.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Sonraigh aon chuspóir eile atá á shaothrú leis an mbeart. I gcás aon chuspóir nach cuspóir comhshaoil amach is amach é, mínigh cé acu a d’fhéadfadh nó nach bhféadfadh aon saobhadh ar an margadh inmheánach a bheith mar thoradh air.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Teacht i bhfeidhm agus fad</w:t>
      </w:r>
      <w:r>
        <w: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Más rud é nár pléadh iad cheana féin faoi roinn 5.5 den Fhoirm Faisnéise Ginearálta (Cuid I), tabhair:</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Le haghaidh scéim cabhrach: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an dáta óna mbeartaítear go dtiocfaidh an scéim i bhfeidhm;</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fad na scéime</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Le haghaidh cabhair aonair: dáta (beartaithe) deonaithe na cabhrach (gealltanas na cabhrach) agus an dáta íocaíochta (an chéad dáta íocaíochta má dhéantar foráil maidir le híocaíochtaí comhleanúnacha éagsúla):</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lastRenderedPageBreak/>
        <w:t>Tairbhí/tairbhithe</w:t>
      </w:r>
      <w:r>
        <w:rPr>
          <w:b/>
        </w:rPr>
        <w:tab/>
      </w:r>
    </w:p>
    <w:p w14:paraId="06E5A4C8" w14:textId="44380450" w:rsidR="00B77C6D" w:rsidRDefault="0068024A" w:rsidP="00B77C6D">
      <w:pPr>
        <w:pStyle w:val="ListParagraph"/>
        <w:numPr>
          <w:ilvl w:val="0"/>
          <w:numId w:val="22"/>
        </w:numPr>
        <w:spacing w:after="240"/>
        <w:ind w:hanging="229"/>
        <w:jc w:val="both"/>
        <w:rPr>
          <w:szCs w:val="24"/>
        </w:rPr>
      </w:pPr>
      <w:r>
        <w:t>Mura bhfuil sé curtha ar fáil cheana faoi roinn 3 den Fhoirm Faisnéise Ginearálta (Cuid I), tabhair tuairisc ar thairbhí/thairbhithe (féideartha) an bhirt/na mbeart.</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Sonraigh suíomh an tairbhí nó na dtairbhithe (féideartha) (i.e. mura bhfuil ach eintitis eacnamaíocha atá lonnaithe sna Ballstáit lena mbaineann nó i mBallstáit eile freisin incháilithe chun páirt a ghlacadh sa bheart).</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Chun measúnú a dhéanamh ar chomhlíonadh phointe 15 CEEAG, sonraigh an ndeonaítear cabhair faoin mbeart/faoi na bearta i bhfabhar gnóthas (duine aonair nó cuid de scéim) atá faoi réir ordú gnóthaithe gan íoc tar éis cinneadh roimhe sin ón gCoimisiún lena ndearbhaítear go bhfuil cabhair neamhdhleathach agus neamh‐chomhoiriúnach leis an margadh inmheánach.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I gcás dearfach, tabhair faisnéis maidir leis an méid cabhrach atá fós le haisghabháil ionas go gcuirfidh an Coimisiún san áireamh é sa mheasúnú ar an mbeart chabhrach/ar na bearta cabhrach.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Deimhnigh nach mbaineann an beart/na bearta le cabhair le haghaidh gníomhaíochtaí nach dtagann faoi raon feidhme chur i bhfeidhm CEEAG (féach pointe 13 CEEAG). Murab amhlaidh, tabhair sonraí.</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Buiséad agus maoiniú an bhirt/na mbeart</w:t>
      </w:r>
      <w:r>
        <w:t>.</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 n-áirítear na toimhdí a úsáideadh chun an buiséad measta lena mbaineann a ríomh.</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Ós rud é go mbaineann an beart le tobhach, sonraigh an méid seo a leanas:</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an le dlí nó le haon ghníomh reachtach eile a shocraítear an tobhach; i gcás dearfach, tabhair an gníomh dlí, uimhir agus dáta an ghlactha agus theacht i bhfeidhm, an nasc idirlín chuig an ngníomh dlí;</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lastRenderedPageBreak/>
        <w:t>an maoinítear an laghdú tobhaigh tríd an tobhach a ardú do thomhaltóirí eile</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an maoinítear an beart go hiomlán nó go páirteach leis an tobhach. Mura maoinítear an beart ach go páirteach leis an tobhach, sonraigh foinsí eile maoinithe an bhirt agus a gcion lena mbaineann;</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an maoinítear bearta cabhrach eile leis an tobhach lena maoinítear an beart a dtugtar fógra ina leith. Más amhlaidh, sonraigh na bearta cabhrach eile a mhaoinítear leis an tobhach lena mbaineann.</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Roinn B: Measúnú comhoiriúnachta ar an gcabhair</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Coinníoll dearfach: ní mór don chabhair forbairt gníomhaíochta eacnamaíche a éascú</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Rannchuidiú le gníomhaíocht eacnamaíoch agus éifeacht dreasachta a fhorbairt</w:t>
            </w:r>
          </w:p>
        </w:tc>
      </w:tr>
    </w:tbl>
    <w:p w14:paraId="1E2599D2" w14:textId="090DDB6C" w:rsidR="000442F5" w:rsidRPr="00DB40A5" w:rsidRDefault="000442F5" w:rsidP="00D304A1">
      <w:pPr>
        <w:keepLines/>
        <w:spacing w:before="360" w:after="120"/>
        <w:jc w:val="both"/>
        <w:rPr>
          <w:i/>
        </w:rPr>
      </w:pPr>
      <w:r>
        <w:rPr>
          <w:i/>
        </w:rPr>
        <w:t xml:space="preserve">Chun an fhaisnéis sa roinn seo a sholáthar, féach </w:t>
      </w:r>
      <w:r>
        <w:rPr>
          <w:i/>
          <w:color w:val="000000"/>
        </w:rPr>
        <w:t>pointí 4.11.1</w:t>
      </w:r>
      <w:r>
        <w:rPr>
          <w:i/>
        </w:rPr>
        <w:t xml:space="preserve"> CEEAG. </w:t>
      </w:r>
    </w:p>
    <w:p w14:paraId="3B179A23" w14:textId="692B32B4" w:rsidR="00FE59FF" w:rsidRDefault="00956022" w:rsidP="007D3768">
      <w:pPr>
        <w:numPr>
          <w:ilvl w:val="0"/>
          <w:numId w:val="4"/>
        </w:numPr>
        <w:ind w:left="426" w:hanging="426"/>
        <w:jc w:val="both"/>
      </w:pPr>
      <w:r>
        <w:t xml:space="preserve">Le hAirteagal 107(3)(c) den Chonradh ar Fheidhmiú an Aontais Eorpaigh (CFAE) foráiltear go bhféadfaidh an Coimisiún a dhearbhú go bhfuil cabhair áirithe comhoiriúnach, is é sin ‘cabhair chun forbairt ghníomhaíochtaí eacnamaíocha áirithe nó limistéar eacnamaíoch áirithe a éascú, nuair nach n-athraíonn an chabhair sin dálaí trádála an oiread go mbeadh dochar ann don leas coiteann’. Dá bhrí sin, le cabhair chomhoiriúnach faoin bhforáil sin de CFAE ní mór rannchuidiú le forbairt gníomhaíochta eacnamaíche áirithe. </w:t>
      </w:r>
    </w:p>
    <w:p w14:paraId="3D019745" w14:textId="31E2DE72" w:rsidR="00C75792" w:rsidRPr="008515FB" w:rsidRDefault="00FE59FF" w:rsidP="00E7597C">
      <w:pPr>
        <w:spacing w:before="240"/>
        <w:ind w:left="357"/>
        <w:jc w:val="both"/>
      </w:pPr>
      <w:r>
        <w:t>Thairis sin, ní féidir a mheas go n-éascaíonn Státchabhair gníomhaíocht eacnamaíoch ach amháin má tá éifeacht dreasachta aici. Bíonn éifeacht dreasachta ann má dhreasaítear an tairbhí leis sin chun a iompraíocht a athrú i dtreo forbairt gníomhaíochta eacnamaíche a shaothraítear leis an gcabhair agus mura dtarlódh an t-athrú iompraíochta sin murach an chabhair.</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Mínigh conas a sholáthraíonn an sásra laghdaithe tobhaigh dreasachtaí do ghnóthais incháilithe chun an riosca go n-aistreofaí gníomhaíochtaí lasmuigh den Aontas a sheachaint i gcás nach bhfuil disciplíní comhshaoil ann nó i gcás nach bhfuil siad chomh huaillmhianach céanna nó dreasachtaí chun leictriú na bpróiseas táirgthe a spreagadh i gcomhréir le pointe 400 CEEAG.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Sainaithin cé na codanna den bhunús dlí (dréacht) ina léirítear an méid sin.</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Gan sárú ar aon fhoráil ábhartha de dhlí an Aontais</w:t>
            </w:r>
          </w:p>
        </w:tc>
      </w:tr>
    </w:tbl>
    <w:p w14:paraId="665FE026" w14:textId="0459581F" w:rsidR="00DE1D68" w:rsidRDefault="00DE1D68" w:rsidP="00DE1D68">
      <w:pPr>
        <w:spacing w:before="360" w:after="120"/>
        <w:jc w:val="both"/>
        <w:rPr>
          <w:i/>
        </w:rPr>
      </w:pPr>
      <w:r>
        <w:rPr>
          <w:i/>
        </w:rPr>
        <w:t xml:space="preserve">Chun an fhaisnéis sa roinn seo a sholáthar, féach roinn 3.1.3 (pointe 33) CEEAG. </w:t>
      </w:r>
    </w:p>
    <w:p w14:paraId="3E98C3D7" w14:textId="0DD79AFD" w:rsidR="00BE702A" w:rsidRDefault="0023543E" w:rsidP="00E7597C">
      <w:pPr>
        <w:pStyle w:val="ListParagraph"/>
        <w:keepLines/>
        <w:spacing w:before="120" w:after="120"/>
        <w:ind w:left="1287"/>
        <w:contextualSpacing w:val="0"/>
        <w:jc w:val="both"/>
        <w:rPr>
          <w:rFonts w:cs="Arial Unicode MS"/>
          <w:bCs/>
        </w:rPr>
      </w:pPr>
      <w:r>
        <w:t>Tabhair faisnéis chun comhlíonadh fhorálacha ábhartha dhlí an Aontais a dheimhniú, i gcomhréir le pointe 33 CEEAG.</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Coinníoll diúltach: ní féidir leis an gcabhair difear míchuí a dhéanamh do choinníollacha trádála a mhéid is go mbeadh dochar ann don leas coiteann</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Íoslaghdú ar shaobhadh iomaíochta agus trádála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An gá atá le hidirghabháil Státchabhrach agus oiriúnacht na cabhrach</w:t>
            </w:r>
          </w:p>
        </w:tc>
      </w:tr>
    </w:tbl>
    <w:p w14:paraId="3C23674F" w14:textId="3EF4BD10" w:rsidR="00663008" w:rsidRPr="00F83660" w:rsidRDefault="00663008" w:rsidP="00663008">
      <w:pPr>
        <w:spacing w:before="360" w:after="120"/>
        <w:jc w:val="both"/>
        <w:rPr>
          <w:i/>
          <w:color w:val="000000"/>
        </w:rPr>
      </w:pPr>
      <w:r>
        <w:rPr>
          <w:i/>
          <w:color w:val="000000"/>
        </w:rPr>
        <w:t>Chun</w:t>
      </w:r>
      <w:r>
        <w:rPr>
          <w:i/>
        </w:rPr>
        <w:t xml:space="preserve"> an fhaisnéis sa roinn seo a sholáthar, </w:t>
      </w:r>
      <w:r>
        <w:rPr>
          <w:i/>
          <w:color w:val="000000"/>
        </w:rPr>
        <w:t>féach roinn 4.11.2 agus pointe 413 CEEAG</w:t>
      </w:r>
      <w:r>
        <w:rPr>
          <w:i/>
        </w:rPr>
        <w:t>.</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Tá feidhm ag pointe 403 CEEAG maidir le laghduithe tobhaigh ar thomhaltas leictreachais lena maoinítear cuspóirí fuinnimh agus comhshaoil. I gcás gach ceann den tobhach a bhfuil sé beartaithe laghduithe a dheonú ina leith, soláthair tuairisc iomlán mhionsonraithe maidir le cineál, raon feidhme agus cur i bhfeidhm na dtobhach trí mhíniú a thabhairt ar an gcaoi a n-oibríonn an córas tobhaigh go praiticiúil (feidhmiú na scéime agus an údaráis deonúcháin) agus trí thagairtí mionsonraithe a dhéanamh dá chreat rialála (bunús dlí).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Go háirithe, tabhairt faisnéis faoi na gnéithe seo a leanas:</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cuspóir gach tobhaigh (lena mínítear conas a úsáidtear an ioncam a bhailítear le gach tobhach);</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conas a ghearrtar an tobhach agus cé air a ngearrtar é; cad é an bonn ar a ngearrtar an tobhach ar ghnóthas; an mhodheolaíocht a úsáidtear chun an ráta tobhaigh a ríomh; cé acu an bhfuil nó nach bhfuil feidhm ag rátaí éagsúla tobhaigh ar fud an bhoinn mhuirearaithe, cén fáth a bhfuil feidhm acu agus cén chaoi a bhfuil feidhm acu; cé chomh minic agus cén bonn ar a ndéantar athbhreithniú ar an ráta tobhaigh;</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déan cur síos ar na heintitis éagsúla a bhfuil baint acu leis an tobhach a shocrú agus a athbhreithniú chomh maith leo siúd a bhfuil baint acu leis na hioncaim a chruinnítear tríd an tobhach a bhailiú agus a bhainistiú;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tabhair tuairisc ar an gcaoi a n-oibríonn an córas bailithe agus athdháilte tobhach;</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t>tabhair na figiúirí bliantúla is déanaí maidir leis na rátaí tobhaigh a cuireadh i bhfeidhm agus an t-ioncam iomlán a tiomsaíodh. Tabhair réamh-mheastachán don todhchaí, más ann dó;</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lastRenderedPageBreak/>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Luaitear i bpointe 404 CEEAG nach mór do na Ballstáit gach laghdú ar thobhaigh leictreachais iolracha a d’fhéadfadh a bheith ann d’úsáideoirí dianfhuinnimh a áireamh in aon scéim amháin agus an Coimisiún a chur ar an eolas maidir le héifeacht charnach na dtobhach incháilithe uile agus na laghduithe uile a mholtar.</w:t>
      </w:r>
    </w:p>
    <w:p w14:paraId="3EF0E8A7" w14:textId="542E1B2A" w:rsidR="008D467D" w:rsidRDefault="00937DCD" w:rsidP="00E7597C">
      <w:pPr>
        <w:pStyle w:val="ListParagraph"/>
        <w:keepLines/>
        <w:numPr>
          <w:ilvl w:val="0"/>
          <w:numId w:val="43"/>
        </w:numPr>
        <w:spacing w:before="120" w:after="120"/>
        <w:contextualSpacing w:val="0"/>
        <w:jc w:val="both"/>
      </w:pPr>
      <w:r>
        <w:t xml:space="preserve">Deimhnigh go gcumhdaítear leis an mbeart a dtugtar fógra ina leith gach laghdú tobhaigh atá le deonú ar bhonn Roinn 4.11 CEEAG, agus go dtabharfar fógra faoi laghduithe a d’fhéadfadh a bheith ann amach anseo ar thobhaigh seachas iad siúd a chumhdaítear trí leasú ar an mbeart a dtugtar fógra ina leith.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Bunaithe ar na blianta deireanacha agus ar na réamh-mheastacháin fhéideartha, tabhair faisnéis maidir le héifeacht charnach na dtobhach ábhartha uile (i ndearbhthéarmaí agus i dtéarmaí coibhneasta araon, i gcomparáid le costais fhoriomlána leictreachais agus tobhaigh, muirir agus cánacha foriomlána leictreachais) agus na laghduithe gaolmhara do na tairbhithe faoin scéim a dtugtar fógra ina leith.</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Sonraigh cé acu i bhfoirm laghdú </w:t>
      </w:r>
      <w:r>
        <w:rPr>
          <w:i/>
          <w:iCs/>
        </w:rPr>
        <w:t>ex ante</w:t>
      </w:r>
      <w:r>
        <w:t xml:space="preserve"> ar thobhaigh, i bhfoirm cúitimh</w:t>
      </w:r>
      <w:r>
        <w:rPr>
          <w:i/>
          <w:iCs/>
        </w:rPr>
        <w:t xml:space="preserve"> ex post</w:t>
      </w:r>
      <w:r>
        <w:t xml:space="preserve"> (aisíocaíocht) nó meascán den dá rud a bheidh an chabhair faoin mbeart a dtugtar fógra ina leith. Iarrtar ort tagairtí sonracha a dhéanamh sa fhreagra a thug tú faoin mbunús dlí (dréacht) (e.g. Airteagal 7, mír 3).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De bhun phointe 413 CEEAG, má dheonaítear an chabhair i bhfoirm laghdú ar thobhaigh, deimhnigh:</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 xml:space="preserve">go bhfuil sásra faireacháin </w:t>
      </w:r>
      <w:r>
        <w:rPr>
          <w:i/>
          <w:iCs/>
        </w:rPr>
        <w:t>ex post</w:t>
      </w:r>
      <w:r>
        <w:t xml:space="preserve"> i bhfeidhm;</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agus go n-aisíocfar aon ró-íocaíocht cabhrach roimh an 1 Iúil den bhliain dár gcionn. Sonraigh cá bhfuil an fhaisnéis sin ar fáil sa bhunús dlí (dréacht).</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De bhun phointe 413, an abairt dheireanach, i gcás ina ndeonaítear an chabhair i bhfoirm aisíocaíochta, deimhnigh go ndéantar í a ríomh ar bhonn na leibhéal measta ídithe leictreachais agus, más infheidhme, ar bhonn an oll-bhreisluacha le linn na tréimhse ama ar lena linn a cuireadh na tobhaigh incháilithe i bhfeidhm.</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Incháilitheacht</w:t>
            </w:r>
          </w:p>
        </w:tc>
      </w:tr>
    </w:tbl>
    <w:p w14:paraId="2460A5B7" w14:textId="139EC6FA" w:rsidR="00AB322D" w:rsidRPr="00E74034" w:rsidRDefault="00AB322D" w:rsidP="00AB322D">
      <w:pPr>
        <w:spacing w:before="360" w:after="120"/>
        <w:jc w:val="both"/>
        <w:rPr>
          <w:i/>
        </w:rPr>
      </w:pPr>
      <w:r>
        <w:rPr>
          <w:i/>
        </w:rPr>
        <w:t xml:space="preserve">Chun an fhaisnéis sa roinn seo a sholáthar, féach roinn 4.11.3.1 (pointí 405-407) CEEAG. </w:t>
      </w:r>
    </w:p>
    <w:p w14:paraId="70D92710" w14:textId="06DE4555" w:rsidR="00937DCD" w:rsidRDefault="00956022" w:rsidP="005A4E16">
      <w:pPr>
        <w:pStyle w:val="ListParagraph"/>
        <w:numPr>
          <w:ilvl w:val="0"/>
          <w:numId w:val="4"/>
        </w:numPr>
        <w:spacing w:before="240" w:after="120"/>
        <w:ind w:left="567" w:hanging="567"/>
        <w:contextualSpacing w:val="0"/>
        <w:jc w:val="both"/>
      </w:pPr>
      <w:r>
        <w:lastRenderedPageBreak/>
        <w:t>I bpointe 405 CEEAG sainmhínítear go bhfuil earnálacha leictridhiana ‘i mbaol suntasach’ (pointe (a)) agus ‘i mbaol’ (pointe (b)). Chun comhlíonadh phointe 405 CEEAG a fhíorú, deimhnigh go liostaítear gach earnáil leictridhian incháilithe ‘i mbaol’ agus ‘i mbaol suntasach’ faoin mbeart a dtugtar fógra ina leith i gcodanna gaolmhara d’Iarscríbhinn I a ghabhann le CEEAG agus soláthair san iarscríbhinn a ghabhann leis an bhfoirm seo na liostaí d’earnálacha NACE</w:t>
      </w:r>
      <w:r>
        <w:noBreakHyphen/>
        <w:t xml:space="preserve">4 ‘i mbaol’ agus ‘i mbaol suntasach’ atá incháilithe do chabhair faoin mbeart, </w:t>
      </w:r>
      <w:r>
        <w:rPr>
          <w:shd w:val="clear" w:color="auto" w:fill="FFFFFF"/>
        </w:rPr>
        <w:t>agus léirigh cá bhfuil an fhaisnéis sin le fáil sa bhunús dlí (dréacht) (e.g. Airteagal 7, mír 3)</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Luaitear i bpointe 406 CEEAG go measfar earnáil nó fo-earnáil</w:t>
      </w:r>
      <w:r w:rsidR="00470AF2" w:rsidRPr="00470AF2">
        <w:rPr>
          <w:vertAlign w:val="superscript"/>
        </w:rPr>
        <w:footnoteReference w:id="5"/>
      </w:r>
      <w:r>
        <w:t xml:space="preserve"> nach n-áirítear in Iarscríbhinn I a ghabhann le CEEAG a bheith incháilithe freisin ar choinníoll go gcomhlíontar critéir incháilitheachta phointe 405. Má tá sé beartaithe cabhair faoin mbeart a dtugtar fógra ina leith a dheonú freisin d’earnálacha agus/nó d’fho-earnálacha nach n-áirítear in Iarscríbhinn I a ghabhann le CEEAG:</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léirigh go gcomhlíontar an mhodheolaíocht faoi phointe 405 CEEAG i gcás gach earnála/fo-earnála;</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iarscríbhinn a ghabhann leis an bhfoirm seo, tabhair sonraí atá ionadaíoch don earnáil nó don fho-earnáil ar leibhéal an Aontais</w:t>
      </w:r>
      <w:r w:rsidR="00470AF2" w:rsidRPr="00470AF2">
        <w:rPr>
          <w:vertAlign w:val="superscript"/>
        </w:rPr>
        <w:footnoteReference w:id="6"/>
      </w:r>
      <w:r>
        <w:t>, arna bhfíorú ag saineolaí neamhspleách agus bunaithe ar thréimhse ama trí bliana as a chéile ar a laghad dar tús dáta nach luaithe ná 2013.</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Déan cur síos ar an gcaoi a mbeidh ar iarratasóirí a léiriú go n-oibríonn siad in earnáil incháilithe, agus léirigh cá bhfuil an fhaisnéis sin ar fáil sa bhunús dlí (dréacht) (e.g. Airteagal 7, mír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Sonraigh na coinníollacha eile go léir chun a bheith incháilithe do chabhair faoin mbeart a dtugtar fógra ina leith, agus léirigh cá bhfuil an fhaisnéis sin ar fáil sa bhunús dlí (e.g. Airteagal 7, mír 3). Go háirithe, mínigh (a) an ndéantar tairbhithe nó earnálacha/fo-earnálacha atá incháilithe i bprionsabal faoi Iarscríbhinn I CEEAG a eisiamh, (b) an bhfuil critéir incháilitheachta bhreise ann a mbeadh feidhm acu agus nach luaitear i Roinn 4.11 CEEAG nó (c) an bhfuil laghduithe éagsúla ar thobhaigh beartaithe do thairbhithe sa chatagóir chéanna.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 xml:space="preserve">I gcomhréir le pointe 407 CEEAG, is féidir srian breise a chur le tairbhithe incháilithe an bhirt. Más amhlaidh an cás, mínigh an bhunréasúnaíocht i gcás gach coinníoll incháilitheachta breise den sórt sin agus léirigh (i) go bhfuil an coinníoll faoi seach bunaithe ar chritéir oibiachtúla, neamh‐idirdhealaitheacha agus thrédhearcacha agus (ii) </w:t>
      </w:r>
      <w:r>
        <w:lastRenderedPageBreak/>
        <w:t>go ndeonaítear an chabhair, i bprionsabal, ar an mbealach céanna le haghaidh gach tairbhí incháilithe san earnáil chéanna má tá siad i staid fhíorasach chomhchosúil.</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Comhréireacht na cabhrach (cabhair atá teoranta don íosmhéid is gá chun a cuspóir a bhaint amach), lena n-áirítear carnadh</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Comhréireacht na cabhrach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Chun an fhaisnéis sa roinn seo a sholáthar, féach roinn 4.11.3,2 agus pointe 407 CEEAG.</w:t>
      </w:r>
    </w:p>
    <w:p w14:paraId="0CBF90E1" w14:textId="3FC82A3E" w:rsidR="00B06A84" w:rsidRDefault="005158EB" w:rsidP="005A4E16">
      <w:pPr>
        <w:numPr>
          <w:ilvl w:val="0"/>
          <w:numId w:val="4"/>
        </w:numPr>
        <w:spacing w:before="240"/>
        <w:ind w:left="567" w:hanging="567"/>
        <w:jc w:val="both"/>
      </w:pPr>
      <w:r>
        <w:t>Chun</w:t>
      </w:r>
      <w:r w:rsidR="00644950">
        <w:t xml:space="preserve"> comhlíonadh roinn 4.11.3.2 agus pointe 407 CEEAG a chomhlíonadh, tabhair tuairisc iomlán mhionsonraithe ar an modheolaíocht chun na laghduithe tobhaigh is infheidhme maidir leis na tairbhithe incháilithe a ríomh, agus léirigh cá bhfuil an fhaisnéis sin le fáil sa bhunús dlí (dréacht) (e.g. Airteagal 7, mír 3). Go sonrach:</w:t>
      </w:r>
    </w:p>
    <w:p w14:paraId="2E456933" w14:textId="4F8D31AD" w:rsidR="00937DCD" w:rsidRDefault="006813BD" w:rsidP="009E4296">
      <w:pPr>
        <w:pStyle w:val="ListParagraph"/>
        <w:numPr>
          <w:ilvl w:val="0"/>
          <w:numId w:val="38"/>
        </w:numPr>
        <w:spacing w:before="120" w:after="120"/>
        <w:contextualSpacing w:val="0"/>
        <w:jc w:val="both"/>
      </w:pPr>
      <w:r>
        <w:t>Léirigh an t-uasráta laghdaithe tobhaigh is infheidhme maidir le gnóthais a oibríonn in earnálacha atá ‘i mbaol’ agus ‘i mbaol suntasach’, faoi seach;</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Léirigh an bhforáiltear leis an mbeart a dtugtar fógra ina leith, i gcomparáid le pointe ‘i’ thuas, go gcuirfear teorainn bhreise leis na costais bhreise a eascraíonn as na tobhaigh leictreachais ábhartha. Más amhlaidh an cás, tabhair freisin (a) luach na dteorainneacha sin i ndáil le holl-bhreisluach (‘OBL’) gnóthas a oibríonn in earnálacha atá ‘i mbaol’ agus ‘i mbaol suntasach’ agus (b) tabhair tuairisc ar an gcaoi a ríomhtar OBL gnóthas incháilithe a oibríonn in earnálacha atá ‘faoi riosca’ agus ‘faoi riosca suntasach’;</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Deimhnigh, in aon chás, nach mbeidh tobhach faoi bhun EUR 0,5/MWh mar thoradh ar laghduithe tobhaigh.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Léirigh cé acu a dhéantar nó nach ndéantar foráil sa bheart a dtugtar fógra ina leith, i gcomhréir le pointe 410 CEEAG, maidir le déine cabhrach níos airde le haghaidh na ngnóthas sin a oibríonn in earnálacha atá ‘i mbaol’ agus a laghdaíonn lorg carbóin a dtomhaltas leictreachais. </w:t>
      </w:r>
    </w:p>
    <w:p w14:paraId="293F5C0A" w14:textId="77777777" w:rsidR="00937DCD" w:rsidRDefault="00C17C85" w:rsidP="005A4E16">
      <w:pPr>
        <w:pStyle w:val="ListParagraph"/>
        <w:keepLines/>
        <w:spacing w:before="120" w:after="120"/>
        <w:ind w:left="567"/>
        <w:contextualSpacing w:val="0"/>
        <w:jc w:val="both"/>
      </w:pPr>
      <w:r>
        <w:t>I gcás dearfach:</w:t>
      </w:r>
    </w:p>
    <w:p w14:paraId="29CAF0A6" w14:textId="64FF48FB" w:rsidR="00937DCD" w:rsidRDefault="003653B6" w:rsidP="005A4E16">
      <w:pPr>
        <w:pStyle w:val="ListParagraph"/>
        <w:keepLines/>
        <w:numPr>
          <w:ilvl w:val="0"/>
          <w:numId w:val="52"/>
        </w:numPr>
        <w:spacing w:before="120" w:after="120"/>
        <w:contextualSpacing w:val="0"/>
        <w:jc w:val="both"/>
      </w:pPr>
      <w:r>
        <w:t>Déan cur síos ar na déiní cabhrach níos airde agus deimhnigh na coinníollacha gaolmhara atá le comhlíonadh ag na gnóthais lena mbaineann (i.e. go dtiocfaidh 50 % den tomhaltas leictreachais ó fhoinsí saor ó charbón, a dtagann 10 % ar a laghad de ó réamhionstraim amhail CCC nó 5 % ar a laghad de ó ghiniúint ar an láthair nó gar don láthair), agus léirigh cá bhfuil an fhaisnéis sin le fáil sa bhunús dlí (dréacht) (e.g. Airteagal 7, mír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lastRenderedPageBreak/>
        <w:t xml:space="preserve">Tabhair tuairisc ar an gcaoi a ndéanfar faireachán ar chomhlíonadh na gcoinníollacha sin agus, i gcás faireachán </w:t>
      </w:r>
      <w:r>
        <w:rPr>
          <w:i/>
          <w:iCs/>
        </w:rPr>
        <w:t>ex</w:t>
      </w:r>
      <w:r>
        <w:rPr>
          <w:i/>
          <w:iCs/>
        </w:rPr>
        <w:noBreakHyphen/>
        <w:t>post</w:t>
      </w:r>
      <w:r>
        <w:t>, cén éifeacht a bheadh ann i gcás neamhchomhlíonadh ag gnóthas.</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t xml:space="preserve">Más infheidhme, tabhair tuairisc ar aon mhodhnú breise ar an ráta laghdaithe tobhaigh ar fud na dtairbhithe a oibríonn in earnálacha atá ‘i mbaol’ agus ‘i mbaol suntasach’, faoi seach, agus léirigh cá bhfuil an fhaisnéis sin le fáil sa bhunús dlí (dréacht) (e.g. Airteagal 7, mír 3). Léirigh (a) go bhfuil na laghduithe tobhach éagsúla bunaithe ar chritéir oibiachtúla, neamh-idirdhealaitheacha agus thrédhearcacha agus (b) go ndeonaítear an chabhair i bprionsabal ar an mbealach céanna le haghaidh na dtairbhithe uile san earnáil chéanna má tá siad i staid fhíorasach chomhchosúil.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Iniúchtaí fuinnimh agus córais bhainistíochta </w:t>
            </w:r>
          </w:p>
        </w:tc>
      </w:tr>
    </w:tbl>
    <w:p w14:paraId="7C447A12" w14:textId="28CC1D2E" w:rsidR="00F17D00" w:rsidRDefault="00F17D00" w:rsidP="00F17D00">
      <w:pPr>
        <w:pStyle w:val="ListParagraph"/>
        <w:spacing w:before="120" w:after="120"/>
        <w:ind w:left="567"/>
        <w:contextualSpacing w:val="0"/>
        <w:jc w:val="both"/>
        <w:rPr>
          <w:i/>
        </w:rPr>
      </w:pPr>
      <w:r>
        <w:rPr>
          <w:i/>
        </w:rPr>
        <w:t>Chun an fhaisnéis sa roinn seo a sholáthar, féach pointí 4.11.3,4 CEEAG.</w:t>
      </w:r>
    </w:p>
    <w:p w14:paraId="455D1B6E" w14:textId="06E6D973" w:rsidR="00DF586F" w:rsidRDefault="00DF586F" w:rsidP="005A4E16">
      <w:pPr>
        <w:numPr>
          <w:ilvl w:val="0"/>
          <w:numId w:val="4"/>
        </w:numPr>
        <w:spacing w:before="240"/>
        <w:ind w:left="567" w:hanging="567"/>
        <w:jc w:val="both"/>
      </w:pPr>
      <w:r>
        <w:t>I gcomhréir le pointe 414 CEEAG, tabhair tuairisc ar an gcaoi a bhfíoróidh na húdaráis náisiúnta faoin mbeart a dtugtar fógra ina leith go gcomhlíonann tairbhithe an oibleagáid iniúchadh fuinnimh a dhéanamh de réir bhrí Airteagal 8 de Threoir 2012/27/AE. Sonraigh cá bhfuil an fhaisnéis sin le fáil sa bhunús dlí (dréacht). (e.g. Airteagal 7, mír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Foráiltear le pointe 415 CEEAG nach mór do thairbhithe a gceanglaítear orthu iniúchadh fuinnimh a dhéanamh ceann amháin ar a laghad de thrí rogha seo a leanas a chomhlíonadh, i.e. (a) moltaí iniúchóireachta a chur chun feidhme, a mhéid is atá an t-am aisíoca 3 bliana ar a mhéad agus go bhfuil costais a n-infheistíochtaí comhréireach, nó (b) 30 % ar a laghad dá dtomhaltas leictreachais ó fhoinsí saor ó charbón a chumhdach, nó (c) 50 % ar a laghad den chabhair a infheistiú i dtionscadail as a n-eascraíonn laghduithe suntasacha ar astaíochtaí gás ceaptha teasa. Mínigh conas a dhéanfaidh na húdaráis náisiúnta faireachán faoin mbeart a dtugtar fógra ina leith go bhfuil ceann amháin nó níos mó de na trí rogha a liostaítear i bpointe 415 de CEEAG á chomhlíonadh ag tairbhithe a gceanglaítear orthu iniúchadh fuinnimh a dhéanamh faoi Airteagal 8(4) de Threoir 2012/27/AE , agus léirigh cá bhfuil an fhaisnéis sin le fáil sa bhunús dlí (dréacht) (e.g. Airteagal 7, mír 3). Go háirithe, maidir le gach rogha dá bhforáiltear sa bheart a dtugtar fógra ina leith, sonraigh an méid seo a leanas:</w:t>
      </w:r>
    </w:p>
    <w:p w14:paraId="4CD0D5F0" w14:textId="6354CA9F" w:rsidR="00937DCD" w:rsidRDefault="00937DCD" w:rsidP="009E4296">
      <w:pPr>
        <w:pStyle w:val="ListParagraph"/>
        <w:numPr>
          <w:ilvl w:val="0"/>
          <w:numId w:val="41"/>
        </w:numPr>
        <w:spacing w:before="120" w:after="120"/>
        <w:jc w:val="both"/>
      </w:pPr>
      <w:r>
        <w:t>conas go díreach a bheidh ar thairbhithe a gcomhlíontacht a léiriú;</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cathain a bheidh an sprioc‐am chun na ceanglais a chomhlíonadh (e.g., chun na hinfheistíochtaí ábhartha a chur i gcrích laistigh de bhliain amháin ó dheonú na cabhrach) agus cé chomh minic a bheidh ar thairbhithe a gcomhlíontacht a chruthú (e.g., ar bhonn bliantúil);</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conas agus cé chomh minic a dhéanfar faireachán ar chomhlíonadh na gcoinníollacha (e.g., ar bhonn bliantúil);</w:t>
      </w:r>
    </w:p>
    <w:p w14:paraId="65105F0A" w14:textId="77777777" w:rsidR="00937DCD" w:rsidRPr="008515FB" w:rsidRDefault="00937DCD" w:rsidP="005A4E16">
      <w:pPr>
        <w:keepLines/>
        <w:tabs>
          <w:tab w:val="left" w:leader="dot" w:pos="9072"/>
        </w:tabs>
        <w:spacing w:before="120" w:after="120"/>
        <w:jc w:val="both"/>
      </w:pPr>
      <w:r>
        <w:lastRenderedPageBreak/>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 xml:space="preserve">cad iad na hiarmhairtí a bheidh ann do na tairbhithe mura gcomhlíonfar na ceanglais (e.g., diúltófar an chabhair a dheonú, i gcás fíorú </w:t>
      </w:r>
      <w:r>
        <w:rPr>
          <w:i/>
          <w:iCs/>
        </w:rPr>
        <w:t>ex ante</w:t>
      </w:r>
      <w:r>
        <w:t xml:space="preserve">, nó déanfar an chabhair a deonaíodh cheana a aisíoc, i gcás fíorú </w:t>
      </w:r>
      <w:r>
        <w:rPr>
          <w:i/>
          <w:iCs/>
        </w:rPr>
        <w:t>ex post</w:t>
      </w:r>
      <w:r>
        <w:t>).</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Carnadh</w:t>
            </w:r>
          </w:p>
        </w:tc>
      </w:tr>
    </w:tbl>
    <w:p w14:paraId="2346A85D" w14:textId="5800D648" w:rsidR="00B21377" w:rsidRPr="002A3B51" w:rsidRDefault="00B21377" w:rsidP="00B21377">
      <w:pPr>
        <w:pStyle w:val="ListParagraph"/>
        <w:spacing w:before="120" w:after="120"/>
        <w:ind w:left="567"/>
        <w:contextualSpacing w:val="0"/>
        <w:jc w:val="both"/>
      </w:pPr>
      <w:r>
        <w:rPr>
          <w:i/>
        </w:rPr>
        <w:t>Chun an fhaisnéis sa roinn seo a sholáthar, féach pointí 56-57 CEEAG</w:t>
      </w:r>
      <w:r>
        <w:t>.</w:t>
      </w:r>
    </w:p>
    <w:p w14:paraId="7159B0AA" w14:textId="326791FE" w:rsidR="00E5484B" w:rsidRPr="002A3B51" w:rsidRDefault="00B10F0D" w:rsidP="005A4E16">
      <w:pPr>
        <w:numPr>
          <w:ilvl w:val="0"/>
          <w:numId w:val="4"/>
        </w:numPr>
        <w:spacing w:before="240"/>
        <w:ind w:left="567" w:hanging="567"/>
        <w:jc w:val="both"/>
      </w:pPr>
      <w:r>
        <w:t xml:space="preserve">A mhéid nár soláthraíodh cheana san Fhoirm Faisnéise Ginearálta (Cuid I) agus chun comhlíonadh phointe 56 CEEAG a fhíorú, soiléirigh an bhféadfaí an chabhair faoin mbeart/faoi na bearta a dtugtar fógra ina leith a dhámhachtain i gcomhthráth faoi roinnt scéimeanna cabhrach nó a charnadh le cabhair </w:t>
      </w:r>
      <w:r>
        <w:rPr>
          <w:i/>
          <w:iCs/>
        </w:rPr>
        <w:t>ad hoc</w:t>
      </w:r>
      <w:r>
        <w:t xml:space="preserve"> nó </w:t>
      </w:r>
      <w:r>
        <w:rPr>
          <w:i/>
        </w:rPr>
        <w:t>de minimis</w:t>
      </w:r>
      <w:r>
        <w:t xml:space="preserve"> i ndáil leis na costais incháilithe chéanna. Más amhlaidh an cás, tabhair sonraí maidir leis na scéimeanna cabhrach sin, cabhair </w:t>
      </w:r>
      <w:r>
        <w:rPr>
          <w:i/>
          <w:iCs/>
        </w:rPr>
        <w:t>ad hoc</w:t>
      </w:r>
      <w:r>
        <w:t xml:space="preserve"> nó cabhair </w:t>
      </w:r>
      <w:r>
        <w:rPr>
          <w:i/>
          <w:iCs/>
        </w:rPr>
        <w:t>de minimis</w:t>
      </w:r>
      <w:r>
        <w:t xml:space="preserve"> agus conas a charnfar an chabhair.</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Más infheidhme pointe 56 CEEAG, tabhair údar leis an gcaoi nach mbeidh róchúiteamh mar thoradh ar mhéid iomlán na cabhrach a dheonaítear faoin mbeart/faoi na bearta le haghaidh tionscadail nó gníomhaíochta agus nach rachaidh sé thar an uasmhéid cabhrach a cheadaítear faoi phointí 408 go 410 CEEAG. Sonraigh, le haghaidh gach birt ar féidir an chabhair a dheonaítear faoin mbeart/faoi na bearta cabhrach a dtugtar fógra ina leith a charnadh leis, an modh a úsáidtear chun comhlíonadh na gcoinníollacha a leagtar amach i bpointe 56 CEEAG a áirithiú.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Más infheidhme pointe 57 CEEAG, i.e. déantar an chabhair a dheonaítear faoin mbeart/faoi na bearta a dtugtar fógra ina leith a chomhcheangal le cistiú ón Aontas</w:t>
      </w:r>
      <w:r w:rsidR="009B2F61">
        <w:rPr>
          <w:rStyle w:val="FootnoteReference"/>
          <w:lang w:eastAsia="en-GB"/>
        </w:rPr>
        <w:footnoteReference w:id="7"/>
      </w:r>
      <w:r>
        <w:t xml:space="preserve">, tabhair údar leis an gcaoi nach mbeidh róchúiteamh mar thoradh ar </w:t>
      </w:r>
      <w:r>
        <w:rPr>
          <w:shd w:val="clear" w:color="auto" w:fill="FFFFFF"/>
        </w:rPr>
        <w:t>mhéid iomlán</w:t>
      </w:r>
      <w:r>
        <w:t xml:space="preserve"> </w:t>
      </w:r>
      <w:r>
        <w:rPr>
          <w:shd w:val="clear" w:color="auto" w:fill="FFFFFF"/>
        </w:rPr>
        <w:t>an chistithe phoiblí a dheonaítear i ndáil leis na costais incháilithe chéanna</w:t>
      </w:r>
      <w:r>
        <w: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Rialacha idirthréimhseacha</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Chun an fhaisnéis sa roinn seo a sholáthar, féach mír 4.11.3.5 CEEAG.</w:t>
      </w:r>
    </w:p>
    <w:p w14:paraId="50B72823" w14:textId="74224ADE" w:rsidR="009E3717" w:rsidRPr="009E3717" w:rsidRDefault="00B10F0D" w:rsidP="005A4E16">
      <w:pPr>
        <w:numPr>
          <w:ilvl w:val="0"/>
          <w:numId w:val="4"/>
        </w:numPr>
        <w:spacing w:before="240"/>
        <w:ind w:left="567" w:hanging="567"/>
        <w:jc w:val="both"/>
      </w:pPr>
      <w:r>
        <w:t xml:space="preserve">Léirigh cé acu a chuimsítear nó nach gcuimsítear leis an bhfógra seo cabhair nár tugadh fógra ina leith a deonaíodh i bhfoirm tobhaigh leictreachais laghdaithe d’úsáideoirí dianfhuinnimh sa tréimhse roimh fhoilsiú CEEAG. I gcás dearfach, mínigh cén chaoi a gcomhlíontar pointe 419 CEEAG, míreanna (a) agus (b), leis an gcabhair nár tugadh fógra ina leith. </w:t>
      </w:r>
      <w:r>
        <w:tab/>
      </w:r>
    </w:p>
    <w:p w14:paraId="4A9E8F47" w14:textId="19AEA7B3" w:rsidR="009E3717" w:rsidRDefault="009E3717" w:rsidP="009E3717">
      <w:pPr>
        <w:tabs>
          <w:tab w:val="left" w:leader="dot" w:pos="9072"/>
        </w:tabs>
        <w:spacing w:before="120" w:after="120"/>
        <w:ind w:left="567"/>
        <w:jc w:val="both"/>
      </w:pPr>
      <w:r>
        <w:lastRenderedPageBreak/>
        <w:tab/>
      </w:r>
    </w:p>
    <w:p w14:paraId="26BD1683" w14:textId="6223DFFD" w:rsidR="00F17D00" w:rsidRPr="00F8461C" w:rsidRDefault="00F17D00" w:rsidP="005A4E16">
      <w:pPr>
        <w:numPr>
          <w:ilvl w:val="0"/>
          <w:numId w:val="4"/>
        </w:numPr>
        <w:spacing w:before="240"/>
        <w:ind w:left="567" w:hanging="567"/>
        <w:jc w:val="both"/>
      </w:pPr>
      <w:r>
        <w:t xml:space="preserve">Léirigh cé acu a bhunaítear nó nach mbunaítear leis an mbeart a dtugtar fógra ina leith plean idirthréimhseach chun athruithe suaiteacha ar ualach an tobhaigh ar ghnóthais aonair a sheachaint, ar gnóthais iad nach gcomhlíonann na coinníollacha incháilitheachta a leagtar amach i Roinn 4.11 CEEAG. I gcás dearfach, tabhair freagra ar ceisteanna eile sa roinn seo.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I gcomhréir le pointe 416 CEEAG, mínigh conas a bheidh incháilitheacht don phlean idirthréimhseach teoranta do ghnóthais (i) a chomhlíon critéir incháilitheachta Roinn 3.7.2 de na Treoirlínte maidir le Státchabhair do chosaint an chomhshaoil agus don fhuinneamh 2014-2020, agus (ii) a fuair cabhair i bhfoirm tobhach laghdaithe i gceann amháin ar a laghad den 2 bhliain sular leasaíodh scéimeanna cabhrach atá ann cheana chun iad a thabhairt i gcomhréir le CEEAG. Sonraigh cá bhfuil an fhaisnéis sin le fáil sa bhunús dlí (dréacht) (e.g. Airteagal 7, mír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Tabhair tuairisc ar an gcaoi a mbeidh coigeartú forchéimnitheach agus iomlán ar na coinníollacha a eascraíonn as cur i bhfeidhm chritéir incháilitheachta agus chomhréireachta roinn 4.11 CEEAG i gceist leis an bplean idirthréimhseach, agus go háirithe conas a laghdaíonn déine na cabhrach le himeacht ama agus conas a mhéadaíonn uasteorainn OBL le himeacht ama i gcomhréir leis an sceideal a luaitear i bpointe 417 CEEAG. Sonraigh go díreach cá bhfuil an fhaisnéis sin le fáil sa bhunús dlí (dréacht) (e.g. Airteagal 7, mír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Léirigh cé acu a cheadófar nó nach gceadófar leis an bplean idirthréimhseach déine cabhrach seasta go heisceachtúil le linn na hidirthréimhse ar fad, ar choinníoll go laghdóidh na gnóthais lena mbaineann lorg carbóin a dtomhaltas leictreachais i gcomhréir leis na coinníollacha i bpointe 418 CEEAG (i.e. go dtiocfaidh 50 % den tomhaltas leictreachais ó fhoinsí saor ó charbón, a dtagann 10 % ar a laghad de ó réamhionstraim amhail CCC nó 5 % ar a laghad de ó ghiniúint ar an láthair nó gar don láthair). I gcás dearfach, léirigh cá bhfuil an fhaisnéis sin le fáil sa bhunús dlí (dréacht) (e.g. Airteagal 7, mír 3) agus mínigh conas a áirithíonn na húdaráis náisiúnta go bhfuil pointe 418 CEEAG á chomhlíonadh agus conas a dhéanann siad faireachán air.</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Trédhearcacht</w:t>
            </w:r>
          </w:p>
        </w:tc>
      </w:tr>
    </w:tbl>
    <w:p w14:paraId="1E96F77E" w14:textId="2D16554D" w:rsidR="00016924" w:rsidRPr="005A4E16" w:rsidRDefault="006773CE" w:rsidP="005A4E16">
      <w:pPr>
        <w:keepNext/>
        <w:keepLines/>
        <w:spacing w:before="360" w:after="120"/>
        <w:jc w:val="both"/>
        <w:rPr>
          <w:i/>
        </w:rPr>
      </w:pPr>
      <w:r>
        <w:rPr>
          <w:i/>
          <w:color w:val="000000"/>
        </w:rPr>
        <w:t>Chun</w:t>
      </w:r>
      <w:r>
        <w:rPr>
          <w:i/>
        </w:rPr>
        <w:t xml:space="preserve"> </w:t>
      </w:r>
      <w:r>
        <w:rPr>
          <w:i/>
          <w:color w:val="000000"/>
        </w:rPr>
        <w:t>an fhaisnéis sa roinn seo a sholáthar</w:t>
      </w:r>
      <w:r>
        <w:rPr>
          <w:i/>
        </w:rPr>
        <w:t xml:space="preserve">, féach roinn 3.2.1.4 (pointí 58-62) CEEAG.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Deimhnigh go gcomhlíonfaidh an Ballstát na ceanglais maidir le trédhearcacht dá bhforáiltear i bpointí 58-61 CEEAG.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54B473A1" w:rsidR="005440AC" w:rsidRPr="00421F63" w:rsidRDefault="00F71774" w:rsidP="005A4E16">
      <w:pPr>
        <w:keepLines/>
        <w:numPr>
          <w:ilvl w:val="0"/>
          <w:numId w:val="4"/>
        </w:numPr>
        <w:spacing w:before="240"/>
        <w:ind w:left="567" w:hanging="567"/>
        <w:jc w:val="both"/>
      </w:pPr>
      <w:r>
        <w:lastRenderedPageBreak/>
        <w:t>Chun</w:t>
      </w:r>
      <w:r w:rsidR="006B7161">
        <w:t xml:space="preserve"> comhlíonadh phointe 61 CEEAG a fhíorú, deimhnigh go mbeidh an fhaisnéis a sholáthraítear i bpointe 58(b) ar fáil ar feadh 10 mbliana ar a laghad ón dáta ar deonaíodh an chabhair chun forfheidhmiú rialacha maidir le Státchabhair faoi CFAE a cheadú,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Éifeachtaí diúltacha míchuí na cabhrach ar iomaíocht agus ar thrádáil agus ar chothromú a sheachaint</w:t>
            </w:r>
          </w:p>
        </w:tc>
      </w:tr>
    </w:tbl>
    <w:p w14:paraId="6CD3884F" w14:textId="43834B9D" w:rsidR="00F83660" w:rsidRPr="00B215FD" w:rsidRDefault="00F83660" w:rsidP="000C2EFD">
      <w:pPr>
        <w:keepNext/>
        <w:keepLines/>
        <w:spacing w:before="360" w:after="120"/>
        <w:jc w:val="both"/>
        <w:rPr>
          <w:i/>
        </w:rPr>
      </w:pPr>
      <w:r>
        <w:rPr>
          <w:i/>
          <w:color w:val="000000"/>
        </w:rPr>
        <w:t>Chun</w:t>
      </w:r>
      <w:r>
        <w:rPr>
          <w:i/>
        </w:rPr>
        <w:t xml:space="preserve"> an fhaisnéis sa roinn seo a sholáthar, féach mír 3.2.2 CEEAG. </w:t>
      </w:r>
    </w:p>
    <w:p w14:paraId="5D5F17EA" w14:textId="02FA14EA" w:rsidR="00F83660" w:rsidRPr="001D7B55" w:rsidRDefault="00F83660" w:rsidP="005A4E16">
      <w:pPr>
        <w:keepLines/>
        <w:numPr>
          <w:ilvl w:val="0"/>
          <w:numId w:val="4"/>
        </w:numPr>
        <w:spacing w:before="240"/>
        <w:ind w:left="567" w:hanging="567"/>
        <w:jc w:val="both"/>
      </w:pPr>
      <w:r>
        <w:t>Chun comhlíonadh phointe 70 CEEAG a fhíorú, déan an méid seo a leanas:</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deimhnigh go mbaineann uastréimhse 10 mbliana ar a mhéad leis an scéim, </w:t>
      </w:r>
      <w:r>
        <w:rPr>
          <w:color w:val="000000"/>
          <w:shd w:val="clear" w:color="auto" w:fill="FFFFFF"/>
        </w:rPr>
        <w:t>ón dáta a dtugtar fógra faoin gcinneadh ón gCoimisiún lena ndearbhaítear go bhfuil an chabhair comhoiriúnach</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rPr>
          <w:color w:val="000000"/>
          <w:shd w:val="clear" w:color="auto" w:fill="FFFFFF"/>
        </w:rPr>
        <w:t>deimhnigh</w:t>
      </w:r>
      <w:r>
        <w:t xml:space="preserve">, i gcás gur mian le Ballstát tréimhse an bhirt a shíneadh thar an uastréimhse 10 mbliana sin, go bhféadfaidh sé fógra a thabhairt an athuair maidir leis an mbeart/na bearta.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Éifeachtaí dearfacha na cabhrach a chur i gcomparáid leis na héifeachtaí diúltacha ar iomaíocht agus trádáil</w:t>
            </w:r>
          </w:p>
        </w:tc>
      </w:tr>
    </w:tbl>
    <w:p w14:paraId="2BA426DC" w14:textId="523B5AF6" w:rsidR="00265702" w:rsidRPr="00863406" w:rsidRDefault="00265702" w:rsidP="000C2EFD">
      <w:pPr>
        <w:keepNext/>
        <w:keepLines/>
        <w:spacing w:before="360" w:after="120"/>
        <w:jc w:val="both"/>
        <w:rPr>
          <w:i/>
          <w:color w:val="000000"/>
        </w:rPr>
      </w:pPr>
      <w:r>
        <w:rPr>
          <w:i/>
          <w:color w:val="000000"/>
        </w:rPr>
        <w:t>Chun</w:t>
      </w:r>
      <w:r>
        <w:rPr>
          <w:i/>
        </w:rPr>
        <w:t xml:space="preserve"> an fhaisnéis sa roinn seo a sholáthar, </w:t>
      </w:r>
      <w:r>
        <w:rPr>
          <w:i/>
          <w:color w:val="000000"/>
        </w:rPr>
        <w:t>féach roinn 3.3 (pointí 71-76) agus pointe 400-402 CEEAG</w:t>
      </w:r>
      <w:r>
        <w:rPr>
          <w:i/>
        </w:rPr>
        <w:t>.</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I gcomhréir le pointe 75 CEEAG, soiléirigh cé acu an bhfuil nó nach bhfuil gnéithe sa bheart nó sna bearta a dtugtar fógra ina leith chun rannpháirtíocht FBManna a éascú. I gcás dearfach, tabhair faisnéis maidir leis na gnéithe sin agus tabhair údar leis an gcaoi gur mó na héifeachtaí dearfacha a bhaineann le rannpháirtíocht agus glacadh FBManna a áirithiú sa bheart/sna bearta a dtugtar fógra ina leith ná na hiarmhairtí saobhacha a d’fhéadfadh a bheith ann.</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A mhéid a bhaineann le cur i bhfeidhm phointe 76(c) CEEAG, sonraigh cé acu an bhfuil nó nach bhfuil an beart cabhrach nó na bearta cabhrach faoi réir teorainn ama.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lastRenderedPageBreak/>
              <w:t>Meastóireacht</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Chun an fhaisnéis sa roinn seo a sholáthar, féach pointe 76(a) agus Caibidil 5 (pointí 455-463) CEEAG.</w:t>
      </w:r>
    </w:p>
    <w:p w14:paraId="7C72F6EA" w14:textId="04D9ACCD" w:rsidR="00FD7E6B" w:rsidRDefault="00FD7E6B" w:rsidP="005A4E16">
      <w:pPr>
        <w:numPr>
          <w:ilvl w:val="0"/>
          <w:numId w:val="4"/>
        </w:numPr>
        <w:spacing w:before="240"/>
        <w:ind w:left="567" w:hanging="567"/>
        <w:jc w:val="both"/>
      </w:pPr>
      <w:r>
        <w:t>I gcás ina sáraíonn an beart/na bearta a dtugtar fógra ina leith na tairseacha buiséid/caiteachais i bpointe 456 CEEAG, mínigh cén fáth, i do thuairim, ar cheart feidhm a bheith ag an eisceacht i bpointe 457 CEEAG, nó cuir Iarscríbhinn i gceangal leis an mbileog faisnéise forlíontaí seo ina bhfuil dréachtphlean meastóireachta ina gcumhdaítear an raon feidhme a luaitear i bpointe 458 CEEAG.</w:t>
      </w:r>
      <w:r w:rsidRPr="00C7201E">
        <w:rPr>
          <w:rStyle w:val="FootnoteReference"/>
          <w:lang w:eastAsia="en-GB"/>
        </w:rPr>
        <w:footnoteReference w:id="8"/>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Má chuirtear dréachtphlean meastóireachta ar fáil, déan an méid seo a leanas:</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tabhair achoimre thíos ar an dréachtphlean meastóireachta sin atá san Iarscríbhinn.</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deimhnigh go ndéanfar pointe 460 CEEAG a urramú.</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tabhair an dáta agus an nasc idirlín ina mbeidh an plean meastóireachta ar fáil go poiblí.</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Chun comhlíonadh phointe 459(b) CEEAG a fhíorú, i gcás nach bhfuil an scéim cabhrach faoi réir meastóireacht </w:t>
      </w:r>
      <w:r>
        <w:rPr>
          <w:i/>
        </w:rPr>
        <w:t>ex post</w:t>
      </w:r>
      <w:r>
        <w:t xml:space="preserve"> faoi láthair agus gur faide a fad ná 3 bliana, deimhnigh go dtabharfaidh tú fógra faoi dhréachtphlean meastóireachta laistigh de 30 lá oibre tar éis modhnú mór lena méadófar buiséad na scéime go dtí os cionn EUR 150 milliún in aon bhliain ar leith nó EUR 750 milliún thar thréimhse iomlán na scéime.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Chun comhlíonadh phointe 459(c) CEEAG a fhíorú, i gcás nach bhfuil an scéim cabhrach faoi réir meastóireacht </w:t>
      </w:r>
      <w:r>
        <w:rPr>
          <w:i/>
          <w:iCs/>
        </w:rPr>
        <w:t>ex</w:t>
      </w:r>
      <w:r>
        <w:rPr>
          <w:i/>
          <w:iCs/>
        </w:rPr>
        <w:noBreakHyphen/>
        <w:t>post</w:t>
      </w:r>
      <w:r>
        <w:t xml:space="preserve"> faoi láthair, tabhair gealltanas thíos go dtabharfaidh an Ballstát fógra faoi dhréachtphlean meastóireachta </w:t>
      </w:r>
      <w:r>
        <w:rPr>
          <w:shd w:val="clear" w:color="auto" w:fill="FFFFFF"/>
        </w:rPr>
        <w:t>laistigh de 30 lá oibre tar éis caiteachas os cionn EUR 150 milliún sa bhliain roimhe sin a thaifeadadh i gcuntais oifigiúla</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Chun comhlíonadh phointe 461 CEEAG a fhíorú, déan an méid seo a leanas:</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Soiléirigh cé acu a roghnaíodh an saineolaí neamhspleách cheana féin nó a roghnófar é amach anseo.</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lastRenderedPageBreak/>
        <w:t>Tabhair faisnéis faoin nós imeachta chun an saineolaí a roghnú.</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Tabhair údar leis an gcaoi a bhfuil an saineolaí neamhspleách ar an údarás deonúcháin.</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Chun comhlíonadh phointe 461 CEEAG a fhíorú, déan an méid seo a leanas: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Tabhair na sprioc-amanna atá beartaithe agat chun an tuarascáil mheastóireachta eatramhach agus an tuarascáil mheastóireachta deiridh a chur isteach. Tabhair faoi deara nach mór an tuarascáil mheastóireachta deiridh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Deimhnigh go gcuirfear an tuarascáil meastóireachta eatramhaí agus an tuarascáil meastóireachta deiridh ar fáil go poiblí. Tabhair an dáta agus an nasc idirlín ina mbeidh na tuarascálacha sin ar fáil go poiblí.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Tuairisciú agus faireachán</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Chun an fhaisnéis sa roinn seo a sholáthar, féach Roinn 6 (pointí 464-465) CEEAG.</w:t>
      </w:r>
    </w:p>
    <w:p w14:paraId="3FBE246E" w14:textId="1FB553B4" w:rsidR="00FD7E6B" w:rsidRDefault="00FD7E6B" w:rsidP="005A4E16">
      <w:pPr>
        <w:keepLines/>
        <w:numPr>
          <w:ilvl w:val="0"/>
          <w:numId w:val="4"/>
        </w:numPr>
        <w:spacing w:before="240"/>
        <w:ind w:left="567" w:hanging="567"/>
        <w:jc w:val="both"/>
      </w:pPr>
      <w:r>
        <w:t>Deimhnigh go gcomhlíonfaidh an Ballstát na ceanglais maidir le tuairisciú agus faireachán dá bhforáiltear i Roinn 6, pointí 464 agus 465 CEEAG.</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1DBEE" w14:textId="77777777" w:rsidR="00616204" w:rsidRDefault="00616204" w:rsidP="000442F5">
      <w:r>
        <w:separator/>
      </w:r>
    </w:p>
  </w:endnote>
  <w:endnote w:type="continuationSeparator" w:id="0">
    <w:p w14:paraId="05459894" w14:textId="77777777" w:rsidR="00616204" w:rsidRDefault="00616204" w:rsidP="000442F5">
      <w:r>
        <w:continuationSeparator/>
      </w:r>
    </w:p>
  </w:endnote>
  <w:endnote w:type="continuationNotice" w:id="1">
    <w:p w14:paraId="0FC7FF6D" w14:textId="77777777" w:rsidR="00616204" w:rsidRDefault="00616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81189" w14:textId="77777777" w:rsidR="00616204" w:rsidRDefault="00616204" w:rsidP="000442F5">
      <w:r>
        <w:separator/>
      </w:r>
    </w:p>
  </w:footnote>
  <w:footnote w:type="continuationSeparator" w:id="0">
    <w:p w14:paraId="77730EDD" w14:textId="77777777" w:rsidR="00616204" w:rsidRDefault="00616204" w:rsidP="000442F5">
      <w:r>
        <w:continuationSeparator/>
      </w:r>
    </w:p>
  </w:footnote>
  <w:footnote w:type="continuationNotice" w:id="1">
    <w:p w14:paraId="7F009CBD" w14:textId="77777777" w:rsidR="00616204" w:rsidRDefault="00616204"/>
  </w:footnote>
  <w:footnote w:id="2">
    <w:p w14:paraId="2E1DAC13" w14:textId="77777777" w:rsidR="00FE3196" w:rsidRPr="0067348B" w:rsidRDefault="00FE3196" w:rsidP="007B485D">
      <w:pPr>
        <w:pStyle w:val="FootnoteText"/>
      </w:pPr>
      <w:r>
        <w:rPr>
          <w:rStyle w:val="FootnoteReference"/>
        </w:rPr>
        <w:footnoteRef/>
      </w:r>
      <w:r>
        <w:tab/>
        <w:t>IO C 80, 18.2.2022, lch. 1.</w:t>
      </w:r>
    </w:p>
  </w:footnote>
  <w:footnote w:id="3">
    <w:p w14:paraId="40B31757" w14:textId="710C01BF" w:rsidR="00B77C6D" w:rsidRDefault="00B77C6D" w:rsidP="00B77C6D">
      <w:pPr>
        <w:pStyle w:val="FootnoteText"/>
      </w:pPr>
      <w:r>
        <w:rPr>
          <w:rStyle w:val="FootnoteReference"/>
        </w:rPr>
        <w:footnoteRef/>
      </w:r>
      <w:r>
        <w:t xml:space="preserve"> </w:t>
      </w:r>
      <w:r>
        <w:tab/>
        <w:t xml:space="preserve">Tabhair faoi deara, i gcás scéim cabhrach, gurb é an fad an tréimhse ar lena linn a fhéadfar iarratas a dhéanamh ar chabhair agus cinneadh a dhéanamh ina leith (lena n‐áirítear freisin, dá bhrí sin, an t‐am is gá do na húdaráis chun na hiarratais ar chabhair a fhormheas). Ní bhaineann an fad dá dtagraítear faoin gceist sin le fad na gconarthaí a thugtar i gcrích faoin scéim cabhrach, a fhéadfaidh leanúint ar aghaidh níos faide ná fad an bhirt. </w:t>
      </w:r>
    </w:p>
  </w:footnote>
  <w:footnote w:id="4">
    <w:p w14:paraId="28F42BB8" w14:textId="2923C271" w:rsidR="0068024A" w:rsidRPr="0067348B" w:rsidRDefault="0068024A" w:rsidP="0068024A">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5">
    <w:p w14:paraId="3A832CB6" w14:textId="77777777" w:rsidR="00FE3196" w:rsidRPr="00D6380C" w:rsidRDefault="00FE3196" w:rsidP="00470AF2">
      <w:pPr>
        <w:pStyle w:val="FootnoteText"/>
        <w:ind w:left="567" w:hanging="567"/>
      </w:pPr>
      <w:r>
        <w:rPr>
          <w:rStyle w:val="FootnoteReference"/>
        </w:rPr>
        <w:footnoteRef/>
      </w:r>
      <w:r>
        <w:t xml:space="preserve"> </w:t>
      </w:r>
      <w:r>
        <w:tab/>
        <w:t>I sainmhíniú an Aicmithe Staidrimh Gníomhaíochtaí Eacnamaíocha sa Chomhphobal Eorpach (aicmiú ‘NACE rev. 2’), chuig leibhéal dí-chomhiomlánaithe nach mó ná ocht ndigit (leibhéal ‘PRODCOM’).</w:t>
      </w:r>
    </w:p>
  </w:footnote>
  <w:footnote w:id="6">
    <w:p w14:paraId="555714D6" w14:textId="77777777" w:rsidR="00FE3196" w:rsidRPr="00D91CFC" w:rsidRDefault="00FE3196" w:rsidP="00470AF2">
      <w:pPr>
        <w:pStyle w:val="FootnoteText"/>
        <w:ind w:left="567" w:hanging="567"/>
      </w:pPr>
      <w:r>
        <w:rPr>
          <w:rStyle w:val="FootnoteReference"/>
        </w:rPr>
        <w:footnoteRef/>
      </w:r>
      <w:r>
        <w:tab/>
        <w:t>Mar shampla, sonraí a chumhdaíonn céatadán suntasach den oll-bhreisluach ar leibhéal an AE maidir leis an earnáil nó leis an bhfo-earnáil lena mbaineann.</w:t>
      </w:r>
    </w:p>
  </w:footnote>
  <w:footnote w:id="7">
    <w:p w14:paraId="086AD512" w14:textId="7087BE19" w:rsidR="00FE3196" w:rsidRDefault="00FE3196">
      <w:pPr>
        <w:pStyle w:val="FootnoteText"/>
      </w:pPr>
      <w:r>
        <w:rPr>
          <w:rStyle w:val="FootnoteReference"/>
        </w:rPr>
        <w:footnoteRef/>
      </w:r>
      <w:r>
        <w:t xml:space="preserve"> </w:t>
      </w:r>
      <w:r>
        <w:tab/>
        <w:t>Is éard is cistiú ón Aontas a bhainistítear go lárnach ann cistiú ón Aontas a bhainistítear go lárnach ag institiúidí, gníomhaireachta, comhghnóthais nó comhlachtaí eile de chuid an Aontais Eorpaigh nach bhfuil faoi rialú go díreach nó go hindíreach ag na Ballstáit.</w:t>
      </w:r>
    </w:p>
  </w:footnote>
  <w:footnote w:id="8">
    <w:p w14:paraId="2FB02E44" w14:textId="77777777" w:rsidR="00FD7E6B" w:rsidRDefault="00FD7E6B" w:rsidP="00FD7E6B">
      <w:pPr>
        <w:pStyle w:val="FootnoteText"/>
      </w:pPr>
      <w:r>
        <w:rPr>
          <w:rStyle w:val="FootnoteReference"/>
        </w:rPr>
        <w:footnoteRef/>
      </w:r>
      <w:r>
        <w:t xml:space="preserve"> </w:t>
      </w:r>
      <w:r>
        <w:tab/>
        <w:t xml:space="preserve">Tá an teimpléad don bhileog faisnéise forlíontaí chun fógra a thabhairt faoi phlean meastóireachta (Cuid III.8) le fáil anseo: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158EB"/>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16204"/>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13CD"/>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1774"/>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ga-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ga-I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ga-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Props1.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2.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4464</Words>
  <Characters>23531</Characters>
  <Application>Microsoft Office Word</Application>
  <DocSecurity>0</DocSecurity>
  <Lines>490</Lines>
  <Paragraphs>169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5</cp:revision>
  <cp:lastPrinted>2022-10-05T12:42:00Z</cp:lastPrinted>
  <dcterms:created xsi:type="dcterms:W3CDTF">2024-08-01T10:54:00Z</dcterms:created>
  <dcterms:modified xsi:type="dcterms:W3CDTF">2024-09-06T15:20:00Z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