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Dio III.6.</w:t>
            </w:r>
          </w:p>
          <w:p w14:paraId="1C239D2C" w14:textId="171BCF76" w:rsidR="000442F5" w:rsidRPr="009916D5" w:rsidRDefault="00531803" w:rsidP="007B485D">
            <w:pPr>
              <w:pStyle w:val="Heading2"/>
              <w:spacing w:before="240" w:after="240"/>
              <w:jc w:val="center"/>
              <w:rPr>
                <w:sz w:val="32"/>
                <w:szCs w:val="32"/>
              </w:rPr>
            </w:pPr>
            <w:r>
              <w:rPr>
                <w:sz w:val="32"/>
              </w:rPr>
              <w:t>Obrazac o dodatnim podacima za državne potpore dodijeljene na temelju Smjernica o državnim potporama za klimu, zaštitu okoliša i energiju za 2022. (CEEAG)</w:t>
            </w:r>
            <w:r>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Poglavlje 4.11. – Potpore u obliku smanjenja naknada za električnu energiju za velike potrošače energije</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Ovaj obrazac o dodatnim podacima mora se upotrebljavati za prijavu potpore obuhvaćene Smjernicama o državnim potporama za klimu, zaštitu okoliša i energiju za 2022. (dalje u tekstu „CEEAG”).</w:t>
      </w:r>
    </w:p>
    <w:p w14:paraId="1B60656B" w14:textId="5A450E3F" w:rsidR="009E2EA1" w:rsidRPr="00711243" w:rsidRDefault="0072538B" w:rsidP="009E2EA1">
      <w:pPr>
        <w:spacing w:before="120" w:after="120"/>
        <w:ind w:right="-142"/>
        <w:jc w:val="both"/>
        <w:rPr>
          <w:i/>
          <w:iCs/>
        </w:rPr>
      </w:pPr>
      <w:r>
        <w:rPr>
          <w:i/>
        </w:rPr>
        <w:t xml:space="preserve">Ovaj obrazac o dodatnim podacima odnosi se na mjere obuhvaćene poglavljem 4.11. CEEAG-a. Ako prijava uključuje mjere na koje se odnosi više poglavlja CEEAG-a, nakon što postane dostupan ispunite i odgovarajući obrazac o dodatnim podacima koji se odnosi na odgovarajuće poglavlje CEEAG-a. </w:t>
      </w:r>
    </w:p>
    <w:p w14:paraId="05E36007" w14:textId="48DD17A5" w:rsidR="009E2EA1" w:rsidRPr="00711243" w:rsidRDefault="009E2EA1" w:rsidP="009E2EA1">
      <w:pPr>
        <w:spacing w:before="120" w:after="120"/>
        <w:ind w:right="-142"/>
        <w:jc w:val="both"/>
        <w:rPr>
          <w:i/>
          <w:iCs/>
        </w:rPr>
      </w:pPr>
      <w:r>
        <w:rPr>
          <w:i/>
        </w:rPr>
        <w:t>Svi dokumenti koje države članice prilažu obrascu o dodatnim podacima moraju biti označeni brojevima, a brojevi dokumenata navode se u odgovarajućim odjeljcima ovog obrasca o dodatnim podacima.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Odjeljak A: Sažetak glavnih obilježja prijavljenih mjera</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Kontekst i ciljevi prijavljenih mjera</w:t>
      </w:r>
    </w:p>
    <w:p w14:paraId="53AAF227" w14:textId="40775AB0" w:rsidR="00931262" w:rsidRDefault="00931262" w:rsidP="004F64BC">
      <w:pPr>
        <w:pStyle w:val="ListParagraph"/>
        <w:keepLines/>
        <w:numPr>
          <w:ilvl w:val="0"/>
          <w:numId w:val="21"/>
        </w:numPr>
        <w:spacing w:after="240"/>
        <w:ind w:left="993" w:hanging="142"/>
        <w:jc w:val="both"/>
      </w:pPr>
      <w:r>
        <w:t>Je li riječ o novoj mjeri ili izmjeni postojeće mjere? Ako je riječ o izmjeni, navedite pojedinosti o izmjenama programa.</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Ako se već nije spomenulo u odjeljku 5.2. obrasca o općim podacima (dio I.), navedite kontekst i glavni cilj, uključujući vezu sa svim ciljevima Unije u pogledu zaštite okoliša koje se namjerava poduprijeti tom mjerom;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Navedite sve druge ciljeve koji se nastoje postići mjerom. Ako je riječ o ciljevima koji nisu isključivo okolišni, objasnite mogu li oni dovesti do narušavanja unutarnjeg tržišta.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Stupanje na snagu i trajanje</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Ako se već nije navelo u odjeljku 5.5. obrasca o općim podacima (dio I.), navedite:</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za program potpore: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datum od kojeg bi program trebao stupiti na snagu;</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trajanje programa</w:t>
      </w:r>
      <w:r>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za pojedinačnu potporu: (planirani) datum dodjele potpore (obećana potpora) i datum plaćanja (datum prvog plaćanja ako su predviđena različita uzastopna plaćanja):</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Korisnici</w:t>
      </w:r>
      <w:r>
        <w:tab/>
      </w:r>
    </w:p>
    <w:p w14:paraId="06E5A4C8" w14:textId="44380450" w:rsidR="00B77C6D" w:rsidRDefault="0068024A" w:rsidP="00B77C6D">
      <w:pPr>
        <w:pStyle w:val="ListParagraph"/>
        <w:numPr>
          <w:ilvl w:val="0"/>
          <w:numId w:val="22"/>
        </w:numPr>
        <w:spacing w:after="240"/>
        <w:ind w:hanging="229"/>
        <w:jc w:val="both"/>
        <w:rPr>
          <w:szCs w:val="24"/>
        </w:rPr>
      </w:pPr>
      <w:r>
        <w:t>Ako već nisu opisani u odjeljku 3. obrasca o općim podacima (dio I.), opišite (potencijalne) korisnike mjera.</w:t>
      </w:r>
    </w:p>
    <w:p w14:paraId="32EF3438" w14:textId="77777777" w:rsidR="00B77C6D" w:rsidRPr="00564D5B" w:rsidRDefault="00B77C6D" w:rsidP="00B77C6D">
      <w:pPr>
        <w:tabs>
          <w:tab w:val="left" w:leader="dot" w:pos="9072"/>
        </w:tabs>
        <w:spacing w:before="120" w:after="120"/>
        <w:ind w:left="567"/>
        <w:jc w:val="both"/>
      </w:pPr>
      <w:r>
        <w:lastRenderedPageBreak/>
        <w:tab/>
      </w:r>
    </w:p>
    <w:p w14:paraId="1DB31E97" w14:textId="77777777" w:rsidR="00B77C6D" w:rsidRPr="00C55D4C" w:rsidRDefault="00B77C6D" w:rsidP="00B77C6D">
      <w:pPr>
        <w:pStyle w:val="ListParagraph"/>
        <w:numPr>
          <w:ilvl w:val="0"/>
          <w:numId w:val="22"/>
        </w:numPr>
        <w:spacing w:after="240"/>
        <w:ind w:hanging="229"/>
        <w:jc w:val="both"/>
        <w:rPr>
          <w:szCs w:val="24"/>
        </w:rPr>
      </w:pPr>
      <w:r>
        <w:t>Navedite lokaciju (potencijalnih) korisnika (tj. jesu li za sudjelovanje u mjeri prihvatljivi samo gospodarski subjekti koji se nalaze u predmetnoj državi članici ili i oni iz drugih država članica).</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Ako se dodjeljuje, navedite podatke o iznosu potpore koji još nije vraćen kako bi ga Komisija uzela u obzir pri ocjeni mjere potpore.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Potvrdite da mjera ne uključuje potporu za djelatnosti koje nisu obuhvaćene područjem primjene CEEAG-a (vidjeti točku 13. CEEAG-a). U protivnom navedite pojedinosti.</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Proračun i financiranje mjera</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Ako već nije naveden u tablici u odjeljku 7.1. obrasca o općim podacima (dio I.), navedite godišnji i/ili ukupni proračun za cijelo trajanje mjera, a ako ukupni proračun nije poznat (npr. jer ovisi o rezultatima natječajâ), navedite procijenjeni proračun, uključujući pretpostavke na temelju kojih je izračunan.</w:t>
      </w:r>
      <w:r>
        <w:rPr>
          <w:vertAlign w:val="superscript"/>
        </w:rPr>
        <w:t xml:space="preserve"> </w:t>
      </w:r>
      <w:r>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Budući da se mjera odnosi na naknadu, navedite:</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je li naknada utvrđena zakonom ili nekim drugim zakonodavnim aktom. Ako jest, navedite relevantni pravni akt, broj i datum donošenja i stupanja na snagu i internetsku poveznicu;</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financira li se smanjenje naknade povećanjem naknade za ostale potrošače</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financira li se mjera iz naknade samo djelomično ili u cijelosti. Ako se financira samo djelomično, navedite druge izvore financiranja mjere i njihov odgovarajući udio;</w:t>
      </w:r>
    </w:p>
    <w:p w14:paraId="56091CF7" w14:textId="77777777" w:rsidR="00B77C6D" w:rsidRDefault="00B77C6D" w:rsidP="00E7597C">
      <w:pPr>
        <w:keepLines/>
        <w:tabs>
          <w:tab w:val="left" w:leader="dot" w:pos="9072"/>
        </w:tabs>
        <w:spacing w:before="120" w:after="120"/>
        <w:ind w:left="927"/>
        <w:jc w:val="both"/>
      </w:pPr>
      <w:r>
        <w:lastRenderedPageBreak/>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financira li se naknadom iz koje se financira prijavljena mjera potpore i neke druge mjere potpore. Ako se financiraju, navedite ostale mjere potpore koje se financiraju iz te naknade.</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Odjeljak B: Ocjena spojivosti potpore</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Pozitivni uvjet: potpora mora olakšavati razvoj gospodarske djelatnosti</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Doprinos razvoju gospodarske djelatnosti i učinak poticaja</w:t>
            </w:r>
          </w:p>
        </w:tc>
      </w:tr>
    </w:tbl>
    <w:p w14:paraId="1E2599D2" w14:textId="090DDB6C" w:rsidR="000442F5" w:rsidRPr="00DB40A5" w:rsidRDefault="000442F5" w:rsidP="00D304A1">
      <w:pPr>
        <w:keepLines/>
        <w:spacing w:before="360" w:after="120"/>
        <w:jc w:val="both"/>
        <w:rPr>
          <w:i/>
        </w:rPr>
      </w:pPr>
      <w:r>
        <w:rPr>
          <w:i/>
        </w:rPr>
        <w:t>Za unos podataka u ovom odjeljku vidjeti</w:t>
      </w:r>
      <w:r>
        <w:rPr>
          <w:i/>
          <w:color w:val="000000"/>
        </w:rPr>
        <w:t xml:space="preserve"> odjeljak 4.11.1. </w:t>
      </w:r>
      <w:r>
        <w:rPr>
          <w:i/>
        </w:rPr>
        <w:t xml:space="preserve">CEEAG-a. </w:t>
      </w:r>
    </w:p>
    <w:p w14:paraId="3B179A23" w14:textId="692B32B4" w:rsidR="00FE59FF" w:rsidRDefault="00956022" w:rsidP="007D3768">
      <w:pPr>
        <w:numPr>
          <w:ilvl w:val="0"/>
          <w:numId w:val="4"/>
        </w:numPr>
        <w:ind w:left="426" w:hanging="426"/>
        <w:jc w:val="both"/>
      </w:pPr>
      <w:r>
        <w:t xml:space="preserve">U članku 107. stavku 3. točki (c) Ugovora o funkcioniranju Europske unije (UFEU)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UFEU-a mora pridonositi razvoju određene gospodarske djelatnosti. </w:t>
      </w:r>
    </w:p>
    <w:p w14:paraId="3D019745" w14:textId="31E2DE72" w:rsidR="00C75792" w:rsidRPr="008515FB" w:rsidRDefault="00FE59FF" w:rsidP="00E7597C">
      <w:pPr>
        <w:spacing w:before="240"/>
        <w:ind w:left="357"/>
        <w:jc w:val="both"/>
      </w:pPr>
      <w:r>
        <w:t>Nadalje, može se smatrati da državna potpora olakšava gospodarsku djelatnost samo ako ima učinak poticaja. Učinak poticaja prisutan je ako potpora potiče korisnika da promijeni svoje ponašanje prema razvoju gospodarske djelatnosti koja se potiče potporom i ako do te promjene u ponašanju ne bi došlo bez potpore.</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Objasnite kako se mehanizmom smanjenja naknade pružaju poticaji prihvatljivim poduzetnicima kako bi se izbjegao rizik od premještanja djelatnosti izvan Unije gdje ekološka disciplina ne postoji ili je manje ambiciozna ili se pružaju poticaji za elektrifikaciju proizvodnih procesa u skladu s točkom 400. CEEAG-a.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Navedite u kojem je dijelu (nacrta) pravne osnove to razmatranje vidljivo.</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Nepostojanje povrede bilo koje relevantne odredbe prava Unije</w:t>
            </w:r>
          </w:p>
        </w:tc>
      </w:tr>
    </w:tbl>
    <w:p w14:paraId="665FE026" w14:textId="0459581F" w:rsidR="00DE1D68" w:rsidRDefault="00DE1D68" w:rsidP="00DE1D68">
      <w:pPr>
        <w:spacing w:before="360" w:after="120"/>
        <w:jc w:val="both"/>
        <w:rPr>
          <w:i/>
        </w:rPr>
      </w:pPr>
      <w:r>
        <w:rPr>
          <w:i/>
        </w:rPr>
        <w:t xml:space="preserve">Za unos podataka u ovom odjeljku vidjeti odjeljak 3.1.3. (točka 33.) CEEAG-a. </w:t>
      </w:r>
    </w:p>
    <w:p w14:paraId="3E98C3D7" w14:textId="0DD79AFD" w:rsidR="00BE702A" w:rsidRDefault="0023543E" w:rsidP="00E7597C">
      <w:pPr>
        <w:pStyle w:val="ListParagraph"/>
        <w:keepLines/>
        <w:spacing w:before="120" w:after="120"/>
        <w:ind w:left="1287"/>
        <w:contextualSpacing w:val="0"/>
        <w:jc w:val="both"/>
        <w:rPr>
          <w:rFonts w:cs="Arial Unicode MS"/>
          <w:bCs/>
        </w:rPr>
      </w:pPr>
      <w:r>
        <w:t>Dostavite podatke koji potvrđuju usklađenost s relevantnim odredbama prava EU-a, u skladu s točkom 33. CEEAG-a.</w:t>
      </w:r>
    </w:p>
    <w:p w14:paraId="1E0A5288" w14:textId="77777777" w:rsidR="00A97DDF" w:rsidRDefault="00A97DDF" w:rsidP="00E7597C">
      <w:pPr>
        <w:keepLines/>
        <w:tabs>
          <w:tab w:val="left" w:leader="dot" w:pos="9072"/>
        </w:tabs>
        <w:spacing w:before="120" w:after="120"/>
        <w:ind w:left="851"/>
        <w:jc w:val="both"/>
        <w:rPr>
          <w:color w:val="000000"/>
        </w:rPr>
      </w:pPr>
      <w: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Negativni uvjet: potpora ne smije neopravdano utjecati na trgovinske uvjete u mjeri u kojoj bi to bilo suprotno zajedničkom interesu</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Svođenje narušavanja tržišnog natjecanja i trgovine na najmanju moguću mjeru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Potreba za intervencijom državnom potporom i primjerenost potpore</w:t>
            </w:r>
          </w:p>
        </w:tc>
      </w:tr>
    </w:tbl>
    <w:p w14:paraId="3C23674F" w14:textId="3EF4BD10" w:rsidR="00663008" w:rsidRPr="00F83660" w:rsidRDefault="00663008" w:rsidP="00663008">
      <w:pPr>
        <w:spacing w:before="360" w:after="120"/>
        <w:jc w:val="both"/>
        <w:rPr>
          <w:i/>
          <w:color w:val="000000"/>
        </w:rPr>
      </w:pPr>
      <w:r>
        <w:rPr>
          <w:i/>
          <w:color w:val="000000"/>
        </w:rPr>
        <w:t>Za</w:t>
      </w:r>
      <w:r>
        <w:rPr>
          <w:i/>
        </w:rPr>
        <w:t xml:space="preserve"> unos podataka </w:t>
      </w:r>
      <w:r>
        <w:rPr>
          <w:i/>
          <w:color w:val="000000"/>
        </w:rPr>
        <w:t xml:space="preserve">u ovom odjeljku vidjeti odjeljak 4.11.2. i točku 413. CEEAG-a.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Točka 403. CEEAG-a primjenjuje se na smanjenje naknada za potrošnju električne energije kojima se financiraju ciljevi energetske politike i politike zaštite okoliša. Za svaku naknadu za koju je predviđeno odobravanje smanjenja dostavite potpun i detaljan opis prirode, područja primjene i primjene naknada tako da objasnite kako sustav naknada funkcionira u praksi (funkcioniranje programa i tijela koje dodjeljuje bespovratna sredstva) i detaljnim upućivanjima na njegov regulatorni okvir (pravna osnova). </w:t>
      </w:r>
    </w:p>
    <w:p w14:paraId="72782B48" w14:textId="77777777" w:rsidR="00A97DDF" w:rsidRDefault="00A97DDF" w:rsidP="00A97DDF">
      <w:pPr>
        <w:tabs>
          <w:tab w:val="left" w:leader="dot" w:pos="9072"/>
        </w:tabs>
        <w:spacing w:before="120" w:after="120"/>
        <w:ind w:left="851"/>
        <w:jc w:val="both"/>
        <w:rPr>
          <w:color w:val="000000"/>
        </w:rPr>
      </w:pPr>
      <w: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Konkretno, podijelite informacije o sljedećim elementima:</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svrha svake naknade (objasnite kako se koriste prihodi ostvareni svakom naknadom);</w:t>
      </w:r>
    </w:p>
    <w:p w14:paraId="3E421772" w14:textId="02259217" w:rsidR="00A97DDF" w:rsidRPr="009046DC" w:rsidRDefault="00A97DDF" w:rsidP="009046DC">
      <w:pPr>
        <w:tabs>
          <w:tab w:val="left" w:leader="dot" w:pos="9072"/>
        </w:tabs>
        <w:spacing w:before="120" w:after="120"/>
        <w:ind w:left="851"/>
        <w:jc w:val="both"/>
        <w:rPr>
          <w:color w:val="000000"/>
        </w:rPr>
      </w:pPr>
      <w: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kako i kome se naplaćuje naknada; na kojoj se osnovi naknada naplaćuje poduzetniku; metodologiji za izračun stope naknade; primjenjuju li se, zašto i kako, različite stope naknada po osnovi koja se naplaćuje; koliko se često i na kojoj osnovi preispituje stopa naknade;</w:t>
      </w:r>
    </w:p>
    <w:p w14:paraId="3D06ECCA" w14:textId="77777777" w:rsidR="00A97DDF" w:rsidRDefault="00A97DDF" w:rsidP="00E7597C">
      <w:pPr>
        <w:keepLines/>
        <w:tabs>
          <w:tab w:val="left" w:leader="dot" w:pos="9072"/>
        </w:tabs>
        <w:spacing w:before="120" w:after="120"/>
        <w:ind w:left="851"/>
        <w:jc w:val="both"/>
        <w:rPr>
          <w:color w:val="000000"/>
        </w:rPr>
      </w:pPr>
      <w: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opišite različite subjekte uključene u utvrđivanje i preispitivanje naknade te subjekte koji su uključeni u prikupljanje prihoda od naknada i upravljanje njima; </w:t>
      </w:r>
    </w:p>
    <w:p w14:paraId="67ABBA8F" w14:textId="77777777" w:rsidR="008B1377" w:rsidRDefault="008B1377" w:rsidP="00E7597C">
      <w:pPr>
        <w:keepLines/>
        <w:tabs>
          <w:tab w:val="left" w:leader="dot" w:pos="9072"/>
        </w:tabs>
        <w:spacing w:before="120" w:after="120"/>
        <w:ind w:left="851"/>
        <w:jc w:val="both"/>
        <w:rPr>
          <w:color w:val="000000"/>
        </w:rPr>
      </w:pPr>
      <w: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kako funkcionira sustav naplate i preraspodjele naknada;</w:t>
      </w:r>
    </w:p>
    <w:p w14:paraId="6459F489" w14:textId="54827983" w:rsidR="00A97DDF" w:rsidRPr="009046DC" w:rsidRDefault="00A97DDF" w:rsidP="00E7597C">
      <w:pPr>
        <w:keepLines/>
        <w:tabs>
          <w:tab w:val="left" w:leader="dot" w:pos="9072"/>
        </w:tabs>
        <w:spacing w:before="120" w:after="120"/>
        <w:ind w:left="851"/>
        <w:jc w:val="both"/>
        <w:rPr>
          <w:color w:val="000000"/>
        </w:rPr>
      </w:pPr>
      <w: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navedite najnovije godišnje podatke o primijenjenim stopama naknada i ukupnim prikupljenim prihodima. Ako su dostupna, navedite predviđanja za budućnost;</w:t>
      </w:r>
    </w:p>
    <w:p w14:paraId="373FD785" w14:textId="77777777" w:rsidR="00A97DDF" w:rsidRDefault="00A97DDF" w:rsidP="00E7597C">
      <w:pPr>
        <w:keepLines/>
        <w:tabs>
          <w:tab w:val="left" w:leader="dot" w:pos="9072"/>
        </w:tabs>
        <w:spacing w:before="120" w:after="120"/>
        <w:ind w:left="851"/>
        <w:jc w:val="both"/>
        <w:rPr>
          <w:color w:val="000000"/>
        </w:rPr>
      </w:pPr>
      <w: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lastRenderedPageBreak/>
        <w:t>U točki 404. CEEAG-a navodi se da države članice moraju uključiti sva smanjenja potencijalno višestrukih naknada za električnu energiju za velike potrošače energije u jedinstveni program i obavijestiti Komisiju o kumulativnom učinku svih prihvatljivih naknada i svih predloženih smanjenja.</w:t>
      </w:r>
    </w:p>
    <w:p w14:paraId="3EF0E8A7" w14:textId="542E1B2A" w:rsidR="008D467D" w:rsidRDefault="00937DCD" w:rsidP="00E7597C">
      <w:pPr>
        <w:pStyle w:val="ListParagraph"/>
        <w:keepLines/>
        <w:numPr>
          <w:ilvl w:val="0"/>
          <w:numId w:val="43"/>
        </w:numPr>
        <w:spacing w:before="120" w:after="120"/>
        <w:contextualSpacing w:val="0"/>
        <w:jc w:val="both"/>
      </w:pPr>
      <w:r>
        <w:t xml:space="preserve">Potvrdite da su sva smanjenja naknada koja će se odobriti na temelju odjeljka 4.11. CEEAG-a obuhvaćena prijavljenom mjerom i da će se moguća buduća smanjenja naknada koje nisu obuhvaćene prijaviti izmjenom prijavljene mjere. </w:t>
      </w:r>
    </w:p>
    <w:p w14:paraId="5D95920A" w14:textId="71C4C3A1" w:rsidR="008D467D" w:rsidRPr="00C01760" w:rsidRDefault="008D467D" w:rsidP="00E7597C">
      <w:pPr>
        <w:keepLines/>
        <w:tabs>
          <w:tab w:val="left" w:leader="dot" w:pos="9072"/>
        </w:tabs>
        <w:spacing w:before="120" w:after="120"/>
        <w:ind w:left="851"/>
        <w:jc w:val="both"/>
        <w:rPr>
          <w:color w:val="000000"/>
        </w:rPr>
      </w:pPr>
      <w:r>
        <w:tab/>
      </w:r>
    </w:p>
    <w:p w14:paraId="359D41E7" w14:textId="10C378E6" w:rsidR="008D467D" w:rsidRDefault="00937DCD" w:rsidP="00E7597C">
      <w:pPr>
        <w:pStyle w:val="ListParagraph"/>
        <w:keepLines/>
        <w:numPr>
          <w:ilvl w:val="0"/>
          <w:numId w:val="43"/>
        </w:numPr>
        <w:spacing w:before="120" w:after="120"/>
        <w:contextualSpacing w:val="0"/>
        <w:jc w:val="both"/>
      </w:pPr>
      <w:r>
        <w:t>Na temelju posljednjih godina i mogućih predviđanja navedite informacije o kumulativnom učinku svih relevantnih naknada (u apsolutnom i relativnom smislu, u usporedbi s ukupnim troškovima električne energije i ukupnim pristojbama, naknadama i porezima za električnu energiju) i povezanim smanjenjima za korisnike u okviru prijavljenog programa.</w:t>
      </w:r>
    </w:p>
    <w:p w14:paraId="3692203F" w14:textId="3E761774" w:rsidR="008D467D" w:rsidRPr="00C01760" w:rsidRDefault="008D467D" w:rsidP="00E7597C">
      <w:pPr>
        <w:keepLines/>
        <w:tabs>
          <w:tab w:val="left" w:leader="dot" w:pos="9072"/>
        </w:tabs>
        <w:spacing w:before="120" w:after="120"/>
        <w:ind w:left="851"/>
        <w:jc w:val="both"/>
        <w:rPr>
          <w:color w:val="000000"/>
        </w:rPr>
      </w:pPr>
      <w: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Opišite hoće li potpora u okviru prijavljene mjere biti u obliku </w:t>
      </w:r>
      <w:r>
        <w:rPr>
          <w:i/>
          <w:iCs/>
        </w:rPr>
        <w:t>ex ante</w:t>
      </w:r>
      <w:r>
        <w:t xml:space="preserve"> smanjenja naknada, iznosa </w:t>
      </w:r>
      <w:r>
        <w:rPr>
          <w:i/>
          <w:iCs/>
        </w:rPr>
        <w:t>ex post</w:t>
      </w:r>
      <w:r>
        <w:t xml:space="preserve"> naknade (povrata) ili njihove kombinacije. U odgovoru navedite konkretna upućivanja na (nacrt) pravne osnove (npr. članak 7. stavak 3.). </w:t>
      </w:r>
    </w:p>
    <w:p w14:paraId="21504F4B" w14:textId="77777777" w:rsidR="00855B10" w:rsidRDefault="00855B10" w:rsidP="00855B10">
      <w:pPr>
        <w:tabs>
          <w:tab w:val="left" w:leader="dot" w:pos="9072"/>
        </w:tabs>
        <w:spacing w:before="120" w:after="120"/>
        <w:ind w:left="851"/>
        <w:jc w:val="both"/>
        <w:rPr>
          <w:color w:val="000000"/>
        </w:rPr>
      </w:pPr>
      <w:r>
        <w:tab/>
      </w:r>
    </w:p>
    <w:p w14:paraId="2A380F03" w14:textId="0D5BB75C" w:rsidR="00855B10" w:rsidRPr="00855B10" w:rsidRDefault="00AB606C" w:rsidP="00855B10">
      <w:pPr>
        <w:pStyle w:val="ListParagraph"/>
        <w:numPr>
          <w:ilvl w:val="0"/>
          <w:numId w:val="51"/>
        </w:numPr>
        <w:spacing w:before="120" w:after="120"/>
        <w:contextualSpacing w:val="0"/>
        <w:jc w:val="both"/>
      </w:pPr>
      <w:r>
        <w:t>U skladu s točkom 413. CEEAG-a, ako se potpora dodjeljuje u obliku smanjenja naknada, potvrdite:</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da je uspostavljen mehanizam </w:t>
      </w:r>
      <w:r>
        <w:rPr>
          <w:i/>
          <w:iCs/>
        </w:rPr>
        <w:t>ex post</w:t>
      </w:r>
      <w:r>
        <w:t xml:space="preserve"> praćenja;</w:t>
      </w:r>
    </w:p>
    <w:p w14:paraId="6B91C21B" w14:textId="77777777" w:rsidR="00855B10" w:rsidRDefault="00855B10" w:rsidP="005A4E16">
      <w:pPr>
        <w:keepLines/>
        <w:tabs>
          <w:tab w:val="left" w:leader="dot" w:pos="9072"/>
        </w:tabs>
        <w:spacing w:before="120" w:after="120"/>
        <w:ind w:left="851"/>
        <w:jc w:val="both"/>
        <w:rPr>
          <w:color w:val="000000"/>
        </w:rPr>
      </w:pPr>
      <w: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i da će svaki preplaćeni iznos potpore biti vraćen prije 1. srpnja sljedeće godine. Navedite gdje se te informacije mogu pronaći u (nacrtu) pravne osnove.</w:t>
      </w:r>
    </w:p>
    <w:p w14:paraId="43A4C207" w14:textId="77777777" w:rsidR="00855B10" w:rsidRDefault="00855B10" w:rsidP="00855B10">
      <w:pPr>
        <w:tabs>
          <w:tab w:val="left" w:leader="dot" w:pos="9072"/>
        </w:tabs>
        <w:spacing w:before="120" w:after="120"/>
        <w:ind w:left="851"/>
        <w:jc w:val="both"/>
        <w:rPr>
          <w:color w:val="000000"/>
        </w:rPr>
      </w:pPr>
      <w:r>
        <w:tab/>
      </w:r>
    </w:p>
    <w:p w14:paraId="0A9FE732" w14:textId="200050F6" w:rsidR="00855B10" w:rsidRDefault="00AB606C" w:rsidP="008D467D">
      <w:pPr>
        <w:pStyle w:val="ListParagraph"/>
        <w:numPr>
          <w:ilvl w:val="0"/>
          <w:numId w:val="51"/>
        </w:numPr>
        <w:spacing w:before="120" w:after="120"/>
        <w:contextualSpacing w:val="0"/>
        <w:jc w:val="both"/>
      </w:pPr>
      <w:r>
        <w:t>U skladu sa zadnjom rečenicom točke 413. CEEAG-a, ako se potpore dodjeljuju u obliku povrata, potvrdite da se izračunava na temelju zabilježenih razina potrošnje električne energije i prema potrebi bruto dodane vrijednosti u razdoblju tijekom kojeg su se primjenjivale prihvatljive naknade.</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Prihvatljivost</w:t>
            </w:r>
          </w:p>
        </w:tc>
      </w:tr>
    </w:tbl>
    <w:p w14:paraId="2460A5B7" w14:textId="139EC6FA" w:rsidR="00AB322D" w:rsidRPr="00E74034" w:rsidRDefault="00AB322D" w:rsidP="00AB322D">
      <w:pPr>
        <w:spacing w:before="360" w:after="120"/>
        <w:jc w:val="both"/>
        <w:rPr>
          <w:i/>
        </w:rPr>
      </w:pPr>
      <w:r>
        <w:rPr>
          <w:i/>
        </w:rPr>
        <w:t xml:space="preserve">Za unos podataka u ovom odjeljku vidjeti odjeljak 4.11.3.1. (točke od 405. do 407.) CEEAG-a.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U točki 405. CEEAG-a definirani su elektrointenzivni sektori „izloženi znatnom riziku” (točka (a)) i „izloženi riziku” (točka (b)). Kako bi se provjerila usklađenost s točkom 405. CEEAG-a, potvrdite da su svi prihvatljivi elektrointenzivni sektori „izloženi znatnom riziku” i „izloženi riziku” u okviru prijavljene mjere navedeni u povezanim dijelovima Priloga I. CEEAG-u te u prilogu ovom obrascu dostavite popise sektora </w:t>
      </w:r>
      <w:r>
        <w:lastRenderedPageBreak/>
        <w:t xml:space="preserve">NACE 4 „izloženih znatnom riziku” i „izloženih riziku” koji ispunjavaju uvjete za potporu u okviru mjere, </w:t>
      </w:r>
      <w:r>
        <w:rPr>
          <w:shd w:val="clear" w:color="auto" w:fill="FFFFFF"/>
        </w:rPr>
        <w:t>navodeći gdje se te informacije mogu pronaći u (nacrtu) pravne osnove (npr. članak 7. stavak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U točki 406. CEEAG-a navodi se da će se sektor ili podsektor</w:t>
      </w:r>
      <w:r>
        <w:rPr>
          <w:vertAlign w:val="superscript"/>
        </w:rPr>
        <w:footnoteReference w:id="5"/>
      </w:r>
      <w:r>
        <w:t xml:space="preserve"> koji nije uključen u Prilog I. CEEAG-u također smatrati prihvatljivim ako ispunjava kriterije prihvatljivosti iz točke 405. Ako se potpora u okviru prijavljene mjere namjerava dodijeliti i sektorima i/ili podsektorima koji nisu uključeni u Prilog I. CEEAG-u:</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dokažite usklađenost s metodologijom iz točke 405. CEEAG-a za svaki (pod)sektor;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u prilogu ovom obrascu navedite podatke koji su reprezentativni za sektor ili podsektor na razini Unije</w:t>
      </w:r>
      <w:r>
        <w:rPr>
          <w:vertAlign w:val="superscript"/>
        </w:rPr>
        <w:footnoteReference w:id="6"/>
      </w:r>
      <w:r>
        <w:t>, koje je provjerio neovisni stručnjak i koji se temelje na razdoblju od najmanje tri uzastopne godine koje počinje najranije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Opišite kako će podnositelji zahtjeva morati dokazati da posluju u prihvatljivom sektoru i navedite gdje se te informacije mogu pronaći u (nacrtu) pravne osnove (npr. članak 7. stavak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Navedite sve ostale uvjete koji su prihvatljivi za potporu u okviru prijavljene mjere i navedite gdje se ti podaci mogu pronaći u pravnoj osnovi (npr. članak 7. stavak 3.). Konkretno, objasnite: (a) jesu li korisnici ili (pod)sektori koji su u načelu prihvatljivi na temelju Priloga I. CEEAG-u isključeni, (b) postoje li dodatni kriteriji prihvatljivosti koji bi se primjenjivali a nisu navedeni u odjeljku 4.11. CEEAG-a ili (c) jesu li predviđena različita smanjenja naknade za korisnike iz iste kategorije.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U skladu s točkom 407. CEEAG-a moguće je dodatno ograničiti prihvatljive korisnike mjere. Ako je to slučaj, za svaki takav dodatni uvjet prihvatljivosti dajte obrazloženje i dokažite da se i. odgovarajući uvjet temelji na objektivnim, nediskriminirajućim i transparentnim kriterijima i da se ii. potpora u načelu dodjeljuje na isti način svim prihvatljivim korisnicima u istom sektoru ako se nalaze u sličnoj činjeničnoj situaciji.</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lastRenderedPageBreak/>
              <w:t>Proporcionalnost potpore (potpora ograničena na najnižu razinu potrebnu za postizanje njezina cilja), uključujući zbrajanje</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Proporcionalnost potpore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Za unos podataka u ovom odjeljku vidjeti odjeljak 4.11.3.2. i točku 407. CEEAG-a.</w:t>
      </w:r>
    </w:p>
    <w:p w14:paraId="0CBF90E1" w14:textId="306749D7" w:rsidR="00B06A84" w:rsidRDefault="00644950" w:rsidP="005A4E16">
      <w:pPr>
        <w:numPr>
          <w:ilvl w:val="0"/>
          <w:numId w:val="4"/>
        </w:numPr>
        <w:spacing w:before="240"/>
        <w:ind w:left="567" w:hanging="567"/>
        <w:jc w:val="both"/>
      </w:pPr>
      <w:r>
        <w:t>Kako bi se dokazala usklađenost s odjeljkom 4.11.3.2. i točkom 407. CEEAG-a, dostavite potpun i detaljan opis metodologije za izračun smanjenja naknade koja se primjenjuje na prihvatljive korisnike i navedite gdje se te informacije mogu pronaći u (nacrtu) pravne osnove (npr. članak 7. stavak 3.). Konkretno:</w:t>
      </w:r>
    </w:p>
    <w:p w14:paraId="2E456933" w14:textId="5ED2F540" w:rsidR="00937DCD" w:rsidRDefault="006813BD" w:rsidP="009E4296">
      <w:pPr>
        <w:pStyle w:val="ListParagraph"/>
        <w:numPr>
          <w:ilvl w:val="0"/>
          <w:numId w:val="38"/>
        </w:numPr>
        <w:spacing w:before="120" w:after="120"/>
        <w:contextualSpacing w:val="0"/>
        <w:jc w:val="both"/>
      </w:pPr>
      <w:r>
        <w:t>navedite maksimalnu stopu smanjenja naknade koja se primjenjuje na poduzetnike koji posluju u sektorima „izloženima znatnom riziku” i „izloženima riziku”;</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navedite predviđa li se prijavljenom mjerom, u usporedbi s prethodnom točkom „i.”, daljnje ograničavanje dodatnih troškova koji proizlaze iz relevantnih naknada za električnu energiju. Ako je to slučaj, također navedite (a) vrijednost takvih ograničenja u odnosu na bruto dodanu vrijednost („BDV”) poduzetnika koji posluju u sektorima „izloženima znatnom riziku” i „izloženima riziku” i (b) opišite kako se izračunava BDV prihvatljivih poduzetnika koji posluju u sektorima „izloženima znatnom riziku” i „izloženima riziku”;</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potvrdite da smanjenje naknade ni u kojem slučaju neće dovesti do naknade ispod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Navedite predviđaju li se prijavljenom mjerom, u skladu s točkom 410. CEEAG-a, veći intenziteti potpore za poduzetnike koji posluju u sektorima „izloženima riziku” koji smanjuju ugljični otisak svoje potrošnje električne energije. </w:t>
      </w:r>
    </w:p>
    <w:p w14:paraId="293F5C0A" w14:textId="77777777" w:rsidR="00937DCD" w:rsidRDefault="00C17C85" w:rsidP="005A4E16">
      <w:pPr>
        <w:pStyle w:val="ListParagraph"/>
        <w:keepLines/>
        <w:spacing w:before="120" w:after="120"/>
        <w:ind w:left="567"/>
        <w:contextualSpacing w:val="0"/>
        <w:jc w:val="both"/>
      </w:pPr>
      <w:r>
        <w:t>Ako je odgovor potvrdan:</w:t>
      </w:r>
    </w:p>
    <w:p w14:paraId="29CAF0A6" w14:textId="64FF48FB" w:rsidR="00937DCD" w:rsidRDefault="003653B6" w:rsidP="005A4E16">
      <w:pPr>
        <w:pStyle w:val="ListParagraph"/>
        <w:keepLines/>
        <w:numPr>
          <w:ilvl w:val="0"/>
          <w:numId w:val="52"/>
        </w:numPr>
        <w:spacing w:before="120" w:after="120"/>
        <w:contextualSpacing w:val="0"/>
        <w:jc w:val="both"/>
      </w:pPr>
      <w:r>
        <w:t>opišite veće intenzitete potpore i potvrdite povezane uvjete koje predmetni poduzetnici trebaju ispuniti (tj. 50 % potrošnje električne energije iz izvora bez emisija ugljika, od čega najmanje 10 % iz terminskog instrumenta kao što je ugovor o kupnji energije ili najmanje 5 % iz proizvodnje na lokaciji ili blizu lokacije), navodeći gdje se te informacije mogu pronaći u (nacrtu) pravne osnove (npr. članak 7. stavak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 xml:space="preserve">opišite kako će se pratiti ispunjavanje tih uvjeta i, u slučaju </w:t>
      </w:r>
      <w:r>
        <w:rPr>
          <w:i/>
          <w:iCs/>
        </w:rPr>
        <w:t>ex post</w:t>
      </w:r>
      <w:r>
        <w:t xml:space="preserve"> praćenja, kakav bi bio učinak u slučaju neusklađenosti poduzetnika.</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lastRenderedPageBreak/>
        <w:t xml:space="preserve">Ako je primjenjivo, opišite svaku daljnju modulaciju stope smanjenja naknade među korisnicima koji posluju u sektorima „izloženima znatnom riziku” i „izloženima riziku”, navodeći gdje se te informacije mogu pronaći u (nacrtu) pravne osnove (npr. članak 7. stavak 3.). Dokažite da se (a) različita smanjenja naknade temelje na objektivnim, nediskriminirajućim i transparentnim kriterijima, i da se (b) potpore u načelu dodjeljuju na isti način svim prihvatljivim korisnicima u istom sektoru ako se nalaze u sličnoj činjeničnoj situaciji.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Energetski pregledi i sustavi gospodarenja energijom </w:t>
            </w:r>
          </w:p>
        </w:tc>
      </w:tr>
    </w:tbl>
    <w:p w14:paraId="7C447A12" w14:textId="28CC1D2E" w:rsidR="00F17D00" w:rsidRDefault="00F17D00" w:rsidP="00F17D00">
      <w:pPr>
        <w:pStyle w:val="ListParagraph"/>
        <w:spacing w:before="120" w:after="120"/>
        <w:ind w:left="567"/>
        <w:contextualSpacing w:val="0"/>
        <w:jc w:val="both"/>
        <w:rPr>
          <w:i/>
        </w:rPr>
      </w:pPr>
      <w:r>
        <w:rPr>
          <w:i/>
        </w:rPr>
        <w:t>Za unos podataka u ovom odjeljku vidjeti točke 4.11.3.4. CEEAG-a.</w:t>
      </w:r>
    </w:p>
    <w:p w14:paraId="455D1B6E" w14:textId="06E6D973" w:rsidR="00DF586F" w:rsidRDefault="00DF586F" w:rsidP="005A4E16">
      <w:pPr>
        <w:numPr>
          <w:ilvl w:val="0"/>
          <w:numId w:val="4"/>
        </w:numPr>
        <w:spacing w:before="240"/>
        <w:ind w:left="567" w:hanging="567"/>
        <w:jc w:val="both"/>
      </w:pPr>
      <w:r>
        <w:t>U skladu s točkom 414. CEEAG-a, opišite kako će nacionalna tijela u okviru prijavljene mjere provjeriti ispunjavaju li korisnici obvezu provedbe energetskog pregleda u smislu članka 8. Direktive 2012/27/EU. Navedite gdje se te informacije mogu pronaći u (nacrtu) pravne osnove (npr. članak 7. stavak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U točki 415. CEEAG-a propisano je da korisnici koji su obvezni provesti energetski pregled moraju poduzeti nešto od sljedećeg, odnosno (a) provesti preporuke iz izvješća o pregledu na način da razdoblje povrata ne premašuje tri godine i da su troškovi njihovih ulaganja proporcionalni ili (b) pokriti najmanje 30 % svoje potrošnje električne energije iz izvora bez emisija ugljika ili (c) uložiti najmanje 50 % potpore u projekte koji dovode do znatnog smanjenja emisija stakleničkih plinova. Opišite kako će nacionalna tijela u okviru prijavljene mjere pratiti ispunjavaju li korisnici koji su dužni provesti energetski pregled u skladu s člankom 8. stavkom 4. Direktive 2012/27/EU jednu ili više od triju mogućnosti iz točke 415. CEEAG-a, navodeći gdje se te informacije mogu pronaći u (nacrtu) pravne osnove (npr. članak 7. stavak 3.). Konkretno, navedite pojedinosti za svaku mogućnost predviđenu prijavljenom mjerom:</w:t>
      </w:r>
    </w:p>
    <w:p w14:paraId="4CD0D5F0" w14:textId="6354CA9F" w:rsidR="00937DCD" w:rsidRDefault="00937DCD" w:rsidP="009E4296">
      <w:pPr>
        <w:pStyle w:val="ListParagraph"/>
        <w:numPr>
          <w:ilvl w:val="0"/>
          <w:numId w:val="41"/>
        </w:numPr>
        <w:spacing w:before="120" w:after="120"/>
        <w:jc w:val="both"/>
      </w:pPr>
      <w:r>
        <w:t>kako će korisnici točno morati dokazati usklađenost;</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kada rok mora biti u skladu sa zahtjevima (npr. za dovršenje relevantnih ulaganja u roku od jedne godine od dodjele potpore) i koliko će često korisnici morati dokazivati usklađenost (npr. na godišnjoj osnovi);</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kako će se i koliko često pratiti ispunjavanje uvjeta (npr. na godišnjoj osnovi);</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koje će biti posljedice neusklađenosti za korisnike (npr. odbijanje dodjele potpore, prije provjere, ili povrat već dodijeljene potpore, nakon provjere).</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Zbrajanje</w:t>
            </w:r>
          </w:p>
        </w:tc>
      </w:tr>
    </w:tbl>
    <w:p w14:paraId="2346A85D" w14:textId="5800D648" w:rsidR="00B21377" w:rsidRPr="002A3B51" w:rsidRDefault="00B21377" w:rsidP="00B21377">
      <w:pPr>
        <w:pStyle w:val="ListParagraph"/>
        <w:spacing w:before="120" w:after="120"/>
        <w:ind w:left="567"/>
        <w:contextualSpacing w:val="0"/>
        <w:jc w:val="both"/>
      </w:pPr>
      <w:r>
        <w:rPr>
          <w:i/>
        </w:rPr>
        <w:t>Za unos podataka u ovom odjeljku vidjeti točke 56. i 57. CEEAG-a</w:t>
      </w:r>
      <w:r>
        <w:t>.</w:t>
      </w:r>
    </w:p>
    <w:p w14:paraId="7159B0AA" w14:textId="326791FE" w:rsidR="00E5484B" w:rsidRPr="002A3B51" w:rsidRDefault="00B10F0D" w:rsidP="005A4E16">
      <w:pPr>
        <w:numPr>
          <w:ilvl w:val="0"/>
          <w:numId w:val="4"/>
        </w:numPr>
        <w:spacing w:before="240"/>
        <w:ind w:left="567" w:hanging="567"/>
        <w:jc w:val="both"/>
      </w:pPr>
      <w:r>
        <w:lastRenderedPageBreak/>
        <w:t xml:space="preserve">Ako već nije navedeno u općem obrascu prijave (dio I.) i kako bi se potvrdila usklađenost s točkom 56. CEEAG-a, objasnite može li se potpora u okviru prijavljenih mjera dodijeliti istodobno u okviru više programa potpore ili zbrojiti s jednokratnim ili </w:t>
      </w:r>
      <w:r>
        <w:rPr>
          <w:i/>
        </w:rPr>
        <w:t>de minimis</w:t>
      </w:r>
      <w:r>
        <w:t xml:space="preserve"> potporama za iste prihvatljive troškove. Ako može, navedite pojedinosti o tim programima potpore, jednokratnim potporama ili </w:t>
      </w:r>
      <w:r>
        <w:rPr>
          <w:i/>
        </w:rPr>
        <w:t>de minimis</w:t>
      </w:r>
      <w:r>
        <w:t xml:space="preserve"> potporama i način na koji će se potpore zbrajati.</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Ako se točka 56. CEEAG-a primjenjuje na prijavljenu mjeru potpore, obrazložite kako ukupni iznos potpore dodijeljene u okviru prijavljenih mjera za neku djelatnost ne dovodi do prekomjerne naknade ili ne premašuje maksimalni iznos potpore dopušten u skladu s točkama od 408. do 410. CEEAG-a. Za svaku mjeru s kojom se potpora dodijeljena u okviru prijavljenih mjera potpore može zbrajati, navedite metodu kojom se osigurala usklađenost s uvjetima utvrđenima u točki 56. CEEAG-a.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Ako se primjenjuje točka 57. CEEAG-a, tj. potpora dodijeljena u okviru prijavljenih mjera kombinira se s financijskim sredstvima Unije</w:t>
      </w:r>
      <w:r>
        <w:rPr>
          <w:rStyle w:val="FootnoteReference"/>
          <w:lang w:eastAsia="en-GB"/>
        </w:rPr>
        <w:footnoteReference w:id="7"/>
      </w:r>
      <w:r>
        <w:t xml:space="preserve"> kojima se centralizirano upravlja, obrazložite kako </w:t>
      </w:r>
      <w:r>
        <w:rPr>
          <w:shd w:val="clear" w:color="auto" w:fill="FFFFFF"/>
        </w:rPr>
        <w:t>ukupni iznos dodijeljenih javnih sredstava u odnosu na iste prihvatljive troškove ne dovodi do prekomjerne naknade.</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Prijelazna pravila</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Za unos podataka u ovom odjeljku vidjeti točke 4.11.3.5. CEEAG-a.</w:t>
      </w:r>
    </w:p>
    <w:p w14:paraId="50B72823" w14:textId="74224ADE" w:rsidR="009E3717" w:rsidRPr="009E3717" w:rsidRDefault="00B10F0D" w:rsidP="005A4E16">
      <w:pPr>
        <w:numPr>
          <w:ilvl w:val="0"/>
          <w:numId w:val="4"/>
        </w:numPr>
        <w:spacing w:before="240"/>
        <w:ind w:left="567" w:hanging="567"/>
        <w:jc w:val="both"/>
      </w:pPr>
      <w:r>
        <w:t xml:space="preserve">Navedite obuhvaća li ova prijava neprijavljenu potporu dodijeljenu u obliku smanjenih naknada za električnu energiju za velike potrošače energije u razdoblju prije objave CEEAG-a. Ako je odgovor potvrdan, objasnite kako je neprijavljena potpora u skladu s točkom 419. podtočkama (a) i (b) CEEAG-a.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Navedite uspostavlja li se prijavljenom mjerom prijelazni plan kako bi se izbjegle narušavajuće promjene opterećenja koje za pojedinačne poduzetnike koji ne ispunjavaju uvjete prihvatljivosti utvrđene u odjeljku 4.11. CEEAG-a predstavljaju naknade. Ako je odgovor potvrdan, odgovorite na sljedeća pitanja iz ovog odjeljka.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 xml:space="preserve">U skladu s točkom 416. CEEAG-a objasnite kako će se prihvatljivost za prijelazni plan ograničiti na poduzetnike: i. koji ispunjavaju kriterije prihvatljivosti iz odjeljka 3.7.2. Smjernica o državnim potporama za zaštitu okoliša i energiju za razdoblje 2014. – 2020. i ii. koji su primili potporu u obliku smanjenih naknada u najmanje jednoj od dvije godine prije izmjene postojećih programa potpore kako bi ih se uskladilo s CEEAG-om. </w:t>
      </w:r>
      <w:r>
        <w:lastRenderedPageBreak/>
        <w:t>Navedite gdje se te informacije mogu pronaći u (nacrtu) pravne osnove (npr. članak 7. stavak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Opišite kako će prijelazni plan podrazumijevati postupnu i potpunu prilagodbu uvjetima koji proizlaze iz primjene kriterija prihvatljivosti i proporcionalnosti iz odjeljka 4.11. CEEAG-a, a posebno kako se intenzitet potpore s vremenom smanjuje i kako se gornja granica BDV-a s vremenom povećava u skladu s rasporedom iz točke 417. CEEAG-a. Navedite konkretna upućivanja na to gdje se te informacije mogu pronaći u (nacrtu) pravne osnove (npr. članak 7. stavak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Navedite hoće li se prijelaznim planom iznimno dopustiti fiksni intenziteti potpore tijekom cijelog prijelaznog razdoblja, pod uvjetom da predmetni poduzetnici smanje ugljični otisak svoje potrošnje električne energije u skladu s uvjetima iz točke 418. CEEAG-a (tj. 50 % potrošnje električne energije iz izvora bez emisija ugljika, od čega najmanje 10 % iz terminskog instrumenta kao što je ugovor o kupnji energije ili najmanje 5 % iz proizvodnje na licu mjesta ili u blizini lokacije). Ako je odgovor potvrdan, navedite gdje se te informacije mogu pronaći u (nacrtu) pravne osnove (npr. članak 7. stavak 3.) i objasnite kako nacionalna tijela osiguravaju i prate usklađenost s točkom 418. CEEAG-a.</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Transparentnost</w:t>
            </w:r>
          </w:p>
        </w:tc>
      </w:tr>
    </w:tbl>
    <w:p w14:paraId="1E96F77E" w14:textId="2D16554D" w:rsidR="00016924" w:rsidRPr="005A4E16" w:rsidRDefault="006773CE" w:rsidP="005A4E16">
      <w:pPr>
        <w:keepNext/>
        <w:keepLines/>
        <w:spacing w:before="360" w:after="120"/>
        <w:jc w:val="both"/>
        <w:rPr>
          <w:i/>
        </w:rPr>
      </w:pPr>
      <w:r>
        <w:rPr>
          <w:i/>
        </w:rPr>
        <w:t xml:space="preserve">Za unos podataka u ovom odjeljku vidjeti odjeljak 3.2.1.4. (točke od 58 do 62.) CEEAG-a.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Potvrdite da će država članica ispuniti zahtjeve transparentnosti iz točaka od 58. do 61. CEEAG-a.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Kako bi se provjerila usklađenost s točkom 61. CEEAG-a, potvrdite da će informacije navedene u točki 58. podtočki (b) biti dostupne najmanje 10 godina od datuma dodjele potpore kako bi se omogućila provedba pravila o državnim potporama u skladu s UFEU-om,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Izbjegavanje nepotrebnih negativnih učinaka na tržišno natjecanje i trgovinu te uravnoteženje</w:t>
            </w:r>
          </w:p>
        </w:tc>
      </w:tr>
    </w:tbl>
    <w:p w14:paraId="6CD3884F" w14:textId="44822886" w:rsidR="00F83660" w:rsidRPr="00B215FD" w:rsidRDefault="00F83660" w:rsidP="000C2EFD">
      <w:pPr>
        <w:keepNext/>
        <w:keepLines/>
        <w:spacing w:before="360" w:after="120"/>
        <w:jc w:val="both"/>
        <w:rPr>
          <w:i/>
        </w:rPr>
      </w:pPr>
      <w:r>
        <w:rPr>
          <w:i/>
          <w:color w:val="000000"/>
        </w:rPr>
        <w:t>Za</w:t>
      </w:r>
      <w:r>
        <w:rPr>
          <w:i/>
        </w:rPr>
        <w:t xml:space="preserve"> unos podataka u ovom odjeljku vidjeti odjeljak 3.2.2</w:t>
      </w:r>
      <w:r w:rsidR="009F4744">
        <w:rPr>
          <w:i/>
        </w:rPr>
        <w:t>.</w:t>
      </w:r>
      <w:r>
        <w:rPr>
          <w:i/>
        </w:rPr>
        <w:t xml:space="preserve"> CEEAG-a. </w:t>
      </w:r>
    </w:p>
    <w:p w14:paraId="5D5F17EA" w14:textId="02FA14EA" w:rsidR="00F83660" w:rsidRPr="001D7B55" w:rsidRDefault="00F83660" w:rsidP="005A4E16">
      <w:pPr>
        <w:keepLines/>
        <w:numPr>
          <w:ilvl w:val="0"/>
          <w:numId w:val="4"/>
        </w:numPr>
        <w:spacing w:before="240"/>
        <w:ind w:left="567" w:hanging="567"/>
        <w:jc w:val="both"/>
      </w:pPr>
      <w:r>
        <w:t>Kako bi se potvrdila usklađenost s točkom 70. CEEAG-a:</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potvrdite da program traje najviše 10 godina </w:t>
      </w:r>
      <w:r>
        <w:rPr>
          <w:color w:val="000000"/>
          <w:shd w:val="clear" w:color="auto" w:fill="FFFFFF"/>
        </w:rPr>
        <w:t>od datuma objave odluke Komisije kojom se potpora proglašava spojivom</w:t>
      </w:r>
      <w:r>
        <w:t>;</w:t>
      </w:r>
    </w:p>
    <w:p w14:paraId="46C152D0" w14:textId="77777777" w:rsidR="00F83660" w:rsidRPr="009E0FCA" w:rsidRDefault="00F83660" w:rsidP="00F83660">
      <w:pPr>
        <w:tabs>
          <w:tab w:val="left" w:leader="dot" w:pos="9072"/>
        </w:tabs>
        <w:spacing w:before="120" w:after="120"/>
        <w:ind w:left="567"/>
        <w:jc w:val="both"/>
      </w:pPr>
      <w:r>
        <w:lastRenderedPageBreak/>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potvrdite</w:t>
      </w:r>
      <w:r>
        <w:t xml:space="preserve"> da ako država članica želi produljiti trajanje mjere nakon isteka tog maksimalnog razdoblja od 10 godina, ponovno mora prijaviti tu mjeru/mjere.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Razmatranje pozitivnih učinaka potpore u odnosu na negativne učinke na tržišno natjecanje i trgovinu</w:t>
            </w:r>
          </w:p>
        </w:tc>
      </w:tr>
    </w:tbl>
    <w:p w14:paraId="2BA426DC" w14:textId="523B5AF6" w:rsidR="00265702" w:rsidRPr="00863406" w:rsidRDefault="00265702" w:rsidP="000C2EFD">
      <w:pPr>
        <w:keepNext/>
        <w:keepLines/>
        <w:spacing w:before="360" w:after="120"/>
        <w:jc w:val="both"/>
        <w:rPr>
          <w:i/>
          <w:color w:val="000000"/>
        </w:rPr>
      </w:pPr>
      <w:r>
        <w:rPr>
          <w:i/>
          <w:color w:val="000000"/>
        </w:rPr>
        <w:t>Za</w:t>
      </w:r>
      <w:r>
        <w:rPr>
          <w:i/>
        </w:rPr>
        <w:t xml:space="preserve"> unos podataka u ovom odjeljku, vidjeti odjeljak 3.3. (točke od 71. do 76.) i točke od 400. do 402. CEEAG-a.</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U skladu s točkom 75. CEEAG-a, objasnite uključuju li prijavljene mjere značajke koje olakšavaju sudjelovanje MSP-ova. Ako je odgovor potvrdan, navedite podatke o tim značajkama i obrazložite kako pozitivni učinci osiguravanja sudjelovanja i prihvaćanja MSP-ova u prijavljenim mjerama nadmašuju moguće narušavajuće učinke.</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Kad je riječ o primjeni točke 76. podtočke (c) CEEAG-a, navedite podliježe li mjera potpore vremenskom ograničenju.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Evaluacija</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Za unos podataka u ovom odjeljku vidjeti točku 76. podtočku (a) i poglavlje 5. (točke od 455. do 463.) CEEAG-a.</w:t>
      </w:r>
    </w:p>
    <w:p w14:paraId="7C72F6EA" w14:textId="04D9ACCD" w:rsidR="00FD7E6B" w:rsidRDefault="00FD7E6B" w:rsidP="005A4E16">
      <w:pPr>
        <w:numPr>
          <w:ilvl w:val="0"/>
          <w:numId w:val="4"/>
        </w:numPr>
        <w:spacing w:before="240"/>
        <w:ind w:left="567" w:hanging="567"/>
        <w:jc w:val="both"/>
      </w:pPr>
      <w:r>
        <w:t>Ako prijavljene mjere premašuju pragove proračuna/rashoda iz točke 456. CEEAG-a, objasnite zašto smatrate da bi se trebalo primjenjivati odstupanje iz točke 457. CEEAG-a ili ovom obrascu o dodatnim podacima priložite nacrt plana evaluacije koji obuhvaća područje primjene navedeno u točki 458. CEEAG-a</w:t>
      </w:r>
      <w:r>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Ako je dostavljen nacrt plana evaluacije:</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sažeto opišite nacrt plana evaluacije iz Priloga;</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potvrdite da će se poštovati točka 460. CEEAG-a.</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lastRenderedPageBreak/>
        <w:t>navedite datum i internetsku poveznicu na kojoj će plan evaluacije biti objavljen.</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Kako bi se provjerila usklađenost s točkom 459. podtočkom (b) CEEAG-a, ako za program potpore nije potrebna </w:t>
      </w:r>
      <w:r>
        <w:rPr>
          <w:i/>
        </w:rPr>
        <w:t>ex post</w:t>
      </w:r>
      <w: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Kako bi se provjerila usklađenost s točkom 459. podtočkom (c) CEEAG-a, ako za program potpore trenutačno nije potrebna </w:t>
      </w:r>
      <w:r>
        <w:rPr>
          <w:i/>
        </w:rPr>
        <w:t>ex post</w:t>
      </w:r>
      <w:r>
        <w:t xml:space="preserve"> evaluacija, u nastavku potvrdite da se država članica obvezuje dostaviti nacrt plana evaluacije </w:t>
      </w:r>
      <w:r>
        <w:rPr>
          <w:shd w:val="clear" w:color="auto" w:fill="FFFFFF"/>
        </w:rPr>
        <w:t>u roku od 30 radnih dana nakon što su u službenoj računovodstvenoj dokumentaciji uknjiženi rashodi koji premašuju 150 milijuna EUR u prethodnoj godini.</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Kako bi se potvrdila usklađenost s točkom 461. CEEAG-a:</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navedite je li neovisni stručnjak već odabran ili će biti odabran u budućnosti;</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unesite podatke o postupku odabira stručnjaka;</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obrazložite kako je stručnjak neovisan o davatelju potpore.</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Kako bi se potvrdila usklađenost s točkom 461. CEEAG-a: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u pogledu evaluacije aktivira u posljednje dvije godine provedbe;</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potvrdite da će privremeno i završno izvješće o evaluaciji biti objavljeno. Navedite datum i internetsku poveznicu na kojoj će ta izvješća biti dostupna javnosti.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lastRenderedPageBreak/>
              <w:t>Izvješćivanje i praćenje</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Za unos podataka u ovom odjeljku vidjeti odjeljak 6. (točke 464. i 465.) CEEAG-a.</w:t>
      </w:r>
    </w:p>
    <w:p w14:paraId="3FBE246E" w14:textId="1FB553B4" w:rsidR="00FD7E6B" w:rsidRDefault="00FD7E6B" w:rsidP="005A4E16">
      <w:pPr>
        <w:keepLines/>
        <w:numPr>
          <w:ilvl w:val="0"/>
          <w:numId w:val="4"/>
        </w:numPr>
        <w:spacing w:before="240"/>
        <w:ind w:left="567" w:hanging="567"/>
        <w:jc w:val="both"/>
      </w:pPr>
      <w:r>
        <w:t>Potvrdite da će država članica ispuniti zahtjeve za izvješćivanje i praćenje iz odjeljka 6. točaka 464. i 465. CEEAG-a.</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SL C 80, 18.2.2022., str. 1.</w:t>
      </w:r>
    </w:p>
  </w:footnote>
  <w:footnote w:id="3">
    <w:p w14:paraId="40B31757" w14:textId="710C01BF" w:rsidR="00B77C6D" w:rsidRDefault="00B77C6D" w:rsidP="00B77C6D">
      <w:pPr>
        <w:pStyle w:val="FootnoteText"/>
      </w:pPr>
      <w:r>
        <w:rPr>
          <w:rStyle w:val="FootnoteReference"/>
        </w:rPr>
        <w:footnoteRef/>
      </w:r>
      <w:r>
        <w:t xml:space="preserve"> </w:t>
      </w:r>
      <w:r>
        <w:tab/>
        <w:t xml:space="preserve">Napominjemo da se za program potpora trajanje odnosi na razdoblje tijekom kojeg se može podnijeti zahtjev za potporu i u kojem se o njemu odlučuje (uključuje i vrijeme koje je vlastima potrebno za odobravanje zahtjeva za potporu). Trajanje navedeno u ovom pitanju ne odnosi se na trajanje ugovora sklopljenih u okviru programa potpore, koje se može nastaviti i nakon isteka mjere. </w:t>
      </w:r>
    </w:p>
  </w:footnote>
  <w:footnote w:id="4">
    <w:p w14:paraId="28F42BB8" w14:textId="2923C271" w:rsidR="0068024A" w:rsidRPr="0067348B" w:rsidRDefault="0068024A" w:rsidP="0068024A">
      <w:pPr>
        <w:pStyle w:val="FootnoteText"/>
      </w:pPr>
      <w:r>
        <w:rPr>
          <w:rStyle w:val="FootnoteReference"/>
        </w:rPr>
        <w:footnoteRef/>
      </w:r>
      <w:r>
        <w:tab/>
        <w:t>Napominjemo da promjena stvarnog ili procijenjenog proračuna može činiti izmjenu potpore za koju je potrebno podnijeti novu prijavu.</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Prema definiciji iz statističke klasifikacije ekonomskih djelatnosti u Europskoj zajednici (NACE Rev. 2), do razine raščlambe koja nije viša od osam znamenki (razina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Na primjer podaci koji obuhvaćaju znatan postotak bruto dodane vrijednosti predmetnog sektora ili podsektora na razini EU-a.</w:t>
      </w:r>
    </w:p>
  </w:footnote>
  <w:footnote w:id="7">
    <w:p w14:paraId="086AD512" w14:textId="7087BE19" w:rsidR="00FE3196" w:rsidRDefault="00FE3196">
      <w:pPr>
        <w:pStyle w:val="FootnoteText"/>
      </w:pPr>
      <w:r>
        <w:rPr>
          <w:rStyle w:val="FootnoteReference"/>
        </w:rPr>
        <w:footnoteRef/>
      </w:r>
      <w:r>
        <w:t xml:space="preserve"> </w:t>
      </w:r>
      <w:r>
        <w:tab/>
        <w:t>Financijska sredstva Unije kojima se centralizirano upravlja su financijska sredstva Unije kojima centralno upravljaju institucije, agencije, zajednička poduzeća ili druga tijela Europske unije i koja nisu izravno ili neizravno pod nadzorom države članice.</w:t>
      </w:r>
    </w:p>
  </w:footnote>
  <w:footnote w:id="8">
    <w:p w14:paraId="2FB02E44" w14:textId="77777777" w:rsidR="00FD7E6B" w:rsidRDefault="00FD7E6B" w:rsidP="00FD7E6B">
      <w:pPr>
        <w:pStyle w:val="FootnoteText"/>
      </w:pPr>
      <w:r>
        <w:rPr>
          <w:rStyle w:val="FootnoteReference"/>
        </w:rPr>
        <w:footnoteRef/>
      </w:r>
      <w:r>
        <w:t xml:space="preserve"> </w:t>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https://competition-policy.ec.europa.eu/state-aid/legislation/forms-notifications-and-reporting_hr#evaluation-plan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6BAA"/>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B7C53"/>
    <w:rsid w:val="009C275F"/>
    <w:rsid w:val="009D0772"/>
    <w:rsid w:val="009D15AC"/>
    <w:rsid w:val="009D22F2"/>
    <w:rsid w:val="009D3BC5"/>
    <w:rsid w:val="009D65D3"/>
    <w:rsid w:val="009D6AD7"/>
    <w:rsid w:val="009E2C04"/>
    <w:rsid w:val="009E2EA1"/>
    <w:rsid w:val="009E309F"/>
    <w:rsid w:val="009E3717"/>
    <w:rsid w:val="009E4296"/>
    <w:rsid w:val="009E5AE0"/>
    <w:rsid w:val="009F4041"/>
    <w:rsid w:val="009F4744"/>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3570</Words>
  <Characters>20782</Characters>
  <Application>Microsoft Office Word</Application>
  <DocSecurity>0</DocSecurity>
  <Lines>451</Lines>
  <Paragraphs>165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5</cp:revision>
  <cp:lastPrinted>2022-10-05T12:42:00Z</cp:lastPrinted>
  <dcterms:created xsi:type="dcterms:W3CDTF">2024-08-01T10:54:00Z</dcterms:created>
  <dcterms:modified xsi:type="dcterms:W3CDTF">2024-09-06T15:21:00Z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