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20F29319" w14:textId="77777777" w:rsidR="00531803" w:rsidRDefault="00FA1F8A" w:rsidP="007B485D">
            <w:pPr>
              <w:pStyle w:val="Heading2"/>
              <w:spacing w:before="240" w:after="240"/>
              <w:jc w:val="center"/>
              <w:rPr>
                <w:sz w:val="32"/>
                <w:szCs w:val="32"/>
              </w:rPr>
            </w:pPr>
            <w:bookmarkStart w:id="0" w:name="_Toc414370364"/>
            <w:bookmarkStart w:id="1" w:name="_Toc416949016"/>
            <w:r>
              <w:rPr>
                <w:sz w:val="32"/>
              </w:rPr>
              <w:t>Del III.6</w:t>
            </w:r>
          </w:p>
          <w:p w14:paraId="1C239D2C" w14:textId="171BCF76" w:rsidR="000442F5" w:rsidRPr="009916D5" w:rsidRDefault="00531803" w:rsidP="007B485D">
            <w:pPr>
              <w:pStyle w:val="Heading2"/>
              <w:spacing w:before="240" w:after="240"/>
              <w:jc w:val="center"/>
              <w:rPr>
                <w:sz w:val="32"/>
                <w:szCs w:val="32"/>
              </w:rPr>
            </w:pPr>
            <w:r>
              <w:rPr>
                <w:sz w:val="32"/>
              </w:rPr>
              <w:t>Obrazec za dodatne informacije o državni pomoči, dodeljeni na podlagi Smernic o državni pomoči za podnebje, varstvo okolja in energijo iz leta 2022 (CEEAG)</w:t>
            </w:r>
            <w:r w:rsidR="007B485D" w:rsidRPr="009916D5">
              <w:rPr>
                <w:sz w:val="32"/>
                <w:szCs w:val="32"/>
                <w:vertAlign w:val="superscript"/>
              </w:rPr>
              <w:footnoteReference w:id="2"/>
            </w:r>
            <w:r>
              <w:rPr>
                <w:sz w:val="32"/>
              </w:rPr>
              <w:t xml:space="preserve"> </w:t>
            </w:r>
            <w:bookmarkEnd w:id="0"/>
            <w:bookmarkEnd w:id="1"/>
          </w:p>
          <w:p w14:paraId="34AE2082" w14:textId="77777777" w:rsidR="002B52B3" w:rsidRDefault="002B52B3" w:rsidP="00AB6B5D">
            <w:pPr>
              <w:jc w:val="center"/>
              <w:rPr>
                <w:sz w:val="32"/>
                <w:szCs w:val="32"/>
              </w:rPr>
            </w:pPr>
            <w:r>
              <w:rPr>
                <w:sz w:val="32"/>
              </w:rPr>
              <w:t>Poglavje 4.11 – Pomoč v obliki znižanj dajatev za električno energijo za energetsko intenzivne uporabnike</w:t>
            </w:r>
          </w:p>
          <w:p w14:paraId="469DC4EF" w14:textId="1F83698E" w:rsidR="004F64BC" w:rsidRPr="00711243" w:rsidRDefault="004F64BC" w:rsidP="00AB6B5D">
            <w:pPr>
              <w:jc w:val="center"/>
            </w:pPr>
          </w:p>
        </w:tc>
      </w:tr>
    </w:tbl>
    <w:p w14:paraId="5F26D476" w14:textId="2E03F46C" w:rsidR="000442F5" w:rsidRPr="00711243" w:rsidRDefault="000442F5" w:rsidP="000442F5">
      <w:pPr>
        <w:spacing w:before="120" w:after="120"/>
        <w:ind w:right="-142"/>
        <w:jc w:val="both"/>
        <w:rPr>
          <w:i/>
          <w:iCs/>
        </w:rPr>
      </w:pPr>
      <w:r>
        <w:rPr>
          <w:i/>
        </w:rPr>
        <w:t>Ta obrazec za dodatne informacije je namenjen priglasitvi katere koli pomoči iz Smernic o državni pomoči za podnebje, varstvo okolja in energijo iz leta 2022 (v nadaljnjem besedilu: Smernice).</w:t>
      </w:r>
    </w:p>
    <w:p w14:paraId="1B60656B" w14:textId="5A450E3F" w:rsidR="009E2EA1" w:rsidRPr="00711243" w:rsidRDefault="0072538B" w:rsidP="009E2EA1">
      <w:pPr>
        <w:spacing w:before="120" w:after="120"/>
        <w:ind w:right="-142"/>
        <w:jc w:val="both"/>
        <w:rPr>
          <w:i/>
          <w:iCs/>
        </w:rPr>
      </w:pPr>
      <w:r>
        <w:rPr>
          <w:i/>
        </w:rPr>
        <w:t xml:space="preserve">Ta obrazec za dodatne informacije se nanaša na ukrepe iz poglavja 4.11 Smernic. Če so v priglasitev vključeni ukrepi, ki so zajeti v več kot enem poglavju Smernic, izpolnite tudi ustrezni obrazec za dodatne informacije, ki se nanaša na zadevno poglavje Smernic, ko bo na voljo. </w:t>
      </w:r>
    </w:p>
    <w:p w14:paraId="05E36007" w14:textId="48DD17A5" w:rsidR="009E2EA1" w:rsidRPr="00711243" w:rsidRDefault="009E2EA1" w:rsidP="009E2EA1">
      <w:pPr>
        <w:spacing w:before="120" w:after="120"/>
        <w:ind w:right="-142"/>
        <w:jc w:val="both"/>
        <w:rPr>
          <w:i/>
          <w:iCs/>
        </w:rPr>
      </w:pPr>
      <w:r>
        <w:rPr>
          <w:i/>
        </w:rPr>
        <w:t>Vse dokumente, ki jih države članice zagotovijo kot priloge k temu obrazcu za dodatne informacije, je treba oštevilčiti in številke dokumentov navesti v ustreznih oddelkih tega obrazca za dodatne informacije.</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0DFB2F5B" w:rsidR="000442F5" w:rsidRPr="009916D5" w:rsidRDefault="00193E48" w:rsidP="004F64BC">
            <w:pPr>
              <w:keepLines/>
              <w:spacing w:before="120" w:after="120"/>
              <w:jc w:val="center"/>
              <w:rPr>
                <w:b/>
                <w:iCs/>
                <w:sz w:val="32"/>
                <w:szCs w:val="32"/>
              </w:rPr>
            </w:pPr>
            <w:r>
              <w:br w:type="page"/>
            </w:r>
            <w:r>
              <w:br w:type="page"/>
            </w:r>
            <w:r>
              <w:rPr>
                <w:b/>
                <w:sz w:val="32"/>
              </w:rPr>
              <w:t>Oddelek A: Povzetek glavnih značilnosti priglašenega ukrepa</w:t>
            </w:r>
          </w:p>
        </w:tc>
      </w:tr>
    </w:tbl>
    <w:p w14:paraId="4F4E6A61" w14:textId="77777777" w:rsidR="00B77C6D" w:rsidRPr="00711243" w:rsidRDefault="00B77C6D" w:rsidP="004F64BC">
      <w:pPr>
        <w:pStyle w:val="ListParagraph"/>
        <w:keepLines/>
        <w:numPr>
          <w:ilvl w:val="0"/>
          <w:numId w:val="4"/>
        </w:numPr>
        <w:spacing w:before="360" w:after="120"/>
        <w:ind w:left="567" w:hanging="567"/>
        <w:contextualSpacing w:val="0"/>
        <w:jc w:val="both"/>
        <w:rPr>
          <w:b/>
        </w:rPr>
      </w:pPr>
      <w:r>
        <w:rPr>
          <w:b/>
        </w:rPr>
        <w:t>Ozadje in cilji priglašenega ukrepa.</w:t>
      </w:r>
    </w:p>
    <w:p w14:paraId="53AAF227" w14:textId="40775AB0" w:rsidR="00931262" w:rsidRDefault="00931262" w:rsidP="004F64BC">
      <w:pPr>
        <w:pStyle w:val="ListParagraph"/>
        <w:keepLines/>
        <w:numPr>
          <w:ilvl w:val="0"/>
          <w:numId w:val="21"/>
        </w:numPr>
        <w:spacing w:after="240"/>
        <w:ind w:left="993" w:hanging="142"/>
        <w:jc w:val="both"/>
      </w:pPr>
      <w:r>
        <w:t>Navedite, ali gre za nov ukrep ali spremembo obstoječega ukrepa. Če gre za spremembo, navedite podrobnosti o spremembah sheme.</w:t>
      </w:r>
    </w:p>
    <w:p w14:paraId="664A8EEB" w14:textId="77777777" w:rsidR="00931262" w:rsidRDefault="00931262" w:rsidP="00931262">
      <w:pPr>
        <w:tabs>
          <w:tab w:val="left" w:leader="dot" w:pos="9072"/>
        </w:tabs>
        <w:spacing w:before="120" w:after="120"/>
        <w:ind w:left="567"/>
        <w:jc w:val="both"/>
      </w:pPr>
      <w:r>
        <w:tab/>
      </w:r>
    </w:p>
    <w:p w14:paraId="0E53E6F4" w14:textId="5B9AA4D5" w:rsidR="00B77C6D" w:rsidRDefault="003030FB" w:rsidP="00B77C6D">
      <w:pPr>
        <w:pStyle w:val="ListParagraph"/>
        <w:numPr>
          <w:ilvl w:val="0"/>
          <w:numId w:val="21"/>
        </w:numPr>
        <w:spacing w:after="240"/>
        <w:ind w:left="993" w:hanging="142"/>
        <w:jc w:val="both"/>
      </w:pPr>
      <w:r>
        <w:t xml:space="preserve">Če to še ni bilo obravnavano v oddelku 5.2 obrazca za splošne informacije (del I), navedite ozadje in glavni cilj, vključno s povezavo z morebitnimi okoljskimi cilji Unije, ki naj bi jih ukrep podprl. </w:t>
      </w:r>
    </w:p>
    <w:p w14:paraId="43CFDEB4" w14:textId="77777777" w:rsidR="00B77C6D" w:rsidRDefault="00B77C6D" w:rsidP="00B77C6D">
      <w:pPr>
        <w:tabs>
          <w:tab w:val="left" w:leader="dot" w:pos="9072"/>
        </w:tabs>
        <w:spacing w:before="120" w:after="120"/>
        <w:ind w:left="567"/>
        <w:jc w:val="both"/>
      </w:pPr>
      <w:r>
        <w:tab/>
      </w:r>
    </w:p>
    <w:p w14:paraId="189F84D9" w14:textId="77777777" w:rsidR="00B77C6D" w:rsidRDefault="00B77C6D" w:rsidP="00B77C6D">
      <w:pPr>
        <w:pStyle w:val="ListParagraph"/>
        <w:numPr>
          <w:ilvl w:val="0"/>
          <w:numId w:val="21"/>
        </w:numPr>
        <w:spacing w:after="240"/>
        <w:ind w:left="993" w:hanging="142"/>
        <w:jc w:val="both"/>
      </w:pPr>
      <w:r>
        <w:t xml:space="preserve">Navedite vse druge cilje ukrepa. Za vse cilje, ki niso izključno okoljski, pojasnite, ali bi lahko povzročili kakršno koli izkrivljanje notranjega trga. </w:t>
      </w:r>
    </w:p>
    <w:p w14:paraId="3AB82A10" w14:textId="77777777" w:rsidR="00B77C6D" w:rsidRPr="00711243" w:rsidRDefault="00B77C6D" w:rsidP="00B77C6D">
      <w:pPr>
        <w:tabs>
          <w:tab w:val="left" w:leader="dot" w:pos="9072"/>
        </w:tabs>
        <w:spacing w:before="120" w:after="120"/>
        <w:ind w:left="567"/>
        <w:jc w:val="both"/>
      </w:pPr>
      <w:r>
        <w:tab/>
      </w:r>
    </w:p>
    <w:p w14:paraId="46326840" w14:textId="2F697D7D" w:rsidR="00B77C6D" w:rsidRPr="00711243" w:rsidRDefault="00CC08F3" w:rsidP="004F64BC">
      <w:pPr>
        <w:pStyle w:val="ListParagraph"/>
        <w:keepLines/>
        <w:numPr>
          <w:ilvl w:val="0"/>
          <w:numId w:val="4"/>
        </w:numPr>
        <w:spacing w:before="360" w:after="120"/>
        <w:ind w:left="567" w:hanging="567"/>
        <w:contextualSpacing w:val="0"/>
        <w:jc w:val="both"/>
      </w:pPr>
      <w:r>
        <w:rPr>
          <w:b/>
        </w:rPr>
        <w:t>Začetek veljavnosti in trajanje</w:t>
      </w:r>
      <w:r>
        <w:t>:</w:t>
      </w:r>
    </w:p>
    <w:p w14:paraId="7D0B071F" w14:textId="17375B6D" w:rsidR="00B77C6D" w:rsidRDefault="003030FB" w:rsidP="004F64BC">
      <w:pPr>
        <w:pStyle w:val="ListParagraph"/>
        <w:keepLines/>
        <w:numPr>
          <w:ilvl w:val="0"/>
          <w:numId w:val="44"/>
        </w:numPr>
        <w:spacing w:after="240"/>
        <w:ind w:left="993" w:hanging="142"/>
        <w:contextualSpacing w:val="0"/>
        <w:jc w:val="both"/>
        <w:rPr>
          <w:szCs w:val="24"/>
        </w:rPr>
      </w:pPr>
      <w:r>
        <w:t>Če to še ni bilo navedeno v oddelku 5.5 obrazca za splošne informacije (del I), navedite:</w:t>
      </w:r>
    </w:p>
    <w:p w14:paraId="186C0754" w14:textId="77777777" w:rsidR="00B77C6D" w:rsidRDefault="00B77C6D" w:rsidP="00B77C6D">
      <w:pPr>
        <w:pStyle w:val="ListParagraph"/>
        <w:numPr>
          <w:ilvl w:val="1"/>
          <w:numId w:val="44"/>
        </w:numPr>
        <w:spacing w:after="240"/>
        <w:ind w:left="2127"/>
        <w:contextualSpacing w:val="0"/>
        <w:jc w:val="both"/>
        <w:rPr>
          <w:szCs w:val="24"/>
        </w:rPr>
      </w:pPr>
      <w:r>
        <w:t xml:space="preserve">za sheme pomoči: </w:t>
      </w:r>
    </w:p>
    <w:p w14:paraId="0361ED32" w14:textId="77777777" w:rsidR="00B77C6D" w:rsidRDefault="00B77C6D" w:rsidP="00B77C6D">
      <w:pPr>
        <w:pStyle w:val="ListParagraph"/>
        <w:numPr>
          <w:ilvl w:val="2"/>
          <w:numId w:val="44"/>
        </w:numPr>
        <w:spacing w:after="240"/>
        <w:ind w:left="2410" w:hanging="283"/>
        <w:contextualSpacing w:val="0"/>
        <w:jc w:val="both"/>
        <w:rPr>
          <w:szCs w:val="24"/>
        </w:rPr>
      </w:pPr>
      <w:r>
        <w:t>datum, od katerega naj bi shema začela veljati;</w:t>
      </w:r>
    </w:p>
    <w:p w14:paraId="5ED55C2C" w14:textId="77777777" w:rsidR="00B77C6D" w:rsidRDefault="00B77C6D" w:rsidP="00B77C6D">
      <w:pPr>
        <w:pStyle w:val="ListParagraph"/>
        <w:spacing w:after="240"/>
        <w:ind w:left="2160"/>
        <w:contextualSpacing w:val="0"/>
        <w:jc w:val="both"/>
        <w:rPr>
          <w:szCs w:val="24"/>
        </w:rPr>
      </w:pPr>
      <w:r>
        <w:t>…………………………………………………………………………...</w:t>
      </w:r>
    </w:p>
    <w:p w14:paraId="3A3DE8FD" w14:textId="77777777" w:rsidR="00B77C6D" w:rsidRPr="00A05822" w:rsidRDefault="00B77C6D" w:rsidP="00B77C6D">
      <w:pPr>
        <w:pStyle w:val="ListParagraph"/>
        <w:numPr>
          <w:ilvl w:val="2"/>
          <w:numId w:val="44"/>
        </w:numPr>
        <w:spacing w:after="240"/>
        <w:ind w:left="2410" w:hanging="283"/>
        <w:contextualSpacing w:val="0"/>
        <w:jc w:val="both"/>
        <w:rPr>
          <w:szCs w:val="24"/>
        </w:rPr>
      </w:pPr>
      <w:r>
        <w:t>trajanje sheme</w:t>
      </w:r>
      <w:r w:rsidRPr="0096487F">
        <w:rPr>
          <w:rStyle w:val="FootnoteReference"/>
          <w:rFonts w:cs="Arial Unicode MS"/>
          <w:bCs/>
          <w:lang w:bidi="si-LK"/>
        </w:rPr>
        <w:footnoteReference w:id="3"/>
      </w:r>
      <w:r>
        <w:t>;</w:t>
      </w:r>
    </w:p>
    <w:p w14:paraId="7420060D" w14:textId="77777777" w:rsidR="00B77C6D" w:rsidRPr="00A05822" w:rsidRDefault="00B77C6D" w:rsidP="00B77C6D">
      <w:pPr>
        <w:pStyle w:val="ListParagraph"/>
        <w:spacing w:after="240"/>
        <w:ind w:left="2127"/>
        <w:contextualSpacing w:val="0"/>
        <w:jc w:val="both"/>
        <w:rPr>
          <w:szCs w:val="24"/>
        </w:rPr>
      </w:pPr>
      <w:r>
        <w:t>…………………………………………………………………………...</w:t>
      </w:r>
    </w:p>
    <w:p w14:paraId="0B952041" w14:textId="77777777" w:rsidR="00B77C6D" w:rsidRDefault="00B77C6D" w:rsidP="00B77C6D">
      <w:pPr>
        <w:pStyle w:val="ListParagraph"/>
        <w:numPr>
          <w:ilvl w:val="1"/>
          <w:numId w:val="44"/>
        </w:numPr>
        <w:spacing w:before="120" w:after="120"/>
        <w:ind w:left="2127"/>
        <w:contextualSpacing w:val="0"/>
        <w:jc w:val="both"/>
        <w:rPr>
          <w:szCs w:val="24"/>
        </w:rPr>
      </w:pPr>
      <w:r>
        <w:t>za individualno pomoč: (načrtovani) datum dodelitve pomoči (obljuba pomoči) in datum plačila (če so predvidena različna zaporedna plačila, datum prvega plačila):</w:t>
      </w:r>
    </w:p>
    <w:p w14:paraId="6C726222" w14:textId="7D188916" w:rsidR="00EA7FBC" w:rsidRPr="00E7597C" w:rsidRDefault="00B77C6D" w:rsidP="00E7597C">
      <w:pPr>
        <w:pStyle w:val="ListParagraph"/>
        <w:spacing w:before="120" w:after="120"/>
        <w:contextualSpacing w:val="0"/>
        <w:rPr>
          <w:szCs w:val="24"/>
        </w:rPr>
      </w:pPr>
      <w:r>
        <w:t>…………………………………………………………………………………………..</w:t>
      </w:r>
    </w:p>
    <w:p w14:paraId="2C6A5903" w14:textId="3AFF3A75" w:rsidR="00B77C6D" w:rsidRPr="006B1712" w:rsidRDefault="00B77C6D" w:rsidP="00E7597C">
      <w:pPr>
        <w:pStyle w:val="ListParagraph"/>
        <w:numPr>
          <w:ilvl w:val="0"/>
          <w:numId w:val="4"/>
        </w:numPr>
        <w:spacing w:before="360" w:after="120"/>
        <w:ind w:left="567" w:hanging="567"/>
        <w:contextualSpacing w:val="0"/>
        <w:jc w:val="both"/>
        <w:rPr>
          <w:rFonts w:cs="Arial Unicode MS"/>
          <w:b/>
          <w:bCs/>
        </w:rPr>
      </w:pPr>
      <w:r>
        <w:rPr>
          <w:b/>
        </w:rPr>
        <w:t>Upravičenci</w:t>
      </w:r>
      <w:r>
        <w:rPr>
          <w:b/>
        </w:rPr>
        <w:tab/>
      </w:r>
    </w:p>
    <w:p w14:paraId="06E5A4C8" w14:textId="44380450" w:rsidR="00B77C6D" w:rsidRDefault="0068024A" w:rsidP="00B77C6D">
      <w:pPr>
        <w:pStyle w:val="ListParagraph"/>
        <w:numPr>
          <w:ilvl w:val="0"/>
          <w:numId w:val="22"/>
        </w:numPr>
        <w:spacing w:after="240"/>
        <w:ind w:hanging="229"/>
        <w:jc w:val="both"/>
        <w:rPr>
          <w:szCs w:val="24"/>
        </w:rPr>
      </w:pPr>
      <w:r>
        <w:t>Če to še ni bilo navedeno v oddelku 3 obrazca za splošne informacije (del I), opišite (potencialne) upravičence ukrepa.</w:t>
      </w:r>
    </w:p>
    <w:p w14:paraId="32EF3438" w14:textId="77777777" w:rsidR="00B77C6D" w:rsidRPr="00564D5B" w:rsidRDefault="00B77C6D" w:rsidP="00B77C6D">
      <w:pPr>
        <w:tabs>
          <w:tab w:val="left" w:leader="dot" w:pos="9072"/>
        </w:tabs>
        <w:spacing w:before="120" w:after="120"/>
        <w:ind w:left="567"/>
        <w:jc w:val="both"/>
      </w:pPr>
      <w:r>
        <w:lastRenderedPageBreak/>
        <w:tab/>
      </w:r>
    </w:p>
    <w:p w14:paraId="1DB31E97" w14:textId="77777777" w:rsidR="00B77C6D" w:rsidRPr="00C55D4C" w:rsidRDefault="00B77C6D" w:rsidP="00B77C6D">
      <w:pPr>
        <w:pStyle w:val="ListParagraph"/>
        <w:numPr>
          <w:ilvl w:val="0"/>
          <w:numId w:val="22"/>
        </w:numPr>
        <w:spacing w:after="240"/>
        <w:ind w:hanging="229"/>
        <w:jc w:val="both"/>
        <w:rPr>
          <w:szCs w:val="24"/>
        </w:rPr>
      </w:pPr>
      <w:r>
        <w:t>Navedite lokacijo (potencialnih) upravičencev (tj. če so do sodelovanja v ukrepu upravičeni le gospodarski subjekti s sedežem v zadevni državi članici ali tudi tisti, ki imajo sedež v drugih državah članicah).</w:t>
      </w:r>
    </w:p>
    <w:p w14:paraId="7BA93CF3" w14:textId="77777777" w:rsidR="00B77C6D" w:rsidRDefault="00B77C6D" w:rsidP="00B77C6D">
      <w:pPr>
        <w:tabs>
          <w:tab w:val="left" w:leader="dot" w:pos="9072"/>
        </w:tabs>
        <w:spacing w:before="120" w:after="120"/>
        <w:ind w:left="567"/>
        <w:jc w:val="both"/>
      </w:pPr>
      <w:r>
        <w:tab/>
      </w:r>
    </w:p>
    <w:p w14:paraId="798E9E39" w14:textId="24A981FB" w:rsidR="00B77C6D" w:rsidRDefault="00B77C6D" w:rsidP="00B77C6D">
      <w:pPr>
        <w:pStyle w:val="ListParagraph"/>
        <w:numPr>
          <w:ilvl w:val="0"/>
          <w:numId w:val="22"/>
        </w:numPr>
        <w:spacing w:after="240"/>
        <w:ind w:hanging="229"/>
        <w:jc w:val="both"/>
        <w:rPr>
          <w:szCs w:val="24"/>
        </w:rPr>
      </w:pPr>
      <w:r>
        <w:t xml:space="preserve">Za presojo skladnosti s točko 15 Smernic navedite, ali se pomoč na podlagi ukrepa dodeljuje podjetju (individualno ali v okviru sheme), ki je naslovnik neporavnanega naloga za izterjavo na podlagi prejšnjega sklepa Komisije, v katerem je bila pomoč razglašena za nezakonito in nezdružljivo z notranjim trgom. </w:t>
      </w:r>
    </w:p>
    <w:p w14:paraId="3A14663D" w14:textId="77777777" w:rsidR="00F137D5" w:rsidRPr="008515FB" w:rsidRDefault="00F137D5" w:rsidP="00F137D5">
      <w:pPr>
        <w:tabs>
          <w:tab w:val="left" w:leader="dot" w:pos="9072"/>
        </w:tabs>
        <w:spacing w:before="120" w:after="120"/>
        <w:jc w:val="both"/>
      </w:pPr>
      <w:r>
        <w:t xml:space="preserve">         </w:t>
      </w:r>
      <w:r>
        <w:tab/>
      </w:r>
    </w:p>
    <w:p w14:paraId="43EAD7B3" w14:textId="77777777" w:rsidR="00B77C6D" w:rsidRPr="00E4424D" w:rsidRDefault="00B77C6D" w:rsidP="00B77C6D">
      <w:pPr>
        <w:pStyle w:val="ListParagraph"/>
        <w:spacing w:after="240"/>
        <w:ind w:left="1080"/>
        <w:jc w:val="both"/>
        <w:rPr>
          <w:szCs w:val="24"/>
        </w:rPr>
      </w:pPr>
      <w:r>
        <w:t xml:space="preserve">Če je odgovor pritrdilen, zagotovite informacije o znesku pomoči, ki ga je treba še izterjati, da ga Komisija upošteva pri presoji ukrepa pomoči. </w:t>
      </w:r>
    </w:p>
    <w:p w14:paraId="2361C745" w14:textId="77777777" w:rsidR="00B77C6D" w:rsidRDefault="00B77C6D" w:rsidP="00B77C6D">
      <w:pPr>
        <w:tabs>
          <w:tab w:val="left" w:leader="dot" w:pos="9072"/>
        </w:tabs>
        <w:spacing w:before="120" w:after="120"/>
        <w:ind w:left="567"/>
        <w:jc w:val="both"/>
      </w:pPr>
      <w:r>
        <w:tab/>
      </w:r>
    </w:p>
    <w:p w14:paraId="7926625A" w14:textId="2557C7C0" w:rsidR="00B77C6D" w:rsidRPr="004C1FBF" w:rsidRDefault="00B77C6D" w:rsidP="00385633">
      <w:pPr>
        <w:pStyle w:val="ListParagraph"/>
        <w:numPr>
          <w:ilvl w:val="0"/>
          <w:numId w:val="4"/>
        </w:numPr>
        <w:spacing w:before="120" w:after="120"/>
        <w:ind w:left="567" w:hanging="567"/>
        <w:contextualSpacing w:val="0"/>
        <w:jc w:val="both"/>
        <w:rPr>
          <w:rFonts w:cs="Arial Unicode MS"/>
        </w:rPr>
      </w:pPr>
      <w:r>
        <w:t>Potrdite, da ukrep ne vključuje pomoči za dejavnosti, ki ne spadajo na področje uporabe Smernic (glej točko 13 Smernic). Sicer navedite podrobnosti.</w:t>
      </w:r>
    </w:p>
    <w:p w14:paraId="5098110D" w14:textId="77777777" w:rsidR="00B77C6D" w:rsidRDefault="00B77C6D" w:rsidP="00B77C6D">
      <w:pPr>
        <w:tabs>
          <w:tab w:val="left" w:leader="dot" w:pos="9072"/>
        </w:tabs>
        <w:spacing w:before="120" w:after="120"/>
        <w:ind w:left="567"/>
        <w:jc w:val="both"/>
      </w:pPr>
      <w:r>
        <w:tab/>
      </w:r>
    </w:p>
    <w:p w14:paraId="74D31163" w14:textId="77777777" w:rsidR="00B77C6D" w:rsidRPr="00ED2FA7" w:rsidRDefault="00B77C6D" w:rsidP="004F64BC">
      <w:pPr>
        <w:pStyle w:val="ListParagraph"/>
        <w:keepLines/>
        <w:numPr>
          <w:ilvl w:val="0"/>
          <w:numId w:val="4"/>
        </w:numPr>
        <w:spacing w:before="360" w:after="240"/>
        <w:ind w:left="567" w:hanging="567"/>
        <w:contextualSpacing w:val="0"/>
        <w:jc w:val="both"/>
        <w:rPr>
          <w:rFonts w:cs="Arial Unicode MS"/>
          <w:bCs/>
        </w:rPr>
      </w:pPr>
      <w:bookmarkStart w:id="2" w:name="_Ref116914408"/>
      <w:r>
        <w:rPr>
          <w:b/>
        </w:rPr>
        <w:t>Proračun in financiranje ukrepa.</w:t>
      </w:r>
      <w:bookmarkEnd w:id="2"/>
    </w:p>
    <w:p w14:paraId="604EF1DB" w14:textId="3F1539F9" w:rsidR="00B77C6D" w:rsidRPr="00ED2FA7" w:rsidRDefault="0068024A" w:rsidP="00D304A1">
      <w:pPr>
        <w:pStyle w:val="ListParagraph"/>
        <w:keepLines/>
        <w:numPr>
          <w:ilvl w:val="0"/>
          <w:numId w:val="23"/>
        </w:numPr>
        <w:spacing w:before="120" w:after="120"/>
        <w:ind w:left="993" w:hanging="284"/>
        <w:contextualSpacing w:val="0"/>
        <w:jc w:val="both"/>
        <w:rPr>
          <w:rFonts w:cs="Arial Unicode MS"/>
          <w:bCs/>
        </w:rPr>
      </w:pPr>
      <w:r>
        <w:t>Če to še ni navedeno v preglednici v oddelku 7.1 obrazca za splošne informacije (del I), navedite letni in/ali skupni proračun za celotno trajanje ukrepa; če skupni proračun ni znan (na primer zato, ker je odvisen od rezultatov razpisov), navedite približno oceno proračuna, vključno s predpostavkami, uporabljenimi za izračun zadevne ocene proračuna.</w:t>
      </w:r>
      <w:r>
        <w:rPr>
          <w:vertAlign w:val="superscript"/>
        </w:rPr>
        <w:t xml:space="preserve"> </w:t>
      </w:r>
      <w:r w:rsidRPr="00D86D38">
        <w:rPr>
          <w:szCs w:val="24"/>
          <w:vertAlign w:val="superscript"/>
        </w:rPr>
        <w:footnoteReference w:id="4"/>
      </w:r>
    </w:p>
    <w:p w14:paraId="4FA1582B" w14:textId="77777777" w:rsidR="00B77C6D" w:rsidRPr="00ED2FA7" w:rsidRDefault="00B77C6D" w:rsidP="00E7597C">
      <w:pPr>
        <w:keepLines/>
        <w:tabs>
          <w:tab w:val="left" w:leader="dot" w:pos="9072"/>
        </w:tabs>
        <w:spacing w:before="120" w:after="120"/>
        <w:ind w:left="567"/>
        <w:jc w:val="both"/>
      </w:pPr>
      <w:r>
        <w:tab/>
      </w:r>
    </w:p>
    <w:p w14:paraId="630CFBE6" w14:textId="77777777" w:rsidR="00B77C6D" w:rsidRPr="00ED2FA7" w:rsidRDefault="00B77C6D" w:rsidP="00E7597C">
      <w:pPr>
        <w:keepLines/>
        <w:tabs>
          <w:tab w:val="left" w:leader="dot" w:pos="9072"/>
        </w:tabs>
        <w:spacing w:before="120" w:after="120"/>
        <w:ind w:left="567"/>
        <w:jc w:val="both"/>
      </w:pPr>
      <w:r>
        <w:tab/>
      </w:r>
    </w:p>
    <w:p w14:paraId="0428868B" w14:textId="00D23EB3" w:rsidR="00B77C6D" w:rsidRDefault="003D4EB8" w:rsidP="00B77C6D">
      <w:pPr>
        <w:pStyle w:val="ListParagraph"/>
        <w:numPr>
          <w:ilvl w:val="0"/>
          <w:numId w:val="23"/>
        </w:numPr>
        <w:spacing w:before="120" w:after="120"/>
        <w:ind w:left="993" w:hanging="284"/>
        <w:contextualSpacing w:val="0"/>
        <w:jc w:val="both"/>
        <w:rPr>
          <w:rFonts w:cs="Arial Unicode MS"/>
          <w:bCs/>
        </w:rPr>
      </w:pPr>
      <w:bookmarkStart w:id="3" w:name="_Ref116914400"/>
      <w:r>
        <w:t>Ker ukrep zadeva dajatev, navedite, ali:</w:t>
      </w:r>
      <w:bookmarkEnd w:id="3"/>
    </w:p>
    <w:p w14:paraId="21BE29C3"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je dajatev določena z zakonom ali drugim zakonodajnim aktom; če je odgovor pritrdilen, navedite pravni akt, njegovo številko ter datuma sprejetja in začetka veljavnosti akta ter spletno povezavo do pravnega akta;</w:t>
      </w:r>
    </w:p>
    <w:p w14:paraId="1754D836" w14:textId="77777777" w:rsidR="00B77C6D" w:rsidRDefault="00B77C6D" w:rsidP="00E7597C">
      <w:pPr>
        <w:keepLines/>
        <w:tabs>
          <w:tab w:val="left" w:leader="dot" w:pos="9072"/>
        </w:tabs>
        <w:spacing w:before="120" w:after="120"/>
        <w:ind w:left="927"/>
        <w:jc w:val="both"/>
      </w:pPr>
      <w:r>
        <w:tab/>
      </w:r>
    </w:p>
    <w:p w14:paraId="17CC5546" w14:textId="54C11AFE" w:rsidR="001F75B2" w:rsidRPr="001F75B2" w:rsidRDefault="001F75B2" w:rsidP="00E7597C">
      <w:pPr>
        <w:pStyle w:val="ListParagraph"/>
        <w:keepLines/>
        <w:numPr>
          <w:ilvl w:val="1"/>
          <w:numId w:val="23"/>
        </w:numPr>
        <w:spacing w:before="240" w:after="120"/>
        <w:ind w:left="2001" w:hanging="357"/>
        <w:contextualSpacing w:val="0"/>
        <w:jc w:val="both"/>
        <w:rPr>
          <w:rFonts w:cs="Arial Unicode MS"/>
          <w:bCs/>
        </w:rPr>
      </w:pPr>
      <w:bookmarkStart w:id="4" w:name="_Hlk172879385"/>
      <w:r>
        <w:t>se znižanje dajatve financira z zvišanjem dajatve za druge potrošnike</w:t>
      </w:r>
      <w:bookmarkEnd w:id="4"/>
      <w:r>
        <w:t>;</w:t>
      </w:r>
    </w:p>
    <w:p w14:paraId="63B7575D" w14:textId="6407E221" w:rsidR="00B77C6D" w:rsidRDefault="001F75B2" w:rsidP="00E7597C">
      <w:pPr>
        <w:keepLines/>
        <w:tabs>
          <w:tab w:val="left" w:leader="dot" w:pos="9072"/>
        </w:tabs>
        <w:spacing w:before="120" w:after="120"/>
        <w:ind w:left="927"/>
        <w:jc w:val="both"/>
      </w:pPr>
      <w:r>
        <w:tab/>
      </w:r>
      <w:r>
        <w:tab/>
      </w:r>
    </w:p>
    <w:p w14:paraId="008A55C5"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se ukrep z dajatvijo financira v celoti ali le delno. Če se ukrep z dajatvijo financira le delno, navedite druge vire financiranja ukrepa in njihov ustrezni delež;</w:t>
      </w:r>
    </w:p>
    <w:p w14:paraId="56091CF7" w14:textId="77777777" w:rsidR="00B77C6D" w:rsidRDefault="00B77C6D" w:rsidP="00E7597C">
      <w:pPr>
        <w:keepLines/>
        <w:tabs>
          <w:tab w:val="left" w:leader="dot" w:pos="9072"/>
        </w:tabs>
        <w:spacing w:before="120" w:after="120"/>
        <w:ind w:left="927"/>
        <w:jc w:val="both"/>
      </w:pPr>
      <w:r>
        <w:lastRenderedPageBreak/>
        <w:tab/>
      </w:r>
    </w:p>
    <w:p w14:paraId="0D234BB7" w14:textId="77777777" w:rsidR="00B77C6D" w:rsidRDefault="00B77C6D" w:rsidP="00D304A1">
      <w:pPr>
        <w:pStyle w:val="ListParagraph"/>
        <w:keepLines/>
        <w:numPr>
          <w:ilvl w:val="1"/>
          <w:numId w:val="23"/>
        </w:numPr>
        <w:spacing w:before="240" w:after="120"/>
        <w:ind w:left="2001" w:hanging="357"/>
        <w:contextualSpacing w:val="0"/>
        <w:jc w:val="both"/>
        <w:rPr>
          <w:rFonts w:cs="Arial Unicode MS"/>
          <w:bCs/>
        </w:rPr>
      </w:pPr>
      <w:r>
        <w:t>se z dajatvijo, s katero se financira priglašeni ukrep, financirajo tudi drugi ukrepi pomoči. Če je odgovor pritrdilen, navedite druge ukrepe pomoči, ki se financirajo z zadevno dajatvijo.</w:t>
      </w:r>
    </w:p>
    <w:p w14:paraId="0DD7B78D" w14:textId="1216A883" w:rsidR="001D57C9" w:rsidRDefault="00B77C6D" w:rsidP="00D304A1">
      <w:pPr>
        <w:keepLines/>
        <w:tabs>
          <w:tab w:val="left" w:leader="dot" w:pos="9072"/>
        </w:tabs>
        <w:spacing w:before="120" w:after="360"/>
        <w:ind w:left="992"/>
        <w:jc w:val="both"/>
      </w:pPr>
      <w:r>
        <w:tab/>
      </w: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304A1">
            <w:pPr>
              <w:keepLines/>
              <w:spacing w:before="120" w:after="120"/>
              <w:jc w:val="center"/>
              <w:rPr>
                <w:b/>
                <w:sz w:val="32"/>
                <w:szCs w:val="32"/>
              </w:rPr>
            </w:pPr>
            <w:r>
              <w:rPr>
                <w:b/>
                <w:sz w:val="32"/>
              </w:rPr>
              <w:t>Oddelek B: Ocena združljivosti pomoči</w:t>
            </w:r>
          </w:p>
        </w:tc>
      </w:tr>
    </w:tbl>
    <w:p w14:paraId="07973474" w14:textId="77777777" w:rsidR="000442F5" w:rsidRPr="00711243" w:rsidRDefault="000442F5"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D304A1">
            <w:pPr>
              <w:pStyle w:val="Heading1"/>
              <w:keepLines/>
              <w:numPr>
                <w:ilvl w:val="0"/>
                <w:numId w:val="24"/>
              </w:numPr>
              <w:rPr>
                <w:i/>
                <w:sz w:val="28"/>
                <w:szCs w:val="28"/>
              </w:rPr>
            </w:pPr>
            <w:r>
              <w:rPr>
                <w:i/>
                <w:sz w:val="28"/>
              </w:rPr>
              <w:t>Pozitivni pogoj: pomoč mora pospeševati razvoj gospodarske dejavnosti</w:t>
            </w:r>
          </w:p>
        </w:tc>
      </w:tr>
    </w:tbl>
    <w:p w14:paraId="51388EE2" w14:textId="77777777" w:rsidR="004B5C2A" w:rsidRPr="00711243" w:rsidRDefault="004B5C2A"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B1B97C9" w:rsidR="004B5C2A" w:rsidRPr="00B418CC" w:rsidRDefault="007D1E08" w:rsidP="00D304A1">
            <w:pPr>
              <w:pStyle w:val="Heading1"/>
              <w:keepLines/>
              <w:numPr>
                <w:ilvl w:val="1"/>
                <w:numId w:val="24"/>
              </w:numPr>
              <w:rPr>
                <w:sz w:val="24"/>
                <w:szCs w:val="24"/>
              </w:rPr>
            </w:pPr>
            <w:r>
              <w:rPr>
                <w:sz w:val="24"/>
              </w:rPr>
              <w:t>Prispevek k razvoju gospodarske dejavnosti in spodbujevalni učinek</w:t>
            </w:r>
          </w:p>
        </w:tc>
      </w:tr>
    </w:tbl>
    <w:p w14:paraId="1E2599D2" w14:textId="090DDB6C" w:rsidR="000442F5" w:rsidRPr="00DB40A5" w:rsidRDefault="000442F5" w:rsidP="00D304A1">
      <w:pPr>
        <w:keepLines/>
        <w:spacing w:before="360" w:after="120"/>
        <w:jc w:val="both"/>
        <w:rPr>
          <w:i/>
        </w:rPr>
      </w:pPr>
      <w:r>
        <w:rPr>
          <w:i/>
        </w:rPr>
        <w:t xml:space="preserve">Za zagotovitev informacij v tem oddelku glej oddelek 4.11.1 Smernic. </w:t>
      </w:r>
    </w:p>
    <w:p w14:paraId="3B179A23" w14:textId="692B32B4" w:rsidR="00FE59FF" w:rsidRDefault="00956022" w:rsidP="007D3768">
      <w:pPr>
        <w:numPr>
          <w:ilvl w:val="0"/>
          <w:numId w:val="4"/>
        </w:numPr>
        <w:ind w:left="426" w:hanging="426"/>
        <w:jc w:val="both"/>
      </w:pPr>
      <w:r>
        <w:t xml:space="preserve">Člen 107(3), točka (c), Pogodbe o delovanju Evropske unije (PDEU) določa, da lahko Komisija za združljivo razglasi „pomoč za pospeševanje razvoja določenih gospodarskih dejavnosti ali določenih gospodarskih območij, kadar takšna pomoč ne spreminja trgovinskih pogojev v obsegu, ki bi bil v nasprotju s skupnimi interesi“. Zato mora združljiva pomoč na podlagi navedene določbe PDEU prispevati k razvoju določenih gospodarskih dejavnosti. </w:t>
      </w:r>
    </w:p>
    <w:p w14:paraId="3D019745" w14:textId="31E2DE72" w:rsidR="00C75792" w:rsidRPr="008515FB" w:rsidRDefault="00FE59FF" w:rsidP="00E7597C">
      <w:pPr>
        <w:spacing w:before="240"/>
        <w:ind w:left="357"/>
        <w:jc w:val="both"/>
      </w:pPr>
      <w:r>
        <w:t>Poleg tega se za državno pomoč lahko šteje, da pospešuje gospodarsko dejavnost, samo, če ima spodbujevalni učinek. Pomoč ima spodbujevalni učinek, če upravičenca spodbudi k spremembi ravnanja v smeri razvoja gospodarske dejavnosti, ki se izvaja ob pomoči, in če do te spremembe ravnanja v odsotnosti pomoči ne bi prišlo.</w:t>
      </w:r>
    </w:p>
    <w:p w14:paraId="39FC0D62" w14:textId="2EEC2D6B" w:rsidR="00C75792" w:rsidRDefault="007D1561" w:rsidP="00D304A1">
      <w:pPr>
        <w:pStyle w:val="ListParagraph"/>
        <w:keepLines/>
        <w:numPr>
          <w:ilvl w:val="0"/>
          <w:numId w:val="47"/>
        </w:numPr>
        <w:spacing w:before="240" w:after="120"/>
        <w:ind w:left="1281" w:hanging="357"/>
        <w:contextualSpacing w:val="0"/>
        <w:jc w:val="both"/>
        <w:rPr>
          <w:rFonts w:cs="Arial Unicode MS"/>
          <w:bCs/>
        </w:rPr>
      </w:pPr>
      <w:r>
        <w:t xml:space="preserve">Pojasnite, kako mehanizem za znižanje dajatev zagotavlja spodbude upravičenim podjetjem za preprečevanje tveganja selitve dejavnosti iz Unije na lokacije, kjer ni okoljskih predpisov ali so ti manj ambiciozni, ali spodbude za spodbujanje elektrifikacije proizvodnih procesov v skladu s točko 400 Smernic. </w:t>
      </w:r>
    </w:p>
    <w:p w14:paraId="6764F049" w14:textId="77777777" w:rsidR="00C75792" w:rsidRPr="008515FB" w:rsidRDefault="00C75792" w:rsidP="00E7597C">
      <w:pPr>
        <w:keepLines/>
        <w:tabs>
          <w:tab w:val="left" w:leader="dot" w:pos="9072"/>
        </w:tabs>
        <w:spacing w:before="120" w:after="120"/>
        <w:jc w:val="both"/>
      </w:pPr>
      <w:r>
        <w:t xml:space="preserve">         </w:t>
      </w:r>
      <w:r>
        <w:tab/>
      </w:r>
    </w:p>
    <w:p w14:paraId="2E62F22E" w14:textId="475DD5C9" w:rsidR="00FE59FF" w:rsidRPr="00A97DDF" w:rsidRDefault="007D1561" w:rsidP="00D304A1">
      <w:pPr>
        <w:pStyle w:val="ListParagraph"/>
        <w:keepLines/>
        <w:numPr>
          <w:ilvl w:val="0"/>
          <w:numId w:val="47"/>
        </w:numPr>
        <w:spacing w:before="240" w:after="120"/>
        <w:ind w:left="1281" w:hanging="357"/>
        <w:contextualSpacing w:val="0"/>
        <w:jc w:val="both"/>
        <w:rPr>
          <w:rFonts w:cs="Arial Unicode MS"/>
          <w:bCs/>
        </w:rPr>
      </w:pPr>
      <w:r>
        <w:t>Navedite, v katerem delu (osnutka) pravne podlage se odraža ta razmislek.</w:t>
      </w:r>
    </w:p>
    <w:p w14:paraId="4B14AA56" w14:textId="152CDAFB" w:rsidR="00FE59FF" w:rsidRPr="00E7597C" w:rsidRDefault="00FE59FF" w:rsidP="00E7597C">
      <w:pPr>
        <w:keepLines/>
        <w:tabs>
          <w:tab w:val="left" w:leader="dot" w:pos="9072"/>
        </w:tabs>
        <w:spacing w:before="120" w:after="480"/>
        <w:ind w:left="567"/>
        <w:jc w:val="both"/>
      </w:pPr>
      <w:r>
        <w:t xml:space="preserve">      </w:t>
      </w:r>
      <w:r>
        <w:tab/>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FE59FF">
            <w:pPr>
              <w:pStyle w:val="Heading1"/>
              <w:numPr>
                <w:ilvl w:val="1"/>
                <w:numId w:val="24"/>
              </w:numPr>
              <w:rPr>
                <w:sz w:val="24"/>
                <w:szCs w:val="24"/>
              </w:rPr>
            </w:pPr>
            <w:r>
              <w:rPr>
                <w:sz w:val="24"/>
              </w:rPr>
              <w:t>Neobstoj kršitve ustreznih določb prava Unije</w:t>
            </w:r>
          </w:p>
        </w:tc>
      </w:tr>
    </w:tbl>
    <w:p w14:paraId="665FE026" w14:textId="0459581F" w:rsidR="00DE1D68" w:rsidRDefault="00DE1D68" w:rsidP="00DE1D68">
      <w:pPr>
        <w:spacing w:before="360" w:after="120"/>
        <w:jc w:val="both"/>
        <w:rPr>
          <w:i/>
        </w:rPr>
      </w:pPr>
      <w:r>
        <w:rPr>
          <w:i/>
        </w:rPr>
        <w:t xml:space="preserve">Za zagotovitev informacij v tem oddelku glej oddelek 3.1.3 (točka 33) Smernic. </w:t>
      </w:r>
    </w:p>
    <w:p w14:paraId="3E98C3D7" w14:textId="0DD79AFD" w:rsidR="00BE702A" w:rsidRDefault="0023543E" w:rsidP="00E7597C">
      <w:pPr>
        <w:pStyle w:val="ListParagraph"/>
        <w:keepLines/>
        <w:spacing w:before="120" w:after="120"/>
        <w:ind w:left="1287"/>
        <w:contextualSpacing w:val="0"/>
        <w:jc w:val="both"/>
        <w:rPr>
          <w:rFonts w:cs="Arial Unicode MS"/>
          <w:bCs/>
        </w:rPr>
      </w:pPr>
      <w:r>
        <w:t>Zagotovite informacije za potrditev skladnosti z ustreznimi določbami prava EU v skladu s točko 33 Smernic.</w:t>
      </w:r>
    </w:p>
    <w:p w14:paraId="1E0A5288" w14:textId="77777777" w:rsidR="00A97DDF" w:rsidRDefault="00A97DDF" w:rsidP="00E7597C">
      <w:pPr>
        <w:keepLines/>
        <w:tabs>
          <w:tab w:val="left" w:leader="dot" w:pos="9072"/>
        </w:tabs>
        <w:spacing w:before="120" w:after="120"/>
        <w:ind w:left="851"/>
        <w:jc w:val="both"/>
        <w:rPr>
          <w:color w:val="000000"/>
        </w:rPr>
      </w:pPr>
      <w:r>
        <w:rPr>
          <w:color w:val="000000"/>
        </w:rPr>
        <w:tab/>
      </w:r>
    </w:p>
    <w:p w14:paraId="12BBBE61" w14:textId="6B867948" w:rsidR="00663008" w:rsidRPr="00F83660" w:rsidRDefault="008D37F9" w:rsidP="00663008">
      <w:pPr>
        <w:ind w:left="-567" w:firstLine="1412"/>
        <w:rPr>
          <w:i/>
          <w:color w:val="000000"/>
        </w:rPr>
      </w:pPr>
      <w:bookmarkStart w:id="5" w:name="_Hlk167712436"/>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bookmarkEnd w:id="5"/>
          <w:p w14:paraId="47835452" w14:textId="1E46754C" w:rsidR="00663008" w:rsidRPr="00D304A1" w:rsidRDefault="00663008" w:rsidP="00C52CFD">
            <w:pPr>
              <w:pStyle w:val="Heading1"/>
              <w:numPr>
                <w:ilvl w:val="0"/>
                <w:numId w:val="24"/>
              </w:numPr>
              <w:rPr>
                <w:i/>
                <w:color w:val="000000"/>
                <w:sz w:val="28"/>
                <w:szCs w:val="28"/>
              </w:rPr>
            </w:pPr>
            <w:r>
              <w:rPr>
                <w:i/>
                <w:color w:val="000000"/>
                <w:sz w:val="28"/>
              </w:rPr>
              <w:t>Negativni pogoj: pomoč ne sme neupravičeno spreminjati trgovinskih pogojev v obsegu, ki bi bil v nasprotju s skupnimi interesi</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2F5D565E" w:rsidR="00164ADE" w:rsidRPr="00164ADE" w:rsidRDefault="00164ADE" w:rsidP="00FE59FF">
            <w:pPr>
              <w:pStyle w:val="Heading1"/>
              <w:numPr>
                <w:ilvl w:val="0"/>
                <w:numId w:val="25"/>
              </w:numPr>
              <w:jc w:val="left"/>
              <w:rPr>
                <w:i/>
                <w:color w:val="000000"/>
                <w:sz w:val="28"/>
                <w:szCs w:val="28"/>
              </w:rPr>
            </w:pPr>
            <w:r>
              <w:rPr>
                <w:i/>
                <w:color w:val="000000"/>
                <w:sz w:val="28"/>
              </w:rPr>
              <w:t xml:space="preserve">Čim večje zmanjšanje izkrivljanja konkurence in trgovine </w:t>
            </w:r>
          </w:p>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5EF01EA3" w:rsidR="00663008" w:rsidRPr="00F83660" w:rsidRDefault="00E74CAF" w:rsidP="00FE59FF">
            <w:pPr>
              <w:pStyle w:val="Heading1"/>
              <w:numPr>
                <w:ilvl w:val="1"/>
                <w:numId w:val="24"/>
              </w:numPr>
              <w:rPr>
                <w:color w:val="000000"/>
                <w:sz w:val="24"/>
                <w:szCs w:val="24"/>
              </w:rPr>
            </w:pPr>
            <w:r>
              <w:rPr>
                <w:color w:val="000000"/>
                <w:sz w:val="24"/>
              </w:rPr>
              <w:t>Potreba po ukrepu državne pomoči in ustreznost pomoči</w:t>
            </w:r>
          </w:p>
        </w:tc>
      </w:tr>
    </w:tbl>
    <w:p w14:paraId="3C23674F" w14:textId="3EF4BD10" w:rsidR="00663008" w:rsidRPr="00F83660" w:rsidRDefault="00663008" w:rsidP="00663008">
      <w:pPr>
        <w:spacing w:before="360" w:after="120"/>
        <w:jc w:val="both"/>
        <w:rPr>
          <w:i/>
          <w:color w:val="000000"/>
        </w:rPr>
      </w:pPr>
      <w:r>
        <w:rPr>
          <w:i/>
        </w:rPr>
        <w:t>Za zagotovitev informacij v tem oddelku glej oddelek 4.11.2 in točko 413 Smernic.</w:t>
      </w:r>
      <w:r>
        <w:rPr>
          <w:i/>
          <w:color w:val="000000"/>
        </w:rPr>
        <w:t xml:space="preserve"> </w:t>
      </w:r>
    </w:p>
    <w:p w14:paraId="2CAEA1C5" w14:textId="28295A1F" w:rsidR="00A97DDF" w:rsidRPr="00D3076E" w:rsidRDefault="00956022" w:rsidP="00E7597C">
      <w:pPr>
        <w:pStyle w:val="ListParagraph"/>
        <w:numPr>
          <w:ilvl w:val="0"/>
          <w:numId w:val="4"/>
        </w:numPr>
        <w:spacing w:before="240" w:after="120"/>
        <w:ind w:left="567" w:hanging="567"/>
        <w:contextualSpacing w:val="0"/>
        <w:jc w:val="both"/>
      </w:pPr>
      <w:r>
        <w:t xml:space="preserve">Točka 403 Smernic se uporablja za znižanja dajatev za porabo električne energije, s katerimi se financirajo cilji energetske in okoljske politike. Za vsako dajatev, za katero naj bi se odobrila znižanja, navedite popoln in podroben opis narave, obsega in uporabe dajatev, pri čemer pojasnite, kako sistem dajatev deluje v praksi (delovanje sheme in organ, ki dodeli pomoč), ter se pri tem natančno sklicujte na regulativni okvir sistema (pravna podlaga). </w:t>
      </w:r>
    </w:p>
    <w:p w14:paraId="72782B48" w14:textId="77777777" w:rsidR="00A97DDF" w:rsidRDefault="00A97DDF" w:rsidP="00A97DDF">
      <w:pPr>
        <w:tabs>
          <w:tab w:val="left" w:leader="dot" w:pos="9072"/>
        </w:tabs>
        <w:spacing w:before="120" w:after="120"/>
        <w:ind w:left="851"/>
        <w:jc w:val="both"/>
        <w:rPr>
          <w:color w:val="000000"/>
        </w:rPr>
      </w:pPr>
      <w:r>
        <w:rPr>
          <w:color w:val="000000"/>
        </w:rPr>
        <w:tab/>
      </w:r>
    </w:p>
    <w:p w14:paraId="18B9CF06" w14:textId="6DBBD887" w:rsidR="00FE59FF" w:rsidRPr="009046DC" w:rsidRDefault="00FE59FF" w:rsidP="00E7597C">
      <w:pPr>
        <w:pStyle w:val="ListParagraph"/>
        <w:keepLines/>
        <w:numPr>
          <w:ilvl w:val="0"/>
          <w:numId w:val="34"/>
        </w:numPr>
        <w:spacing w:before="120" w:after="120"/>
        <w:contextualSpacing w:val="0"/>
        <w:jc w:val="both"/>
      </w:pPr>
      <w:r>
        <w:t>Zlasti navedite informacije v zvezi z naslednjimi elementi:</w:t>
      </w:r>
    </w:p>
    <w:p w14:paraId="28606A54" w14:textId="5FF42D56"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namenom vsake dajatve (s pojasnilom, kako se uporabljajo prihodki, zbrani z vsako dajatvijo);</w:t>
      </w:r>
    </w:p>
    <w:p w14:paraId="3E421772" w14:textId="02259217" w:rsidR="00A97DDF" w:rsidRPr="009046DC" w:rsidRDefault="00A97DDF" w:rsidP="009046DC">
      <w:pPr>
        <w:tabs>
          <w:tab w:val="left" w:leader="dot" w:pos="9072"/>
        </w:tabs>
        <w:spacing w:before="120" w:after="120"/>
        <w:ind w:left="851"/>
        <w:jc w:val="both"/>
        <w:rPr>
          <w:color w:val="000000"/>
        </w:rPr>
      </w:pPr>
      <w:r>
        <w:rPr>
          <w:color w:val="000000"/>
        </w:rPr>
        <w:tab/>
      </w:r>
    </w:p>
    <w:p w14:paraId="5C8C4521" w14:textId="21D3937B"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kako in komu se dajatev zaračuna; na kateri osnovi se dajatev zaračuna podjetju; metodologijo za izračun stopnje dajatve; ali se v celotni zaračunani osnovi uporabljajo različne stopnje dajatev, zakaj je tako in na kakšen način se to izvaja; kako pogosto in na kakšni podlagi se preverja stopnja dajatve;</w:t>
      </w:r>
    </w:p>
    <w:p w14:paraId="3D06ECCA" w14:textId="77777777" w:rsidR="00A97DDF" w:rsidRDefault="00A97DDF" w:rsidP="00E7597C">
      <w:pPr>
        <w:keepLines/>
        <w:tabs>
          <w:tab w:val="left" w:leader="dot" w:pos="9072"/>
        </w:tabs>
        <w:spacing w:before="120" w:after="120"/>
        <w:ind w:left="851"/>
        <w:jc w:val="both"/>
        <w:rPr>
          <w:color w:val="000000"/>
        </w:rPr>
      </w:pPr>
      <w:r>
        <w:rPr>
          <w:color w:val="000000"/>
        </w:rPr>
        <w:tab/>
      </w:r>
    </w:p>
    <w:p w14:paraId="4CA16BA7" w14:textId="5F53E29C" w:rsidR="008B1377" w:rsidRPr="008B1377" w:rsidRDefault="000E669F" w:rsidP="00E7597C">
      <w:pPr>
        <w:pStyle w:val="ListParagraph"/>
        <w:keepLines/>
        <w:numPr>
          <w:ilvl w:val="0"/>
          <w:numId w:val="50"/>
        </w:numPr>
        <w:spacing w:before="240" w:after="120"/>
        <w:ind w:left="2001" w:hanging="357"/>
        <w:contextualSpacing w:val="0"/>
        <w:jc w:val="both"/>
        <w:rPr>
          <w:rFonts w:cs="Arial Unicode MS"/>
          <w:bCs/>
        </w:rPr>
      </w:pPr>
      <w:r>
        <w:t xml:space="preserve">opišite različne subjekte, ki sodelujejo pri določanju in pregledu dajatve, ter tiste, ki sodelujejo pri pobiranju dajatve in upravljanju prihodkov, zbranih z dajatvijo;    </w:t>
      </w:r>
    </w:p>
    <w:p w14:paraId="67ABBA8F" w14:textId="77777777" w:rsidR="008B1377" w:rsidRDefault="008B1377" w:rsidP="00E7597C">
      <w:pPr>
        <w:keepLines/>
        <w:tabs>
          <w:tab w:val="left" w:leader="dot" w:pos="9072"/>
        </w:tabs>
        <w:spacing w:before="120" w:after="120"/>
        <w:ind w:left="851"/>
        <w:jc w:val="both"/>
        <w:rPr>
          <w:color w:val="000000"/>
        </w:rPr>
      </w:pPr>
      <w:r>
        <w:rPr>
          <w:color w:val="000000"/>
        </w:rPr>
        <w:tab/>
      </w:r>
    </w:p>
    <w:p w14:paraId="60EB7862" w14:textId="191151DA" w:rsidR="00A97DDF" w:rsidRPr="00A97DDF" w:rsidRDefault="008B1377" w:rsidP="00E7597C">
      <w:pPr>
        <w:pStyle w:val="ListParagraph"/>
        <w:keepLines/>
        <w:numPr>
          <w:ilvl w:val="0"/>
          <w:numId w:val="50"/>
        </w:numPr>
        <w:spacing w:before="120" w:after="120"/>
        <w:contextualSpacing w:val="0"/>
        <w:jc w:val="both"/>
        <w:rPr>
          <w:rFonts w:cs="Arial Unicode MS"/>
          <w:bCs/>
        </w:rPr>
      </w:pPr>
      <w:r>
        <w:t>opišite, kako deluje sistem pobiranja in prerazporejanja dajatev;</w:t>
      </w:r>
    </w:p>
    <w:p w14:paraId="6459F489" w14:textId="54827983" w:rsidR="00A97DDF" w:rsidRPr="009046DC" w:rsidRDefault="00A97DDF" w:rsidP="00E7597C">
      <w:pPr>
        <w:keepLines/>
        <w:tabs>
          <w:tab w:val="left" w:leader="dot" w:pos="9072"/>
        </w:tabs>
        <w:spacing w:before="120" w:after="120"/>
        <w:ind w:left="851"/>
        <w:jc w:val="both"/>
        <w:rPr>
          <w:color w:val="000000"/>
        </w:rPr>
      </w:pPr>
      <w:r>
        <w:rPr>
          <w:color w:val="000000"/>
        </w:rPr>
        <w:tab/>
      </w:r>
    </w:p>
    <w:p w14:paraId="0A0299DC" w14:textId="022EBBC3" w:rsidR="00FE59FF" w:rsidRPr="00A97DDF" w:rsidRDefault="000E669F" w:rsidP="00E7597C">
      <w:pPr>
        <w:pStyle w:val="ListParagraph"/>
        <w:keepLines/>
        <w:numPr>
          <w:ilvl w:val="0"/>
          <w:numId w:val="50"/>
        </w:numPr>
        <w:spacing w:before="120" w:after="120"/>
        <w:contextualSpacing w:val="0"/>
        <w:jc w:val="both"/>
        <w:rPr>
          <w:rFonts w:cs="Arial Unicode MS"/>
          <w:bCs/>
        </w:rPr>
      </w:pPr>
      <w:r>
        <w:t>navedite najnovejše letne podatke o uporabljenih stopnjah dajatev in skupnih zbranih prihodkih. Če so na voljo, navedite napovedi za prihodnost.</w:t>
      </w:r>
    </w:p>
    <w:p w14:paraId="373FD785" w14:textId="77777777" w:rsidR="00A97DDF" w:rsidRDefault="00A97DDF" w:rsidP="00E7597C">
      <w:pPr>
        <w:keepLines/>
        <w:tabs>
          <w:tab w:val="left" w:leader="dot" w:pos="9072"/>
        </w:tabs>
        <w:spacing w:before="120" w:after="120"/>
        <w:ind w:left="851"/>
        <w:jc w:val="both"/>
        <w:rPr>
          <w:color w:val="000000"/>
        </w:rPr>
      </w:pPr>
      <w:r>
        <w:rPr>
          <w:color w:val="000000"/>
        </w:rPr>
        <w:tab/>
      </w:r>
    </w:p>
    <w:p w14:paraId="73CE45E6" w14:textId="3DC2748B" w:rsidR="00192CAA" w:rsidRDefault="00956022" w:rsidP="004F64BC">
      <w:pPr>
        <w:pStyle w:val="ListParagraph"/>
        <w:keepNext/>
        <w:numPr>
          <w:ilvl w:val="0"/>
          <w:numId w:val="4"/>
        </w:numPr>
        <w:spacing w:before="240" w:after="120"/>
        <w:ind w:left="567" w:hanging="567"/>
        <w:contextualSpacing w:val="0"/>
        <w:jc w:val="both"/>
      </w:pPr>
      <w:r>
        <w:lastRenderedPageBreak/>
        <w:t>Točka 404 Smernic določa, da morajo države članice vsa znižanja potencialno večkratnih dajatev za električno energijo za energetsko intenzivne uporabnike vključiti v enotno shemo ter Komisiji sporočiti kumulativni učinek vseh upravičenih dajatev in vseh predlaganih znižanj.</w:t>
      </w:r>
    </w:p>
    <w:p w14:paraId="3EF0E8A7" w14:textId="542E1B2A" w:rsidR="008D467D" w:rsidRDefault="00937DCD" w:rsidP="00E7597C">
      <w:pPr>
        <w:pStyle w:val="ListParagraph"/>
        <w:keepLines/>
        <w:numPr>
          <w:ilvl w:val="0"/>
          <w:numId w:val="43"/>
        </w:numPr>
        <w:spacing w:before="120" w:after="120"/>
        <w:contextualSpacing w:val="0"/>
        <w:jc w:val="both"/>
      </w:pPr>
      <w:r>
        <w:t xml:space="preserve">Potrdite, da so vsa znižanja dajatev, ki se odobrijo na podlagi oddelka 4.11 Smernic, zajeta v priglašenem ukrepu in da bodo morebitna prihodnja znižanja dajatev, ki niso zajeta, priglašena s spremembo priglašenega ukrepa. </w:t>
      </w:r>
    </w:p>
    <w:p w14:paraId="5D95920A" w14:textId="71C4C3A1" w:rsidR="008D467D" w:rsidRPr="00C01760" w:rsidRDefault="008D467D" w:rsidP="00E7597C">
      <w:pPr>
        <w:keepLines/>
        <w:tabs>
          <w:tab w:val="left" w:leader="dot" w:pos="9072"/>
        </w:tabs>
        <w:spacing w:before="120" w:after="120"/>
        <w:ind w:left="851"/>
        <w:jc w:val="both"/>
        <w:rPr>
          <w:color w:val="000000"/>
        </w:rPr>
      </w:pPr>
      <w:r>
        <w:rPr>
          <w:color w:val="000000"/>
        </w:rPr>
        <w:tab/>
      </w:r>
    </w:p>
    <w:p w14:paraId="359D41E7" w14:textId="10C378E6" w:rsidR="008D467D" w:rsidRDefault="00937DCD" w:rsidP="00E7597C">
      <w:pPr>
        <w:pStyle w:val="ListParagraph"/>
        <w:keepLines/>
        <w:numPr>
          <w:ilvl w:val="0"/>
          <w:numId w:val="43"/>
        </w:numPr>
        <w:spacing w:before="120" w:after="120"/>
        <w:contextualSpacing w:val="0"/>
        <w:jc w:val="both"/>
      </w:pPr>
      <w:r>
        <w:t>Na podlagi zadnjih let in možnih napovedi navedite informacije o kumulativnem učinku vseh ustreznih dajatev (v absolutnem in relativnem smislu v primerjavi s skupnimi stroški oskrbe z električno energijo ter skupnimi dajatvami, pristojbinami in davki za električno energijo) in s tem povezanih znižanj za upravičence na podlagi priglašene sheme.</w:t>
      </w:r>
    </w:p>
    <w:p w14:paraId="3692203F" w14:textId="3E761774" w:rsidR="008D467D" w:rsidRPr="00C01760" w:rsidRDefault="008D467D" w:rsidP="00E7597C">
      <w:pPr>
        <w:keepLines/>
        <w:tabs>
          <w:tab w:val="left" w:leader="dot" w:pos="9072"/>
        </w:tabs>
        <w:spacing w:before="120" w:after="120"/>
        <w:ind w:left="851"/>
        <w:jc w:val="both"/>
        <w:rPr>
          <w:color w:val="000000"/>
        </w:rPr>
      </w:pPr>
      <w:r>
        <w:rPr>
          <w:color w:val="000000"/>
        </w:rPr>
        <w:tab/>
      </w:r>
    </w:p>
    <w:p w14:paraId="721817A7" w14:textId="467BA461" w:rsidR="00855B10" w:rsidRPr="00855B10" w:rsidRDefault="00276E40" w:rsidP="00E7597C">
      <w:pPr>
        <w:pStyle w:val="ListParagraph"/>
        <w:numPr>
          <w:ilvl w:val="0"/>
          <w:numId w:val="4"/>
        </w:numPr>
        <w:spacing w:before="240" w:after="120"/>
        <w:ind w:left="567" w:hanging="567"/>
        <w:contextualSpacing w:val="0"/>
        <w:jc w:val="both"/>
      </w:pPr>
      <w:r>
        <w:t xml:space="preserve">Opišite, ali bo pomoč na podlagi priglašenega ukrepa v obliki predhodnega znižanja dajatev, naknadnega zneska nadomestila (vračila) ali kombinacije navedenega. V odgovoru navedite specifična sklicevanja na (osnutek) pravne podlage (npr. člen 7, odstavek 3). </w:t>
      </w:r>
    </w:p>
    <w:p w14:paraId="21504F4B" w14:textId="77777777" w:rsidR="00855B10" w:rsidRDefault="00855B10" w:rsidP="00855B10">
      <w:pPr>
        <w:tabs>
          <w:tab w:val="left" w:leader="dot" w:pos="9072"/>
        </w:tabs>
        <w:spacing w:before="120" w:after="120"/>
        <w:ind w:left="851"/>
        <w:jc w:val="both"/>
        <w:rPr>
          <w:color w:val="000000"/>
        </w:rPr>
      </w:pPr>
      <w:r>
        <w:rPr>
          <w:color w:val="000000"/>
        </w:rPr>
        <w:tab/>
      </w:r>
    </w:p>
    <w:p w14:paraId="2A380F03" w14:textId="0D5BB75C" w:rsidR="00855B10" w:rsidRPr="00855B10" w:rsidRDefault="00AB606C" w:rsidP="00855B10">
      <w:pPr>
        <w:pStyle w:val="ListParagraph"/>
        <w:numPr>
          <w:ilvl w:val="0"/>
          <w:numId w:val="51"/>
        </w:numPr>
        <w:spacing w:before="120" w:after="120"/>
        <w:contextualSpacing w:val="0"/>
        <w:jc w:val="both"/>
      </w:pPr>
      <w:r>
        <w:t>Kadar se pomoč dodeli v obliki znižanja dajatev, v skladu s točko 413 Smernic potrdite:</w:t>
      </w:r>
    </w:p>
    <w:p w14:paraId="34DF0A0F" w14:textId="02B0E1F4" w:rsidR="00855B10" w:rsidRPr="00855B10" w:rsidRDefault="00855B10" w:rsidP="005A4E16">
      <w:pPr>
        <w:pStyle w:val="ListParagraph"/>
        <w:keepLines/>
        <w:numPr>
          <w:ilvl w:val="1"/>
          <w:numId w:val="51"/>
        </w:numPr>
        <w:spacing w:before="240" w:after="120"/>
        <w:ind w:left="2154" w:hanging="357"/>
        <w:contextualSpacing w:val="0"/>
        <w:jc w:val="both"/>
      </w:pPr>
      <w:r>
        <w:t>da je vzpostavljen mehanizem za naknadno spremljanje;</w:t>
      </w:r>
    </w:p>
    <w:p w14:paraId="6B91C21B" w14:textId="77777777" w:rsidR="00855B10" w:rsidRDefault="00855B10" w:rsidP="005A4E16">
      <w:pPr>
        <w:keepLines/>
        <w:tabs>
          <w:tab w:val="left" w:leader="dot" w:pos="9072"/>
        </w:tabs>
        <w:spacing w:before="120" w:after="120"/>
        <w:ind w:left="851"/>
        <w:jc w:val="both"/>
        <w:rPr>
          <w:color w:val="000000"/>
        </w:rPr>
      </w:pPr>
      <w:r>
        <w:rPr>
          <w:color w:val="000000"/>
        </w:rPr>
        <w:tab/>
      </w:r>
    </w:p>
    <w:p w14:paraId="51D06BC9" w14:textId="77777777" w:rsidR="00855B10" w:rsidRPr="00E80F06" w:rsidRDefault="00855B10" w:rsidP="005A4E16">
      <w:pPr>
        <w:pStyle w:val="ListParagraph"/>
        <w:keepLines/>
        <w:numPr>
          <w:ilvl w:val="1"/>
          <w:numId w:val="51"/>
        </w:numPr>
        <w:spacing w:before="240" w:after="120"/>
        <w:ind w:left="2154" w:hanging="357"/>
        <w:contextualSpacing w:val="0"/>
        <w:jc w:val="both"/>
      </w:pPr>
      <w:r>
        <w:t>in da bodo morebitna preplačila pomoči vrnjena pred 1. julijem naslednjega leta. Navedite, kje so te informacije na voljo v (osnutku) pravne podlage.</w:t>
      </w:r>
    </w:p>
    <w:p w14:paraId="43A4C207" w14:textId="77777777" w:rsidR="00855B10" w:rsidRDefault="00855B10" w:rsidP="00855B10">
      <w:pPr>
        <w:tabs>
          <w:tab w:val="left" w:leader="dot" w:pos="9072"/>
        </w:tabs>
        <w:spacing w:before="120" w:after="120"/>
        <w:ind w:left="851"/>
        <w:jc w:val="both"/>
        <w:rPr>
          <w:color w:val="000000"/>
        </w:rPr>
      </w:pPr>
      <w:r>
        <w:rPr>
          <w:color w:val="000000"/>
        </w:rPr>
        <w:tab/>
      </w:r>
    </w:p>
    <w:p w14:paraId="0A9FE732" w14:textId="200050F6" w:rsidR="00855B10" w:rsidRDefault="00AB606C" w:rsidP="008D467D">
      <w:pPr>
        <w:pStyle w:val="ListParagraph"/>
        <w:numPr>
          <w:ilvl w:val="0"/>
          <w:numId w:val="51"/>
        </w:numPr>
        <w:spacing w:before="120" w:after="120"/>
        <w:contextualSpacing w:val="0"/>
        <w:jc w:val="both"/>
      </w:pPr>
      <w:r>
        <w:t>V skladu s točko 413, zadnji stavek, Smernic potrdite, da kadar se pomoč dodeli v obliki vračila, se to izračuna na podlagi ugotovljenih ravni porabe električne energije in po potrebi bruto dodane vrednosti v obdobju, v katerem so se uporabljale upravičene dajatve.</w:t>
      </w:r>
    </w:p>
    <w:p w14:paraId="1EE9F9B1" w14:textId="1163DE99" w:rsidR="001759B4" w:rsidRDefault="00FB40DF" w:rsidP="00D304A1">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0013DD30" w:rsidR="00AB322D" w:rsidRPr="00E74034" w:rsidRDefault="00AB322D" w:rsidP="003C1D16">
            <w:pPr>
              <w:pStyle w:val="Heading1"/>
              <w:numPr>
                <w:ilvl w:val="1"/>
                <w:numId w:val="24"/>
              </w:numPr>
              <w:rPr>
                <w:sz w:val="24"/>
                <w:szCs w:val="24"/>
              </w:rPr>
            </w:pPr>
            <w:r>
              <w:rPr>
                <w:sz w:val="24"/>
              </w:rPr>
              <w:t>Upravičenost</w:t>
            </w:r>
          </w:p>
        </w:tc>
      </w:tr>
    </w:tbl>
    <w:p w14:paraId="2460A5B7" w14:textId="139EC6FA" w:rsidR="00AB322D" w:rsidRPr="00E74034" w:rsidRDefault="00AB322D" w:rsidP="00AB322D">
      <w:pPr>
        <w:spacing w:before="360" w:after="120"/>
        <w:jc w:val="both"/>
        <w:rPr>
          <w:i/>
        </w:rPr>
      </w:pPr>
      <w:r>
        <w:rPr>
          <w:i/>
        </w:rPr>
        <w:t xml:space="preserve">Za zagotovitev informacij v tem oddelku glej oddelek 4.11.3.1 (točke 405–407) Smernic. </w:t>
      </w:r>
    </w:p>
    <w:p w14:paraId="70D92710" w14:textId="06DE4555" w:rsidR="00937DCD" w:rsidRDefault="00956022" w:rsidP="005A4E16">
      <w:pPr>
        <w:pStyle w:val="ListParagraph"/>
        <w:numPr>
          <w:ilvl w:val="0"/>
          <w:numId w:val="4"/>
        </w:numPr>
        <w:spacing w:before="240" w:after="120"/>
        <w:ind w:left="567" w:hanging="567"/>
        <w:contextualSpacing w:val="0"/>
        <w:jc w:val="both"/>
      </w:pPr>
      <w:r>
        <w:t xml:space="preserve">V točki 405 Smernic sta opredeljena elektrointenzivna sektorja, v katerih obstaja „precejšnje tveganje“ (točka (a)) in „tveganje“ (točka (b)). Za preverjanje skladnosti s točko 405 Smernic potrdite, da so vsi upravičeni elektrointenzivni sektorji, v katerih obstaja „tveganje“ in „precejšnje tveganje“, na podlagi priglašenega ukrepa navedeni v povezanih delih Priloge I k Smernicam ter v Prilogi k temu obrazcu navedite seznama </w:t>
      </w:r>
      <w:r>
        <w:lastRenderedPageBreak/>
        <w:t>sektorjev NACE-4, v katerih obstaja „tveganje“ in „precejšnje tveganje“, ki so upravičeni do pomoči na podlagi ukrepa</w:t>
      </w:r>
      <w:r>
        <w:rPr>
          <w:shd w:val="clear" w:color="auto" w:fill="FFFFFF"/>
        </w:rPr>
        <w:t>, pri čemer navedite, kje so te informacije na voljo v (osnutku) pravne podlage (npr. člen 7, odstavek 3)</w:t>
      </w:r>
      <w:r>
        <w:t xml:space="preserve">. </w:t>
      </w:r>
    </w:p>
    <w:p w14:paraId="2751C082" w14:textId="050092BF" w:rsidR="00E74034" w:rsidRDefault="00FB40DF" w:rsidP="00FB40DF">
      <w:pPr>
        <w:tabs>
          <w:tab w:val="left" w:leader="dot" w:pos="9072"/>
        </w:tabs>
        <w:spacing w:before="120" w:after="120"/>
        <w:ind w:left="567"/>
        <w:jc w:val="both"/>
      </w:pPr>
      <w:r>
        <w:tab/>
      </w:r>
    </w:p>
    <w:p w14:paraId="7727941F" w14:textId="5C30D555" w:rsidR="00937DCD" w:rsidRDefault="00956022" w:rsidP="005A4E16">
      <w:pPr>
        <w:numPr>
          <w:ilvl w:val="0"/>
          <w:numId w:val="4"/>
        </w:numPr>
        <w:spacing w:before="240"/>
        <w:ind w:left="567" w:hanging="567"/>
        <w:jc w:val="both"/>
      </w:pPr>
      <w:bookmarkStart w:id="6" w:name="_Ref115364281"/>
      <w:bookmarkEnd w:id="6"/>
      <w:r>
        <w:t>V točki 406 Smernic je navedeno, da se bo tudi sektor ali podsektor</w:t>
      </w:r>
      <w:r w:rsidR="00470AF2" w:rsidRPr="00470AF2">
        <w:rPr>
          <w:vertAlign w:val="superscript"/>
        </w:rPr>
        <w:footnoteReference w:id="5"/>
      </w:r>
      <w:r>
        <w:t>, ki ni vključen v Prilogo I k Smernicam, štel za upravičenega, če bo izpolnjeval merila za upravičenost iz točke 405. Če naj bi se pomoč na podlagi priglašenega ukrepa dodelila tudi sektorjem in/ali podsektorjem, ki niso vključeni v Prilogo I k Smernicam:</w:t>
      </w:r>
    </w:p>
    <w:p w14:paraId="40365CAC" w14:textId="4F4AC967" w:rsidR="00937DCD" w:rsidRDefault="00470AF2" w:rsidP="005A4E16">
      <w:pPr>
        <w:pStyle w:val="ListParagraph"/>
        <w:keepLines/>
        <w:numPr>
          <w:ilvl w:val="0"/>
          <w:numId w:val="53"/>
        </w:numPr>
        <w:spacing w:before="240" w:after="120"/>
        <w:ind w:left="1434" w:hanging="357"/>
        <w:contextualSpacing w:val="0"/>
        <w:jc w:val="both"/>
      </w:pPr>
      <w:r>
        <w:t>dokažite skladnost z metodologijo iz točke 405 Smernic za vsak (pod)sektor;</w:t>
      </w:r>
    </w:p>
    <w:p w14:paraId="0210FFCF" w14:textId="77777777" w:rsidR="00937DCD" w:rsidRDefault="00937DCD" w:rsidP="005A4E16">
      <w:pPr>
        <w:keepLines/>
        <w:tabs>
          <w:tab w:val="left" w:leader="dot" w:pos="9072"/>
        </w:tabs>
        <w:spacing w:before="120" w:after="120"/>
        <w:ind w:left="567"/>
        <w:jc w:val="both"/>
      </w:pPr>
      <w:r>
        <w:tab/>
      </w:r>
    </w:p>
    <w:p w14:paraId="4B0E33A6" w14:textId="447B7825" w:rsidR="00A151E7" w:rsidRDefault="00A151E7" w:rsidP="005A4E16">
      <w:pPr>
        <w:pStyle w:val="ListParagraph"/>
        <w:keepLines/>
        <w:numPr>
          <w:ilvl w:val="0"/>
          <w:numId w:val="53"/>
        </w:numPr>
        <w:spacing w:before="240" w:after="120"/>
        <w:ind w:left="1434" w:hanging="357"/>
        <w:contextualSpacing w:val="0"/>
        <w:jc w:val="both"/>
      </w:pPr>
      <w:r>
        <w:t>v Prilogi k temu obrazcu navedite podatke, ki so reprezentativni za sektor ali podsektor na ravni Unije</w:t>
      </w:r>
      <w:r w:rsidR="00470AF2" w:rsidRPr="00470AF2">
        <w:rPr>
          <w:vertAlign w:val="superscript"/>
        </w:rPr>
        <w:footnoteReference w:id="6"/>
      </w:r>
      <w:r>
        <w:t xml:space="preserve"> in jih je preveril neodvisni strokovnjak ter temeljijo na časovnem obdobju vsaj treh zaporednih let z začetkom ne prej kot leta 2013.</w:t>
      </w:r>
    </w:p>
    <w:p w14:paraId="2C64E76A" w14:textId="0C04D59A" w:rsidR="00A151E7" w:rsidRDefault="00A151E7" w:rsidP="005A4E16">
      <w:pPr>
        <w:keepLines/>
        <w:tabs>
          <w:tab w:val="left" w:leader="dot" w:pos="9072"/>
        </w:tabs>
        <w:spacing w:before="120" w:after="120"/>
        <w:ind w:left="567"/>
        <w:jc w:val="both"/>
      </w:pPr>
      <w:r>
        <w:tab/>
      </w:r>
    </w:p>
    <w:p w14:paraId="1310973F" w14:textId="3C282345" w:rsidR="00D72037" w:rsidRDefault="00D72037" w:rsidP="005A4E16">
      <w:pPr>
        <w:numPr>
          <w:ilvl w:val="0"/>
          <w:numId w:val="4"/>
        </w:numPr>
        <w:spacing w:before="240"/>
        <w:ind w:left="567" w:hanging="567"/>
        <w:jc w:val="both"/>
      </w:pPr>
      <w:r>
        <w:t>Opišite, kako bodo morali vložniki dokazati, da delujejo v upravičenem sektorju, in navedite, kje so te informacije na voljo v (osnutku) pravne podlage (npr. člen 7, odstavek 3).</w:t>
      </w:r>
    </w:p>
    <w:p w14:paraId="18045DDF" w14:textId="77777777" w:rsidR="00D72037" w:rsidRDefault="00D72037" w:rsidP="00D72037">
      <w:pPr>
        <w:tabs>
          <w:tab w:val="left" w:leader="dot" w:pos="9072"/>
        </w:tabs>
        <w:spacing w:before="120" w:after="120"/>
        <w:ind w:left="567"/>
        <w:jc w:val="both"/>
      </w:pPr>
      <w:r>
        <w:tab/>
      </w:r>
    </w:p>
    <w:p w14:paraId="03B7A5AC" w14:textId="5C5AED3B" w:rsidR="00937DCD" w:rsidRDefault="00A151E7" w:rsidP="005A4E16">
      <w:pPr>
        <w:numPr>
          <w:ilvl w:val="0"/>
          <w:numId w:val="4"/>
        </w:numPr>
        <w:spacing w:before="240"/>
        <w:ind w:left="567" w:hanging="567"/>
        <w:jc w:val="both"/>
      </w:pPr>
      <w:r>
        <w:t xml:space="preserve">Navedite vse druge pogoje za upravičenost do pomoči na podlagi priglašenega ukrepa in kje so te informacije na voljo v pravni podlagi (npr. člen 7, odstavek 3). Pojasnite zlasti, (a) ali so upravičenci oziroma (pod)sektorji, ki so načeloma upravičeni na podlagi Priloge I Smernic, izključeni, (b) ali obstajajo dodatna merila za upravičenost, ki bi se uporabljala, niso pa navedena v oddelku 4.11 Smernic, ali (c) ali so za upravičence iz iste kategorije predvidena različna znižanja dajatev. </w:t>
      </w:r>
    </w:p>
    <w:p w14:paraId="3D4B0F01" w14:textId="77777777" w:rsidR="00937DCD" w:rsidRDefault="00937DCD" w:rsidP="00937DCD">
      <w:pPr>
        <w:tabs>
          <w:tab w:val="left" w:leader="dot" w:pos="9072"/>
        </w:tabs>
        <w:spacing w:before="120" w:after="120"/>
        <w:jc w:val="both"/>
      </w:pPr>
      <w:r>
        <w:t xml:space="preserve">         </w:t>
      </w:r>
      <w:r>
        <w:tab/>
      </w:r>
    </w:p>
    <w:p w14:paraId="3D5A8825" w14:textId="6DB93F77" w:rsidR="00A151E7" w:rsidRDefault="00A151E7" w:rsidP="005A4E16">
      <w:pPr>
        <w:numPr>
          <w:ilvl w:val="0"/>
          <w:numId w:val="4"/>
        </w:numPr>
        <w:spacing w:before="240"/>
        <w:ind w:left="567" w:hanging="567"/>
        <w:jc w:val="both"/>
      </w:pPr>
      <w:r>
        <w:t>V skladu s točko 407 Smernic je mogoče dodatno omejiti upravičence do ukrepa, ki izpolnjujejo pogoje. Če je tako, pojasnite utemeljitev vsakega takega dodatnega pogoja za upravičenost in dokažite, da (i) zadevni pogoj temelji na objektivnih, nediskriminatornih in preglednih merilih ter da (ii) je pomoč načeloma dodeljena na enak način za vse upravičence, ki izpolnjujejo pogoje, v istem sektorju, če so v podobnem dejanskem položaju.</w:t>
      </w:r>
    </w:p>
    <w:p w14:paraId="48E66AD1" w14:textId="4EAD5AB0" w:rsidR="00937DCD" w:rsidRDefault="00A151E7" w:rsidP="00D304A1">
      <w:pPr>
        <w:tabs>
          <w:tab w:val="left" w:leader="dot" w:pos="9072"/>
        </w:tabs>
        <w:spacing w:before="120" w:after="360"/>
        <w:jc w:val="both"/>
      </w:pPr>
      <w:r>
        <w:t xml:space="preserve">         </w:t>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3DBAF8C5" w:rsidR="00863406" w:rsidRPr="00FC6878" w:rsidRDefault="00970EF3" w:rsidP="005A4E16">
            <w:pPr>
              <w:pStyle w:val="Heading1"/>
              <w:keepNext/>
              <w:keepLines/>
              <w:numPr>
                <w:ilvl w:val="1"/>
                <w:numId w:val="24"/>
              </w:numPr>
              <w:ind w:left="1560" w:hanging="480"/>
              <w:jc w:val="left"/>
              <w:rPr>
                <w:sz w:val="24"/>
                <w:szCs w:val="24"/>
              </w:rPr>
            </w:pPr>
            <w:r>
              <w:rPr>
                <w:sz w:val="24"/>
              </w:rPr>
              <w:lastRenderedPageBreak/>
              <w:t>Sorazmernost pomoči (pomoč, omejena na najmanjšo, ki je potrebna za doseganje cilja), vključno s kumulacijo</w:t>
            </w:r>
          </w:p>
        </w:tc>
      </w:tr>
    </w:tbl>
    <w:p w14:paraId="12694CEF" w14:textId="77777777" w:rsidR="006F256F" w:rsidRPr="00863406" w:rsidRDefault="006F256F" w:rsidP="005A4E16">
      <w:pPr>
        <w:keepNext/>
        <w:keepLines/>
        <w:ind w:left="-567" w:firstLine="1412"/>
        <w:rPr>
          <w:i/>
          <w:color w:val="000000"/>
        </w:rPr>
      </w:pPr>
    </w:p>
    <w:p w14:paraId="4FA200E6" w14:textId="77777777" w:rsidR="001620DB" w:rsidRPr="00863406" w:rsidRDefault="001620DB" w:rsidP="005A4E16">
      <w:pPr>
        <w:keepNext/>
        <w:keepLines/>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D280B55" w:rsidR="001620DB" w:rsidRPr="00FC6878" w:rsidRDefault="001620DB" w:rsidP="005A4E16">
            <w:pPr>
              <w:pStyle w:val="Heading1"/>
              <w:keepNext/>
              <w:keepLines/>
              <w:numPr>
                <w:ilvl w:val="2"/>
                <w:numId w:val="24"/>
              </w:numPr>
              <w:rPr>
                <w:sz w:val="24"/>
                <w:szCs w:val="24"/>
              </w:rPr>
            </w:pPr>
            <w:r>
              <w:rPr>
                <w:sz w:val="24"/>
              </w:rPr>
              <w:t xml:space="preserve">Sorazmernosti pomoči </w:t>
            </w:r>
          </w:p>
        </w:tc>
      </w:tr>
    </w:tbl>
    <w:p w14:paraId="0190ED95" w14:textId="602AD107" w:rsidR="001620DB" w:rsidRDefault="00BF71F6" w:rsidP="005A4E16">
      <w:pPr>
        <w:pStyle w:val="ListParagraph"/>
        <w:keepNext/>
        <w:keepLines/>
        <w:spacing w:before="120" w:after="120"/>
        <w:ind w:left="567"/>
        <w:contextualSpacing w:val="0"/>
        <w:jc w:val="both"/>
        <w:rPr>
          <w:i/>
        </w:rPr>
      </w:pPr>
      <w:r>
        <w:rPr>
          <w:i/>
        </w:rPr>
        <w:t>Za zagotovitev informacij v tem oddelku glej oddelek 4.11.3.2 in točko 407 Smernic.</w:t>
      </w:r>
    </w:p>
    <w:p w14:paraId="0CBF90E1" w14:textId="306749D7" w:rsidR="00B06A84" w:rsidRDefault="00644950" w:rsidP="005A4E16">
      <w:pPr>
        <w:numPr>
          <w:ilvl w:val="0"/>
          <w:numId w:val="4"/>
        </w:numPr>
        <w:spacing w:before="240"/>
        <w:ind w:left="567" w:hanging="567"/>
        <w:jc w:val="both"/>
      </w:pPr>
      <w:r>
        <w:t>Za dokazovanje skladnosti z oddelkom 4.11.3.2 in točko 407 Smernic predložite popoln in podroben opis metodologije za izračun znižanj dajatev, ki se uporablja za upravičence, ki izpolnjujejo pogoje, pri čemer navedite, kje so te informacije na voljo v (osnutku) pravne podlage (npr. člen 7, odstavek 3). Natančneje:</w:t>
      </w:r>
    </w:p>
    <w:p w14:paraId="2E456933" w14:textId="4F8D31AD" w:rsidR="00937DCD" w:rsidRDefault="006813BD" w:rsidP="009E4296">
      <w:pPr>
        <w:pStyle w:val="ListParagraph"/>
        <w:numPr>
          <w:ilvl w:val="0"/>
          <w:numId w:val="38"/>
        </w:numPr>
        <w:spacing w:before="120" w:after="120"/>
        <w:contextualSpacing w:val="0"/>
        <w:jc w:val="both"/>
      </w:pPr>
      <w:r>
        <w:t>navedite najvišjo stopnjo znižanja dajatve, ki se uporablja za podjetja, ki delujejo v sektorjih, v katerih obstaja „tveganje“ oziroma „precejšnje tveganje“;</w:t>
      </w:r>
    </w:p>
    <w:p w14:paraId="7062DEA7" w14:textId="77777777" w:rsidR="00937DCD" w:rsidRPr="008515FB" w:rsidRDefault="00937DCD" w:rsidP="00937DCD">
      <w:pPr>
        <w:tabs>
          <w:tab w:val="left" w:leader="dot" w:pos="9072"/>
        </w:tabs>
        <w:spacing w:before="120" w:after="120"/>
        <w:jc w:val="both"/>
      </w:pPr>
      <w:r>
        <w:t xml:space="preserve">             </w:t>
      </w:r>
      <w:r>
        <w:tab/>
      </w:r>
    </w:p>
    <w:p w14:paraId="768B4002" w14:textId="287823A9" w:rsidR="00937DCD" w:rsidRDefault="006813BD" w:rsidP="009E4296">
      <w:pPr>
        <w:pStyle w:val="ListParagraph"/>
        <w:numPr>
          <w:ilvl w:val="0"/>
          <w:numId w:val="38"/>
        </w:numPr>
        <w:spacing w:before="120" w:after="120"/>
        <w:contextualSpacing w:val="0"/>
        <w:jc w:val="both"/>
      </w:pPr>
      <w:r>
        <w:t>navedite, ali priglašeni ukrep v primerjavi s točko (i) predvideva nadaljnje omejitve dodatnih stroškov, ki izhajajo iz ustreznih dajatev za električno energijo. Če je tako, navedite tudi (a) vrednost takih omejitev glede na bruto dodano vrednost podjetij, ki delujejo v sektorjih, v katerih obstaja „tveganje“ in „precejšnje tveganje“, ter (b) opišite, kako se izračunava bruto dodana vrednost upravičenih podjetij, ki delujejo v sektorjih, v katerih obstaja „tveganje“ in „precejšnje tveganje“;</w:t>
      </w:r>
    </w:p>
    <w:p w14:paraId="46C6B30F" w14:textId="77777777" w:rsidR="00937DCD" w:rsidRPr="008515FB" w:rsidRDefault="00937DCD" w:rsidP="00937DCD">
      <w:pPr>
        <w:tabs>
          <w:tab w:val="left" w:leader="dot" w:pos="9072"/>
        </w:tabs>
        <w:spacing w:before="120" w:after="120"/>
        <w:jc w:val="both"/>
      </w:pPr>
      <w:r>
        <w:t xml:space="preserve">             </w:t>
      </w:r>
      <w:r>
        <w:tab/>
      </w:r>
    </w:p>
    <w:p w14:paraId="1082E1A9" w14:textId="32E904E4" w:rsidR="00D72037" w:rsidRDefault="006813BD" w:rsidP="00D72037">
      <w:pPr>
        <w:pStyle w:val="ListParagraph"/>
        <w:numPr>
          <w:ilvl w:val="0"/>
          <w:numId w:val="38"/>
        </w:numPr>
        <w:spacing w:before="120" w:after="120"/>
        <w:contextualSpacing w:val="0"/>
        <w:jc w:val="both"/>
      </w:pPr>
      <w:r>
        <w:t xml:space="preserve">potrdite, da znižanja dajatev v nobenem primeru ne bodo povzročila dajatve pod 0,5 EUR/MWh. </w:t>
      </w:r>
    </w:p>
    <w:p w14:paraId="78DCDF61" w14:textId="14157D2C" w:rsidR="00762E7A" w:rsidRPr="008515FB" w:rsidRDefault="00762E7A" w:rsidP="00762E7A">
      <w:pPr>
        <w:tabs>
          <w:tab w:val="left" w:leader="dot" w:pos="9072"/>
        </w:tabs>
        <w:spacing w:before="120" w:after="120"/>
        <w:jc w:val="both"/>
      </w:pPr>
      <w:r>
        <w:t xml:space="preserve">             </w:t>
      </w:r>
      <w:r>
        <w:tab/>
      </w:r>
    </w:p>
    <w:p w14:paraId="0E51C1C8" w14:textId="507FE509" w:rsidR="00937DCD" w:rsidRDefault="00C17C85" w:rsidP="005A4E16">
      <w:pPr>
        <w:numPr>
          <w:ilvl w:val="0"/>
          <w:numId w:val="4"/>
        </w:numPr>
        <w:spacing w:before="240"/>
        <w:ind w:left="567" w:hanging="567"/>
        <w:jc w:val="both"/>
      </w:pPr>
      <w:r>
        <w:t xml:space="preserve">Navedite, ali priglašeni ukrep v skladu s točko 410 Smernic predvideva večje intenzivnosti pomoči za podjetja, ki delujejo v sektorjih, v katerih obstaja „tveganje“, ki zmanjšajo ogljični odtis njihove porabe električne energije. </w:t>
      </w:r>
    </w:p>
    <w:p w14:paraId="293F5C0A" w14:textId="77777777" w:rsidR="00937DCD" w:rsidRDefault="00C17C85" w:rsidP="005A4E16">
      <w:pPr>
        <w:pStyle w:val="ListParagraph"/>
        <w:keepLines/>
        <w:spacing w:before="120" w:after="120"/>
        <w:ind w:left="567"/>
        <w:contextualSpacing w:val="0"/>
        <w:jc w:val="both"/>
      </w:pPr>
      <w:r>
        <w:t>Če je odgovor pritrdilen:</w:t>
      </w:r>
    </w:p>
    <w:p w14:paraId="29CAF0A6" w14:textId="64FF48FB" w:rsidR="00937DCD" w:rsidRDefault="003653B6" w:rsidP="005A4E16">
      <w:pPr>
        <w:pStyle w:val="ListParagraph"/>
        <w:keepLines/>
        <w:numPr>
          <w:ilvl w:val="0"/>
          <w:numId w:val="52"/>
        </w:numPr>
        <w:spacing w:before="120" w:after="120"/>
        <w:contextualSpacing w:val="0"/>
        <w:jc w:val="both"/>
      </w:pPr>
      <w:r>
        <w:t>opišite večje intenzivnosti pomoči in potrdite s tem povezane pogoje, ki jih morajo izpolnjevati zadevna podjetja (tj. kritje 50 % porabe električne energije z brezogljičnimi viri, od tega vsaj 10 % s terminskim instrumentom, kot je pogodba o nakupu električne energije, ali vsaj 5 % s proizvodnjo na kraju samem ali blizu njega), pri čemer navedite, kje so te informacije na voljo v (osnutku) pravne podlage (npr. člen 7, odstavek 3);</w:t>
      </w:r>
    </w:p>
    <w:p w14:paraId="558716D3" w14:textId="77777777" w:rsidR="00937DCD" w:rsidRPr="008515FB" w:rsidRDefault="00937DCD" w:rsidP="005A4E16">
      <w:pPr>
        <w:keepLines/>
        <w:tabs>
          <w:tab w:val="left" w:leader="dot" w:pos="9072"/>
        </w:tabs>
        <w:spacing w:before="120" w:after="120"/>
        <w:jc w:val="both"/>
      </w:pPr>
      <w:r>
        <w:t xml:space="preserve">         </w:t>
      </w:r>
      <w:r>
        <w:tab/>
      </w:r>
    </w:p>
    <w:p w14:paraId="4900C3D3" w14:textId="00ED4A33" w:rsidR="00C17C85" w:rsidRDefault="003653B6" w:rsidP="009E4296">
      <w:pPr>
        <w:pStyle w:val="ListParagraph"/>
        <w:numPr>
          <w:ilvl w:val="0"/>
          <w:numId w:val="52"/>
        </w:numPr>
        <w:spacing w:before="120" w:after="120"/>
        <w:contextualSpacing w:val="0"/>
        <w:jc w:val="both"/>
      </w:pPr>
      <w:r>
        <w:t>opišite, kako se bo spremljalo izpolnjevanje teh pogojev, in v primeru naknadnega spremljanja, kakšen bi bil učinek, če posamezno podjetje pogojev ne bi izpolnjevalo.</w:t>
      </w:r>
    </w:p>
    <w:p w14:paraId="1AF5F330" w14:textId="71EE6354" w:rsidR="00762E7A" w:rsidRPr="008515FB" w:rsidRDefault="00762E7A" w:rsidP="00762E7A">
      <w:pPr>
        <w:tabs>
          <w:tab w:val="left" w:leader="dot" w:pos="9072"/>
        </w:tabs>
        <w:spacing w:before="120" w:after="120"/>
        <w:jc w:val="both"/>
      </w:pPr>
      <w:r>
        <w:t xml:space="preserve">         </w:t>
      </w:r>
      <w:r>
        <w:tab/>
      </w:r>
    </w:p>
    <w:p w14:paraId="1469FE3D" w14:textId="323FC3C7" w:rsidR="000575C3" w:rsidRPr="008515FB" w:rsidRDefault="00762E7A" w:rsidP="005A4E16">
      <w:pPr>
        <w:numPr>
          <w:ilvl w:val="0"/>
          <w:numId w:val="4"/>
        </w:numPr>
        <w:spacing w:before="240"/>
        <w:ind w:left="567" w:hanging="567"/>
        <w:jc w:val="both"/>
      </w:pPr>
      <w:r>
        <w:lastRenderedPageBreak/>
        <w:t xml:space="preserve">Če je ustrezno, opišite morebitne nadaljnje prilagoditve stopnje znižanja dajatve za upravičence, ki delujejo v sektorjih, v katerih obstaja „tveganje“ oziroma „precejšnje tveganje“, pri tem pa navedite, kje so te informacije na voljo v (osnutku) pravne podlage (npr. člen 7, odstavek 3). Dokažite, da (a) različna znižanja dajatev temeljijo na objektivnih, nediskriminatornih in preglednih merilih, ter da (b) se pomoč načeloma dodeli enako za vse upravičence, ki izpolnjujejo pogoje, v istem sektorju, če so v podobnem dejanskem položaju. </w:t>
      </w:r>
    </w:p>
    <w:p w14:paraId="7FD385CF" w14:textId="2DD94666" w:rsidR="009329F1" w:rsidRDefault="009329F1"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F586F" w:rsidRPr="00FC6878" w14:paraId="7420A7FD" w14:textId="77777777" w:rsidTr="00F17D00">
        <w:tc>
          <w:tcPr>
            <w:tcW w:w="9322" w:type="dxa"/>
            <w:shd w:val="pct15" w:color="auto" w:fill="auto"/>
          </w:tcPr>
          <w:p w14:paraId="2CC09BAB" w14:textId="36EF5B3D" w:rsidR="00DF586F" w:rsidRPr="00FC6878" w:rsidRDefault="00DF586F" w:rsidP="00DF586F">
            <w:pPr>
              <w:pStyle w:val="Heading1"/>
              <w:numPr>
                <w:ilvl w:val="2"/>
                <w:numId w:val="24"/>
              </w:numPr>
              <w:rPr>
                <w:sz w:val="24"/>
                <w:szCs w:val="24"/>
              </w:rPr>
            </w:pPr>
            <w:r>
              <w:rPr>
                <w:sz w:val="24"/>
              </w:rPr>
              <w:t xml:space="preserve">Energetski pregledi in sistemi upravljanja </w:t>
            </w:r>
          </w:p>
        </w:tc>
      </w:tr>
    </w:tbl>
    <w:p w14:paraId="7C447A12" w14:textId="28CC1D2E" w:rsidR="00F17D00" w:rsidRDefault="00F17D00" w:rsidP="00F17D00">
      <w:pPr>
        <w:pStyle w:val="ListParagraph"/>
        <w:spacing w:before="120" w:after="120"/>
        <w:ind w:left="567"/>
        <w:contextualSpacing w:val="0"/>
        <w:jc w:val="both"/>
        <w:rPr>
          <w:i/>
        </w:rPr>
      </w:pPr>
      <w:r>
        <w:rPr>
          <w:i/>
        </w:rPr>
        <w:t>Za zagotovitev informacij v tem oddelku glej oddelek 4.11.3.4 Smernic.</w:t>
      </w:r>
    </w:p>
    <w:p w14:paraId="455D1B6E" w14:textId="06E6D973" w:rsidR="00DF586F" w:rsidRDefault="00DF586F" w:rsidP="005A4E16">
      <w:pPr>
        <w:numPr>
          <w:ilvl w:val="0"/>
          <w:numId w:val="4"/>
        </w:numPr>
        <w:spacing w:before="240"/>
        <w:ind w:left="567" w:hanging="567"/>
        <w:jc w:val="both"/>
      </w:pPr>
      <w:r>
        <w:t>V skladu s točko 414 Smernic opišite, kako bodo nacionalni organi na podlagi priglašenega ukrepa preverili, ali upravičenci izpolnjujejo obveznost izvajanja energetskega pregleda v smislu člena 8 Direktive 2012/27/EU. Navedite, kje so te informacije na voljo v (osnutku) pravne podlage (npr. člen 7, odstavek 3).</w:t>
      </w:r>
    </w:p>
    <w:p w14:paraId="1FF21F8F" w14:textId="77777777" w:rsidR="00DF586F" w:rsidRPr="008515FB" w:rsidRDefault="00DF586F" w:rsidP="00D2287A">
      <w:pPr>
        <w:tabs>
          <w:tab w:val="left" w:leader="dot" w:pos="9072"/>
        </w:tabs>
        <w:spacing w:before="120" w:after="120"/>
        <w:jc w:val="both"/>
      </w:pPr>
      <w:r>
        <w:t xml:space="preserve">         </w:t>
      </w:r>
      <w:r>
        <w:tab/>
      </w:r>
    </w:p>
    <w:p w14:paraId="6788ADCC" w14:textId="322473AB" w:rsidR="00D2287A" w:rsidRDefault="00956022" w:rsidP="005A4E16">
      <w:pPr>
        <w:numPr>
          <w:ilvl w:val="0"/>
          <w:numId w:val="4"/>
        </w:numPr>
        <w:spacing w:before="240"/>
        <w:ind w:left="567" w:hanging="567"/>
        <w:jc w:val="both"/>
      </w:pPr>
      <w:r>
        <w:t>Točka 415 Smernic določa, da morajo upravičenci, ki morajo izvesti energetski pregled, izpolniti vsaj eno od treh naslednjih možnosti, tj. (a) izvesti revizijska priporočila, če čas vračila naložb ne presega treh let in so stroški njihovih naložb sorazmerni, ali (b) vsaj 30 % njihove porabe električne energije kriti z energijo iz brezogljičnih virov ali (c) vsaj 50 % pomoči vložiti v projekte, ki vodijo do precejšnjega zmanjšanja emisij toplogrednih plinov. Opišite, kako bodo nacionalni organi na podlagi priglašenega ukrepa spremljali, ali upravičenci, ki morajo izvesti energetski pregled na podlagi člena 8(4) Direktive 2012/27/EU, izpolnjujejo eno ali več od treh možnosti iz točke 415 Smernic, pri tem pa navedite, kje so te informacije na voljo v (osnutku) pravne podlage (npr. člen 7, odstavek 3). Zlasti navedite podrobnosti za vsako možnost, predvideno v priglašenem ukrepu:</w:t>
      </w:r>
    </w:p>
    <w:p w14:paraId="4CD0D5F0" w14:textId="6354CA9F" w:rsidR="00937DCD" w:rsidRDefault="00937DCD" w:rsidP="009E4296">
      <w:pPr>
        <w:pStyle w:val="ListParagraph"/>
        <w:numPr>
          <w:ilvl w:val="0"/>
          <w:numId w:val="41"/>
        </w:numPr>
        <w:spacing w:before="120" w:after="120"/>
        <w:jc w:val="both"/>
      </w:pPr>
      <w:r>
        <w:t>kako točno bodo morali upravičenci dokazati izpolnjevanje zahtev;</w:t>
      </w:r>
    </w:p>
    <w:p w14:paraId="3EE96587" w14:textId="77777777" w:rsidR="00937DCD" w:rsidRPr="008515FB" w:rsidRDefault="00937DCD" w:rsidP="00937DCD">
      <w:pPr>
        <w:tabs>
          <w:tab w:val="left" w:leader="dot" w:pos="9072"/>
        </w:tabs>
        <w:spacing w:before="120" w:after="120"/>
        <w:jc w:val="both"/>
      </w:pPr>
      <w:r>
        <w:t xml:space="preserve">         </w:t>
      </w:r>
      <w:r>
        <w:tab/>
      </w:r>
    </w:p>
    <w:p w14:paraId="52143098" w14:textId="03F05794" w:rsidR="00937DCD" w:rsidRDefault="007322A3" w:rsidP="009E4296">
      <w:pPr>
        <w:pStyle w:val="ListParagraph"/>
        <w:numPr>
          <w:ilvl w:val="0"/>
          <w:numId w:val="41"/>
        </w:numPr>
        <w:spacing w:before="120" w:after="120"/>
        <w:jc w:val="both"/>
      </w:pPr>
      <w:r>
        <w:t>kdaj je rok za izpolnitev zahtev (npr. dokončanje ustreznih naložb v enem letu od dodelitve pomoči) in kako pogosto bodo morali upravičenci dokazovati izpolnjevanje zahtev (npr. letno);</w:t>
      </w:r>
    </w:p>
    <w:p w14:paraId="01E9AF8F" w14:textId="77777777" w:rsidR="00937DCD" w:rsidRPr="008515FB" w:rsidRDefault="00937DCD" w:rsidP="00937DCD">
      <w:pPr>
        <w:tabs>
          <w:tab w:val="left" w:leader="dot" w:pos="9072"/>
        </w:tabs>
        <w:spacing w:before="120" w:after="120"/>
        <w:jc w:val="both"/>
      </w:pPr>
      <w:r>
        <w:t xml:space="preserve">         </w:t>
      </w:r>
      <w:r>
        <w:tab/>
      </w:r>
    </w:p>
    <w:p w14:paraId="75F0F8DD" w14:textId="7842A954" w:rsidR="00937DCD" w:rsidRDefault="00937DCD" w:rsidP="005A4E16">
      <w:pPr>
        <w:pStyle w:val="ListParagraph"/>
        <w:keepLines/>
        <w:numPr>
          <w:ilvl w:val="0"/>
          <w:numId w:val="41"/>
        </w:numPr>
        <w:spacing w:before="120" w:after="120"/>
        <w:jc w:val="both"/>
      </w:pPr>
      <w:r>
        <w:t>kako in kako pogosto se bo spremljalo izpolnjevanje pogojev (npr. letno);</w:t>
      </w:r>
    </w:p>
    <w:p w14:paraId="65105F0A" w14:textId="77777777" w:rsidR="00937DCD" w:rsidRPr="008515FB" w:rsidRDefault="00937DCD" w:rsidP="005A4E16">
      <w:pPr>
        <w:keepLines/>
        <w:tabs>
          <w:tab w:val="left" w:leader="dot" w:pos="9072"/>
        </w:tabs>
        <w:spacing w:before="120" w:after="120"/>
        <w:jc w:val="both"/>
      </w:pPr>
      <w:r>
        <w:t xml:space="preserve">         </w:t>
      </w:r>
      <w:r>
        <w:tab/>
      </w:r>
    </w:p>
    <w:p w14:paraId="0F6D1FBC" w14:textId="05AE79E0" w:rsidR="00CB6E9E" w:rsidRPr="00D2287A" w:rsidRDefault="007322A3" w:rsidP="005A4E16">
      <w:pPr>
        <w:pStyle w:val="ListParagraph"/>
        <w:keepLines/>
        <w:numPr>
          <w:ilvl w:val="0"/>
          <w:numId w:val="41"/>
        </w:numPr>
        <w:spacing w:before="120" w:after="120"/>
        <w:jc w:val="both"/>
      </w:pPr>
      <w:r>
        <w:t>kakšne bodo posledice neizpolnjevanja zahtev za upravičence (npr. zavrnitev dodelitve pomoči, če se izvede predhodno preverjanje, ali povračilo že dodeljene pomoči, če se izvede naknadno preverjanje).</w:t>
      </w:r>
    </w:p>
    <w:p w14:paraId="2CC12D69" w14:textId="77777777" w:rsidR="00DF586F" w:rsidRDefault="00DF586F"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DF586F">
            <w:pPr>
              <w:pStyle w:val="Heading1"/>
              <w:numPr>
                <w:ilvl w:val="2"/>
                <w:numId w:val="24"/>
              </w:numPr>
              <w:rPr>
                <w:sz w:val="24"/>
                <w:szCs w:val="24"/>
              </w:rPr>
            </w:pPr>
            <w:r>
              <w:rPr>
                <w:sz w:val="24"/>
              </w:rPr>
              <w:t>Kumulacija</w:t>
            </w:r>
          </w:p>
        </w:tc>
      </w:tr>
    </w:tbl>
    <w:p w14:paraId="2346A85D" w14:textId="5800D648" w:rsidR="00B21377" w:rsidRPr="002A3B51" w:rsidRDefault="00B21377" w:rsidP="00B21377">
      <w:pPr>
        <w:pStyle w:val="ListParagraph"/>
        <w:spacing w:before="120" w:after="120"/>
        <w:ind w:left="567"/>
        <w:contextualSpacing w:val="0"/>
        <w:jc w:val="both"/>
      </w:pPr>
      <w:r>
        <w:rPr>
          <w:i/>
        </w:rPr>
        <w:lastRenderedPageBreak/>
        <w:t>Za zagotovitev informacij v tem oddelku glej točki 56 in 57 Smernic</w:t>
      </w:r>
      <w:r>
        <w:t>.</w:t>
      </w:r>
    </w:p>
    <w:p w14:paraId="7159B0AA" w14:textId="326791FE" w:rsidR="00E5484B" w:rsidRPr="002A3B51" w:rsidRDefault="00B10F0D" w:rsidP="005A4E16">
      <w:pPr>
        <w:numPr>
          <w:ilvl w:val="0"/>
          <w:numId w:val="4"/>
        </w:numPr>
        <w:spacing w:before="240"/>
        <w:ind w:left="567" w:hanging="567"/>
        <w:jc w:val="both"/>
      </w:pPr>
      <w:r>
        <w:t xml:space="preserve">Če še ni tako določeno v splošnem obrazcu za priglasitev (del I) in da se preveri </w:t>
      </w:r>
      <w:r>
        <w:rPr>
          <w:i/>
        </w:rPr>
        <w:t>skladnost</w:t>
      </w:r>
      <w:r>
        <w:t xml:space="preserve"> s točko 56 Smernic, pojasnite, ali se lahko pomoč na podlagi priglašenega ukrepa dodeli sočasno na podlagi več shem pomoči ali skupaj z </w:t>
      </w:r>
      <w:r>
        <w:rPr>
          <w:i/>
          <w:iCs/>
        </w:rPr>
        <w:t>ad hoc</w:t>
      </w:r>
      <w:r>
        <w:t xml:space="preserve"> pomočjo ali pomočjo </w:t>
      </w:r>
      <w:r>
        <w:rPr>
          <w:i/>
        </w:rPr>
        <w:t>de minimis</w:t>
      </w:r>
      <w:r>
        <w:t xml:space="preserve"> v zvezi z istimi upravičenimi stroški. Če je tako, navedite podrobnosti o navedenih shemah pomoči, </w:t>
      </w:r>
      <w:r>
        <w:rPr>
          <w:i/>
        </w:rPr>
        <w:t>ad hoc</w:t>
      </w:r>
      <w:r>
        <w:t xml:space="preserve"> pomoči ali pomoči </w:t>
      </w:r>
      <w:r>
        <w:rPr>
          <w:i/>
        </w:rPr>
        <w:t>de minimis</w:t>
      </w:r>
      <w:r>
        <w:t xml:space="preserve"> in o tem, kako se bo pomoč kumulirala.</w:t>
      </w:r>
    </w:p>
    <w:p w14:paraId="4EA350F2" w14:textId="6700FB40" w:rsidR="00D13239" w:rsidRPr="002A3B51" w:rsidRDefault="002A3B51" w:rsidP="002A3B51">
      <w:pPr>
        <w:tabs>
          <w:tab w:val="left" w:leader="dot" w:pos="9072"/>
        </w:tabs>
        <w:spacing w:before="120" w:after="120"/>
        <w:ind w:left="567"/>
        <w:jc w:val="both"/>
      </w:pPr>
      <w:r>
        <w:tab/>
      </w:r>
    </w:p>
    <w:p w14:paraId="113EC6AF" w14:textId="086F06F6" w:rsidR="007257F0" w:rsidRPr="00EE2D70" w:rsidRDefault="00720951" w:rsidP="005A4E16">
      <w:pPr>
        <w:numPr>
          <w:ilvl w:val="0"/>
          <w:numId w:val="4"/>
        </w:numPr>
        <w:spacing w:before="240"/>
        <w:ind w:left="567" w:hanging="567"/>
        <w:jc w:val="both"/>
      </w:pPr>
      <w:r>
        <w:t xml:space="preserve">Če se za priglašeni ukrep pomoči uporablja točka 56 Smernic, pojasnite, kako skupni znesek pomoči, dodeljen na podlagi priglašenega ukrepa za posamezno dejavnost, ne vodi do prekomernega nadomestila ali ne presega najvišjega zneska pomoči, dovoljenega na podlagi točk 408–410 Smernic. Za vsak ukrep, pri katerem se lahko pomoč, dodeljena na podlagi priglašenega ukrepa pomoči, kumulira, navedite metodo, uporabljeno za zagotovitev skladnosti s pogoji iz točke 56 Smernic. </w:t>
      </w:r>
    </w:p>
    <w:p w14:paraId="5A4E851C" w14:textId="1587758B" w:rsidR="007257F0" w:rsidRPr="00EE2D70" w:rsidRDefault="007257F0" w:rsidP="007257F0">
      <w:pPr>
        <w:tabs>
          <w:tab w:val="left" w:leader="dot" w:pos="9072"/>
        </w:tabs>
        <w:spacing w:before="120" w:after="120"/>
        <w:ind w:left="567"/>
        <w:jc w:val="both"/>
      </w:pPr>
      <w:r>
        <w:tab/>
      </w:r>
    </w:p>
    <w:p w14:paraId="4B762428" w14:textId="678FF3FD" w:rsidR="009861F5" w:rsidRPr="00EE2D70" w:rsidRDefault="00562354" w:rsidP="005A4E16">
      <w:pPr>
        <w:numPr>
          <w:ilvl w:val="0"/>
          <w:numId w:val="4"/>
        </w:numPr>
        <w:spacing w:before="240"/>
        <w:ind w:left="567" w:hanging="567"/>
        <w:jc w:val="both"/>
      </w:pPr>
      <w:r>
        <w:t>Če se uporablja točka 57 Smernic, tj. pomoč, dodeljena na podlagi priglašenega ukrepa, se kombinira s centralno upravljanimi sredstvi Unije</w:t>
      </w:r>
      <w:r w:rsidR="009B2F61">
        <w:rPr>
          <w:rStyle w:val="FootnoteReference"/>
          <w:lang w:eastAsia="en-GB"/>
        </w:rPr>
        <w:footnoteReference w:id="7"/>
      </w:r>
      <w:r>
        <w:t xml:space="preserve">, utemeljite, kako </w:t>
      </w:r>
      <w:r>
        <w:rPr>
          <w:shd w:val="clear" w:color="auto" w:fill="FFFFFF"/>
        </w:rPr>
        <w:t>skupni</w:t>
      </w:r>
      <w:r>
        <w:t xml:space="preserve"> znesek </w:t>
      </w:r>
      <w:r>
        <w:rPr>
          <w:shd w:val="clear" w:color="auto" w:fill="FFFFFF"/>
        </w:rPr>
        <w:t>javnega financiranja, dodeljen v zvezi z istimi upravičenimi stroški, ne privede do prekomernega nadomestila</w:t>
      </w:r>
      <w:r>
        <w:t>.</w:t>
      </w:r>
    </w:p>
    <w:p w14:paraId="4A76BA85" w14:textId="5308E4AE" w:rsidR="0078387C" w:rsidRDefault="009861F5"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17D00" w:rsidRPr="00FC6878" w14:paraId="05A55AD2" w14:textId="77777777" w:rsidTr="00F17D00">
        <w:tc>
          <w:tcPr>
            <w:tcW w:w="9322" w:type="dxa"/>
            <w:shd w:val="pct15" w:color="auto" w:fill="auto"/>
          </w:tcPr>
          <w:p w14:paraId="32947DA8" w14:textId="6BBD8D7E" w:rsidR="00F17D00" w:rsidRPr="00FC6878" w:rsidRDefault="00F17D00" w:rsidP="005A4E16">
            <w:pPr>
              <w:pStyle w:val="Heading1"/>
              <w:keepNext/>
              <w:keepLines/>
              <w:numPr>
                <w:ilvl w:val="2"/>
                <w:numId w:val="24"/>
              </w:numPr>
              <w:rPr>
                <w:sz w:val="24"/>
                <w:szCs w:val="24"/>
              </w:rPr>
            </w:pPr>
            <w:r>
              <w:rPr>
                <w:sz w:val="24"/>
              </w:rPr>
              <w:t>Prehodna pravila</w:t>
            </w:r>
          </w:p>
        </w:tc>
      </w:tr>
    </w:tbl>
    <w:p w14:paraId="7D96774F" w14:textId="39E35847" w:rsidR="00F17D00" w:rsidRDefault="00F17D00" w:rsidP="005A4E16">
      <w:pPr>
        <w:pStyle w:val="ListParagraph"/>
        <w:keepNext/>
        <w:keepLines/>
        <w:spacing w:before="120" w:after="120"/>
        <w:ind w:left="567"/>
        <w:contextualSpacing w:val="0"/>
        <w:jc w:val="both"/>
        <w:rPr>
          <w:i/>
        </w:rPr>
      </w:pPr>
      <w:r>
        <w:rPr>
          <w:i/>
        </w:rPr>
        <w:t>Za zagotovitev informacij v tem oddelku glej oddelek 4.11.3.5 Smernic.</w:t>
      </w:r>
    </w:p>
    <w:p w14:paraId="50B72823" w14:textId="74224ADE" w:rsidR="009E3717" w:rsidRPr="009E3717" w:rsidRDefault="00B10F0D" w:rsidP="005A4E16">
      <w:pPr>
        <w:numPr>
          <w:ilvl w:val="0"/>
          <w:numId w:val="4"/>
        </w:numPr>
        <w:spacing w:before="240"/>
        <w:ind w:left="567" w:hanging="567"/>
        <w:jc w:val="both"/>
      </w:pPr>
      <w:r>
        <w:t xml:space="preserve">Navedite, ali ta priglasitev zajema nepriglašeno pomoč, dodeljeno v obliki nižjih dajatev za električno energijo za energetsko intenzivne uporabnike v obdobju pred objavo Smernic. Če je odgovor pritrdilen, pojasnite, kako je nepriglašena pomoč skladna s točko 419, točki (a) in (b), Smernic. </w:t>
      </w:r>
      <w:r>
        <w:tab/>
      </w:r>
    </w:p>
    <w:p w14:paraId="4A9E8F47" w14:textId="19AEA7B3" w:rsidR="009E3717" w:rsidRDefault="009E3717" w:rsidP="009E3717">
      <w:pPr>
        <w:tabs>
          <w:tab w:val="left" w:leader="dot" w:pos="9072"/>
        </w:tabs>
        <w:spacing w:before="120" w:after="120"/>
        <w:ind w:left="567"/>
        <w:jc w:val="both"/>
      </w:pPr>
      <w:r>
        <w:tab/>
      </w:r>
    </w:p>
    <w:p w14:paraId="26BD1683" w14:textId="6223DFFD" w:rsidR="00F17D00" w:rsidRPr="00F8461C" w:rsidRDefault="00F17D00" w:rsidP="005A4E16">
      <w:pPr>
        <w:numPr>
          <w:ilvl w:val="0"/>
          <w:numId w:val="4"/>
        </w:numPr>
        <w:spacing w:before="240"/>
        <w:ind w:left="567" w:hanging="567"/>
        <w:jc w:val="both"/>
      </w:pPr>
      <w:r>
        <w:t xml:space="preserve">Navedite, ali je v priglašenem ukrepu določen prehodni načrt, da se preprečijo moteče spremembe bremena dajatve za posamezna podjetja, ki ne izpolnjujejo pogojev za upravičenost iz oddelka 4.11 Smernic. Če ste odgovorili pritrdilno, odgovorite na naslednja vprašanja v tem oddelku. </w:t>
      </w:r>
    </w:p>
    <w:p w14:paraId="3F155670" w14:textId="2EF9B7E3" w:rsidR="00F17D00" w:rsidRDefault="00F17D00" w:rsidP="00F17D00">
      <w:pPr>
        <w:tabs>
          <w:tab w:val="left" w:leader="dot" w:pos="9072"/>
        </w:tabs>
        <w:spacing w:before="120" w:after="120"/>
        <w:ind w:left="567"/>
        <w:jc w:val="both"/>
      </w:pPr>
      <w:r>
        <w:tab/>
      </w:r>
    </w:p>
    <w:p w14:paraId="51B31159" w14:textId="77B0A2B2" w:rsidR="00F17D00" w:rsidRPr="00F8461C" w:rsidRDefault="00981C71" w:rsidP="005A4E16">
      <w:pPr>
        <w:numPr>
          <w:ilvl w:val="0"/>
          <w:numId w:val="4"/>
        </w:numPr>
        <w:spacing w:before="240"/>
        <w:ind w:left="567" w:hanging="567"/>
        <w:jc w:val="both"/>
      </w:pPr>
      <w:r>
        <w:t xml:space="preserve">V skladu s točko 416 Smernic pojasnite, kako bo upravičenost do prehodnega načrta omejena na podjetja, ki (i) izpolnjujejo merila za upravičenost iz oddelka 3.7.2 Smernic o državni pomoči za varstvo okolja in energijo za obdobje 2014–2020 in (ii) so prejela pomoč v obliki znižanih dajatev v vsaj enem od zadnjih dveh let pred spremembo </w:t>
      </w:r>
      <w:r>
        <w:lastRenderedPageBreak/>
        <w:t>obstoječih shem pomoči za uskladitev s Smernicami. Navedite, kje so te informacije na voljo v (osnutku) pravne podlage (npr. člen 7, odstavek 3).</w:t>
      </w:r>
    </w:p>
    <w:p w14:paraId="24160A4D" w14:textId="77777777" w:rsidR="00F8461C" w:rsidRPr="00EE2D70" w:rsidRDefault="00F8461C" w:rsidP="00F8461C">
      <w:pPr>
        <w:tabs>
          <w:tab w:val="left" w:leader="dot" w:pos="9072"/>
        </w:tabs>
        <w:spacing w:before="120" w:after="120"/>
        <w:ind w:left="567"/>
        <w:jc w:val="both"/>
      </w:pPr>
      <w:r>
        <w:tab/>
      </w:r>
    </w:p>
    <w:p w14:paraId="2849F38E" w14:textId="004EC680" w:rsidR="002C6CA8" w:rsidRDefault="00F8461C" w:rsidP="005A4E16">
      <w:pPr>
        <w:numPr>
          <w:ilvl w:val="0"/>
          <w:numId w:val="4"/>
        </w:numPr>
        <w:spacing w:before="240"/>
        <w:ind w:left="567" w:hanging="567"/>
        <w:jc w:val="both"/>
      </w:pPr>
      <w:r>
        <w:t>Opišite, kako bo prehodni načrt vključeval postopno in popolno prilagoditev pogojem na podlagi uporabe meril upravičenosti in sorazmernosti iz oddelka 4.11 Smernic, zlasti kako se bo sčasoma zmanjšala intenzivnost pomoči in kako se bo sčasoma povečala zgornja meja bruto dodane vrednosti v skladu s časovnim načrtom iz točke 417 Smernic. Konkretno navedite, kje so te informacije na voljo v (osnutku) pravne podlage (npr. člen 7, odstavek 3).</w:t>
      </w:r>
    </w:p>
    <w:p w14:paraId="0ADB0F18" w14:textId="77777777" w:rsidR="002C6CA8" w:rsidRPr="00EE2D70" w:rsidRDefault="002C6CA8" w:rsidP="002C6CA8">
      <w:pPr>
        <w:tabs>
          <w:tab w:val="left" w:leader="dot" w:pos="9072"/>
        </w:tabs>
        <w:spacing w:before="120" w:after="120"/>
        <w:ind w:left="567"/>
        <w:jc w:val="both"/>
      </w:pPr>
      <w:r>
        <w:tab/>
      </w:r>
    </w:p>
    <w:p w14:paraId="454072D7" w14:textId="53930034" w:rsidR="009E3717" w:rsidRDefault="00EB3C44" w:rsidP="005A4E16">
      <w:pPr>
        <w:numPr>
          <w:ilvl w:val="0"/>
          <w:numId w:val="4"/>
        </w:numPr>
        <w:spacing w:before="240"/>
        <w:ind w:left="567" w:hanging="567"/>
        <w:jc w:val="both"/>
      </w:pPr>
      <w:r>
        <w:t>Navedite, ali bo prehodni načrt izjemoma dopuščal fiksne intenzivnosti pomoči za celotno prehodno obdobje, če zadevna podjetja zmanjšajo ogljični odtis svoje porabe električne energije v skladu s pogoji iz točke 418 Smernic (tj. kritje 50 % porabe električne energije z brezogljičnimi viri, od tega vsaj 10 % s terminskim instrumentom, kot je pogodba o nakupu električne energije, ali vsaj 5 % s proizvodnjo na kraju samem ali blizu njega). Če je odgovor pritrdilen, navedite, kje so te informacije na voljo v (osnutku) pravne podlage (npr. člen 7, odstavek 3), in pojasnite, kako nacionalni organi zagotavljajo in spremljajo skladnost s točko 418 Smernic.</w:t>
      </w:r>
    </w:p>
    <w:p w14:paraId="312A1DC1" w14:textId="23C8538F" w:rsidR="00F17D00" w:rsidRDefault="009E3717"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5A4E16">
            <w:pPr>
              <w:pStyle w:val="Heading1"/>
              <w:keepNext/>
              <w:keepLines/>
              <w:numPr>
                <w:ilvl w:val="1"/>
                <w:numId w:val="24"/>
              </w:numPr>
              <w:ind w:left="1560" w:hanging="480"/>
              <w:rPr>
                <w:color w:val="000000"/>
                <w:sz w:val="24"/>
                <w:szCs w:val="24"/>
              </w:rPr>
            </w:pPr>
            <w:r>
              <w:rPr>
                <w:sz w:val="24"/>
              </w:rPr>
              <w:t>Preglednost</w:t>
            </w:r>
          </w:p>
        </w:tc>
      </w:tr>
    </w:tbl>
    <w:p w14:paraId="1E96F77E" w14:textId="2D16554D" w:rsidR="00016924" w:rsidRPr="005A4E16" w:rsidRDefault="006773CE" w:rsidP="005A4E16">
      <w:pPr>
        <w:keepNext/>
        <w:keepLines/>
        <w:spacing w:before="360" w:after="120"/>
        <w:jc w:val="both"/>
        <w:rPr>
          <w:i/>
        </w:rPr>
      </w:pPr>
      <w:r>
        <w:rPr>
          <w:i/>
        </w:rPr>
        <w:t xml:space="preserve">Za zagotovitev informacij v tem oddelku glej oddelek 3.2.1.4 (točke 58–62) Smernic. </w:t>
      </w:r>
    </w:p>
    <w:p w14:paraId="73485054" w14:textId="77777777" w:rsidR="00EB3C44" w:rsidRPr="0000648C" w:rsidRDefault="00EB3C44" w:rsidP="005A4E16">
      <w:pPr>
        <w:keepNext/>
        <w:keepLines/>
        <w:numPr>
          <w:ilvl w:val="0"/>
          <w:numId w:val="4"/>
        </w:numPr>
        <w:spacing w:before="240"/>
        <w:ind w:left="567" w:hanging="567"/>
        <w:jc w:val="both"/>
        <w:rPr>
          <w:rFonts w:eastAsia="Times New Roman"/>
          <w:szCs w:val="24"/>
        </w:rPr>
      </w:pPr>
      <w:r>
        <w:t xml:space="preserve">Potrdite, da bo država članica izpolnjevala zahteve glede preglednosti iz točk 58–61 Smernic. </w:t>
      </w:r>
    </w:p>
    <w:p w14:paraId="383E9855" w14:textId="77777777" w:rsidR="00EB3C44" w:rsidRPr="00AB745F" w:rsidRDefault="00EB3C44" w:rsidP="005A4E16">
      <w:pPr>
        <w:keepLines/>
        <w:tabs>
          <w:tab w:val="left" w:leader="dot" w:pos="9072"/>
        </w:tabs>
        <w:spacing w:before="120" w:after="120"/>
        <w:ind w:left="567"/>
        <w:jc w:val="both"/>
      </w:pPr>
      <w:r>
        <w:tab/>
      </w:r>
    </w:p>
    <w:p w14:paraId="427D394F" w14:textId="02AC33DB" w:rsidR="005440AC" w:rsidRPr="00421F63" w:rsidRDefault="006B7161" w:rsidP="005A4E16">
      <w:pPr>
        <w:keepLines/>
        <w:numPr>
          <w:ilvl w:val="0"/>
          <w:numId w:val="4"/>
        </w:numPr>
        <w:spacing w:before="240"/>
        <w:ind w:left="567" w:hanging="567"/>
        <w:jc w:val="both"/>
      </w:pPr>
      <w:r>
        <w:t xml:space="preserve">Za preverjanje skladnosti s točko 61 Smernic potrdite, da bodo informacije iz točke 58(b) na voljo vsaj 10 let od datuma dodelitve pomoči, da se omogoči izvrševanje pravil o državni pomoči na podlagi PDEU. </w:t>
      </w:r>
    </w:p>
    <w:p w14:paraId="14FE0B14" w14:textId="268106AF" w:rsidR="007C0A44" w:rsidRPr="00243597" w:rsidRDefault="00207D52"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164ADE" w:rsidRDefault="00011908" w:rsidP="000C2EFD">
            <w:pPr>
              <w:pStyle w:val="Heading1"/>
              <w:keepNext/>
              <w:keepLines/>
              <w:numPr>
                <w:ilvl w:val="0"/>
                <w:numId w:val="25"/>
              </w:numPr>
              <w:jc w:val="left"/>
              <w:rPr>
                <w:i/>
                <w:color w:val="000000"/>
                <w:sz w:val="28"/>
                <w:szCs w:val="28"/>
              </w:rPr>
            </w:pPr>
            <w:r>
              <w:rPr>
                <w:i/>
                <w:color w:val="000000"/>
                <w:sz w:val="28"/>
              </w:rPr>
              <w:t>Preprečevanje neupravičenih negativnih učinkov pomoči na konkurenco in trgovino ter test tehtanja</w:t>
            </w:r>
          </w:p>
        </w:tc>
      </w:tr>
    </w:tbl>
    <w:p w14:paraId="6CD3884F" w14:textId="545E787A" w:rsidR="00F83660" w:rsidRPr="00B215FD" w:rsidRDefault="00F83660" w:rsidP="000C2EFD">
      <w:pPr>
        <w:keepNext/>
        <w:keepLines/>
        <w:spacing w:before="360" w:after="120"/>
        <w:jc w:val="both"/>
        <w:rPr>
          <w:i/>
        </w:rPr>
      </w:pPr>
      <w:r>
        <w:rPr>
          <w:i/>
        </w:rPr>
        <w:t xml:space="preserve">Za zagotovitev informacij v tem oddelku glej oddelek 3.2.2 Smernic. </w:t>
      </w:r>
    </w:p>
    <w:p w14:paraId="5D5F17EA" w14:textId="02FA14EA" w:rsidR="00F83660" w:rsidRPr="001D7B55" w:rsidRDefault="00F83660" w:rsidP="005A4E16">
      <w:pPr>
        <w:keepLines/>
        <w:numPr>
          <w:ilvl w:val="0"/>
          <w:numId w:val="4"/>
        </w:numPr>
        <w:spacing w:before="240"/>
        <w:ind w:left="567" w:hanging="567"/>
        <w:jc w:val="both"/>
      </w:pPr>
      <w:r>
        <w:t>Za preverjanje skladnosti s točko 70 Smernic:</w:t>
      </w:r>
    </w:p>
    <w:p w14:paraId="242551D6" w14:textId="420DDA9B" w:rsidR="00F83660" w:rsidRPr="009E0FCA" w:rsidRDefault="00473E7F" w:rsidP="005A4E16">
      <w:pPr>
        <w:pStyle w:val="ListParagraph"/>
        <w:keepLines/>
        <w:numPr>
          <w:ilvl w:val="1"/>
          <w:numId w:val="33"/>
        </w:numPr>
        <w:spacing w:before="240" w:after="120"/>
        <w:ind w:left="1434" w:hanging="357"/>
        <w:contextualSpacing w:val="0"/>
        <w:jc w:val="both"/>
      </w:pPr>
      <w:r>
        <w:t xml:space="preserve">potrdite, da trajanje sheme ne presega deset let </w:t>
      </w:r>
      <w:r>
        <w:rPr>
          <w:color w:val="000000"/>
          <w:shd w:val="clear" w:color="auto" w:fill="FFFFFF"/>
        </w:rPr>
        <w:t>od datuma obvestila o sklepu Komisije o razglasitvi državne pomoči za združljivo</w:t>
      </w:r>
      <w:r>
        <w:t>;</w:t>
      </w:r>
    </w:p>
    <w:p w14:paraId="46C152D0" w14:textId="77777777" w:rsidR="00F83660" w:rsidRPr="009E0FCA" w:rsidRDefault="00F83660" w:rsidP="00F83660">
      <w:pPr>
        <w:tabs>
          <w:tab w:val="left" w:leader="dot" w:pos="9072"/>
        </w:tabs>
        <w:spacing w:before="120" w:after="120"/>
        <w:ind w:left="567"/>
        <w:jc w:val="both"/>
      </w:pPr>
      <w:r>
        <w:tab/>
      </w:r>
    </w:p>
    <w:p w14:paraId="0192C7C3" w14:textId="28884912" w:rsidR="00F83660" w:rsidRPr="009E0FCA" w:rsidRDefault="00473E7F" w:rsidP="005A4E16">
      <w:pPr>
        <w:pStyle w:val="ListParagraph"/>
        <w:keepLines/>
        <w:numPr>
          <w:ilvl w:val="1"/>
          <w:numId w:val="33"/>
        </w:numPr>
        <w:spacing w:before="240" w:after="120"/>
        <w:ind w:left="1434" w:hanging="357"/>
        <w:contextualSpacing w:val="0"/>
        <w:jc w:val="both"/>
      </w:pPr>
      <w:r>
        <w:rPr>
          <w:color w:val="000000"/>
          <w:shd w:val="clear" w:color="auto" w:fill="FFFFFF"/>
        </w:rPr>
        <w:lastRenderedPageBreak/>
        <w:t>potrdite</w:t>
      </w:r>
      <w:r>
        <w:t xml:space="preserve">, da bo država članica ponovno priglasila ukrep, če bi želela podaljšati trajanje sheme preko najdaljšega dovoljenega obdobja desetih let. </w:t>
      </w:r>
    </w:p>
    <w:p w14:paraId="77064147" w14:textId="77777777" w:rsidR="00F83660" w:rsidRPr="009E0FCA" w:rsidRDefault="00F83660"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0C2EFD">
            <w:pPr>
              <w:pStyle w:val="Heading1"/>
              <w:keepNext/>
              <w:keepLines/>
              <w:numPr>
                <w:ilvl w:val="0"/>
                <w:numId w:val="25"/>
              </w:numPr>
              <w:jc w:val="left"/>
              <w:rPr>
                <w:i/>
                <w:color w:val="000000"/>
                <w:sz w:val="28"/>
                <w:szCs w:val="28"/>
              </w:rPr>
            </w:pPr>
            <w:r>
              <w:rPr>
                <w:i/>
                <w:color w:val="000000"/>
                <w:sz w:val="28"/>
              </w:rPr>
              <w:t>Primerjava pozitivnih učinkov pomoči z negativnimi učinki na konkurenco in trgovino</w:t>
            </w:r>
          </w:p>
        </w:tc>
      </w:tr>
    </w:tbl>
    <w:p w14:paraId="2BA426DC" w14:textId="523B5AF6" w:rsidR="00265702" w:rsidRPr="00863406" w:rsidRDefault="00265702" w:rsidP="000C2EFD">
      <w:pPr>
        <w:keepNext/>
        <w:keepLines/>
        <w:spacing w:before="360" w:after="120"/>
        <w:jc w:val="both"/>
        <w:rPr>
          <w:i/>
          <w:color w:val="000000"/>
        </w:rPr>
      </w:pPr>
      <w:r>
        <w:rPr>
          <w:i/>
        </w:rPr>
        <w:t>Za zagotovitev informacij v tem oddelku glej oddelek 3.3 (točke 71–76) in točke 400–402 Smernic.</w:t>
      </w:r>
      <w:r>
        <w:rPr>
          <w:i/>
          <w:color w:val="000000"/>
        </w:rPr>
        <w:t xml:space="preserve"> </w:t>
      </w:r>
    </w:p>
    <w:p w14:paraId="18165957" w14:textId="76C6222C" w:rsidR="004B2EF3" w:rsidRPr="00AC1973" w:rsidRDefault="004B2EF3" w:rsidP="005A4E16">
      <w:pPr>
        <w:keepLines/>
        <w:numPr>
          <w:ilvl w:val="0"/>
          <w:numId w:val="4"/>
        </w:numPr>
        <w:spacing w:before="240"/>
        <w:ind w:left="567" w:hanging="567"/>
        <w:jc w:val="both"/>
      </w:pPr>
      <w:r>
        <w:t>V skladu s točko 75 Smernic pojasnite, ali priglašeni ukrep vključuje značilnosti za olajšanje udeležbe MSP. Če je odgovor pritrdilen, zagotovite informacije o navedenih značilnostih in utemeljite, kako pozitivni učinki zagotavljanja udeležbe in sprejemanja MSP v priglašenem ukrepu odtehtajo možne izkrivljajoče učinke.</w:t>
      </w:r>
    </w:p>
    <w:p w14:paraId="2C6E14C8" w14:textId="77777777" w:rsidR="004B2EF3" w:rsidRPr="00AC1973" w:rsidRDefault="004B2EF3" w:rsidP="005A4E16">
      <w:pPr>
        <w:keepLines/>
        <w:tabs>
          <w:tab w:val="left" w:leader="dot" w:pos="9072"/>
        </w:tabs>
        <w:spacing w:before="120" w:after="120"/>
        <w:ind w:left="567"/>
        <w:jc w:val="both"/>
      </w:pPr>
      <w:r>
        <w:tab/>
      </w:r>
    </w:p>
    <w:p w14:paraId="647161AA" w14:textId="41642210" w:rsidR="005C6138" w:rsidRDefault="005C6138" w:rsidP="005A4E16">
      <w:pPr>
        <w:keepLines/>
        <w:numPr>
          <w:ilvl w:val="0"/>
          <w:numId w:val="4"/>
        </w:numPr>
        <w:spacing w:before="240"/>
        <w:ind w:left="567" w:hanging="567"/>
        <w:jc w:val="both"/>
      </w:pPr>
      <w:r>
        <w:t xml:space="preserve">Kar zadeva uporabo točke 76(c) Smernic, navedite, ali je ukrep pomoči časovno omejen. </w:t>
      </w:r>
    </w:p>
    <w:p w14:paraId="52433654" w14:textId="2D5D8B0F" w:rsidR="005C6138" w:rsidRDefault="005C6138" w:rsidP="000C2EFD">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6D91A4BB" w:rsidR="000C2EFD" w:rsidRPr="000C2EFD" w:rsidRDefault="00C33721" w:rsidP="000C2EFD">
            <w:pPr>
              <w:pStyle w:val="Heading1"/>
              <w:keepNext/>
              <w:keepLines/>
              <w:numPr>
                <w:ilvl w:val="1"/>
                <w:numId w:val="24"/>
              </w:numPr>
              <w:ind w:left="1560" w:hanging="480"/>
              <w:rPr>
                <w:i/>
                <w:color w:val="000000"/>
                <w:sz w:val="28"/>
                <w:szCs w:val="28"/>
              </w:rPr>
            </w:pPr>
            <w:r>
              <w:rPr>
                <w:sz w:val="24"/>
              </w:rPr>
              <w:t>Ocenjevanje</w:t>
            </w:r>
          </w:p>
        </w:tc>
      </w:tr>
    </w:tbl>
    <w:p w14:paraId="78AC9B95" w14:textId="0E2D785C" w:rsidR="00C33721" w:rsidRPr="0051324D" w:rsidRDefault="00C33721" w:rsidP="000C2EFD">
      <w:pPr>
        <w:keepNext/>
        <w:keepLines/>
        <w:tabs>
          <w:tab w:val="left" w:leader="dot" w:pos="9072"/>
        </w:tabs>
        <w:spacing w:before="120" w:after="120"/>
        <w:ind w:left="567"/>
        <w:jc w:val="both"/>
      </w:pPr>
      <w:r>
        <w:rPr>
          <w:i/>
        </w:rPr>
        <w:t>Za zagotovitev informacij v tem oddelku glej točko 76(a) in poglavje 5 (točke 455–463) Smernic.</w:t>
      </w:r>
    </w:p>
    <w:p w14:paraId="7C72F6EA" w14:textId="04D9ACCD" w:rsidR="00FD7E6B" w:rsidRDefault="00FD7E6B" w:rsidP="005A4E16">
      <w:pPr>
        <w:numPr>
          <w:ilvl w:val="0"/>
          <w:numId w:val="4"/>
        </w:numPr>
        <w:spacing w:before="240"/>
        <w:ind w:left="567" w:hanging="567"/>
        <w:jc w:val="both"/>
      </w:pPr>
      <w:r>
        <w:t>Če priglašeni ukrep presega pragove za proračun / odhodke iz točke 456 Smernic, pojasnite, zakaj bi se morala po vašem mnenju uporabljati izjema iz točke 457 Smernic, ali pa temu obrazcu za dodatne informacije priložite prilogo, ki vključuje osnutek načrta ocenjevanja za področje uporabe iz točke 458 Smernic</w:t>
      </w:r>
      <w:r w:rsidRPr="00C7201E">
        <w:rPr>
          <w:rStyle w:val="FootnoteReference"/>
          <w:lang w:eastAsia="en-GB"/>
        </w:rPr>
        <w:footnoteReference w:id="8"/>
      </w:r>
      <w:r>
        <w:t>.</w:t>
      </w:r>
    </w:p>
    <w:p w14:paraId="617779B3" w14:textId="77777777" w:rsidR="00FD7E6B" w:rsidRDefault="00FD7E6B" w:rsidP="00FD7E6B">
      <w:pPr>
        <w:pStyle w:val="ListParagraph"/>
        <w:spacing w:before="120" w:after="120"/>
        <w:ind w:left="0" w:firstLine="567"/>
        <w:contextualSpacing w:val="0"/>
        <w:jc w:val="both"/>
      </w:pPr>
      <w:r>
        <w:t>……………………………………………………………………………………………</w:t>
      </w:r>
    </w:p>
    <w:p w14:paraId="3F84AA42" w14:textId="77777777" w:rsidR="00FD7E6B" w:rsidRDefault="00FD7E6B" w:rsidP="005A4E16">
      <w:pPr>
        <w:keepLines/>
        <w:numPr>
          <w:ilvl w:val="0"/>
          <w:numId w:val="4"/>
        </w:numPr>
        <w:spacing w:before="240"/>
        <w:ind w:left="567" w:hanging="567"/>
        <w:jc w:val="both"/>
      </w:pPr>
      <w:r>
        <w:t>Če je predložen osnutek načrta ocenjevanja:</w:t>
      </w:r>
    </w:p>
    <w:p w14:paraId="5F8484D6" w14:textId="77777777" w:rsidR="00FD7E6B" w:rsidRDefault="00FD7E6B" w:rsidP="005A4E16">
      <w:pPr>
        <w:pStyle w:val="ListParagraph"/>
        <w:keepLines/>
        <w:numPr>
          <w:ilvl w:val="0"/>
          <w:numId w:val="61"/>
        </w:numPr>
        <w:spacing w:before="240" w:after="120"/>
        <w:ind w:left="1434" w:hanging="357"/>
        <w:contextualSpacing w:val="0"/>
        <w:jc w:val="both"/>
      </w:pPr>
      <w:r>
        <w:t>v nadaljevanju predložite povzetek navedenega osnutka načrta ocenjevanja, vključenega v Prilogo;</w:t>
      </w:r>
    </w:p>
    <w:p w14:paraId="79E8DDEE" w14:textId="77777777" w:rsidR="00FD7E6B" w:rsidRDefault="00FD7E6B" w:rsidP="005A4E16">
      <w:pPr>
        <w:pStyle w:val="ListParagraph"/>
        <w:keepLines/>
        <w:spacing w:before="120" w:after="120"/>
        <w:ind w:left="1440"/>
        <w:contextualSpacing w:val="0"/>
        <w:jc w:val="both"/>
      </w:pPr>
      <w:r>
        <w:t>………………………………………………………………………………….</w:t>
      </w:r>
    </w:p>
    <w:p w14:paraId="7596EBA5" w14:textId="42138E94" w:rsidR="00FD7E6B" w:rsidRDefault="00FD7E6B" w:rsidP="005A4E16">
      <w:pPr>
        <w:pStyle w:val="ListParagraph"/>
        <w:keepLines/>
        <w:numPr>
          <w:ilvl w:val="0"/>
          <w:numId w:val="61"/>
        </w:numPr>
        <w:spacing w:before="240" w:after="120"/>
        <w:ind w:left="1434" w:hanging="357"/>
        <w:contextualSpacing w:val="0"/>
        <w:jc w:val="both"/>
      </w:pPr>
      <w:r>
        <w:t>potrdite, da se bo pri tem upoštevala točka 460 Smernic;</w:t>
      </w:r>
    </w:p>
    <w:p w14:paraId="39DB0045" w14:textId="77777777" w:rsidR="00FD7E6B" w:rsidRPr="0051324D" w:rsidRDefault="00FD7E6B" w:rsidP="005A4E16">
      <w:pPr>
        <w:pStyle w:val="ListParagraph"/>
        <w:keepLines/>
        <w:spacing w:before="120" w:after="120"/>
        <w:ind w:left="1440"/>
        <w:contextualSpacing w:val="0"/>
        <w:jc w:val="both"/>
      </w:pPr>
      <w:r>
        <w:t xml:space="preserve">…………………………………………………………………………………. </w:t>
      </w:r>
    </w:p>
    <w:p w14:paraId="21A61D20" w14:textId="77777777" w:rsidR="00FD7E6B" w:rsidRDefault="00FD7E6B" w:rsidP="005A4E16">
      <w:pPr>
        <w:pStyle w:val="ListParagraph"/>
        <w:keepLines/>
        <w:numPr>
          <w:ilvl w:val="0"/>
          <w:numId w:val="61"/>
        </w:numPr>
        <w:spacing w:before="240" w:after="120"/>
        <w:ind w:left="1434" w:hanging="357"/>
        <w:contextualSpacing w:val="0"/>
        <w:jc w:val="both"/>
      </w:pPr>
      <w:r>
        <w:t>navedite datum in spletno povezavo, na kateri bo načrt ocenjevanja javno dostopen.</w:t>
      </w:r>
    </w:p>
    <w:p w14:paraId="7CB82817" w14:textId="77777777" w:rsidR="00FD7E6B" w:rsidRPr="0051324D" w:rsidRDefault="00FD7E6B" w:rsidP="005A4E16">
      <w:pPr>
        <w:pStyle w:val="ListParagraph"/>
        <w:keepLines/>
        <w:spacing w:before="120" w:after="120"/>
        <w:ind w:left="1440"/>
        <w:contextualSpacing w:val="0"/>
        <w:jc w:val="both"/>
      </w:pPr>
      <w:r>
        <w:lastRenderedPageBreak/>
        <w:t xml:space="preserve">…………………………………………………………………………………. </w:t>
      </w:r>
    </w:p>
    <w:p w14:paraId="3FE707E5" w14:textId="6404AF17" w:rsidR="00FD7E6B" w:rsidRPr="0051324D" w:rsidRDefault="00FD7E6B" w:rsidP="005A4E16">
      <w:pPr>
        <w:numPr>
          <w:ilvl w:val="0"/>
          <w:numId w:val="4"/>
        </w:numPr>
        <w:spacing w:before="240"/>
        <w:ind w:left="567" w:hanging="567"/>
        <w:jc w:val="both"/>
      </w:pPr>
      <w:r>
        <w:t xml:space="preserve">Za preverjanje skladnosti s točko 459(b) Smernic, če shema pomoči trenutno ni predmet naknadne ocene in traja več kot tri leta, potrdite, da boste osnutek načrta ocenjevanja priglasili v 30 delovnih dneh po bistveni spremembi, s katero se proračun sheme poveča na več kot 150 milijonov EUR v katerem koli zadevnem letu oziroma 750 milijonov EUR v celotnem obdobju trajanja sheme. </w:t>
      </w:r>
    </w:p>
    <w:p w14:paraId="1D26BAAE" w14:textId="77777777" w:rsidR="00FD7E6B" w:rsidRPr="0051324D" w:rsidRDefault="00FD7E6B" w:rsidP="00FD7E6B">
      <w:pPr>
        <w:tabs>
          <w:tab w:val="left" w:leader="dot" w:pos="9072"/>
        </w:tabs>
        <w:spacing w:before="120" w:after="120"/>
        <w:ind w:left="567"/>
        <w:jc w:val="both"/>
      </w:pPr>
      <w:r>
        <w:tab/>
      </w:r>
    </w:p>
    <w:p w14:paraId="71D45A8F" w14:textId="1CE93415" w:rsidR="00FD7E6B" w:rsidRPr="0051324D" w:rsidRDefault="00FD7E6B" w:rsidP="005A4E16">
      <w:pPr>
        <w:keepLines/>
        <w:numPr>
          <w:ilvl w:val="0"/>
          <w:numId w:val="4"/>
        </w:numPr>
        <w:spacing w:before="240"/>
        <w:ind w:left="567" w:hanging="567"/>
        <w:jc w:val="both"/>
      </w:pPr>
      <w:r>
        <w:t xml:space="preserve">Za preverjanje skladnosti s točko 459(c) Smernic, če shema pomoči trenutno ni predmet naknadne ocene, se v nadaljevanju zavežite, da bo država članica osnutek načrta ocenjevanja priglasila </w:t>
      </w:r>
      <w:r>
        <w:rPr>
          <w:shd w:val="clear" w:color="auto" w:fill="FFFFFF"/>
        </w:rPr>
        <w:t>v 30 delovnih dneh po tem, ko so bili na uradnih računih evidentirani odhodki, ki presegajo 150 milijonov EUR v prejšnjem letu</w:t>
      </w:r>
      <w:r>
        <w:t xml:space="preserve">. </w:t>
      </w:r>
    </w:p>
    <w:p w14:paraId="7AA3065F" w14:textId="77777777" w:rsidR="00FD7E6B" w:rsidRPr="0051324D" w:rsidRDefault="00FD7E6B" w:rsidP="005A4E16">
      <w:pPr>
        <w:keepLines/>
        <w:tabs>
          <w:tab w:val="left" w:leader="dot" w:pos="9072"/>
        </w:tabs>
        <w:spacing w:before="120" w:after="120"/>
        <w:ind w:left="567"/>
        <w:jc w:val="both"/>
      </w:pPr>
      <w:r>
        <w:tab/>
      </w:r>
    </w:p>
    <w:p w14:paraId="5B387667" w14:textId="416FBD5A" w:rsidR="00FD7E6B" w:rsidRPr="0051324D" w:rsidRDefault="00FD7E6B" w:rsidP="005A4E16">
      <w:pPr>
        <w:numPr>
          <w:ilvl w:val="0"/>
          <w:numId w:val="4"/>
        </w:numPr>
        <w:spacing w:before="240"/>
        <w:ind w:left="567" w:hanging="567"/>
        <w:jc w:val="both"/>
      </w:pPr>
      <w:r>
        <w:t>Za preverjanje skladnosti s točko 461 Smernic:</w:t>
      </w:r>
    </w:p>
    <w:p w14:paraId="20232C0E" w14:textId="77777777" w:rsidR="00FD7E6B" w:rsidRDefault="00FD7E6B" w:rsidP="005A4E16">
      <w:pPr>
        <w:pStyle w:val="ListParagraph"/>
        <w:keepLines/>
        <w:numPr>
          <w:ilvl w:val="0"/>
          <w:numId w:val="62"/>
        </w:numPr>
        <w:spacing w:before="240" w:after="120"/>
        <w:ind w:left="1434" w:hanging="357"/>
        <w:contextualSpacing w:val="0"/>
        <w:jc w:val="both"/>
      </w:pPr>
      <w:r>
        <w:t>pojasnite, ali je bil neodvisni strokovnjak že izbran ali bo izbran v prihodnosti;</w:t>
      </w:r>
    </w:p>
    <w:p w14:paraId="005DD860" w14:textId="77777777" w:rsidR="00FD7E6B" w:rsidRPr="0051324D" w:rsidRDefault="00FD7E6B" w:rsidP="005A4E16">
      <w:pPr>
        <w:pStyle w:val="ListParagraph"/>
        <w:keepLines/>
        <w:spacing w:before="120" w:after="120"/>
        <w:ind w:left="1440"/>
        <w:contextualSpacing w:val="0"/>
        <w:jc w:val="both"/>
      </w:pPr>
      <w:r>
        <w:t>…………………………………………………………………………………..</w:t>
      </w:r>
    </w:p>
    <w:p w14:paraId="2B4292B3" w14:textId="77777777" w:rsidR="00FD7E6B" w:rsidRDefault="00FD7E6B" w:rsidP="005A4E16">
      <w:pPr>
        <w:pStyle w:val="ListParagraph"/>
        <w:keepLines/>
        <w:numPr>
          <w:ilvl w:val="0"/>
          <w:numId w:val="62"/>
        </w:numPr>
        <w:spacing w:before="240" w:after="120"/>
        <w:ind w:left="1434" w:hanging="357"/>
        <w:contextualSpacing w:val="0"/>
        <w:jc w:val="both"/>
      </w:pPr>
      <w:r>
        <w:t>zagotovite informacije o postopku za izbiro strokovnjaka;</w:t>
      </w:r>
    </w:p>
    <w:p w14:paraId="34029CDE" w14:textId="77777777" w:rsidR="00FD7E6B" w:rsidRPr="0051324D" w:rsidRDefault="00FD7E6B" w:rsidP="005A4E16">
      <w:pPr>
        <w:pStyle w:val="ListParagraph"/>
        <w:keepLines/>
        <w:spacing w:before="120" w:after="120"/>
        <w:ind w:left="1440"/>
        <w:contextualSpacing w:val="0"/>
        <w:jc w:val="both"/>
      </w:pPr>
      <w:r>
        <w:t>………………………………………………………………………………….</w:t>
      </w:r>
    </w:p>
    <w:p w14:paraId="6348CF95" w14:textId="77777777" w:rsidR="00FD7E6B" w:rsidRDefault="00FD7E6B" w:rsidP="005A4E16">
      <w:pPr>
        <w:pStyle w:val="ListParagraph"/>
        <w:keepLines/>
        <w:numPr>
          <w:ilvl w:val="0"/>
          <w:numId w:val="62"/>
        </w:numPr>
        <w:spacing w:before="240" w:after="120"/>
        <w:ind w:left="1434" w:hanging="357"/>
        <w:contextualSpacing w:val="0"/>
        <w:jc w:val="both"/>
      </w:pPr>
      <w:r>
        <w:t>utemeljite, kako je zagotovljena strokovnjakova neodvisnost od organa, ki dodeli pomoč.</w:t>
      </w:r>
    </w:p>
    <w:p w14:paraId="7B506649" w14:textId="77777777" w:rsidR="00FD7E6B" w:rsidRPr="0051324D" w:rsidRDefault="00FD7E6B" w:rsidP="005A4E16">
      <w:pPr>
        <w:pStyle w:val="ListParagraph"/>
        <w:keepLines/>
        <w:spacing w:before="120" w:after="120"/>
        <w:ind w:left="1440"/>
        <w:contextualSpacing w:val="0"/>
        <w:jc w:val="both"/>
      </w:pPr>
      <w:r>
        <w:t xml:space="preserve">………………………………………………………………………………….. </w:t>
      </w:r>
    </w:p>
    <w:p w14:paraId="5670F295" w14:textId="3D0EAFB6" w:rsidR="00FD7E6B" w:rsidRPr="0051324D" w:rsidRDefault="00FD7E6B" w:rsidP="005A4E16">
      <w:pPr>
        <w:numPr>
          <w:ilvl w:val="0"/>
          <w:numId w:val="4"/>
        </w:numPr>
        <w:spacing w:before="240"/>
        <w:ind w:left="567" w:hanging="567"/>
        <w:jc w:val="both"/>
      </w:pPr>
      <w:r>
        <w:t xml:space="preserve">Za preverjanje skladnosti s točko 461 Smernic: </w:t>
      </w:r>
    </w:p>
    <w:p w14:paraId="461725E8" w14:textId="461372EF" w:rsidR="00FD7E6B" w:rsidRPr="0051324D" w:rsidRDefault="00FD7E6B" w:rsidP="005A4E16">
      <w:pPr>
        <w:pStyle w:val="ListParagraph"/>
        <w:numPr>
          <w:ilvl w:val="0"/>
          <w:numId w:val="63"/>
        </w:numPr>
        <w:spacing w:before="240" w:after="120"/>
        <w:ind w:left="1434" w:hanging="357"/>
        <w:contextualSpacing w:val="0"/>
        <w:jc w:val="both"/>
      </w:pPr>
      <w:r>
        <w:t>Navedite predlagane roke za predložitev vmesnega in končnega ocenjevalnega poročila. Upoštevajte, da je treba v skladu s točko 463 Smernic končno ocenjevalno poročilo Komisiji predložiti pravočasno, da ta lahko presoja o morebitnem podaljšanju sheme pomoči, in najpozneje devet mesecev pred njenim iztekom. Upoštevajte, da se lahko navedeni rok skrajša za sheme, ki sprožijo zahtevo za ocenjevanje v zadnjih dveh letih izvajanja.</w:t>
      </w:r>
    </w:p>
    <w:p w14:paraId="0115FEB7" w14:textId="77777777" w:rsidR="00FD7E6B" w:rsidRPr="0051324D" w:rsidRDefault="00FD7E6B" w:rsidP="00FD7E6B">
      <w:pPr>
        <w:tabs>
          <w:tab w:val="left" w:leader="dot" w:pos="9072"/>
        </w:tabs>
        <w:spacing w:before="120" w:after="120"/>
        <w:ind w:left="567"/>
        <w:jc w:val="both"/>
      </w:pPr>
      <w:r>
        <w:t xml:space="preserve"> </w:t>
      </w:r>
      <w:r>
        <w:tab/>
      </w:r>
    </w:p>
    <w:p w14:paraId="3784DF29" w14:textId="405B253E" w:rsidR="00B2631C" w:rsidRPr="0051324D" w:rsidRDefault="00FD7E6B" w:rsidP="005A4E16">
      <w:pPr>
        <w:pStyle w:val="ListParagraph"/>
        <w:numPr>
          <w:ilvl w:val="0"/>
          <w:numId w:val="63"/>
        </w:numPr>
        <w:spacing w:before="240" w:after="360"/>
        <w:ind w:left="1434" w:hanging="357"/>
        <w:contextualSpacing w:val="0"/>
        <w:jc w:val="both"/>
      </w:pPr>
      <w:r>
        <w:t xml:space="preserve">Potrdite, da bosta vmesno in končno ocenjevalno poročilo objavljeni. Navedite datum in spletno povezavo, na kateri bosta navedeni poročili javno dostopni.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3D2E08DB" w:rsidR="00627715" w:rsidRPr="0051324D" w:rsidRDefault="00627715" w:rsidP="000C2EFD">
            <w:pPr>
              <w:keepNext/>
              <w:keepLines/>
              <w:numPr>
                <w:ilvl w:val="0"/>
                <w:numId w:val="24"/>
              </w:numPr>
              <w:jc w:val="center"/>
              <w:rPr>
                <w:rFonts w:eastAsia="Times New Roman"/>
                <w:b/>
                <w:i/>
                <w:sz w:val="28"/>
                <w:szCs w:val="28"/>
              </w:rPr>
            </w:pPr>
            <w:r>
              <w:rPr>
                <w:b/>
                <w:i/>
                <w:sz w:val="28"/>
              </w:rPr>
              <w:t>Poročanje in spremljanje</w:t>
            </w:r>
          </w:p>
        </w:tc>
      </w:tr>
    </w:tbl>
    <w:p w14:paraId="6E3D4648" w14:textId="673CD232" w:rsidR="00FD7E6B" w:rsidRPr="0051324D" w:rsidRDefault="00FD7E6B" w:rsidP="000C2EFD">
      <w:pPr>
        <w:keepNext/>
        <w:keepLines/>
        <w:tabs>
          <w:tab w:val="left" w:leader="dot" w:pos="9072"/>
        </w:tabs>
        <w:spacing w:before="240" w:after="120"/>
        <w:ind w:left="567"/>
        <w:jc w:val="both"/>
      </w:pPr>
      <w:r>
        <w:rPr>
          <w:i/>
        </w:rPr>
        <w:t>Za zagotovitev informacij v tem oddelku glej oddelek 6 (točki 464 in 465) Smernic.</w:t>
      </w:r>
    </w:p>
    <w:p w14:paraId="3FBE246E" w14:textId="1FB553B4" w:rsidR="00FD7E6B" w:rsidRDefault="00FD7E6B" w:rsidP="005A4E16">
      <w:pPr>
        <w:keepLines/>
        <w:numPr>
          <w:ilvl w:val="0"/>
          <w:numId w:val="4"/>
        </w:numPr>
        <w:spacing w:before="240"/>
        <w:ind w:left="567" w:hanging="567"/>
        <w:jc w:val="both"/>
      </w:pPr>
      <w:r>
        <w:t>Potrdite, da bo država članica izpolnjevala zahteve glede poročanja in spremljanja iz oddelka 6, točki 464 in 465, Smernic.</w:t>
      </w:r>
    </w:p>
    <w:p w14:paraId="6B996AF9" w14:textId="34E6B0A9" w:rsidR="00697188" w:rsidRPr="00956022" w:rsidRDefault="00932D56" w:rsidP="00956022">
      <w:pPr>
        <w:keepLines/>
        <w:tabs>
          <w:tab w:val="left" w:leader="dot" w:pos="9072"/>
        </w:tabs>
        <w:spacing w:before="120" w:after="120"/>
        <w:ind w:left="567"/>
        <w:jc w:val="both"/>
        <w:rPr>
          <w:color w:val="00B050"/>
        </w:rPr>
      </w:pPr>
      <w:r>
        <w:tab/>
      </w:r>
    </w:p>
    <w:sectPr w:rsidR="00697188" w:rsidRPr="00956022"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2F631" w14:textId="77777777" w:rsidR="00142173" w:rsidRDefault="00142173" w:rsidP="000442F5">
      <w:r>
        <w:separator/>
      </w:r>
    </w:p>
  </w:endnote>
  <w:endnote w:type="continuationSeparator" w:id="0">
    <w:p w14:paraId="5968032F" w14:textId="77777777" w:rsidR="00142173" w:rsidRDefault="00142173" w:rsidP="000442F5">
      <w:r>
        <w:continuationSeparator/>
      </w:r>
    </w:p>
  </w:endnote>
  <w:endnote w:type="continuationNotice" w:id="1">
    <w:p w14:paraId="22E3267D" w14:textId="77777777" w:rsidR="00142173" w:rsidRDefault="00142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27EAE8D8" w:rsidR="00FE3196" w:rsidRDefault="00FE3196">
    <w:pPr>
      <w:pStyle w:val="Footer"/>
      <w:jc w:val="center"/>
    </w:pPr>
    <w:r>
      <w:fldChar w:fldCharType="begin"/>
    </w:r>
    <w:r>
      <w:instrText xml:space="preserve"> PAGE   \* MERGEFORMAT </w:instrText>
    </w:r>
    <w:r>
      <w:fldChar w:fldCharType="separate"/>
    </w:r>
    <w:r w:rsidR="00243597">
      <w:t>16</w:t>
    </w:r>
    <w:r>
      <w:fldChar w:fldCharType="end"/>
    </w:r>
  </w:p>
  <w:p w14:paraId="75E356FD" w14:textId="77777777" w:rsidR="00FE3196" w:rsidRDefault="00FE3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11E2A" w14:textId="77777777" w:rsidR="00142173" w:rsidRDefault="00142173" w:rsidP="000442F5">
      <w:r>
        <w:separator/>
      </w:r>
    </w:p>
  </w:footnote>
  <w:footnote w:type="continuationSeparator" w:id="0">
    <w:p w14:paraId="4F8BF7A5" w14:textId="77777777" w:rsidR="00142173" w:rsidRDefault="00142173" w:rsidP="000442F5">
      <w:r>
        <w:continuationSeparator/>
      </w:r>
    </w:p>
  </w:footnote>
  <w:footnote w:type="continuationNotice" w:id="1">
    <w:p w14:paraId="22781713" w14:textId="77777777" w:rsidR="00142173" w:rsidRDefault="00142173"/>
  </w:footnote>
  <w:footnote w:id="2">
    <w:p w14:paraId="2E1DAC13" w14:textId="77777777" w:rsidR="00FE3196" w:rsidRPr="0067348B" w:rsidRDefault="00FE3196" w:rsidP="007B485D">
      <w:pPr>
        <w:pStyle w:val="FootnoteText"/>
      </w:pPr>
      <w:r>
        <w:rPr>
          <w:rStyle w:val="FootnoteReference"/>
        </w:rPr>
        <w:footnoteRef/>
      </w:r>
      <w:r>
        <w:tab/>
        <w:t>UL C 80, 18.2.2022, str. 1.</w:t>
      </w:r>
    </w:p>
  </w:footnote>
  <w:footnote w:id="3">
    <w:p w14:paraId="40B31757" w14:textId="710C01BF" w:rsidR="00B77C6D" w:rsidRDefault="00B77C6D" w:rsidP="00B77C6D">
      <w:pPr>
        <w:pStyle w:val="FootnoteText"/>
      </w:pPr>
      <w:r>
        <w:rPr>
          <w:rStyle w:val="FootnoteReference"/>
        </w:rPr>
        <w:footnoteRef/>
      </w:r>
      <w:r>
        <w:tab/>
        <w:t xml:space="preserve">Upoštevajte, da trajanje sheme pomoči zajema obdobje, v katerem je mogoče za pomoč zaprositi in v katerem se o njej odloča (vključno s časom, ki ga nacionalni organi potrebujejo za odobritev vlog za pomoč). Trajanje v tem vprašanju se ne nanaša na trajanje pogodb, sklenjenih na podlagi sheme pomoči, saj je to lahko daljše od trajanja ukrepa. </w:t>
      </w:r>
    </w:p>
  </w:footnote>
  <w:footnote w:id="4">
    <w:p w14:paraId="28F42BB8" w14:textId="2923C271" w:rsidR="0068024A" w:rsidRPr="0067348B" w:rsidRDefault="0068024A" w:rsidP="0068024A">
      <w:pPr>
        <w:pStyle w:val="FootnoteText"/>
      </w:pPr>
      <w:r>
        <w:rPr>
          <w:rStyle w:val="FootnoteReference"/>
        </w:rPr>
        <w:footnoteRef/>
      </w:r>
      <w:r>
        <w:tab/>
        <w:t>Upoštevajte, da lahko sprememba dejanskega proračuna ali ocene proračuna pomeni spremembo pomoči, ki jo je treba na novo priglasiti.</w:t>
      </w:r>
    </w:p>
  </w:footnote>
  <w:footnote w:id="5">
    <w:p w14:paraId="3A832CB6" w14:textId="77777777" w:rsidR="00FE3196" w:rsidRPr="00D6380C" w:rsidRDefault="00FE3196" w:rsidP="00470AF2">
      <w:pPr>
        <w:pStyle w:val="FootnoteText"/>
        <w:ind w:left="567" w:hanging="567"/>
      </w:pPr>
      <w:r>
        <w:rPr>
          <w:rStyle w:val="FootnoteReference"/>
        </w:rPr>
        <w:footnoteRef/>
      </w:r>
      <w:r>
        <w:tab/>
        <w:t>V opredelitvi statistične klasifikacije gospodarskih dejavnosti v Evropski skupnosti (klasifikacija „NACE Rev. 2“) do ravni razčlenitve, ki ni višja od osmih številk (raven „PRODCOM“).</w:t>
      </w:r>
    </w:p>
  </w:footnote>
  <w:footnote w:id="6">
    <w:p w14:paraId="555714D6" w14:textId="77777777" w:rsidR="00FE3196" w:rsidRPr="00D91CFC" w:rsidRDefault="00FE3196" w:rsidP="00470AF2">
      <w:pPr>
        <w:pStyle w:val="FootnoteText"/>
        <w:ind w:left="567" w:hanging="567"/>
      </w:pPr>
      <w:r>
        <w:rPr>
          <w:rStyle w:val="FootnoteReference"/>
        </w:rPr>
        <w:footnoteRef/>
      </w:r>
      <w:r>
        <w:tab/>
        <w:t>Na primer, podatki, ki zajemajo precejšnji odstotni delež bruto dodane vrednosti zadevnega sektorja ali podsektorja na ravni EU.</w:t>
      </w:r>
    </w:p>
  </w:footnote>
  <w:footnote w:id="7">
    <w:p w14:paraId="086AD512" w14:textId="7087BE19" w:rsidR="00FE3196" w:rsidRDefault="00FE3196">
      <w:pPr>
        <w:pStyle w:val="FootnoteText"/>
      </w:pPr>
      <w:r>
        <w:rPr>
          <w:rStyle w:val="FootnoteReference"/>
        </w:rPr>
        <w:footnoteRef/>
      </w:r>
      <w:r>
        <w:tab/>
        <w:t>Centralno upravljana sredstva Unije so sredstva Unije, ki jih centralno upravljajo institucije, agencije, skupna podjetja ali drugi organi Evropske unije, ki niso pod neposrednim ali posrednim nadzorom držav članic.</w:t>
      </w:r>
    </w:p>
  </w:footnote>
  <w:footnote w:id="8">
    <w:p w14:paraId="2FB02E44" w14:textId="77777777" w:rsidR="00FD7E6B" w:rsidRDefault="00FD7E6B" w:rsidP="00FD7E6B">
      <w:pPr>
        <w:pStyle w:val="FootnoteText"/>
      </w:pPr>
      <w:r>
        <w:rPr>
          <w:rStyle w:val="FootnoteReference"/>
        </w:rPr>
        <w:footnoteRef/>
      </w:r>
      <w:r>
        <w:tab/>
        <w:t xml:space="preserve">Predloga obrazca za dodatne informacije za priglasitev načrta ocenjevanja (del III.8) je na voljo tukaj: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FE3196" w:rsidRDefault="00FE319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FE1357"/>
    <w:multiLevelType w:val="hybridMultilevel"/>
    <w:tmpl w:val="529A3EFC"/>
    <w:lvl w:ilvl="0" w:tplc="B3123D2E">
      <w:start w:val="1"/>
      <w:numFmt w:val="decimal"/>
      <w:lvlText w:val="%1."/>
      <w:lvlJc w:val="left"/>
      <w:pPr>
        <w:ind w:left="720" w:hanging="360"/>
      </w:pPr>
      <w:rPr>
        <w:b w:val="0"/>
        <w:i w:val="0"/>
        <w:color w:val="auto"/>
        <w:sz w:val="24"/>
        <w:szCs w:val="24"/>
      </w:rPr>
    </w:lvl>
    <w:lvl w:ilvl="1" w:tplc="DCB0F0A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F79C3"/>
    <w:multiLevelType w:val="hybridMultilevel"/>
    <w:tmpl w:val="3DFA065E"/>
    <w:lvl w:ilvl="0" w:tplc="4404A89A">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D91AF3"/>
    <w:multiLevelType w:val="hybridMultilevel"/>
    <w:tmpl w:val="19181F4E"/>
    <w:lvl w:ilvl="0" w:tplc="4404A89A">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4A0C43"/>
    <w:multiLevelType w:val="hybridMultilevel"/>
    <w:tmpl w:val="BFCECFF2"/>
    <w:lvl w:ilvl="0" w:tplc="4404A89A">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AC54A0F"/>
    <w:multiLevelType w:val="hybridMultilevel"/>
    <w:tmpl w:val="BD82D786"/>
    <w:lvl w:ilvl="0" w:tplc="4404A89A">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C386B6E"/>
    <w:multiLevelType w:val="hybridMultilevel"/>
    <w:tmpl w:val="6494061C"/>
    <w:lvl w:ilvl="0" w:tplc="4404A89A">
      <w:start w:val="1"/>
      <w:numFmt w:val="lowerRoman"/>
      <w:lvlText w:val="(%1.)"/>
      <w:lvlJc w:val="right"/>
      <w:pPr>
        <w:ind w:left="1550" w:hanging="360"/>
      </w:pPr>
      <w:rPr>
        <w:rFonts w:ascii="Times New Roman" w:hAnsi="Times New Roman" w:hint="default"/>
        <w:b w:val="0"/>
        <w:i w:val="0"/>
        <w:sz w:val="24"/>
      </w:rPr>
    </w:lvl>
    <w:lvl w:ilvl="1" w:tplc="424CED92">
      <w:start w:val="1"/>
      <w:numFmt w:val="lowerLetter"/>
      <w:lvlText w:val="(%2)"/>
      <w:lvlJc w:val="left"/>
      <w:pPr>
        <w:ind w:left="2270" w:hanging="360"/>
      </w:pPr>
      <w:rPr>
        <w:rFonts w:hint="default"/>
      </w:rPr>
    </w:lvl>
    <w:lvl w:ilvl="2" w:tplc="B986DB0A">
      <w:start w:val="1"/>
      <w:numFmt w:val="bullet"/>
      <w:lvlText w:val="⸻"/>
      <w:lvlJc w:val="left"/>
      <w:pPr>
        <w:ind w:left="3170" w:hanging="360"/>
      </w:pPr>
      <w:rPr>
        <w:rFonts w:ascii="Times New Roman" w:eastAsia="Times New Roman" w:hAnsi="Times New Roman" w:cs="Times New Roman"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2"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131D73C0"/>
    <w:multiLevelType w:val="hybridMultilevel"/>
    <w:tmpl w:val="1916E0C2"/>
    <w:lvl w:ilvl="0" w:tplc="4404A89A">
      <w:start w:val="1"/>
      <w:numFmt w:val="lowerRoman"/>
      <w:lvlText w:val="(%1.)"/>
      <w:lvlJc w:val="righ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811731"/>
    <w:multiLevelType w:val="hybridMultilevel"/>
    <w:tmpl w:val="DA28C85A"/>
    <w:lvl w:ilvl="0" w:tplc="4404A89A">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C9201F"/>
    <w:multiLevelType w:val="hybridMultilevel"/>
    <w:tmpl w:val="F82AFC8A"/>
    <w:lvl w:ilvl="0" w:tplc="1809001B">
      <w:start w:val="1"/>
      <w:numFmt w:val="lowerRoman"/>
      <w:lvlText w:val="%1."/>
      <w:lvlJc w:val="righ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22E60F42"/>
    <w:multiLevelType w:val="hybridMultilevel"/>
    <w:tmpl w:val="7AF48910"/>
    <w:lvl w:ilvl="0" w:tplc="4404A89A">
      <w:start w:val="1"/>
      <w:numFmt w:val="lowerRoman"/>
      <w:lvlText w:val="(%1.)"/>
      <w:lvlJc w:val="right"/>
      <w:pPr>
        <w:ind w:left="1287" w:hanging="360"/>
      </w:pPr>
      <w:rPr>
        <w:rFonts w:ascii="Times New Roman" w:hAnsi="Times New Roman" w:hint="default"/>
        <w:b w:val="0"/>
        <w:i w:val="0"/>
        <w:sz w:val="24"/>
      </w:rPr>
    </w:lvl>
    <w:lvl w:ilvl="1" w:tplc="424CED92">
      <w:start w:val="1"/>
      <w:numFmt w:val="lowerLetter"/>
      <w:lvlText w:val="(%2)"/>
      <w:lvlJc w:val="left"/>
      <w:pPr>
        <w:ind w:left="2270"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3D96C73"/>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3"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56E1E08"/>
    <w:multiLevelType w:val="hybridMultilevel"/>
    <w:tmpl w:val="BE8C7D7E"/>
    <w:lvl w:ilvl="0" w:tplc="4404A89A">
      <w:start w:val="1"/>
      <w:numFmt w:val="lowerRoman"/>
      <w:lvlText w:val="(%1.)"/>
      <w:lvlJc w:val="right"/>
      <w:pPr>
        <w:ind w:left="1500" w:hanging="360"/>
      </w:pPr>
      <w:rPr>
        <w:rFonts w:ascii="Times New Roman" w:hAnsi="Times New Roman" w:hint="default"/>
        <w:b w:val="0"/>
        <w:i w:val="0"/>
        <w:sz w:val="24"/>
      </w:r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25" w15:restartNumberingAfterBreak="0">
    <w:nsid w:val="25DE71F7"/>
    <w:multiLevelType w:val="hybridMultilevel"/>
    <w:tmpl w:val="2EC6E9AE"/>
    <w:lvl w:ilvl="0" w:tplc="424CED92">
      <w:start w:val="1"/>
      <w:numFmt w:val="lowerLetter"/>
      <w:lvlText w:val="(%1)"/>
      <w:lvlJc w:val="left"/>
      <w:pPr>
        <w:ind w:left="2007"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2B981173"/>
    <w:multiLevelType w:val="hybridMultilevel"/>
    <w:tmpl w:val="390E4B74"/>
    <w:lvl w:ilvl="0" w:tplc="0A5CAF9C">
      <w:start w:val="1"/>
      <w:numFmt w:val="bullet"/>
      <w:lvlText w:val="•"/>
      <w:lvlJc w:val="left"/>
      <w:pPr>
        <w:tabs>
          <w:tab w:val="num" w:pos="720"/>
        </w:tabs>
        <w:ind w:left="720" w:hanging="360"/>
      </w:pPr>
      <w:rPr>
        <w:rFonts w:ascii="Arial" w:hAnsi="Arial" w:hint="default"/>
      </w:rPr>
    </w:lvl>
    <w:lvl w:ilvl="1" w:tplc="753AB0BC" w:tentative="1">
      <w:start w:val="1"/>
      <w:numFmt w:val="bullet"/>
      <w:lvlText w:val="•"/>
      <w:lvlJc w:val="left"/>
      <w:pPr>
        <w:tabs>
          <w:tab w:val="num" w:pos="1440"/>
        </w:tabs>
        <w:ind w:left="1440" w:hanging="360"/>
      </w:pPr>
      <w:rPr>
        <w:rFonts w:ascii="Arial" w:hAnsi="Arial" w:hint="default"/>
      </w:rPr>
    </w:lvl>
    <w:lvl w:ilvl="2" w:tplc="9AB8EFFC" w:tentative="1">
      <w:start w:val="1"/>
      <w:numFmt w:val="bullet"/>
      <w:lvlText w:val="•"/>
      <w:lvlJc w:val="left"/>
      <w:pPr>
        <w:tabs>
          <w:tab w:val="num" w:pos="2160"/>
        </w:tabs>
        <w:ind w:left="2160" w:hanging="360"/>
      </w:pPr>
      <w:rPr>
        <w:rFonts w:ascii="Arial" w:hAnsi="Arial" w:hint="default"/>
      </w:rPr>
    </w:lvl>
    <w:lvl w:ilvl="3" w:tplc="2D00E854" w:tentative="1">
      <w:start w:val="1"/>
      <w:numFmt w:val="bullet"/>
      <w:lvlText w:val="•"/>
      <w:lvlJc w:val="left"/>
      <w:pPr>
        <w:tabs>
          <w:tab w:val="num" w:pos="2880"/>
        </w:tabs>
        <w:ind w:left="2880" w:hanging="360"/>
      </w:pPr>
      <w:rPr>
        <w:rFonts w:ascii="Arial" w:hAnsi="Arial" w:hint="default"/>
      </w:rPr>
    </w:lvl>
    <w:lvl w:ilvl="4" w:tplc="63B485B6" w:tentative="1">
      <w:start w:val="1"/>
      <w:numFmt w:val="bullet"/>
      <w:lvlText w:val="•"/>
      <w:lvlJc w:val="left"/>
      <w:pPr>
        <w:tabs>
          <w:tab w:val="num" w:pos="3600"/>
        </w:tabs>
        <w:ind w:left="3600" w:hanging="360"/>
      </w:pPr>
      <w:rPr>
        <w:rFonts w:ascii="Arial" w:hAnsi="Arial" w:hint="default"/>
      </w:rPr>
    </w:lvl>
    <w:lvl w:ilvl="5" w:tplc="0E1C8F50" w:tentative="1">
      <w:start w:val="1"/>
      <w:numFmt w:val="bullet"/>
      <w:lvlText w:val="•"/>
      <w:lvlJc w:val="left"/>
      <w:pPr>
        <w:tabs>
          <w:tab w:val="num" w:pos="4320"/>
        </w:tabs>
        <w:ind w:left="4320" w:hanging="360"/>
      </w:pPr>
      <w:rPr>
        <w:rFonts w:ascii="Arial" w:hAnsi="Arial" w:hint="default"/>
      </w:rPr>
    </w:lvl>
    <w:lvl w:ilvl="6" w:tplc="85163942" w:tentative="1">
      <w:start w:val="1"/>
      <w:numFmt w:val="bullet"/>
      <w:lvlText w:val="•"/>
      <w:lvlJc w:val="left"/>
      <w:pPr>
        <w:tabs>
          <w:tab w:val="num" w:pos="5040"/>
        </w:tabs>
        <w:ind w:left="5040" w:hanging="360"/>
      </w:pPr>
      <w:rPr>
        <w:rFonts w:ascii="Arial" w:hAnsi="Arial" w:hint="default"/>
      </w:rPr>
    </w:lvl>
    <w:lvl w:ilvl="7" w:tplc="E9A86234" w:tentative="1">
      <w:start w:val="1"/>
      <w:numFmt w:val="bullet"/>
      <w:lvlText w:val="•"/>
      <w:lvlJc w:val="left"/>
      <w:pPr>
        <w:tabs>
          <w:tab w:val="num" w:pos="5760"/>
        </w:tabs>
        <w:ind w:left="5760" w:hanging="360"/>
      </w:pPr>
      <w:rPr>
        <w:rFonts w:ascii="Arial" w:hAnsi="Arial" w:hint="default"/>
      </w:rPr>
    </w:lvl>
    <w:lvl w:ilvl="8" w:tplc="0484BD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2D2A5DF9"/>
    <w:multiLevelType w:val="hybridMultilevel"/>
    <w:tmpl w:val="DEE8E53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9" w15:restartNumberingAfterBreak="0">
    <w:nsid w:val="312B69AE"/>
    <w:multiLevelType w:val="multilevel"/>
    <w:tmpl w:val="3966620A"/>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2875D8"/>
    <w:multiLevelType w:val="hybridMultilevel"/>
    <w:tmpl w:val="442A9438"/>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38490E6F"/>
    <w:multiLevelType w:val="hybridMultilevel"/>
    <w:tmpl w:val="B1243762"/>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3" w15:restartNumberingAfterBreak="0">
    <w:nsid w:val="3BD7593A"/>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B6C"/>
    <w:multiLevelType w:val="hybridMultilevel"/>
    <w:tmpl w:val="BCB2A9AE"/>
    <w:lvl w:ilvl="0" w:tplc="1809001B">
      <w:start w:val="1"/>
      <w:numFmt w:val="lowerRoman"/>
      <w:lvlText w:val="%1."/>
      <w:lvlJc w:val="right"/>
      <w:pPr>
        <w:ind w:left="1561" w:hanging="360"/>
      </w:pPr>
    </w:lvl>
    <w:lvl w:ilvl="1" w:tplc="18090019" w:tentative="1">
      <w:start w:val="1"/>
      <w:numFmt w:val="lowerLetter"/>
      <w:lvlText w:val="%2."/>
      <w:lvlJc w:val="left"/>
      <w:pPr>
        <w:ind w:left="2281" w:hanging="360"/>
      </w:pPr>
    </w:lvl>
    <w:lvl w:ilvl="2" w:tplc="1809001B" w:tentative="1">
      <w:start w:val="1"/>
      <w:numFmt w:val="lowerRoman"/>
      <w:lvlText w:val="%3."/>
      <w:lvlJc w:val="right"/>
      <w:pPr>
        <w:ind w:left="3001" w:hanging="180"/>
      </w:pPr>
    </w:lvl>
    <w:lvl w:ilvl="3" w:tplc="1809000F" w:tentative="1">
      <w:start w:val="1"/>
      <w:numFmt w:val="decimal"/>
      <w:lvlText w:val="%4."/>
      <w:lvlJc w:val="left"/>
      <w:pPr>
        <w:ind w:left="3721" w:hanging="360"/>
      </w:pPr>
    </w:lvl>
    <w:lvl w:ilvl="4" w:tplc="18090019" w:tentative="1">
      <w:start w:val="1"/>
      <w:numFmt w:val="lowerLetter"/>
      <w:lvlText w:val="%5."/>
      <w:lvlJc w:val="left"/>
      <w:pPr>
        <w:ind w:left="4441" w:hanging="360"/>
      </w:pPr>
    </w:lvl>
    <w:lvl w:ilvl="5" w:tplc="1809001B" w:tentative="1">
      <w:start w:val="1"/>
      <w:numFmt w:val="lowerRoman"/>
      <w:lvlText w:val="%6."/>
      <w:lvlJc w:val="right"/>
      <w:pPr>
        <w:ind w:left="5161" w:hanging="180"/>
      </w:pPr>
    </w:lvl>
    <w:lvl w:ilvl="6" w:tplc="1809000F" w:tentative="1">
      <w:start w:val="1"/>
      <w:numFmt w:val="decimal"/>
      <w:lvlText w:val="%7."/>
      <w:lvlJc w:val="left"/>
      <w:pPr>
        <w:ind w:left="5881" w:hanging="360"/>
      </w:pPr>
    </w:lvl>
    <w:lvl w:ilvl="7" w:tplc="18090019" w:tentative="1">
      <w:start w:val="1"/>
      <w:numFmt w:val="lowerLetter"/>
      <w:lvlText w:val="%8."/>
      <w:lvlJc w:val="left"/>
      <w:pPr>
        <w:ind w:left="6601" w:hanging="360"/>
      </w:pPr>
    </w:lvl>
    <w:lvl w:ilvl="8" w:tplc="1809001B" w:tentative="1">
      <w:start w:val="1"/>
      <w:numFmt w:val="lowerRoman"/>
      <w:lvlText w:val="%9."/>
      <w:lvlJc w:val="right"/>
      <w:pPr>
        <w:ind w:left="7321" w:hanging="180"/>
      </w:pPr>
    </w:lvl>
  </w:abstractNum>
  <w:abstractNum w:abstractNumId="3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3B239D1"/>
    <w:multiLevelType w:val="hybridMultilevel"/>
    <w:tmpl w:val="DDF21A08"/>
    <w:lvl w:ilvl="0" w:tplc="9B4884B4">
      <w:start w:val="43"/>
      <w:numFmt w:val="decimal"/>
      <w:lvlText w:val="%1."/>
      <w:lvlJc w:val="left"/>
      <w:pPr>
        <w:ind w:left="720" w:hanging="360"/>
      </w:pPr>
      <w:rPr>
        <w:rFonts w:hint="default"/>
        <w:b/>
        <w:i w:val="0"/>
      </w:rPr>
    </w:lvl>
    <w:lvl w:ilvl="1" w:tplc="4404A89A">
      <w:start w:val="1"/>
      <w:numFmt w:val="lowerRoman"/>
      <w:lvlText w:val="(%2.)"/>
      <w:lvlJc w:val="right"/>
      <w:pPr>
        <w:ind w:left="150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2B739F"/>
    <w:multiLevelType w:val="hybridMultilevel"/>
    <w:tmpl w:val="FCA03498"/>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44606C59"/>
    <w:multiLevelType w:val="hybridMultilevel"/>
    <w:tmpl w:val="5FC8F6BE"/>
    <w:lvl w:ilvl="0" w:tplc="4404A89A">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7F62D5"/>
    <w:multiLevelType w:val="hybridMultilevel"/>
    <w:tmpl w:val="774E484A"/>
    <w:lvl w:ilvl="0" w:tplc="4404A89A">
      <w:start w:val="1"/>
      <w:numFmt w:val="lowerRoman"/>
      <w:lvlText w:val="(%1.)"/>
      <w:lvlJc w:val="right"/>
      <w:pPr>
        <w:ind w:left="1440" w:hanging="360"/>
      </w:pPr>
      <w:rPr>
        <w:rFonts w:ascii="Times New Roman" w:hAnsi="Times New Roman" w:hint="default"/>
        <w:b w:val="0"/>
        <w:i w:val="0"/>
        <w:sz w:val="24"/>
      </w:rPr>
    </w:lvl>
    <w:lvl w:ilvl="1" w:tplc="424CED92">
      <w:start w:val="1"/>
      <w:numFmt w:val="lowerLetter"/>
      <w:lvlText w:val="(%2)"/>
      <w:lvlJc w:val="left"/>
      <w:pPr>
        <w:ind w:left="2007"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7710182"/>
    <w:multiLevelType w:val="hybridMultilevel"/>
    <w:tmpl w:val="E638B9D0"/>
    <w:lvl w:ilvl="0" w:tplc="4404A89A">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FE60392"/>
    <w:multiLevelType w:val="hybridMultilevel"/>
    <w:tmpl w:val="1A348B6C"/>
    <w:lvl w:ilvl="0" w:tplc="4404A89A">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45" w15:restartNumberingAfterBreak="0">
    <w:nsid w:val="520554EB"/>
    <w:multiLevelType w:val="hybridMultilevel"/>
    <w:tmpl w:val="0602FE96"/>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A17182"/>
    <w:multiLevelType w:val="hybridMultilevel"/>
    <w:tmpl w:val="8CC4C880"/>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174D36"/>
    <w:multiLevelType w:val="hybridMultilevel"/>
    <w:tmpl w:val="8CF8A510"/>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2" w15:restartNumberingAfterBreak="0">
    <w:nsid w:val="66A63355"/>
    <w:multiLevelType w:val="hybridMultilevel"/>
    <w:tmpl w:val="FDBE1D26"/>
    <w:lvl w:ilvl="0" w:tplc="82A46EEA">
      <w:start w:val="1"/>
      <w:numFmt w:val="decimal"/>
      <w:lvlText w:val="%1."/>
      <w:lvlJc w:val="left"/>
      <w:pPr>
        <w:ind w:left="786" w:hanging="360"/>
      </w:pPr>
      <w:rPr>
        <w:rFonts w:hint="default"/>
        <w:b/>
        <w:i w:val="0"/>
      </w:rPr>
    </w:lvl>
    <w:lvl w:ilvl="1" w:tplc="CBB2EC0A">
      <w:start w:val="1"/>
      <w:numFmt w:val="lowerRoman"/>
      <w:lvlText w:val="%2."/>
      <w:lvlJc w:val="left"/>
      <w:pPr>
        <w:ind w:left="1069"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6" w15:restartNumberingAfterBreak="0">
    <w:nsid w:val="700B2C1F"/>
    <w:multiLevelType w:val="hybridMultilevel"/>
    <w:tmpl w:val="B58C5082"/>
    <w:lvl w:ilvl="0" w:tplc="4404A89A">
      <w:start w:val="1"/>
      <w:numFmt w:val="lowerRoman"/>
      <w:lvlText w:val="(%1.)"/>
      <w:lvlJc w:val="right"/>
      <w:pPr>
        <w:ind w:left="1080" w:hanging="360"/>
      </w:pPr>
      <w:rPr>
        <w:rFonts w:ascii="Times New Roman" w:hAnsi="Times New Roman" w:hint="default"/>
        <w:b w:val="0"/>
        <w:i w:val="0"/>
        <w:sz w:val="24"/>
      </w:r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abstractNum w:abstractNumId="57" w15:restartNumberingAfterBreak="0">
    <w:nsid w:val="70BA71A1"/>
    <w:multiLevelType w:val="hybridMultilevel"/>
    <w:tmpl w:val="AF32BA60"/>
    <w:lvl w:ilvl="0" w:tplc="FFFFFFFF">
      <w:start w:val="1"/>
      <w:numFmt w:val="lowerRoman"/>
      <w:lvlText w:val="%1."/>
      <w:lvlJc w:val="left"/>
      <w:pPr>
        <w:ind w:left="1287" w:hanging="360"/>
      </w:pPr>
      <w:rPr>
        <w:rFonts w:ascii="Times New Roman" w:hAnsi="Times New Roman" w:hint="default"/>
        <w:b w:val="0"/>
        <w:i w:val="0"/>
        <w:sz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8" w15:restartNumberingAfterBreak="0">
    <w:nsid w:val="70D90C7B"/>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7C075C"/>
    <w:multiLevelType w:val="hybridMultilevel"/>
    <w:tmpl w:val="D7D0EE30"/>
    <w:lvl w:ilvl="0" w:tplc="4404A89A">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1" w15:restartNumberingAfterBreak="0">
    <w:nsid w:val="7FD43F92"/>
    <w:multiLevelType w:val="hybridMultilevel"/>
    <w:tmpl w:val="EB1AF05C"/>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64288736">
    <w:abstractNumId w:val="15"/>
  </w:num>
  <w:num w:numId="2" w16cid:durableId="1901403762">
    <w:abstractNumId w:val="18"/>
  </w:num>
  <w:num w:numId="3" w16cid:durableId="7936028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3892">
    <w:abstractNumId w:val="52"/>
  </w:num>
  <w:num w:numId="5" w16cid:durableId="1426266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391809">
    <w:abstractNumId w:val="32"/>
  </w:num>
  <w:num w:numId="7" w16cid:durableId="1629311869">
    <w:abstractNumId w:val="27"/>
  </w:num>
  <w:num w:numId="8" w16cid:durableId="2014868290">
    <w:abstractNumId w:val="14"/>
  </w:num>
  <w:num w:numId="9" w16cid:durableId="1142691522">
    <w:abstractNumId w:val="11"/>
  </w:num>
  <w:num w:numId="10" w16cid:durableId="1809585525">
    <w:abstractNumId w:val="50"/>
  </w:num>
  <w:num w:numId="11" w16cid:durableId="1281380101">
    <w:abstractNumId w:val="53"/>
  </w:num>
  <w:num w:numId="12" w16cid:durableId="1450395249">
    <w:abstractNumId w:val="51"/>
  </w:num>
  <w:num w:numId="13" w16cid:durableId="1598516083">
    <w:abstractNumId w:val="55"/>
  </w:num>
  <w:num w:numId="14" w16cid:durableId="1565531281">
    <w:abstractNumId w:val="22"/>
  </w:num>
  <w:num w:numId="15" w16cid:durableId="1599171890">
    <w:abstractNumId w:val="39"/>
  </w:num>
  <w:num w:numId="16" w16cid:durableId="75826715">
    <w:abstractNumId w:val="7"/>
  </w:num>
  <w:num w:numId="17" w16cid:durableId="1903129642">
    <w:abstractNumId w:val="43"/>
  </w:num>
  <w:num w:numId="18" w16cid:durableId="2090612230">
    <w:abstractNumId w:val="1"/>
  </w:num>
  <w:num w:numId="19" w16cid:durableId="431164181">
    <w:abstractNumId w:val="0"/>
  </w:num>
  <w:num w:numId="20" w16cid:durableId="621501060">
    <w:abstractNumId w:val="46"/>
  </w:num>
  <w:num w:numId="21" w16cid:durableId="595409164">
    <w:abstractNumId w:val="5"/>
  </w:num>
  <w:num w:numId="22" w16cid:durableId="1866480976">
    <w:abstractNumId w:val="9"/>
  </w:num>
  <w:num w:numId="23" w16cid:durableId="241063518">
    <w:abstractNumId w:val="20"/>
  </w:num>
  <w:num w:numId="24" w16cid:durableId="722796745">
    <w:abstractNumId w:val="29"/>
  </w:num>
  <w:num w:numId="25" w16cid:durableId="306739339">
    <w:abstractNumId w:val="23"/>
  </w:num>
  <w:num w:numId="26" w16cid:durableId="1256939364">
    <w:abstractNumId w:val="48"/>
  </w:num>
  <w:num w:numId="27" w16cid:durableId="1976174197">
    <w:abstractNumId w:val="2"/>
  </w:num>
  <w:num w:numId="28" w16cid:durableId="565990862">
    <w:abstractNumId w:val="17"/>
  </w:num>
  <w:num w:numId="29" w16cid:durableId="818764912">
    <w:abstractNumId w:val="54"/>
  </w:num>
  <w:num w:numId="30" w16cid:durableId="1394347601">
    <w:abstractNumId w:val="59"/>
  </w:num>
  <w:num w:numId="31" w16cid:durableId="125856751">
    <w:abstractNumId w:val="12"/>
  </w:num>
  <w:num w:numId="32" w16cid:durableId="1194076316">
    <w:abstractNumId w:val="8"/>
  </w:num>
  <w:num w:numId="33" w16cid:durableId="12998362">
    <w:abstractNumId w:val="36"/>
  </w:num>
  <w:num w:numId="34" w16cid:durableId="324473520">
    <w:abstractNumId w:val="56"/>
  </w:num>
  <w:num w:numId="35" w16cid:durableId="1069619285">
    <w:abstractNumId w:val="56"/>
  </w:num>
  <w:num w:numId="36" w16cid:durableId="804276655">
    <w:abstractNumId w:val="28"/>
  </w:num>
  <w:num w:numId="37" w16cid:durableId="426851395">
    <w:abstractNumId w:val="34"/>
  </w:num>
  <w:num w:numId="38" w16cid:durableId="1291087716">
    <w:abstractNumId w:val="44"/>
  </w:num>
  <w:num w:numId="39" w16cid:durableId="879049738">
    <w:abstractNumId w:val="21"/>
  </w:num>
  <w:num w:numId="40" w16cid:durableId="1291012676">
    <w:abstractNumId w:val="3"/>
  </w:num>
  <w:num w:numId="41" w16cid:durableId="1179075975">
    <w:abstractNumId w:val="24"/>
  </w:num>
  <w:num w:numId="42" w16cid:durableId="914127830">
    <w:abstractNumId w:val="33"/>
  </w:num>
  <w:num w:numId="43" w16cid:durableId="325981968">
    <w:abstractNumId w:val="60"/>
  </w:num>
  <w:num w:numId="44" w16cid:durableId="400449354">
    <w:abstractNumId w:val="10"/>
  </w:num>
  <w:num w:numId="45" w16cid:durableId="1078094331">
    <w:abstractNumId w:val="19"/>
  </w:num>
  <w:num w:numId="46" w16cid:durableId="285435528">
    <w:abstractNumId w:val="30"/>
  </w:num>
  <w:num w:numId="47" w16cid:durableId="1659187236">
    <w:abstractNumId w:val="13"/>
  </w:num>
  <w:num w:numId="48" w16cid:durableId="100295854">
    <w:abstractNumId w:val="58"/>
  </w:num>
  <w:num w:numId="49" w16cid:durableId="1387685173">
    <w:abstractNumId w:val="49"/>
  </w:num>
  <w:num w:numId="50" w16cid:durableId="1251507302">
    <w:abstractNumId w:val="25"/>
  </w:num>
  <w:num w:numId="51" w16cid:durableId="1369523919">
    <w:abstractNumId w:val="40"/>
  </w:num>
  <w:num w:numId="52" w16cid:durableId="2073697349">
    <w:abstractNumId w:val="42"/>
  </w:num>
  <w:num w:numId="53" w16cid:durableId="341126190">
    <w:abstractNumId w:val="6"/>
  </w:num>
  <w:num w:numId="54" w16cid:durableId="270551510">
    <w:abstractNumId w:val="57"/>
  </w:num>
  <w:num w:numId="55" w16cid:durableId="875234966">
    <w:abstractNumId w:val="45"/>
  </w:num>
  <w:num w:numId="56" w16cid:durableId="1025329894">
    <w:abstractNumId w:val="26"/>
  </w:num>
  <w:num w:numId="57" w16cid:durableId="1353653561">
    <w:abstractNumId w:val="37"/>
  </w:num>
  <w:num w:numId="58" w16cid:durableId="600140453">
    <w:abstractNumId w:val="61"/>
  </w:num>
  <w:num w:numId="59" w16cid:durableId="1714843676">
    <w:abstractNumId w:val="31"/>
  </w:num>
  <w:num w:numId="60" w16cid:durableId="1576359169">
    <w:abstractNumId w:val="47"/>
  </w:num>
  <w:num w:numId="61" w16cid:durableId="74594250">
    <w:abstractNumId w:val="38"/>
  </w:num>
  <w:num w:numId="62" w16cid:durableId="1355302933">
    <w:abstractNumId w:val="16"/>
  </w:num>
  <w:num w:numId="63" w16cid:durableId="1731224175">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378"/>
    <w:rsid w:val="0000461B"/>
    <w:rsid w:val="00004DA7"/>
    <w:rsid w:val="00011908"/>
    <w:rsid w:val="0001211F"/>
    <w:rsid w:val="00012F14"/>
    <w:rsid w:val="00015204"/>
    <w:rsid w:val="00015E2B"/>
    <w:rsid w:val="00016884"/>
    <w:rsid w:val="00016924"/>
    <w:rsid w:val="00020ECB"/>
    <w:rsid w:val="0002251B"/>
    <w:rsid w:val="000236B2"/>
    <w:rsid w:val="00026DCF"/>
    <w:rsid w:val="00030283"/>
    <w:rsid w:val="000314D8"/>
    <w:rsid w:val="00033005"/>
    <w:rsid w:val="00034704"/>
    <w:rsid w:val="000369C2"/>
    <w:rsid w:val="000405D3"/>
    <w:rsid w:val="00041455"/>
    <w:rsid w:val="00042D7B"/>
    <w:rsid w:val="0004325C"/>
    <w:rsid w:val="000442F5"/>
    <w:rsid w:val="0004464A"/>
    <w:rsid w:val="0004513C"/>
    <w:rsid w:val="000456D8"/>
    <w:rsid w:val="00050EB9"/>
    <w:rsid w:val="00051090"/>
    <w:rsid w:val="000531F9"/>
    <w:rsid w:val="00054C3D"/>
    <w:rsid w:val="00054C7D"/>
    <w:rsid w:val="00055122"/>
    <w:rsid w:val="000575C3"/>
    <w:rsid w:val="00062608"/>
    <w:rsid w:val="00063EA3"/>
    <w:rsid w:val="00067138"/>
    <w:rsid w:val="0006798B"/>
    <w:rsid w:val="00074701"/>
    <w:rsid w:val="00075E12"/>
    <w:rsid w:val="00082E97"/>
    <w:rsid w:val="00086F20"/>
    <w:rsid w:val="000A055E"/>
    <w:rsid w:val="000A1671"/>
    <w:rsid w:val="000A276B"/>
    <w:rsid w:val="000A5825"/>
    <w:rsid w:val="000A5C13"/>
    <w:rsid w:val="000B0AAF"/>
    <w:rsid w:val="000B1BDB"/>
    <w:rsid w:val="000B4557"/>
    <w:rsid w:val="000B46CA"/>
    <w:rsid w:val="000C135B"/>
    <w:rsid w:val="000C2EFD"/>
    <w:rsid w:val="000C3517"/>
    <w:rsid w:val="000C614B"/>
    <w:rsid w:val="000C64AD"/>
    <w:rsid w:val="000D2305"/>
    <w:rsid w:val="000D23DD"/>
    <w:rsid w:val="000D3C54"/>
    <w:rsid w:val="000D7371"/>
    <w:rsid w:val="000E17B5"/>
    <w:rsid w:val="000E630D"/>
    <w:rsid w:val="000E669F"/>
    <w:rsid w:val="000E7DFF"/>
    <w:rsid w:val="000F176E"/>
    <w:rsid w:val="000F7DBD"/>
    <w:rsid w:val="00100464"/>
    <w:rsid w:val="00102684"/>
    <w:rsid w:val="00102E32"/>
    <w:rsid w:val="00105CC5"/>
    <w:rsid w:val="00115C85"/>
    <w:rsid w:val="001169CB"/>
    <w:rsid w:val="00117269"/>
    <w:rsid w:val="00117CBD"/>
    <w:rsid w:val="00120336"/>
    <w:rsid w:val="0012340C"/>
    <w:rsid w:val="00124329"/>
    <w:rsid w:val="00124B6F"/>
    <w:rsid w:val="00125122"/>
    <w:rsid w:val="00126334"/>
    <w:rsid w:val="00135465"/>
    <w:rsid w:val="001368AC"/>
    <w:rsid w:val="0013791D"/>
    <w:rsid w:val="00137C03"/>
    <w:rsid w:val="00140522"/>
    <w:rsid w:val="00142173"/>
    <w:rsid w:val="00142B91"/>
    <w:rsid w:val="00143ABF"/>
    <w:rsid w:val="00144C96"/>
    <w:rsid w:val="00146BEA"/>
    <w:rsid w:val="001474B5"/>
    <w:rsid w:val="001522E4"/>
    <w:rsid w:val="0015340B"/>
    <w:rsid w:val="001548B6"/>
    <w:rsid w:val="001555F0"/>
    <w:rsid w:val="001620DB"/>
    <w:rsid w:val="001622D8"/>
    <w:rsid w:val="00164ADE"/>
    <w:rsid w:val="0016750C"/>
    <w:rsid w:val="00170FBF"/>
    <w:rsid w:val="0017251B"/>
    <w:rsid w:val="00173E14"/>
    <w:rsid w:val="001759B4"/>
    <w:rsid w:val="00175C89"/>
    <w:rsid w:val="0017744F"/>
    <w:rsid w:val="00181BB0"/>
    <w:rsid w:val="0018463C"/>
    <w:rsid w:val="001874A6"/>
    <w:rsid w:val="00191564"/>
    <w:rsid w:val="00192CAA"/>
    <w:rsid w:val="00193E48"/>
    <w:rsid w:val="00196847"/>
    <w:rsid w:val="00197CE8"/>
    <w:rsid w:val="001A4038"/>
    <w:rsid w:val="001A7BBF"/>
    <w:rsid w:val="001A7CAC"/>
    <w:rsid w:val="001B0D9B"/>
    <w:rsid w:val="001B645C"/>
    <w:rsid w:val="001B6590"/>
    <w:rsid w:val="001B6DD1"/>
    <w:rsid w:val="001C27EF"/>
    <w:rsid w:val="001C4D88"/>
    <w:rsid w:val="001C5A50"/>
    <w:rsid w:val="001C7129"/>
    <w:rsid w:val="001D3382"/>
    <w:rsid w:val="001D57C9"/>
    <w:rsid w:val="001D69A5"/>
    <w:rsid w:val="001D7EE4"/>
    <w:rsid w:val="001E6859"/>
    <w:rsid w:val="001E7288"/>
    <w:rsid w:val="001F17A4"/>
    <w:rsid w:val="001F56DC"/>
    <w:rsid w:val="001F75B2"/>
    <w:rsid w:val="001F7806"/>
    <w:rsid w:val="0020109B"/>
    <w:rsid w:val="0020702F"/>
    <w:rsid w:val="0020770B"/>
    <w:rsid w:val="00207D52"/>
    <w:rsid w:val="00210BE0"/>
    <w:rsid w:val="00211A92"/>
    <w:rsid w:val="0021220C"/>
    <w:rsid w:val="0022129E"/>
    <w:rsid w:val="00222274"/>
    <w:rsid w:val="0022598D"/>
    <w:rsid w:val="00230614"/>
    <w:rsid w:val="0023543E"/>
    <w:rsid w:val="00235A26"/>
    <w:rsid w:val="00241C49"/>
    <w:rsid w:val="00243597"/>
    <w:rsid w:val="002464D3"/>
    <w:rsid w:val="00250081"/>
    <w:rsid w:val="00250481"/>
    <w:rsid w:val="0025374D"/>
    <w:rsid w:val="002565B7"/>
    <w:rsid w:val="00256F72"/>
    <w:rsid w:val="00263A65"/>
    <w:rsid w:val="00264FE6"/>
    <w:rsid w:val="00265702"/>
    <w:rsid w:val="00266A7C"/>
    <w:rsid w:val="00270917"/>
    <w:rsid w:val="002727F7"/>
    <w:rsid w:val="00276E40"/>
    <w:rsid w:val="00277BC0"/>
    <w:rsid w:val="00280D61"/>
    <w:rsid w:val="00284ADA"/>
    <w:rsid w:val="0029002E"/>
    <w:rsid w:val="00290805"/>
    <w:rsid w:val="0029110A"/>
    <w:rsid w:val="00291ACC"/>
    <w:rsid w:val="002928CD"/>
    <w:rsid w:val="00293076"/>
    <w:rsid w:val="002933E1"/>
    <w:rsid w:val="00295028"/>
    <w:rsid w:val="00295065"/>
    <w:rsid w:val="00295C90"/>
    <w:rsid w:val="0029714D"/>
    <w:rsid w:val="002A11D4"/>
    <w:rsid w:val="002A2303"/>
    <w:rsid w:val="002A3B51"/>
    <w:rsid w:val="002A78C7"/>
    <w:rsid w:val="002B0498"/>
    <w:rsid w:val="002B0F24"/>
    <w:rsid w:val="002B2963"/>
    <w:rsid w:val="002B4509"/>
    <w:rsid w:val="002B52B3"/>
    <w:rsid w:val="002B535F"/>
    <w:rsid w:val="002B6C22"/>
    <w:rsid w:val="002B70C6"/>
    <w:rsid w:val="002C0264"/>
    <w:rsid w:val="002C1559"/>
    <w:rsid w:val="002C1B62"/>
    <w:rsid w:val="002C4CEE"/>
    <w:rsid w:val="002C6636"/>
    <w:rsid w:val="002C6BE5"/>
    <w:rsid w:val="002C6CA8"/>
    <w:rsid w:val="002D014F"/>
    <w:rsid w:val="002D3277"/>
    <w:rsid w:val="002D67D0"/>
    <w:rsid w:val="002D6F97"/>
    <w:rsid w:val="002E10AC"/>
    <w:rsid w:val="002E1B91"/>
    <w:rsid w:val="002F16BD"/>
    <w:rsid w:val="002F4845"/>
    <w:rsid w:val="002F4F73"/>
    <w:rsid w:val="00300062"/>
    <w:rsid w:val="0030040A"/>
    <w:rsid w:val="00302B19"/>
    <w:rsid w:val="003030FB"/>
    <w:rsid w:val="00304535"/>
    <w:rsid w:val="00305DC0"/>
    <w:rsid w:val="00307FC7"/>
    <w:rsid w:val="00312A8F"/>
    <w:rsid w:val="00313947"/>
    <w:rsid w:val="003151F7"/>
    <w:rsid w:val="003160CC"/>
    <w:rsid w:val="00321874"/>
    <w:rsid w:val="00324224"/>
    <w:rsid w:val="00324F09"/>
    <w:rsid w:val="00325713"/>
    <w:rsid w:val="00326F40"/>
    <w:rsid w:val="00327439"/>
    <w:rsid w:val="00327D3C"/>
    <w:rsid w:val="003342BE"/>
    <w:rsid w:val="003358B3"/>
    <w:rsid w:val="00336A87"/>
    <w:rsid w:val="00341C6B"/>
    <w:rsid w:val="00343948"/>
    <w:rsid w:val="00345523"/>
    <w:rsid w:val="003458AA"/>
    <w:rsid w:val="00346146"/>
    <w:rsid w:val="003469DB"/>
    <w:rsid w:val="00354B4F"/>
    <w:rsid w:val="00355ECB"/>
    <w:rsid w:val="0036160C"/>
    <w:rsid w:val="0036238A"/>
    <w:rsid w:val="0036428C"/>
    <w:rsid w:val="00364FC0"/>
    <w:rsid w:val="003653B6"/>
    <w:rsid w:val="003664A8"/>
    <w:rsid w:val="00372914"/>
    <w:rsid w:val="00373272"/>
    <w:rsid w:val="00374DC2"/>
    <w:rsid w:val="00374F76"/>
    <w:rsid w:val="003764EE"/>
    <w:rsid w:val="003765A5"/>
    <w:rsid w:val="00384B34"/>
    <w:rsid w:val="00385633"/>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4EB8"/>
    <w:rsid w:val="003E2897"/>
    <w:rsid w:val="003E4266"/>
    <w:rsid w:val="003E454B"/>
    <w:rsid w:val="003E6E6B"/>
    <w:rsid w:val="003F629D"/>
    <w:rsid w:val="00403BCE"/>
    <w:rsid w:val="00405732"/>
    <w:rsid w:val="004065A8"/>
    <w:rsid w:val="00407C0A"/>
    <w:rsid w:val="00411A2F"/>
    <w:rsid w:val="004133BD"/>
    <w:rsid w:val="004152C3"/>
    <w:rsid w:val="00415614"/>
    <w:rsid w:val="004165E0"/>
    <w:rsid w:val="00416D76"/>
    <w:rsid w:val="00421F63"/>
    <w:rsid w:val="004261E0"/>
    <w:rsid w:val="00427762"/>
    <w:rsid w:val="00431D32"/>
    <w:rsid w:val="00432738"/>
    <w:rsid w:val="0043413B"/>
    <w:rsid w:val="00435C49"/>
    <w:rsid w:val="00441F0B"/>
    <w:rsid w:val="0044249A"/>
    <w:rsid w:val="00445F48"/>
    <w:rsid w:val="004473F5"/>
    <w:rsid w:val="00447EAC"/>
    <w:rsid w:val="004525DA"/>
    <w:rsid w:val="00452F5A"/>
    <w:rsid w:val="004556D2"/>
    <w:rsid w:val="00457D2B"/>
    <w:rsid w:val="00470AF2"/>
    <w:rsid w:val="00470D98"/>
    <w:rsid w:val="00471B74"/>
    <w:rsid w:val="00473E7F"/>
    <w:rsid w:val="004755F4"/>
    <w:rsid w:val="004776A4"/>
    <w:rsid w:val="0048026D"/>
    <w:rsid w:val="004810CA"/>
    <w:rsid w:val="00483882"/>
    <w:rsid w:val="00484374"/>
    <w:rsid w:val="00497548"/>
    <w:rsid w:val="00497669"/>
    <w:rsid w:val="004B0C34"/>
    <w:rsid w:val="004B10B5"/>
    <w:rsid w:val="004B2A42"/>
    <w:rsid w:val="004B2EF3"/>
    <w:rsid w:val="004B4A25"/>
    <w:rsid w:val="004B5C2A"/>
    <w:rsid w:val="004B74BC"/>
    <w:rsid w:val="004C0064"/>
    <w:rsid w:val="004C1FBF"/>
    <w:rsid w:val="004D061A"/>
    <w:rsid w:val="004D1161"/>
    <w:rsid w:val="004D14A6"/>
    <w:rsid w:val="004D34AD"/>
    <w:rsid w:val="004D6830"/>
    <w:rsid w:val="004D6B12"/>
    <w:rsid w:val="004D718B"/>
    <w:rsid w:val="004E0647"/>
    <w:rsid w:val="004E1CCE"/>
    <w:rsid w:val="004F16F9"/>
    <w:rsid w:val="004F192A"/>
    <w:rsid w:val="004F1FC4"/>
    <w:rsid w:val="004F64BC"/>
    <w:rsid w:val="004F668D"/>
    <w:rsid w:val="005003AE"/>
    <w:rsid w:val="00501DBF"/>
    <w:rsid w:val="0050219C"/>
    <w:rsid w:val="005021C4"/>
    <w:rsid w:val="00502FC2"/>
    <w:rsid w:val="005039EF"/>
    <w:rsid w:val="00503FD6"/>
    <w:rsid w:val="00504F2E"/>
    <w:rsid w:val="00507D75"/>
    <w:rsid w:val="005105A1"/>
    <w:rsid w:val="0051165C"/>
    <w:rsid w:val="00512A31"/>
    <w:rsid w:val="0051324D"/>
    <w:rsid w:val="00514375"/>
    <w:rsid w:val="00520368"/>
    <w:rsid w:val="00523E17"/>
    <w:rsid w:val="00526607"/>
    <w:rsid w:val="00526ADF"/>
    <w:rsid w:val="00526E16"/>
    <w:rsid w:val="0053006D"/>
    <w:rsid w:val="00531803"/>
    <w:rsid w:val="005333AD"/>
    <w:rsid w:val="00533AE4"/>
    <w:rsid w:val="0054037E"/>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1EE0"/>
    <w:rsid w:val="00592A5F"/>
    <w:rsid w:val="005A2000"/>
    <w:rsid w:val="005A295A"/>
    <w:rsid w:val="005A370E"/>
    <w:rsid w:val="005A412F"/>
    <w:rsid w:val="005A4D83"/>
    <w:rsid w:val="005A4E16"/>
    <w:rsid w:val="005B1A69"/>
    <w:rsid w:val="005B2B50"/>
    <w:rsid w:val="005B2FED"/>
    <w:rsid w:val="005B40D5"/>
    <w:rsid w:val="005B7DF0"/>
    <w:rsid w:val="005C0DBD"/>
    <w:rsid w:val="005C2ABA"/>
    <w:rsid w:val="005C5481"/>
    <w:rsid w:val="005C6138"/>
    <w:rsid w:val="005C6594"/>
    <w:rsid w:val="005C7B32"/>
    <w:rsid w:val="005D105E"/>
    <w:rsid w:val="005E0688"/>
    <w:rsid w:val="005E3625"/>
    <w:rsid w:val="005F0397"/>
    <w:rsid w:val="005F0E0A"/>
    <w:rsid w:val="005F4A56"/>
    <w:rsid w:val="005F6E6B"/>
    <w:rsid w:val="00606D3F"/>
    <w:rsid w:val="00611562"/>
    <w:rsid w:val="00612783"/>
    <w:rsid w:val="00613560"/>
    <w:rsid w:val="0061499B"/>
    <w:rsid w:val="00615130"/>
    <w:rsid w:val="006209FA"/>
    <w:rsid w:val="00622E98"/>
    <w:rsid w:val="00624493"/>
    <w:rsid w:val="00626791"/>
    <w:rsid w:val="00627715"/>
    <w:rsid w:val="00633726"/>
    <w:rsid w:val="00633A78"/>
    <w:rsid w:val="0064082D"/>
    <w:rsid w:val="006445C3"/>
    <w:rsid w:val="00644950"/>
    <w:rsid w:val="006461A6"/>
    <w:rsid w:val="00660F14"/>
    <w:rsid w:val="00663008"/>
    <w:rsid w:val="00663F9A"/>
    <w:rsid w:val="00665B4F"/>
    <w:rsid w:val="006668D8"/>
    <w:rsid w:val="00671053"/>
    <w:rsid w:val="0067348B"/>
    <w:rsid w:val="006773CE"/>
    <w:rsid w:val="00677805"/>
    <w:rsid w:val="00677E67"/>
    <w:rsid w:val="0068024A"/>
    <w:rsid w:val="006813BD"/>
    <w:rsid w:val="00686963"/>
    <w:rsid w:val="006906AE"/>
    <w:rsid w:val="00697188"/>
    <w:rsid w:val="00697BDC"/>
    <w:rsid w:val="006B0930"/>
    <w:rsid w:val="006B1712"/>
    <w:rsid w:val="006B2D40"/>
    <w:rsid w:val="006B59A2"/>
    <w:rsid w:val="006B6657"/>
    <w:rsid w:val="006B7161"/>
    <w:rsid w:val="006C5CF1"/>
    <w:rsid w:val="006D10E1"/>
    <w:rsid w:val="006D38D6"/>
    <w:rsid w:val="006D6281"/>
    <w:rsid w:val="006D6AED"/>
    <w:rsid w:val="006E34F7"/>
    <w:rsid w:val="006E59A1"/>
    <w:rsid w:val="006F1F2E"/>
    <w:rsid w:val="006F217F"/>
    <w:rsid w:val="006F256F"/>
    <w:rsid w:val="006F2898"/>
    <w:rsid w:val="006F4C55"/>
    <w:rsid w:val="006F55B6"/>
    <w:rsid w:val="006F666A"/>
    <w:rsid w:val="007019E7"/>
    <w:rsid w:val="00701D5B"/>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22A3"/>
    <w:rsid w:val="00734FD0"/>
    <w:rsid w:val="007415FC"/>
    <w:rsid w:val="00741A7A"/>
    <w:rsid w:val="00741C93"/>
    <w:rsid w:val="00744840"/>
    <w:rsid w:val="00745B62"/>
    <w:rsid w:val="0074772E"/>
    <w:rsid w:val="00750C29"/>
    <w:rsid w:val="00752850"/>
    <w:rsid w:val="00753463"/>
    <w:rsid w:val="00753B93"/>
    <w:rsid w:val="00754C35"/>
    <w:rsid w:val="0075622E"/>
    <w:rsid w:val="007629B8"/>
    <w:rsid w:val="00762E7A"/>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A39"/>
    <w:rsid w:val="007B7B48"/>
    <w:rsid w:val="007C0A44"/>
    <w:rsid w:val="007C0C88"/>
    <w:rsid w:val="007C158E"/>
    <w:rsid w:val="007C240B"/>
    <w:rsid w:val="007C2757"/>
    <w:rsid w:val="007C4E0C"/>
    <w:rsid w:val="007C69A7"/>
    <w:rsid w:val="007C72F6"/>
    <w:rsid w:val="007D1561"/>
    <w:rsid w:val="007D1E08"/>
    <w:rsid w:val="007D3544"/>
    <w:rsid w:val="007D3768"/>
    <w:rsid w:val="007D3C86"/>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183F"/>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3DBA"/>
    <w:rsid w:val="00846B27"/>
    <w:rsid w:val="00846CE7"/>
    <w:rsid w:val="008515FB"/>
    <w:rsid w:val="0085208E"/>
    <w:rsid w:val="00853AC4"/>
    <w:rsid w:val="00855B10"/>
    <w:rsid w:val="00860FF1"/>
    <w:rsid w:val="008618B1"/>
    <w:rsid w:val="00861D9F"/>
    <w:rsid w:val="00863406"/>
    <w:rsid w:val="00863626"/>
    <w:rsid w:val="00864DCD"/>
    <w:rsid w:val="00865A9D"/>
    <w:rsid w:val="00865FFC"/>
    <w:rsid w:val="00866C66"/>
    <w:rsid w:val="008674C0"/>
    <w:rsid w:val="00870C6A"/>
    <w:rsid w:val="008806FA"/>
    <w:rsid w:val="008828D4"/>
    <w:rsid w:val="008848B5"/>
    <w:rsid w:val="008861D9"/>
    <w:rsid w:val="00890F0D"/>
    <w:rsid w:val="008948A5"/>
    <w:rsid w:val="00897919"/>
    <w:rsid w:val="008A18BC"/>
    <w:rsid w:val="008A3CB7"/>
    <w:rsid w:val="008A559D"/>
    <w:rsid w:val="008A5B68"/>
    <w:rsid w:val="008A7E93"/>
    <w:rsid w:val="008B1377"/>
    <w:rsid w:val="008B16AB"/>
    <w:rsid w:val="008B1CA3"/>
    <w:rsid w:val="008B1E43"/>
    <w:rsid w:val="008C001A"/>
    <w:rsid w:val="008C3068"/>
    <w:rsid w:val="008C3AB2"/>
    <w:rsid w:val="008C5759"/>
    <w:rsid w:val="008D0214"/>
    <w:rsid w:val="008D1DCC"/>
    <w:rsid w:val="008D2AB4"/>
    <w:rsid w:val="008D37F9"/>
    <w:rsid w:val="008D3856"/>
    <w:rsid w:val="008D467D"/>
    <w:rsid w:val="008D5571"/>
    <w:rsid w:val="008D71EF"/>
    <w:rsid w:val="008E0275"/>
    <w:rsid w:val="008E4062"/>
    <w:rsid w:val="008E4E94"/>
    <w:rsid w:val="008F12AC"/>
    <w:rsid w:val="008F26C5"/>
    <w:rsid w:val="008F2CDE"/>
    <w:rsid w:val="008F3C10"/>
    <w:rsid w:val="008F5A1E"/>
    <w:rsid w:val="009000F0"/>
    <w:rsid w:val="00900825"/>
    <w:rsid w:val="0090138C"/>
    <w:rsid w:val="009046DC"/>
    <w:rsid w:val="00904729"/>
    <w:rsid w:val="00904979"/>
    <w:rsid w:val="00911C6C"/>
    <w:rsid w:val="009159A7"/>
    <w:rsid w:val="009162D0"/>
    <w:rsid w:val="00920B9C"/>
    <w:rsid w:val="00921247"/>
    <w:rsid w:val="0092172E"/>
    <w:rsid w:val="00925EF8"/>
    <w:rsid w:val="0093046D"/>
    <w:rsid w:val="00931262"/>
    <w:rsid w:val="009329F1"/>
    <w:rsid w:val="00932D56"/>
    <w:rsid w:val="00936573"/>
    <w:rsid w:val="009368F1"/>
    <w:rsid w:val="00937DCD"/>
    <w:rsid w:val="009412D3"/>
    <w:rsid w:val="0094429F"/>
    <w:rsid w:val="00945368"/>
    <w:rsid w:val="00945643"/>
    <w:rsid w:val="00947BCE"/>
    <w:rsid w:val="00956022"/>
    <w:rsid w:val="00957D47"/>
    <w:rsid w:val="00961876"/>
    <w:rsid w:val="0096537D"/>
    <w:rsid w:val="00965B98"/>
    <w:rsid w:val="0096752D"/>
    <w:rsid w:val="00970EF3"/>
    <w:rsid w:val="00980D9E"/>
    <w:rsid w:val="009813AF"/>
    <w:rsid w:val="00981863"/>
    <w:rsid w:val="00981C71"/>
    <w:rsid w:val="009861F5"/>
    <w:rsid w:val="0098722B"/>
    <w:rsid w:val="009914C8"/>
    <w:rsid w:val="009916D5"/>
    <w:rsid w:val="00993AF1"/>
    <w:rsid w:val="009965BA"/>
    <w:rsid w:val="00996699"/>
    <w:rsid w:val="009A5820"/>
    <w:rsid w:val="009A606D"/>
    <w:rsid w:val="009B23EB"/>
    <w:rsid w:val="009B2A4B"/>
    <w:rsid w:val="009B2F61"/>
    <w:rsid w:val="009B6EA8"/>
    <w:rsid w:val="009C275F"/>
    <w:rsid w:val="009D0772"/>
    <w:rsid w:val="009D15AC"/>
    <w:rsid w:val="009D22F2"/>
    <w:rsid w:val="009D3BC5"/>
    <w:rsid w:val="009D65D3"/>
    <w:rsid w:val="009D6AD7"/>
    <w:rsid w:val="009E2C04"/>
    <w:rsid w:val="009E2EA1"/>
    <w:rsid w:val="009E309F"/>
    <w:rsid w:val="009E3717"/>
    <w:rsid w:val="009E4296"/>
    <w:rsid w:val="009E5AE0"/>
    <w:rsid w:val="009F4041"/>
    <w:rsid w:val="00A05235"/>
    <w:rsid w:val="00A151E7"/>
    <w:rsid w:val="00A2108A"/>
    <w:rsid w:val="00A22402"/>
    <w:rsid w:val="00A255BF"/>
    <w:rsid w:val="00A25D46"/>
    <w:rsid w:val="00A27600"/>
    <w:rsid w:val="00A27E0C"/>
    <w:rsid w:val="00A33BDE"/>
    <w:rsid w:val="00A35E9E"/>
    <w:rsid w:val="00A4067B"/>
    <w:rsid w:val="00A40CA2"/>
    <w:rsid w:val="00A42834"/>
    <w:rsid w:val="00A44765"/>
    <w:rsid w:val="00A45079"/>
    <w:rsid w:val="00A51C4A"/>
    <w:rsid w:val="00A54EFB"/>
    <w:rsid w:val="00A56D68"/>
    <w:rsid w:val="00A56FE6"/>
    <w:rsid w:val="00A6007A"/>
    <w:rsid w:val="00A66FA2"/>
    <w:rsid w:val="00A70104"/>
    <w:rsid w:val="00A7131E"/>
    <w:rsid w:val="00A77677"/>
    <w:rsid w:val="00A77F76"/>
    <w:rsid w:val="00A84D63"/>
    <w:rsid w:val="00A86D0B"/>
    <w:rsid w:val="00A87C34"/>
    <w:rsid w:val="00A90A15"/>
    <w:rsid w:val="00A94C5F"/>
    <w:rsid w:val="00A97DDF"/>
    <w:rsid w:val="00AA0C07"/>
    <w:rsid w:val="00AA1CA7"/>
    <w:rsid w:val="00AA251D"/>
    <w:rsid w:val="00AA36A9"/>
    <w:rsid w:val="00AA6F85"/>
    <w:rsid w:val="00AA7DB4"/>
    <w:rsid w:val="00AB322D"/>
    <w:rsid w:val="00AB47A1"/>
    <w:rsid w:val="00AB606C"/>
    <w:rsid w:val="00AB6B5D"/>
    <w:rsid w:val="00AB7338"/>
    <w:rsid w:val="00AB745F"/>
    <w:rsid w:val="00AC16A7"/>
    <w:rsid w:val="00AC40CB"/>
    <w:rsid w:val="00AC5B96"/>
    <w:rsid w:val="00AD0976"/>
    <w:rsid w:val="00AD3A3E"/>
    <w:rsid w:val="00AE093E"/>
    <w:rsid w:val="00AE2795"/>
    <w:rsid w:val="00AE4020"/>
    <w:rsid w:val="00AF1422"/>
    <w:rsid w:val="00AF203B"/>
    <w:rsid w:val="00AF3BAB"/>
    <w:rsid w:val="00AF3E4A"/>
    <w:rsid w:val="00AF520F"/>
    <w:rsid w:val="00AF79E9"/>
    <w:rsid w:val="00B049F9"/>
    <w:rsid w:val="00B05591"/>
    <w:rsid w:val="00B06A84"/>
    <w:rsid w:val="00B07E32"/>
    <w:rsid w:val="00B10F0D"/>
    <w:rsid w:val="00B13D02"/>
    <w:rsid w:val="00B13E24"/>
    <w:rsid w:val="00B15313"/>
    <w:rsid w:val="00B15E54"/>
    <w:rsid w:val="00B2002A"/>
    <w:rsid w:val="00B21377"/>
    <w:rsid w:val="00B246B7"/>
    <w:rsid w:val="00B249F6"/>
    <w:rsid w:val="00B24D9B"/>
    <w:rsid w:val="00B2631C"/>
    <w:rsid w:val="00B26532"/>
    <w:rsid w:val="00B27DBF"/>
    <w:rsid w:val="00B32478"/>
    <w:rsid w:val="00B35F1C"/>
    <w:rsid w:val="00B418CC"/>
    <w:rsid w:val="00B420EA"/>
    <w:rsid w:val="00B42D95"/>
    <w:rsid w:val="00B45260"/>
    <w:rsid w:val="00B47CDB"/>
    <w:rsid w:val="00B47D6F"/>
    <w:rsid w:val="00B54884"/>
    <w:rsid w:val="00B568A2"/>
    <w:rsid w:val="00B56D14"/>
    <w:rsid w:val="00B578A9"/>
    <w:rsid w:val="00B615B4"/>
    <w:rsid w:val="00B62996"/>
    <w:rsid w:val="00B62EDD"/>
    <w:rsid w:val="00B647FD"/>
    <w:rsid w:val="00B70355"/>
    <w:rsid w:val="00B72939"/>
    <w:rsid w:val="00B745B3"/>
    <w:rsid w:val="00B76185"/>
    <w:rsid w:val="00B76FB9"/>
    <w:rsid w:val="00B77C6D"/>
    <w:rsid w:val="00B80746"/>
    <w:rsid w:val="00B815E3"/>
    <w:rsid w:val="00B856FB"/>
    <w:rsid w:val="00B87223"/>
    <w:rsid w:val="00B91BE0"/>
    <w:rsid w:val="00B932EC"/>
    <w:rsid w:val="00B942E0"/>
    <w:rsid w:val="00B94D0D"/>
    <w:rsid w:val="00BA0515"/>
    <w:rsid w:val="00BA42C6"/>
    <w:rsid w:val="00BA5751"/>
    <w:rsid w:val="00BA7606"/>
    <w:rsid w:val="00BB0FC6"/>
    <w:rsid w:val="00BB1DF5"/>
    <w:rsid w:val="00BB2068"/>
    <w:rsid w:val="00BB56D1"/>
    <w:rsid w:val="00BC0409"/>
    <w:rsid w:val="00BC1A80"/>
    <w:rsid w:val="00BC250F"/>
    <w:rsid w:val="00BC2DAA"/>
    <w:rsid w:val="00BC5DDD"/>
    <w:rsid w:val="00BC61CF"/>
    <w:rsid w:val="00BC7F53"/>
    <w:rsid w:val="00BD2DC7"/>
    <w:rsid w:val="00BD33A7"/>
    <w:rsid w:val="00BD7C58"/>
    <w:rsid w:val="00BE07DE"/>
    <w:rsid w:val="00BE09C7"/>
    <w:rsid w:val="00BE4C16"/>
    <w:rsid w:val="00BE6629"/>
    <w:rsid w:val="00BE702A"/>
    <w:rsid w:val="00BE757A"/>
    <w:rsid w:val="00BF09E3"/>
    <w:rsid w:val="00BF32AF"/>
    <w:rsid w:val="00BF38BD"/>
    <w:rsid w:val="00BF53A3"/>
    <w:rsid w:val="00BF716C"/>
    <w:rsid w:val="00BF71F6"/>
    <w:rsid w:val="00C0147D"/>
    <w:rsid w:val="00C01760"/>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17C85"/>
    <w:rsid w:val="00C24D2F"/>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296A"/>
    <w:rsid w:val="00C63D7C"/>
    <w:rsid w:val="00C63FA7"/>
    <w:rsid w:val="00C64270"/>
    <w:rsid w:val="00C66590"/>
    <w:rsid w:val="00C667C0"/>
    <w:rsid w:val="00C707A0"/>
    <w:rsid w:val="00C70CD0"/>
    <w:rsid w:val="00C70D68"/>
    <w:rsid w:val="00C713DD"/>
    <w:rsid w:val="00C75792"/>
    <w:rsid w:val="00C842AF"/>
    <w:rsid w:val="00C8481E"/>
    <w:rsid w:val="00C86C53"/>
    <w:rsid w:val="00C90797"/>
    <w:rsid w:val="00C963D4"/>
    <w:rsid w:val="00CA1921"/>
    <w:rsid w:val="00CA3172"/>
    <w:rsid w:val="00CA6ADC"/>
    <w:rsid w:val="00CA7A4A"/>
    <w:rsid w:val="00CB09E0"/>
    <w:rsid w:val="00CB253B"/>
    <w:rsid w:val="00CB43A7"/>
    <w:rsid w:val="00CB6E9E"/>
    <w:rsid w:val="00CC08F3"/>
    <w:rsid w:val="00CC09AC"/>
    <w:rsid w:val="00CC1756"/>
    <w:rsid w:val="00CC1891"/>
    <w:rsid w:val="00CC1A2C"/>
    <w:rsid w:val="00CC29A8"/>
    <w:rsid w:val="00CC373C"/>
    <w:rsid w:val="00CC3843"/>
    <w:rsid w:val="00CC7D76"/>
    <w:rsid w:val="00CC7EFA"/>
    <w:rsid w:val="00CD3C50"/>
    <w:rsid w:val="00CD498E"/>
    <w:rsid w:val="00CD6B86"/>
    <w:rsid w:val="00CD6ED4"/>
    <w:rsid w:val="00CE1ED6"/>
    <w:rsid w:val="00CE2275"/>
    <w:rsid w:val="00CF0917"/>
    <w:rsid w:val="00CF1135"/>
    <w:rsid w:val="00CF412D"/>
    <w:rsid w:val="00D00AB5"/>
    <w:rsid w:val="00D01C6E"/>
    <w:rsid w:val="00D06B73"/>
    <w:rsid w:val="00D073C2"/>
    <w:rsid w:val="00D07969"/>
    <w:rsid w:val="00D10FE7"/>
    <w:rsid w:val="00D12079"/>
    <w:rsid w:val="00D13239"/>
    <w:rsid w:val="00D1529E"/>
    <w:rsid w:val="00D2287A"/>
    <w:rsid w:val="00D24240"/>
    <w:rsid w:val="00D25DD0"/>
    <w:rsid w:val="00D25FB9"/>
    <w:rsid w:val="00D2673A"/>
    <w:rsid w:val="00D275BF"/>
    <w:rsid w:val="00D304A1"/>
    <w:rsid w:val="00D3076E"/>
    <w:rsid w:val="00D357DF"/>
    <w:rsid w:val="00D37676"/>
    <w:rsid w:val="00D43837"/>
    <w:rsid w:val="00D53859"/>
    <w:rsid w:val="00D54947"/>
    <w:rsid w:val="00D55ACA"/>
    <w:rsid w:val="00D56E44"/>
    <w:rsid w:val="00D605C9"/>
    <w:rsid w:val="00D6096B"/>
    <w:rsid w:val="00D60E5A"/>
    <w:rsid w:val="00D61D41"/>
    <w:rsid w:val="00D7055C"/>
    <w:rsid w:val="00D70FE9"/>
    <w:rsid w:val="00D72037"/>
    <w:rsid w:val="00D72D27"/>
    <w:rsid w:val="00D7525E"/>
    <w:rsid w:val="00D75D58"/>
    <w:rsid w:val="00D77A43"/>
    <w:rsid w:val="00D81C3B"/>
    <w:rsid w:val="00D84DA0"/>
    <w:rsid w:val="00D90307"/>
    <w:rsid w:val="00D90AAC"/>
    <w:rsid w:val="00D90BD8"/>
    <w:rsid w:val="00D93836"/>
    <w:rsid w:val="00D95B36"/>
    <w:rsid w:val="00D97B3D"/>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586F"/>
    <w:rsid w:val="00DF76BD"/>
    <w:rsid w:val="00DF7875"/>
    <w:rsid w:val="00E02B81"/>
    <w:rsid w:val="00E142B1"/>
    <w:rsid w:val="00E152E7"/>
    <w:rsid w:val="00E15CCB"/>
    <w:rsid w:val="00E1791B"/>
    <w:rsid w:val="00E21EC7"/>
    <w:rsid w:val="00E30A75"/>
    <w:rsid w:val="00E32327"/>
    <w:rsid w:val="00E32AD5"/>
    <w:rsid w:val="00E330EC"/>
    <w:rsid w:val="00E33385"/>
    <w:rsid w:val="00E338F5"/>
    <w:rsid w:val="00E34D0D"/>
    <w:rsid w:val="00E35BE1"/>
    <w:rsid w:val="00E41869"/>
    <w:rsid w:val="00E4424D"/>
    <w:rsid w:val="00E446F2"/>
    <w:rsid w:val="00E47719"/>
    <w:rsid w:val="00E528A7"/>
    <w:rsid w:val="00E52B4D"/>
    <w:rsid w:val="00E535D8"/>
    <w:rsid w:val="00E5484B"/>
    <w:rsid w:val="00E55631"/>
    <w:rsid w:val="00E573FA"/>
    <w:rsid w:val="00E57872"/>
    <w:rsid w:val="00E661B9"/>
    <w:rsid w:val="00E70B1A"/>
    <w:rsid w:val="00E71C59"/>
    <w:rsid w:val="00E74034"/>
    <w:rsid w:val="00E74CAF"/>
    <w:rsid w:val="00E754D1"/>
    <w:rsid w:val="00E7597C"/>
    <w:rsid w:val="00E775B4"/>
    <w:rsid w:val="00E77DDE"/>
    <w:rsid w:val="00E80F06"/>
    <w:rsid w:val="00E8390C"/>
    <w:rsid w:val="00E86C23"/>
    <w:rsid w:val="00E9233A"/>
    <w:rsid w:val="00EA272E"/>
    <w:rsid w:val="00EA30DD"/>
    <w:rsid w:val="00EA354A"/>
    <w:rsid w:val="00EA5AC6"/>
    <w:rsid w:val="00EA5CBC"/>
    <w:rsid w:val="00EA609E"/>
    <w:rsid w:val="00EA7FBC"/>
    <w:rsid w:val="00EB2530"/>
    <w:rsid w:val="00EB2A67"/>
    <w:rsid w:val="00EB2CDE"/>
    <w:rsid w:val="00EB33B1"/>
    <w:rsid w:val="00EB3C44"/>
    <w:rsid w:val="00EB4633"/>
    <w:rsid w:val="00EB4C63"/>
    <w:rsid w:val="00EB5D7F"/>
    <w:rsid w:val="00EB6682"/>
    <w:rsid w:val="00EB729D"/>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066BF"/>
    <w:rsid w:val="00F1014F"/>
    <w:rsid w:val="00F1260A"/>
    <w:rsid w:val="00F137D5"/>
    <w:rsid w:val="00F14A91"/>
    <w:rsid w:val="00F17D00"/>
    <w:rsid w:val="00F248A0"/>
    <w:rsid w:val="00F25D42"/>
    <w:rsid w:val="00F269D3"/>
    <w:rsid w:val="00F30F01"/>
    <w:rsid w:val="00F32C74"/>
    <w:rsid w:val="00F33CC0"/>
    <w:rsid w:val="00F36456"/>
    <w:rsid w:val="00F40098"/>
    <w:rsid w:val="00F41459"/>
    <w:rsid w:val="00F50E99"/>
    <w:rsid w:val="00F52A81"/>
    <w:rsid w:val="00F5520A"/>
    <w:rsid w:val="00F60172"/>
    <w:rsid w:val="00F605A7"/>
    <w:rsid w:val="00F61519"/>
    <w:rsid w:val="00F65835"/>
    <w:rsid w:val="00F65B17"/>
    <w:rsid w:val="00F6756A"/>
    <w:rsid w:val="00F710BE"/>
    <w:rsid w:val="00F7280F"/>
    <w:rsid w:val="00F73CA6"/>
    <w:rsid w:val="00F760AD"/>
    <w:rsid w:val="00F76B39"/>
    <w:rsid w:val="00F7705E"/>
    <w:rsid w:val="00F83660"/>
    <w:rsid w:val="00F8461C"/>
    <w:rsid w:val="00F8597E"/>
    <w:rsid w:val="00FA1F8A"/>
    <w:rsid w:val="00FA5166"/>
    <w:rsid w:val="00FA5348"/>
    <w:rsid w:val="00FA6322"/>
    <w:rsid w:val="00FA67D4"/>
    <w:rsid w:val="00FB041C"/>
    <w:rsid w:val="00FB1406"/>
    <w:rsid w:val="00FB1FC5"/>
    <w:rsid w:val="00FB1FD6"/>
    <w:rsid w:val="00FB2CFC"/>
    <w:rsid w:val="00FB2E17"/>
    <w:rsid w:val="00FB40DF"/>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D7297"/>
    <w:rsid w:val="00FD7E6B"/>
    <w:rsid w:val="00FE281D"/>
    <w:rsid w:val="00FE3044"/>
    <w:rsid w:val="00FE3196"/>
    <w:rsid w:val="00FE59FF"/>
    <w:rsid w:val="00FE7025"/>
    <w:rsid w:val="00FE7C85"/>
    <w:rsid w:val="00FF137F"/>
    <w:rsid w:val="00FF1BF6"/>
    <w:rsid w:val="00FF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l-SI"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D00"/>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l-SI"/>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l-SI"/>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68024A"/>
    <w:rPr>
      <w:sz w:val="24"/>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585188751">
      <w:bodyDiv w:val="1"/>
      <w:marLeft w:val="0"/>
      <w:marRight w:val="0"/>
      <w:marTop w:val="0"/>
      <w:marBottom w:val="0"/>
      <w:divBdr>
        <w:top w:val="none" w:sz="0" w:space="0" w:color="auto"/>
        <w:left w:val="none" w:sz="0" w:space="0" w:color="auto"/>
        <w:bottom w:val="none" w:sz="0" w:space="0" w:color="auto"/>
        <w:right w:val="none" w:sz="0" w:space="0" w:color="auto"/>
      </w:divBdr>
    </w:div>
    <w:div w:id="665473747">
      <w:bodyDiv w:val="1"/>
      <w:marLeft w:val="0"/>
      <w:marRight w:val="0"/>
      <w:marTop w:val="0"/>
      <w:marBottom w:val="0"/>
      <w:divBdr>
        <w:top w:val="none" w:sz="0" w:space="0" w:color="auto"/>
        <w:left w:val="none" w:sz="0" w:space="0" w:color="auto"/>
        <w:bottom w:val="none" w:sz="0" w:space="0" w:color="auto"/>
        <w:right w:val="none" w:sz="0" w:space="0" w:color="auto"/>
      </w:divBdr>
      <w:divsChild>
        <w:div w:id="263811431">
          <w:marLeft w:val="446"/>
          <w:marRight w:val="0"/>
          <w:marTop w:val="0"/>
          <w:marBottom w:val="0"/>
          <w:divBdr>
            <w:top w:val="none" w:sz="0" w:space="0" w:color="auto"/>
            <w:left w:val="none" w:sz="0" w:space="0" w:color="auto"/>
            <w:bottom w:val="none" w:sz="0" w:space="0" w:color="auto"/>
            <w:right w:val="none" w:sz="0" w:space="0" w:color="auto"/>
          </w:divBdr>
        </w:div>
      </w:divsChild>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2752865">
      <w:bodyDiv w:val="1"/>
      <w:marLeft w:val="0"/>
      <w:marRight w:val="0"/>
      <w:marTop w:val="0"/>
      <w:marBottom w:val="0"/>
      <w:divBdr>
        <w:top w:val="none" w:sz="0" w:space="0" w:color="auto"/>
        <w:left w:val="none" w:sz="0" w:space="0" w:color="auto"/>
        <w:bottom w:val="none" w:sz="0" w:space="0" w:color="auto"/>
        <w:right w:val="none" w:sz="0" w:space="0" w:color="auto"/>
      </w:divBdr>
      <w:divsChild>
        <w:div w:id="1873805476">
          <w:marLeft w:val="1166"/>
          <w:marRight w:val="0"/>
          <w:marTop w:val="0"/>
          <w:marBottom w:val="0"/>
          <w:divBdr>
            <w:top w:val="none" w:sz="0" w:space="0" w:color="auto"/>
            <w:left w:val="none" w:sz="0" w:space="0" w:color="auto"/>
            <w:bottom w:val="none" w:sz="0" w:space="0" w:color="auto"/>
            <w:right w:val="none" w:sz="0" w:space="0" w:color="auto"/>
          </w:divBdr>
        </w:div>
        <w:div w:id="1014263292">
          <w:marLeft w:val="1166"/>
          <w:marRight w:val="0"/>
          <w:marTop w:val="0"/>
          <w:marBottom w:val="0"/>
          <w:divBdr>
            <w:top w:val="none" w:sz="0" w:space="0" w:color="auto"/>
            <w:left w:val="none" w:sz="0" w:space="0" w:color="auto"/>
            <w:bottom w:val="none" w:sz="0" w:space="0" w:color="auto"/>
            <w:right w:val="none" w:sz="0" w:space="0" w:color="auto"/>
          </w:divBdr>
        </w:div>
        <w:div w:id="2059350478">
          <w:marLeft w:val="1166"/>
          <w:marRight w:val="0"/>
          <w:marTop w:val="0"/>
          <w:marBottom w:val="0"/>
          <w:divBdr>
            <w:top w:val="none" w:sz="0" w:space="0" w:color="auto"/>
            <w:left w:val="none" w:sz="0" w:space="0" w:color="auto"/>
            <w:bottom w:val="none" w:sz="0" w:space="0" w:color="auto"/>
            <w:right w:val="none" w:sz="0" w:space="0" w:color="auto"/>
          </w:divBdr>
        </w:div>
      </w:divsChild>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COMPCOLLAB-850037142-143</_dlc_DocId>
    <_dlc_DocIdUrl xmlns="01a4cf75-cd7c-4298-a8d0-4b1c71ad45b4">
      <Url>https://compcollab.ec.europa.eu/cases/HT.6305/_layouts/15/DocIdRedir.aspx?ID=COMPCOLLAB-850037142-143</Url>
      <Description>COMPCOLLAB-850037142-143</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 ds:uri="01a4cf75-cd7c-4298-a8d0-4b1c71ad45b4"/>
  </ds:schemaRefs>
</ds:datastoreItem>
</file>

<file path=customXml/itemProps2.xml><?xml version="1.0" encoding="utf-8"?>
<ds:datastoreItem xmlns:ds="http://schemas.openxmlformats.org/officeDocument/2006/customXml" ds:itemID="{7B7A9470-DE6F-4C4A-82C3-4C8849CF12FA}">
  <ds:schemaRefs>
    <ds:schemaRef ds:uri="http://schemas.openxmlformats.org/officeDocument/2006/bibliography"/>
  </ds:schemaRefs>
</ds:datastoreItem>
</file>

<file path=customXml/itemProps3.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D52C06CA-21D3-4CD0-95B2-A3BF4E61382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3555</Words>
  <Characters>20483</Characters>
  <Application>Microsoft Office Word</Application>
  <DocSecurity>0</DocSecurity>
  <Lines>445</Lines>
  <Paragraphs>165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dc:creator>
  <cp:keywords/>
  <cp:lastModifiedBy>ACKERT Hannes (COMP)</cp:lastModifiedBy>
  <cp:revision>4</cp:revision>
  <cp:lastPrinted>2022-10-05T12:42:00Z</cp:lastPrinted>
  <dcterms:created xsi:type="dcterms:W3CDTF">2024-08-01T10:54:00Z</dcterms:created>
  <dcterms:modified xsi:type="dcterms:W3CDTF">2024-09-06T15:33:00Z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879263d8-fe1a-40fc-8c5e-7698afca9b9f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2023-02-27T13:51:16Z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fb72a0e4-dd28-473f-9c53-f93dbebb1a15</vt:lpwstr>
  </property>
  <property fmtid="{D5CDD505-2E9C-101B-9397-08002B2CF9AE}" pid="14" name="MSIP_Label_6bd9ddd1-4d20-43f6-abfa-fc3c07406f94_ContentBits">
    <vt:lpwstr>0</vt:lpwstr>
  </property>
</Properties>
</file>