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Deel III.6</w:t>
            </w:r>
          </w:p>
          <w:p w14:paraId="1C239D2C" w14:textId="171BCF76" w:rsidR="000442F5" w:rsidRPr="009916D5" w:rsidRDefault="00531803" w:rsidP="007B485D">
            <w:pPr>
              <w:pStyle w:val="Heading2"/>
              <w:spacing w:before="240" w:after="240"/>
              <w:jc w:val="center"/>
              <w:rPr>
                <w:sz w:val="32"/>
                <w:szCs w:val="32"/>
              </w:rPr>
            </w:pPr>
            <w:r>
              <w:rPr>
                <w:sz w:val="32"/>
              </w:rPr>
              <w:t>Formulier aanvullende informatie voor staatssteun verleend in het kader van de richtsnoeren staatssteun ten behoeve van klimaat, milieubescherming en energie 2022</w:t>
            </w:r>
            <w:r w:rsidR="007B485D" w:rsidRPr="009916D5">
              <w:rPr>
                <w:sz w:val="32"/>
                <w:szCs w:val="32"/>
                <w:vertAlign w:val="superscript"/>
              </w:rPr>
              <w:footnoteReference w:id="2"/>
            </w:r>
            <w:r>
              <w:rPr>
                <w:sz w:val="32"/>
              </w:rPr>
              <w:t xml:space="preserve"> </w:t>
            </w:r>
            <w:bookmarkEnd w:id="0"/>
            <w:bookmarkEnd w:id="1"/>
          </w:p>
          <w:p w14:paraId="34AE2082" w14:textId="77777777" w:rsidR="002B52B3" w:rsidRDefault="002B52B3" w:rsidP="00AB6B5D">
            <w:pPr>
              <w:jc w:val="center"/>
              <w:rPr>
                <w:sz w:val="32"/>
                <w:szCs w:val="32"/>
              </w:rPr>
            </w:pPr>
            <w:r>
              <w:rPr>
                <w:sz w:val="32"/>
              </w:rPr>
              <w:t>Hoofdstuk 4.11 - Steun in de vorm van kortingen op elektriciteitsheffingen voor energie-intensieve gebruikers</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Dit formulier aanvullende informatie moet worden gebruikt voor het aanmelden van steun die valt onder de richtsnoeren staatssteun ten behoeve van klimaat, milieubescherming en energie 2022 (hierna “richtsnoeren”).</w:t>
      </w:r>
    </w:p>
    <w:p w14:paraId="1B60656B" w14:textId="5A450E3F" w:rsidR="009E2EA1" w:rsidRPr="00711243" w:rsidRDefault="0072538B" w:rsidP="009E2EA1">
      <w:pPr>
        <w:spacing w:before="120" w:after="120"/>
        <w:ind w:right="-142"/>
        <w:jc w:val="both"/>
        <w:rPr>
          <w:i/>
          <w:iCs/>
        </w:rPr>
      </w:pPr>
      <w:r>
        <w:rPr>
          <w:i/>
        </w:rPr>
        <w:t xml:space="preserve">Dit formulier aanvullende informatie heeft betrekking op maatregelen die onder afdeling 4.11 van de richtsnoeren vallen. Indien de aanmelding maatregelen omvat die onder meer dan één hoofdstuk van de richtsnoeren vallen, vul dan ook het formulier aanvullende informatie in dat betrekking heeft op het desbetreffende hoofdstuk van de richtsnoeren. </w:t>
      </w:r>
    </w:p>
    <w:p w14:paraId="05E36007" w14:textId="48DD17A5" w:rsidR="009E2EA1" w:rsidRPr="00711243" w:rsidRDefault="009E2EA1" w:rsidP="009E2EA1">
      <w:pPr>
        <w:spacing w:before="120" w:after="120"/>
        <w:ind w:right="-142"/>
        <w:jc w:val="both"/>
        <w:rPr>
          <w:i/>
          <w:iCs/>
        </w:rPr>
      </w:pPr>
      <w:r>
        <w:rPr>
          <w:i/>
        </w:rPr>
        <w:t>Alle documenten die lidstaten als bijlagen bij dit formulier aanvullende informatie verstrekken, moeten genummerd zijn en de nummers van de documenten moeten worden aangegeven in het desbetreffende deel van dit formulier.</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Afdeling A: Samenvatting van de belangrijkste kenmerken van de aangemelde maatregel(en)</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Achtergrond en doelstelling(en) van de aangemelde maatregel(en)</w:t>
      </w:r>
    </w:p>
    <w:p w14:paraId="53AAF227" w14:textId="40775AB0" w:rsidR="00931262" w:rsidRDefault="00931262" w:rsidP="004F64BC">
      <w:pPr>
        <w:pStyle w:val="ListParagraph"/>
        <w:keepLines/>
        <w:numPr>
          <w:ilvl w:val="0"/>
          <w:numId w:val="21"/>
        </w:numPr>
        <w:spacing w:after="240"/>
        <w:ind w:left="993" w:hanging="142"/>
        <w:jc w:val="both"/>
      </w:pPr>
      <w:r>
        <w:t>Geef aan of het gaat om een nieuwe maatregel of om een wijziging van een bestaande maatregel. Indien het een wijziging betreft, geef dan nadere gegevens over de wijzigingen in de regeling.</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Indien dit nog niet is besproken in deel 5.2 van het formulier algemene informatie (deel I), geef dan de achtergrond en de hoofddoelstelling, met inbegrip van het verband met milieudoelstellingen van de Unie die met de maatregel moet worden ondersteund.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Geef aan welke andere doelstellingen met de maatregel worden nagestreefd. Leg uit, voor doelstellingen die niet uitsluitend betrekking hebben op het milieu, of zij tot verstoringen van de interne markt kunnen leiden.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Inwerkingtreding en duur</w:t>
      </w:r>
      <w:r>
        <w:t>:</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Indien de informatie nog niet is verstrekt in deel 5.5 van het formulier algemene informatie (deel I), vermeld:</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Voor een steunregeling: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de datum waarop de regeling naar verwachting in werking zal treden;</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de duur van de regeling</w:t>
      </w:r>
      <w:r w:rsidRPr="0096487F">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Voor individuele steun: de (geplande) datum van toekenning van de steun (belofte van de steun) en de betalingsdatum (eerste betalingsdatum indien verschillende opeenvolgende betalingen zijn gepland):</w:t>
      </w:r>
    </w:p>
    <w:p w14:paraId="6C726222" w14:textId="7D188916" w:rsidR="00EA7FBC" w:rsidRPr="00E7597C" w:rsidRDefault="00B77C6D" w:rsidP="00E7597C">
      <w:pPr>
        <w:pStyle w:val="ListParagraph"/>
        <w:spacing w:before="120" w:after="120"/>
        <w:contextualSpacing w:val="0"/>
        <w:rPr>
          <w:szCs w:val="24"/>
        </w:rPr>
      </w:pPr>
      <w:r>
        <w:lastRenderedPageBreak/>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t>Begunstigde(n)</w:t>
      </w:r>
      <w:r>
        <w:rPr>
          <w:b/>
        </w:rPr>
        <w:tab/>
      </w:r>
    </w:p>
    <w:p w14:paraId="06E5A4C8" w14:textId="44380450" w:rsidR="00B77C6D" w:rsidRDefault="0068024A" w:rsidP="00B77C6D">
      <w:pPr>
        <w:pStyle w:val="ListParagraph"/>
        <w:numPr>
          <w:ilvl w:val="0"/>
          <w:numId w:val="22"/>
        </w:numPr>
        <w:spacing w:after="240"/>
        <w:ind w:hanging="229"/>
        <w:jc w:val="both"/>
        <w:rPr>
          <w:szCs w:val="24"/>
        </w:rPr>
      </w:pPr>
      <w:r>
        <w:t>Indien dit nog niet is vermeld in deel 3 van het formulier algemene informatie (deel I), beschrijf dan de (potentiële) begunstigde(n) van de maatregel(en).</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t>Vermeld de locatie van de (potentiële) begunstigde(n) (d.w.z. of alleen economische entiteiten in de desbetreffende lidstaten of ook in andere lidstaten in aanmerking komen voor deelname aan de maatregel).</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Voor de beoordeling van de naleving van punt 15 van de richtsnoeren, geef aan of in het kader van de maatregel(en) steun wordt verleend ten behoeve van een onderneming (op individuele basis of in het kader van een regeling) ten aanzien waarvan een bevel tot terugvordering uitstaat ingevolge een eerder besluit van de Commissie waarin de steun onrechtmatig en met de interne markt onverenigbaar is verklaard.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Indien dit het geval is, geef dan informatie over het bedrag aan steun dat nog moet worden teruggevorderd, zodat de Commissie hiermee rekening kan houden bij de beoordeling van de steunmaatregel(en).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Bevestig dat de maatregelen geen steun inhouden voor activiteiten die buiten het toepassingsgebied van de richtsnoeren vallen (zie punt 13 van de richtsnoeren). Als dat niet het geval is, verstrek dan nadere informatie.</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rPr>
        <w:t>Budget en financiering van de maatregel(en)</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Indien dit niet reeds vermeld is in de tabel onder deel 7.1 van het formulier algemene informatie (deel I), vul dan het jaarlijkse en/of totale budget voor de gehele looptijd van de maatregel(en) in; indien het totale budget niet bekend is (bijvoorbeeld omdat het afhankelijk is van de resultaten van de inschrijvingen), geef dan een geraamd budget op, met inbegrip van de aannames die zijn gebruikt om het respectieve geraamde budget te berekenen.</w:t>
      </w:r>
      <w:r>
        <w:rPr>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Aangezien de maatregel betrekking heeft op een heffing, geef aan of:</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lastRenderedPageBreak/>
        <w:t>de heffing bij wet of een andere wetgevingshandeling is vastgesteld; Zo ja, vermeld de rechtshandeling, het nummer en de datum waarop deze is vastgesteld en in werking is getreden, en de internetlink naar de rechtshandeling;</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t>de korting op de heffing wordt gefinancierd door een verhoging van de heffing voor andere verbruikers.</w:t>
      </w:r>
      <w:bookmarkEnd w:id="4"/>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de maatregel met de heffing volledig of slechts gedeeltelijk wordt gefinancierd. Indien de maatregel met de heffing slechts gedeeltelijk wordt gefinancierd, vermeld dan de andere financieringsbronnen van de maatregel en hun respectieve aandeel;</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met de heffing waarmee de aangemelde maatregel wordt gefinancierd, ook andere steunmaatregelen worden gefinancierd. Indien dit het geval is, vermeld dan de andere steunmaatregelen die met de betrokken heffing worden gefinancierd.</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Afdeling B: Verenigbaarheidsbeoordeling van de steun</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Positieve voorwaarde: de steun moet de ontwikkeling van een economische bedrijvigheid vergemakkelijken</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Bijdrage aan de ontwikkeling van een vorm van economische bedrijvigheid en stimulerend effect</w:t>
            </w:r>
          </w:p>
        </w:tc>
      </w:tr>
    </w:tbl>
    <w:p w14:paraId="1E2599D2" w14:textId="090DDB6C" w:rsidR="000442F5" w:rsidRPr="00DB40A5" w:rsidRDefault="000442F5" w:rsidP="00D304A1">
      <w:pPr>
        <w:keepLines/>
        <w:spacing w:before="360" w:after="120"/>
        <w:jc w:val="both"/>
        <w:rPr>
          <w:i/>
        </w:rPr>
      </w:pPr>
      <w:r>
        <w:rPr>
          <w:i/>
        </w:rPr>
        <w:t xml:space="preserve">Voor de in dit deel te verstrekken informatie, zie afdeling 4.11.1 van de richtsnoeren. </w:t>
      </w:r>
    </w:p>
    <w:p w14:paraId="3B179A23" w14:textId="692B32B4" w:rsidR="00FE59FF" w:rsidRDefault="00956022" w:rsidP="007D3768">
      <w:pPr>
        <w:numPr>
          <w:ilvl w:val="0"/>
          <w:numId w:val="4"/>
        </w:numPr>
        <w:ind w:left="426" w:hanging="426"/>
        <w:jc w:val="both"/>
      </w:pPr>
      <w:r>
        <w:t xml:space="preserve">Artikel 107, lid 3, punt c), van het Verdrag betreffende de werking van de Europese Unie (VWEU) 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Bijgevolg moet steun die op grond van die bepaling van het VWEU verenigbaar is, bijdragen tot de ontwikkeling van bepaalde vormen van economische bedrijvigheid. </w:t>
      </w:r>
    </w:p>
    <w:p w14:paraId="3D019745" w14:textId="31E2DE72" w:rsidR="00C75792" w:rsidRPr="008515FB" w:rsidRDefault="00FE59FF" w:rsidP="00E7597C">
      <w:pPr>
        <w:spacing w:before="240"/>
        <w:ind w:left="357"/>
        <w:jc w:val="both"/>
      </w:pPr>
      <w:r>
        <w:t>Voorts kan steun alleen worden beschouwd als een maatregel die een economische activiteit vergemakkelijkt, indien hij een stimulerend effect heeft. Er is sprake van een stimulerend effect indien de steun de begunstigde ertoe aanzet zijn gedrag te veranderen in de richting van de ontwikkeling van een met de steun nagestreefde economische bedrijvigheid en indien de gedragsverandering zonder de steun anders niet zou plaatsvinden.</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Leg uit hoe het mechanisme van heffingskortingen stimulansen biedt aan in aanmerking komende ondernemingen om het risico te vermijden dat activiteiten worden verplaatst buiten de Unie waar er geen of minder ambitieuze milieuvoorschriften gelden, of stimulansen om de elektrificatie van productieprocessen aan te moedigen overeenkomstig punt 400 van de richtsnoeren.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Geef aan in welk deel van de (ontwerp-)rechtsgrondslag deze overweging is opgenomen.</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Geen schending van relevante bepalingen van het Unierecht</w:t>
            </w:r>
          </w:p>
        </w:tc>
      </w:tr>
    </w:tbl>
    <w:p w14:paraId="665FE026" w14:textId="0459581F" w:rsidR="00DE1D68" w:rsidRDefault="00DE1D68" w:rsidP="00DE1D68">
      <w:pPr>
        <w:spacing w:before="360" w:after="120"/>
        <w:jc w:val="both"/>
        <w:rPr>
          <w:i/>
        </w:rPr>
      </w:pPr>
      <w:r>
        <w:rPr>
          <w:i/>
        </w:rPr>
        <w:t xml:space="preserve">Voor de in dit deel te verstrekken informatie, zie afdeling 3.1.3 (punt 33) van de richtsnoeren. </w:t>
      </w:r>
    </w:p>
    <w:p w14:paraId="3E98C3D7" w14:textId="0DD79AFD" w:rsidR="00BE702A" w:rsidRDefault="0023543E" w:rsidP="00E7597C">
      <w:pPr>
        <w:pStyle w:val="ListParagraph"/>
        <w:keepLines/>
        <w:spacing w:before="120" w:after="120"/>
        <w:ind w:left="1287"/>
        <w:contextualSpacing w:val="0"/>
        <w:jc w:val="both"/>
        <w:rPr>
          <w:rFonts w:cs="Arial Unicode MS"/>
          <w:bCs/>
        </w:rPr>
      </w:pPr>
      <w:r>
        <w:t>Verstrek informatie om de naleving van de relevante bepalingen van het EU-recht, overeenkomstig punt 33 van de richtsnoeren, te bevestigen.</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Negatieve voorwaarde: de steun mag de voorwaarden waaronder het handelsverkeer plaatsvindt, niet zodanig veranderen dat het gemeenschappelijk belang wordt geschaad</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Verstoringen van de mededinging en het handelsverkeer tot een minimum beperken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De noodzaak van staatssteun en de geschiktheid van de steun</w:t>
            </w:r>
          </w:p>
        </w:tc>
      </w:tr>
    </w:tbl>
    <w:p w14:paraId="3C23674F" w14:textId="3EF4BD10" w:rsidR="00663008" w:rsidRPr="00F83660" w:rsidRDefault="00663008" w:rsidP="00663008">
      <w:pPr>
        <w:spacing w:before="360" w:after="120"/>
        <w:jc w:val="both"/>
        <w:rPr>
          <w:i/>
          <w:color w:val="000000"/>
        </w:rPr>
      </w:pPr>
      <w:r>
        <w:rPr>
          <w:i/>
        </w:rPr>
        <w:t>Voor de in dit deel te verstrekken informatie, zie afdeling 4.11.2 en punt 413 van de richtsnoeren.</w:t>
      </w:r>
      <w:r>
        <w:rPr>
          <w:i/>
          <w:color w:val="000000"/>
        </w:rPr>
        <w:t xml:space="preserve">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Punt 403 van de richtsnoeren is van toepassing op heffingskortingen op elektriciteitsverbruik waarmee energie- en milieudoelstellingen worden gefinancierd. Geef voor elk van de heffingen waarvoor kortingen worden overwogen, een volledige en gedetailleerde beschrijving van de aard, de reikwijdte en de toepassing van de heffingen, door uit te leggen hoe het heffingenstelsel in de praktijk werkt (werking van de regeling en de steunverlenende autoriteit) en door gedetailleerde verwijzingen naar het regelgevingskader (rechtsgrondslag). </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Verstrek met name informatie over de volgende elementen:</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het doel van elke heffing (met toelichting over hoe de inkomsten uit elke heffing worden gebruikt);</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hoe en aan wie de heffing wordt opgelegd; de grondslag waarop de heffing wordt opgelegd aan een onderneming; de methode voor de berekening van het tarief van de heffing; de vraag of, waarom en hoe verschillende tarieven van de heffing worden toegepast op de grondslag van de heffing; hoe vaak en op welke basis het heffingstarief wordt herzien;</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een beschrijving van de verschillende entiteiten die betrokken zijn bij de vaststelling en herziening van de heffing, alsmede van de entiteiten die betrokken zijn bij de inning en het beheer van de inkomsten uit de heffing;    </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een beschrijving van hoe het systeem voor de inning en herverdeling van heffingen werkt;</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lastRenderedPageBreak/>
        <w:t>vermeld de meest recente jaarcijfers over de toegepaste heffingstarieven en de totale inkomsten. Geef, indien beschikbaar, prognoses voor de toekomst;</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t>In punt 404 van de richtsnoeren is bepaald dat de lidstaten alle kortingen van mogelijk meervoudige elektriciteitsheffingen voor energie-intensieve gebruikers moeten opnemen in één regeling en de Commissie in kennis moeten stellen van het gecumuleerde effect van alle in aanmerking komende heffingen en alle voorgenomen heffingskortingen.</w:t>
      </w:r>
    </w:p>
    <w:p w14:paraId="3EF0E8A7" w14:textId="542E1B2A" w:rsidR="008D467D" w:rsidRDefault="00937DCD" w:rsidP="00E7597C">
      <w:pPr>
        <w:pStyle w:val="ListParagraph"/>
        <w:keepLines/>
        <w:numPr>
          <w:ilvl w:val="0"/>
          <w:numId w:val="43"/>
        </w:numPr>
        <w:spacing w:before="120" w:after="120"/>
        <w:contextualSpacing w:val="0"/>
        <w:jc w:val="both"/>
      </w:pPr>
      <w:r>
        <w:t xml:space="preserve">Bevestig dat alle op grond van afdeling 4.11 van de richtsnoeren toe te kennen heffingskortingen onder de aangemelde maatregel vallen en dat mogelijke toekomstige kortingen op heffingen die niet onder de regeling vallen, zullen worden aangemeld door middel van een wijziging van de aangemelde maatregel. </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Geef op basis van de afgelopen jaren en mogelijke prognoses informatie over het gecumuleerde effect van alle relevante heffingen (zowel in absolute als in relatieve termen, in vergelijking met de totale elektriciteitskosten en de totale heffingen, retributies en belastingen op elektriciteit) en van de daarmee samenhangende kortingen voor de begunstigden in het kader van de aangemelde regeling.</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Beschrijf of de steun in het kader van de aangemelde maatregel de vorm zal aannemen van een korting vooraf op de heffingen, een compensatiebedrag achteraf (terugbetaling) of een combinatie van beide. Vermeld in uw antwoord specifieke verwijzingen naar de (ontwerp-)rechtsgrondslag (bv. artikel 7, lid 3). </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Indien de steun in de vorm van heffingskortingen wordt toegekend, bevestig dan overeenkomstig punt 413 van de richtsnoeren:</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dat er een mechanisme voor monitoring achteraf bestaat;</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en dat eventueel te veel betaalde steun vóór 1 juli van het daaropvolgende jaar zal worden terugbetaald. Vermeld waar deze informatie te vinden is in de (ontwerp-)rechtsgrondslag.</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Indien de steun overeenkomstig punt 413, laatste volzin, van de richtsnoeren wordt toegekend in de vorm van een teruggaaf, bevestig dat deze wordt berekend op basis van de waargenomen niveaus van elektriciteitsverbruik en, in voorkomend geval, de bruto toegevoegde waarde over de periode waarin de in aanmerking komende heffingen van toepassing waren.</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lastRenderedPageBreak/>
              <w:t>Subsidiabiliteit</w:t>
            </w:r>
          </w:p>
        </w:tc>
      </w:tr>
    </w:tbl>
    <w:p w14:paraId="2460A5B7" w14:textId="139EC6FA" w:rsidR="00AB322D" w:rsidRPr="00E74034" w:rsidRDefault="00AB322D" w:rsidP="00AB322D">
      <w:pPr>
        <w:spacing w:before="360" w:after="120"/>
        <w:jc w:val="both"/>
        <w:rPr>
          <w:i/>
        </w:rPr>
      </w:pPr>
      <w:r>
        <w:rPr>
          <w:i/>
        </w:rPr>
        <w:t xml:space="preserve">Voor de in dit deel te verstrekken informatie, zie afdeling 4.11.3.1 (punten 405, 406 en 407) van de richtsnoeren. </w:t>
      </w:r>
    </w:p>
    <w:p w14:paraId="70D92710" w14:textId="06DE4555" w:rsidR="00937DCD" w:rsidRDefault="00956022" w:rsidP="005A4E16">
      <w:pPr>
        <w:pStyle w:val="ListParagraph"/>
        <w:numPr>
          <w:ilvl w:val="0"/>
          <w:numId w:val="4"/>
        </w:numPr>
        <w:spacing w:before="240" w:after="120"/>
        <w:ind w:left="567" w:hanging="567"/>
        <w:contextualSpacing w:val="0"/>
        <w:jc w:val="both"/>
      </w:pPr>
      <w:r>
        <w:t xml:space="preserve">Punt 405 van de richtsnoeren definieert elektriciteitsintensieve sectoren als sectoren die “een aanzienlijk risico lopen” (punt a)) en sectoren die “risico lopen” (punt b)). Om na te gaan of aan punt 405 van de richtsnoeren is voldaan, bevestig dat alle in aanmerking komende elektriciteitsintensieve sectoren die in het kader van de aangemelde maatregel “een aanzienlijk risico lopen” en “risico lopen”, zijn opgenomen in de desbetreffende delen van bijlage I bij de richtsnoeren, en in de bijlage bij dit formulier de lijsten verstrekken van “aanzienlijk risico” en “risico” lopende NACE-4-sectoren die in aanmerking komen voor steun in het kader van de maatregel, met vermelding van de plaats waar deze informatie te vinden is in de (ontwerp-)rechtsgrondslag (bv. artikel 7, lid 3).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Volgens punt 406 van de richtsnoeren wordt een niet in bijlage I bij de richtsnoeren opgenomen sector of subsector</w:t>
      </w:r>
      <w:r w:rsidR="00470AF2" w:rsidRPr="00470AF2">
        <w:rPr>
          <w:vertAlign w:val="superscript"/>
        </w:rPr>
        <w:footnoteReference w:id="5"/>
      </w:r>
      <w:r>
        <w:t xml:space="preserve"> ook als een in aanmerking komende sector of subsector beschouwd, mits hij voldoet aan de subsidiabiliteitscriteria van punt 405. Indien de steun in het kader van de aangemelde maatregel ook bestemd is voor niet in bijlage I bij de richtsnoeren opgenomen sectoren en/of subsectoren:</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toon aan dat de methode van punt 405 van de richtsnoeren voor elke (sub)sector wordt nageleefd;</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verstrek in de bijlage bij dit formulier gegevens die representatief zijn voor de sector of subsector op het niveau van de Unie</w:t>
      </w:r>
      <w:r w:rsidR="00470AF2" w:rsidRPr="00470AF2">
        <w:rPr>
          <w:vertAlign w:val="superscript"/>
        </w:rPr>
        <w:footnoteReference w:id="6"/>
      </w:r>
      <w:r>
        <w:t>, geverifieerd door een onafhankelijke deskundige en gebaseerd op een periode van ten minste drie opeenvolgende jaren die niet eerder dan 2013 begint.</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Beschrijf hoe de aanvragers moeten aantonen dat zij actief zijn in een in aanmerking komende sector, met vermelding van de plaats waar deze informatie te vinden is in de (ontwerp-)rechtsgrondslag (bv. artikel 7, lid 3).</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Geef alle andere voorwaarden om in aanmerking te komen voor steun in het kader van de aangemelde maatregel, met vermelding van de plaats waar deze informatie in de rechtsgrondslag te vinden is (bv. artikel 7, lid 3). Licht met name toe a) of begunstigden of (sub)sectoren die in beginsel in aanmerking komen uit hoofde van bijlage I bij de </w:t>
      </w:r>
      <w:r>
        <w:lastRenderedPageBreak/>
        <w:t xml:space="preserve">richtsnoeren, zijn uitgesloten, b) of er aanvullende subsidiabiliteitscriteria zijn die van toepassing zouden zijn en niet in afdeling 4.11 van de richtsnoeren worden vermeld, en c) of verschillende heffingskortingen worden overwogen voor begunstigden in dezelfde categorie.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Overeenkomstig punt 407 van de richtsnoeren kunnen de in aanmerking komende begunstigden van de maatregel verder worden beperkt. Indien dat het geval is, leg voor elk van deze aanvullende subsidiabiliteitsvoorwaarden de onderliggende motieven uit en toon aan dat i) de desbetreffende voorwaarde gebaseerd is op objectieve, niet-discriminerende en transparante criteria en dat ii) de steun in beginsel op dezelfde wijze wordt toegekend aan alle in aanmerking komende begunstigden in dezelfde sector indien zij zich in een vergelijkbare feitelijke situatie bevinden.</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t>De evenredigheid van de steun (steun beperkt tot het minimum dat noodzakelijk is voor het bereiken van de doelstelling ervan), met inbegrip van cumulatie</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De evenredigheid van de steun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Voor de in dit deel te verstrekken informatie, zie afdeling 4.11.3.2 en punt 407 van de richtsnoeren.</w:t>
      </w:r>
    </w:p>
    <w:p w14:paraId="0CBF90E1" w14:textId="306749D7" w:rsidR="00B06A84" w:rsidRDefault="00644950" w:rsidP="005A4E16">
      <w:pPr>
        <w:numPr>
          <w:ilvl w:val="0"/>
          <w:numId w:val="4"/>
        </w:numPr>
        <w:spacing w:before="240"/>
        <w:ind w:left="567" w:hanging="567"/>
        <w:jc w:val="both"/>
      </w:pPr>
      <w:r>
        <w:t>Om aan te tonen dat aan de bepalingen van afdeling 4.11.3.2 en punt 407 van de richtsnoeren is voldaan, geef een volledige en gedetailleerde beschrijving van de methode voor de berekening van de heffingskortingen die van toepassing zijn op de in aanmerking komende begunstigden, met vermelding van de plaats waar deze informatie te vinden is in de (ontwerp-)rechtsgrondslag (bv. artikel 7, lid 3). Met name:</w:t>
      </w:r>
    </w:p>
    <w:p w14:paraId="2E456933" w14:textId="4F8D31AD" w:rsidR="00937DCD" w:rsidRDefault="006813BD" w:rsidP="009E4296">
      <w:pPr>
        <w:pStyle w:val="ListParagraph"/>
        <w:numPr>
          <w:ilvl w:val="0"/>
          <w:numId w:val="38"/>
        </w:numPr>
        <w:spacing w:before="120" w:after="120"/>
        <w:contextualSpacing w:val="0"/>
        <w:jc w:val="both"/>
      </w:pPr>
      <w:r>
        <w:t>vermeld het maximale percentage van korting op de heffing dat van toepassing is op ondernemingen die actief zijn in de respectieve sectoren met een “aanzienlijk risico” en een “risico”;</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vermeld of de aangemelde maatregel, in vergelijking met punt i hierboven, voorziet in een verdere beperking van de extra kosten die voortvloeien uit de desbetreffende elektriciteitsheffingen. Indien dat het geval is, a) geef dan de waarde van dergelijke limieten ten opzichte van de bruto toegevoegde waarde van ondernemingen die actief zijn in “risico” en “aanzienlijk risico” lopende sectoren, en b) beschrijf hoe de bruto toegevoegde waarde van in aanmerking komende “risico” en “aanzienlijk risico” lopende sectoren” wordt berekend;</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Bevestig dat heffingskortingen niet resulteren in een heffing van minder dan 0,5 EUR/MWh.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lastRenderedPageBreak/>
        <w:t xml:space="preserve">Geef aan of de aangemelde maatregel, in overeenstemming met punt 410 van de richtsnoeren, voorziet in hogere steunintensiteiten voor ondernemingen in “risico” lopende sectoren die de koolstofvoetafdruk van hun elektriciteitsverbruik verkleinen. </w:t>
      </w:r>
    </w:p>
    <w:p w14:paraId="293F5C0A" w14:textId="77777777" w:rsidR="00937DCD" w:rsidRDefault="00C17C85" w:rsidP="005A4E16">
      <w:pPr>
        <w:pStyle w:val="ListParagraph"/>
        <w:keepLines/>
        <w:spacing w:before="120" w:after="120"/>
        <w:ind w:left="567"/>
        <w:contextualSpacing w:val="0"/>
        <w:jc w:val="both"/>
      </w:pPr>
      <w:r>
        <w:t>indien, dat het geval is:</w:t>
      </w:r>
    </w:p>
    <w:p w14:paraId="29CAF0A6" w14:textId="64FF48FB" w:rsidR="00937DCD" w:rsidRDefault="003653B6" w:rsidP="005A4E16">
      <w:pPr>
        <w:pStyle w:val="ListParagraph"/>
        <w:keepLines/>
        <w:numPr>
          <w:ilvl w:val="0"/>
          <w:numId w:val="52"/>
        </w:numPr>
        <w:spacing w:before="120" w:after="120"/>
        <w:contextualSpacing w:val="0"/>
        <w:jc w:val="both"/>
      </w:pPr>
      <w:r>
        <w:t>beschrijf de hogere steunintensiteiten en bevestig de daarmee gerelateerde voorwaarden waaraan de betrokken ondernemingen moeten voldoen (d.w.z. 50 % van het elektriciteitsverbruik uit koolstofvrije bronnen, waarvan ten minste 10 % wordt gedekt met een termijninstrument zoals een PPA of ten minste 5 % wordt gedekt met ter plaatse of in de buurt geproduceerde elektriciteit). Geef aan waar deze informatie te vinden is in de (ontwerp-)rechtsgrondslag (bv. artikel 7, lid 3).</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Beschrijf hoe de naleving van deze voorwaarden zal worden gemonitord en, in het geval van monitoring achteraf, wat het effect zou zijn in geval van niet-naleving door een onderneming.</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t xml:space="preserve">Beschrijf, indien van toepassing, eventuele verdere modulatie van het heffingskortingspercentage naargelang het gaat om begunstigden in sectoren die respectievelijk “risico” en “aanzienlijk risico” lopen”, en geef aan waar deze informatie te vinden is in de (ontwerp-)rechtsgrondslag (bv. artikel 7, lid 3). Toon aan dat a) verschillende heffingskortingen gebaseerd zijn op objectieve, niet-discriminerende en transparante criteria en dat b) de steun voor alle in aanmerking komende begunstigden in dezelfde sector in beginsel op dezelfde wijze wordt toegekend indien zij zich in een vergelijkbare feitelijke situatie bevinden.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Energieaudits en energiebeheersystemen </w:t>
            </w:r>
          </w:p>
        </w:tc>
      </w:tr>
    </w:tbl>
    <w:p w14:paraId="7C447A12" w14:textId="28CC1D2E" w:rsidR="00F17D00" w:rsidRDefault="00F17D00" w:rsidP="00F17D00">
      <w:pPr>
        <w:pStyle w:val="ListParagraph"/>
        <w:spacing w:before="120" w:after="120"/>
        <w:ind w:left="567"/>
        <w:contextualSpacing w:val="0"/>
        <w:jc w:val="both"/>
        <w:rPr>
          <w:i/>
        </w:rPr>
      </w:pPr>
      <w:r>
        <w:rPr>
          <w:i/>
        </w:rPr>
        <w:t>Voor de in dit deel te verstrekken informatie, zie afdeling 4.11.3.4 van de richtsnoeren.</w:t>
      </w:r>
    </w:p>
    <w:p w14:paraId="455D1B6E" w14:textId="06E6D973" w:rsidR="00DF586F" w:rsidRDefault="00DF586F" w:rsidP="005A4E16">
      <w:pPr>
        <w:numPr>
          <w:ilvl w:val="0"/>
          <w:numId w:val="4"/>
        </w:numPr>
        <w:spacing w:before="240"/>
        <w:ind w:left="567" w:hanging="567"/>
        <w:jc w:val="both"/>
      </w:pPr>
      <w:r>
        <w:t>Beschrijf, in overeenstemming met punt 414 van de richtsnoeren, hoe de nationale autoriteiten in het kader van de aangemelde maatregel zullen nagaan of de begunstigden voldoen aan de verplichting om een energieaudit uit te voeren in de zin van artikel 8 van Richtlijn 2012/27/EU. Vermeld waar deze informatie te vinden is in de (ontwerp-)rechtsgrondslag. (bv. artikel 7, lid 3).</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 xml:space="preserve">Volgens punt 415 van de richtsnoeren moeten begunstigden die een energieaudit moeten uitvoeren, voldoen aan ten minste een van de volgende drie opties, namelijk a) het uitvoeren van auditaanbevelingen, voor zover de terugverdientijd maximaal drie jaar bedraagt en de kosten van hun investeringen evenredig zijn, of b) het dekken van ten minste 30 % van hun elektriciteitsverbruik met koolstofvrije bronnen, of c) ten minste 50 % van de steun investeren in projecten die leiden tot aanzienlijke reducties van de broeikasgasemissies. Beschrijf hoe de nationale autoriteiten in het kader van de aangemelde maatregel erop zullen toezien dat begunstigden die krachtens artikel 8, lid 4, van Richtlijn 2012/27/EU een energieaudit moeten uitvoeren, voldoen aan een of </w:t>
      </w:r>
      <w:r>
        <w:lastRenderedPageBreak/>
        <w:t>meer van de drie opties van punt 415 van de richtsnoeren. Geef aan waar deze informatie te vinden is in de (ontwerp-)rechtsgrondslag (bv. artikel 7, lid 3). Beschrijf met name voor elke optie waarin de aangemelde maatregel voorziet:</w:t>
      </w:r>
    </w:p>
    <w:p w14:paraId="4CD0D5F0" w14:textId="6354CA9F" w:rsidR="00937DCD" w:rsidRDefault="00937DCD" w:rsidP="009E4296">
      <w:pPr>
        <w:pStyle w:val="ListParagraph"/>
        <w:numPr>
          <w:ilvl w:val="0"/>
          <w:numId w:val="41"/>
        </w:numPr>
        <w:spacing w:before="120" w:after="120"/>
        <w:jc w:val="both"/>
      </w:pPr>
      <w:r>
        <w:t>hoe de begunstigden precies moeten aantonen dat zij aan de eisen voldoen;</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wanneer de termijn is vastgesteld om aan de vereisten te voldoen (bv. om de betrokken investeringen binnen één jaar na de toekenning van de steun te voltooien) en hoe vaak de begunstigden zullen moeten aantonen dat zij aan de voorwaarden voldoen (bv. op jaarbasis);</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hoe en hoe vaak de naleving van de voorwaarden zal worden gemonitord (bv. jaarlijks);</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welke gevolgen niet-naleving heeft voor de begunstigden (bv. weigering om de steun te verlenen bij verificatie vooraf, of terugbetaling van de reeds toegekende steun, bij verificatie achteraf).</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Cumulatie</w:t>
            </w:r>
          </w:p>
        </w:tc>
      </w:tr>
    </w:tbl>
    <w:p w14:paraId="2346A85D" w14:textId="5800D648" w:rsidR="00B21377" w:rsidRPr="002A3B51" w:rsidRDefault="00B21377" w:rsidP="00B21377">
      <w:pPr>
        <w:pStyle w:val="ListParagraph"/>
        <w:spacing w:before="120" w:after="120"/>
        <w:ind w:left="567"/>
        <w:contextualSpacing w:val="0"/>
        <w:jc w:val="both"/>
      </w:pPr>
      <w:r>
        <w:t>Voor de in dit deel te verstrekken informatie, zie punten 56 en 57 van de richtsnoeren.</w:t>
      </w:r>
    </w:p>
    <w:p w14:paraId="7159B0AA" w14:textId="326791FE" w:rsidR="00E5484B" w:rsidRPr="002A3B51" w:rsidRDefault="00B10F0D" w:rsidP="005A4E16">
      <w:pPr>
        <w:numPr>
          <w:ilvl w:val="0"/>
          <w:numId w:val="4"/>
        </w:numPr>
        <w:spacing w:before="240"/>
        <w:ind w:left="567" w:hanging="567"/>
        <w:jc w:val="both"/>
      </w:pPr>
      <w:r>
        <w:t>Verduidelijk, voor zover dit niet reeds is gedaan in deel I van het algemene aanmeldingsformulier en om na te gaan of aan punt 56 van de richtsnoeren is voldaan, of de steun in het kader van de aangemelde maatregel(en) gelijktijdig op grond van meerdere steunregelingen kan worden toegekend of kan worden gecumuleerd met ad-hocsteun of de-minimissteun met betrekking tot dezelfde in aanmerking komende kosten. Indien dat het geval is, verstrek dan nadere toelichting over die steunregelingen, ad-hocsteun of de-minimissteun en leg uit hoe de steun zal worden gecumuleerd.</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Indien punt 56 van de richtsnoeren op de aangemelde steunmaatregel(en) van toepassing is, onderbouw dan hoe het totale bedrag aan steun dat in het kader van de aangemelde maatregelen voor een activiteit wordt toegekend, niet leidt tot overcompensatie en het op grond van de punten 408, 409 en 410 van de richtsnoeren toegestane maximale steunbedrag niet overschrijdt. Geef aan, voor elke maatregel, dat de in het kader van de aangemelde steunmaatregel(en) verleende steun kan worden gecumuleerd met de methode die wordt gebruikt om de voorwaarden van punt 56 van de richtsnoeren te doen naleven.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 xml:space="preserve">Indien punt 57 van de richtsnoeren van toepassing is, d.w.z. dat de in het kader van de aangemelde maatregel(en) verleende steun wordt gecombineerd met centraal beheerde </w:t>
      </w:r>
      <w:r>
        <w:lastRenderedPageBreak/>
        <w:t>Uniefinanciering</w:t>
      </w:r>
      <w:r w:rsidR="009B2F61">
        <w:rPr>
          <w:rStyle w:val="FootnoteReference"/>
          <w:lang w:eastAsia="en-GB"/>
        </w:rPr>
        <w:footnoteReference w:id="7"/>
      </w:r>
      <w:r>
        <w:t>, onderbouw dan hoe het totale bedrag aan overheidsfinanciering dat voor dezelfde in aanmerking komende kosten wordt toegekend, niet tot overcompensatie leidt.</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Overgangsregels</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Voor de in dit deel te verstrekken informatie, zie afdeling 4.11.3.5 van de richtsnoeren.</w:t>
      </w:r>
    </w:p>
    <w:p w14:paraId="50B72823" w14:textId="74224ADE" w:rsidR="009E3717" w:rsidRPr="009E3717" w:rsidRDefault="00B10F0D" w:rsidP="005A4E16">
      <w:pPr>
        <w:numPr>
          <w:ilvl w:val="0"/>
          <w:numId w:val="4"/>
        </w:numPr>
        <w:spacing w:before="240"/>
        <w:ind w:left="567" w:hanging="567"/>
        <w:jc w:val="both"/>
      </w:pPr>
      <w:r>
        <w:t xml:space="preserve">Geef aan of deze aanmelding niet-aangemelde steun omvat die in de periode voor de publicatie van de richtsnoeren is verleend in de vorm van kortingen op elektriciteitsheffingen voor energie-intensieve gebruikers. Zo ja, leg uit hoe de niet-aangemelde steun in overeenstemming is met punt 419, a) en b), van de richtsnoeren.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t xml:space="preserve">Vermeld of de aangemelde maatregel een overgangsplan bevat om ontwrichtende wijzigingen in de heffingsdruk te vermijden voor individuele ondernemingen die niet voldoen aan de in afdeling 4.11 van de richtsnoeren vastgestelde subsidiabiliteitsvoorwaarden. Zo ja, beantwoord de volgende vragen van deze afdeling.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t>Leg uit, overeenkomstig punt 416 van de richtsnoeren, hoe de subsidiabiliteit voor het overgangsplan beperkt zal zijn tot ondernemingen die i) voldoen aan de subsidiabiliteitscriteria van afdeling 3.7.2 van de richtsnoeren staatssteun ten behoeve van milieubescherming en energie 2014-2020, en ii) steun in de vorm van heffingskortingen hebben ontvangen in ten minste één van de laatste twee jaren vóór de wijziging van bestaande steunregelingen om deze in overeenstemming te brengen met de richtsnoeren. Vermeld waar deze informatie te vinden is in de (ontwerp-)rechtsgrondslag (bv. artikel 7, lid 3).</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Beschrijf hoe het overgangsplan zal leiden tot een geleidelijke en volledige aanpassing van de voorwaarden die voortvloeien uit de toepassing van de subsidiabiliteits- en evenredigheidscriteria van afdeling 4.11 van de richtsnoeren, en met name hoe de steunintensiteit in de loop van de tijd afneemt en hoe het plafond voor de bruto toegevoegde waarde in de loop van de tijd toeneemt overeenkomstig het in punt 417 van de richtsnoeren genoemde tijdschema. Vermeld specifiek waar deze informatie te vinden is in de (ontwerp-)rechtsgrondslag (bv. artikel 7, lid 3).</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 xml:space="preserve">Geef aan of het overgangsplan bij wijze van uitzondering vaste steunintensiteiten gedurende de gehele overgangsperiode toestaat, op voorwaarde dat de betrokken ondernemingen de koolstofvoetafdruk van hun elektriciteitsverbruik verkleinen </w:t>
      </w:r>
      <w:r>
        <w:lastRenderedPageBreak/>
        <w:t>overeenkomstig de voorwaarden van punt 418 van de richtsnoeren (d.w.z. 50 % van het elektriciteitsverbruik uit koolstofvrije bronnen, waarvan ten minste 10 % van een termijninstrument zoals een PPA, of ten minste 5 % van de productie ter plaatse of nabij de locatie). Zo ja, geef aan waar deze informatie te vinden is in de (ontwerp-)rechtsgrondslag (bv. artikel 7, lid 3) en leg uit hoe de naleving van punt 418 van de richtsnoeren wordt gewaarborgd en gecontroleerd door de nationale autoriteiten.</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Transparantie</w:t>
            </w:r>
          </w:p>
        </w:tc>
      </w:tr>
    </w:tbl>
    <w:p w14:paraId="1E96F77E" w14:textId="2D16554D" w:rsidR="00016924" w:rsidRPr="005A4E16" w:rsidRDefault="006773CE" w:rsidP="005A4E16">
      <w:pPr>
        <w:keepNext/>
        <w:keepLines/>
        <w:spacing w:before="360" w:after="120"/>
        <w:jc w:val="both"/>
        <w:rPr>
          <w:i/>
        </w:rPr>
      </w:pPr>
      <w:r>
        <w:rPr>
          <w:i/>
        </w:rPr>
        <w:t xml:space="preserve">Voor de in dit deel te verstrekken informatie, zie afdeling 3.2.1.4 (punten 58 tot en met 62) van de richtsnoeren.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Bevestig dat de lidstaat zal voldoen aan de voorwaarden inzake transparantie van de punten 58 tot en met 61 van de richtsnoeren.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02AC33DB" w:rsidR="005440AC" w:rsidRPr="00421F63" w:rsidRDefault="006B7161" w:rsidP="005A4E16">
      <w:pPr>
        <w:keepLines/>
        <w:numPr>
          <w:ilvl w:val="0"/>
          <w:numId w:val="4"/>
        </w:numPr>
        <w:spacing w:before="240"/>
        <w:ind w:left="567" w:hanging="567"/>
        <w:jc w:val="both"/>
      </w:pPr>
      <w:r>
        <w:t xml:space="preserve">Om na te gaan of aan punt 61 van de richtsnoeren is voldaan, bevestig dat de in punt 58, b), verstrekte informatie beschikbaar zal blijven gedurende ten minste tien jaar vanaf de datum waarop de steun is toegekend, teneinde de handhaving van de staatssteunregels uit hoofde van het VWEU mogelijk te maken.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Vermijden van ongewenste negatieve effecten op de mededinging en het handelsverkeer</w:t>
            </w:r>
          </w:p>
        </w:tc>
      </w:tr>
    </w:tbl>
    <w:p w14:paraId="6CD3884F" w14:textId="64CDB00B" w:rsidR="00F83660" w:rsidRPr="00B215FD" w:rsidRDefault="00F83660" w:rsidP="000C2EFD">
      <w:pPr>
        <w:keepNext/>
        <w:keepLines/>
        <w:spacing w:before="360" w:after="120"/>
        <w:jc w:val="both"/>
        <w:rPr>
          <w:i/>
        </w:rPr>
      </w:pPr>
      <w:r>
        <w:rPr>
          <w:i/>
        </w:rPr>
        <w:t xml:space="preserve">Voor de in dit deel te verstrekken informatie, zie afdeling 3.2.2 van de richtsnoeren. </w:t>
      </w:r>
    </w:p>
    <w:p w14:paraId="5D5F17EA" w14:textId="02FA14EA" w:rsidR="00F83660" w:rsidRPr="001D7B55" w:rsidRDefault="00F83660" w:rsidP="005A4E16">
      <w:pPr>
        <w:keepLines/>
        <w:numPr>
          <w:ilvl w:val="0"/>
          <w:numId w:val="4"/>
        </w:numPr>
        <w:spacing w:before="240"/>
        <w:ind w:left="567" w:hanging="567"/>
        <w:jc w:val="both"/>
      </w:pPr>
      <w:r>
        <w:t>Om na te gaan of aan punt 70 van de richtsnoeren is voldaan:</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bevestig dat de duur van de regeling maximaal tien jaar is, te rekenen vanaf de datum van kennisgeving van het besluit van de Commissie waarbij de steun verenigbaar werd verklaard;</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t xml:space="preserve">bevestig dat, indien een lidstaat de maatregel na die maximumperiode van tien jaar wenst te verlengen, hij de maatregel opnieuw zal aanmelden.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lastRenderedPageBreak/>
              <w:t>Afweging tussen de positieve effecten van de steun en de negatieve effecten ervan op de mededinging en het handelsverkeer</w:t>
            </w:r>
          </w:p>
        </w:tc>
      </w:tr>
    </w:tbl>
    <w:p w14:paraId="2BA426DC" w14:textId="523B5AF6" w:rsidR="00265702" w:rsidRPr="00863406" w:rsidRDefault="00265702" w:rsidP="000C2EFD">
      <w:pPr>
        <w:keepNext/>
        <w:keepLines/>
        <w:spacing w:before="360" w:after="120"/>
        <w:jc w:val="both"/>
        <w:rPr>
          <w:i/>
          <w:color w:val="000000"/>
        </w:rPr>
      </w:pPr>
      <w:r>
        <w:rPr>
          <w:i/>
        </w:rPr>
        <w:t>Voor de in dit deel te verstrekken informatie, zie afdeling 3.3 (punten 71 tot en met 76) en punten 400, 401 en 402 van de richtsnoeren.</w:t>
      </w:r>
      <w:r>
        <w:rPr>
          <w:i/>
          <w:color w:val="000000"/>
        </w:rPr>
        <w:t xml:space="preserve"> </w:t>
      </w:r>
    </w:p>
    <w:p w14:paraId="18165957" w14:textId="76C6222C" w:rsidR="004B2EF3" w:rsidRPr="00AC1973" w:rsidRDefault="004B2EF3" w:rsidP="005A4E16">
      <w:pPr>
        <w:keepLines/>
        <w:numPr>
          <w:ilvl w:val="0"/>
          <w:numId w:val="4"/>
        </w:numPr>
        <w:spacing w:before="240"/>
        <w:ind w:left="567" w:hanging="567"/>
        <w:jc w:val="both"/>
      </w:pPr>
      <w:r>
        <w:t>Verduidelijk in overeenstemming met punt 75 van de richtsnoeren of de aangemelde maatregel kenmerken bevat om de deelname van kmo’s te vergemakkelijken. Indien dit het geval is, geef dan informatie over die kenmerken en onderbouw hoe de positieve effecten van het waarborgen van de deelname en aanvaarding van kmo’s in de aangemelde maatregelen opwegen tegen de mogelijke verstorende effecten.</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Wat de toepassing van punt 76, c), van de richtsnoeren betreft, geef aan of voor de steunmaatregel(en) een beperking in de tijd geldt.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Evaluatie</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Voor de in dit deel te verstrekken informatie, zie punt 76, a), en hoofdstuk 5 (punten 455 tot en met 463) van de richtsnoeren.</w:t>
      </w:r>
    </w:p>
    <w:p w14:paraId="7C72F6EA" w14:textId="04D9ACCD" w:rsidR="00FD7E6B" w:rsidRDefault="00FD7E6B" w:rsidP="005A4E16">
      <w:pPr>
        <w:numPr>
          <w:ilvl w:val="0"/>
          <w:numId w:val="4"/>
        </w:numPr>
        <w:spacing w:before="240"/>
        <w:ind w:left="567" w:hanging="567"/>
        <w:jc w:val="both"/>
      </w:pPr>
      <w:r>
        <w:t>Indien de aangemelde maatregelen de budget- of uitgavendrempels in punt 456 van de richtsnoeren overschrijden, leg uit waarom volgens u de uitzondering in punt 457 van de richtsnoeren van toepassing moet zijn, of voeg bij dit formulier aanvullende informatie voor staatssteun een bijlage die een ontwerp-evaluatieplan bevat dat de in punt 458 van de richtsnoeren vermelde werkingssfeer bestrijkt</w:t>
      </w:r>
      <w:r w:rsidRPr="00C7201E">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Indien u een ontwerp-evaluatieplan verstrekt:</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verstrek hieronder een samenvatting van dat ontwerp-evaluatieplan dat in de bijlage is opgenomen;</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bevestig dat punt 460 van de richtsnoeren zal worden nageleefd;</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vermeld de datum en de internetlink waar het evaluatieplan openbaar zal worden gemaakt.</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lastRenderedPageBreak/>
        <w:t xml:space="preserve">Bevestig, om na te gaan of aan punt 459, b), van de richtsnoeren is voldaan, indien momenteel voor de steunregeling geen evaluatie achteraf moet worden uitgevoerd en de looptijd ervan meer dan drie jaar bedraagt, dat u uiterlijk dertig werkdagen na een aanzienlijke wijziging waarbij het budget van de regeling is verhoogd tot meer dan 150 miljoen EUR in een bepaald jaar of tot meer dan 750 miljoen EUR over de totale looptijd van de regeling, een ontwerp-evaluatieplan zult aanmelden.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 xml:space="preserve">Om na te gaan of aan punt 459, c), van de richtsnoeren is voldaan, indien momenteel voor de steunregeling geen evaluatie achteraf moet worden uitgevoerd, geef hieronder de toezegging dat de lidstaat uiterlijk dertig werkdagen na de vastlegging in de officiële boekhouding van meer dan 150 miljoen EUR aan uitgaven in het voorafgaande jaar, een ontwerp-evaluatieplan zal aanmelden.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Om na te gaan of aan punt 461 van de richtsnoeren is voldaan:</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geef aan of de onafhankelijke deskundige reeds is geselecteerd of in de toekomst zal worden geselecteerd;</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verstrek informatie over de procedure voor de selectie van de deskundige;</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onderbouw hoe de deskundige onafhankelijk is van de toekennende autoriteit.</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Om na te gaan of aan punt 461 van de richtsnoeren is voldaan: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vermeld de door u voorgestelde termijnen voor de indiening van het tussentijdse en het eindevaluatieverslag. Het eindevaluatieverslag moet tijdig bij de Commissie worden ingediend zodat zij de eventuele verlenging van de steunregeling kan beoordelen, en uiterlijk negen maanden voordat de regeling afloopt, in overeenstemming met punt 463 van de richtsnoeren. Die termijn kan worden verkort voor regelingen waarbij de evaluatieverplichting in de twee laatste jaren van uitvoering wordt geactiveerd;</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Bevestig dat het tussentijdse en het eindevaluatieverslag openbaar zullen worden gemaakt. Vermeld de datum en de internetlink waar die verslagen openbaar zullen worden gemaakt.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lastRenderedPageBreak/>
              <w:t>Rapportage en monitoring</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Voor de in dit deel te verstrekken informatie, zie afdeling 6 (punten 464 en 465) van de richtsnoeren.</w:t>
      </w:r>
    </w:p>
    <w:p w14:paraId="3FBE246E" w14:textId="1FB553B4" w:rsidR="00FD7E6B" w:rsidRDefault="00FD7E6B" w:rsidP="005A4E16">
      <w:pPr>
        <w:keepLines/>
        <w:numPr>
          <w:ilvl w:val="0"/>
          <w:numId w:val="4"/>
        </w:numPr>
        <w:spacing w:before="240"/>
        <w:ind w:left="567" w:hanging="567"/>
        <w:jc w:val="both"/>
      </w:pPr>
      <w:r>
        <w:t>Bevestig dat de lidstaat zal voldoen aan de voorwaarden inzake rapportage en monitoring van afdeling 6 (punten 464 en 465) van de richtsnoeren.</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PB C 80 van 18.2.2022, blz. 1.</w:t>
      </w:r>
    </w:p>
  </w:footnote>
  <w:footnote w:id="3">
    <w:p w14:paraId="40B31757" w14:textId="710C01BF" w:rsidR="00B77C6D" w:rsidRDefault="00B77C6D" w:rsidP="00B77C6D">
      <w:pPr>
        <w:pStyle w:val="FootnoteText"/>
      </w:pPr>
      <w:r>
        <w:rPr>
          <w:rStyle w:val="FootnoteReference"/>
        </w:rPr>
        <w:footnoteRef/>
      </w:r>
      <w:r>
        <w:tab/>
        <w:t xml:space="preserve">De looptijd van een steunregeling is de periode waarin steun kan worden aangevraagd en waarin tot verlening van de steun kan worden besloten (dus met inbegrip van de tijd die de autoriteiten nodig hebben om de steunaanvragen goed te keuren). De in deze vraag bedoelde looptijd heeft geen betrekking op de looptijd van de in het kader van de steunregeling gesloten contracten, die na de looptijd van de maatregel kunnen voortduren. </w:t>
      </w:r>
    </w:p>
  </w:footnote>
  <w:footnote w:id="4">
    <w:p w14:paraId="28F42BB8" w14:textId="2923C271" w:rsidR="0068024A" w:rsidRPr="0067348B" w:rsidRDefault="0068024A" w:rsidP="0068024A">
      <w:pPr>
        <w:pStyle w:val="FootnoteText"/>
      </w:pPr>
      <w:r>
        <w:rPr>
          <w:rStyle w:val="FootnoteReference"/>
        </w:rPr>
        <w:footnoteRef/>
      </w:r>
      <w:r>
        <w:tab/>
        <w:t>Een wijziging van het werkelijke of het geraamde budget kan een wijziging van de steun inhouden, waarvoor een nieuwe aanmelding is vereist.</w:t>
      </w:r>
    </w:p>
  </w:footnote>
  <w:footnote w:id="5">
    <w:p w14:paraId="3A832CB6" w14:textId="77777777" w:rsidR="00FE3196" w:rsidRPr="00D6380C" w:rsidRDefault="00FE3196" w:rsidP="00470AF2">
      <w:pPr>
        <w:pStyle w:val="FootnoteText"/>
        <w:ind w:left="567" w:hanging="567"/>
      </w:pPr>
      <w:r>
        <w:rPr>
          <w:rStyle w:val="FootnoteReference"/>
        </w:rPr>
        <w:footnoteRef/>
      </w:r>
      <w:r>
        <w:tab/>
        <w:t>In de definitie van de statistische nomenclatuur van de economische activiteiten in de Europese Unie (“NACE rev. 2”-nomenclatuur), tot op een niveau van uitsplitsing van ten hoogste acht cijfers (“Prodcom”-niveau).</w:t>
      </w:r>
    </w:p>
  </w:footnote>
  <w:footnote w:id="6">
    <w:p w14:paraId="555714D6" w14:textId="77777777" w:rsidR="00FE3196" w:rsidRPr="00D91CFC" w:rsidRDefault="00FE3196" w:rsidP="00470AF2">
      <w:pPr>
        <w:pStyle w:val="FootnoteText"/>
        <w:ind w:left="567" w:hanging="567"/>
      </w:pPr>
      <w:r>
        <w:rPr>
          <w:rStyle w:val="FootnoteReference"/>
        </w:rPr>
        <w:footnoteRef/>
      </w:r>
      <w:r>
        <w:tab/>
        <w:t>Bijvoorbeeld gegevens die een significant percentage van de bruto toegevoegde waarde op EU-niveau van de betrokken sector of subsector bestrijken.</w:t>
      </w:r>
    </w:p>
  </w:footnote>
  <w:footnote w:id="7">
    <w:p w14:paraId="086AD512" w14:textId="7087BE19" w:rsidR="00FE3196" w:rsidRDefault="00FE3196">
      <w:pPr>
        <w:pStyle w:val="FootnoteText"/>
      </w:pPr>
      <w:r>
        <w:rPr>
          <w:rStyle w:val="FootnoteReference"/>
        </w:rPr>
        <w:footnoteRef/>
      </w:r>
      <w:r>
        <w:tab/>
        <w:t>Centraal beheerde Uniefinanciering is centraal door de instellingen, agentschappen, gemeenschappelijke ondernemingen of andere instanties van de Europese Unie beheerde Uniefinanciering die niet direct of indirect onder de controle van de lidstaat staat.</w:t>
      </w:r>
    </w:p>
  </w:footnote>
  <w:footnote w:id="8">
    <w:p w14:paraId="2FB02E44" w14:textId="77777777" w:rsidR="00FD7E6B" w:rsidRDefault="00FD7E6B" w:rsidP="00FD7E6B">
      <w:pPr>
        <w:pStyle w:val="FootnoteText"/>
      </w:pPr>
      <w:r>
        <w:rPr>
          <w:rStyle w:val="FootnoteReference"/>
        </w:rPr>
        <w:footnoteRef/>
      </w:r>
      <w:r>
        <w:tab/>
        <w:t xml:space="preserve">Het model voor het formulier aanvullende informatie voor de aanmelding van een evaluatieplan (deel III.8) is hier te vinden: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2671A"/>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422D"/>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nl-NL"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nl-NL"/>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nl-N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2.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customXml/itemProps3.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D52C06CA-21D3-4CD0-95B2-A3BF4E6138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4370</Words>
  <Characters>24779</Characters>
  <Application>Microsoft Office Word</Application>
  <DocSecurity>0</DocSecurity>
  <Lines>516</Lines>
  <Paragraphs>167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4</cp:revision>
  <cp:lastPrinted>2022-10-05T12:42:00Z</cp:lastPrinted>
  <dcterms:created xsi:type="dcterms:W3CDTF">2024-08-01T10:54:00Z</dcterms:created>
  <dcterms:modified xsi:type="dcterms:W3CDTF">2024-09-06T15:27:00Z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