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Del III.6</w:t>
            </w:r>
          </w:p>
          <w:p w14:paraId="1C239D2C" w14:textId="171BCF76" w:rsidR="000442F5" w:rsidRPr="009916D5" w:rsidRDefault="00531803" w:rsidP="007B485D">
            <w:pPr>
              <w:pStyle w:val="Heading2"/>
              <w:spacing w:before="240" w:after="240"/>
              <w:jc w:val="center"/>
              <w:rPr>
                <w:sz w:val="32"/>
                <w:szCs w:val="32"/>
              </w:rPr>
            </w:pPr>
            <w:r>
              <w:rPr>
                <w:sz w:val="32"/>
              </w:rPr>
              <w:t>Formulär för kompletterande information om statligt stöd som beviljas enligt riktlinjerna för statligt stöd till klimat, miljöskydd och energi 2022 (riktlinjerna)</w:t>
            </w:r>
            <w:r w:rsidR="007B485D" w:rsidRPr="009916D5">
              <w:rPr>
                <w:sz w:val="32"/>
                <w:szCs w:val="32"/>
                <w:vertAlign w:val="superscript"/>
              </w:rPr>
              <w:footnoteReference w:id="2"/>
            </w:r>
            <w:r>
              <w:rPr>
                <w:sz w:val="32"/>
              </w:rPr>
              <w:t xml:space="preserve"> </w:t>
            </w:r>
            <w:bookmarkEnd w:id="0"/>
            <w:bookmarkEnd w:id="1"/>
          </w:p>
          <w:p w14:paraId="34AE2082" w14:textId="77777777" w:rsidR="002B52B3" w:rsidRDefault="002B52B3" w:rsidP="00AB6B5D">
            <w:pPr>
              <w:jc w:val="center"/>
              <w:rPr>
                <w:sz w:val="32"/>
                <w:szCs w:val="32"/>
              </w:rPr>
            </w:pPr>
            <w:r>
              <w:rPr>
                <w:sz w:val="32"/>
              </w:rPr>
              <w:t>Kapitel 4.11 – Stöd i form av sänkta elavgifter för energiintensiva användare</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Pr>
          <w:i/>
        </w:rPr>
        <w:t>Detta kompletterande informationsformulär ska användas för anmälan av stöd som omfattas av riktlinjerna för statligt stöd till klimat, miljöskydd och energi 2022 (klimat-, miljö- och energiriktlinjerna).</w:t>
      </w:r>
    </w:p>
    <w:p w14:paraId="1B60656B" w14:textId="5A450E3F" w:rsidR="009E2EA1" w:rsidRPr="00711243" w:rsidRDefault="0072538B" w:rsidP="009E2EA1">
      <w:pPr>
        <w:spacing w:before="120" w:after="120"/>
        <w:ind w:right="-142"/>
        <w:jc w:val="both"/>
        <w:rPr>
          <w:i/>
          <w:iCs/>
        </w:rPr>
      </w:pPr>
      <w:r>
        <w:rPr>
          <w:i/>
        </w:rPr>
        <w:t xml:space="preserve">Det kompletterande informationsformuläret avser åtgärder som omfattas av kapitel 4.11 i riktlinjerna. Om anmälan inbegriper åtgärder som omfattas av mer än ett kapitel i riktlinjerna ska även det det kompletterande informationsformulär som rör det aktuella kapitel i riktlinjerna fyllas i när det finns tillgängligt. </w:t>
      </w:r>
    </w:p>
    <w:p w14:paraId="05E36007" w14:textId="48DD17A5" w:rsidR="009E2EA1" w:rsidRPr="00711243" w:rsidRDefault="009E2EA1" w:rsidP="009E2EA1">
      <w:pPr>
        <w:spacing w:before="120" w:after="120"/>
        <w:ind w:right="-142"/>
        <w:jc w:val="both"/>
        <w:rPr>
          <w:i/>
          <w:iCs/>
        </w:rPr>
      </w:pPr>
      <w:r>
        <w:rPr>
          <w:i/>
        </w:rPr>
        <w:t>Alla dokument som medlemsstaterna bifogar detta kompletterande informationsformulär som bilagor måste numreras, och dokumentnumren måste anges i de tillämpliga avsnitten av detta formulär.</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br w:type="page"/>
            </w:r>
            <w:r>
              <w:br w:type="page"/>
            </w:r>
            <w:r>
              <w:rPr>
                <w:b/>
                <w:sz w:val="32"/>
              </w:rPr>
              <w:t>Avsnitt A: Sammanfattning av huvuddragen i den eller de anmälda åtgärderna</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Bakgrund och mål för den eller de anmälda åtgärderna:</w:t>
      </w:r>
    </w:p>
    <w:p w14:paraId="53AAF227" w14:textId="40775AB0" w:rsidR="00931262" w:rsidRDefault="00931262" w:rsidP="004F64BC">
      <w:pPr>
        <w:pStyle w:val="ListParagraph"/>
        <w:keepLines/>
        <w:numPr>
          <w:ilvl w:val="0"/>
          <w:numId w:val="21"/>
        </w:numPr>
        <w:spacing w:after="240"/>
        <w:ind w:left="993" w:hanging="142"/>
        <w:jc w:val="both"/>
      </w:pPr>
      <w:r>
        <w:t>Ange om det rör sig om en ny åtgärd eller en ändring av en befintlig åtgärd. Om det rör sig om en ändring, lämna närmare uppgifter om ändringarna av stödordningen.</w:t>
      </w:r>
    </w:p>
    <w:p w14:paraId="664A8EEB" w14:textId="77777777" w:rsidR="00931262" w:rsidRDefault="00931262" w:rsidP="00931262">
      <w:pPr>
        <w:tabs>
          <w:tab w:val="left" w:leader="dot" w:pos="9072"/>
        </w:tabs>
        <w:spacing w:before="120" w:after="120"/>
        <w:ind w:left="567"/>
        <w:jc w:val="both"/>
      </w:pPr>
      <w:r>
        <w:tab/>
      </w:r>
    </w:p>
    <w:p w14:paraId="0E53E6F4" w14:textId="5B9AA4D5" w:rsidR="00B77C6D" w:rsidRDefault="003030FB" w:rsidP="00B77C6D">
      <w:pPr>
        <w:pStyle w:val="ListParagraph"/>
        <w:numPr>
          <w:ilvl w:val="0"/>
          <w:numId w:val="21"/>
        </w:numPr>
        <w:spacing w:after="240"/>
        <w:ind w:left="993" w:hanging="142"/>
        <w:jc w:val="both"/>
      </w:pPr>
      <w:r>
        <w:t xml:space="preserve">Om det inte redan har beskrivits i avsnitt 5.2 i formuläret för allmän information (del I), beskriv bakgrunden och huvudsyftet, inklusive förhållandet till eventuella miljömål i unionen som åtgärden är avsedd att stödja.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Ange eventuella andra mål som eftersträvas med åtgärden. För alla mål som inte är rent ekologiska, ange om de kan leda till snedvridningar på den inre marknaden.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bCs/>
        </w:rPr>
        <w:t>Ikraftträdande och giltighetstid</w:t>
      </w:r>
      <w:r>
        <w:t>:</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I den mån det inte redan har tagits upp i avsnitt 5.5 i formuläret för allmän information (del I), ange</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i fråga om stödordningar: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Det datum från och med vilket stödordningen planeras träda i kraft.</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Licensens giltighetstid</w:t>
      </w:r>
      <w:r w:rsidRPr="0096487F">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För individuellt stöd: Datum för (planerat) beviljande av stöd (löfte om stöd) och betalningsdatum (första betalningsdatum om flera på varandra följande utbetalningar planeras):</w:t>
      </w:r>
    </w:p>
    <w:p w14:paraId="6C726222" w14:textId="7D188916" w:rsidR="00EA7FBC" w:rsidRPr="00E7597C" w:rsidRDefault="00B77C6D" w:rsidP="00E7597C">
      <w:pPr>
        <w:pStyle w:val="ListParagraph"/>
        <w:spacing w:before="120" w:after="120"/>
        <w:contextualSpacing w:val="0"/>
        <w:rPr>
          <w:szCs w:val="24"/>
        </w:rPr>
      </w:pPr>
      <w:r>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t>Mottagare</w:t>
      </w:r>
      <w:r>
        <w:rPr>
          <w:b/>
        </w:rPr>
        <w:tab/>
      </w:r>
    </w:p>
    <w:p w14:paraId="06E5A4C8" w14:textId="44380450" w:rsidR="00B77C6D" w:rsidRDefault="0068024A" w:rsidP="00B77C6D">
      <w:pPr>
        <w:pStyle w:val="ListParagraph"/>
        <w:numPr>
          <w:ilvl w:val="0"/>
          <w:numId w:val="22"/>
        </w:numPr>
        <w:spacing w:after="240"/>
        <w:ind w:hanging="229"/>
        <w:jc w:val="both"/>
        <w:rPr>
          <w:szCs w:val="24"/>
        </w:rPr>
      </w:pPr>
      <w:r>
        <w:t>Om det inte redan har uppgetts i avsnitt 3 i formuläret för allmän information (del I), beskriv (potentiell(a)) stödmottagare för åtgärden/åtgärderna.</w:t>
      </w:r>
    </w:p>
    <w:p w14:paraId="32EF3438" w14:textId="77777777" w:rsidR="00B77C6D" w:rsidRPr="00564D5B" w:rsidRDefault="00B77C6D" w:rsidP="00B77C6D">
      <w:pPr>
        <w:tabs>
          <w:tab w:val="left" w:leader="dot" w:pos="9072"/>
        </w:tabs>
        <w:spacing w:before="120" w:after="120"/>
        <w:ind w:left="567"/>
        <w:jc w:val="both"/>
      </w:pPr>
      <w:r>
        <w:lastRenderedPageBreak/>
        <w:tab/>
      </w:r>
    </w:p>
    <w:p w14:paraId="1DB31E97" w14:textId="77777777" w:rsidR="00B77C6D" w:rsidRPr="00C55D4C" w:rsidRDefault="00B77C6D" w:rsidP="00B77C6D">
      <w:pPr>
        <w:pStyle w:val="ListParagraph"/>
        <w:numPr>
          <w:ilvl w:val="0"/>
          <w:numId w:val="22"/>
        </w:numPr>
        <w:spacing w:after="240"/>
        <w:ind w:hanging="229"/>
        <w:jc w:val="both"/>
        <w:rPr>
          <w:szCs w:val="24"/>
        </w:rPr>
      </w:pPr>
      <w:r>
        <w:t>Ange var (de potentiella) stödmottagarna är belägna (dvs. om endast ekonomiska enheter belägna i respektive medlemsstat får delta i åtgärden eller även ekonomiska enheter i andra medlemsstater).</w:t>
      </w:r>
    </w:p>
    <w:p w14:paraId="7BA93CF3" w14:textId="77777777" w:rsidR="00B77C6D" w:rsidRDefault="00B77C6D" w:rsidP="00B77C6D">
      <w:pPr>
        <w:tabs>
          <w:tab w:val="left" w:leader="dot" w:pos="9072"/>
        </w:tabs>
        <w:spacing w:before="120" w:after="120"/>
        <w:ind w:left="567"/>
        <w:jc w:val="both"/>
      </w:pPr>
      <w:r>
        <w:tab/>
      </w:r>
    </w:p>
    <w:p w14:paraId="798E9E39" w14:textId="24A981FB" w:rsidR="00B77C6D" w:rsidRDefault="00B77C6D" w:rsidP="00B77C6D">
      <w:pPr>
        <w:pStyle w:val="ListParagraph"/>
        <w:numPr>
          <w:ilvl w:val="0"/>
          <w:numId w:val="22"/>
        </w:numPr>
        <w:spacing w:after="240"/>
        <w:ind w:hanging="229"/>
        <w:jc w:val="both"/>
        <w:rPr>
          <w:szCs w:val="24"/>
        </w:rPr>
      </w:pPr>
      <w:r>
        <w:t xml:space="preserve">För att bedöma efterlevnaden av punkt 15 i riktlinjerna, ange om stöd genom denna/dessa åtgärd/er beviljas företag (enskilt eller som del av en stödordning) som är föremål för ett oreglerat betalningskrav till följd av ett tidigare kommissionsbeslut som förklarat ett stöd olagligt och oförenligt med den inre marknaden.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Om så är fallet, ange det stödbelopp som återstår att återbetala så att kommissionen tar hänsyn till detta vid bedömningen av åtgärden/åtgärderna. </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Bekräfta att åtgärden/åtgärderna inte inbegriper stöd till verksamheter som inte ingår i riktlinjernas tillämpningsområde (se punkt 13 i riktlinjerna). I annat fall, lämna närmare uppgifter.</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Pr>
          <w:b/>
          <w:bCs/>
        </w:rPr>
        <w:t>Budget för och finansiering av åtgärden/åtgärderna.</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Om det inte redan har uppgetts i tabellen i avsnitt 7.1 i formuläret för allmän information (del I), ange den årliga budgeten och/eller den totala budgeten för åtgärdens eller åtgärdernas hela varaktighet. Om den totala budgeten inte är känd (t.ex. för att den beror på resultaten av upphandlingar), ange en beräknad budget, inklusive de beräkningsantaganden som ligger till grund för denna.</w:t>
      </w:r>
      <w:r>
        <w:rPr>
          <w:vertAlign w:val="superscript"/>
        </w:rPr>
        <w:t xml:space="preserve"> </w:t>
      </w:r>
      <w:r w:rsidRPr="00D86D38">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Om åtgärden gäller en avgift, ange om</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avgiften fastställs i lag eller någon annan lagstiftningsakt. Om så är fallet, ange rättsaktens nummer och datum för när den antogs och trädde i kraft samt internetlänken till rättsakten.</w:t>
      </w:r>
    </w:p>
    <w:p w14:paraId="1754D836" w14:textId="77777777" w:rsidR="00B77C6D" w:rsidRDefault="00B77C6D" w:rsidP="00E7597C">
      <w:pPr>
        <w:keepLines/>
        <w:tabs>
          <w:tab w:val="left" w:leader="dot" w:pos="9072"/>
        </w:tabs>
        <w:spacing w:before="120" w:after="120"/>
        <w:ind w:left="927"/>
        <w:jc w:val="both"/>
      </w:pPr>
      <w:r>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t>avgiftssänkningen finansieras genom en höjning av avgiften för andra konsumenter</w:t>
      </w:r>
      <w:bookmarkEnd w:id="4"/>
      <w:r>
        <w:t>.</w:t>
      </w:r>
    </w:p>
    <w:p w14:paraId="63B7575D" w14:textId="6407E221" w:rsidR="00B77C6D" w:rsidRDefault="001F75B2" w:rsidP="00E7597C">
      <w:pPr>
        <w:keepLines/>
        <w:tabs>
          <w:tab w:val="left" w:leader="dot" w:pos="9072"/>
        </w:tabs>
        <w:spacing w:before="120" w:after="120"/>
        <w:ind w:left="927"/>
        <w:jc w:val="both"/>
      </w:pPr>
      <w:r>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lastRenderedPageBreak/>
        <w:t>Avgiften finansierar åtgärden helt eller endast delvis. Om avgiften endast delvis finansierar åtgärden, ange övriga finansieringskällor för åtgärden och deras respektive andel.</w:t>
      </w:r>
    </w:p>
    <w:p w14:paraId="56091CF7" w14:textId="77777777" w:rsidR="00B77C6D" w:rsidRDefault="00B77C6D" w:rsidP="00E7597C">
      <w:pPr>
        <w:keepLines/>
        <w:tabs>
          <w:tab w:val="left" w:leader="dot" w:pos="9072"/>
        </w:tabs>
        <w:spacing w:before="120" w:after="120"/>
        <w:ind w:left="927"/>
        <w:jc w:val="both"/>
      </w:pPr>
      <w:r>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Den avgift som finansierar den anmälda åtgärden finansierar även andra stödåtgärder. Ange i sådana fall övriga stödåtgärder som finansieras genom den berörda avgiften.</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t>Avsnitt B: Bedömning av stödets förenlighet med den inre marknaden</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Positivt villkor: stödet ska underlätta utvecklingen av en näringsverksamhet</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Pr>
                <w:sz w:val="24"/>
              </w:rPr>
              <w:t>Bidrag till utvecklingen av en näringsverksamhet och stimulanseffekt</w:t>
            </w:r>
          </w:p>
        </w:tc>
      </w:tr>
    </w:tbl>
    <w:p w14:paraId="1E2599D2" w14:textId="090DDB6C" w:rsidR="000442F5" w:rsidRPr="00DB40A5" w:rsidRDefault="000442F5" w:rsidP="00D304A1">
      <w:pPr>
        <w:keepLines/>
        <w:spacing w:before="360" w:after="120"/>
        <w:jc w:val="both"/>
        <w:rPr>
          <w:i/>
        </w:rPr>
      </w:pPr>
      <w:r>
        <w:rPr>
          <w:i/>
        </w:rPr>
        <w:t xml:space="preserve">För att lämna information i detta avsnitt, se avsnitt 4.11.1 i riktlinjerna. </w:t>
      </w:r>
    </w:p>
    <w:p w14:paraId="3B179A23" w14:textId="692B32B4" w:rsidR="00FE59FF" w:rsidRDefault="00956022" w:rsidP="007D3768">
      <w:pPr>
        <w:numPr>
          <w:ilvl w:val="0"/>
          <w:numId w:val="4"/>
        </w:numPr>
        <w:ind w:left="426" w:hanging="426"/>
        <w:jc w:val="both"/>
      </w:pPr>
      <w:r>
        <w:t xml:space="preserve">Enligt artikel 107.3 c i fördraget om Europeiska unionens funktionssätt (EUF-fördraget) får kommissionen förklara som förenligt med den inre marknaden ”stöd för att underlätta utveckling av vissa näringsverksamheter eller vissa regioner, när det inte påverkar handeln i negativ riktning i en omfattning som strider mot det gemensamma intresset”. Därför måste stöd bidra till utvecklingen av en viss näringsverksamhet för att vara förenligt med den inre marknaden enligt denna bestämmelse i EUF-fördraget. </w:t>
      </w:r>
    </w:p>
    <w:p w14:paraId="3D019745" w14:textId="31E2DE72" w:rsidR="00C75792" w:rsidRPr="008515FB" w:rsidRDefault="00FE59FF" w:rsidP="00E7597C">
      <w:pPr>
        <w:spacing w:before="240"/>
        <w:ind w:left="357"/>
        <w:jc w:val="both"/>
      </w:pPr>
      <w:r>
        <w:t>Statligt stöd kan vidare endast anses underlätta en näringsverksamhet om det har en stimulanseffekt. En stimulanseffekt uppstår när stödet uppmuntrar stödmottagaren att ändra sitt beteende för att utveckla en näringsverksamhet som eftersträvas genom stödet och om denna beteendeförändringen inte annars skulle inträda utan stödet.</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 xml:space="preserve">Förklara hur mekanismen för avgiftssänkning ger stödberättigade företag incitament att undvika risken för att verksamheter flyttar till länder utanför unionen med obefintliga eller mindre ambitiösa miljöregler eller incitament för att uppmuntra företagen till elektrifiering av produktionsprocesser i enlighet med punkt 400 i riktlinjerna.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Ange i vilken del av (utkastet till) rättslig grund som detta övervägande återspeglas.</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Ingen överträdelse av tillämpliga bestämmelser i unionsrätten</w:t>
            </w:r>
          </w:p>
        </w:tc>
      </w:tr>
    </w:tbl>
    <w:p w14:paraId="665FE026" w14:textId="0459581F" w:rsidR="00DE1D68" w:rsidRDefault="00DE1D68" w:rsidP="00DE1D68">
      <w:pPr>
        <w:spacing w:before="360" w:after="120"/>
        <w:jc w:val="both"/>
        <w:rPr>
          <w:i/>
        </w:rPr>
      </w:pPr>
      <w:r>
        <w:rPr>
          <w:i/>
        </w:rPr>
        <w:t xml:space="preserve">För att lämna information i detta avsnitt, se avsnitt 3.1.3 (punkt 33) i riktlinjerna. </w:t>
      </w:r>
    </w:p>
    <w:p w14:paraId="3E98C3D7" w14:textId="0DD79AFD" w:rsidR="00BE702A" w:rsidRDefault="0023543E" w:rsidP="00E7597C">
      <w:pPr>
        <w:pStyle w:val="ListParagraph"/>
        <w:keepLines/>
        <w:spacing w:before="120" w:after="120"/>
        <w:ind w:left="1287"/>
        <w:contextualSpacing w:val="0"/>
        <w:jc w:val="both"/>
        <w:rPr>
          <w:rFonts w:cs="Arial Unicode MS"/>
          <w:bCs/>
        </w:rPr>
      </w:pPr>
      <w:r>
        <w:t>Lämna information för att bekräfta efterlevnaden av tillämpliga bestämmelser i EU-rätten, i enlighet med punkt 33 i riktlinjerna.</w:t>
      </w:r>
    </w:p>
    <w:p w14:paraId="1E0A5288" w14:textId="77777777" w:rsidR="00A97DDF" w:rsidRDefault="00A97DDF" w:rsidP="00E7597C">
      <w:pPr>
        <w:keepLines/>
        <w:tabs>
          <w:tab w:val="left" w:leader="dot" w:pos="9072"/>
        </w:tabs>
        <w:spacing w:before="120" w:after="120"/>
        <w:ind w:left="851"/>
        <w:jc w:val="both"/>
        <w:rPr>
          <w:color w:val="000000"/>
        </w:rPr>
      </w:pPr>
      <w:r>
        <w:rPr>
          <w:color w:val="000000"/>
        </w:rP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Pr>
                <w:i/>
                <w:color w:val="000000"/>
                <w:sz w:val="28"/>
              </w:rPr>
              <w:t>Negativt villkor: stödet kan inte i otillbörlig utsträckning påverka handeln i en omfattning som strider mot det gemensamma intresset</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rPr>
              <w:t xml:space="preserve">Minimering av snedvridning av konkurrens och handel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Pr>
                <w:color w:val="000000"/>
                <w:sz w:val="24"/>
              </w:rPr>
              <w:t>Behovet av statligt stöd och stödets lämplighet</w:t>
            </w:r>
          </w:p>
        </w:tc>
      </w:tr>
    </w:tbl>
    <w:p w14:paraId="3C23674F" w14:textId="3EF4BD10" w:rsidR="00663008" w:rsidRPr="00F83660" w:rsidRDefault="00663008" w:rsidP="00663008">
      <w:pPr>
        <w:spacing w:before="360" w:after="120"/>
        <w:jc w:val="both"/>
        <w:rPr>
          <w:i/>
          <w:color w:val="000000"/>
        </w:rPr>
      </w:pPr>
      <w:r>
        <w:rPr>
          <w:i/>
        </w:rPr>
        <w:t>För att lämna information i detta avsnitt, se avsnitt 4.11.2 och punkt 413 i riktlinjerna.</w:t>
      </w:r>
      <w:r>
        <w:rPr>
          <w:i/>
          <w:color w:val="000000"/>
        </w:rPr>
        <w:t xml:space="preserve"> </w:t>
      </w:r>
    </w:p>
    <w:p w14:paraId="2CAEA1C5" w14:textId="28295A1F" w:rsidR="00A97DDF" w:rsidRPr="00D3076E" w:rsidRDefault="00956022" w:rsidP="00E7597C">
      <w:pPr>
        <w:pStyle w:val="ListParagraph"/>
        <w:numPr>
          <w:ilvl w:val="0"/>
          <w:numId w:val="4"/>
        </w:numPr>
        <w:spacing w:before="240" w:after="120"/>
        <w:ind w:left="567" w:hanging="567"/>
        <w:contextualSpacing w:val="0"/>
        <w:jc w:val="both"/>
      </w:pPr>
      <w:r>
        <w:t xml:space="preserve">Punkt 403 i riktlinjerna är tillämplig på nedsättningar av elförbrukningsavgifter som används för att finansiera energi- och miljöpolitiska mål. När det gäller de avgifter för vilka det är planerat att bevilja nedsättningar, lämna en fullständig och detaljerad beskrivning av avgifternas art, omfattning och tillämpning genom att förklara hur avgiftssystemet fungerar i praktiken (systemets funktion och den beviljande myndigheten) och genom att lämna detaljerade hänvisningar till dess regelverk (rättslig grund). </w:t>
      </w:r>
    </w:p>
    <w:p w14:paraId="72782B48" w14:textId="77777777" w:rsidR="00A97DDF" w:rsidRDefault="00A97DDF" w:rsidP="00A97DDF">
      <w:pPr>
        <w:tabs>
          <w:tab w:val="left" w:leader="dot" w:pos="9072"/>
        </w:tabs>
        <w:spacing w:before="120" w:after="120"/>
        <w:ind w:left="851"/>
        <w:jc w:val="both"/>
        <w:rPr>
          <w:color w:val="000000"/>
        </w:rPr>
      </w:pPr>
      <w:r>
        <w:rPr>
          <w:color w:val="000000"/>
        </w:rP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Dela i synnerhet information om följande:</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Syftet med varje avgift (förklara hur intäkterna från varje avgift används).</w:t>
      </w:r>
    </w:p>
    <w:p w14:paraId="3E421772" w14:textId="02259217" w:rsidR="00A97DDF" w:rsidRPr="009046DC" w:rsidRDefault="00A97DDF" w:rsidP="009046DC">
      <w:pPr>
        <w:tabs>
          <w:tab w:val="left" w:leader="dot" w:pos="9072"/>
        </w:tabs>
        <w:spacing w:before="120" w:after="120"/>
        <w:ind w:left="851"/>
        <w:jc w:val="both"/>
        <w:rPr>
          <w:color w:val="000000"/>
        </w:rPr>
      </w:pPr>
      <w:r>
        <w:rPr>
          <w:color w:val="000000"/>
        </w:rP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Hur och av vem avgiften tas ut. På vilken grund avgiften tas ut av ett företag. Metoden för att beräkna avgiftssatsen. Huruvida, varför och hur olika avgiftssatser tillämpas på det avgiftsbelagda underlaget. Hur ofta och på vilka grunder avgiftssatsen ses över.</w:t>
      </w:r>
    </w:p>
    <w:p w14:paraId="3D06ECCA" w14:textId="77777777" w:rsidR="00A97DDF" w:rsidRDefault="00A97DDF" w:rsidP="00E7597C">
      <w:pPr>
        <w:keepLines/>
        <w:tabs>
          <w:tab w:val="left" w:leader="dot" w:pos="9072"/>
        </w:tabs>
        <w:spacing w:before="120" w:after="120"/>
        <w:ind w:left="851"/>
        <w:jc w:val="both"/>
        <w:rPr>
          <w:color w:val="000000"/>
        </w:rPr>
      </w:pPr>
      <w:r>
        <w:rPr>
          <w:color w:val="000000"/>
        </w:rPr>
        <w:tab/>
      </w:r>
    </w:p>
    <w:p w14:paraId="4CA16BA7" w14:textId="5F53E29C"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 xml:space="preserve">Beskriv de olika enheter som deltar i fastställandet och översynen av avgiften samt de enheter som deltar i uppbörden och förvaltningen av intäkterna från avgiften.    </w:t>
      </w:r>
    </w:p>
    <w:p w14:paraId="67ABBA8F" w14:textId="77777777" w:rsidR="008B1377" w:rsidRDefault="008B1377" w:rsidP="00E7597C">
      <w:pPr>
        <w:keepLines/>
        <w:tabs>
          <w:tab w:val="left" w:leader="dot" w:pos="9072"/>
        </w:tabs>
        <w:spacing w:before="120" w:after="120"/>
        <w:ind w:left="851"/>
        <w:jc w:val="both"/>
        <w:rPr>
          <w:color w:val="000000"/>
        </w:rPr>
      </w:pPr>
      <w:r>
        <w:rPr>
          <w:color w:val="000000"/>
        </w:rP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rPr>
      </w:pPr>
      <w:r>
        <w:t>Beskriv hur systemet för uppbörd och omfördelning av avgifter fungerar.</w:t>
      </w:r>
    </w:p>
    <w:p w14:paraId="6459F489" w14:textId="54827983" w:rsidR="00A97DDF" w:rsidRPr="009046DC" w:rsidRDefault="00A97DDF" w:rsidP="00E7597C">
      <w:pPr>
        <w:keepLines/>
        <w:tabs>
          <w:tab w:val="left" w:leader="dot" w:pos="9072"/>
        </w:tabs>
        <w:spacing w:before="120" w:after="120"/>
        <w:ind w:left="851"/>
        <w:jc w:val="both"/>
        <w:rPr>
          <w:color w:val="000000"/>
        </w:rPr>
      </w:pPr>
      <w:r>
        <w:rPr>
          <w:color w:val="000000"/>
        </w:rP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rPr>
      </w:pPr>
      <w:r>
        <w:t>Lämna de senaste årliga uppgifterna om tillämpade avgiftssatser och totala intäkter som uppburits. Lämna prognoser, om sådana finns tillgängliga.</w:t>
      </w:r>
    </w:p>
    <w:p w14:paraId="373FD785" w14:textId="77777777" w:rsidR="00A97DDF" w:rsidRDefault="00A97DDF" w:rsidP="00E7597C">
      <w:pPr>
        <w:keepLines/>
        <w:tabs>
          <w:tab w:val="left" w:leader="dot" w:pos="9072"/>
        </w:tabs>
        <w:spacing w:before="120" w:after="120"/>
        <w:ind w:left="851"/>
        <w:jc w:val="both"/>
        <w:rPr>
          <w:color w:val="000000"/>
        </w:rPr>
      </w:pPr>
      <w:r>
        <w:rPr>
          <w:color w:val="000000"/>
        </w:rPr>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lastRenderedPageBreak/>
        <w:t>I punkt 404 i riktlinjerna anges att medlemsstaterna måste samla alla nedsättningar av potentiellt flera olika elavgifter för energiintensiva användare i en enda stödordning och informera kommissionen om den kumulativa verkan av alla stödberättigande avgifter och alla föreslagna nedsättningar.</w:t>
      </w:r>
    </w:p>
    <w:p w14:paraId="3EF0E8A7" w14:textId="542E1B2A" w:rsidR="008D467D" w:rsidRDefault="00937DCD" w:rsidP="00E7597C">
      <w:pPr>
        <w:pStyle w:val="ListParagraph"/>
        <w:keepLines/>
        <w:numPr>
          <w:ilvl w:val="0"/>
          <w:numId w:val="43"/>
        </w:numPr>
        <w:spacing w:before="120" w:after="120"/>
        <w:contextualSpacing w:val="0"/>
        <w:jc w:val="both"/>
      </w:pPr>
      <w:r>
        <w:t xml:space="preserve">Bekräfta att alla avgiftssänkningar som beviljas på grundval av avsnitt 4.11 i riktlinjerna omfattas av den anmälda åtgärden, och att eventuella framtida sänkningar av andra avgifter än de som omfattas kommer att anmälas genom en ändring av den anmälda åtgärden. </w:t>
      </w:r>
    </w:p>
    <w:p w14:paraId="5D95920A" w14:textId="71C4C3A1" w:rsidR="008D467D" w:rsidRPr="00C01760" w:rsidRDefault="008D467D" w:rsidP="00E7597C">
      <w:pPr>
        <w:keepLines/>
        <w:tabs>
          <w:tab w:val="left" w:leader="dot" w:pos="9072"/>
        </w:tabs>
        <w:spacing w:before="120" w:after="120"/>
        <w:ind w:left="851"/>
        <w:jc w:val="both"/>
        <w:rPr>
          <w:color w:val="000000"/>
        </w:rPr>
      </w:pPr>
      <w:r>
        <w:rPr>
          <w:color w:val="000000"/>
        </w:rPr>
        <w:tab/>
      </w:r>
    </w:p>
    <w:p w14:paraId="359D41E7" w14:textId="10C378E6" w:rsidR="008D467D" w:rsidRDefault="00937DCD" w:rsidP="00E7597C">
      <w:pPr>
        <w:pStyle w:val="ListParagraph"/>
        <w:keepLines/>
        <w:numPr>
          <w:ilvl w:val="0"/>
          <w:numId w:val="43"/>
        </w:numPr>
        <w:spacing w:before="120" w:after="120"/>
        <w:contextualSpacing w:val="0"/>
        <w:jc w:val="both"/>
      </w:pPr>
      <w:r>
        <w:t>Lämna information, på grundval av utvecklingen de senaste åren och eventuella prognoser, om den kumulativa effekten av alla berörda avgifter (både i absoluta och relativa tal, jämfört med de totala elkostnaderna och de totala avgifterna och elskatterna) och tillhörande nedsättningar för stödmottagarna enligt den anmälda stödordningen.</w:t>
      </w:r>
    </w:p>
    <w:p w14:paraId="3692203F" w14:textId="3E761774" w:rsidR="008D467D" w:rsidRPr="00C01760" w:rsidRDefault="008D467D" w:rsidP="00E7597C">
      <w:pPr>
        <w:keepLines/>
        <w:tabs>
          <w:tab w:val="left" w:leader="dot" w:pos="9072"/>
        </w:tabs>
        <w:spacing w:before="120" w:after="120"/>
        <w:ind w:left="851"/>
        <w:jc w:val="both"/>
        <w:rPr>
          <w:color w:val="000000"/>
        </w:rPr>
      </w:pPr>
      <w:r>
        <w:rPr>
          <w:color w:val="000000"/>
        </w:rP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t xml:space="preserve">Beskriv om stödet enligt den anmälda åtgärden kommer att ges i form av en nedsättning på förhand av avgifter, ett ersättningsbelopp i efterhand (återbetalning) eller en kombination av dessa. Lämna i ditt svar särskilda hänvisningar till (utkastet till) rättslig grund (t.ex. artikel 7.3). </w:t>
      </w:r>
    </w:p>
    <w:p w14:paraId="21504F4B" w14:textId="77777777" w:rsidR="00855B10" w:rsidRDefault="00855B10" w:rsidP="00855B10">
      <w:pPr>
        <w:tabs>
          <w:tab w:val="left" w:leader="dot" w:pos="9072"/>
        </w:tabs>
        <w:spacing w:before="120" w:after="120"/>
        <w:ind w:left="851"/>
        <w:jc w:val="both"/>
        <w:rPr>
          <w:color w:val="000000"/>
        </w:rPr>
      </w:pPr>
      <w:r>
        <w:rPr>
          <w:color w:val="000000"/>
        </w:rPr>
        <w:tab/>
      </w:r>
    </w:p>
    <w:p w14:paraId="2A380F03" w14:textId="0D5BB75C" w:rsidR="00855B10" w:rsidRPr="00855B10" w:rsidRDefault="00AB606C" w:rsidP="00855B10">
      <w:pPr>
        <w:pStyle w:val="ListParagraph"/>
        <w:numPr>
          <w:ilvl w:val="0"/>
          <w:numId w:val="51"/>
        </w:numPr>
        <w:spacing w:before="120" w:after="120"/>
        <w:contextualSpacing w:val="0"/>
        <w:jc w:val="both"/>
      </w:pPr>
      <w:r>
        <w:t>Om stödet beviljas i form av nedsättning av avgifter i enlighet med punkt 413 i riktlinjerna, bekräfta då</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att det finns en mekanism för övervakning i efterhand,</w:t>
      </w:r>
    </w:p>
    <w:p w14:paraId="6B91C21B" w14:textId="77777777" w:rsidR="00855B10" w:rsidRDefault="00855B10" w:rsidP="005A4E16">
      <w:pPr>
        <w:keepLines/>
        <w:tabs>
          <w:tab w:val="left" w:leader="dot" w:pos="9072"/>
        </w:tabs>
        <w:spacing w:before="120" w:after="120"/>
        <w:ind w:left="851"/>
        <w:jc w:val="both"/>
        <w:rPr>
          <w:color w:val="000000"/>
        </w:rPr>
      </w:pPr>
      <w:r>
        <w:rPr>
          <w:color w:val="000000"/>
        </w:rP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och att eventuella för stora utbetalningar av stöd kommer att återbetalas före den 1 juli påföljande år. Ange var denna information finns i (utkastet till) rättslig grund.</w:t>
      </w:r>
    </w:p>
    <w:p w14:paraId="43A4C207" w14:textId="77777777" w:rsidR="00855B10" w:rsidRDefault="00855B10" w:rsidP="00855B10">
      <w:pPr>
        <w:tabs>
          <w:tab w:val="left" w:leader="dot" w:pos="9072"/>
        </w:tabs>
        <w:spacing w:before="120" w:after="120"/>
        <w:ind w:left="851"/>
        <w:jc w:val="both"/>
        <w:rPr>
          <w:color w:val="000000"/>
        </w:rPr>
      </w:pPr>
      <w:r>
        <w:rPr>
          <w:color w:val="000000"/>
        </w:rPr>
        <w:tab/>
      </w:r>
    </w:p>
    <w:p w14:paraId="0A9FE732" w14:textId="200050F6" w:rsidR="00855B10" w:rsidRDefault="00AB606C" w:rsidP="008D467D">
      <w:pPr>
        <w:pStyle w:val="ListParagraph"/>
        <w:numPr>
          <w:ilvl w:val="0"/>
          <w:numId w:val="51"/>
        </w:numPr>
        <w:spacing w:before="120" w:after="120"/>
        <w:contextualSpacing w:val="0"/>
        <w:jc w:val="both"/>
      </w:pPr>
      <w:r>
        <w:t>Om stödet beviljas i form av en återbetalning, enligt riktlinjernas punkt 413 sista meningen, bekräfta då att det beräknas på grundval av de nivåer i fråga om elförbrukning och i tillämpliga fall bruttoförädlingsvärde som observerats under den tidsperiod då de stödberättigande avgifterna tillämpades.</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t>Stödberättigande</w:t>
            </w:r>
          </w:p>
        </w:tc>
      </w:tr>
    </w:tbl>
    <w:p w14:paraId="2460A5B7" w14:textId="139EC6FA" w:rsidR="00AB322D" w:rsidRPr="00E74034" w:rsidRDefault="00AB322D" w:rsidP="00AB322D">
      <w:pPr>
        <w:spacing w:before="360" w:after="120"/>
        <w:jc w:val="both"/>
        <w:rPr>
          <w:i/>
        </w:rPr>
      </w:pPr>
      <w:r>
        <w:rPr>
          <w:i/>
        </w:rPr>
        <w:t xml:space="preserve">För att lämna information i detta avsnitt, se avsnitt 4.11.3.1 (punkterna 405–407) i riktlinjerna. </w:t>
      </w:r>
    </w:p>
    <w:p w14:paraId="70D92710" w14:textId="06DE4555" w:rsidR="00937DCD" w:rsidRDefault="00956022" w:rsidP="005A4E16">
      <w:pPr>
        <w:pStyle w:val="ListParagraph"/>
        <w:numPr>
          <w:ilvl w:val="0"/>
          <w:numId w:val="4"/>
        </w:numPr>
        <w:spacing w:before="240" w:after="120"/>
        <w:ind w:left="567" w:hanging="567"/>
        <w:contextualSpacing w:val="0"/>
        <w:jc w:val="both"/>
      </w:pPr>
      <w:r>
        <w:t xml:space="preserve">I punkt 405 i riktlinjerna definieras energiintensiva sektorer ”med betydande risk” (led a) och ”med risk” (led b). För att möjliggöra kontroll av efterlevnaden av punkt 405 i riktlinjerna, bekräfta att alla stödberättigade energiintensiva sektorer ”med risk” och </w:t>
      </w:r>
      <w:r>
        <w:lastRenderedPageBreak/>
        <w:t xml:space="preserve">”med betydande risk” inom den anmälda åtgärden förtecknas i berörda delar av bilaga I till riktlinjerna och infoga i bilagan till detta formulär förteckningarna över NACE4-sektorer ”med risk” och ”med betydande risk” som är berättigade till stöd inom ramen för åtgärden, </w:t>
      </w:r>
      <w:r>
        <w:rPr>
          <w:shd w:val="clear" w:color="auto" w:fill="FFFFFF"/>
        </w:rPr>
        <w:t>med angivande av var denna information finns i (utkastet) rättslig grund (t.ex. artikel 7.3)</w:t>
      </w:r>
      <w:r>
        <w:t xml:space="preserve">.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I punkt 406 i riktlinjerna anges att en sektor eller delsektor</w:t>
      </w:r>
      <w:r w:rsidR="00470AF2" w:rsidRPr="00470AF2">
        <w:rPr>
          <w:vertAlign w:val="superscript"/>
        </w:rPr>
        <w:footnoteReference w:id="5"/>
      </w:r>
      <w:r>
        <w:t xml:space="preserve"> som inte ingår i bilaga I till riktlinjerna också kommer att anses stödberättigande om den uppfyller behörighetskriterierna för stödberättigande i punkt 405. Om stöd enligt den anmälda åtgärden är avsett att beviljas även sektorer och/eller delsektorer som inte ingår i bilaga I till riktlinjerna, visa då</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t>att metoden i punkt 405 i riktlinjerna följs i fråga om varje (del)sektor, och</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lämna i en bilaga till detta formulär uppgifter som är representativa för sektorn eller delsektorn på unionsnivå</w:t>
      </w:r>
      <w:r w:rsidR="00470AF2" w:rsidRPr="00470AF2">
        <w:rPr>
          <w:vertAlign w:val="superscript"/>
        </w:rPr>
        <w:footnoteReference w:id="6"/>
      </w:r>
      <w:r>
        <w:t>, verifierade av en oberoende expert och som baseras på en tidsperiod på minst tre på varandra följande år som inleds tidigast 2013.</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Beskriv hur de sökande kommer att behöva visa att de är verksamma inom en stödberättigad sektor och ange var denna information finns i (utkastet till) rättslig grund (t.ex. artikel 7.3).</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t xml:space="preserve">Ange alla andra villkor för stödberättigande enligt den anmälda åtgärden med hänvisning till var denna information finns i den rättsliga grunden (t.ex. artikel 7.3). Förklara särskilt a) om stödmottagare eller (under)sektorer som i princip är berättigade till stöd enligt bilaga I till riktlinjerna är uteslutna, b) om det finns ytterligare behörighetskriterier för stödberättigande som skulle vara tillämpliga och inte nämns i avsnitt 4.11 i riktlinjerna, eller c) huruvida olika avgiftssänkningar planeras för stödmottagare i samma kategori.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t>I enlighet med punkt 407 i riktlinjerna är det möjligt att ytterligare begränsa de stödberättigade mottagarna av åtgärden. Om så är fallet, visa då det underliggande resonemanget för vart och ett av dessa ytterligare behörighetskriterier och visa att i) respektive kriterium grundar sig på objektiva, icke-diskriminerande och öppna kriterier och att ii) stödet i princip beviljas på samma sätt för alla stödberättigade mottagare inom samma sektor eller på samma berörda marknad om de befinner sig i en liknande faktisk situation,</w:t>
      </w:r>
    </w:p>
    <w:p w14:paraId="48E66AD1" w14:textId="4EAD5AB0" w:rsidR="00937DCD" w:rsidRDefault="00A151E7" w:rsidP="00D304A1">
      <w:pPr>
        <w:tabs>
          <w:tab w:val="left" w:leader="dot" w:pos="9072"/>
        </w:tabs>
        <w:spacing w:before="120" w:after="360"/>
        <w:jc w:val="both"/>
      </w:pPr>
      <w:r>
        <w:lastRenderedPageBreak/>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Pr>
                <w:sz w:val="24"/>
              </w:rPr>
              <w:t>Stödets proportionalitet (stöd begränsat till den miniminivå som är nödvändig för att uppnå dess mål), inklusive kumulering.</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Pr>
                <w:sz w:val="24"/>
              </w:rPr>
              <w:t xml:space="preserve">Stödets proportionalitet </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För att lämna information i detta avsnitt, se avsnitt 4.11.3.2 och punkt 407 i riktlinjerna.</w:t>
      </w:r>
    </w:p>
    <w:p w14:paraId="0CBF90E1" w14:textId="306749D7" w:rsidR="00B06A84" w:rsidRDefault="00644950" w:rsidP="005A4E16">
      <w:pPr>
        <w:numPr>
          <w:ilvl w:val="0"/>
          <w:numId w:val="4"/>
        </w:numPr>
        <w:spacing w:before="240"/>
        <w:ind w:left="567" w:hanging="567"/>
        <w:jc w:val="both"/>
      </w:pPr>
      <w:r>
        <w:t>För att visa att bestämmelserna i avsnitt 4.11.3.2 och punkt 407 i riktlinjerna följs, lämna en fullständig och detaljerad beskrivning av metoden för att beräkna de avgiftssänkningar som är tillämpliga på de stödberättigade stödmottagarna, och ange var denna information finns i den rättsliga grunden (t.ex. artikel 7.3). Viktigaste punkter:</w:t>
      </w:r>
    </w:p>
    <w:p w14:paraId="2E456933" w14:textId="4F8D31AD" w:rsidR="00937DCD" w:rsidRDefault="006813BD" w:rsidP="009E4296">
      <w:pPr>
        <w:pStyle w:val="ListParagraph"/>
        <w:numPr>
          <w:ilvl w:val="0"/>
          <w:numId w:val="38"/>
        </w:numPr>
        <w:spacing w:before="120" w:after="120"/>
        <w:contextualSpacing w:val="0"/>
        <w:jc w:val="both"/>
      </w:pPr>
      <w:r>
        <w:t>Ange den maximala avgiftssänkning som gäller företag verksamma inom sektorer ”med risk” respektive ”med betydande risk”.</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287823A9" w:rsidR="00937DCD" w:rsidRDefault="006813BD" w:rsidP="009E4296">
      <w:pPr>
        <w:pStyle w:val="ListParagraph"/>
        <w:numPr>
          <w:ilvl w:val="0"/>
          <w:numId w:val="38"/>
        </w:numPr>
        <w:spacing w:before="120" w:after="120"/>
        <w:contextualSpacing w:val="0"/>
        <w:jc w:val="both"/>
      </w:pPr>
      <w:r>
        <w:t>Ange om den anmälda åtgärden, jämfört med punkt ”i” ovan, ytterligare begränsar merkostnaderna till följd av tillhörande elavgifter. Om så är fallet, ange även a) värdet av sådana begränsningar i förhållande till bruttoförädlingsvärdet för företag som är verksamma i sektorer ”med risk” och sektorer ”med betydande risk”, och b) beskriv hur bruttoförädlingsvärdet för stödberättigade företag verksamma i sektorer ”med risk” respektive ”med betydande risk” beräknas.</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Bekräfta att avgiftssänkningar under inga omständigheter kommer att leda till en avgift som understiger 0,5 euro/MWh.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507FE509" w:rsidR="00937DCD" w:rsidRDefault="00C17C85" w:rsidP="005A4E16">
      <w:pPr>
        <w:numPr>
          <w:ilvl w:val="0"/>
          <w:numId w:val="4"/>
        </w:numPr>
        <w:spacing w:before="240"/>
        <w:ind w:left="567" w:hanging="567"/>
        <w:jc w:val="both"/>
      </w:pPr>
      <w:r>
        <w:t xml:space="preserve">Ange huruvida den anmälda åtgärden, i enlighet med punkt 410 i riktlinjerna, föreskriver högre stödnivåer för de företag som är verksamma i sektorer ”med risk” och som minskar koldioxidavtrycket från sin elförbrukning. </w:t>
      </w:r>
    </w:p>
    <w:p w14:paraId="293F5C0A" w14:textId="77777777" w:rsidR="00937DCD" w:rsidRDefault="00C17C85" w:rsidP="005A4E16">
      <w:pPr>
        <w:pStyle w:val="ListParagraph"/>
        <w:keepLines/>
        <w:spacing w:before="120" w:after="120"/>
        <w:ind w:left="567"/>
        <w:contextualSpacing w:val="0"/>
        <w:jc w:val="both"/>
      </w:pPr>
      <w:r>
        <w:t>Om så är fallet,</w:t>
      </w:r>
    </w:p>
    <w:p w14:paraId="29CAF0A6" w14:textId="64FF48FB" w:rsidR="00937DCD" w:rsidRDefault="003653B6" w:rsidP="005A4E16">
      <w:pPr>
        <w:pStyle w:val="ListParagraph"/>
        <w:keepLines/>
        <w:numPr>
          <w:ilvl w:val="0"/>
          <w:numId w:val="52"/>
        </w:numPr>
        <w:spacing w:before="120" w:after="120"/>
        <w:contextualSpacing w:val="0"/>
        <w:jc w:val="both"/>
      </w:pPr>
      <w:r>
        <w:t>beskriv de högre stödnivåerna och bekräfta de relaterade villkor som ska uppfyllas av de berörda företagen (dvs. 50 % av elförbrukningen från koldioxidfria källor, varav antingen minst 10 % från ett terminsinstrument såsom ett energiköpsavtal eller minst 5 % från produktion på plats eller nära anläggningen), och ange var denna information finns i (utkastet till) rättslig grund (t.ex. artikel 7.3).</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0ED4A33" w:rsidR="00C17C85" w:rsidRDefault="003653B6" w:rsidP="009E4296">
      <w:pPr>
        <w:pStyle w:val="ListParagraph"/>
        <w:numPr>
          <w:ilvl w:val="0"/>
          <w:numId w:val="52"/>
        </w:numPr>
        <w:spacing w:before="120" w:after="120"/>
        <w:contextualSpacing w:val="0"/>
        <w:jc w:val="both"/>
      </w:pPr>
      <w:r>
        <w:t>Beskriv hur uppfyllandet av dessa villkor kommer att övervakas och, vid övervakning i efterhand, vilken följden skulle bli om ett företag inte uppfyller villkoren.</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323FC3C7" w:rsidR="000575C3" w:rsidRPr="008515FB" w:rsidRDefault="00762E7A" w:rsidP="005A4E16">
      <w:pPr>
        <w:numPr>
          <w:ilvl w:val="0"/>
          <w:numId w:val="4"/>
        </w:numPr>
        <w:spacing w:before="240"/>
        <w:ind w:left="567" w:hanging="567"/>
        <w:jc w:val="both"/>
      </w:pPr>
      <w:r>
        <w:lastRenderedPageBreak/>
        <w:t xml:space="preserve">Beskriv i förekommande fall eventuella ytterligare ändringar av avgiftssänkningen mellan stödmottagare som är verksamma inom ”sektorer med risk” respektive ”sektorer med betydande risk”, och ange var denna information finns i (utkastet till) rättslig grund (t.ex. artikel 7.3). Visa att a) olika nedsättningar av avgiften grundar sig på objektiva, icke-diskriminerande och öppna kriterier och att b) stödet i princip beviljas på samma sätt för alla stödberättigade mottagare inom samma sektor eller på samma berörda marknad om de befinner sig i en liknande faktisk situation,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rPr>
              <w:t xml:space="preserve">Energibesiktningar och energiledningssystem </w:t>
            </w:r>
          </w:p>
        </w:tc>
      </w:tr>
    </w:tbl>
    <w:p w14:paraId="7C447A12" w14:textId="28CC1D2E" w:rsidR="00F17D00" w:rsidRDefault="00F17D00" w:rsidP="00F17D00">
      <w:pPr>
        <w:pStyle w:val="ListParagraph"/>
        <w:spacing w:before="120" w:after="120"/>
        <w:ind w:left="567"/>
        <w:contextualSpacing w:val="0"/>
        <w:jc w:val="both"/>
        <w:rPr>
          <w:i/>
        </w:rPr>
      </w:pPr>
      <w:r>
        <w:rPr>
          <w:i/>
        </w:rPr>
        <w:t>För att lämna information i detta avsnitt, se avsnitt 4.11.3.4 i riktlinjerna.</w:t>
      </w:r>
    </w:p>
    <w:p w14:paraId="455D1B6E" w14:textId="06E6D973" w:rsidR="00DF586F" w:rsidRDefault="00DF586F" w:rsidP="005A4E16">
      <w:pPr>
        <w:numPr>
          <w:ilvl w:val="0"/>
          <w:numId w:val="4"/>
        </w:numPr>
        <w:spacing w:before="240"/>
        <w:ind w:left="567" w:hanging="567"/>
        <w:jc w:val="both"/>
      </w:pPr>
      <w:r>
        <w:t>Beskriv, i enlighet med punkt 414 i riktlinjerna, hur de nationella myndigheterna inom ramen för den anmälda åtgärden kommer att kontrollera att stödmottagarna uppfyller skyldigheten att genomföra en energibesiktning i den mening som avses i artikel 8 i direktiv 2012/27/EU. Ange var denna information finns i (utkastet till) rättslig grund (t.ex. artikel 7.3).</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322473AB" w:rsidR="00D2287A" w:rsidRDefault="00956022" w:rsidP="005A4E16">
      <w:pPr>
        <w:numPr>
          <w:ilvl w:val="0"/>
          <w:numId w:val="4"/>
        </w:numPr>
        <w:spacing w:before="240"/>
        <w:ind w:left="567" w:hanging="567"/>
        <w:jc w:val="both"/>
      </w:pPr>
      <w:r>
        <w:t>I punkt 415 i riktlinjerna föreskrivs att stödmottagare som är skyldiga att genomföra en energibesiktning måste uppfylla minst ett av tre alternativ, dvs. a) genomföra revisionsrekommendationer, i den mån återbetalningstiden är högst 3 år och att kostnaderna för deras investeringar är proportionerliga, eller b) täcka minst 30 % av sin elförbrukning från koldioxidfria källor, eller c) investera minst 50 % av stödet i projekt som leder till betydande minskningar av växthusgasutsläppen. Beskriv hur de nationella myndigheterna inom ramen för den anmälda åtgärden kommer att övervaka att stödmottagare som är skyldiga att genomföra en energibesiktning enligt artikel 8.4 i direktiv 2012/27/EU genomför ett eller flera av de tre alternativ som anges i punkt 415 i riktlinjerna, och ange var denna information finns i (utkastet till) rättslig grund (t.ex. artikel 7.3). Lämna särskilt närmare uppgifter för varje alternativ som anges i den anmälda åtgärden:</w:t>
      </w:r>
    </w:p>
    <w:p w14:paraId="4CD0D5F0" w14:textId="6354CA9F" w:rsidR="00937DCD" w:rsidRDefault="00937DCD" w:rsidP="009E4296">
      <w:pPr>
        <w:pStyle w:val="ListParagraph"/>
        <w:numPr>
          <w:ilvl w:val="0"/>
          <w:numId w:val="41"/>
        </w:numPr>
        <w:spacing w:before="120" w:after="120"/>
        <w:jc w:val="both"/>
      </w:pPr>
      <w:r>
        <w:t>Exakt hur stödmottagarna måste visa att de uppfyller kraven.</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03F05794" w:rsidR="00937DCD" w:rsidRDefault="007322A3" w:rsidP="009E4296">
      <w:pPr>
        <w:pStyle w:val="ListParagraph"/>
        <w:numPr>
          <w:ilvl w:val="0"/>
          <w:numId w:val="41"/>
        </w:numPr>
        <w:spacing w:before="120" w:after="120"/>
        <w:jc w:val="both"/>
      </w:pPr>
      <w:r>
        <w:t>Vilken tidsfristen är för att uppfylla kraven (t.ex. att slutföra de relevanta investeringarna inom ett år från beviljandet av stödet) och hur ofta stödmottagarna måste bevisa att de uppfyller kraven (t.ex. på årsbasis).</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Hur och hur ofta uppfyllandet av villkoren kommer att övervakas (t.ex. på årsbasis).</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05AE79E0" w:rsidR="00CB6E9E" w:rsidRPr="00D2287A" w:rsidRDefault="007322A3" w:rsidP="005A4E16">
      <w:pPr>
        <w:pStyle w:val="ListParagraph"/>
        <w:keepLines/>
        <w:numPr>
          <w:ilvl w:val="0"/>
          <w:numId w:val="41"/>
        </w:numPr>
        <w:spacing w:before="120" w:after="120"/>
        <w:jc w:val="both"/>
      </w:pPr>
      <w:r>
        <w:t>Vilka konsekvenser den bristande efterlevnaden kommer att få för stödmottagarna (t.ex. avslag på ansökan om stöd vid förhandskontroll eller återbetalning av redan beviljat stöd vid efterhandskontroll).</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lastRenderedPageBreak/>
              <w:t>Kumulering</w:t>
            </w:r>
          </w:p>
        </w:tc>
      </w:tr>
    </w:tbl>
    <w:p w14:paraId="2346A85D" w14:textId="5800D648" w:rsidR="00B21377" w:rsidRPr="002A3B51" w:rsidRDefault="00B21377" w:rsidP="00B21377">
      <w:pPr>
        <w:pStyle w:val="ListParagraph"/>
        <w:spacing w:before="120" w:after="120"/>
        <w:ind w:left="567"/>
        <w:contextualSpacing w:val="0"/>
        <w:jc w:val="both"/>
      </w:pPr>
      <w:r>
        <w:rPr>
          <w:i/>
        </w:rPr>
        <w:t>För att lämna information i detta avsnitt, se punkterna 56–57 i riktlinjerna.</w:t>
      </w:r>
    </w:p>
    <w:p w14:paraId="7159B0AA" w14:textId="326791FE" w:rsidR="00E5484B" w:rsidRPr="002A3B51" w:rsidRDefault="00B10F0D" w:rsidP="005A4E16">
      <w:pPr>
        <w:numPr>
          <w:ilvl w:val="0"/>
          <w:numId w:val="4"/>
        </w:numPr>
        <w:spacing w:before="240"/>
        <w:ind w:left="567" w:hanging="567"/>
        <w:jc w:val="both"/>
      </w:pPr>
      <w:r>
        <w:t>Klargör om stödet inom ramen för den/de anmälda åtgärden/åtgärderna kan beviljas samtidigt inom ramen för flera stödordningar eller kumuleras med stöd för särskilda ändamål eller stöd av mindre betydelse i förhållande till samma stödberättigande kostnader, om detta inte redan anges i det kompletterande informationsformuläret (del I) och för att visa att punkt 56 i riktlinjerna efterlevs. Om så är fallet, lämna närmare uppgifter om dessa stödordningar, stöd för särskilda ändamål eller stöd av mindre betydelse och hur stödet kommer att kumuleras.</w:t>
      </w:r>
    </w:p>
    <w:p w14:paraId="4EA350F2" w14:textId="6700FB40" w:rsidR="00D13239" w:rsidRPr="002A3B51" w:rsidRDefault="002A3B51" w:rsidP="002A3B51">
      <w:pPr>
        <w:tabs>
          <w:tab w:val="left" w:leader="dot" w:pos="9072"/>
        </w:tabs>
        <w:spacing w:before="120" w:after="120"/>
        <w:ind w:left="567"/>
        <w:jc w:val="both"/>
      </w:pPr>
      <w:r>
        <w:tab/>
      </w:r>
    </w:p>
    <w:p w14:paraId="113EC6AF" w14:textId="086F06F6" w:rsidR="007257F0" w:rsidRPr="00EE2D70" w:rsidRDefault="00720951" w:rsidP="005A4E16">
      <w:pPr>
        <w:numPr>
          <w:ilvl w:val="0"/>
          <w:numId w:val="4"/>
        </w:numPr>
        <w:spacing w:before="240"/>
        <w:ind w:left="567" w:hanging="567"/>
        <w:jc w:val="both"/>
      </w:pPr>
      <w:r>
        <w:t xml:space="preserve">Om punkt 56 i riktlinjerna är tillämplig på den/de anmälda åtgärden/åtgärderna, motivera hur det totala stödbelopp som beviljas inom ramen för den eller de anmälda åtgärderna till en verksamhet inte leder till överkompensation eller överskrider det högsta stödbelopp som tillåts enligt punkterna 408–410 i riktlinjerna. Ange, för varje åtgärd med vilken det stöd som beviljas inom ramen för den eller de anmälda stödåtgärderna kan kumuleras, den metod som används för att säkerställa att villkoren i punkt 56 i riktlinjerna efterlevs. </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t>Om punkt 57 i riktlinjerna är tillämplig, dvs. om det stöd som beviljas inom ramen för den eller de anmälda åtgärderna kombineras med en centralt förvaltad unionsfinansiering</w:t>
      </w:r>
      <w:r w:rsidR="009B2F61">
        <w:rPr>
          <w:rStyle w:val="FootnoteReference"/>
          <w:lang w:eastAsia="en-GB"/>
        </w:rPr>
        <w:footnoteReference w:id="7"/>
      </w:r>
      <w:r>
        <w:t xml:space="preserve">, motivera hur </w:t>
      </w:r>
      <w:r>
        <w:rPr>
          <w:shd w:val="clear" w:color="auto" w:fill="FFFFFF"/>
        </w:rPr>
        <w:t>den totala offentliga finansiering som beviljas för samma stödberättigande kostnader inte leder till överkompensation</w:t>
      </w:r>
      <w:r>
        <w:t>.</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Övergångsbestämmelser</w:t>
            </w:r>
          </w:p>
        </w:tc>
      </w:tr>
    </w:tbl>
    <w:p w14:paraId="7D96774F" w14:textId="39E35847" w:rsidR="00F17D00" w:rsidRDefault="00F17D00" w:rsidP="005A4E16">
      <w:pPr>
        <w:pStyle w:val="ListParagraph"/>
        <w:keepNext/>
        <w:keepLines/>
        <w:spacing w:before="120" w:after="120"/>
        <w:ind w:left="567"/>
        <w:contextualSpacing w:val="0"/>
        <w:jc w:val="both"/>
        <w:rPr>
          <w:i/>
        </w:rPr>
      </w:pPr>
      <w:r>
        <w:rPr>
          <w:i/>
        </w:rPr>
        <w:t>För att lämna information i detta avsnitt, se avsnitt 4.11.3.5 i riktlinjerna.</w:t>
      </w:r>
    </w:p>
    <w:p w14:paraId="50B72823" w14:textId="74224ADE" w:rsidR="009E3717" w:rsidRPr="009E3717" w:rsidRDefault="00B10F0D" w:rsidP="005A4E16">
      <w:pPr>
        <w:numPr>
          <w:ilvl w:val="0"/>
          <w:numId w:val="4"/>
        </w:numPr>
        <w:spacing w:before="240"/>
        <w:ind w:left="567" w:hanging="567"/>
        <w:jc w:val="both"/>
      </w:pPr>
      <w:r>
        <w:t xml:space="preserve">Ange om denna anmälan omfattar icke anmält stöd som beviljats i form av nedsatta elavgifter för energiintensiva användare under perioden före offentliggörandet av riktlinjerna. Om så är fallet, förklara hur det oanmälda stödet är förenligt med punkt 419 a och b i riktlinjerna. </w:t>
      </w:r>
      <w:r>
        <w:tab/>
      </w:r>
    </w:p>
    <w:p w14:paraId="4A9E8F47" w14:textId="19AEA7B3" w:rsidR="009E3717" w:rsidRDefault="009E3717" w:rsidP="009E3717">
      <w:pPr>
        <w:tabs>
          <w:tab w:val="left" w:leader="dot" w:pos="9072"/>
        </w:tabs>
        <w:spacing w:before="120" w:after="120"/>
        <w:ind w:left="567"/>
        <w:jc w:val="both"/>
      </w:pPr>
      <w:r>
        <w:tab/>
      </w:r>
    </w:p>
    <w:p w14:paraId="26BD1683" w14:textId="6223DFFD" w:rsidR="00F17D00" w:rsidRPr="00F8461C" w:rsidRDefault="00F17D00" w:rsidP="005A4E16">
      <w:pPr>
        <w:numPr>
          <w:ilvl w:val="0"/>
          <w:numId w:val="4"/>
        </w:numPr>
        <w:spacing w:before="240"/>
        <w:ind w:left="567" w:hanging="567"/>
        <w:jc w:val="both"/>
      </w:pPr>
      <w:r>
        <w:t xml:space="preserve">Ange om det i den anmälda åtgärden fastställs någon övergångsplan för att undvika störningar i avgiftsbördan för enskilda företag som inte uppfyller villkoren för stödberättigande i avsnitt 4.11 i riktlinjerna. Om så är fallet, vänligen besvara de frågorna i följande avsnitt. </w:t>
      </w:r>
    </w:p>
    <w:p w14:paraId="3F155670" w14:textId="2EF9B7E3" w:rsidR="00F17D00" w:rsidRDefault="00F17D00" w:rsidP="00F17D00">
      <w:pPr>
        <w:tabs>
          <w:tab w:val="left" w:leader="dot" w:pos="9072"/>
        </w:tabs>
        <w:spacing w:before="120" w:after="120"/>
        <w:ind w:left="567"/>
        <w:jc w:val="both"/>
      </w:pPr>
      <w:r>
        <w:tab/>
      </w:r>
    </w:p>
    <w:p w14:paraId="51B31159" w14:textId="77B0A2B2" w:rsidR="00F17D00" w:rsidRPr="00F8461C" w:rsidRDefault="00981C71" w:rsidP="005A4E16">
      <w:pPr>
        <w:numPr>
          <w:ilvl w:val="0"/>
          <w:numId w:val="4"/>
        </w:numPr>
        <w:spacing w:before="240"/>
        <w:ind w:left="567" w:hanging="567"/>
        <w:jc w:val="both"/>
      </w:pPr>
      <w:r>
        <w:lastRenderedPageBreak/>
        <w:t>Förklara, i enlighet med punkt 416 i riktlinjerna, hur berättigande till övergångsplanen kommer att begränsas till företag som i) uppfyllde behörighetskriterierna i avsnitt 3.7.2 i riktlinjerna för statligt stöd till miljöskydd och energi för 2014–2020, och ii) fick stöd i form av nedsatta avgifter under minst ett av de två år som föregick ändringen av befintliga stödordningar för att anpassa dem till riktlinjerna för statligt stöd på klimat-, energi- och miljöområdet. Ange var denna information finns i (utkastet till) rättslig grund (t.ex. artikel 7.3).</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t>Beskriv på vilket sätt övergångsplanen kommer att medföra en progressiv och fullständig anpassning till de villkor som följer av tillämpningen av kriterierna för stödberättigande och proportionalitet i avsnitt 4.11 i riktlinjerna, och särskilt hur stödnivån minskar över tid och hur taket för bruttoförädlingsvärdet ökar över tid i enlighet med den tidsplan som nämns i punkt 417 i riktlinjerna. Ange med särskild hänvisning var denna information finns i (utkastet till) rättslig grund (t.ex. artikel 7.3).</w:t>
      </w:r>
    </w:p>
    <w:p w14:paraId="0ADB0F18" w14:textId="77777777" w:rsidR="002C6CA8" w:rsidRPr="00EE2D70" w:rsidRDefault="002C6CA8" w:rsidP="002C6CA8">
      <w:pPr>
        <w:tabs>
          <w:tab w:val="left" w:leader="dot" w:pos="9072"/>
        </w:tabs>
        <w:spacing w:before="120" w:after="120"/>
        <w:ind w:left="567"/>
        <w:jc w:val="both"/>
      </w:pPr>
      <w:r>
        <w:tab/>
      </w:r>
    </w:p>
    <w:p w14:paraId="454072D7" w14:textId="53930034" w:rsidR="009E3717" w:rsidRDefault="00EB3C44" w:rsidP="005A4E16">
      <w:pPr>
        <w:numPr>
          <w:ilvl w:val="0"/>
          <w:numId w:val="4"/>
        </w:numPr>
        <w:spacing w:before="240"/>
        <w:ind w:left="567" w:hanging="567"/>
        <w:jc w:val="both"/>
      </w:pPr>
      <w:r>
        <w:t>Ange om det enligt övergångsplanen undantagsvis kommer att tillåtas fasta stödnivåer under hela övergångsperioden, förutsatt att de berörda företagen minskar koldioxidavtrycket från sin elförbrukning i enlighet med villkoren i punkt 418 i riktlinjerna (dvs. 50 % av elförbrukningen från koldioxidfria källor, varav antingen minst 10 % från ett terminsinstrument såsom ett energiköpsavtal eller minst 5 % från lokal eller regional produktion). Om så är fallet, ange var denna information finns i (utkastet till) rättslig grund (t.ex. artikel 7.3) och förklara hur efterlevnaden av punkt 418 i riktlinjerna säkerställs och övervakas av de nationella myndigheterna.</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Öppenhet och insyn</w:t>
            </w:r>
          </w:p>
        </w:tc>
      </w:tr>
    </w:tbl>
    <w:p w14:paraId="1E96F77E" w14:textId="2D16554D" w:rsidR="00016924" w:rsidRPr="005A4E16" w:rsidRDefault="006773CE" w:rsidP="005A4E16">
      <w:pPr>
        <w:keepNext/>
        <w:keepLines/>
        <w:spacing w:before="360" w:after="120"/>
        <w:jc w:val="both"/>
        <w:rPr>
          <w:i/>
        </w:rPr>
      </w:pPr>
      <w:r>
        <w:rPr>
          <w:i/>
          <w:color w:val="000000"/>
        </w:rPr>
        <w:t>För</w:t>
      </w:r>
      <w:r>
        <w:rPr>
          <w:i/>
        </w:rPr>
        <w:t xml:space="preserve"> att lämna information </w:t>
      </w:r>
      <w:r>
        <w:rPr>
          <w:i/>
          <w:color w:val="000000"/>
        </w:rPr>
        <w:t>i detta avsnitt, se avsnitt 3.2.1.4 (punkterna 58–62) i riktlinjerna.</w:t>
      </w:r>
      <w:r>
        <w:rPr>
          <w:i/>
        </w:rPr>
        <w:t xml:space="preserve">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 xml:space="preserve">Bekräfta att medlemsstaten kommer att efterleva de krav på öppenhet som fastställs i punkterna 58–61 i riktlinjerna.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02AC33DB" w:rsidR="005440AC" w:rsidRPr="00421F63" w:rsidRDefault="006B7161" w:rsidP="005A4E16">
      <w:pPr>
        <w:keepLines/>
        <w:numPr>
          <w:ilvl w:val="0"/>
          <w:numId w:val="4"/>
        </w:numPr>
        <w:spacing w:before="240"/>
        <w:ind w:left="567" w:hanging="567"/>
        <w:jc w:val="both"/>
      </w:pPr>
      <w:r>
        <w:t xml:space="preserve">För att möjliggöra kontroll av efterlevnaden av punkt 61 i riktlinjerna, bekräfta att informationen i punkt 58 b kommer att finnas tillgänglig i minst 10 år från och med den dag då stödet beviljades, så att reglerna om statligt stöd enligt EUF-fördraget kan tillämpas.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lastRenderedPageBreak/>
              <w:t>Undvikande av otillbörliga negativa effekter av stödet på handel och konkurrens och balansering</w:t>
            </w:r>
          </w:p>
        </w:tc>
      </w:tr>
    </w:tbl>
    <w:p w14:paraId="6CD3884F" w14:textId="2A0C2FB3" w:rsidR="00F83660" w:rsidRPr="00B215FD" w:rsidRDefault="00F83660" w:rsidP="000C2EFD">
      <w:pPr>
        <w:keepNext/>
        <w:keepLines/>
        <w:spacing w:before="360" w:after="120"/>
        <w:jc w:val="both"/>
        <w:rPr>
          <w:i/>
        </w:rPr>
      </w:pPr>
      <w:r>
        <w:rPr>
          <w:i/>
        </w:rPr>
        <w:t xml:space="preserve">För att lämna information i detta avsnitt, se avsnitt 3.2.2 i riktlinjerna. </w:t>
      </w:r>
    </w:p>
    <w:p w14:paraId="5D5F17EA" w14:textId="02FA14EA" w:rsidR="00F83660" w:rsidRPr="001D7B55" w:rsidRDefault="00F83660" w:rsidP="005A4E16">
      <w:pPr>
        <w:keepLines/>
        <w:numPr>
          <w:ilvl w:val="0"/>
          <w:numId w:val="4"/>
        </w:numPr>
        <w:spacing w:before="240"/>
        <w:ind w:left="567" w:hanging="567"/>
        <w:jc w:val="both"/>
      </w:pPr>
      <w:r>
        <w:t>För att kunna fastställa om punkt 70 i riktlinjerna efterlevs krävs följande:</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t xml:space="preserve">Bekräfta att stödordningens längd är högst 10 år </w:t>
      </w:r>
      <w:r>
        <w:rPr>
          <w:color w:val="000000"/>
          <w:shd w:val="clear" w:color="auto" w:fill="FFFFFF"/>
        </w:rPr>
        <w:t>från och med den dag då kommissionen meddelar sitt beslut om att förklara stödet förenligt med den inre marknaden</w:t>
      </w:r>
      <w:r>
        <w:t>.</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rPr>
          <w:color w:val="000000"/>
          <w:shd w:val="clear" w:color="auto" w:fill="FFFFFF"/>
        </w:rPr>
        <w:t>Bekräfta</w:t>
      </w:r>
      <w:r>
        <w:t xml:space="preserve"> att om en medlemsstat vill förlänga åtgärdens varaktighet utöver den maximala perioden på 10 år, kommer den att anmäla stödåtgärden/stödåtgärderna på nytt.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Pr>
                <w:i/>
                <w:color w:val="000000"/>
                <w:sz w:val="28"/>
              </w:rPr>
              <w:t>Vägning av de positiva effekterna av stödet mot de negativa effekterna på konkurrens och handel</w:t>
            </w:r>
          </w:p>
        </w:tc>
      </w:tr>
    </w:tbl>
    <w:p w14:paraId="2BA426DC" w14:textId="523B5AF6" w:rsidR="00265702" w:rsidRPr="00863406" w:rsidRDefault="00265702" w:rsidP="000C2EFD">
      <w:pPr>
        <w:keepNext/>
        <w:keepLines/>
        <w:spacing w:before="360" w:after="120"/>
        <w:jc w:val="both"/>
        <w:rPr>
          <w:i/>
          <w:color w:val="000000"/>
        </w:rPr>
      </w:pPr>
      <w:r>
        <w:rPr>
          <w:i/>
        </w:rPr>
        <w:t>För att lämna information i detta avsnitt, se avsnitt 3.3 (punkterna 71–76) och punkt 400–402 i riktlinjerna.</w:t>
      </w:r>
      <w:r>
        <w:rPr>
          <w:i/>
          <w:color w:val="000000"/>
        </w:rPr>
        <w:t xml:space="preserve"> </w:t>
      </w:r>
    </w:p>
    <w:p w14:paraId="18165957" w14:textId="76C6222C" w:rsidR="004B2EF3" w:rsidRPr="00AC1973" w:rsidRDefault="004B2EF3" w:rsidP="005A4E16">
      <w:pPr>
        <w:keepLines/>
        <w:numPr>
          <w:ilvl w:val="0"/>
          <w:numId w:val="4"/>
        </w:numPr>
        <w:spacing w:before="240"/>
        <w:ind w:left="567" w:hanging="567"/>
        <w:jc w:val="both"/>
      </w:pPr>
      <w:r>
        <w:t>Klargör huruvida den anmälda åtgärden/de anmälda åtgärderna innehåller inslag för att underlätta deltagandet av små och medelstora företag i enlighet med punkt 75 i riktlinjerna. Om så är fallet, lämna information om dessa inslag och motivera hur de positiva effekterna av att säkerställa att små och medelstora företag kan delta och godtas i den eller de anmälda åtgärderna uppväger de eventuella snedvridande effekterna.</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1642210" w:rsidR="005C6138" w:rsidRDefault="005C6138" w:rsidP="005A4E16">
      <w:pPr>
        <w:keepLines/>
        <w:numPr>
          <w:ilvl w:val="0"/>
          <w:numId w:val="4"/>
        </w:numPr>
        <w:spacing w:before="240"/>
        <w:ind w:left="567" w:hanging="567"/>
        <w:jc w:val="both"/>
      </w:pPr>
      <w:r>
        <w:t xml:space="preserve">När det gäller tillämpningen av punkt 76 c i riktlinjerna, ange huruvida stödåtgärden/stödåtgärderna omfattas av en tidsbegränsning.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t>Utvärdering</w:t>
            </w:r>
          </w:p>
        </w:tc>
      </w:tr>
    </w:tbl>
    <w:p w14:paraId="78AC9B95" w14:textId="0E2D785C" w:rsidR="00C33721" w:rsidRPr="0051324D" w:rsidRDefault="00C33721" w:rsidP="000C2EFD">
      <w:pPr>
        <w:keepNext/>
        <w:keepLines/>
        <w:tabs>
          <w:tab w:val="left" w:leader="dot" w:pos="9072"/>
        </w:tabs>
        <w:spacing w:before="120" w:after="120"/>
        <w:ind w:left="567"/>
        <w:jc w:val="both"/>
      </w:pPr>
      <w:r>
        <w:rPr>
          <w:i/>
        </w:rPr>
        <w:t>För att lämna information i detta avsnitt, se punkt 76 a och kapitel 5 (punkterna 455–463) i riktlinjerna.</w:t>
      </w:r>
    </w:p>
    <w:p w14:paraId="7C72F6EA" w14:textId="04D9ACCD" w:rsidR="00FD7E6B" w:rsidRDefault="00FD7E6B" w:rsidP="005A4E16">
      <w:pPr>
        <w:numPr>
          <w:ilvl w:val="0"/>
          <w:numId w:val="4"/>
        </w:numPr>
        <w:spacing w:before="240"/>
        <w:ind w:left="567" w:hanging="567"/>
        <w:jc w:val="both"/>
      </w:pPr>
      <w:r>
        <w:t xml:space="preserve">Om den eller de anmälda åtgärderna överskrider de budget-/utgiftströskelvärdena som avses i punkt 456 i riktlinjerna, ange antingen varför ni anser att undantaget i punkt 457 i riktlinjerna bör tillämpas eller bifoga en bilaga till detta kompletterande </w:t>
      </w:r>
      <w:r>
        <w:lastRenderedPageBreak/>
        <w:t>informationsformulär som innehåller ett utkast till utvärderingsplan som täcker det tillämpningsområde som anges i punkt 458 i riktlinjerna</w:t>
      </w:r>
      <w:r w:rsidRPr="00C7201E">
        <w:rPr>
          <w:rStyle w:val="FootnoteReference"/>
          <w:lang w:eastAsia="en-GB"/>
        </w:rPr>
        <w:footnoteReference w:id="8"/>
      </w:r>
      <w:r>
        <w:t>.</w:t>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Om ett utkast till utvärderingsplan tillhandahålls, ska följande göras:</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t>Lämna nedan en sammanfattning av det utkast till utvärderingsplan som finns i bilagan.</w:t>
      </w:r>
    </w:p>
    <w:p w14:paraId="79E8DDEE" w14:textId="77777777" w:rsidR="00FD7E6B" w:rsidRDefault="00FD7E6B" w:rsidP="005A4E16">
      <w:pPr>
        <w:pStyle w:val="ListParagraph"/>
        <w:keepLines/>
        <w:spacing w:before="120" w:after="120"/>
        <w:ind w:left="1440"/>
        <w:contextualSpacing w:val="0"/>
        <w:jc w:val="both"/>
      </w:pPr>
      <w: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t>Bekräfta att punkt 460 i riktlinjerna kommer att iakttas.</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t>Ange datum och internetlänk där utvärderingsplanen kommer att finnas tillgänglig för allmänheten.</w:t>
      </w:r>
    </w:p>
    <w:p w14:paraId="7CB82817" w14:textId="77777777" w:rsidR="00FD7E6B" w:rsidRPr="0051324D" w:rsidRDefault="00FD7E6B" w:rsidP="005A4E16">
      <w:pPr>
        <w:pStyle w:val="ListParagraph"/>
        <w:keepLines/>
        <w:spacing w:before="120" w:after="120"/>
        <w:ind w:left="1440"/>
        <w:contextualSpacing w:val="0"/>
        <w:jc w:val="both"/>
      </w:pPr>
      <w:r>
        <w:t xml:space="preserve">…………………………………………………………………………………. </w:t>
      </w:r>
    </w:p>
    <w:p w14:paraId="3FE707E5" w14:textId="6404AF17" w:rsidR="00FD7E6B" w:rsidRPr="0051324D" w:rsidRDefault="00FD7E6B" w:rsidP="005A4E16">
      <w:pPr>
        <w:numPr>
          <w:ilvl w:val="0"/>
          <w:numId w:val="4"/>
        </w:numPr>
        <w:spacing w:before="240"/>
        <w:ind w:left="567" w:hanging="567"/>
        <w:jc w:val="both"/>
      </w:pPr>
      <w:r>
        <w:t xml:space="preserve">För att kunna fastställa huruvida punkt 459 b i riktlinjerna efterlevs, och om stödordningen för närvarande inte är föremål för en efterhandsutvärdering och dess varaktighet överstiger tre år, bekräfta att ni kommer att anmäla ett utkast till utvärderingsplan inom 30 arbetsdagar efter en betydande ändring som ökar stödordningens budget till mer än 150 miljoner euro under ett givet år eller 750 miljoner euro under stödordningens totala varaktighet. </w:t>
      </w:r>
    </w:p>
    <w:p w14:paraId="1D26BAAE" w14:textId="77777777" w:rsidR="00FD7E6B" w:rsidRPr="0051324D" w:rsidRDefault="00FD7E6B" w:rsidP="00FD7E6B">
      <w:pPr>
        <w:tabs>
          <w:tab w:val="left" w:leader="dot" w:pos="9072"/>
        </w:tabs>
        <w:spacing w:before="120" w:after="120"/>
        <w:ind w:left="567"/>
        <w:jc w:val="both"/>
      </w:pPr>
      <w:r>
        <w:tab/>
      </w:r>
    </w:p>
    <w:p w14:paraId="71D45A8F" w14:textId="1CE93415" w:rsidR="00FD7E6B" w:rsidRPr="0051324D" w:rsidRDefault="00FD7E6B" w:rsidP="005A4E16">
      <w:pPr>
        <w:keepLines/>
        <w:numPr>
          <w:ilvl w:val="0"/>
          <w:numId w:val="4"/>
        </w:numPr>
        <w:spacing w:before="240"/>
        <w:ind w:left="567" w:hanging="567"/>
        <w:jc w:val="both"/>
      </w:pPr>
      <w:r>
        <w:t xml:space="preserve">För att kunna fastställa huruvida punkt 459 c i riktlinjerna efterlevs och om stödordningen för närvarande inte är föremål för en efterhandsutvärdering, ange nedan ett åtagande om att medlemsstaten kommer att anmäla ett utkast till utvärderingsplan </w:t>
      </w:r>
      <w:r>
        <w:rPr>
          <w:shd w:val="clear" w:color="auto" w:fill="FFFFFF"/>
        </w:rPr>
        <w:t>inom 30 arbetsdagar efter att i de officiella räkenskaperna ha redovisat utgifter på över 150 miljoner euro under föregående år</w:t>
      </w:r>
      <w:r>
        <w:t xml:space="preserve">.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För att kunna fastställa huruvida punkt 461 i riktlinjerna efterlevs krävs följande:</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Klargör om den oberoende experten redan har valts eller kommer att väljas i framtiden.</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Lämna information om förfarandet för val av expert.</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Förklara hur experten är oberoende av den beviljande myndigheten.</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3D0EAFB6" w:rsidR="00FD7E6B" w:rsidRPr="0051324D" w:rsidRDefault="00FD7E6B" w:rsidP="005A4E16">
      <w:pPr>
        <w:numPr>
          <w:ilvl w:val="0"/>
          <w:numId w:val="4"/>
        </w:numPr>
        <w:spacing w:before="240"/>
        <w:ind w:left="567" w:hanging="567"/>
        <w:jc w:val="both"/>
      </w:pPr>
      <w:r>
        <w:lastRenderedPageBreak/>
        <w:t xml:space="preserve">För att kunna fastställa huruvida punkt 461 i riktlinjerna efterlevs krävs följande: </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t>Ange de föreslagna tidsfristerna för inlämning av interimsutvärderingsrapporten och den slutliga utvärderingsrapporten. Observera att den slutliga utvärderingsrapporten ska lämnas till kommissionen i god tid så att det kan bedömas om stödordningen kan förlängas och senast nio månader före dess upphörande, i enlighet med punkt 463 i riktlinjerna. Observera att denna frist kan förkortas för stödordningar som utlöser utvärderingskravet under de två sista genomförandeåren.</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Bekräfta att interimsutvärderingsrapporten och den slutliga utvärderingsrapporten kommer att offentliggöras. Ange datum och internetlänk där dessa rapporter kommer att finnas tillgängliga för allmänheten.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t>Rapportering och övervakning</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För att lämna information i detta avsnitt, se avsnitt 6 (punkterna 464–465) i riktlinjerna.</w:t>
      </w:r>
    </w:p>
    <w:p w14:paraId="3FBE246E" w14:textId="1FB553B4" w:rsidR="00FD7E6B" w:rsidRDefault="00FD7E6B" w:rsidP="005A4E16">
      <w:pPr>
        <w:keepLines/>
        <w:numPr>
          <w:ilvl w:val="0"/>
          <w:numId w:val="4"/>
        </w:numPr>
        <w:spacing w:before="240"/>
        <w:ind w:left="567" w:hanging="567"/>
        <w:jc w:val="both"/>
      </w:pPr>
      <w:r>
        <w:t>Bekräfta att medlemsstaten kommer att efterleva de krav på rapportering och övervakning som anges i avsnitt 6, punkterna 464 och 465, i riktlinjerna.</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rsidR="00243597">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EUT C 80, 18.2.2022, s. 1.</w:t>
      </w:r>
    </w:p>
  </w:footnote>
  <w:footnote w:id="3">
    <w:p w14:paraId="40B31757" w14:textId="710C01BF" w:rsidR="00B77C6D" w:rsidRDefault="00B77C6D" w:rsidP="00B77C6D">
      <w:pPr>
        <w:pStyle w:val="FootnoteText"/>
      </w:pPr>
      <w:r>
        <w:rPr>
          <w:rStyle w:val="FootnoteReference"/>
        </w:rPr>
        <w:footnoteRef/>
      </w:r>
      <w:r>
        <w:tab/>
        <w:t xml:space="preserve">Observera att varaktigheten för en stödordning är den period under vilken stöd kan sökas och beslutas (och som också inkluderar den tid som krävs för att de nationella myndigheterna ska godkänna stödansökningarna). Med varaktighet avses här inte löptiden för de avtal som ingås inom ramen för stödordningen och som kan fortsätta att löpa efter åtgärdens varaktighet. </w:t>
      </w:r>
    </w:p>
  </w:footnote>
  <w:footnote w:id="4">
    <w:p w14:paraId="28F42BB8" w14:textId="2923C271" w:rsidR="0068024A" w:rsidRPr="0067348B" w:rsidRDefault="0068024A" w:rsidP="0068024A">
      <w:pPr>
        <w:pStyle w:val="FootnoteText"/>
      </w:pPr>
      <w:r>
        <w:rPr>
          <w:rStyle w:val="FootnoteReference"/>
        </w:rPr>
        <w:footnoteRef/>
      </w:r>
      <w:r>
        <w:tab/>
        <w:t>Observera att en ändring av den faktiska eller beräknade budgeten kan utgöra en ändring av stöd, vilket kräver en ny anmälan.</w:t>
      </w:r>
    </w:p>
  </w:footnote>
  <w:footnote w:id="5">
    <w:p w14:paraId="3A832CB6" w14:textId="77777777" w:rsidR="00FE3196" w:rsidRPr="00D6380C" w:rsidRDefault="00FE3196" w:rsidP="00470AF2">
      <w:pPr>
        <w:pStyle w:val="FootnoteText"/>
        <w:ind w:left="567" w:hanging="567"/>
      </w:pPr>
      <w:r>
        <w:rPr>
          <w:rStyle w:val="FootnoteReference"/>
        </w:rPr>
        <w:footnoteRef/>
      </w:r>
      <w:r>
        <w:t xml:space="preserve"> </w:t>
      </w:r>
      <w:r>
        <w:tab/>
        <w:t>Enligt definitionen i den statistiska näringsgrensindelningen i Europeiska gemenskapen (klassificeringen i Nace rev. 2) till en indelningsnivå på högst åtta siffror (Prodcom-nivå).</w:t>
      </w:r>
    </w:p>
  </w:footnote>
  <w:footnote w:id="6">
    <w:p w14:paraId="555714D6" w14:textId="77777777" w:rsidR="00FE3196" w:rsidRPr="00D91CFC" w:rsidRDefault="00FE3196" w:rsidP="00470AF2">
      <w:pPr>
        <w:pStyle w:val="FootnoteText"/>
        <w:ind w:left="567" w:hanging="567"/>
      </w:pPr>
      <w:r>
        <w:rPr>
          <w:rStyle w:val="FootnoteReference"/>
        </w:rPr>
        <w:footnoteRef/>
      </w:r>
      <w:r>
        <w:tab/>
        <w:t>Till exempel uppgifter som omfattar en betydande andel av den berörda sektorns eller delsektorns bruttoförädlingsvärde på EU-nivå.</w:t>
      </w:r>
    </w:p>
  </w:footnote>
  <w:footnote w:id="7">
    <w:p w14:paraId="086AD512" w14:textId="7087BE19" w:rsidR="00FE3196" w:rsidRDefault="00FE3196">
      <w:pPr>
        <w:pStyle w:val="FootnoteText"/>
      </w:pPr>
      <w:r>
        <w:rPr>
          <w:rStyle w:val="FootnoteReference"/>
        </w:rPr>
        <w:footnoteRef/>
      </w:r>
      <w:r>
        <w:tab/>
        <w:t>Centralt förvaltad unionsfinansiering är unionsfinansiering som förvaltas centralt av Europeiska unionens institutioner, byråer, gemensamma företag eller dess andra organ som inte direkt eller indirekt står under medlemsstatens kontroll.</w:t>
      </w:r>
    </w:p>
  </w:footnote>
  <w:footnote w:id="8">
    <w:p w14:paraId="2FB02E44" w14:textId="77777777" w:rsidR="00FD7E6B" w:rsidRDefault="00FD7E6B" w:rsidP="00FD7E6B">
      <w:pPr>
        <w:pStyle w:val="FootnoteText"/>
      </w:pPr>
      <w:r>
        <w:rPr>
          <w:rStyle w:val="FootnoteReference"/>
        </w:rPr>
        <w:footnoteRef/>
      </w:r>
      <w:r>
        <w:tab/>
        <w:t xml:space="preserve">Mallen till formuläret för kompletterande upplysningar för anmälan av en utvärderingsplan (del III.8) finns här: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133B"/>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v-S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v-S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v-S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2.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3809</Words>
  <Characters>22397</Characters>
  <Application>Microsoft Office Word</Application>
  <DocSecurity>0</DocSecurity>
  <Lines>476</Lines>
  <Paragraphs>165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3</cp:revision>
  <cp:lastPrinted>2022-10-05T12:42:00Z</cp:lastPrinted>
  <dcterms:created xsi:type="dcterms:W3CDTF">2024-08-01T10:54:00Z</dcterms:created>
  <dcterms:modified xsi:type="dcterms:W3CDTF">2024-09-06T15:34:00Z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