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III daļas 6. iedaļa</w:t>
            </w:r>
          </w:p>
          <w:p w14:paraId="1C239D2C" w14:textId="171BCF76" w:rsidR="000442F5" w:rsidRPr="009916D5" w:rsidRDefault="00531803" w:rsidP="007B485D">
            <w:pPr>
              <w:pStyle w:val="Heading2"/>
              <w:spacing w:before="240" w:after="240"/>
              <w:jc w:val="center"/>
              <w:rPr>
                <w:sz w:val="32"/>
                <w:szCs w:val="32"/>
              </w:rPr>
            </w:pPr>
            <w:r>
              <w:rPr>
                <w:sz w:val="32"/>
              </w:rPr>
              <w:t>Papildinformācijas lapa par valsts atbalstu, ko piešķir saskaņā ar Pamatnostādnēm par valsts atbalstu klimata, vides aizsardzības un enerģētikas pasākumiem 2022 (</w:t>
            </w:r>
            <w:r>
              <w:rPr>
                <w:i/>
                <w:iCs/>
                <w:sz w:val="32"/>
              </w:rPr>
              <w:t>CEEAG</w:t>
            </w:r>
            <w:r>
              <w:rPr>
                <w:sz w:val="32"/>
              </w:rPr>
              <w:t>)</w:t>
            </w:r>
            <w:r w:rsidR="007B485D" w:rsidRPr="009916D5">
              <w:rPr>
                <w:sz w:val="32"/>
                <w:szCs w:val="32"/>
                <w:vertAlign w:val="superscript"/>
              </w:rPr>
              <w:footnoteReference w:id="2"/>
            </w:r>
            <w:r>
              <w:rPr>
                <w:sz w:val="32"/>
              </w:rPr>
              <w:t xml:space="preserve"> </w:t>
            </w:r>
            <w:bookmarkEnd w:id="0"/>
            <w:bookmarkEnd w:id="1"/>
          </w:p>
          <w:p w14:paraId="34AE2082" w14:textId="77777777" w:rsidR="002B52B3" w:rsidRDefault="002B52B3" w:rsidP="00AB6B5D">
            <w:pPr>
              <w:jc w:val="center"/>
              <w:rPr>
                <w:sz w:val="32"/>
                <w:szCs w:val="32"/>
              </w:rPr>
            </w:pPr>
            <w:r>
              <w:rPr>
                <w:sz w:val="32"/>
              </w:rPr>
              <w:t>4.11. nodaļa. Atbalsts, ko piešķir kā elektroenerģijas nodevu samazinājumu energoietilpīgiem lietotājiem</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Pr>
          <w:i/>
        </w:rPr>
        <w:t xml:space="preserve">Šī papildinformācijas lapa ir jāizmanto, lai paziņotu par visu atbalstu, uz ko attiecas Pamatnostādnes par valsts atbalstu klimata, vides aizsardzības un enerģētikas pasākumiem (2022) (turpmāk </w:t>
      </w:r>
      <w:r>
        <w:t>CEEAG</w:t>
      </w:r>
      <w:r>
        <w:rPr>
          <w:i/>
        </w:rPr>
        <w:t>).</w:t>
      </w:r>
    </w:p>
    <w:p w14:paraId="1B60656B" w14:textId="5A450E3F" w:rsidR="009E2EA1" w:rsidRPr="00711243" w:rsidRDefault="0072538B" w:rsidP="009E2EA1">
      <w:pPr>
        <w:spacing w:before="120" w:after="120"/>
        <w:ind w:right="-142"/>
        <w:jc w:val="both"/>
        <w:rPr>
          <w:i/>
          <w:iCs/>
        </w:rPr>
      </w:pPr>
      <w:r>
        <w:rPr>
          <w:i/>
        </w:rPr>
        <w:t xml:space="preserve">Šī papildinformācijas lapa attiecas uz pasākumiem, ko aptver </w:t>
      </w:r>
      <w:r>
        <w:t>CEEAG</w:t>
      </w:r>
      <w:r>
        <w:rPr>
          <w:i/>
        </w:rPr>
        <w:t xml:space="preserve"> 4.11. nodaļa. Ja paziņojumā ir iekļauti pasākumi, uz kuriem attiecas vairāk nekā viena </w:t>
      </w:r>
      <w:r>
        <w:t>CEEAG</w:t>
      </w:r>
      <w:r>
        <w:rPr>
          <w:i/>
        </w:rPr>
        <w:t xml:space="preserve"> nodaļa, aizpildiet arī atbilstošo papildinformācijas lapu par attiecīgo </w:t>
      </w:r>
      <w:r>
        <w:t>CEEAG</w:t>
      </w:r>
      <w:r>
        <w:rPr>
          <w:i/>
        </w:rPr>
        <w:t xml:space="preserve"> nodaļu, kad tā būs pieejama. </w:t>
      </w:r>
    </w:p>
    <w:p w14:paraId="05E36007" w14:textId="48DD17A5" w:rsidR="009E2EA1" w:rsidRPr="00711243" w:rsidRDefault="009E2EA1" w:rsidP="009E2EA1">
      <w:pPr>
        <w:spacing w:before="120" w:after="120"/>
        <w:ind w:right="-142"/>
        <w:jc w:val="both"/>
        <w:rPr>
          <w:i/>
          <w:iCs/>
        </w:rPr>
      </w:pPr>
      <w:r>
        <w:rPr>
          <w:i/>
        </w:rPr>
        <w:t>Visiem dokumentiem, ko dalībvalstis iesniedz kā šīs papildinformācijas lapas pielikumus, jābūt numurētiem, un dokumentu numuri jānorāda attiecīgajās šīs papildinformācijas lapas daļās.</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5B829808" w:rsidR="000442F5" w:rsidRPr="009916D5" w:rsidRDefault="00193E48" w:rsidP="004F64BC">
            <w:pPr>
              <w:keepLines/>
              <w:spacing w:before="120" w:after="120"/>
              <w:jc w:val="center"/>
              <w:rPr>
                <w:b/>
                <w:iCs/>
                <w:sz w:val="32"/>
                <w:szCs w:val="32"/>
              </w:rPr>
            </w:pPr>
            <w:r>
              <w:br w:type="page"/>
            </w:r>
            <w:r>
              <w:br w:type="page"/>
            </w:r>
            <w:r>
              <w:rPr>
                <w:b/>
                <w:sz w:val="32"/>
              </w:rPr>
              <w:t xml:space="preserve">A sadaļa. Kopsavilkums par galvenajiem </w:t>
            </w:r>
            <w:r w:rsidR="00175E0A">
              <w:rPr>
                <w:b/>
                <w:sz w:val="32"/>
              </w:rPr>
              <w:br/>
            </w:r>
            <w:r>
              <w:rPr>
                <w:b/>
                <w:sz w:val="32"/>
              </w:rPr>
              <w:t>paziņotā(-o) pasākuma(-u) aspektiem</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Paziņotā(-o) pasākuma(-u) priekšvēsture un mērķis(-i)</w:t>
      </w:r>
    </w:p>
    <w:p w14:paraId="53AAF227" w14:textId="40775AB0" w:rsidR="00931262" w:rsidRDefault="00931262" w:rsidP="004F64BC">
      <w:pPr>
        <w:pStyle w:val="ListParagraph"/>
        <w:keepLines/>
        <w:numPr>
          <w:ilvl w:val="0"/>
          <w:numId w:val="21"/>
        </w:numPr>
        <w:spacing w:after="240"/>
        <w:ind w:left="993" w:hanging="142"/>
        <w:jc w:val="both"/>
      </w:pPr>
      <w:r>
        <w:t>Norādiet, vai tas ir jauns pasākums vai spēkā esoša pasākuma grozījums. Ja tas ir grozījums, sniedziet sīkāku informāciju par izmaiņām shēmā.</w:t>
      </w:r>
    </w:p>
    <w:p w14:paraId="664A8EEB" w14:textId="77777777" w:rsidR="00931262" w:rsidRDefault="00931262" w:rsidP="00931262">
      <w:pPr>
        <w:tabs>
          <w:tab w:val="left" w:leader="dot" w:pos="9072"/>
        </w:tabs>
        <w:spacing w:before="120" w:after="120"/>
        <w:ind w:left="567"/>
        <w:jc w:val="both"/>
      </w:pPr>
      <w:r>
        <w:tab/>
      </w:r>
    </w:p>
    <w:p w14:paraId="0E53E6F4" w14:textId="5B9AA4D5" w:rsidR="00B77C6D" w:rsidRDefault="003030FB" w:rsidP="00B77C6D">
      <w:pPr>
        <w:pStyle w:val="ListParagraph"/>
        <w:numPr>
          <w:ilvl w:val="0"/>
          <w:numId w:val="21"/>
        </w:numPr>
        <w:spacing w:after="240"/>
        <w:ind w:left="993" w:hanging="142"/>
        <w:jc w:val="both"/>
      </w:pPr>
      <w:r>
        <w:t xml:space="preserve">Ja tas jau iepriekš nav izklāstīts Vispārīgās informācijas veidlapas 5.2. iedaļā (I daļa), norādiet pamatinformāciju un galveno mērķi, tostarp saistību ar visiem Savienības vidiskajiem mērķrādītājiem, kurus ar pasākumu paredzēts atbalstīt.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Norādiet citus ar pasākumu sasniedzamos mērķus, ja tādi ir. Attiecībā uz mērķiem, kas nav tikai vidiski, paskaidrojiet, vai tie var izraisīt iekšējā tirgus izkropļojumus.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bCs/>
        </w:rPr>
        <w:t>Stāšanās spēkā un ilgums</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Ja tas jau iepriekš nav norādīts Vispārīgās informācijas veidlapas (I daļa) 5.5. iedaļā, norādiet:</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atbalsta shēmas gadījumā: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datumu, no kura shēmai pēc plāna būtu jāstājas spēkā;</w:t>
      </w:r>
    </w:p>
    <w:p w14:paraId="5ED55C2C" w14:textId="77777777" w:rsidR="00B77C6D" w:rsidRDefault="00B77C6D" w:rsidP="00B77C6D">
      <w:pPr>
        <w:pStyle w:val="ListParagraph"/>
        <w:spacing w:after="240"/>
        <w:ind w:left="2160"/>
        <w:contextualSpacing w:val="0"/>
        <w:jc w:val="both"/>
        <w:rPr>
          <w:szCs w:val="24"/>
        </w:rPr>
      </w:pPr>
      <w:r>
        <w:t>…………………………………………………………………………...</w:t>
      </w:r>
    </w:p>
    <w:p w14:paraId="3A3DE8FD" w14:textId="79FD9BC2" w:rsidR="00B77C6D" w:rsidRPr="00A05822" w:rsidRDefault="00B77C6D" w:rsidP="00B77C6D">
      <w:pPr>
        <w:pStyle w:val="ListParagraph"/>
        <w:numPr>
          <w:ilvl w:val="2"/>
          <w:numId w:val="44"/>
        </w:numPr>
        <w:spacing w:after="240"/>
        <w:ind w:left="2410" w:hanging="283"/>
        <w:contextualSpacing w:val="0"/>
        <w:jc w:val="both"/>
        <w:rPr>
          <w:szCs w:val="24"/>
        </w:rPr>
      </w:pPr>
      <w:r>
        <w:t>shēmas ilgumu</w:t>
      </w:r>
      <w:r w:rsidRPr="0096487F">
        <w:rPr>
          <w:rStyle w:val="FootnoteReference"/>
          <w:rFonts w:cs="Arial Unicode MS"/>
          <w:bCs/>
          <w:lang w:bidi="si-LK"/>
        </w:rPr>
        <w:footnoteReference w:id="3"/>
      </w:r>
      <w:r w:rsidR="00175E0A">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individuāla atbalsta gadījumā: (plānotā) atbalsta piešķiršanas (atbalsta solījuma) datumu un maksājuma datumu (pirmā maksājuma datumu, ja ir paredzēti vairāki secīgi maksājumi).</w:t>
      </w:r>
    </w:p>
    <w:p w14:paraId="6C726222" w14:textId="7D188916" w:rsidR="00EA7FBC" w:rsidRPr="00E7597C" w:rsidRDefault="00B77C6D" w:rsidP="00E7597C">
      <w:pPr>
        <w:pStyle w:val="ListParagraph"/>
        <w:spacing w:before="120" w:after="120"/>
        <w:contextualSpacing w:val="0"/>
        <w:rPr>
          <w:szCs w:val="24"/>
        </w:rPr>
      </w:pPr>
      <w:r>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t>Atbalsta saņēmējs(-i)</w:t>
      </w:r>
      <w:r>
        <w:rPr>
          <w:b/>
        </w:rPr>
        <w:tab/>
      </w:r>
    </w:p>
    <w:p w14:paraId="06E5A4C8" w14:textId="44380450" w:rsidR="00B77C6D" w:rsidRDefault="0068024A" w:rsidP="00B77C6D">
      <w:pPr>
        <w:pStyle w:val="ListParagraph"/>
        <w:numPr>
          <w:ilvl w:val="0"/>
          <w:numId w:val="22"/>
        </w:numPr>
        <w:spacing w:after="240"/>
        <w:ind w:hanging="229"/>
        <w:jc w:val="both"/>
        <w:rPr>
          <w:szCs w:val="24"/>
        </w:rPr>
      </w:pPr>
      <w:r>
        <w:t>Ja tas jau iepriekš nav norādīts Vispārīgās informācijas veidlapas (I daļa) 3. iedaļā, aprakstiet ar pasākumu(-iem) saistīto(-os) (potenciālo(-s)) atbalsta saņēmēju(-us).</w:t>
      </w:r>
    </w:p>
    <w:p w14:paraId="32EF3438" w14:textId="77777777" w:rsidR="00B77C6D" w:rsidRPr="00564D5B" w:rsidRDefault="00B77C6D" w:rsidP="00B77C6D">
      <w:pPr>
        <w:tabs>
          <w:tab w:val="left" w:leader="dot" w:pos="9072"/>
        </w:tabs>
        <w:spacing w:before="120" w:after="120"/>
        <w:ind w:left="567"/>
        <w:jc w:val="both"/>
      </w:pPr>
      <w:r>
        <w:lastRenderedPageBreak/>
        <w:tab/>
      </w:r>
    </w:p>
    <w:p w14:paraId="1DB31E97" w14:textId="77777777" w:rsidR="00B77C6D" w:rsidRPr="00C55D4C" w:rsidRDefault="00B77C6D" w:rsidP="00B77C6D">
      <w:pPr>
        <w:pStyle w:val="ListParagraph"/>
        <w:numPr>
          <w:ilvl w:val="0"/>
          <w:numId w:val="22"/>
        </w:numPr>
        <w:spacing w:after="240"/>
        <w:ind w:hanging="229"/>
        <w:jc w:val="both"/>
        <w:rPr>
          <w:szCs w:val="24"/>
        </w:rPr>
      </w:pPr>
      <w:r>
        <w:t>Norādiet potenciālā(-o) atbalsta saņēmēja(-u) atrašanās vietu (t. i., vai pasākumā drīkst piedalīties tikai saimnieciskās vienības, kas atrodas attiecīgajās dalībvalstīs, vai arī vienības citās dalībvalstīs).</w:t>
      </w:r>
    </w:p>
    <w:p w14:paraId="7BA93CF3" w14:textId="77777777" w:rsidR="00B77C6D" w:rsidRDefault="00B77C6D" w:rsidP="00B77C6D">
      <w:pPr>
        <w:tabs>
          <w:tab w:val="left" w:leader="dot" w:pos="9072"/>
        </w:tabs>
        <w:spacing w:before="120" w:after="120"/>
        <w:ind w:left="567"/>
        <w:jc w:val="both"/>
      </w:pPr>
      <w:r>
        <w:tab/>
      </w:r>
    </w:p>
    <w:p w14:paraId="798E9E39" w14:textId="24A981FB" w:rsidR="00B77C6D" w:rsidRDefault="00B77C6D" w:rsidP="00B77C6D">
      <w:pPr>
        <w:pStyle w:val="ListParagraph"/>
        <w:numPr>
          <w:ilvl w:val="0"/>
          <w:numId w:val="22"/>
        </w:numPr>
        <w:spacing w:after="240"/>
        <w:ind w:hanging="229"/>
        <w:jc w:val="both"/>
        <w:rPr>
          <w:szCs w:val="24"/>
        </w:rPr>
      </w:pPr>
      <w:r>
        <w:t xml:space="preserve">Lai varētu novērtēt atbilstību </w:t>
      </w:r>
      <w:r>
        <w:rPr>
          <w:i/>
          <w:iCs/>
        </w:rPr>
        <w:t>CEEAG</w:t>
      </w:r>
      <w:r>
        <w:t xml:space="preserve"> 15. punktam, norādiet, vai atbalsts tiek piešķirts saskaņā ar pasākumu(-iem) tāda uzņēmuma labā (individuāli vai shēmas ietvaros), uz ko attiecas līdzekļu atgūšanas rīkojums pēc iepriekšēja Komisijas lēmumu, kurā pasludināta atbalsta nelikumība un nesaderība ar iekšējo tirgu.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Ja atbilde ir apstiprinoša, sniedziet informāciju par vēl atgūstamo atbalsta summu, lai Komisija to ņemtu vērā atbalsta pasākuma(-u) novērtējumā. </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 xml:space="preserve">Aplieciniet, ka pasākums(-i) neietver atbalstu darbībām ārpus </w:t>
      </w:r>
      <w:r>
        <w:rPr>
          <w:i/>
          <w:iCs/>
        </w:rPr>
        <w:t>CEEAG</w:t>
      </w:r>
      <w:r>
        <w:t xml:space="preserve"> piemērošanas jomas (sk. </w:t>
      </w:r>
      <w:r>
        <w:rPr>
          <w:i/>
          <w:iCs/>
        </w:rPr>
        <w:t>CEEAG</w:t>
      </w:r>
      <w:r>
        <w:t xml:space="preserve"> 13. punktu). Pretējā gadījumā sniedziet sīkāku informāciju.</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t>Pasākuma(-u) budžets un finansēšana</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Ja tas jau iepriekš nav minēts Vispārīgās informācijas veidlapas (I daļa) 7.1. iedaļas tabulā, norādiet gada budžetu un/vai kopējo budžetu visam pasākuma(-u) laikam; ja kopējais budžets nav zināms (jo tas, piemēram, ir atkarīgs no konkursu rezultātiem), norādiet budžeta aplēsi un arī attiecīgās aplēses sagatavošanai izmantotos pieņēmumus.</w:t>
      </w:r>
      <w:r>
        <w:rPr>
          <w:vertAlign w:val="superscript"/>
        </w:rPr>
        <w:t xml:space="preserve"> </w:t>
      </w:r>
      <w:r w:rsidRPr="00D86D38">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Tā kā pasākums attiecas uz nodevu, norādiet, vai:</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nodeva ir noteikta ar likumu vai kādu citu leģislatīvu aktu; ja atbilde ir apstiprinoša, norādiet tiesību aktu, tā numuru un pieņemšanas un spēkā stāšanās datumu, kā arī interneta saiti uz tiesību aktu;</w:t>
      </w:r>
    </w:p>
    <w:p w14:paraId="1754D836" w14:textId="77777777" w:rsidR="00B77C6D" w:rsidRDefault="00B77C6D" w:rsidP="00E7597C">
      <w:pPr>
        <w:keepLines/>
        <w:tabs>
          <w:tab w:val="left" w:leader="dot" w:pos="9072"/>
        </w:tabs>
        <w:spacing w:before="120" w:after="120"/>
        <w:ind w:left="927"/>
        <w:jc w:val="both"/>
      </w:pPr>
      <w:r>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t>nodevas samazinājums tiek finansēts, paaugstinot nodevu citiem patērētājiem</w:t>
      </w:r>
      <w:bookmarkEnd w:id="4"/>
      <w:r>
        <w:t>;</w:t>
      </w:r>
    </w:p>
    <w:p w14:paraId="63B7575D" w14:textId="6407E221" w:rsidR="00B77C6D" w:rsidRDefault="001F75B2" w:rsidP="00E7597C">
      <w:pPr>
        <w:keepLines/>
        <w:tabs>
          <w:tab w:val="left" w:leader="dot" w:pos="9072"/>
        </w:tabs>
        <w:spacing w:before="120" w:after="120"/>
        <w:ind w:left="927"/>
        <w:jc w:val="both"/>
      </w:pPr>
      <w:r>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nodeva pasākumu finansē pilnībā vai tikai daļēji. Ja nodeva pasākumu finansē tikai daļēji, norādiet citus pasākuma finansējuma avotus un to attiecīgo īpatsvaru;</w:t>
      </w:r>
    </w:p>
    <w:p w14:paraId="56091CF7" w14:textId="77777777" w:rsidR="00B77C6D" w:rsidRDefault="00B77C6D" w:rsidP="00E7597C">
      <w:pPr>
        <w:keepLines/>
        <w:tabs>
          <w:tab w:val="left" w:leader="dot" w:pos="9072"/>
        </w:tabs>
        <w:spacing w:before="120" w:after="120"/>
        <w:ind w:left="927"/>
        <w:jc w:val="both"/>
      </w:pPr>
      <w:r>
        <w:lastRenderedPageBreak/>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nodevu, ko izmanto paziņotā pasākuma finansēšanai, izmanto arī citu atbalsta pasākumu finansēšanai. Attiecīgajā gadījumā norādiet, kādi citi atbalsta pasākumi tiek finansēti ar attiecīgo nodevu.</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t>B sadaļa. Atbalsta shēmas saderības novērtējums</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Pozitīvs nosacījums. Atbalstam ir jāveicina saimnieciskās darbības attīstība</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Pr>
                <w:sz w:val="24"/>
              </w:rPr>
              <w:t>Ieguldījums saimnieciskās darbības attīstībā un stimulējoša ietekme</w:t>
            </w:r>
          </w:p>
        </w:tc>
      </w:tr>
    </w:tbl>
    <w:p w14:paraId="1E2599D2" w14:textId="090DDB6C" w:rsidR="000442F5" w:rsidRPr="00DB40A5" w:rsidRDefault="000442F5" w:rsidP="00D304A1">
      <w:pPr>
        <w:keepLines/>
        <w:spacing w:before="360" w:after="120"/>
        <w:jc w:val="both"/>
        <w:rPr>
          <w:i/>
        </w:rPr>
      </w:pPr>
      <w:r>
        <w:rPr>
          <w:i/>
        </w:rPr>
        <w:t>Lai sniegtu šajā sadaļā prasīto informāciju, sk. </w:t>
      </w:r>
      <w:r>
        <w:t>CEEAG</w:t>
      </w:r>
      <w:r>
        <w:rPr>
          <w:i/>
        </w:rPr>
        <w:t xml:space="preserve"> 4.11.1. iedaļu. </w:t>
      </w:r>
    </w:p>
    <w:p w14:paraId="3B179A23" w14:textId="692B32B4" w:rsidR="00FE59FF" w:rsidRDefault="00956022" w:rsidP="007D3768">
      <w:pPr>
        <w:numPr>
          <w:ilvl w:val="0"/>
          <w:numId w:val="4"/>
        </w:numPr>
        <w:ind w:left="426" w:hanging="426"/>
        <w:jc w:val="both"/>
      </w:pPr>
      <w:r>
        <w:t xml:space="preserve">Līguma par Eiropas Savienības darbību (LESD) 107. panta 3. punkta c) apakšpunktā ir noteikts, ka Komisija par saderīgu var atzīt “atbalstu, kas veicina konkrētu saimniecisko darbību vai konkrētu tautsaimniecības jomu attīstību, ja šādam atbalstam nav tāds nelabvēlīgs iespaids uz tirdzniecības apstākļiem, kas ir pretrunā kopīgām interesēm”. Tas nozīmē, ka saskaņā ar šo LESD noteikumu saderīgam atbalstam ir jāveicina konkrētas saimnieciskās darbības attīstība. </w:t>
      </w:r>
    </w:p>
    <w:p w14:paraId="3D019745" w14:textId="31E2DE72" w:rsidR="00C75792" w:rsidRPr="008515FB" w:rsidRDefault="00FE59FF" w:rsidP="00E7597C">
      <w:pPr>
        <w:spacing w:before="240"/>
        <w:ind w:left="357"/>
        <w:jc w:val="both"/>
      </w:pPr>
      <w:r>
        <w:t>Turklāt uzskatīt, ka atbalsts veicina saimniecisko darbību, var tikai tad, ja tam ir stimulējoša ietekme. Stimulējoša ietekme ir tad, ja atbalsts stimulē saņēmēju mainīt savu rīcību, lai attīstītu atbalstāmo saimniecisko darbību, un ja bez atbalsta šī rīcība netiktu mainīta.</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 xml:space="preserve">Paskaidrojiet, kā nodevas samazināšanas mehānisms stimulē atbalsttiesīgus uzņēmumus izvairīties no riska, ka darbības tiks pārceltas ārpus Savienības uz vietām, kur vidisko disciplīnu nav vai tās nav tik vērienīgas, vai stimulē veicināt ražošanas procesu elektrifikāciju saskaņā ar </w:t>
      </w:r>
      <w:r>
        <w:rPr>
          <w:i/>
          <w:iCs/>
        </w:rPr>
        <w:t>CEEAG</w:t>
      </w:r>
      <w:r>
        <w:t xml:space="preserve"> 400. punktu.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Norādiet, kurā juridiskā pamata (projekta) daļā šis apsvērums ir atspoguļots.</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Nav pārkāpts neviens attiecīgais Savienības tiesību aktu noteikums</w:t>
            </w:r>
          </w:p>
        </w:tc>
      </w:tr>
    </w:tbl>
    <w:p w14:paraId="665FE026" w14:textId="0459581F" w:rsidR="00DE1D68" w:rsidRDefault="00DE1D68" w:rsidP="00DE1D68">
      <w:pPr>
        <w:spacing w:before="360" w:after="120"/>
        <w:jc w:val="both"/>
        <w:rPr>
          <w:i/>
        </w:rPr>
      </w:pPr>
      <w:r>
        <w:rPr>
          <w:i/>
        </w:rPr>
        <w:t>Lai sniegtu šajā sadaļā prasīto informāciju, sk. </w:t>
      </w:r>
      <w:r>
        <w:t>CEEAG</w:t>
      </w:r>
      <w:r>
        <w:rPr>
          <w:i/>
        </w:rPr>
        <w:t xml:space="preserve"> 3.1.3. iedaļu (33. punktu). </w:t>
      </w:r>
    </w:p>
    <w:p w14:paraId="3E98C3D7" w14:textId="0DD79AFD" w:rsidR="00BE702A" w:rsidRDefault="0023543E" w:rsidP="00E7597C">
      <w:pPr>
        <w:pStyle w:val="ListParagraph"/>
        <w:keepLines/>
        <w:spacing w:before="120" w:after="120"/>
        <w:ind w:left="1287"/>
        <w:contextualSpacing w:val="0"/>
        <w:jc w:val="both"/>
        <w:rPr>
          <w:rFonts w:cs="Arial Unicode MS"/>
          <w:bCs/>
        </w:rPr>
      </w:pPr>
      <w:r>
        <w:t xml:space="preserve">Sniedziet informāciju, kas apliecina atbilstību attiecīgajiem ES tiesību aktu noteikumiem, saskaņā ar </w:t>
      </w:r>
      <w:r>
        <w:rPr>
          <w:i/>
          <w:iCs/>
        </w:rPr>
        <w:t>CEEAG</w:t>
      </w:r>
      <w:r>
        <w:t xml:space="preserve"> 33. punktu.</w:t>
      </w:r>
    </w:p>
    <w:p w14:paraId="1E0A5288" w14:textId="77777777" w:rsidR="00A97DDF" w:rsidRDefault="00A97DDF" w:rsidP="00E7597C">
      <w:pPr>
        <w:keepLines/>
        <w:tabs>
          <w:tab w:val="left" w:leader="dot" w:pos="9072"/>
        </w:tabs>
        <w:spacing w:before="120" w:after="120"/>
        <w:ind w:left="851"/>
        <w:jc w:val="both"/>
        <w:rPr>
          <w:color w:val="000000"/>
        </w:rPr>
      </w:pPr>
      <w:r>
        <w:rPr>
          <w:color w:val="000000"/>
        </w:rP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Pr>
                <w:i/>
                <w:color w:val="000000"/>
                <w:sz w:val="28"/>
              </w:rPr>
              <w:t>Negatīvs nosacījums. Atbalsts nevar radīt tādu nepamatotu nelabvēlīgu iespaidu uz tirdzniecības apstākļiem, kas ir pretrunā kopīgajām interesēm</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rPr>
              <w:t xml:space="preserve">Konkurences un tirdzniecības izkropļojumu minimizēšana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Pr>
                <w:color w:val="000000"/>
                <w:sz w:val="24"/>
              </w:rPr>
              <w:t>Valsts atbalsta intervences nepieciešamība un atbalsta piemērotība</w:t>
            </w:r>
          </w:p>
        </w:tc>
      </w:tr>
    </w:tbl>
    <w:p w14:paraId="3C23674F" w14:textId="3EF4BD10" w:rsidR="00663008" w:rsidRPr="00F83660" w:rsidRDefault="00663008" w:rsidP="00663008">
      <w:pPr>
        <w:spacing w:before="360" w:after="120"/>
        <w:jc w:val="both"/>
        <w:rPr>
          <w:i/>
          <w:color w:val="000000"/>
        </w:rPr>
      </w:pPr>
      <w:r>
        <w:rPr>
          <w:i/>
        </w:rPr>
        <w:t>Lai sniegtu šajā sadaļā prasīto informāciju, sk. </w:t>
      </w:r>
      <w:r>
        <w:t>CEEAG</w:t>
      </w:r>
      <w:r>
        <w:rPr>
          <w:i/>
        </w:rPr>
        <w:t xml:space="preserve"> 4.11.2. iedaļu un 413. punktu.</w:t>
      </w:r>
      <w:r>
        <w:rPr>
          <w:i/>
          <w:color w:val="000000"/>
        </w:rPr>
        <w:t xml:space="preserve"> </w:t>
      </w:r>
    </w:p>
    <w:p w14:paraId="2CAEA1C5" w14:textId="28295A1F" w:rsidR="00A97DDF" w:rsidRPr="00D3076E" w:rsidRDefault="00956022" w:rsidP="00E7597C">
      <w:pPr>
        <w:pStyle w:val="ListParagraph"/>
        <w:numPr>
          <w:ilvl w:val="0"/>
          <w:numId w:val="4"/>
        </w:numPr>
        <w:spacing w:before="240" w:after="120"/>
        <w:ind w:left="567" w:hanging="567"/>
        <w:contextualSpacing w:val="0"/>
        <w:jc w:val="both"/>
      </w:pPr>
      <w:r>
        <w:rPr>
          <w:i/>
          <w:iCs/>
        </w:rPr>
        <w:t>CEEAG</w:t>
      </w:r>
      <w:r>
        <w:t xml:space="preserve"> 403. punkts attiecas uz samazinājumu piešķiršanu nodevām par elektroenerģijas patēriņu, no kurām finansē enerģētikas un vidiskos mērķus. Sniedziet pilnīgu un detalizētu aprakstu par katru nodevu, kuras samazinājumu paredzēts piešķirt, raksturojot nodevas būtību, darbības jomu un piemērošanu, paskaidrojot, kā nodevu sistēma darbojas praksē (shēmas darbība un piešķīrējas iestādes funkcijas), un sniedzot detalizētas atsauces uz tās tiesisko regulējumu (juridisko pamatu). </w:t>
      </w:r>
    </w:p>
    <w:p w14:paraId="72782B48" w14:textId="77777777" w:rsidR="00A97DDF" w:rsidRDefault="00A97DDF" w:rsidP="00A97DDF">
      <w:pPr>
        <w:tabs>
          <w:tab w:val="left" w:leader="dot" w:pos="9072"/>
        </w:tabs>
        <w:spacing w:before="120" w:after="120"/>
        <w:ind w:left="851"/>
        <w:jc w:val="both"/>
        <w:rPr>
          <w:color w:val="000000"/>
        </w:rPr>
      </w:pPr>
      <w:r>
        <w:rPr>
          <w:color w:val="000000"/>
        </w:rP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Jo īpaši sniedziet informāciju par šādiem elementiem:</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katras nodevas mērķis (paskaidrojot, kā tiek izmantoti ieņēmumi, kas gūti no katras nodevas);</w:t>
      </w:r>
    </w:p>
    <w:p w14:paraId="3E421772" w14:textId="02259217" w:rsidR="00A97DDF" w:rsidRPr="009046DC" w:rsidRDefault="00A97DDF" w:rsidP="009046DC">
      <w:pPr>
        <w:tabs>
          <w:tab w:val="left" w:leader="dot" w:pos="9072"/>
        </w:tabs>
        <w:spacing w:before="120" w:after="120"/>
        <w:ind w:left="851"/>
        <w:jc w:val="both"/>
        <w:rPr>
          <w:color w:val="000000"/>
        </w:rPr>
      </w:pPr>
      <w:r>
        <w:rPr>
          <w:color w:val="000000"/>
        </w:rP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kādā veidā un no kā nodeva tiek iekasēta; kāds ir pamats nodevas iekasēšanai no uzņēmuma; kāda ir nodevas likmes aprēķināšanas metodika; vai, kāpēc un kādā veidā no maksātājiem tiek iekasētas atšķirīgas nodevas likmes; cik bieži un uz kāda pamata nodevas likme tiek pārskatīta;</w:t>
      </w:r>
    </w:p>
    <w:p w14:paraId="3D06ECCA" w14:textId="77777777" w:rsidR="00A97DDF" w:rsidRDefault="00A97DDF" w:rsidP="00E7597C">
      <w:pPr>
        <w:keepLines/>
        <w:tabs>
          <w:tab w:val="left" w:leader="dot" w:pos="9072"/>
        </w:tabs>
        <w:spacing w:before="120" w:after="120"/>
        <w:ind w:left="851"/>
        <w:jc w:val="both"/>
        <w:rPr>
          <w:color w:val="000000"/>
        </w:rPr>
      </w:pPr>
      <w:r>
        <w:rPr>
          <w:color w:val="000000"/>
        </w:rPr>
        <w:tab/>
      </w:r>
    </w:p>
    <w:p w14:paraId="4CA16BA7" w14:textId="5F53E29C"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 xml:space="preserve">aprakstiet dažādās struktūras, kas iesaistītas nodevas noteikšanā un pārskatīšanā, kā arī tās, kas iesaistītas ar nodevas starpniecību gūto ieņēmumu iekasēšanā un pārvaldībā;    </w:t>
      </w:r>
    </w:p>
    <w:p w14:paraId="67ABBA8F" w14:textId="77777777" w:rsidR="008B1377" w:rsidRDefault="008B1377" w:rsidP="00E7597C">
      <w:pPr>
        <w:keepLines/>
        <w:tabs>
          <w:tab w:val="left" w:leader="dot" w:pos="9072"/>
        </w:tabs>
        <w:spacing w:before="120" w:after="120"/>
        <w:ind w:left="851"/>
        <w:jc w:val="both"/>
        <w:rPr>
          <w:color w:val="000000"/>
        </w:rPr>
      </w:pPr>
      <w:r>
        <w:rPr>
          <w:color w:val="000000"/>
        </w:rP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rPr>
      </w:pPr>
      <w:r>
        <w:t>aprakstiet, kā darbojas nodevas iekasēšanas un pārdales sistēma;</w:t>
      </w:r>
    </w:p>
    <w:p w14:paraId="6459F489" w14:textId="54827983" w:rsidR="00A97DDF" w:rsidRPr="009046DC" w:rsidRDefault="00A97DDF" w:rsidP="00E7597C">
      <w:pPr>
        <w:keepLines/>
        <w:tabs>
          <w:tab w:val="left" w:leader="dot" w:pos="9072"/>
        </w:tabs>
        <w:spacing w:before="120" w:after="120"/>
        <w:ind w:left="851"/>
        <w:jc w:val="both"/>
        <w:rPr>
          <w:color w:val="000000"/>
        </w:rPr>
      </w:pPr>
      <w:r>
        <w:rPr>
          <w:color w:val="000000"/>
        </w:rP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rPr>
      </w:pPr>
      <w:r>
        <w:t>sniedziet jaunākos gada datus par piemērotajām nodevas likmēm un kopējiem gūtajiem ieņēmumiem. Sniedziet nākotnes prognozes, ja tādas ir pieejamas.</w:t>
      </w:r>
    </w:p>
    <w:p w14:paraId="373FD785" w14:textId="77777777" w:rsidR="00A97DDF" w:rsidRDefault="00A97DDF" w:rsidP="00E7597C">
      <w:pPr>
        <w:keepLines/>
        <w:tabs>
          <w:tab w:val="left" w:leader="dot" w:pos="9072"/>
        </w:tabs>
        <w:spacing w:before="120" w:after="120"/>
        <w:ind w:left="851"/>
        <w:jc w:val="both"/>
        <w:rPr>
          <w:color w:val="000000"/>
        </w:rPr>
      </w:pPr>
      <w:r>
        <w:rPr>
          <w:color w:val="000000"/>
        </w:rPr>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rPr>
          <w:i/>
          <w:iCs/>
        </w:rPr>
        <w:lastRenderedPageBreak/>
        <w:t>CEEAG</w:t>
      </w:r>
      <w:r>
        <w:t xml:space="preserve"> 404. punktā ir noteikts, ka dalībvalstīm visi samazinājumi par potenciāli vairākām elektroenerģijas nodevām energoietilpīgiem lietotājiem ir jāiekļauj vienā shēmā un jāinformē Komisija par visu atbilstīgo nodevu un visu ierosināto samazinājumu kumulatīvo ietekmi.</w:t>
      </w:r>
    </w:p>
    <w:p w14:paraId="3EF0E8A7" w14:textId="542E1B2A" w:rsidR="008D467D" w:rsidRDefault="00937DCD" w:rsidP="00E7597C">
      <w:pPr>
        <w:pStyle w:val="ListParagraph"/>
        <w:keepLines/>
        <w:numPr>
          <w:ilvl w:val="0"/>
          <w:numId w:val="43"/>
        </w:numPr>
        <w:spacing w:before="120" w:after="120"/>
        <w:contextualSpacing w:val="0"/>
        <w:jc w:val="both"/>
      </w:pPr>
      <w:r>
        <w:t xml:space="preserve">Aplieciniet, ka paziņotais pasākums attiecas uz visiem nodevu samazinājumiem, kas piešķirami, pamatojoties uz </w:t>
      </w:r>
      <w:r>
        <w:rPr>
          <w:i/>
          <w:iCs/>
        </w:rPr>
        <w:t>CEEAG</w:t>
      </w:r>
      <w:r>
        <w:t xml:space="preserve"> 4.11. nodaļu, un ka par iespējamiem turpmākiem šeit neiekļauto nodevu samazinājumiem tiks paziņots, iesniedzot paziņojumu par paziņotā pasākuma grozījumu. </w:t>
      </w:r>
    </w:p>
    <w:p w14:paraId="5D95920A" w14:textId="71C4C3A1" w:rsidR="008D467D" w:rsidRPr="00C01760" w:rsidRDefault="008D467D" w:rsidP="00E7597C">
      <w:pPr>
        <w:keepLines/>
        <w:tabs>
          <w:tab w:val="left" w:leader="dot" w:pos="9072"/>
        </w:tabs>
        <w:spacing w:before="120" w:after="120"/>
        <w:ind w:left="851"/>
        <w:jc w:val="both"/>
        <w:rPr>
          <w:color w:val="000000"/>
        </w:rPr>
      </w:pPr>
      <w:r>
        <w:rPr>
          <w:color w:val="000000"/>
        </w:rPr>
        <w:tab/>
      </w:r>
    </w:p>
    <w:p w14:paraId="359D41E7" w14:textId="10C378E6" w:rsidR="008D467D" w:rsidRDefault="00937DCD" w:rsidP="00E7597C">
      <w:pPr>
        <w:pStyle w:val="ListParagraph"/>
        <w:keepLines/>
        <w:numPr>
          <w:ilvl w:val="0"/>
          <w:numId w:val="43"/>
        </w:numPr>
        <w:spacing w:before="120" w:after="120"/>
        <w:contextualSpacing w:val="0"/>
        <w:jc w:val="both"/>
      </w:pPr>
      <w:r>
        <w:t>Pamatojoties uz pēdējo gadu datiem un iespējamām prognozēm, sniedziet informāciju par visu attiecīgo nodevu kumulatīvo ietekmi (gan absolūtā, gan relatīvā izteiksmē salīdzinājumā ar kopējām elektroenerģijas izmaksām un kopējām elektroenerģijas nodevām, maksām un nodokļiem) un ar to saistītajiem samazinājumiem saņēmējiem saskaņā ar paziņoto shēmu.</w:t>
      </w:r>
    </w:p>
    <w:p w14:paraId="3692203F" w14:textId="3E761774" w:rsidR="008D467D" w:rsidRPr="00C01760" w:rsidRDefault="008D467D" w:rsidP="00E7597C">
      <w:pPr>
        <w:keepLines/>
        <w:tabs>
          <w:tab w:val="left" w:leader="dot" w:pos="9072"/>
        </w:tabs>
        <w:spacing w:before="120" w:after="120"/>
        <w:ind w:left="851"/>
        <w:jc w:val="both"/>
        <w:rPr>
          <w:color w:val="000000"/>
        </w:rPr>
      </w:pPr>
      <w:r>
        <w:rPr>
          <w:color w:val="000000"/>
        </w:rP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t xml:space="preserve">Aprakstiet, vai atbalsts saskaņā ar paziņoto pasākumu izpaudīsies kā nodevu </w:t>
      </w:r>
      <w:r>
        <w:rPr>
          <w:i/>
          <w:iCs/>
        </w:rPr>
        <w:t>ex ante</w:t>
      </w:r>
      <w:r>
        <w:t xml:space="preserve"> samazinājums, </w:t>
      </w:r>
      <w:r>
        <w:rPr>
          <w:i/>
          <w:iCs/>
        </w:rPr>
        <w:t>ex post</w:t>
      </w:r>
      <w:r>
        <w:t xml:space="preserve"> kompensācijas summa (atmaksa) vai abu apvienojums. Savā atbildē sniedziet konkrētas atsauces uz juridisko pamatu (projektu) (piemēram, 7. panta 3. punkts). </w:t>
      </w:r>
    </w:p>
    <w:p w14:paraId="21504F4B" w14:textId="77777777" w:rsidR="00855B10" w:rsidRDefault="00855B10" w:rsidP="00855B10">
      <w:pPr>
        <w:tabs>
          <w:tab w:val="left" w:leader="dot" w:pos="9072"/>
        </w:tabs>
        <w:spacing w:before="120" w:after="120"/>
        <w:ind w:left="851"/>
        <w:jc w:val="both"/>
        <w:rPr>
          <w:color w:val="000000"/>
        </w:rPr>
      </w:pPr>
      <w:r>
        <w:rPr>
          <w:color w:val="000000"/>
        </w:rPr>
        <w:tab/>
      </w:r>
    </w:p>
    <w:p w14:paraId="2A380F03" w14:textId="0D5BB75C" w:rsidR="00855B10" w:rsidRPr="00855B10" w:rsidRDefault="00AB606C" w:rsidP="00855B10">
      <w:pPr>
        <w:pStyle w:val="ListParagraph"/>
        <w:numPr>
          <w:ilvl w:val="0"/>
          <w:numId w:val="51"/>
        </w:numPr>
        <w:spacing w:before="120" w:after="120"/>
        <w:contextualSpacing w:val="0"/>
        <w:jc w:val="both"/>
      </w:pPr>
      <w:r>
        <w:t xml:space="preserve">Saskaņā ar </w:t>
      </w:r>
      <w:r>
        <w:rPr>
          <w:i/>
          <w:iCs/>
        </w:rPr>
        <w:t>CEEAG</w:t>
      </w:r>
      <w:r>
        <w:t xml:space="preserve"> 413. punktu, ja atbalstu piešķir nodevu samazinājuma veidā, aplieciniet:</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 xml:space="preserve">ka ir ieviests </w:t>
      </w:r>
      <w:r>
        <w:rPr>
          <w:i/>
          <w:iCs/>
        </w:rPr>
        <w:t>ex post</w:t>
      </w:r>
      <w:r>
        <w:t xml:space="preserve"> uzraudzības mehānisms;</w:t>
      </w:r>
    </w:p>
    <w:p w14:paraId="6B91C21B" w14:textId="77777777" w:rsidR="00855B10" w:rsidRDefault="00855B10" w:rsidP="005A4E16">
      <w:pPr>
        <w:keepLines/>
        <w:tabs>
          <w:tab w:val="left" w:leader="dot" w:pos="9072"/>
        </w:tabs>
        <w:spacing w:before="120" w:after="120"/>
        <w:ind w:left="851"/>
        <w:jc w:val="both"/>
        <w:rPr>
          <w:color w:val="000000"/>
        </w:rPr>
      </w:pPr>
      <w:r>
        <w:rPr>
          <w:color w:val="000000"/>
        </w:rP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un ka jebkurš atbalsta pārmaksājums tiks atmaksāts līdz nākamā gada 1. jūlijam. Norādiet, kur šī informācija ir atrodama juridiskajā pamatā (projektā).</w:t>
      </w:r>
    </w:p>
    <w:p w14:paraId="43A4C207" w14:textId="77777777" w:rsidR="00855B10" w:rsidRDefault="00855B10" w:rsidP="00855B10">
      <w:pPr>
        <w:tabs>
          <w:tab w:val="left" w:leader="dot" w:pos="9072"/>
        </w:tabs>
        <w:spacing w:before="120" w:after="120"/>
        <w:ind w:left="851"/>
        <w:jc w:val="both"/>
        <w:rPr>
          <w:color w:val="000000"/>
        </w:rPr>
      </w:pPr>
      <w:r>
        <w:rPr>
          <w:color w:val="000000"/>
        </w:rPr>
        <w:tab/>
      </w:r>
    </w:p>
    <w:p w14:paraId="0A9FE732" w14:textId="200050F6" w:rsidR="00855B10" w:rsidRDefault="00AB606C" w:rsidP="008D467D">
      <w:pPr>
        <w:pStyle w:val="ListParagraph"/>
        <w:numPr>
          <w:ilvl w:val="0"/>
          <w:numId w:val="51"/>
        </w:numPr>
        <w:spacing w:before="120" w:after="120"/>
        <w:contextualSpacing w:val="0"/>
        <w:jc w:val="both"/>
      </w:pPr>
      <w:r>
        <w:t xml:space="preserve">Ja saskaņā ar </w:t>
      </w:r>
      <w:r>
        <w:rPr>
          <w:i/>
          <w:iCs/>
        </w:rPr>
        <w:t>CEEAG</w:t>
      </w:r>
      <w:r>
        <w:t xml:space="preserve"> 413. punkta pēdējo teikumu atbalstu piešķir atmaksas veidā, aplieciniet, ka to aprēķina, balstoties uz novērotajiem elektroenerģijas patēriņa līmeņiem un attiecīgā gadījumā uz bruto pievienoto vērtību laika periodā, kurā tika piemērotas atbilstīgās nodevas.</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t>ATBILSTĪBA</w:t>
            </w:r>
          </w:p>
        </w:tc>
      </w:tr>
    </w:tbl>
    <w:p w14:paraId="2460A5B7" w14:textId="139EC6FA" w:rsidR="00AB322D" w:rsidRPr="00E74034" w:rsidRDefault="00AB322D" w:rsidP="00AB322D">
      <w:pPr>
        <w:spacing w:before="360" w:after="120"/>
        <w:jc w:val="both"/>
        <w:rPr>
          <w:i/>
        </w:rPr>
      </w:pPr>
      <w:r>
        <w:rPr>
          <w:i/>
        </w:rPr>
        <w:t>Lai sniegtu šajā sadaļā prasīto informāciju, sk. </w:t>
      </w:r>
      <w:r>
        <w:t>CEEAG</w:t>
      </w:r>
      <w:r>
        <w:rPr>
          <w:i/>
        </w:rPr>
        <w:t xml:space="preserve"> 4.11.3.1. iedaļu (405.–407. punktu). </w:t>
      </w:r>
    </w:p>
    <w:p w14:paraId="70D92710" w14:textId="06DE4555" w:rsidR="00937DCD" w:rsidRDefault="00956022" w:rsidP="005A4E16">
      <w:pPr>
        <w:pStyle w:val="ListParagraph"/>
        <w:numPr>
          <w:ilvl w:val="0"/>
          <w:numId w:val="4"/>
        </w:numPr>
        <w:spacing w:before="240" w:after="120"/>
        <w:ind w:left="567" w:hanging="567"/>
        <w:contextualSpacing w:val="0"/>
        <w:jc w:val="both"/>
      </w:pPr>
      <w:r>
        <w:rPr>
          <w:i/>
          <w:iCs/>
        </w:rPr>
        <w:t>CEEAG</w:t>
      </w:r>
      <w:r>
        <w:t xml:space="preserve"> 405. punktā ir definētas energoietilpīgas nozares, kuras ir pakļautas “ievērojamam riskam” (a) apakšpunkts) un pakļautas “riskam” (b) apakšpunkts). Lai pārbaudītu atbilstību </w:t>
      </w:r>
      <w:r>
        <w:rPr>
          <w:i/>
          <w:iCs/>
        </w:rPr>
        <w:t>CEEAG</w:t>
      </w:r>
      <w:r>
        <w:t xml:space="preserve"> 405. punktam, aplieciniet, ka visas atbilstīgās energoietilpīgās nozares, kas pakļautas “riskam” un “ievērojamam riskam” saskaņā ar </w:t>
      </w:r>
      <w:r>
        <w:lastRenderedPageBreak/>
        <w:t xml:space="preserve">paziņoto pasākumu, ir uzskaitītas </w:t>
      </w:r>
      <w:r>
        <w:rPr>
          <w:i/>
          <w:iCs/>
        </w:rPr>
        <w:t>CEEAG</w:t>
      </w:r>
      <w:r>
        <w:t xml:space="preserve"> I pielikuma attiecīgajās daļās, un pievienojiet šīs veidlapas pielikumā sarakstus ar “riskam” vai “ievērojamam riskam” pakļautajām </w:t>
      </w:r>
      <w:r>
        <w:rPr>
          <w:i/>
          <w:iCs/>
        </w:rPr>
        <w:t>NACE</w:t>
      </w:r>
      <w:r>
        <w:noBreakHyphen/>
        <w:t>4 nozarēm, kuras saskaņā ar pasākumu ir atbalsttiesīgas</w:t>
      </w:r>
      <w:r>
        <w:rPr>
          <w:shd w:val="clear" w:color="auto" w:fill="FFFFFF"/>
        </w:rPr>
        <w:t>, norādot, kur juridiskajā pamatā (projektā) šo informāciju var atrast (piemēram, 7. panta 3. punkts)</w:t>
      </w:r>
      <w:r>
        <w:t xml:space="preserve">.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rPr>
          <w:i/>
          <w:iCs/>
        </w:rPr>
        <w:t>CEEAG</w:t>
      </w:r>
      <w:r>
        <w:t xml:space="preserve"> 406. punktā ir noteikts, ka nozare vai apakšnozare</w:t>
      </w:r>
      <w:r w:rsidR="00470AF2" w:rsidRPr="00470AF2">
        <w:rPr>
          <w:vertAlign w:val="superscript"/>
        </w:rPr>
        <w:footnoteReference w:id="5"/>
      </w:r>
      <w:r>
        <w:t xml:space="preserve">, kas nav iekļauta </w:t>
      </w:r>
      <w:r>
        <w:rPr>
          <w:i/>
          <w:iCs/>
        </w:rPr>
        <w:t>CEEAG</w:t>
      </w:r>
      <w:r>
        <w:t xml:space="preserve"> I pielikumā, arī tiks uzskatīta par atbalsttiesīgu, ja vien tā atbilst 405. punktā minētajiem atbilstības kritērijiem. Ja atbalstu saskaņā ar paziņoto pasākumu ir paredzēts piešķirt arī nozarēm un/vai apakšnozarēm, kas nav iekļautas </w:t>
      </w:r>
      <w:r>
        <w:rPr>
          <w:i/>
          <w:iCs/>
        </w:rPr>
        <w:t>CEEAG</w:t>
      </w:r>
      <w:r>
        <w:t xml:space="preserve"> I pielikumā:</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t xml:space="preserve">pierādiet atbilstību </w:t>
      </w:r>
      <w:r>
        <w:rPr>
          <w:i/>
          <w:iCs/>
        </w:rPr>
        <w:t>CEEAG</w:t>
      </w:r>
      <w:r>
        <w:t xml:space="preserve"> 405. punktā minētajai metodikai attiecībā uz katru (apakš)nozari;</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šīs veidlapas pielikumā norādiet nozarei vai apakšnozarei reprezentatīvus datus Savienības līmenī</w:t>
      </w:r>
      <w:r w:rsidR="00470AF2" w:rsidRPr="00470AF2">
        <w:rPr>
          <w:vertAlign w:val="superscript"/>
        </w:rPr>
        <w:footnoteReference w:id="6"/>
      </w:r>
      <w:r>
        <w:t>, ko verificējis neatkarīgs eksperts un kas balstās uz laikposmu, kurš ilgst vismaz trīs secīgus gadus un sākas ne agrāk kā 2013. gadā.</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Aprakstiet, kā pieteikuma iesniedzējiem būs jāpierāda, ka tie darbojas atbalsttiesīgā nozarē, norādot, kur šī informācija atrodama juridiskajā pamatā (projektā) (piemēram, 7. panta 3. punkts).</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t xml:space="preserve">Uzskaitiet visus pārējos nosacījumus, kas vajadzīgi, lai paziņotā pasākuma saistībā pretendētu uz atbalstu, norādot, kur šī informācija ir atrodama juridiskajā pamatā (piemēram, 7. panta 3. punkts). Jo īpaši paskaidrojiet: a) vai atbalsta saņēmēji vai (apakš)nozares, kas saskaņā ar </w:t>
      </w:r>
      <w:r>
        <w:rPr>
          <w:i/>
          <w:iCs/>
        </w:rPr>
        <w:t>CEEAG</w:t>
      </w:r>
      <w:r>
        <w:t xml:space="preserve"> I pielikumu principā ir atbalsttiesīgas, ir izslēgtas, b) vai pastāv papildu kritēriji atbalsttiesībām, kas būtu piemērojami un nav minēti </w:t>
      </w:r>
      <w:r>
        <w:rPr>
          <w:i/>
          <w:iCs/>
        </w:rPr>
        <w:t>CEEAG</w:t>
      </w:r>
      <w:r>
        <w:t xml:space="preserve"> 4.11. iedaļā, un c) vai ir paredzēti atšķirīgi nodevu samazinājumi saņēmējiem vienā un tajā pašā kategorijā.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t xml:space="preserve">Saskaņā ar </w:t>
      </w:r>
      <w:r>
        <w:rPr>
          <w:i/>
          <w:iCs/>
        </w:rPr>
        <w:t>CEEAG</w:t>
      </w:r>
      <w:r>
        <w:t xml:space="preserve"> 407. punktu ir iespējams vēl vairāk ierobežot pasākuma atbalsttiesīgos saņēmējus. Ja tā tiek darīts, attiecībā uz katru šādu papildu atbalsttiesību nosacījumu paskaidrojiet pamatojumu un pierādiet, ka i) attiecīgais nosacījums ir balstīts uz objektīviem, nediskriminējošiem un pārredzamiem kritērijiem un ka ii) atbalsts principā tiek piešķirts vienādi visiem atbalsttiesīgajiem saņēmējiem tajā pašā nozarē, ja tie ir līdzīgā faktiskajā situācijā.</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Pr>
                <w:sz w:val="24"/>
              </w:rPr>
              <w:lastRenderedPageBreak/>
              <w:t>Atbalsta, ieskaitot kumulācijas, samērīgums (atbalsts ir ierobežots līdz minimumam, kas nepieciešams tā mērķa sasniegšanai)</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Pr>
                <w:sz w:val="24"/>
              </w:rPr>
              <w:t xml:space="preserve">Atbalsta samērīgums </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Lai sniegtu šajā sadaļā prasīto informāciju, sk. </w:t>
      </w:r>
      <w:r>
        <w:t>CEEAG</w:t>
      </w:r>
      <w:r>
        <w:rPr>
          <w:i/>
        </w:rPr>
        <w:t xml:space="preserve"> 4.11.3.2. iedaļu un 407. punktu.</w:t>
      </w:r>
    </w:p>
    <w:p w14:paraId="0CBF90E1" w14:textId="306749D7" w:rsidR="00B06A84" w:rsidRDefault="00644950" w:rsidP="005A4E16">
      <w:pPr>
        <w:numPr>
          <w:ilvl w:val="0"/>
          <w:numId w:val="4"/>
        </w:numPr>
        <w:spacing w:before="240"/>
        <w:ind w:left="567" w:hanging="567"/>
        <w:jc w:val="both"/>
      </w:pPr>
      <w:r>
        <w:t xml:space="preserve">Lai pierādītu atbilstību </w:t>
      </w:r>
      <w:r>
        <w:rPr>
          <w:i/>
          <w:iCs/>
        </w:rPr>
        <w:t>CEEAG</w:t>
      </w:r>
      <w:r>
        <w:t xml:space="preserve"> 4.11.3.2. iedaļai un 407. punktam, sniedziet pilnīgu un detalizētu aprakstu par metodiku, ko izmanto, lai aprēķinātu nodevu samazinājumus, kas piemērojami atbalsttiesīgajiem saņēmējiem, norādot, kur šī informācija ir atrodama juridiskajā pamatā (projektā) (piemēram, 7. panta 3. punkts). Jo īpaši:</w:t>
      </w:r>
    </w:p>
    <w:p w14:paraId="2E456933" w14:textId="4F8D31AD" w:rsidR="00937DCD" w:rsidRDefault="006813BD" w:rsidP="009E4296">
      <w:pPr>
        <w:pStyle w:val="ListParagraph"/>
        <w:numPr>
          <w:ilvl w:val="0"/>
          <w:numId w:val="38"/>
        </w:numPr>
        <w:spacing w:before="120" w:after="120"/>
        <w:contextualSpacing w:val="0"/>
        <w:jc w:val="both"/>
      </w:pPr>
      <w:r>
        <w:t>norādiet maksimālo nodevas samazinājuma likmi, kas piemērojama uzņēmumiem, kuri darbojas “riskam” un “ievērojamam riskam” pakļautās nozarēs;</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287823A9" w:rsidR="00937DCD" w:rsidRDefault="006813BD" w:rsidP="009E4296">
      <w:pPr>
        <w:pStyle w:val="ListParagraph"/>
        <w:numPr>
          <w:ilvl w:val="0"/>
          <w:numId w:val="38"/>
        </w:numPr>
        <w:spacing w:before="120" w:after="120"/>
        <w:contextualSpacing w:val="0"/>
        <w:jc w:val="both"/>
      </w:pPr>
      <w:r>
        <w:t>norādiet, vai paziņotais pasākums salīdzinājumā ar iepriekš minēto i) punktu paredz vēl vairāk ierobežot papildu izmaksas, kas izriet no attiecīgajām elektroenerģijas nodevām. Ja tā ir, a) norādiet šādu ierobežojumu vērtību attiecībā pret to uzņēmumu bruto pievienoto vērtību (“BPV”), kuri darbojas “riskam” un “ievērojamam riskam” pakļautās nozarēs, un b) aprakstiet, kā tiek aprēķināta to atbalsttiesīgo uzņēmumu BPV, kuri darbojas “riskam” un “ievērojamam riskam” pakļautās nozarēs;</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aplieciniet, ka nodevas samazinājuma rezultātā nodeva jebkurā gadījumā nebūs mazāka par 0,5 EUR/MWh.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507FE509" w:rsidR="00937DCD" w:rsidRDefault="00C17C85" w:rsidP="005A4E16">
      <w:pPr>
        <w:numPr>
          <w:ilvl w:val="0"/>
          <w:numId w:val="4"/>
        </w:numPr>
        <w:spacing w:before="240"/>
        <w:ind w:left="567" w:hanging="567"/>
        <w:jc w:val="both"/>
      </w:pPr>
      <w:r>
        <w:t xml:space="preserve">Norādiet, vai paziņotais pasākums saskaņā ar </w:t>
      </w:r>
      <w:r>
        <w:rPr>
          <w:i/>
          <w:iCs/>
        </w:rPr>
        <w:t>CEEAG</w:t>
      </w:r>
      <w:r>
        <w:t xml:space="preserve"> 410. punktu paredz augstāku atbalsta intensitāti tiem uzņēmumiem, kas darbojas “riskam pakļautās nozarēs”, kuras samazina sava elektroenerģijas patēriņa oglekļa pēdu. </w:t>
      </w:r>
    </w:p>
    <w:p w14:paraId="293F5C0A" w14:textId="77777777" w:rsidR="00937DCD" w:rsidRDefault="00C17C85" w:rsidP="005A4E16">
      <w:pPr>
        <w:pStyle w:val="ListParagraph"/>
        <w:keepLines/>
        <w:spacing w:before="120" w:after="120"/>
        <w:ind w:left="567"/>
        <w:contextualSpacing w:val="0"/>
        <w:jc w:val="both"/>
      </w:pPr>
      <w:r>
        <w:t>Apstiprinošas atbildes gadījumā:</w:t>
      </w:r>
    </w:p>
    <w:p w14:paraId="29CAF0A6" w14:textId="64FF48FB" w:rsidR="00937DCD" w:rsidRDefault="003653B6" w:rsidP="005A4E16">
      <w:pPr>
        <w:pStyle w:val="ListParagraph"/>
        <w:keepLines/>
        <w:numPr>
          <w:ilvl w:val="0"/>
          <w:numId w:val="52"/>
        </w:numPr>
        <w:spacing w:before="120" w:after="120"/>
        <w:contextualSpacing w:val="0"/>
        <w:jc w:val="both"/>
      </w:pPr>
      <w:r>
        <w:t>aprakstiet augstākos atbalsta intensitātes līmeņus un aplieciniet attiecīgos nosacījumus, kas attiecīgajiem uzņēmumiem jāizpilda (t. i., 50 % elektroenerģijas patēriņa no bezoglekļa avotiem, no kuriem vai nu vismaz 10 % tiek segti ar nākotnes instrumentu, piemēram, EPL, vai vismaz 5 % tiek ražoti uz vietas vai netālu no objekta), norādot, kur šī informācija ir atrodama juridiskajā pamatā (projektā) (piemēram, 7. panta 3. punkts);</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0ED4A33" w:rsidR="00C17C85" w:rsidRDefault="003653B6" w:rsidP="009E4296">
      <w:pPr>
        <w:pStyle w:val="ListParagraph"/>
        <w:numPr>
          <w:ilvl w:val="0"/>
          <w:numId w:val="52"/>
        </w:numPr>
        <w:spacing w:before="120" w:after="120"/>
        <w:contextualSpacing w:val="0"/>
        <w:jc w:val="both"/>
      </w:pPr>
      <w:r>
        <w:t xml:space="preserve">aprakstiet, kā tiks uzraudzīta šo nosacījumu izpilde, un </w:t>
      </w:r>
      <w:r>
        <w:rPr>
          <w:i/>
          <w:iCs/>
        </w:rPr>
        <w:t>ex post</w:t>
      </w:r>
      <w:r>
        <w:t xml:space="preserve"> uzraudzības gadījumā – kāda būtu ietekme gadījumā, ja uzņēmums prasības neizpildītu.</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323FC3C7" w:rsidR="000575C3" w:rsidRPr="008515FB" w:rsidRDefault="00762E7A" w:rsidP="005A4E16">
      <w:pPr>
        <w:numPr>
          <w:ilvl w:val="0"/>
          <w:numId w:val="4"/>
        </w:numPr>
        <w:spacing w:before="240"/>
        <w:ind w:left="567" w:hanging="567"/>
        <w:jc w:val="both"/>
      </w:pPr>
      <w:r>
        <w:lastRenderedPageBreak/>
        <w:t xml:space="preserve">Attiecīgā gadījumā aprakstiet jebkādu turpmāku nodevu samazinājuma likmes maiņu saņēmējiem, kas darbojas “riskam” un “ievērojamam riskam” pakļautās nozarēs, norādot, kur šī informācija ir atrodama juridiskajā pamatā (projektā) (piemēram, 7. panta 3. punkts). Pierādiet, ka a) atšķirīgu nodevu samazinājumu noteikšana ir balstīta uz objektīviem un pārredzamiem kritērijiem un b) atbalsts tiek principā vienā un tajā pašā veidā piešķirts visiem konkurentiem tajā pašā nozarē, ja tie atrodas līdzīgā faktiskā situācijā.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rPr>
              <w:t xml:space="preserve">Energoauditi un vadības sistēmas </w:t>
            </w:r>
          </w:p>
        </w:tc>
      </w:tr>
    </w:tbl>
    <w:p w14:paraId="7C447A12" w14:textId="28CC1D2E" w:rsidR="00F17D00" w:rsidRDefault="00F17D00" w:rsidP="00F17D00">
      <w:pPr>
        <w:pStyle w:val="ListParagraph"/>
        <w:spacing w:before="120" w:after="120"/>
        <w:ind w:left="567"/>
        <w:contextualSpacing w:val="0"/>
        <w:jc w:val="both"/>
        <w:rPr>
          <w:i/>
        </w:rPr>
      </w:pPr>
      <w:r>
        <w:rPr>
          <w:i/>
        </w:rPr>
        <w:t>Lai sniegtu šajā sadaļā prasīto informāciju, sk. </w:t>
      </w:r>
      <w:r>
        <w:t>CEEAG</w:t>
      </w:r>
      <w:r>
        <w:rPr>
          <w:i/>
        </w:rPr>
        <w:t xml:space="preserve"> 4.11.3.4. iedaļu.</w:t>
      </w:r>
    </w:p>
    <w:p w14:paraId="455D1B6E" w14:textId="06E6D973" w:rsidR="00DF586F" w:rsidRDefault="00DF586F" w:rsidP="005A4E16">
      <w:pPr>
        <w:numPr>
          <w:ilvl w:val="0"/>
          <w:numId w:val="4"/>
        </w:numPr>
        <w:spacing w:before="240"/>
        <w:ind w:left="567" w:hanging="567"/>
        <w:jc w:val="both"/>
      </w:pPr>
      <w:r>
        <w:t xml:space="preserve">Saskaņā ar </w:t>
      </w:r>
      <w:r>
        <w:rPr>
          <w:i/>
          <w:iCs/>
        </w:rPr>
        <w:t>CEEAG</w:t>
      </w:r>
      <w:r>
        <w:t xml:space="preserve"> 414. punktu, aprakstiet, kā valsts iestādes saskaņā ar paziņoto pasākumu pārbaudīs, vai atbalsta saņēmēji izpilda pienākumu veikt energoauditu Direktīvas 2012/27/ES 8. panta nozīmē. Norādiet, kur šī informācija atrodama juridiskajā pamatā (projektā) (piemēram, 7. panta 3. punkts).</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322473AB" w:rsidR="00D2287A" w:rsidRDefault="00956022" w:rsidP="005A4E16">
      <w:pPr>
        <w:numPr>
          <w:ilvl w:val="0"/>
          <w:numId w:val="4"/>
        </w:numPr>
        <w:spacing w:before="240"/>
        <w:ind w:left="567" w:hanging="567"/>
        <w:jc w:val="both"/>
      </w:pPr>
      <w:r>
        <w:rPr>
          <w:i/>
          <w:iCs/>
        </w:rPr>
        <w:t>CEEAG</w:t>
      </w:r>
      <w:r>
        <w:t xml:space="preserve"> 415. punktā ir noteikts, ka atbalsta saņēmēji, kam jāveic energoaudits, ievēro vismaz vienu no trim turpmāk minētajām iespējām, t. i., a) īsteno audita ziņojuma ieteikumus, proti, attiecīgo investīciju atmaksāšanās laiks nepārsniedz trīs gadus un investīciju izmaksas ir samērīgas, vai b) sedz vismaz 30 % sava elektroenerģijas patēriņa no bezoglekļa avotiem, vai c) vismaz 50 % no atbalsta iegulda projektos, kas būtiski samazina siltumnīcefekta gāzu emisijas. Aprakstiet, kā valsts iestādes saskaņā ar paziņoto pasākumu uzraudzīs, vai atbalsta saņēmēji, kuriem jāveic energoaudits saskaņā ar Direktīvas 2012/27/ES 8. panta 4. punktu, ievēro vienu vai vairākas no trim </w:t>
      </w:r>
      <w:r>
        <w:rPr>
          <w:i/>
          <w:iCs/>
        </w:rPr>
        <w:t>CEEAG</w:t>
      </w:r>
      <w:r>
        <w:t xml:space="preserve"> 415. punktā uzskaitītajām iespējām, norādot, kur šī informācija ir atrodama juridiskajā pamatā (projektā) (piemēram, 7. panta 3. punkts). Jo īpaši sniedziet sīkāku informāciju par katru paziņotajā pasākumā paredzēto iespēju:</w:t>
      </w:r>
    </w:p>
    <w:p w14:paraId="4CD0D5F0" w14:textId="6354CA9F" w:rsidR="00937DCD" w:rsidRDefault="00937DCD" w:rsidP="009E4296">
      <w:pPr>
        <w:pStyle w:val="ListParagraph"/>
        <w:numPr>
          <w:ilvl w:val="0"/>
          <w:numId w:val="41"/>
        </w:numPr>
        <w:spacing w:before="120" w:after="120"/>
        <w:jc w:val="both"/>
      </w:pPr>
      <w:r>
        <w:t>kā tieši saņēmējiem būs jāpierāda prasību izpilde;</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03F05794" w:rsidR="00937DCD" w:rsidRDefault="007322A3" w:rsidP="009E4296">
      <w:pPr>
        <w:pStyle w:val="ListParagraph"/>
        <w:numPr>
          <w:ilvl w:val="0"/>
          <w:numId w:val="41"/>
        </w:numPr>
        <w:spacing w:before="120" w:after="120"/>
        <w:jc w:val="both"/>
      </w:pPr>
      <w:r>
        <w:t>kāds ir prasību izpildes termiņš (piemēram, pabeigt attiecīgos ieguldījumus viena gada laikā pēc atbalsta piešķiršanas) un cik bieži saņēmējiem būs jāpierāda prasību izpilde (piemēram, reizi gadā);</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kā un cik bieži tiks uzraudzīta prasību izpilde (piemēram, reizi gadā);</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05AE79E0" w:rsidR="00CB6E9E" w:rsidRPr="00D2287A" w:rsidRDefault="007322A3" w:rsidP="005A4E16">
      <w:pPr>
        <w:pStyle w:val="ListParagraph"/>
        <w:keepLines/>
        <w:numPr>
          <w:ilvl w:val="0"/>
          <w:numId w:val="41"/>
        </w:numPr>
        <w:spacing w:before="120" w:after="120"/>
        <w:jc w:val="both"/>
      </w:pPr>
      <w:r>
        <w:t xml:space="preserve">kādas būs prasību neizpildes sekas saņēmējiem (piemēram, atteikums piešķirt atbalstu, ja tiek veikta </w:t>
      </w:r>
      <w:r>
        <w:rPr>
          <w:i/>
          <w:iCs/>
        </w:rPr>
        <w:t>ex ante</w:t>
      </w:r>
      <w:r>
        <w:t xml:space="preserve"> pārbaude, vai jau piešķirtā atbalsta atmaksas pieprasīšana, ja tiek veikta </w:t>
      </w:r>
      <w:r>
        <w:rPr>
          <w:i/>
          <w:iCs/>
        </w:rPr>
        <w:t>ex post</w:t>
      </w:r>
      <w:r>
        <w:t xml:space="preserve"> pārbaude).</w:t>
      </w:r>
    </w:p>
    <w:p w14:paraId="2CC12D69" w14:textId="77777777" w:rsidR="00DF586F" w:rsidRDefault="00DF586F" w:rsidP="005A4E16">
      <w:pPr>
        <w:keepLines/>
        <w:tabs>
          <w:tab w:val="left" w:leader="dot" w:pos="9072"/>
        </w:tabs>
        <w:spacing w:before="120" w:after="360"/>
        <w:ind w:left="567"/>
        <w:jc w:val="both"/>
      </w:pPr>
      <w:r>
        <w:tab/>
      </w:r>
    </w:p>
    <w:p w14:paraId="52002885" w14:textId="77777777" w:rsidR="00083337" w:rsidRDefault="00083337" w:rsidP="005A4E16">
      <w:pPr>
        <w:keepLines/>
        <w:tabs>
          <w:tab w:val="left" w:leader="dot" w:pos="9072"/>
        </w:tabs>
        <w:spacing w:before="120" w:after="36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lastRenderedPageBreak/>
              <w:t>Kumulācija</w:t>
            </w:r>
          </w:p>
        </w:tc>
      </w:tr>
    </w:tbl>
    <w:p w14:paraId="2346A85D" w14:textId="5800D648" w:rsidR="00B21377" w:rsidRPr="002A3B51" w:rsidRDefault="00B21377" w:rsidP="00B21377">
      <w:pPr>
        <w:pStyle w:val="ListParagraph"/>
        <w:spacing w:before="120" w:after="120"/>
        <w:ind w:left="567"/>
        <w:contextualSpacing w:val="0"/>
        <w:jc w:val="both"/>
      </w:pPr>
      <w:r>
        <w:rPr>
          <w:i/>
          <w:iCs/>
        </w:rPr>
        <w:t>Lai sniegtu šajā sadaļā prasīto informāciju, sk. </w:t>
      </w:r>
      <w:r w:rsidRPr="00083337">
        <w:t>CEEAG</w:t>
      </w:r>
      <w:r>
        <w:rPr>
          <w:i/>
          <w:iCs/>
        </w:rPr>
        <w:t xml:space="preserve"> 56.un 57. punktu.</w:t>
      </w:r>
    </w:p>
    <w:p w14:paraId="7159B0AA" w14:textId="326791FE" w:rsidR="00E5484B" w:rsidRPr="002A3B51" w:rsidRDefault="00B10F0D" w:rsidP="005A4E16">
      <w:pPr>
        <w:numPr>
          <w:ilvl w:val="0"/>
          <w:numId w:val="4"/>
        </w:numPr>
        <w:spacing w:before="240"/>
        <w:ind w:left="567" w:hanging="567"/>
        <w:jc w:val="both"/>
      </w:pPr>
      <w:r>
        <w:t xml:space="preserve">Ciktāl tas jau iepriekš nav noteikts Vispārīgās informācijas veidlapā (I daļa) un lai pārbaudītu atbilstību </w:t>
      </w:r>
      <w:r>
        <w:rPr>
          <w:i/>
          <w:iCs/>
        </w:rPr>
        <w:t>CEEAG</w:t>
      </w:r>
      <w:r>
        <w:t xml:space="preserve"> 56. punktam, precizējiet, vai atbalstu saskaņā ar paziņoto(-ajiem) pasākumu(-iem) var piešķirt vienlaikus saskaņā ar vairākām atbalsta shēmām vai par tām pašām attiecināmajām izmaksām, kumulējot ar </w:t>
      </w:r>
      <w:r>
        <w:rPr>
          <w:i/>
          <w:iCs/>
        </w:rPr>
        <w:t>ad hoc</w:t>
      </w:r>
      <w:r>
        <w:t xml:space="preserve"> vai </w:t>
      </w:r>
      <w:r>
        <w:rPr>
          <w:i/>
          <w:iCs/>
        </w:rPr>
        <w:t>de minimis</w:t>
      </w:r>
      <w:r>
        <w:t xml:space="preserve"> atbalstu. Ja tā ir, sniedziet sīkāku informāciju par šīm atbalsta shēmām, </w:t>
      </w:r>
      <w:r>
        <w:rPr>
          <w:i/>
          <w:iCs/>
        </w:rPr>
        <w:t>ad hoc</w:t>
      </w:r>
      <w:r>
        <w:t xml:space="preserve"> atbalstu vai </w:t>
      </w:r>
      <w:r>
        <w:rPr>
          <w:i/>
          <w:iCs/>
        </w:rPr>
        <w:t>de minimis</w:t>
      </w:r>
      <w:r>
        <w:t xml:space="preserve"> atbalstu un to, kā atbalsts tiks kumulēts.</w:t>
      </w:r>
    </w:p>
    <w:p w14:paraId="4EA350F2" w14:textId="6700FB40" w:rsidR="00D13239" w:rsidRPr="002A3B51" w:rsidRDefault="002A3B51" w:rsidP="002A3B51">
      <w:pPr>
        <w:tabs>
          <w:tab w:val="left" w:leader="dot" w:pos="9072"/>
        </w:tabs>
        <w:spacing w:before="120" w:after="120"/>
        <w:ind w:left="567"/>
        <w:jc w:val="both"/>
      </w:pPr>
      <w:r>
        <w:tab/>
      </w:r>
    </w:p>
    <w:p w14:paraId="113EC6AF" w14:textId="086F06F6" w:rsidR="007257F0" w:rsidRPr="00EE2D70" w:rsidRDefault="00720951" w:rsidP="005A4E16">
      <w:pPr>
        <w:numPr>
          <w:ilvl w:val="0"/>
          <w:numId w:val="4"/>
        </w:numPr>
        <w:spacing w:before="240"/>
        <w:ind w:left="567" w:hanging="567"/>
        <w:jc w:val="both"/>
      </w:pPr>
      <w:r>
        <w:t xml:space="preserve">Ja ir piemērojams </w:t>
      </w:r>
      <w:r>
        <w:rPr>
          <w:i/>
          <w:iCs/>
        </w:rPr>
        <w:t>CEEAG</w:t>
      </w:r>
      <w:r>
        <w:t xml:space="preserve"> 56. punkts, pamatojiet, kāpēc projektam vai darbībai saskaņā ar paziņotajiem pasākumiem piešķirtā atbalsta kopsumma neizraisa pārmērīgu kompensāciju vai nepārsniedz maksimālo atbalsta summu, kas atļauta saskaņā ar </w:t>
      </w:r>
      <w:r>
        <w:rPr>
          <w:i/>
          <w:iCs/>
        </w:rPr>
        <w:t>CEEAG</w:t>
      </w:r>
      <w:r>
        <w:t xml:space="preserve"> 408.–410. punktu. Par katru pasākumu ir jānorāda, ka paziņotā(-o) pasākuma(-u) ietvaros piešķirto atbalstu var kumulēt, norādot metodi, kas izmantota, lai nodrošinātu atbilstību </w:t>
      </w:r>
      <w:r>
        <w:rPr>
          <w:i/>
          <w:iCs/>
        </w:rPr>
        <w:t>CEEAG</w:t>
      </w:r>
      <w:r>
        <w:t xml:space="preserve"> 56. punktā izklāstītajiem nosacījumiem. </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t xml:space="preserve">Ja piemērojams </w:t>
      </w:r>
      <w:r>
        <w:rPr>
          <w:i/>
          <w:iCs/>
        </w:rPr>
        <w:t>CEEAG</w:t>
      </w:r>
      <w:r>
        <w:t xml:space="preserve"> 57. punkts, t. i., atbalsts, kas piešķirts saskaņā ar paziņoto(-ajiem) pasākumu(-iem), tiek apvienots ar centralizēti pārvaldītu Savienības finansējumu</w:t>
      </w:r>
      <w:r w:rsidR="009B2F61">
        <w:rPr>
          <w:rStyle w:val="FootnoteReference"/>
          <w:lang w:eastAsia="en-GB"/>
        </w:rPr>
        <w:footnoteReference w:id="7"/>
      </w:r>
      <w:r>
        <w:t xml:space="preserve">, pamatojiet, </w:t>
      </w:r>
      <w:r>
        <w:rPr>
          <w:shd w:val="clear" w:color="auto" w:fill="FFFFFF"/>
        </w:rPr>
        <w:t xml:space="preserve">kāpēc publiskā finansējuma kopējā </w:t>
      </w:r>
      <w:r>
        <w:t>summa</w:t>
      </w:r>
      <w:r>
        <w:rPr>
          <w:shd w:val="clear" w:color="auto" w:fill="FFFFFF"/>
        </w:rPr>
        <w:t>, kas piešķirta sakarā ar tām pašām attiecināmajām izmaksām, neizraisa pārmērīgu kompensāciju</w:t>
      </w:r>
      <w:r>
        <w:t>.</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Pārejas noteikumi</w:t>
            </w:r>
          </w:p>
        </w:tc>
      </w:tr>
    </w:tbl>
    <w:p w14:paraId="7D96774F" w14:textId="39E35847" w:rsidR="00F17D00" w:rsidRDefault="00F17D00" w:rsidP="005A4E16">
      <w:pPr>
        <w:pStyle w:val="ListParagraph"/>
        <w:keepNext/>
        <w:keepLines/>
        <w:spacing w:before="120" w:after="120"/>
        <w:ind w:left="567"/>
        <w:contextualSpacing w:val="0"/>
        <w:jc w:val="both"/>
        <w:rPr>
          <w:i/>
        </w:rPr>
      </w:pPr>
      <w:r>
        <w:rPr>
          <w:i/>
        </w:rPr>
        <w:t>Lai sniegtu šajā sadaļā prasīto informāciju, sk. </w:t>
      </w:r>
      <w:r>
        <w:t>CEEAG</w:t>
      </w:r>
      <w:r>
        <w:rPr>
          <w:i/>
        </w:rPr>
        <w:t xml:space="preserve"> 4.11.3.5. iedaļu.</w:t>
      </w:r>
    </w:p>
    <w:p w14:paraId="50B72823" w14:textId="74224ADE" w:rsidR="009E3717" w:rsidRPr="009E3717" w:rsidRDefault="00B10F0D" w:rsidP="005A4E16">
      <w:pPr>
        <w:numPr>
          <w:ilvl w:val="0"/>
          <w:numId w:val="4"/>
        </w:numPr>
        <w:spacing w:before="240"/>
        <w:ind w:left="567" w:hanging="567"/>
        <w:jc w:val="both"/>
      </w:pPr>
      <w:r>
        <w:t xml:space="preserve">Lūdzu, norādiet, vai šis paziņojums attiecas uz nepaziņotu atbalstu, kas piešķirts energoietilpīgiem lietotājiem samazinātu elektroenerģijas nodevu veidā laikposmā pirms </w:t>
      </w:r>
      <w:r>
        <w:rPr>
          <w:i/>
          <w:iCs/>
        </w:rPr>
        <w:t>CEEAG</w:t>
      </w:r>
      <w:r>
        <w:t xml:space="preserve"> publicēšanas. Ja atbilde ir apstiprinoša, paskaidrojiet, kā nepaziņotais atbalsts atbilst </w:t>
      </w:r>
      <w:r>
        <w:rPr>
          <w:i/>
          <w:iCs/>
        </w:rPr>
        <w:t>CEEAG</w:t>
      </w:r>
      <w:r>
        <w:t xml:space="preserve"> 419. punkta a) un b) apakšpunktam. </w:t>
      </w:r>
      <w:r>
        <w:tab/>
      </w:r>
    </w:p>
    <w:p w14:paraId="4A9E8F47" w14:textId="19AEA7B3" w:rsidR="009E3717" w:rsidRDefault="009E3717" w:rsidP="009E3717">
      <w:pPr>
        <w:tabs>
          <w:tab w:val="left" w:leader="dot" w:pos="9072"/>
        </w:tabs>
        <w:spacing w:before="120" w:after="120"/>
        <w:ind w:left="567"/>
        <w:jc w:val="both"/>
      </w:pPr>
      <w:r>
        <w:tab/>
      </w:r>
    </w:p>
    <w:p w14:paraId="26BD1683" w14:textId="6223DFFD" w:rsidR="00F17D00" w:rsidRPr="00F8461C" w:rsidRDefault="00F17D00" w:rsidP="005A4E16">
      <w:pPr>
        <w:numPr>
          <w:ilvl w:val="0"/>
          <w:numId w:val="4"/>
        </w:numPr>
        <w:spacing w:before="240"/>
        <w:ind w:left="567" w:hanging="567"/>
        <w:jc w:val="both"/>
      </w:pPr>
      <w:r>
        <w:t xml:space="preserve">Norādiet, vai paziņotais pasākums veido pārejas plānu, lai izvairītos no drastiskām nodevu sloga izmaiņām atsevišķiem uzņēmumiem, kuri neatbilst </w:t>
      </w:r>
      <w:r>
        <w:rPr>
          <w:i/>
          <w:iCs/>
        </w:rPr>
        <w:t>CEEAG</w:t>
      </w:r>
      <w:r>
        <w:t xml:space="preserve"> 4.11. iedaļā izklāstītajiem atbalsttiesību nosacījumiem. Ja atbilde ir apstiprinoša, atbildiet uz turpmākajiem šīs iedaļas jautājumiem. </w:t>
      </w:r>
    </w:p>
    <w:p w14:paraId="3F155670" w14:textId="2EF9B7E3" w:rsidR="00F17D00" w:rsidRDefault="00F17D00" w:rsidP="00F17D00">
      <w:pPr>
        <w:tabs>
          <w:tab w:val="left" w:leader="dot" w:pos="9072"/>
        </w:tabs>
        <w:spacing w:before="120" w:after="120"/>
        <w:ind w:left="567"/>
        <w:jc w:val="both"/>
      </w:pPr>
      <w:r>
        <w:tab/>
      </w:r>
    </w:p>
    <w:p w14:paraId="51B31159" w14:textId="77B0A2B2" w:rsidR="00F17D00" w:rsidRPr="00F8461C" w:rsidRDefault="00981C71" w:rsidP="005A4E16">
      <w:pPr>
        <w:numPr>
          <w:ilvl w:val="0"/>
          <w:numId w:val="4"/>
        </w:numPr>
        <w:spacing w:before="240"/>
        <w:ind w:left="567" w:hanging="567"/>
        <w:jc w:val="both"/>
      </w:pPr>
      <w:r>
        <w:t xml:space="preserve">Saskaņā ar </w:t>
      </w:r>
      <w:r>
        <w:rPr>
          <w:i/>
          <w:iCs/>
        </w:rPr>
        <w:t>CEEAG</w:t>
      </w:r>
      <w:r>
        <w:t xml:space="preserve"> 416. punktu paskaidrojiet, kā tiesības uz pārejas plānu attieksies tikai uz tiem uzņēmumiem, kas i) atbilst 3.7.2. iedaļas atbalsttiesību kritērijiem </w:t>
      </w:r>
      <w:r>
        <w:lastRenderedPageBreak/>
        <w:t xml:space="preserve">Pamatnostādnēs par valsts atbalstu vides aizsardzībai un enerģētikai 2014.–2020. gadam un ii) ir saņēmuši atbalstu samazinātu nodevu veidā vismaz vienā no diviem gadiem pirms esošo atbalsta shēmu grozīšanas, lai tās saskaņotu ar </w:t>
      </w:r>
      <w:r>
        <w:rPr>
          <w:i/>
          <w:iCs/>
        </w:rPr>
        <w:t>CEEAG</w:t>
      </w:r>
      <w:r>
        <w:t>. Norādiet, kur šī informācija atrodama juridiskajā pamatā (projektā) (piemēram, 7. panta 3. punkts).</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t xml:space="preserve">Aprakstiet, kā pārejas plāns ietvers pakāpenisku un pilnīgu pielāgošanos nosacījumiem, kas izriet no </w:t>
      </w:r>
      <w:r>
        <w:rPr>
          <w:i/>
          <w:iCs/>
        </w:rPr>
        <w:t>CEEAG</w:t>
      </w:r>
      <w:r>
        <w:t xml:space="preserve"> 4.11. nodaļas atbilstības un samērīguma kritēriju piemērošanas, un jo īpaši to, kā atbalsta intensitāte laika gaitā samazinās un kā BPV maksimālā robežvērtība laika gaitā palielinās saskaņā ar </w:t>
      </w:r>
      <w:r>
        <w:rPr>
          <w:i/>
          <w:iCs/>
        </w:rPr>
        <w:t>CEEAG</w:t>
      </w:r>
      <w:r>
        <w:t xml:space="preserve"> 417. punktā minēto grafiku. Sniedziet konkrētas atsauces uz to, kur šī informācija atrodama juridiskajā pamatā (projektā) (piemēram, 7. panta 3. punkts).</w:t>
      </w:r>
    </w:p>
    <w:p w14:paraId="0ADB0F18" w14:textId="77777777" w:rsidR="002C6CA8" w:rsidRPr="00EE2D70" w:rsidRDefault="002C6CA8" w:rsidP="002C6CA8">
      <w:pPr>
        <w:tabs>
          <w:tab w:val="left" w:leader="dot" w:pos="9072"/>
        </w:tabs>
        <w:spacing w:before="120" w:after="120"/>
        <w:ind w:left="567"/>
        <w:jc w:val="both"/>
      </w:pPr>
      <w:r>
        <w:tab/>
      </w:r>
    </w:p>
    <w:p w14:paraId="454072D7" w14:textId="53930034" w:rsidR="009E3717" w:rsidRDefault="00EB3C44" w:rsidP="005A4E16">
      <w:pPr>
        <w:numPr>
          <w:ilvl w:val="0"/>
          <w:numId w:val="4"/>
        </w:numPr>
        <w:spacing w:before="240"/>
        <w:ind w:left="567" w:hanging="567"/>
        <w:jc w:val="both"/>
      </w:pPr>
      <w:r>
        <w:t xml:space="preserve">Norādiet, vai pārejas plānā izņēmuma kārtā visā pārejas periodā tiks atļauta fiksēta atbalsta intensitāte ar nosacījumu, ka attiecīgie uzņēmumi samazina savu elektroenerģijas patēriņa oglekļa pēdu saskaņā ar </w:t>
      </w:r>
      <w:r>
        <w:rPr>
          <w:i/>
          <w:iCs/>
        </w:rPr>
        <w:t>CEEAG</w:t>
      </w:r>
      <w:r>
        <w:t xml:space="preserve"> 418. punkta nosacījumiem (t. i., 50 % elektroenerģijas patēriņa no bezoglekļa avotiem, no kuriem vai nu vismaz 10 % tiek segti ar nākotnes instrumentu, piemēram, EPL, vai vismaz 5 % tiek ražoti uz vietas vai netālu no objekta). Ja atbilde ir apstiprinoša, norādiet, kur šī informācija ir atrodama juridiskajā pamatā (projektā) (piemēram, 7. panta 3. punkts), un paskaidrojiet, kā valsts iestādes nodrošina un pārrauga atbilstību </w:t>
      </w:r>
      <w:r>
        <w:rPr>
          <w:i/>
          <w:iCs/>
        </w:rPr>
        <w:t>CEEAG</w:t>
      </w:r>
      <w:r>
        <w:t xml:space="preserve"> 418. punktam.</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Pārredzamība</w:t>
            </w:r>
          </w:p>
        </w:tc>
      </w:tr>
    </w:tbl>
    <w:p w14:paraId="1E96F77E" w14:textId="2D16554D" w:rsidR="00016924" w:rsidRPr="005A4E16" w:rsidRDefault="006773CE" w:rsidP="005A4E16">
      <w:pPr>
        <w:keepNext/>
        <w:keepLines/>
        <w:spacing w:before="360" w:after="120"/>
        <w:jc w:val="both"/>
        <w:rPr>
          <w:i/>
        </w:rPr>
      </w:pPr>
      <w:r>
        <w:rPr>
          <w:i/>
        </w:rPr>
        <w:t xml:space="preserve">Lai sniegtu šajā sadaļā prasīto informāciju, sk. </w:t>
      </w:r>
      <w:r>
        <w:t>CEEAG</w:t>
      </w:r>
      <w:r>
        <w:rPr>
          <w:i/>
        </w:rPr>
        <w:t xml:space="preserve"> 3.2.1.4. iedaļu (58.–62. punktu).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 xml:space="preserve">Aplieciniet, ka dalībvalsts ievēros </w:t>
      </w:r>
      <w:r>
        <w:rPr>
          <w:i/>
          <w:iCs/>
        </w:rPr>
        <w:t>CEEAG</w:t>
      </w:r>
      <w:r>
        <w:t xml:space="preserve"> 58.–61. punktā paredzētās pārredzamības prasības.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02AC33DB" w:rsidR="005440AC" w:rsidRPr="00421F63" w:rsidRDefault="006B7161" w:rsidP="005A4E16">
      <w:pPr>
        <w:keepLines/>
        <w:numPr>
          <w:ilvl w:val="0"/>
          <w:numId w:val="4"/>
        </w:numPr>
        <w:spacing w:before="240"/>
        <w:ind w:left="567" w:hanging="567"/>
        <w:jc w:val="both"/>
      </w:pPr>
      <w:r>
        <w:t xml:space="preserve">Lai pārbaudītu atbilstību </w:t>
      </w:r>
      <w:r>
        <w:rPr>
          <w:i/>
          <w:iCs/>
        </w:rPr>
        <w:t>CEEAG</w:t>
      </w:r>
      <w:r>
        <w:t xml:space="preserve"> 61. punktam, aplieciniet, ka 58. punkta b) apakšpunktā minētā informācija būs pieejama vismaz 10 gadus no atbalsta piešķiršanas dienas, lai varētu izpildīt LESD paredzētos valsts atbalsta noteikumus.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t>Izvairīšanās no atbalsta nepamatotas negatīvas ietekmes uz konkurenci un tirdzniecību, un bilanci</w:t>
            </w:r>
          </w:p>
        </w:tc>
      </w:tr>
    </w:tbl>
    <w:p w14:paraId="6CD3884F" w14:textId="06E3FB33" w:rsidR="00F83660" w:rsidRPr="00B215FD" w:rsidRDefault="00F83660" w:rsidP="000C2EFD">
      <w:pPr>
        <w:keepNext/>
        <w:keepLines/>
        <w:spacing w:before="360" w:after="120"/>
        <w:jc w:val="both"/>
        <w:rPr>
          <w:i/>
        </w:rPr>
      </w:pPr>
      <w:r>
        <w:rPr>
          <w:i/>
        </w:rPr>
        <w:t>Lai sniegtu šajā sadaļā prasīto informāciju, sk. </w:t>
      </w:r>
      <w:r>
        <w:t>CEEAG</w:t>
      </w:r>
      <w:r>
        <w:rPr>
          <w:i/>
        </w:rPr>
        <w:t xml:space="preserve"> 3.2.2. iedaļu. </w:t>
      </w:r>
    </w:p>
    <w:p w14:paraId="5D5F17EA" w14:textId="02FA14EA" w:rsidR="00F83660" w:rsidRPr="001D7B55" w:rsidRDefault="00F83660" w:rsidP="005A4E16">
      <w:pPr>
        <w:keepLines/>
        <w:numPr>
          <w:ilvl w:val="0"/>
          <w:numId w:val="4"/>
        </w:numPr>
        <w:spacing w:before="240"/>
        <w:ind w:left="567" w:hanging="567"/>
        <w:jc w:val="both"/>
      </w:pPr>
      <w:r>
        <w:t xml:space="preserve">Lai pārbaudītu atbilstību </w:t>
      </w:r>
      <w:r>
        <w:rPr>
          <w:i/>
          <w:iCs/>
        </w:rPr>
        <w:t>CEEAG</w:t>
      </w:r>
      <w:r>
        <w:t xml:space="preserve"> 70. punktam:</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lastRenderedPageBreak/>
        <w:t xml:space="preserve">aplieciniet, ka atbalstu saskaņā ar paziņoto shēmu var piešķirt uz laiku, kas nepārsniedz 10 gadus </w:t>
      </w:r>
      <w:r>
        <w:rPr>
          <w:color w:val="000000"/>
          <w:shd w:val="clear" w:color="auto" w:fill="FFFFFF"/>
        </w:rPr>
        <w:t xml:space="preserve"> no dienas, kad paziņots par Komisijas lēmumu, ar kuru atbalsts atzīts par saderīgu</w:t>
      </w:r>
      <w:r>
        <w:t>;</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rPr>
          <w:color w:val="000000"/>
          <w:shd w:val="clear" w:color="auto" w:fill="FFFFFF"/>
        </w:rPr>
        <w:t>aplieciniet</w:t>
      </w:r>
      <w:r>
        <w:t xml:space="preserve">, ka tad, ja dalībvalsts vēlēsies pasākuma darbības laiku pagarināt pēc 10 gadu ilgā maksimālā perioda beigām, tā par pasākumu(-iem) paziņos atkārtoti.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Pr>
                <w:i/>
                <w:color w:val="000000"/>
                <w:sz w:val="28"/>
              </w:rPr>
              <w:t>Atbalsta pozitīvās ietekmes izsvēršana attiecībā pret negatīvo ietekmi uz konkurenci un tirdzniecību</w:t>
            </w:r>
          </w:p>
        </w:tc>
      </w:tr>
    </w:tbl>
    <w:p w14:paraId="2BA426DC" w14:textId="523B5AF6" w:rsidR="00265702" w:rsidRPr="00863406" w:rsidRDefault="00265702" w:rsidP="000C2EFD">
      <w:pPr>
        <w:keepNext/>
        <w:keepLines/>
        <w:spacing w:before="360" w:after="120"/>
        <w:jc w:val="both"/>
        <w:rPr>
          <w:i/>
          <w:color w:val="000000"/>
        </w:rPr>
      </w:pPr>
      <w:r>
        <w:rPr>
          <w:i/>
        </w:rPr>
        <w:t>Lai sniegtu šajā sadaļā prasīto informāciju, sk. </w:t>
      </w:r>
      <w:r>
        <w:t>CEEAG</w:t>
      </w:r>
      <w:r>
        <w:rPr>
          <w:i/>
        </w:rPr>
        <w:t xml:space="preserve"> 3.3. iedaļu (71.–76. punktu) un 400.–402. punktu.</w:t>
      </w:r>
      <w:r>
        <w:rPr>
          <w:i/>
          <w:color w:val="000000"/>
        </w:rPr>
        <w:t xml:space="preserve"> </w:t>
      </w:r>
    </w:p>
    <w:p w14:paraId="18165957" w14:textId="76C6222C" w:rsidR="004B2EF3" w:rsidRPr="00AC1973" w:rsidRDefault="004B2EF3" w:rsidP="005A4E16">
      <w:pPr>
        <w:keepLines/>
        <w:numPr>
          <w:ilvl w:val="0"/>
          <w:numId w:val="4"/>
        </w:numPr>
        <w:spacing w:before="240"/>
        <w:ind w:left="567" w:hanging="567"/>
        <w:jc w:val="both"/>
      </w:pPr>
      <w:r>
        <w:t xml:space="preserve">Saskaņā ar </w:t>
      </w:r>
      <w:r>
        <w:rPr>
          <w:i/>
          <w:iCs/>
        </w:rPr>
        <w:t>CEEAG</w:t>
      </w:r>
      <w:r>
        <w:t xml:space="preserve"> 75. punktu precizējiet, vai paziņotajā(-ajos) pasākumā(-os) ir iezīmes, kas atvieglo MVU dalību. Ja atbilde ir apstiprinoša, sniedziet informāciju par šīm iezīmēm un pamatojiet, kāpēc pozitīvā ietekme, ko rada MVU līdzdalība paziņotajā(-os) pasākumā(-os) un to akcepts, atsver iespējamo kropļojošo ietekmi.</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1642210" w:rsidR="005C6138" w:rsidRDefault="005C6138" w:rsidP="005A4E16">
      <w:pPr>
        <w:keepLines/>
        <w:numPr>
          <w:ilvl w:val="0"/>
          <w:numId w:val="4"/>
        </w:numPr>
        <w:spacing w:before="240"/>
        <w:ind w:left="567" w:hanging="567"/>
        <w:jc w:val="both"/>
      </w:pPr>
      <w:r>
        <w:t xml:space="preserve">Attiecībā uz </w:t>
      </w:r>
      <w:r>
        <w:rPr>
          <w:i/>
          <w:iCs/>
        </w:rPr>
        <w:t>CEEAG</w:t>
      </w:r>
      <w:r>
        <w:t xml:space="preserve"> 76. punkta c) apakšpunkta piemērošanu norādiet, vai uz atbalsta pasākumu(-iem) attiecas laika ierobežojums.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t>Izvērtēšana</w:t>
            </w:r>
          </w:p>
        </w:tc>
      </w:tr>
    </w:tbl>
    <w:p w14:paraId="78AC9B95" w14:textId="0E2D785C" w:rsidR="00C33721" w:rsidRPr="0051324D" w:rsidRDefault="00C33721" w:rsidP="000C2EFD">
      <w:pPr>
        <w:keepNext/>
        <w:keepLines/>
        <w:tabs>
          <w:tab w:val="left" w:leader="dot" w:pos="9072"/>
        </w:tabs>
        <w:spacing w:before="120" w:after="120"/>
        <w:ind w:left="567"/>
        <w:jc w:val="both"/>
      </w:pPr>
      <w:r>
        <w:rPr>
          <w:i/>
        </w:rPr>
        <w:t>Lai sniegtu šajā sadaļā prasīto informāciju, sk. </w:t>
      </w:r>
      <w:r>
        <w:t>CEEAG</w:t>
      </w:r>
      <w:r>
        <w:rPr>
          <w:i/>
        </w:rPr>
        <w:t xml:space="preserve"> 76. punkta a) apakšpunktu un 5. nodaļu (455.–463. punktu).</w:t>
      </w:r>
    </w:p>
    <w:p w14:paraId="7C72F6EA" w14:textId="04D9ACCD" w:rsidR="00FD7E6B" w:rsidRDefault="00FD7E6B" w:rsidP="005A4E16">
      <w:pPr>
        <w:numPr>
          <w:ilvl w:val="0"/>
          <w:numId w:val="4"/>
        </w:numPr>
        <w:spacing w:before="240"/>
        <w:ind w:left="567" w:hanging="567"/>
        <w:jc w:val="both"/>
      </w:pPr>
      <w:r>
        <w:t xml:space="preserve">Ja paziņotais(-ie) pasākums(-i) pārsniedz </w:t>
      </w:r>
      <w:r>
        <w:rPr>
          <w:i/>
          <w:iCs/>
        </w:rPr>
        <w:t>CEEAG</w:t>
      </w:r>
      <w:r>
        <w:t xml:space="preserve"> 456. punktā noteiktās budžeta/izdevumu robežvērtības, paskaidrojiet, kāpēc, jūsuprāt, būtu piemērojams </w:t>
      </w:r>
      <w:r>
        <w:rPr>
          <w:i/>
          <w:iCs/>
        </w:rPr>
        <w:t>CEEAG</w:t>
      </w:r>
      <w:r>
        <w:t xml:space="preserve"> 457. punktā paredzētais izņēmums, vai arī pievienojiet šai paziņojuma veidlapai pielikumu, kurā iekļauts izvērtēšanas plāna projekts, kas aptver </w:t>
      </w:r>
      <w:r>
        <w:rPr>
          <w:i/>
          <w:iCs/>
        </w:rPr>
        <w:t>CEEAG</w:t>
      </w:r>
      <w:r>
        <w:t xml:space="preserve"> 458. punktā minēto jomu.</w:t>
      </w:r>
      <w:r w:rsidRPr="00C7201E">
        <w:rPr>
          <w:rStyle w:val="FootnoteReference"/>
          <w:lang w:eastAsia="en-GB"/>
        </w:rPr>
        <w:footnoteReference w:id="8"/>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Ja ir iesniegts izvērtēšanas plāna projekts,</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t>sniedziet pielikumā iekļautā izvērtēšanas plāna projekta kopsavilkumu šeit:</w:t>
      </w:r>
    </w:p>
    <w:p w14:paraId="79E8DDEE" w14:textId="77777777" w:rsidR="00FD7E6B" w:rsidRDefault="00FD7E6B" w:rsidP="005A4E16">
      <w:pPr>
        <w:pStyle w:val="ListParagraph"/>
        <w:keepLines/>
        <w:spacing w:before="120" w:after="120"/>
        <w:ind w:left="1440"/>
        <w:contextualSpacing w:val="0"/>
        <w:jc w:val="both"/>
      </w:pPr>
      <w:r>
        <w:lastRenderedPageBreak/>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t xml:space="preserve">aplieciniet, ka tiks ievērots </w:t>
      </w:r>
      <w:r>
        <w:rPr>
          <w:i/>
          <w:iCs/>
        </w:rPr>
        <w:t>CEEAG</w:t>
      </w:r>
      <w:r>
        <w:t xml:space="preserve"> 460. punkts;</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t>norādiet datumu un interneta saiti, kurā izvērtēšanas plāns būs publiski pieejams.</w:t>
      </w:r>
    </w:p>
    <w:p w14:paraId="7CB82817" w14:textId="77777777" w:rsidR="00FD7E6B" w:rsidRPr="0051324D" w:rsidRDefault="00FD7E6B" w:rsidP="005A4E16">
      <w:pPr>
        <w:pStyle w:val="ListParagraph"/>
        <w:keepLines/>
        <w:spacing w:before="120" w:after="120"/>
        <w:ind w:left="1440"/>
        <w:contextualSpacing w:val="0"/>
        <w:jc w:val="both"/>
      </w:pPr>
      <w:r>
        <w:t xml:space="preserve">............................................................................................................................ </w:t>
      </w:r>
    </w:p>
    <w:p w14:paraId="3FE707E5" w14:textId="6404AF17" w:rsidR="00FD7E6B" w:rsidRPr="0051324D" w:rsidRDefault="00FD7E6B" w:rsidP="005A4E16">
      <w:pPr>
        <w:numPr>
          <w:ilvl w:val="0"/>
          <w:numId w:val="4"/>
        </w:numPr>
        <w:spacing w:before="240"/>
        <w:ind w:left="567" w:hanging="567"/>
        <w:jc w:val="both"/>
      </w:pPr>
      <w:r>
        <w:t xml:space="preserve">Lai pārbaudītu atbilstību </w:t>
      </w:r>
      <w:r>
        <w:rPr>
          <w:i/>
          <w:iCs/>
        </w:rPr>
        <w:t>CEEAG</w:t>
      </w:r>
      <w:r>
        <w:t xml:space="preserve"> 459. punkta b) apakšpunktam, ja atbalsta shēmai pašlaik netiek veikts </w:t>
      </w:r>
      <w:r>
        <w:rPr>
          <w:i/>
          <w:iCs/>
        </w:rPr>
        <w:t>ex post</w:t>
      </w:r>
      <w:r>
        <w:t xml:space="preserve"> izvērtējums un tās ilgums pārsniedz trīs gadus, aplieciniet, ka jūs paziņosiet izvērtēšanas plāna projektu 30 darbdienu laikā pēc būtiskām izmaiņām, kas shēmas budžetu konkrētā gadā palielinātu līdz vairāk nekā 150 miljoniem EUR vai 750 miljoniem EUR visā shēmas darbības laikā. </w:t>
      </w:r>
    </w:p>
    <w:p w14:paraId="1D26BAAE" w14:textId="77777777" w:rsidR="00FD7E6B" w:rsidRPr="0051324D" w:rsidRDefault="00FD7E6B" w:rsidP="00FD7E6B">
      <w:pPr>
        <w:tabs>
          <w:tab w:val="left" w:leader="dot" w:pos="9072"/>
        </w:tabs>
        <w:spacing w:before="120" w:after="120"/>
        <w:ind w:left="567"/>
        <w:jc w:val="both"/>
      </w:pPr>
      <w:r>
        <w:tab/>
      </w:r>
    </w:p>
    <w:p w14:paraId="71D45A8F" w14:textId="1CE93415" w:rsidR="00FD7E6B" w:rsidRPr="0051324D" w:rsidRDefault="00FD7E6B" w:rsidP="005A4E16">
      <w:pPr>
        <w:keepLines/>
        <w:numPr>
          <w:ilvl w:val="0"/>
          <w:numId w:val="4"/>
        </w:numPr>
        <w:spacing w:before="240"/>
        <w:ind w:left="567" w:hanging="567"/>
        <w:jc w:val="both"/>
      </w:pPr>
      <w:r>
        <w:t xml:space="preserve">Lai pārbaudītu atbilstību </w:t>
      </w:r>
      <w:r>
        <w:rPr>
          <w:i/>
          <w:iCs/>
        </w:rPr>
        <w:t>CEEAG</w:t>
      </w:r>
      <w:r>
        <w:t xml:space="preserve"> 459. punkta c) apakšpunktam, ja atbalsta shēmai pašlaik netiek veikts </w:t>
      </w:r>
      <w:r>
        <w:rPr>
          <w:i/>
          <w:iCs/>
        </w:rPr>
        <w:t>ex post</w:t>
      </w:r>
      <w:r>
        <w:t xml:space="preserve"> izvērtējums, norādiet saistības, ka dalībvalsts paziņos izvērtēšanas plāna projektu</w:t>
      </w:r>
      <w:r>
        <w:rPr>
          <w:shd w:val="clear" w:color="auto" w:fill="FFFFFF"/>
        </w:rPr>
        <w:t xml:space="preserve"> 30 darbdienu laikā pēc tam, kad oficiālajos pārskatos būs reģistrēti izdevumi, kas iepriekšējā gadā pārsnieguši 150 miljonus EUR</w:t>
      </w:r>
      <w:r>
        <w:t xml:space="preserve">.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 xml:space="preserve">Lai pārbaudītu atbilstību </w:t>
      </w:r>
      <w:r>
        <w:rPr>
          <w:i/>
          <w:iCs/>
        </w:rPr>
        <w:t>CEEAG</w:t>
      </w:r>
      <w:r>
        <w:t xml:space="preserve"> 461. punktam:</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precizējiet, vai neatkarīgais eksperts jau ir izraudzīts vai tiks izraudzīts nākotnē;</w:t>
      </w:r>
    </w:p>
    <w:p w14:paraId="005DD860" w14:textId="7E77FCCF"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sniedziet informāciju par eksperta izraudzīšanās procedūru;</w:t>
      </w:r>
    </w:p>
    <w:p w14:paraId="34029CDE" w14:textId="30884F9B" w:rsidR="00FD7E6B" w:rsidRPr="0051324D" w:rsidRDefault="00FD7E6B" w:rsidP="005A4E16">
      <w:pPr>
        <w:pStyle w:val="ListParagraph"/>
        <w:keepLines/>
        <w:spacing w:before="120" w:after="120"/>
        <w:ind w:left="1440"/>
        <w:contextualSpacing w:val="0"/>
        <w:jc w:val="both"/>
      </w:pPr>
      <w:r>
        <w:t>..................................................................................................</w:t>
      </w:r>
      <w:r w:rsidR="00083337">
        <w:t>...</w:t>
      </w: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pamatojiet, kā eksperts ir neatkarīgs no piešķīrējas iestādes.</w:t>
      </w:r>
    </w:p>
    <w:p w14:paraId="7B506649" w14:textId="20CB3E0E" w:rsidR="00FD7E6B" w:rsidRPr="0051324D" w:rsidRDefault="00FD7E6B" w:rsidP="005A4E16">
      <w:pPr>
        <w:pStyle w:val="ListParagraph"/>
        <w:keepLines/>
        <w:spacing w:before="120" w:after="120"/>
        <w:ind w:left="1440"/>
        <w:contextualSpacing w:val="0"/>
        <w:jc w:val="both"/>
      </w:pPr>
      <w:r>
        <w:t>...............................................................................................................................</w:t>
      </w:r>
    </w:p>
    <w:p w14:paraId="5670F295" w14:textId="3D0EAFB6" w:rsidR="00FD7E6B" w:rsidRPr="0051324D" w:rsidRDefault="00FD7E6B" w:rsidP="005A4E16">
      <w:pPr>
        <w:numPr>
          <w:ilvl w:val="0"/>
          <w:numId w:val="4"/>
        </w:numPr>
        <w:spacing w:before="240"/>
        <w:ind w:left="567" w:hanging="567"/>
        <w:jc w:val="both"/>
      </w:pPr>
      <w:r>
        <w:t xml:space="preserve">Lai pārbaudītu atbilstību </w:t>
      </w:r>
      <w:r>
        <w:rPr>
          <w:i/>
          <w:iCs/>
        </w:rPr>
        <w:t>CEEAG</w:t>
      </w:r>
      <w:r>
        <w:t xml:space="preserve"> 461. punktam: </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t xml:space="preserve">norādiet ierosinātos starpposma un galīgā izvērtējuma ziņojuma iesniegšanas termiņus. Ņemiet vērā, ka saskaņā ar </w:t>
      </w:r>
      <w:r>
        <w:rPr>
          <w:i/>
          <w:iCs/>
        </w:rPr>
        <w:t>CEEAG</w:t>
      </w:r>
      <w:r>
        <w:t xml:space="preserve"> 463. punktu galīgais izvērtējuma ziņojums Komisijai jāiesniedz laikus, lai tā varētu novērtēt atbalsta shēmas iespējamo pagarināšanu, un ne vēlāk kā 9 mēnešus pirms tās darbības beigām. Ņemiet vērā, ka minēto termiņu var saīsināt shēmām, kurām izvērtējuma prasība iestājas pēdējos divos shēmu īstenošanas gados;</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aplieciniet, ka starpposma un galīgais izvērtējuma ziņojums tiks publiskots. Norādiet datumu un interneta saiti, kurā šie ziņojumi būs publiski pieejami.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lastRenderedPageBreak/>
              <w:t>Ziņošana un uzraudzība</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Lai sniegtu šajā sadaļā prasīto informāciju, sk. </w:t>
      </w:r>
      <w:r>
        <w:t>CEEAG</w:t>
      </w:r>
      <w:r>
        <w:rPr>
          <w:i/>
        </w:rPr>
        <w:t xml:space="preserve"> 6. nodaļu (464. un 465. punktu).</w:t>
      </w:r>
    </w:p>
    <w:p w14:paraId="3FBE246E" w14:textId="1FB553B4" w:rsidR="00FD7E6B" w:rsidRDefault="00FD7E6B" w:rsidP="005A4E16">
      <w:pPr>
        <w:keepLines/>
        <w:numPr>
          <w:ilvl w:val="0"/>
          <w:numId w:val="4"/>
        </w:numPr>
        <w:spacing w:before="240"/>
        <w:ind w:left="567" w:hanging="567"/>
        <w:jc w:val="both"/>
      </w:pPr>
      <w:r>
        <w:t xml:space="preserve">Aplieciniet, ka dalībvalsts izpildīs ziņošanas un uzraudzības prasības, kas noteiktas </w:t>
      </w:r>
      <w:r>
        <w:rPr>
          <w:i/>
          <w:iCs/>
        </w:rPr>
        <w:t>CEEAG</w:t>
      </w:r>
      <w:r>
        <w:t xml:space="preserve"> 6. sadaļas 464. un 465. punktā.</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rsidR="00243597">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OV C 80, 18.2.2022., 1. lpp.</w:t>
      </w:r>
    </w:p>
  </w:footnote>
  <w:footnote w:id="3">
    <w:p w14:paraId="40B31757" w14:textId="710C01BF" w:rsidR="00B77C6D" w:rsidRDefault="00B77C6D" w:rsidP="00B77C6D">
      <w:pPr>
        <w:pStyle w:val="FootnoteText"/>
      </w:pPr>
      <w:r>
        <w:rPr>
          <w:rStyle w:val="FootnoteReference"/>
        </w:rPr>
        <w:footnoteRef/>
      </w:r>
      <w:r>
        <w:t xml:space="preserve"> </w:t>
      </w:r>
      <w:r>
        <w:tab/>
        <w:t xml:space="preserve">Ņemiet vērā, ka atbalsta shēmas ilgums ir laikposms, kurā atbalstam var pieteikties un par to pieņemt lēmumu (tātad, tajā ieskaita arī laiku, kas iestādēm vajadzīgs atbalsta pieteikumu apstiprināšanai). Šajā punktā minētais ilgums nav saistīts ar atbalsta shēmas ietvaros noslēgto līgumu ilgumu; tie var būt spēkā pēc pasākuma termiņa beigām. </w:t>
      </w:r>
    </w:p>
  </w:footnote>
  <w:footnote w:id="4">
    <w:p w14:paraId="28F42BB8" w14:textId="2923C271" w:rsidR="0068024A" w:rsidRPr="0067348B" w:rsidRDefault="0068024A" w:rsidP="0068024A">
      <w:pPr>
        <w:pStyle w:val="FootnoteText"/>
      </w:pPr>
      <w:r>
        <w:rPr>
          <w:rStyle w:val="FootnoteReference"/>
        </w:rPr>
        <w:footnoteRef/>
      </w:r>
      <w:r>
        <w:tab/>
        <w:t>Ņemiet vērā, ka izmaiņas faktiskajā vai aplēstajā budžetā var būt atbalsta izmaiņas, par kurām jāiesniedz jauns paziņojums.</w:t>
      </w:r>
    </w:p>
  </w:footnote>
  <w:footnote w:id="5">
    <w:p w14:paraId="3A832CB6" w14:textId="77777777" w:rsidR="00FE3196" w:rsidRPr="00D6380C" w:rsidRDefault="00FE3196" w:rsidP="00470AF2">
      <w:pPr>
        <w:pStyle w:val="FootnoteText"/>
        <w:ind w:left="567" w:hanging="567"/>
      </w:pPr>
      <w:r>
        <w:rPr>
          <w:rStyle w:val="FootnoteReference"/>
        </w:rPr>
        <w:footnoteRef/>
      </w:r>
      <w:r>
        <w:t xml:space="preserve"> </w:t>
      </w:r>
      <w:r>
        <w:tab/>
        <w:t>Atbilstoši definīcijai Saimniecisko darbību statistiskajā klasifikācijā Eiropas Kopienā (</w:t>
      </w:r>
      <w:r>
        <w:rPr>
          <w:i/>
          <w:iCs/>
        </w:rPr>
        <w:t>NACE</w:t>
      </w:r>
      <w:r>
        <w:t xml:space="preserve"> 2. redakcijas klasifikācija), sadalījuma līmenī, kas nav lielāks par astoņiem cipariem (</w:t>
      </w:r>
      <w:r>
        <w:rPr>
          <w:i/>
          <w:iCs/>
        </w:rPr>
        <w:t>PRODCOM</w:t>
      </w:r>
      <w:r>
        <w:t xml:space="preserve"> līmenis).</w:t>
      </w:r>
    </w:p>
  </w:footnote>
  <w:footnote w:id="6">
    <w:p w14:paraId="555714D6" w14:textId="77777777" w:rsidR="00FE3196" w:rsidRPr="00D91CFC" w:rsidRDefault="00FE3196" w:rsidP="00470AF2">
      <w:pPr>
        <w:pStyle w:val="FootnoteText"/>
        <w:ind w:left="567" w:hanging="567"/>
      </w:pPr>
      <w:r>
        <w:rPr>
          <w:rStyle w:val="FootnoteReference"/>
        </w:rPr>
        <w:footnoteRef/>
      </w:r>
      <w:r>
        <w:tab/>
        <w:t>Piemēram, datus, kas aptver ievērojamu procentuālo daļu no attiecīgās nozares vai apakšnozares bruto pievienotās vērtības ES līmenī.</w:t>
      </w:r>
    </w:p>
  </w:footnote>
  <w:footnote w:id="7">
    <w:p w14:paraId="086AD512" w14:textId="7087BE19" w:rsidR="00FE3196" w:rsidRDefault="00FE3196">
      <w:pPr>
        <w:pStyle w:val="FootnoteText"/>
      </w:pPr>
      <w:r>
        <w:rPr>
          <w:rStyle w:val="FootnoteReference"/>
        </w:rPr>
        <w:footnoteRef/>
      </w:r>
      <w:r>
        <w:t xml:space="preserve"> </w:t>
      </w:r>
      <w:r>
        <w:tab/>
        <w:t>Centralizēti pārvaldīts Savienības finansējums ir Savienības finansējums, ko centralizēti pārvalda Eiropas Savienības iestādes, aģentūras, kopuzņēmumi vai citas struktūras un kas nav tiešā vai netiešā dalībvalsts kontrolē.</w:t>
      </w:r>
    </w:p>
  </w:footnote>
  <w:footnote w:id="8">
    <w:p w14:paraId="2FB02E44" w14:textId="77777777" w:rsidR="00FD7E6B" w:rsidRDefault="00FD7E6B" w:rsidP="00FD7E6B">
      <w:pPr>
        <w:pStyle w:val="FootnoteText"/>
      </w:pPr>
      <w:r>
        <w:rPr>
          <w:rStyle w:val="FootnoteReference"/>
        </w:rPr>
        <w:footnoteRef/>
      </w:r>
      <w:r>
        <w:t xml:space="preserve"> </w:t>
      </w:r>
      <w:r>
        <w:tab/>
        <w:t xml:space="preserve">Papildinformācijas lapas veidne izvērtēšanas plāna paziņošanai (III daļas 8. iedaļa) ir pieejama šeit: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1BD88EBC"/>
    <w:lvl w:ilvl="0" w:tplc="CE5C27E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795661CC"/>
    <w:lvl w:ilvl="0" w:tplc="CE5C27E6">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31CCBC22"/>
    <w:lvl w:ilvl="0" w:tplc="CE5C27E6">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FE6AD214"/>
    <w:lvl w:ilvl="0" w:tplc="CE5C27E6">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DD4EA514"/>
    <w:lvl w:ilvl="0" w:tplc="CE5C27E6">
      <w:start w:val="1"/>
      <w:numFmt w:val="lowerRoman"/>
      <w:lvlText w:val="%1)"/>
      <w:lvlJc w:val="right"/>
      <w:pPr>
        <w:ind w:left="1550" w:hanging="360"/>
      </w:pPr>
      <w:rPr>
        <w:rFonts w:ascii="Times New Roman" w:hAnsi="Times New Roman" w:hint="default"/>
        <w:b w:val="0"/>
        <w:i w:val="0"/>
        <w:sz w:val="24"/>
      </w:rPr>
    </w:lvl>
    <w:lvl w:ilvl="1" w:tplc="04260017">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ED876C2"/>
    <w:lvl w:ilvl="0" w:tplc="CE5C27E6">
      <w:start w:val="1"/>
      <w:numFmt w:val="lowerRoman"/>
      <w:lvlText w:val="%1)"/>
      <w:lvlJc w:val="righ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DCD2DF4A"/>
    <w:lvl w:ilvl="0" w:tplc="CE5C27E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A5A8B23E"/>
    <w:lvl w:ilvl="0" w:tplc="0EEE22A0">
      <w:start w:val="1"/>
      <w:numFmt w:val="lowerRoman"/>
      <w:lvlText w:val="%1."/>
      <w:lvlJc w:val="left"/>
      <w:pPr>
        <w:ind w:left="1287" w:hanging="360"/>
      </w:pPr>
      <w:rPr>
        <w:rFonts w:ascii="Times New Roman" w:hAnsi="Times New Roman" w:hint="default"/>
        <w:b w:val="0"/>
        <w:i w:val="0"/>
        <w:sz w:val="24"/>
      </w:rPr>
    </w:lvl>
    <w:lvl w:ilvl="1" w:tplc="04260017">
      <w:start w:val="1"/>
      <w:numFmt w:val="lowerLetter"/>
      <w:lvlText w:val="%2)"/>
      <w:lvlJc w:val="left"/>
      <w:pPr>
        <w:ind w:left="2270"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F2B2548E"/>
    <w:lvl w:ilvl="0" w:tplc="CE5C27E6">
      <w:start w:val="1"/>
      <w:numFmt w:val="lowerRoman"/>
      <w:lvlText w:val="%1)"/>
      <w:lvlJc w:val="right"/>
      <w:pPr>
        <w:ind w:left="1500" w:hanging="360"/>
      </w:pPr>
      <w:rPr>
        <w:rFonts w:ascii="Times New Roman" w:hAnsi="Times New Roman" w:hint="default"/>
        <w:b w:val="0"/>
        <w:i w:val="0"/>
        <w:sz w:val="24"/>
      </w:r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A5CD4CE"/>
    <w:lvl w:ilvl="0" w:tplc="04260017">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5BFC6F26"/>
    <w:lvl w:ilvl="0" w:tplc="9B4884B4">
      <w:start w:val="43"/>
      <w:numFmt w:val="decimal"/>
      <w:lvlText w:val="%1."/>
      <w:lvlJc w:val="left"/>
      <w:pPr>
        <w:ind w:left="720" w:hanging="360"/>
      </w:pPr>
      <w:rPr>
        <w:rFonts w:hint="default"/>
        <w:b/>
        <w:i w:val="0"/>
      </w:rPr>
    </w:lvl>
    <w:lvl w:ilvl="1" w:tplc="CE5C27E6">
      <w:start w:val="1"/>
      <w:numFmt w:val="lowerRoman"/>
      <w:lvlText w:val="%2)"/>
      <w:lvlJc w:val="right"/>
      <w:pPr>
        <w:ind w:left="150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8146FCDA"/>
    <w:lvl w:ilvl="0" w:tplc="CE5C27E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78E42E1C"/>
    <w:lvl w:ilvl="0" w:tplc="CE5C27E6">
      <w:start w:val="1"/>
      <w:numFmt w:val="lowerRoman"/>
      <w:lvlText w:val="%1)"/>
      <w:lvlJc w:val="right"/>
      <w:pPr>
        <w:ind w:left="1440" w:hanging="360"/>
      </w:pPr>
      <w:rPr>
        <w:rFonts w:ascii="Times New Roman" w:hAnsi="Times New Roman" w:hint="default"/>
        <w:b w:val="0"/>
        <w:i w:val="0"/>
        <w:sz w:val="24"/>
      </w:rPr>
    </w:lvl>
    <w:lvl w:ilvl="1" w:tplc="04260017">
      <w:start w:val="1"/>
      <w:numFmt w:val="lowerLetter"/>
      <w:lvlText w:val="%2)"/>
      <w:lvlJc w:val="left"/>
      <w:pPr>
        <w:ind w:left="200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47342D18"/>
    <w:lvl w:ilvl="0" w:tplc="CE5C27E6">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149CFBA8"/>
    <w:lvl w:ilvl="0" w:tplc="CE5C27E6">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3BEE920A"/>
    <w:lvl w:ilvl="0" w:tplc="CE5C27E6">
      <w:start w:val="1"/>
      <w:numFmt w:val="lowerRoman"/>
      <w:lvlText w:val="%1)"/>
      <w:lvlJc w:val="right"/>
      <w:pPr>
        <w:ind w:left="1080" w:hanging="360"/>
      </w:pPr>
      <w:rPr>
        <w:rFonts w:ascii="Times New Roman" w:hAnsi="Times New Roman" w:hint="default"/>
        <w:b w:val="0"/>
        <w:i w:val="0"/>
        <w:sz w:val="24"/>
      </w:r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F7E4ABC0"/>
    <w:lvl w:ilvl="0" w:tplc="CE5C27E6">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333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5E0A"/>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636C4"/>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75A51"/>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v-LV"/>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v-LV"/>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2.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3286</Words>
  <Characters>22247</Characters>
  <Application>Microsoft Office Word</Application>
  <DocSecurity>0</DocSecurity>
  <Lines>454</Lines>
  <Paragraphs>162</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25371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cp:lastModifiedBy>ACKERT Hannes (COMP)</cp:lastModifiedBy>
  <cp:revision>6</cp:revision>
  <cp:lastPrinted>2022-10-05T12:42:00Z</cp:lastPrinted>
  <dcterms:created xsi:type="dcterms:W3CDTF">2024-08-01T10:54:00Z</dcterms:created>
  <dcterms:modified xsi:type="dcterms:W3CDTF">2024-09-06T15:25:00Z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