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711243" w14:paraId="2D98EF73" w14:textId="77777777" w:rsidTr="00697188">
        <w:trPr>
          <w:trHeight w:val="1134"/>
        </w:trPr>
        <w:tc>
          <w:tcPr>
            <w:tcW w:w="9214" w:type="dxa"/>
            <w:shd w:val="pct15" w:color="auto" w:fill="auto"/>
          </w:tcPr>
          <w:p w14:paraId="20F29319" w14:textId="77777777" w:rsidR="00531803" w:rsidRDefault="00FA1F8A" w:rsidP="007B485D">
            <w:pPr>
              <w:pStyle w:val="Heading2"/>
              <w:spacing w:before="240" w:after="240"/>
              <w:jc w:val="center"/>
              <w:rPr>
                <w:sz w:val="32"/>
                <w:szCs w:val="32"/>
              </w:rPr>
            </w:pPr>
            <w:bookmarkStart w:id="0" w:name="_Toc414370364"/>
            <w:bookmarkStart w:id="1" w:name="_Toc416949016"/>
            <w:r>
              <w:rPr>
                <w:sz w:val="32"/>
              </w:rPr>
              <w:t>Част III.6</w:t>
            </w:r>
          </w:p>
          <w:p w14:paraId="1C239D2C" w14:textId="171BCF76" w:rsidR="000442F5" w:rsidRPr="009916D5" w:rsidRDefault="00531803" w:rsidP="007B485D">
            <w:pPr>
              <w:pStyle w:val="Heading2"/>
              <w:spacing w:before="240" w:after="240"/>
              <w:jc w:val="center"/>
              <w:rPr>
                <w:sz w:val="32"/>
                <w:szCs w:val="32"/>
              </w:rPr>
            </w:pPr>
            <w:r>
              <w:rPr>
                <w:sz w:val="32"/>
              </w:rPr>
              <w:t>Формуляр за допълнителна информация относно държавна помощ, предоставена съгласно Насоките относно държавната помощ в областта на климата, опазването на околната среда и енергетиката от 2022 г. (CEEAG)</w:t>
            </w:r>
            <w:r w:rsidR="007B485D" w:rsidRPr="009916D5">
              <w:rPr>
                <w:sz w:val="32"/>
                <w:szCs w:val="32"/>
                <w:vertAlign w:val="superscript"/>
              </w:rPr>
              <w:footnoteReference w:id="2"/>
            </w:r>
            <w:r>
              <w:rPr>
                <w:sz w:val="32"/>
              </w:rPr>
              <w:t xml:space="preserve"> </w:t>
            </w:r>
            <w:bookmarkEnd w:id="0"/>
            <w:bookmarkEnd w:id="1"/>
          </w:p>
          <w:p w14:paraId="34AE2082" w14:textId="77777777" w:rsidR="002B52B3" w:rsidRDefault="002B52B3" w:rsidP="00AB6B5D">
            <w:pPr>
              <w:jc w:val="center"/>
              <w:rPr>
                <w:sz w:val="32"/>
                <w:szCs w:val="32"/>
              </w:rPr>
            </w:pPr>
            <w:r>
              <w:rPr>
                <w:sz w:val="32"/>
              </w:rPr>
              <w:t>Глава 4.11 — Помощ под формата на намаляване на таксите за електроенергия за енергоемки потребители;</w:t>
            </w:r>
          </w:p>
          <w:p w14:paraId="469DC4EF" w14:textId="1F83698E" w:rsidR="004F64BC" w:rsidRPr="00711243" w:rsidRDefault="004F64BC" w:rsidP="00AB6B5D">
            <w:pPr>
              <w:jc w:val="center"/>
            </w:pPr>
          </w:p>
        </w:tc>
      </w:tr>
    </w:tbl>
    <w:p w14:paraId="5F26D476" w14:textId="2E03F46C" w:rsidR="000442F5" w:rsidRPr="00711243" w:rsidRDefault="000442F5" w:rsidP="000442F5">
      <w:pPr>
        <w:spacing w:before="120" w:after="120"/>
        <w:ind w:right="-142"/>
        <w:jc w:val="both"/>
        <w:rPr>
          <w:i/>
          <w:iCs/>
        </w:rPr>
      </w:pPr>
      <w:r>
        <w:rPr>
          <w:i/>
        </w:rPr>
        <w:t>Настоящият формуляр за допълнителна информация трябва да се използва за отправяне на уведомления за помощ, обхваната от Насоките относно държавната помощ в областта на климата, опазването на околната среда и енергетиката от 2022 г. (CEEAG).</w:t>
      </w:r>
    </w:p>
    <w:p w14:paraId="1B60656B" w14:textId="5A450E3F" w:rsidR="009E2EA1" w:rsidRPr="00711243" w:rsidRDefault="0072538B" w:rsidP="009E2EA1">
      <w:pPr>
        <w:spacing w:before="120" w:after="120"/>
        <w:ind w:right="-142"/>
        <w:jc w:val="both"/>
        <w:rPr>
          <w:i/>
          <w:iCs/>
        </w:rPr>
      </w:pPr>
      <w:r>
        <w:rPr>
          <w:i/>
        </w:rPr>
        <w:t xml:space="preserve">Настоящият формуляр за допълнителна информация се отнася до мерките, обхванати от глава 4.11 от CEEAG. Ако уведомлението включва мерки, които са обхванати от повече от една глава от CEEAG, моля, след като стане наличен, попълнете и съответния формуляр за допълнителна информация, който се отнася до съответната глава от CEEAG. </w:t>
      </w:r>
    </w:p>
    <w:p w14:paraId="05E36007" w14:textId="48DD17A5" w:rsidR="009E2EA1" w:rsidRPr="00711243" w:rsidRDefault="009E2EA1" w:rsidP="009E2EA1">
      <w:pPr>
        <w:spacing w:before="120" w:after="120"/>
        <w:ind w:right="-142"/>
        <w:jc w:val="both"/>
        <w:rPr>
          <w:i/>
          <w:iCs/>
        </w:rPr>
      </w:pPr>
      <w:r>
        <w:rPr>
          <w:i/>
        </w:rPr>
        <w:t>Всички документи, предоставени от държавите членки като приложения към настоящия формуляр за допълнителна информация, трябва да се номерират, като номерата на документите трябва да се посочват в съответните раздели на настоящия формуляр за допълнителна информация.</w:t>
      </w:r>
    </w:p>
    <w:p w14:paraId="73EB8CDA" w14:textId="77777777" w:rsidR="00193E48"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711243" w14:paraId="2EC55755" w14:textId="77777777" w:rsidTr="00697188">
        <w:tc>
          <w:tcPr>
            <w:tcW w:w="9286" w:type="dxa"/>
            <w:shd w:val="pct15" w:color="auto" w:fill="auto"/>
          </w:tcPr>
          <w:p w14:paraId="3FE0D12C" w14:textId="0DFB2F5B" w:rsidR="000442F5" w:rsidRPr="009916D5" w:rsidRDefault="00193E48" w:rsidP="004F64BC">
            <w:pPr>
              <w:keepLines/>
              <w:spacing w:before="120" w:after="120"/>
              <w:jc w:val="center"/>
              <w:rPr>
                <w:b/>
                <w:iCs/>
                <w:sz w:val="32"/>
                <w:szCs w:val="32"/>
              </w:rPr>
            </w:pPr>
            <w:r>
              <w:br w:type="page"/>
            </w:r>
            <w:r>
              <w:br w:type="page"/>
            </w:r>
            <w:r>
              <w:rPr>
                <w:b/>
                <w:sz w:val="32"/>
              </w:rPr>
              <w:t>Раздел А: Обобщение на основните характеристики на мярката(мерките), за която(ито) е отправено уведомление</w:t>
            </w:r>
          </w:p>
        </w:tc>
      </w:tr>
    </w:tbl>
    <w:p w14:paraId="4F4E6A61" w14:textId="77777777" w:rsidR="00B77C6D" w:rsidRPr="00711243" w:rsidRDefault="00B77C6D" w:rsidP="004F64BC">
      <w:pPr>
        <w:pStyle w:val="ListParagraph"/>
        <w:keepLines/>
        <w:numPr>
          <w:ilvl w:val="0"/>
          <w:numId w:val="4"/>
        </w:numPr>
        <w:spacing w:before="360" w:after="120"/>
        <w:ind w:left="567" w:hanging="567"/>
        <w:contextualSpacing w:val="0"/>
        <w:jc w:val="both"/>
        <w:rPr>
          <w:b/>
        </w:rPr>
      </w:pPr>
      <w:r>
        <w:rPr>
          <w:b/>
        </w:rPr>
        <w:t>Контекст и цел(и) на мярката(мерките), за която(ито) е отправено уведомление.</w:t>
      </w:r>
    </w:p>
    <w:p w14:paraId="53AAF227" w14:textId="40775AB0" w:rsidR="00931262" w:rsidRDefault="00931262" w:rsidP="004F64BC">
      <w:pPr>
        <w:pStyle w:val="ListParagraph"/>
        <w:keepLines/>
        <w:numPr>
          <w:ilvl w:val="0"/>
          <w:numId w:val="21"/>
        </w:numPr>
        <w:spacing w:after="240"/>
        <w:ind w:left="993" w:hanging="142"/>
        <w:jc w:val="both"/>
      </w:pPr>
      <w:r>
        <w:t>Моля, посочете дали това е нова мярка или изменение на съществуваща мярка. Ако става въпрос за изменение, моля, дайте подробности за промените в схемата.</w:t>
      </w:r>
    </w:p>
    <w:p w14:paraId="664A8EEB" w14:textId="77777777" w:rsidR="00931262" w:rsidRDefault="00931262" w:rsidP="00931262">
      <w:pPr>
        <w:tabs>
          <w:tab w:val="left" w:leader="dot" w:pos="9072"/>
        </w:tabs>
        <w:spacing w:before="120" w:after="120"/>
        <w:ind w:left="567"/>
        <w:jc w:val="both"/>
      </w:pPr>
      <w:r>
        <w:tab/>
      </w:r>
    </w:p>
    <w:p w14:paraId="0E53E6F4" w14:textId="5B9AA4D5" w:rsidR="00B77C6D" w:rsidRDefault="003030FB" w:rsidP="00B77C6D">
      <w:pPr>
        <w:pStyle w:val="ListParagraph"/>
        <w:numPr>
          <w:ilvl w:val="0"/>
          <w:numId w:val="21"/>
        </w:numPr>
        <w:spacing w:after="240"/>
        <w:ind w:left="993" w:hanging="142"/>
        <w:jc w:val="both"/>
      </w:pPr>
      <w:r>
        <w:t xml:space="preserve">Ако не е обсъдено в раздел 5.2 от формуляра за обща информация (част I), моля, представете контекста и основната цел, включително връзката с всички екологични цели на Съюза, които мярката е предназначена да подкрепи. </w:t>
      </w:r>
    </w:p>
    <w:p w14:paraId="43CFDEB4" w14:textId="77777777" w:rsidR="00B77C6D" w:rsidRDefault="00B77C6D" w:rsidP="00B77C6D">
      <w:pPr>
        <w:tabs>
          <w:tab w:val="left" w:leader="dot" w:pos="9072"/>
        </w:tabs>
        <w:spacing w:before="120" w:after="120"/>
        <w:ind w:left="567"/>
        <w:jc w:val="both"/>
      </w:pPr>
      <w:r>
        <w:tab/>
      </w:r>
    </w:p>
    <w:p w14:paraId="189F84D9" w14:textId="77777777" w:rsidR="00B77C6D" w:rsidRDefault="00B77C6D" w:rsidP="00B77C6D">
      <w:pPr>
        <w:pStyle w:val="ListParagraph"/>
        <w:numPr>
          <w:ilvl w:val="0"/>
          <w:numId w:val="21"/>
        </w:numPr>
        <w:spacing w:after="240"/>
        <w:ind w:left="993" w:hanging="142"/>
        <w:jc w:val="both"/>
      </w:pPr>
      <w:r>
        <w:t xml:space="preserve">Моля, посочете всички други цели, преследвани с мярката. За всички цели, които не са чисто екологични, моля, обяснете дали те могат да доведат до някакви нарушения на вътрешния пазар. </w:t>
      </w:r>
    </w:p>
    <w:p w14:paraId="3AB82A10" w14:textId="77777777" w:rsidR="00B77C6D" w:rsidRPr="00711243" w:rsidRDefault="00B77C6D" w:rsidP="00B77C6D">
      <w:pPr>
        <w:tabs>
          <w:tab w:val="left" w:leader="dot" w:pos="9072"/>
        </w:tabs>
        <w:spacing w:before="120" w:after="120"/>
        <w:ind w:left="567"/>
        <w:jc w:val="both"/>
      </w:pPr>
      <w:r>
        <w:tab/>
      </w:r>
    </w:p>
    <w:p w14:paraId="46326840" w14:textId="2F697D7D" w:rsidR="00B77C6D" w:rsidRPr="00711243" w:rsidRDefault="00CC08F3" w:rsidP="004F64BC">
      <w:pPr>
        <w:pStyle w:val="ListParagraph"/>
        <w:keepLines/>
        <w:numPr>
          <w:ilvl w:val="0"/>
          <w:numId w:val="4"/>
        </w:numPr>
        <w:spacing w:before="360" w:after="120"/>
        <w:ind w:left="567" w:hanging="567"/>
        <w:contextualSpacing w:val="0"/>
        <w:jc w:val="both"/>
      </w:pPr>
      <w:r>
        <w:rPr>
          <w:b/>
        </w:rPr>
        <w:t>Влизане в сила и срок на действие</w:t>
      </w:r>
      <w:r>
        <w:t>:</w:t>
      </w:r>
    </w:p>
    <w:p w14:paraId="7D0B071F" w14:textId="17375B6D" w:rsidR="00B77C6D" w:rsidRDefault="003030FB" w:rsidP="004F64BC">
      <w:pPr>
        <w:pStyle w:val="ListParagraph"/>
        <w:keepLines/>
        <w:numPr>
          <w:ilvl w:val="0"/>
          <w:numId w:val="44"/>
        </w:numPr>
        <w:spacing w:after="240"/>
        <w:ind w:left="993" w:hanging="142"/>
        <w:contextualSpacing w:val="0"/>
        <w:jc w:val="both"/>
        <w:rPr>
          <w:szCs w:val="24"/>
        </w:rPr>
      </w:pPr>
      <w:r>
        <w:t>Ако не е посочено в раздел 5.5 от формуляра за обща информация (част I), моля, посочете:</w:t>
      </w:r>
    </w:p>
    <w:p w14:paraId="186C0754" w14:textId="4AD929FA" w:rsidR="00B77C6D" w:rsidRDefault="001A44EB" w:rsidP="001A44EB">
      <w:pPr>
        <w:pStyle w:val="ListParagraph"/>
        <w:spacing w:after="240"/>
        <w:ind w:left="1910"/>
        <w:contextualSpacing w:val="0"/>
        <w:jc w:val="both"/>
        <w:rPr>
          <w:szCs w:val="24"/>
        </w:rPr>
      </w:pPr>
      <w:r>
        <w:t>а.</w:t>
      </w:r>
      <w:r>
        <w:tab/>
      </w:r>
      <w:r w:rsidR="00B77C6D">
        <w:t xml:space="preserve">За схема за помощ: </w:t>
      </w:r>
    </w:p>
    <w:p w14:paraId="0361ED32" w14:textId="77777777" w:rsidR="00B77C6D" w:rsidRDefault="00B77C6D" w:rsidP="00B77C6D">
      <w:pPr>
        <w:pStyle w:val="ListParagraph"/>
        <w:numPr>
          <w:ilvl w:val="2"/>
          <w:numId w:val="44"/>
        </w:numPr>
        <w:spacing w:after="240"/>
        <w:ind w:left="2410" w:hanging="283"/>
        <w:contextualSpacing w:val="0"/>
        <w:jc w:val="both"/>
        <w:rPr>
          <w:szCs w:val="24"/>
        </w:rPr>
      </w:pPr>
      <w:r>
        <w:t>датата, от която се планира схемата да влезе в сила;</w:t>
      </w:r>
    </w:p>
    <w:p w14:paraId="5ED55C2C" w14:textId="77777777" w:rsidR="00B77C6D" w:rsidRDefault="00B77C6D" w:rsidP="00B77C6D">
      <w:pPr>
        <w:pStyle w:val="ListParagraph"/>
        <w:spacing w:after="240"/>
        <w:ind w:left="2160"/>
        <w:contextualSpacing w:val="0"/>
        <w:jc w:val="both"/>
        <w:rPr>
          <w:szCs w:val="24"/>
        </w:rPr>
      </w:pPr>
      <w:r>
        <w:t>…………………………………………………………………………...</w:t>
      </w:r>
    </w:p>
    <w:p w14:paraId="3A3DE8FD" w14:textId="77777777" w:rsidR="00B77C6D" w:rsidRPr="00A05822" w:rsidRDefault="00B77C6D" w:rsidP="00B77C6D">
      <w:pPr>
        <w:pStyle w:val="ListParagraph"/>
        <w:numPr>
          <w:ilvl w:val="2"/>
          <w:numId w:val="44"/>
        </w:numPr>
        <w:spacing w:after="240"/>
        <w:ind w:left="2410" w:hanging="283"/>
        <w:contextualSpacing w:val="0"/>
        <w:jc w:val="both"/>
        <w:rPr>
          <w:szCs w:val="24"/>
        </w:rPr>
      </w:pPr>
      <w:r>
        <w:t>срока на действие на схемата</w:t>
      </w:r>
      <w:r w:rsidRPr="0096487F">
        <w:rPr>
          <w:rStyle w:val="FootnoteReference"/>
          <w:rFonts w:cs="Arial Unicode MS"/>
          <w:bCs/>
          <w:lang w:bidi="si-LK"/>
        </w:rPr>
        <w:footnoteReference w:id="3"/>
      </w:r>
      <w:r>
        <w:t>.</w:t>
      </w:r>
    </w:p>
    <w:p w14:paraId="7420060D" w14:textId="77777777" w:rsidR="00B77C6D" w:rsidRPr="00A05822" w:rsidRDefault="00B77C6D" w:rsidP="00B77C6D">
      <w:pPr>
        <w:pStyle w:val="ListParagraph"/>
        <w:spacing w:after="240"/>
        <w:ind w:left="2127"/>
        <w:contextualSpacing w:val="0"/>
        <w:jc w:val="both"/>
        <w:rPr>
          <w:szCs w:val="24"/>
        </w:rPr>
      </w:pPr>
      <w:r>
        <w:t>…………………………………………………………………………...</w:t>
      </w:r>
    </w:p>
    <w:p w14:paraId="0B952041" w14:textId="06EB2CDE" w:rsidR="00B77C6D" w:rsidRPr="001A44EB" w:rsidRDefault="001A44EB" w:rsidP="001A44EB">
      <w:pPr>
        <w:pStyle w:val="ListParagraph"/>
        <w:spacing w:before="120" w:after="120"/>
        <w:ind w:left="2127" w:hanging="217"/>
        <w:contextualSpacing w:val="0"/>
        <w:jc w:val="both"/>
        <w:rPr>
          <w:spacing w:val="-2"/>
          <w:szCs w:val="24"/>
        </w:rPr>
      </w:pPr>
      <w:r w:rsidRPr="001A44EB">
        <w:rPr>
          <w:spacing w:val="-2"/>
        </w:rPr>
        <w:t>б.</w:t>
      </w:r>
      <w:r w:rsidRPr="001A44EB">
        <w:rPr>
          <w:spacing w:val="-2"/>
        </w:rPr>
        <w:tab/>
      </w:r>
      <w:r w:rsidR="00B77C6D" w:rsidRPr="001A44EB">
        <w:rPr>
          <w:spacing w:val="-2"/>
        </w:rPr>
        <w:t>За индивидуална помощ: (планираната) дата на предоставяне на помощта (обещание за помощ) и датата на плащане (първата дата на плащане, ако се предвиждат различни последователни плащания):</w:t>
      </w:r>
    </w:p>
    <w:p w14:paraId="6C726222" w14:textId="7D188916" w:rsidR="00EA7FBC" w:rsidRPr="00E7597C" w:rsidRDefault="00B77C6D" w:rsidP="00E7597C">
      <w:pPr>
        <w:pStyle w:val="ListParagraph"/>
        <w:spacing w:before="120" w:after="120"/>
        <w:contextualSpacing w:val="0"/>
        <w:rPr>
          <w:szCs w:val="24"/>
        </w:rPr>
      </w:pPr>
      <w:r>
        <w:t>…………………………………………………………………………………………..</w:t>
      </w:r>
    </w:p>
    <w:p w14:paraId="2C6A5903" w14:textId="3AFF3A75" w:rsidR="00B77C6D" w:rsidRPr="006B1712" w:rsidRDefault="00B77C6D" w:rsidP="00E7597C">
      <w:pPr>
        <w:pStyle w:val="ListParagraph"/>
        <w:numPr>
          <w:ilvl w:val="0"/>
          <w:numId w:val="4"/>
        </w:numPr>
        <w:spacing w:before="360" w:after="120"/>
        <w:ind w:left="567" w:hanging="567"/>
        <w:contextualSpacing w:val="0"/>
        <w:jc w:val="both"/>
        <w:rPr>
          <w:rFonts w:cs="Arial Unicode MS"/>
          <w:b/>
          <w:bCs/>
        </w:rPr>
      </w:pPr>
      <w:r>
        <w:rPr>
          <w:b/>
        </w:rPr>
        <w:lastRenderedPageBreak/>
        <w:t>Бенефициер(и)</w:t>
      </w:r>
      <w:r>
        <w:rPr>
          <w:b/>
        </w:rPr>
        <w:tab/>
      </w:r>
    </w:p>
    <w:p w14:paraId="06E5A4C8" w14:textId="44380450" w:rsidR="00B77C6D" w:rsidRDefault="0068024A" w:rsidP="00B77C6D">
      <w:pPr>
        <w:pStyle w:val="ListParagraph"/>
        <w:numPr>
          <w:ilvl w:val="0"/>
          <w:numId w:val="22"/>
        </w:numPr>
        <w:spacing w:after="240"/>
        <w:ind w:hanging="229"/>
        <w:jc w:val="both"/>
        <w:rPr>
          <w:szCs w:val="24"/>
        </w:rPr>
      </w:pPr>
      <w:r>
        <w:t>Ако не е направено в раздел 3 от формуляра за обща информация (част I), моля, опишете (потенциалния/потенциалните) бенефициер(и) на мярката(мерките).</w:t>
      </w:r>
    </w:p>
    <w:p w14:paraId="32EF3438" w14:textId="77777777" w:rsidR="00B77C6D" w:rsidRPr="00564D5B" w:rsidRDefault="00B77C6D" w:rsidP="00B77C6D">
      <w:pPr>
        <w:tabs>
          <w:tab w:val="left" w:leader="dot" w:pos="9072"/>
        </w:tabs>
        <w:spacing w:before="120" w:after="120"/>
        <w:ind w:left="567"/>
        <w:jc w:val="both"/>
      </w:pPr>
      <w:r>
        <w:tab/>
      </w:r>
    </w:p>
    <w:p w14:paraId="1DB31E97" w14:textId="77777777" w:rsidR="00B77C6D" w:rsidRPr="00C55D4C" w:rsidRDefault="00B77C6D" w:rsidP="00B77C6D">
      <w:pPr>
        <w:pStyle w:val="ListParagraph"/>
        <w:numPr>
          <w:ilvl w:val="0"/>
          <w:numId w:val="22"/>
        </w:numPr>
        <w:spacing w:after="240"/>
        <w:ind w:hanging="229"/>
        <w:jc w:val="both"/>
        <w:rPr>
          <w:szCs w:val="24"/>
        </w:rPr>
      </w:pPr>
      <w:r>
        <w:t>Моля, посочете местоположението на (потенциалния/потенциалните) бенефициер(и) (т.е. дали в мярката имат право да участват само стопански субекти, намиращи се в съответните държави членки, или и такива, намиращи се в други държави членки).</w:t>
      </w:r>
    </w:p>
    <w:p w14:paraId="7BA93CF3" w14:textId="77777777" w:rsidR="00B77C6D" w:rsidRDefault="00B77C6D" w:rsidP="00B77C6D">
      <w:pPr>
        <w:tabs>
          <w:tab w:val="left" w:leader="dot" w:pos="9072"/>
        </w:tabs>
        <w:spacing w:before="120" w:after="120"/>
        <w:ind w:left="567"/>
        <w:jc w:val="both"/>
      </w:pPr>
      <w:r>
        <w:tab/>
      </w:r>
    </w:p>
    <w:p w14:paraId="798E9E39" w14:textId="24A981FB" w:rsidR="00B77C6D" w:rsidRDefault="00B77C6D" w:rsidP="00B77C6D">
      <w:pPr>
        <w:pStyle w:val="ListParagraph"/>
        <w:numPr>
          <w:ilvl w:val="0"/>
          <w:numId w:val="22"/>
        </w:numPr>
        <w:spacing w:after="240"/>
        <w:ind w:hanging="229"/>
        <w:jc w:val="both"/>
        <w:rPr>
          <w:szCs w:val="24"/>
        </w:rPr>
      </w:pPr>
      <w:r>
        <w:t xml:space="preserve">За да се оцени съответствието с точка 15 от CEEAG, моля, посочете дали помощта по мярката(мерките) се предоставя в полза на предприятие (индивидуално или част от схема), което е обект на неизпълнено нареждане за събиране в резултат на предишно решение на Комисията, с което помощ се обявява за неправомерна и несъвместима с вътрешния пазар. </w:t>
      </w:r>
    </w:p>
    <w:p w14:paraId="3A14663D" w14:textId="77777777" w:rsidR="00F137D5" w:rsidRPr="008515FB" w:rsidRDefault="00F137D5" w:rsidP="00F137D5">
      <w:pPr>
        <w:tabs>
          <w:tab w:val="left" w:leader="dot" w:pos="9072"/>
        </w:tabs>
        <w:spacing w:before="120" w:after="120"/>
        <w:jc w:val="both"/>
      </w:pPr>
      <w:r>
        <w:t xml:space="preserve">         </w:t>
      </w:r>
      <w:r>
        <w:tab/>
      </w:r>
    </w:p>
    <w:p w14:paraId="43EAD7B3" w14:textId="77777777" w:rsidR="00B77C6D" w:rsidRPr="00E4424D" w:rsidRDefault="00B77C6D" w:rsidP="00B77C6D">
      <w:pPr>
        <w:pStyle w:val="ListParagraph"/>
        <w:spacing w:after="240"/>
        <w:ind w:left="1080"/>
        <w:jc w:val="both"/>
        <w:rPr>
          <w:szCs w:val="24"/>
        </w:rPr>
      </w:pPr>
      <w:r>
        <w:t xml:space="preserve">При положителен отговор, моля, предоставете информация за размера на помощта, която все още не е събрана, за да я вземе Комисията предвид при оценката на мярката(мерките) за помощ. </w:t>
      </w:r>
    </w:p>
    <w:p w14:paraId="2361C745" w14:textId="77777777" w:rsidR="00B77C6D" w:rsidRDefault="00B77C6D" w:rsidP="00B77C6D">
      <w:pPr>
        <w:tabs>
          <w:tab w:val="left" w:leader="dot" w:pos="9072"/>
        </w:tabs>
        <w:spacing w:before="120" w:after="120"/>
        <w:ind w:left="567"/>
        <w:jc w:val="both"/>
      </w:pPr>
      <w:r>
        <w:tab/>
      </w:r>
    </w:p>
    <w:p w14:paraId="7926625A" w14:textId="2557C7C0" w:rsidR="00B77C6D" w:rsidRPr="004C1FBF" w:rsidRDefault="00B77C6D" w:rsidP="00385633">
      <w:pPr>
        <w:pStyle w:val="ListParagraph"/>
        <w:numPr>
          <w:ilvl w:val="0"/>
          <w:numId w:val="4"/>
        </w:numPr>
        <w:spacing w:before="120" w:after="120"/>
        <w:ind w:left="567" w:hanging="567"/>
        <w:contextualSpacing w:val="0"/>
        <w:jc w:val="both"/>
        <w:rPr>
          <w:rFonts w:cs="Arial Unicode MS"/>
        </w:rPr>
      </w:pPr>
      <w:r>
        <w:t>Моля, потвърдете, че мярката(мерките) не включва(т) помощ за дейности, които не попадат в приложното поле на CEEAG (вж. точка 13 от CEEAG). В противен случай, моля, посочете подробности.</w:t>
      </w:r>
    </w:p>
    <w:p w14:paraId="5098110D" w14:textId="77777777" w:rsidR="00B77C6D" w:rsidRDefault="00B77C6D" w:rsidP="00B77C6D">
      <w:pPr>
        <w:tabs>
          <w:tab w:val="left" w:leader="dot" w:pos="9072"/>
        </w:tabs>
        <w:spacing w:before="120" w:after="120"/>
        <w:ind w:left="567"/>
        <w:jc w:val="both"/>
      </w:pPr>
      <w:r>
        <w:tab/>
      </w:r>
    </w:p>
    <w:p w14:paraId="74D31163" w14:textId="77777777" w:rsidR="00B77C6D" w:rsidRPr="00ED2FA7" w:rsidRDefault="00B77C6D" w:rsidP="004F64BC">
      <w:pPr>
        <w:pStyle w:val="ListParagraph"/>
        <w:keepLines/>
        <w:numPr>
          <w:ilvl w:val="0"/>
          <w:numId w:val="4"/>
        </w:numPr>
        <w:spacing w:before="360" w:after="240"/>
        <w:ind w:left="567" w:hanging="567"/>
        <w:contextualSpacing w:val="0"/>
        <w:jc w:val="both"/>
        <w:rPr>
          <w:rFonts w:cs="Arial Unicode MS"/>
          <w:bCs/>
        </w:rPr>
      </w:pPr>
      <w:bookmarkStart w:id="2" w:name="_Ref116914408"/>
      <w:r>
        <w:rPr>
          <w:b/>
        </w:rPr>
        <w:t>Бюджет и финансиране на мярката(мерките)</w:t>
      </w:r>
      <w:r>
        <w:t>.</w:t>
      </w:r>
      <w:bookmarkEnd w:id="2"/>
    </w:p>
    <w:p w14:paraId="604EF1DB" w14:textId="3F1539F9" w:rsidR="00B77C6D" w:rsidRPr="00ED2FA7" w:rsidRDefault="0068024A" w:rsidP="00D304A1">
      <w:pPr>
        <w:pStyle w:val="ListParagraph"/>
        <w:keepLines/>
        <w:numPr>
          <w:ilvl w:val="0"/>
          <w:numId w:val="23"/>
        </w:numPr>
        <w:spacing w:before="120" w:after="120"/>
        <w:ind w:left="993" w:hanging="284"/>
        <w:contextualSpacing w:val="0"/>
        <w:jc w:val="both"/>
        <w:rPr>
          <w:rFonts w:cs="Arial Unicode MS"/>
          <w:bCs/>
        </w:rPr>
      </w:pPr>
      <w:r>
        <w:t>Ако не е посочен в таблицата в раздел 7.1 от формуляра за обща информация (част I), моля, посочете годишния и/или общия бюджет за целия срок на действие на мярката(мерките); ако общият бюджет не е известен (например тъй като зависи от резултатите от търгове), моля, посочете прогнозен бюджет, включително допусканията, използвани за изчисляване на съответния прогнозен бюджет.</w:t>
      </w:r>
      <w:r>
        <w:rPr>
          <w:vertAlign w:val="superscript"/>
        </w:rPr>
        <w:t xml:space="preserve"> </w:t>
      </w:r>
      <w:r w:rsidRPr="00D86D38">
        <w:rPr>
          <w:szCs w:val="24"/>
          <w:vertAlign w:val="superscript"/>
        </w:rPr>
        <w:footnoteReference w:id="4"/>
      </w:r>
    </w:p>
    <w:p w14:paraId="4FA1582B" w14:textId="77777777" w:rsidR="00B77C6D" w:rsidRPr="00ED2FA7" w:rsidRDefault="00B77C6D" w:rsidP="00E7597C">
      <w:pPr>
        <w:keepLines/>
        <w:tabs>
          <w:tab w:val="left" w:leader="dot" w:pos="9072"/>
        </w:tabs>
        <w:spacing w:before="120" w:after="120"/>
        <w:ind w:left="567"/>
        <w:jc w:val="both"/>
      </w:pPr>
      <w:r>
        <w:tab/>
      </w:r>
    </w:p>
    <w:p w14:paraId="630CFBE6" w14:textId="77777777" w:rsidR="00B77C6D" w:rsidRPr="00ED2FA7" w:rsidRDefault="00B77C6D" w:rsidP="00E7597C">
      <w:pPr>
        <w:keepLines/>
        <w:tabs>
          <w:tab w:val="left" w:leader="dot" w:pos="9072"/>
        </w:tabs>
        <w:spacing w:before="120" w:after="120"/>
        <w:ind w:left="567"/>
        <w:jc w:val="both"/>
      </w:pPr>
      <w:r>
        <w:tab/>
      </w:r>
    </w:p>
    <w:p w14:paraId="0428868B" w14:textId="00D23EB3" w:rsidR="00B77C6D" w:rsidRDefault="003D4EB8" w:rsidP="00B77C6D">
      <w:pPr>
        <w:pStyle w:val="ListParagraph"/>
        <w:numPr>
          <w:ilvl w:val="0"/>
          <w:numId w:val="23"/>
        </w:numPr>
        <w:spacing w:before="120" w:after="120"/>
        <w:ind w:left="993" w:hanging="284"/>
        <w:contextualSpacing w:val="0"/>
        <w:jc w:val="both"/>
        <w:rPr>
          <w:rFonts w:cs="Arial Unicode MS"/>
          <w:bCs/>
        </w:rPr>
      </w:pPr>
      <w:bookmarkStart w:id="3" w:name="_Ref116914400"/>
      <w:r>
        <w:t>Тъй като мярката се отнася до такса, моля, посочете дали:</w:t>
      </w:r>
      <w:bookmarkEnd w:id="3"/>
    </w:p>
    <w:p w14:paraId="21BE29C3" w14:textId="3BAF415A" w:rsidR="00B77C6D" w:rsidRDefault="001A44EB" w:rsidP="001A44EB">
      <w:pPr>
        <w:pStyle w:val="ListParagraph"/>
        <w:keepLines/>
        <w:spacing w:before="240" w:after="120"/>
        <w:ind w:left="2001" w:hanging="354"/>
        <w:contextualSpacing w:val="0"/>
        <w:jc w:val="both"/>
        <w:rPr>
          <w:rFonts w:cs="Arial Unicode MS"/>
          <w:bCs/>
        </w:rPr>
      </w:pPr>
      <w:r>
        <w:lastRenderedPageBreak/>
        <w:t>а.</w:t>
      </w:r>
      <w:r>
        <w:tab/>
      </w:r>
      <w:r w:rsidR="00B77C6D">
        <w:t>таксата е определена със закон или друг законодателен акт; при положителен отговор, моля, посочете правния акт, неговия номер и датата, на която е приет и влязъл в сила, както и интернет връзка към правния акт;</w:t>
      </w:r>
    </w:p>
    <w:p w14:paraId="1754D836" w14:textId="77777777" w:rsidR="00B77C6D" w:rsidRDefault="00B77C6D" w:rsidP="00E7597C">
      <w:pPr>
        <w:keepLines/>
        <w:tabs>
          <w:tab w:val="left" w:leader="dot" w:pos="9072"/>
        </w:tabs>
        <w:spacing w:before="120" w:after="120"/>
        <w:ind w:left="927"/>
        <w:jc w:val="both"/>
      </w:pPr>
      <w:r>
        <w:tab/>
      </w:r>
    </w:p>
    <w:p w14:paraId="17CC5546" w14:textId="576FBFBC" w:rsidR="001F75B2" w:rsidRPr="001F75B2" w:rsidRDefault="001A44EB" w:rsidP="001A44EB">
      <w:pPr>
        <w:pStyle w:val="ListParagraph"/>
        <w:keepLines/>
        <w:spacing w:before="240" w:after="120"/>
        <w:ind w:left="2001" w:hanging="354"/>
        <w:contextualSpacing w:val="0"/>
        <w:jc w:val="both"/>
        <w:rPr>
          <w:rFonts w:cs="Arial Unicode MS"/>
          <w:bCs/>
        </w:rPr>
      </w:pPr>
      <w:bookmarkStart w:id="4" w:name="_Hlk172879385"/>
      <w:r>
        <w:t>б.</w:t>
      </w:r>
      <w:r>
        <w:tab/>
      </w:r>
      <w:r w:rsidR="001F75B2">
        <w:t>намалението на таксата се финансира чрез увеличаване на таксата за други потребители</w:t>
      </w:r>
      <w:bookmarkEnd w:id="4"/>
      <w:r w:rsidR="001F75B2">
        <w:t>.</w:t>
      </w:r>
    </w:p>
    <w:p w14:paraId="63B7575D" w14:textId="6407E221" w:rsidR="00B77C6D" w:rsidRDefault="001F75B2" w:rsidP="00E7597C">
      <w:pPr>
        <w:keepLines/>
        <w:tabs>
          <w:tab w:val="left" w:leader="dot" w:pos="9072"/>
        </w:tabs>
        <w:spacing w:before="120" w:after="120"/>
        <w:ind w:left="927"/>
        <w:jc w:val="both"/>
      </w:pPr>
      <w:r>
        <w:tab/>
      </w:r>
      <w:r>
        <w:tab/>
      </w:r>
    </w:p>
    <w:p w14:paraId="008A55C5" w14:textId="3FDD40C5" w:rsidR="00B77C6D" w:rsidRDefault="001A44EB" w:rsidP="001A44EB">
      <w:pPr>
        <w:pStyle w:val="ListParagraph"/>
        <w:keepLines/>
        <w:spacing w:before="240" w:after="120"/>
        <w:ind w:left="2001" w:hanging="354"/>
        <w:contextualSpacing w:val="0"/>
        <w:jc w:val="both"/>
        <w:rPr>
          <w:rFonts w:cs="Arial Unicode MS"/>
          <w:bCs/>
        </w:rPr>
      </w:pPr>
      <w:r>
        <w:t>в.</w:t>
      </w:r>
      <w:r>
        <w:tab/>
      </w:r>
      <w:r w:rsidR="00B77C6D">
        <w:t>мярката се финансира изцяло или само частично от таксата. Ако мярката се финансира само частично от таксата, посочете другите източници на финансиране на мярката и техния съответен дял;</w:t>
      </w:r>
    </w:p>
    <w:p w14:paraId="56091CF7" w14:textId="77777777" w:rsidR="00B77C6D" w:rsidRDefault="00B77C6D" w:rsidP="00E7597C">
      <w:pPr>
        <w:keepLines/>
        <w:tabs>
          <w:tab w:val="left" w:leader="dot" w:pos="9072"/>
        </w:tabs>
        <w:spacing w:before="120" w:after="120"/>
        <w:ind w:left="927"/>
        <w:jc w:val="both"/>
      </w:pPr>
      <w:r>
        <w:tab/>
      </w:r>
    </w:p>
    <w:p w14:paraId="0D234BB7" w14:textId="421AA4AF" w:rsidR="00B77C6D" w:rsidRDefault="001A44EB" w:rsidP="001A44EB">
      <w:pPr>
        <w:pStyle w:val="ListParagraph"/>
        <w:keepLines/>
        <w:spacing w:before="240" w:after="120"/>
        <w:ind w:left="2001" w:hanging="354"/>
        <w:contextualSpacing w:val="0"/>
        <w:jc w:val="both"/>
        <w:rPr>
          <w:rFonts w:cs="Arial Unicode MS"/>
          <w:bCs/>
        </w:rPr>
      </w:pPr>
      <w:r>
        <w:t>г.</w:t>
      </w:r>
      <w:r>
        <w:tab/>
      </w:r>
      <w:r w:rsidR="00B77C6D">
        <w:t>с таксата, финансираща мярката, за която е отправено уведомление, се финансират и други мерки за помощ. Ако е така, посочете другите мерки за помощ, финансирани със съответната такса.</w:t>
      </w:r>
    </w:p>
    <w:p w14:paraId="0DD7B78D" w14:textId="1216A883" w:rsidR="001D57C9" w:rsidRDefault="00B77C6D" w:rsidP="00D304A1">
      <w:pPr>
        <w:keepLines/>
        <w:tabs>
          <w:tab w:val="left" w:leader="dot" w:pos="9072"/>
        </w:tabs>
        <w:spacing w:before="120" w:after="360"/>
        <w:ind w:left="992"/>
        <w:jc w:val="both"/>
      </w:pPr>
      <w:r>
        <w:tab/>
      </w:r>
    </w:p>
    <w:p w14:paraId="42A291CB" w14:textId="77777777" w:rsidR="009916D5"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711243" w14:paraId="23C2E9FC" w14:textId="77777777" w:rsidTr="00697188">
        <w:tc>
          <w:tcPr>
            <w:tcW w:w="9286" w:type="dxa"/>
            <w:shd w:val="pct15" w:color="auto" w:fill="auto"/>
          </w:tcPr>
          <w:p w14:paraId="1E14EC88" w14:textId="71541B27" w:rsidR="000442F5" w:rsidRPr="009916D5" w:rsidRDefault="000442F5" w:rsidP="00D304A1">
            <w:pPr>
              <w:keepLines/>
              <w:spacing w:before="120" w:after="120"/>
              <w:jc w:val="center"/>
              <w:rPr>
                <w:b/>
                <w:sz w:val="32"/>
                <w:szCs w:val="32"/>
              </w:rPr>
            </w:pPr>
            <w:r>
              <w:rPr>
                <w:b/>
                <w:sz w:val="32"/>
              </w:rPr>
              <w:t>Раздел Б: Оценка на съвместимостта на помощта</w:t>
            </w:r>
          </w:p>
        </w:tc>
      </w:tr>
    </w:tbl>
    <w:p w14:paraId="07973474" w14:textId="77777777" w:rsidR="000442F5" w:rsidRPr="00711243" w:rsidRDefault="000442F5"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4F4ED3F1" w14:textId="77777777" w:rsidTr="00697188">
        <w:tc>
          <w:tcPr>
            <w:tcW w:w="9322" w:type="dxa"/>
            <w:shd w:val="pct15" w:color="auto" w:fill="auto"/>
          </w:tcPr>
          <w:p w14:paraId="4EC3F9B1" w14:textId="4AFDC259" w:rsidR="000442F5" w:rsidRPr="006D38D6" w:rsidRDefault="007D1E08" w:rsidP="00D304A1">
            <w:pPr>
              <w:pStyle w:val="Heading1"/>
              <w:keepLines/>
              <w:numPr>
                <w:ilvl w:val="0"/>
                <w:numId w:val="24"/>
              </w:numPr>
              <w:rPr>
                <w:i/>
                <w:sz w:val="28"/>
                <w:szCs w:val="28"/>
              </w:rPr>
            </w:pPr>
            <w:r>
              <w:rPr>
                <w:i/>
                <w:sz w:val="28"/>
              </w:rPr>
              <w:t>Положително условие: помощта трябва да улеснява развитието на икономическа дейност</w:t>
            </w:r>
          </w:p>
        </w:tc>
      </w:tr>
    </w:tbl>
    <w:p w14:paraId="51388EE2" w14:textId="77777777" w:rsidR="004B5C2A" w:rsidRPr="00711243" w:rsidRDefault="004B5C2A" w:rsidP="00D304A1">
      <w:pPr>
        <w:keepLines/>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711243" w14:paraId="6414F6C3" w14:textId="77777777" w:rsidTr="00305DC0">
        <w:tc>
          <w:tcPr>
            <w:tcW w:w="9322" w:type="dxa"/>
            <w:shd w:val="pct15" w:color="auto" w:fill="auto"/>
          </w:tcPr>
          <w:p w14:paraId="01CE580F" w14:textId="1B1B97C9" w:rsidR="004B5C2A" w:rsidRPr="00B418CC" w:rsidRDefault="007D1E08" w:rsidP="00D304A1">
            <w:pPr>
              <w:pStyle w:val="Heading1"/>
              <w:keepLines/>
              <w:numPr>
                <w:ilvl w:val="1"/>
                <w:numId w:val="24"/>
              </w:numPr>
              <w:rPr>
                <w:sz w:val="24"/>
                <w:szCs w:val="24"/>
              </w:rPr>
            </w:pPr>
            <w:r>
              <w:rPr>
                <w:sz w:val="24"/>
              </w:rPr>
              <w:t>Принос към развитието на икономическа дейност и стимулиращ ефект</w:t>
            </w:r>
          </w:p>
        </w:tc>
      </w:tr>
    </w:tbl>
    <w:p w14:paraId="1E2599D2" w14:textId="090DDB6C" w:rsidR="000442F5" w:rsidRPr="00DB40A5" w:rsidRDefault="000442F5" w:rsidP="00D304A1">
      <w:pPr>
        <w:keepLines/>
        <w:spacing w:before="360" w:after="120"/>
        <w:jc w:val="both"/>
        <w:rPr>
          <w:i/>
        </w:rPr>
      </w:pPr>
      <w:r>
        <w:rPr>
          <w:i/>
        </w:rPr>
        <w:t xml:space="preserve">За да предоставите информацията в настоящия раздел, моля, вижте раздел 4.11.1 от CEEAG. </w:t>
      </w:r>
    </w:p>
    <w:p w14:paraId="3B179A23" w14:textId="692B32B4" w:rsidR="00FE59FF" w:rsidRDefault="00956022" w:rsidP="007D3768">
      <w:pPr>
        <w:numPr>
          <w:ilvl w:val="0"/>
          <w:numId w:val="4"/>
        </w:numPr>
        <w:ind w:left="426" w:hanging="426"/>
        <w:jc w:val="both"/>
      </w:pPr>
      <w:r>
        <w:t xml:space="preserve">В член 107, параграф 3, буква в) от Договора за функционирането на Европейския съюз (ДФЕС) се предвижда, че Комисията може да обяви за съвместими „помощите, които имат за цел да улеснят развитието на някои икономически дейности или на някои икономически региони, доколкото тези помощи не засягат по неблагоприятен начин условията на търговия до степен, която противоречи на общия интерес“. Следователно съвместимата помощ съгласно тази разпоредба на ДФЕС трябва да допринася за развитието на определена икономическа дейност. </w:t>
      </w:r>
    </w:p>
    <w:p w14:paraId="3D019745" w14:textId="31E2DE72" w:rsidR="00C75792" w:rsidRPr="008515FB" w:rsidRDefault="00FE59FF" w:rsidP="00E7597C">
      <w:pPr>
        <w:spacing w:before="240"/>
        <w:ind w:left="357"/>
        <w:jc w:val="both"/>
      </w:pPr>
      <w:r>
        <w:t>Освен това може да се счита, че държавната помощ улеснява дадена икономическа дейност, само ако има стимулиращ ефект. Стимулиращ ефект е налице, когато помощта стимулира бенефициера да промени поведението си в посока развитие на икономическа дейност, към която е насочена помощта, и ако тази промяна в поведението не би настъпила без помощта.</w:t>
      </w:r>
    </w:p>
    <w:p w14:paraId="39FC0D62" w14:textId="2EEC2D6B" w:rsidR="00C75792" w:rsidRDefault="007D1561" w:rsidP="00D304A1">
      <w:pPr>
        <w:pStyle w:val="ListParagraph"/>
        <w:keepLines/>
        <w:numPr>
          <w:ilvl w:val="0"/>
          <w:numId w:val="47"/>
        </w:numPr>
        <w:spacing w:before="240" w:after="120"/>
        <w:ind w:left="1281" w:hanging="357"/>
        <w:contextualSpacing w:val="0"/>
        <w:jc w:val="both"/>
        <w:rPr>
          <w:rFonts w:cs="Arial Unicode MS"/>
          <w:bCs/>
        </w:rPr>
      </w:pPr>
      <w:r>
        <w:t xml:space="preserve">Моля, обяснете как механизмът за намаляване на таксата предоставя стимули на допустимите предприятия да избягват риска от преместване на дейности извън Съюза в места, където няма правила в областта на околната среда или тези правила са по-малко амбициозни, или как предоставя стимули за насърчаване на електрификацията на производствените процеси в съответствие с точка 400 от CEEAG. </w:t>
      </w:r>
    </w:p>
    <w:p w14:paraId="6764F049" w14:textId="77777777" w:rsidR="00C75792" w:rsidRPr="008515FB" w:rsidRDefault="00C75792" w:rsidP="00E7597C">
      <w:pPr>
        <w:keepLines/>
        <w:tabs>
          <w:tab w:val="left" w:leader="dot" w:pos="9072"/>
        </w:tabs>
        <w:spacing w:before="120" w:after="120"/>
        <w:jc w:val="both"/>
      </w:pPr>
      <w:r>
        <w:t xml:space="preserve">         </w:t>
      </w:r>
      <w:r>
        <w:tab/>
      </w:r>
    </w:p>
    <w:p w14:paraId="2E62F22E" w14:textId="475DD5C9" w:rsidR="00FE59FF" w:rsidRPr="00A97DDF" w:rsidRDefault="007D1561" w:rsidP="00D304A1">
      <w:pPr>
        <w:pStyle w:val="ListParagraph"/>
        <w:keepLines/>
        <w:numPr>
          <w:ilvl w:val="0"/>
          <w:numId w:val="47"/>
        </w:numPr>
        <w:spacing w:before="240" w:after="120"/>
        <w:ind w:left="1281" w:hanging="357"/>
        <w:contextualSpacing w:val="0"/>
        <w:jc w:val="both"/>
        <w:rPr>
          <w:rFonts w:cs="Arial Unicode MS"/>
          <w:bCs/>
        </w:rPr>
      </w:pPr>
      <w:r>
        <w:t>Моля, посочете в коя част на (проекта на) правното основание е отразено това съображение.</w:t>
      </w:r>
    </w:p>
    <w:p w14:paraId="4B14AA56" w14:textId="152CDAFB" w:rsidR="00FE59FF" w:rsidRPr="00E7597C" w:rsidRDefault="00FE59FF" w:rsidP="00E7597C">
      <w:pPr>
        <w:keepLines/>
        <w:tabs>
          <w:tab w:val="left" w:leader="dot" w:pos="9072"/>
        </w:tabs>
        <w:spacing w:before="120" w:after="480"/>
        <w:ind w:left="567"/>
        <w:jc w:val="both"/>
      </w:pPr>
      <w:r>
        <w:t xml:space="preserve">      </w:t>
      </w:r>
      <w:r>
        <w:tab/>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711243" w14:paraId="66A1C06C" w14:textId="77777777" w:rsidTr="00504F2E">
        <w:tc>
          <w:tcPr>
            <w:tcW w:w="9322" w:type="dxa"/>
            <w:shd w:val="pct15" w:color="auto" w:fill="auto"/>
          </w:tcPr>
          <w:p w14:paraId="7CABD1EF" w14:textId="4D11A7A0" w:rsidR="00DE1D68" w:rsidRPr="00B418CC" w:rsidRDefault="00DE1D68" w:rsidP="00FE59FF">
            <w:pPr>
              <w:pStyle w:val="Heading1"/>
              <w:numPr>
                <w:ilvl w:val="1"/>
                <w:numId w:val="24"/>
              </w:numPr>
              <w:rPr>
                <w:sz w:val="24"/>
                <w:szCs w:val="24"/>
              </w:rPr>
            </w:pPr>
            <w:r>
              <w:rPr>
                <w:sz w:val="24"/>
              </w:rPr>
              <w:t>Ненарушаване на приложими разпоредби на правото на Съюза</w:t>
            </w:r>
          </w:p>
        </w:tc>
      </w:tr>
    </w:tbl>
    <w:p w14:paraId="665FE026" w14:textId="0459581F" w:rsidR="00DE1D68" w:rsidRDefault="00DE1D68" w:rsidP="00DE1D68">
      <w:pPr>
        <w:spacing w:before="360" w:after="120"/>
        <w:jc w:val="both"/>
        <w:rPr>
          <w:i/>
        </w:rPr>
      </w:pPr>
      <w:r>
        <w:rPr>
          <w:i/>
        </w:rPr>
        <w:t xml:space="preserve">За да предоставите информацията в настоящия раздел, моля, вижте раздел 3.1.3 (точка 33) от CEEAG. </w:t>
      </w:r>
    </w:p>
    <w:p w14:paraId="3E98C3D7" w14:textId="0DD79AFD" w:rsidR="00BE702A" w:rsidRDefault="0023543E" w:rsidP="00E7597C">
      <w:pPr>
        <w:pStyle w:val="ListParagraph"/>
        <w:keepLines/>
        <w:spacing w:before="120" w:after="120"/>
        <w:ind w:left="1287"/>
        <w:contextualSpacing w:val="0"/>
        <w:jc w:val="both"/>
        <w:rPr>
          <w:rFonts w:cs="Arial Unicode MS"/>
          <w:bCs/>
        </w:rPr>
      </w:pPr>
      <w:r>
        <w:t>Моля, представете информация, с която се потвърждава спазването на съответните разпоредби на правото на ЕС в съответствие с точка 33 от CEEAG.</w:t>
      </w:r>
    </w:p>
    <w:p w14:paraId="1E0A5288" w14:textId="77777777" w:rsidR="00A97DDF" w:rsidRDefault="00A97DDF" w:rsidP="00E7597C">
      <w:pPr>
        <w:keepLines/>
        <w:tabs>
          <w:tab w:val="left" w:leader="dot" w:pos="9072"/>
        </w:tabs>
        <w:spacing w:before="120" w:after="120"/>
        <w:ind w:left="851"/>
        <w:jc w:val="both"/>
        <w:rPr>
          <w:color w:val="000000"/>
        </w:rPr>
      </w:pPr>
      <w:r>
        <w:rPr>
          <w:color w:val="000000"/>
        </w:rPr>
        <w:tab/>
      </w:r>
    </w:p>
    <w:p w14:paraId="12BBBE61" w14:textId="6B867948" w:rsidR="00663008" w:rsidRPr="00F83660" w:rsidRDefault="008D37F9" w:rsidP="00663008">
      <w:pPr>
        <w:ind w:left="-567" w:firstLine="1412"/>
        <w:rPr>
          <w:i/>
          <w:color w:val="000000"/>
        </w:rPr>
      </w:pPr>
      <w:bookmarkStart w:id="5" w:name="_Hlk167712436"/>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1446B9C4" w14:textId="77777777" w:rsidTr="00504F2E">
        <w:tc>
          <w:tcPr>
            <w:tcW w:w="9322" w:type="dxa"/>
            <w:shd w:val="pct15" w:color="auto" w:fill="auto"/>
          </w:tcPr>
          <w:bookmarkEnd w:id="5"/>
          <w:p w14:paraId="47835452" w14:textId="1E46754C" w:rsidR="00663008" w:rsidRPr="00D304A1" w:rsidRDefault="00663008" w:rsidP="00C52CFD">
            <w:pPr>
              <w:pStyle w:val="Heading1"/>
              <w:numPr>
                <w:ilvl w:val="0"/>
                <w:numId w:val="24"/>
              </w:numPr>
              <w:rPr>
                <w:i/>
                <w:color w:val="000000"/>
                <w:sz w:val="28"/>
                <w:szCs w:val="28"/>
              </w:rPr>
            </w:pPr>
            <w:r>
              <w:rPr>
                <w:i/>
                <w:color w:val="000000"/>
                <w:sz w:val="28"/>
              </w:rPr>
              <w:t>Отрицателно условие: помощта не може да влияе неправомерно върху условията на търговия до степен, която противоречи на общия интерес</w:t>
            </w:r>
          </w:p>
        </w:tc>
      </w:tr>
    </w:tbl>
    <w:p w14:paraId="78513DDC" w14:textId="7983A86C" w:rsidR="00663008" w:rsidRPr="00F83660" w:rsidRDefault="00663008" w:rsidP="00663008">
      <w:pPr>
        <w:ind w:left="-567" w:firstLine="1412"/>
        <w:rPr>
          <w:i/>
          <w:color w:val="000000"/>
        </w:rPr>
      </w:pPr>
    </w:p>
    <w:p w14:paraId="567C40B6" w14:textId="77777777" w:rsidR="00164ADE" w:rsidRPr="00164ADE"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164ADE" w14:paraId="51499EDF" w14:textId="77777777" w:rsidTr="00504F2E">
        <w:tc>
          <w:tcPr>
            <w:tcW w:w="9322" w:type="dxa"/>
            <w:shd w:val="pct15" w:color="auto" w:fill="auto"/>
          </w:tcPr>
          <w:p w14:paraId="77CB675F" w14:textId="2F5D565E" w:rsidR="00164ADE" w:rsidRPr="00164ADE" w:rsidRDefault="00164ADE" w:rsidP="00FE59FF">
            <w:pPr>
              <w:pStyle w:val="Heading1"/>
              <w:numPr>
                <w:ilvl w:val="0"/>
                <w:numId w:val="25"/>
              </w:numPr>
              <w:jc w:val="left"/>
              <w:rPr>
                <w:i/>
                <w:color w:val="000000"/>
                <w:sz w:val="28"/>
                <w:szCs w:val="28"/>
              </w:rPr>
            </w:pPr>
            <w:r>
              <w:rPr>
                <w:i/>
                <w:color w:val="000000"/>
                <w:sz w:val="28"/>
              </w:rPr>
              <w:t xml:space="preserve">Свеждане до минимум на нарушаването на конкуренцията и търговията </w:t>
            </w:r>
          </w:p>
        </w:tc>
      </w:tr>
    </w:tbl>
    <w:p w14:paraId="1060B87E" w14:textId="77777777" w:rsidR="00164ADE" w:rsidRPr="00164ADE" w:rsidRDefault="00164ADE" w:rsidP="00164ADE">
      <w:pPr>
        <w:ind w:left="-567" w:firstLine="1412"/>
        <w:rPr>
          <w:i/>
          <w:color w:val="000000"/>
        </w:rPr>
      </w:pPr>
    </w:p>
    <w:p w14:paraId="7218929B" w14:textId="77777777" w:rsidR="00164ADE" w:rsidRPr="00F8366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863406" w14:paraId="425B1AE4" w14:textId="77777777" w:rsidTr="00504F2E">
        <w:tc>
          <w:tcPr>
            <w:tcW w:w="9322" w:type="dxa"/>
            <w:shd w:val="pct15" w:color="auto" w:fill="auto"/>
          </w:tcPr>
          <w:p w14:paraId="5FBF20D3" w14:textId="5EF01EA3" w:rsidR="00663008" w:rsidRPr="00F83660" w:rsidRDefault="00E74CAF" w:rsidP="00FE59FF">
            <w:pPr>
              <w:pStyle w:val="Heading1"/>
              <w:numPr>
                <w:ilvl w:val="1"/>
                <w:numId w:val="24"/>
              </w:numPr>
              <w:rPr>
                <w:color w:val="000000"/>
                <w:sz w:val="24"/>
                <w:szCs w:val="24"/>
              </w:rPr>
            </w:pPr>
            <w:r>
              <w:rPr>
                <w:color w:val="000000"/>
                <w:sz w:val="24"/>
              </w:rPr>
              <w:t>Необходимост от намеса с държавна помощ и целесъобразност на помощта</w:t>
            </w:r>
          </w:p>
        </w:tc>
      </w:tr>
    </w:tbl>
    <w:p w14:paraId="3C23674F" w14:textId="3EF4BD10" w:rsidR="00663008" w:rsidRPr="00F83660" w:rsidRDefault="00663008" w:rsidP="00663008">
      <w:pPr>
        <w:spacing w:before="360" w:after="120"/>
        <w:jc w:val="both"/>
        <w:rPr>
          <w:i/>
          <w:color w:val="000000"/>
        </w:rPr>
      </w:pPr>
      <w:r>
        <w:rPr>
          <w:i/>
        </w:rPr>
        <w:t>За да предоставите информацията в настоящия раздел, моля, вижте раздел 4.11.2 и точка 413 от CEEAG.</w:t>
      </w:r>
      <w:r>
        <w:rPr>
          <w:i/>
          <w:color w:val="000000"/>
        </w:rPr>
        <w:t xml:space="preserve"> </w:t>
      </w:r>
    </w:p>
    <w:p w14:paraId="2CAEA1C5" w14:textId="28295A1F" w:rsidR="00A97DDF" w:rsidRPr="00D3076E" w:rsidRDefault="00956022" w:rsidP="00E7597C">
      <w:pPr>
        <w:pStyle w:val="ListParagraph"/>
        <w:numPr>
          <w:ilvl w:val="0"/>
          <w:numId w:val="4"/>
        </w:numPr>
        <w:spacing w:before="240" w:after="120"/>
        <w:ind w:left="567" w:hanging="567"/>
        <w:contextualSpacing w:val="0"/>
        <w:jc w:val="both"/>
      </w:pPr>
      <w:r>
        <w:t xml:space="preserve">Точка 403 от CEEAG се прилага за намаленията на таксите върху потреблението на електроенергия, с които се финансират цели в областта на енергетиката и околната среда. За всяка от таксите, за които се предвижда да бъде предоставено намаление, моля, дайте пълно и подробно описание на естеството, обхвата и прилагането на таксите, като обясните как работи на практика системата на таксите (функциониране на схемата и предоставящ орган) и като посочите подробни позовавания на регулаторната рамка (правно основание). </w:t>
      </w:r>
    </w:p>
    <w:p w14:paraId="72782B48" w14:textId="77777777" w:rsidR="00A97DDF" w:rsidRDefault="00A97DDF" w:rsidP="00A97DDF">
      <w:pPr>
        <w:tabs>
          <w:tab w:val="left" w:leader="dot" w:pos="9072"/>
        </w:tabs>
        <w:spacing w:before="120" w:after="120"/>
        <w:ind w:left="851"/>
        <w:jc w:val="both"/>
        <w:rPr>
          <w:color w:val="000000"/>
        </w:rPr>
      </w:pPr>
      <w:r>
        <w:rPr>
          <w:color w:val="000000"/>
        </w:rPr>
        <w:tab/>
      </w:r>
    </w:p>
    <w:p w14:paraId="18B9CF06" w14:textId="6DBBD887" w:rsidR="00FE59FF" w:rsidRPr="009046DC" w:rsidRDefault="00FE59FF" w:rsidP="00E7597C">
      <w:pPr>
        <w:pStyle w:val="ListParagraph"/>
        <w:keepLines/>
        <w:numPr>
          <w:ilvl w:val="0"/>
          <w:numId w:val="34"/>
        </w:numPr>
        <w:spacing w:before="120" w:after="120"/>
        <w:contextualSpacing w:val="0"/>
        <w:jc w:val="both"/>
      </w:pPr>
      <w:r>
        <w:t>По-специално, моля, посочете информация за следните елементи:</w:t>
      </w:r>
    </w:p>
    <w:p w14:paraId="28606A54" w14:textId="230F4406" w:rsidR="00A97DDF" w:rsidRPr="00A97DDF" w:rsidRDefault="00B54E5F" w:rsidP="00B54E5F">
      <w:pPr>
        <w:pStyle w:val="ListParagraph"/>
        <w:keepLines/>
        <w:spacing w:before="240" w:after="120"/>
        <w:ind w:left="2001" w:hanging="354"/>
        <w:contextualSpacing w:val="0"/>
        <w:jc w:val="both"/>
        <w:rPr>
          <w:rFonts w:cs="Arial Unicode MS"/>
          <w:bCs/>
        </w:rPr>
      </w:pPr>
      <w:r>
        <w:t>а.</w:t>
      </w:r>
      <w:r>
        <w:tab/>
      </w:r>
      <w:r w:rsidR="00FE59FF">
        <w:t>целта на всяка такса (обяснение на начина, по който се използват приходите, получени от всяка такса);</w:t>
      </w:r>
    </w:p>
    <w:p w14:paraId="3E421772" w14:textId="02259217" w:rsidR="00A97DDF" w:rsidRPr="009046DC" w:rsidRDefault="00A97DDF" w:rsidP="009046DC">
      <w:pPr>
        <w:tabs>
          <w:tab w:val="left" w:leader="dot" w:pos="9072"/>
        </w:tabs>
        <w:spacing w:before="120" w:after="120"/>
        <w:ind w:left="851"/>
        <w:jc w:val="both"/>
        <w:rPr>
          <w:color w:val="000000"/>
        </w:rPr>
      </w:pPr>
      <w:r>
        <w:rPr>
          <w:color w:val="000000"/>
        </w:rPr>
        <w:tab/>
      </w:r>
    </w:p>
    <w:p w14:paraId="5C8C4521" w14:textId="5FAD2E51" w:rsidR="00A97DDF" w:rsidRPr="00A97DDF" w:rsidRDefault="00B54E5F" w:rsidP="00B54E5F">
      <w:pPr>
        <w:pStyle w:val="ListParagraph"/>
        <w:keepLines/>
        <w:spacing w:before="240" w:after="120"/>
        <w:ind w:left="2001" w:hanging="354"/>
        <w:contextualSpacing w:val="0"/>
        <w:jc w:val="both"/>
        <w:rPr>
          <w:rFonts w:cs="Arial Unicode MS"/>
          <w:bCs/>
        </w:rPr>
      </w:pPr>
      <w:r>
        <w:t>б.</w:t>
      </w:r>
      <w:r>
        <w:tab/>
      </w:r>
      <w:r w:rsidR="00FE59FF">
        <w:t>как и на кого се начислява таксата; каква е основата, върху която се начислява таксата, за дадено предприятие; методиката за изчисляване на ставката на таксата; дали, защо и как се прилагат различни ставки на таксите за цялата облагаема основа; колко често и на каква основа се преразглежда ставката на таксата;</w:t>
      </w:r>
    </w:p>
    <w:p w14:paraId="3D06ECCA" w14:textId="77777777" w:rsidR="00A97DDF" w:rsidRDefault="00A97DDF" w:rsidP="00E7597C">
      <w:pPr>
        <w:keepLines/>
        <w:tabs>
          <w:tab w:val="left" w:leader="dot" w:pos="9072"/>
        </w:tabs>
        <w:spacing w:before="120" w:after="120"/>
        <w:ind w:left="851"/>
        <w:jc w:val="both"/>
        <w:rPr>
          <w:color w:val="000000"/>
        </w:rPr>
      </w:pPr>
      <w:r>
        <w:rPr>
          <w:color w:val="000000"/>
        </w:rPr>
        <w:tab/>
      </w:r>
    </w:p>
    <w:p w14:paraId="4CA16BA7" w14:textId="554F7D2B" w:rsidR="008B1377" w:rsidRPr="008B1377" w:rsidRDefault="00B54E5F" w:rsidP="00B54E5F">
      <w:pPr>
        <w:pStyle w:val="ListParagraph"/>
        <w:keepLines/>
        <w:spacing w:before="240" w:after="120"/>
        <w:ind w:left="2001" w:hanging="354"/>
        <w:contextualSpacing w:val="0"/>
        <w:jc w:val="both"/>
        <w:rPr>
          <w:rFonts w:cs="Arial Unicode MS"/>
          <w:bCs/>
        </w:rPr>
      </w:pPr>
      <w:r>
        <w:t>в.</w:t>
      </w:r>
      <w:r>
        <w:tab/>
      </w:r>
      <w:r w:rsidR="000E669F">
        <w:t xml:space="preserve">опишете различните субекти, участващи в определянето и преразглеждането на таксата, както и тези, които участват в събирането и управляването на приходите, събрани чрез таксата;    </w:t>
      </w:r>
    </w:p>
    <w:p w14:paraId="67ABBA8F" w14:textId="77777777" w:rsidR="008B1377" w:rsidRDefault="008B1377" w:rsidP="00E7597C">
      <w:pPr>
        <w:keepLines/>
        <w:tabs>
          <w:tab w:val="left" w:leader="dot" w:pos="9072"/>
        </w:tabs>
        <w:spacing w:before="120" w:after="120"/>
        <w:ind w:left="851"/>
        <w:jc w:val="both"/>
        <w:rPr>
          <w:color w:val="000000"/>
        </w:rPr>
      </w:pPr>
      <w:r>
        <w:rPr>
          <w:color w:val="000000"/>
        </w:rPr>
        <w:tab/>
      </w:r>
    </w:p>
    <w:p w14:paraId="60EB7862" w14:textId="57CF0EA1" w:rsidR="00A97DDF" w:rsidRPr="00A97DDF" w:rsidRDefault="00B54E5F" w:rsidP="00B54E5F">
      <w:pPr>
        <w:pStyle w:val="ListParagraph"/>
        <w:keepLines/>
        <w:spacing w:before="120" w:after="120"/>
        <w:ind w:left="2001" w:hanging="354"/>
        <w:contextualSpacing w:val="0"/>
        <w:jc w:val="both"/>
        <w:rPr>
          <w:rFonts w:cs="Arial Unicode MS"/>
          <w:bCs/>
        </w:rPr>
      </w:pPr>
      <w:r>
        <w:t>г.</w:t>
      </w:r>
      <w:r>
        <w:tab/>
      </w:r>
      <w:r w:rsidR="008B1377">
        <w:t>опишете как функционират събирането на таксите и системата за преразпределяне;</w:t>
      </w:r>
    </w:p>
    <w:p w14:paraId="6459F489" w14:textId="54827983" w:rsidR="00A97DDF" w:rsidRPr="009046DC" w:rsidRDefault="00A97DDF" w:rsidP="00E7597C">
      <w:pPr>
        <w:keepLines/>
        <w:tabs>
          <w:tab w:val="left" w:leader="dot" w:pos="9072"/>
        </w:tabs>
        <w:spacing w:before="120" w:after="120"/>
        <w:ind w:left="851"/>
        <w:jc w:val="both"/>
        <w:rPr>
          <w:color w:val="000000"/>
        </w:rPr>
      </w:pPr>
      <w:r>
        <w:rPr>
          <w:color w:val="000000"/>
        </w:rPr>
        <w:tab/>
      </w:r>
    </w:p>
    <w:p w14:paraId="0A0299DC" w14:textId="4C16B3DD" w:rsidR="00FE59FF" w:rsidRPr="00A97DDF" w:rsidRDefault="00B54E5F" w:rsidP="00B54E5F">
      <w:pPr>
        <w:pStyle w:val="ListParagraph"/>
        <w:keepLines/>
        <w:spacing w:before="120" w:after="120"/>
        <w:ind w:left="2001" w:hanging="354"/>
        <w:contextualSpacing w:val="0"/>
        <w:jc w:val="both"/>
        <w:rPr>
          <w:rFonts w:cs="Arial Unicode MS"/>
          <w:bCs/>
        </w:rPr>
      </w:pPr>
      <w:r>
        <w:lastRenderedPageBreak/>
        <w:t>д.</w:t>
      </w:r>
      <w:r>
        <w:tab/>
      </w:r>
      <w:r w:rsidR="000E669F">
        <w:t>посочете последните годишни данни за прилаганите ставки на таксите и за общия размер на събраните приходи. Ако има такива, моля, представете прогнози за бъдещето;</w:t>
      </w:r>
    </w:p>
    <w:p w14:paraId="373FD785" w14:textId="77777777" w:rsidR="00A97DDF" w:rsidRDefault="00A97DDF" w:rsidP="00E7597C">
      <w:pPr>
        <w:keepLines/>
        <w:tabs>
          <w:tab w:val="left" w:leader="dot" w:pos="9072"/>
        </w:tabs>
        <w:spacing w:before="120" w:after="120"/>
        <w:ind w:left="851"/>
        <w:jc w:val="both"/>
        <w:rPr>
          <w:color w:val="000000"/>
        </w:rPr>
      </w:pPr>
      <w:r>
        <w:rPr>
          <w:color w:val="000000"/>
        </w:rPr>
        <w:tab/>
      </w:r>
    </w:p>
    <w:p w14:paraId="73CE45E6" w14:textId="3DC2748B" w:rsidR="00192CAA" w:rsidRDefault="00956022" w:rsidP="004F64BC">
      <w:pPr>
        <w:pStyle w:val="ListParagraph"/>
        <w:keepNext/>
        <w:numPr>
          <w:ilvl w:val="0"/>
          <w:numId w:val="4"/>
        </w:numPr>
        <w:spacing w:before="240" w:after="120"/>
        <w:ind w:left="567" w:hanging="567"/>
        <w:contextualSpacing w:val="0"/>
        <w:jc w:val="both"/>
      </w:pPr>
      <w:r>
        <w:t>в точка 404 от CEEAG се посочва, че държавите членки трябва да включват всички намаления на потенциално множество такси върху електроенергията за енергоемки потребители в единствена схема и да информират Комисията за кумулативния ефект на всички допустими такси и всички предложени намаления.</w:t>
      </w:r>
    </w:p>
    <w:p w14:paraId="3EF0E8A7" w14:textId="542E1B2A" w:rsidR="008D467D" w:rsidRDefault="00937DCD" w:rsidP="00E7597C">
      <w:pPr>
        <w:pStyle w:val="ListParagraph"/>
        <w:keepLines/>
        <w:numPr>
          <w:ilvl w:val="0"/>
          <w:numId w:val="43"/>
        </w:numPr>
        <w:spacing w:before="120" w:after="120"/>
        <w:contextualSpacing w:val="0"/>
        <w:jc w:val="both"/>
      </w:pPr>
      <w:r>
        <w:t xml:space="preserve">Моля, потвърдете, че всички намаления на таксите, които ще бъдат предоставени въз основа на раздел 4.11 от CEEAG, са обхванати от мярката, за която е отправено уведомление, и че евентуалните бъдещи намаления на таксите, различни от обхванатите, ще бъдат съобщени чрез изменение на мярката, предмет на уведомлението. </w:t>
      </w:r>
    </w:p>
    <w:p w14:paraId="5D95920A" w14:textId="71C4C3A1" w:rsidR="008D467D" w:rsidRPr="00C01760" w:rsidRDefault="008D467D" w:rsidP="00E7597C">
      <w:pPr>
        <w:keepLines/>
        <w:tabs>
          <w:tab w:val="left" w:leader="dot" w:pos="9072"/>
        </w:tabs>
        <w:spacing w:before="120" w:after="120"/>
        <w:ind w:left="851"/>
        <w:jc w:val="both"/>
        <w:rPr>
          <w:color w:val="000000"/>
        </w:rPr>
      </w:pPr>
      <w:r>
        <w:rPr>
          <w:color w:val="000000"/>
        </w:rPr>
        <w:tab/>
      </w:r>
    </w:p>
    <w:p w14:paraId="359D41E7" w14:textId="10C378E6" w:rsidR="008D467D" w:rsidRDefault="00937DCD" w:rsidP="00E7597C">
      <w:pPr>
        <w:pStyle w:val="ListParagraph"/>
        <w:keepLines/>
        <w:numPr>
          <w:ilvl w:val="0"/>
          <w:numId w:val="43"/>
        </w:numPr>
        <w:spacing w:before="120" w:after="120"/>
        <w:contextualSpacing w:val="0"/>
        <w:jc w:val="both"/>
      </w:pPr>
      <w:r>
        <w:t>Въз основа на последните години и възможните прогнози, моля, представете информация за кумулативния ефект на всички съответни такси (както в абсолютно, така и в относително изражение, в сравнение с общите разходи за електроенергия и общите налози, такси и данъци върху електроенергията) и на съответните намаления за бенефициерите по схемата, предмет на уведомление.</w:t>
      </w:r>
    </w:p>
    <w:p w14:paraId="3692203F" w14:textId="3E761774" w:rsidR="008D467D" w:rsidRPr="00C01760" w:rsidRDefault="008D467D" w:rsidP="00E7597C">
      <w:pPr>
        <w:keepLines/>
        <w:tabs>
          <w:tab w:val="left" w:leader="dot" w:pos="9072"/>
        </w:tabs>
        <w:spacing w:before="120" w:after="120"/>
        <w:ind w:left="851"/>
        <w:jc w:val="both"/>
        <w:rPr>
          <w:color w:val="000000"/>
        </w:rPr>
      </w:pPr>
      <w:r>
        <w:rPr>
          <w:color w:val="000000"/>
        </w:rPr>
        <w:tab/>
      </w:r>
    </w:p>
    <w:p w14:paraId="721817A7" w14:textId="467BA461" w:rsidR="00855B10" w:rsidRPr="00855B10" w:rsidRDefault="00276E40" w:rsidP="00E7597C">
      <w:pPr>
        <w:pStyle w:val="ListParagraph"/>
        <w:numPr>
          <w:ilvl w:val="0"/>
          <w:numId w:val="4"/>
        </w:numPr>
        <w:spacing w:before="240" w:after="120"/>
        <w:ind w:left="567" w:hanging="567"/>
        <w:contextualSpacing w:val="0"/>
        <w:jc w:val="both"/>
      </w:pPr>
      <w:r>
        <w:t xml:space="preserve">Моля, опишете дали помощта по мярката, за която е отправено уведомление, ще бъде под формата на предварително намаление на таксите, последваща сума за компенсация (възстановяване) или комбинация от двете. Моля, посочете в отговора си конкретни позовавания на (проекта на) правното основание (напр. член 7, параграф 3). </w:t>
      </w:r>
    </w:p>
    <w:p w14:paraId="21504F4B" w14:textId="77777777" w:rsidR="00855B10" w:rsidRDefault="00855B10" w:rsidP="00855B10">
      <w:pPr>
        <w:tabs>
          <w:tab w:val="left" w:leader="dot" w:pos="9072"/>
        </w:tabs>
        <w:spacing w:before="120" w:after="120"/>
        <w:ind w:left="851"/>
        <w:jc w:val="both"/>
        <w:rPr>
          <w:color w:val="000000"/>
        </w:rPr>
      </w:pPr>
      <w:r>
        <w:rPr>
          <w:color w:val="000000"/>
        </w:rPr>
        <w:tab/>
      </w:r>
    </w:p>
    <w:p w14:paraId="2A380F03" w14:textId="0D5BB75C" w:rsidR="00855B10" w:rsidRPr="00855B10" w:rsidRDefault="00AB606C" w:rsidP="00855B10">
      <w:pPr>
        <w:pStyle w:val="ListParagraph"/>
        <w:numPr>
          <w:ilvl w:val="0"/>
          <w:numId w:val="51"/>
        </w:numPr>
        <w:spacing w:before="120" w:after="120"/>
        <w:contextualSpacing w:val="0"/>
        <w:jc w:val="both"/>
      </w:pPr>
      <w:r>
        <w:t>Съгласно точка 413 от CEEAG, ако помощта се предоставя под формата на намаление на таксите, моля, потвърдете:</w:t>
      </w:r>
    </w:p>
    <w:p w14:paraId="34DF0A0F" w14:textId="4492A5B0" w:rsidR="00855B10" w:rsidRPr="00855B10" w:rsidRDefault="00B54E5F" w:rsidP="00B54E5F">
      <w:pPr>
        <w:pStyle w:val="ListParagraph"/>
        <w:keepLines/>
        <w:spacing w:before="240" w:after="120"/>
        <w:ind w:left="1800"/>
        <w:contextualSpacing w:val="0"/>
        <w:jc w:val="both"/>
      </w:pPr>
      <w:r>
        <w:t>а.</w:t>
      </w:r>
      <w:r>
        <w:tab/>
      </w:r>
      <w:r w:rsidR="00855B10">
        <w:t>че е въведен механизъм за последващ контрол;</w:t>
      </w:r>
    </w:p>
    <w:p w14:paraId="6B91C21B" w14:textId="77777777" w:rsidR="00855B10" w:rsidRDefault="00855B10" w:rsidP="005A4E16">
      <w:pPr>
        <w:keepLines/>
        <w:tabs>
          <w:tab w:val="left" w:leader="dot" w:pos="9072"/>
        </w:tabs>
        <w:spacing w:before="120" w:after="120"/>
        <w:ind w:left="851"/>
        <w:jc w:val="both"/>
        <w:rPr>
          <w:color w:val="000000"/>
        </w:rPr>
      </w:pPr>
      <w:r>
        <w:rPr>
          <w:color w:val="000000"/>
        </w:rPr>
        <w:tab/>
      </w:r>
    </w:p>
    <w:p w14:paraId="51D06BC9" w14:textId="628BC6D1" w:rsidR="00855B10" w:rsidRPr="00E80F06" w:rsidRDefault="00B54E5F" w:rsidP="00B54E5F">
      <w:pPr>
        <w:pStyle w:val="ListParagraph"/>
        <w:keepLines/>
        <w:spacing w:before="240" w:after="120"/>
        <w:ind w:left="2160" w:hanging="360"/>
        <w:contextualSpacing w:val="0"/>
        <w:jc w:val="both"/>
      </w:pPr>
      <w:r>
        <w:t>б.</w:t>
      </w:r>
      <w:r>
        <w:tab/>
      </w:r>
      <w:r w:rsidR="00855B10">
        <w:t>и че всяка надплатена помощ ще бъде възстановена преди 1 юли следващата година. Посочете къде тази информация може да бъде намерена в (проекта на) правното основание.</w:t>
      </w:r>
    </w:p>
    <w:p w14:paraId="43A4C207" w14:textId="77777777" w:rsidR="00855B10" w:rsidRDefault="00855B10" w:rsidP="00855B10">
      <w:pPr>
        <w:tabs>
          <w:tab w:val="left" w:leader="dot" w:pos="9072"/>
        </w:tabs>
        <w:spacing w:before="120" w:after="120"/>
        <w:ind w:left="851"/>
        <w:jc w:val="both"/>
        <w:rPr>
          <w:color w:val="000000"/>
        </w:rPr>
      </w:pPr>
      <w:r>
        <w:rPr>
          <w:color w:val="000000"/>
        </w:rPr>
        <w:tab/>
      </w:r>
    </w:p>
    <w:p w14:paraId="0A9FE732" w14:textId="200050F6" w:rsidR="00855B10" w:rsidRDefault="00AB606C" w:rsidP="008D467D">
      <w:pPr>
        <w:pStyle w:val="ListParagraph"/>
        <w:numPr>
          <w:ilvl w:val="0"/>
          <w:numId w:val="51"/>
        </w:numPr>
        <w:spacing w:before="120" w:after="120"/>
        <w:contextualSpacing w:val="0"/>
        <w:jc w:val="both"/>
      </w:pPr>
      <w:r>
        <w:t>Съгласно последното изречение на точка 413 от CEEAG, ако помощта се отпуска под формата на възстановяване на суми, моля, потвърдете, че тя е изчислена на базата на наблюдаваните нива на потребление на електроенергия и ако е приложимо, брутната добавена стойност за периода, през който са били прилагани допустимите такси.</w:t>
      </w:r>
    </w:p>
    <w:p w14:paraId="1EE9F9B1" w14:textId="1163DE99" w:rsidR="001759B4" w:rsidRDefault="00FB40DF" w:rsidP="00D304A1">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74034" w:rsidRPr="00E74034" w14:paraId="5D33B982" w14:textId="77777777" w:rsidTr="00C041E3">
        <w:tc>
          <w:tcPr>
            <w:tcW w:w="9322" w:type="dxa"/>
            <w:shd w:val="pct15" w:color="auto" w:fill="auto"/>
          </w:tcPr>
          <w:p w14:paraId="0CE58BE0" w14:textId="0013DD30" w:rsidR="00AB322D" w:rsidRPr="00E74034" w:rsidRDefault="00AB322D" w:rsidP="003C1D16">
            <w:pPr>
              <w:pStyle w:val="Heading1"/>
              <w:numPr>
                <w:ilvl w:val="1"/>
                <w:numId w:val="24"/>
              </w:numPr>
              <w:rPr>
                <w:sz w:val="24"/>
                <w:szCs w:val="24"/>
              </w:rPr>
            </w:pPr>
            <w:r>
              <w:rPr>
                <w:sz w:val="24"/>
              </w:rPr>
              <w:lastRenderedPageBreak/>
              <w:t>Допустимост</w:t>
            </w:r>
          </w:p>
        </w:tc>
      </w:tr>
    </w:tbl>
    <w:p w14:paraId="2460A5B7" w14:textId="139EC6FA" w:rsidR="00AB322D" w:rsidRPr="00E74034" w:rsidRDefault="00AB322D" w:rsidP="00AB322D">
      <w:pPr>
        <w:spacing w:before="360" w:after="120"/>
        <w:jc w:val="both"/>
        <w:rPr>
          <w:i/>
        </w:rPr>
      </w:pPr>
      <w:r>
        <w:rPr>
          <w:i/>
        </w:rPr>
        <w:t xml:space="preserve">За да предоставите информацията в настоящия раздел, моля, вижте раздел 4.11.3.1 (точки 405—407) от CEEAG. </w:t>
      </w:r>
    </w:p>
    <w:p w14:paraId="70D92710" w14:textId="06DE4555" w:rsidR="00937DCD" w:rsidRDefault="00956022" w:rsidP="005A4E16">
      <w:pPr>
        <w:pStyle w:val="ListParagraph"/>
        <w:numPr>
          <w:ilvl w:val="0"/>
          <w:numId w:val="4"/>
        </w:numPr>
        <w:spacing w:before="240" w:after="120"/>
        <w:ind w:left="567" w:hanging="567"/>
        <w:contextualSpacing w:val="0"/>
        <w:jc w:val="both"/>
      </w:pPr>
      <w:r>
        <w:t xml:space="preserve">В точка 405 от CEEAG енергоемките сектори се определят като „изложени на значителен риск“ (буква а) и като „изложени на риск“ (буква б). За да се провери съответствието с точка 405 от CEEAG, моля, потвърдете, че всички допустими енергоемки сектори, които са „изложени на риск“ и „изложени на значителен риск“, по мярката, предмет на уведомление, са изброени в съответните части на приложение I към CEEAG, и представете в приложение към настоящия формуляр списъците на секторите по NACE 4, които са „изложени на риск“ и „изложени на значителен риск“ и са допустими за помощ по мярката, като посочите къде тази информация може да бъде намерена в (проекта на) правното основание (напр. член 7, параграф 3). </w:t>
      </w:r>
    </w:p>
    <w:p w14:paraId="2751C082" w14:textId="050092BF" w:rsidR="00E74034" w:rsidRDefault="00FB40DF" w:rsidP="00FB40DF">
      <w:pPr>
        <w:tabs>
          <w:tab w:val="left" w:leader="dot" w:pos="9072"/>
        </w:tabs>
        <w:spacing w:before="120" w:after="120"/>
        <w:ind w:left="567"/>
        <w:jc w:val="both"/>
      </w:pPr>
      <w:r>
        <w:tab/>
      </w:r>
    </w:p>
    <w:p w14:paraId="7727941F" w14:textId="5C30D555" w:rsidR="00937DCD" w:rsidRDefault="00956022" w:rsidP="005A4E16">
      <w:pPr>
        <w:numPr>
          <w:ilvl w:val="0"/>
          <w:numId w:val="4"/>
        </w:numPr>
        <w:spacing w:before="240"/>
        <w:ind w:left="567" w:hanging="567"/>
        <w:jc w:val="both"/>
      </w:pPr>
      <w:bookmarkStart w:id="6" w:name="_Ref115364281"/>
      <w:bookmarkEnd w:id="6"/>
      <w:r>
        <w:t>В точка 406 от CEEAG се посочва, че сектор или подсектор</w:t>
      </w:r>
      <w:r w:rsidR="00470AF2" w:rsidRPr="00470AF2">
        <w:rPr>
          <w:vertAlign w:val="superscript"/>
        </w:rPr>
        <w:footnoteReference w:id="5"/>
      </w:r>
      <w:r>
        <w:t>, който не е включен в приложение I към CEEAG, също се счита за допустим, при условие че отговаря на критериите за допустимост по точка 405. Ако помощта по мярката, предмет на уведомление, е предназначена да бъде предоставена и на сектори и/или подсектори, които не са включени в приложение I към CEEAG, моля:</w:t>
      </w:r>
    </w:p>
    <w:p w14:paraId="40365CAC" w14:textId="4F4AC967" w:rsidR="00937DCD" w:rsidRDefault="00470AF2" w:rsidP="005A4E16">
      <w:pPr>
        <w:pStyle w:val="ListParagraph"/>
        <w:keepLines/>
        <w:numPr>
          <w:ilvl w:val="0"/>
          <w:numId w:val="53"/>
        </w:numPr>
        <w:spacing w:before="240" w:after="120"/>
        <w:ind w:left="1434" w:hanging="357"/>
        <w:contextualSpacing w:val="0"/>
        <w:jc w:val="both"/>
      </w:pPr>
      <w:r>
        <w:t>докажете съответствие с методиката по точка 405 от CEEAG за всеки (под)сектор;</w:t>
      </w:r>
    </w:p>
    <w:p w14:paraId="0210FFCF" w14:textId="77777777" w:rsidR="00937DCD" w:rsidRDefault="00937DCD" w:rsidP="005A4E16">
      <w:pPr>
        <w:keepLines/>
        <w:tabs>
          <w:tab w:val="left" w:leader="dot" w:pos="9072"/>
        </w:tabs>
        <w:spacing w:before="120" w:after="120"/>
        <w:ind w:left="567"/>
        <w:jc w:val="both"/>
      </w:pPr>
      <w:r>
        <w:tab/>
      </w:r>
    </w:p>
    <w:p w14:paraId="4B0E33A6" w14:textId="447B7825" w:rsidR="00A151E7" w:rsidRDefault="00A151E7" w:rsidP="005A4E16">
      <w:pPr>
        <w:pStyle w:val="ListParagraph"/>
        <w:keepLines/>
        <w:numPr>
          <w:ilvl w:val="0"/>
          <w:numId w:val="53"/>
        </w:numPr>
        <w:spacing w:before="240" w:after="120"/>
        <w:ind w:left="1434" w:hanging="357"/>
        <w:contextualSpacing w:val="0"/>
        <w:jc w:val="both"/>
      </w:pPr>
      <w:r>
        <w:t>представете в приложение към настоящия формуляр данни, които са представителни за сектора или подсектора на равнището на Съюза</w:t>
      </w:r>
      <w:r w:rsidR="00470AF2" w:rsidRPr="00470AF2">
        <w:rPr>
          <w:vertAlign w:val="superscript"/>
        </w:rPr>
        <w:footnoteReference w:id="6"/>
      </w:r>
      <w:r>
        <w:t>, проверени от независим експерт и основани на период от най-малко три последователни години, започващ не по-рано от 2013 г.</w:t>
      </w:r>
    </w:p>
    <w:p w14:paraId="2C64E76A" w14:textId="0C04D59A" w:rsidR="00A151E7" w:rsidRDefault="00A151E7" w:rsidP="005A4E16">
      <w:pPr>
        <w:keepLines/>
        <w:tabs>
          <w:tab w:val="left" w:leader="dot" w:pos="9072"/>
        </w:tabs>
        <w:spacing w:before="120" w:after="120"/>
        <w:ind w:left="567"/>
        <w:jc w:val="both"/>
      </w:pPr>
      <w:r>
        <w:tab/>
      </w:r>
    </w:p>
    <w:p w14:paraId="1310973F" w14:textId="3C282345" w:rsidR="00D72037" w:rsidRDefault="00D72037" w:rsidP="005A4E16">
      <w:pPr>
        <w:numPr>
          <w:ilvl w:val="0"/>
          <w:numId w:val="4"/>
        </w:numPr>
        <w:spacing w:before="240"/>
        <w:ind w:left="567" w:hanging="567"/>
        <w:jc w:val="both"/>
      </w:pPr>
      <w:r>
        <w:t>Моля, опишете как кандидатите ще трябва да докажат, че извършват дейност в допустим сектор, като посочите къде тази информация може да бъде намерена в (проекта на) правното основание (напр. член 7, параграф 3).</w:t>
      </w:r>
    </w:p>
    <w:p w14:paraId="18045DDF" w14:textId="77777777" w:rsidR="00D72037" w:rsidRDefault="00D72037" w:rsidP="00D72037">
      <w:pPr>
        <w:tabs>
          <w:tab w:val="left" w:leader="dot" w:pos="9072"/>
        </w:tabs>
        <w:spacing w:before="120" w:after="120"/>
        <w:ind w:left="567"/>
        <w:jc w:val="both"/>
      </w:pPr>
      <w:r>
        <w:tab/>
      </w:r>
    </w:p>
    <w:p w14:paraId="03B7A5AC" w14:textId="5C5AED3B" w:rsidR="00937DCD" w:rsidRDefault="00A151E7" w:rsidP="005A4E16">
      <w:pPr>
        <w:numPr>
          <w:ilvl w:val="0"/>
          <w:numId w:val="4"/>
        </w:numPr>
        <w:spacing w:before="240"/>
        <w:ind w:left="567" w:hanging="567"/>
        <w:jc w:val="both"/>
      </w:pPr>
      <w:r>
        <w:t xml:space="preserve">Моля, избройте всички други условия за допустимост за помощ по мярката, предмет на уведомление, като посочите къде тази информация може да бъде намерена в правното основание (напр. член 7, параграф 3). По-специално, моля, обяснете а) дали са изключени бенефициерите или (под)секторите, които по принцип са допустими съгласно приложение I към CEEAG, б) дали има </w:t>
      </w:r>
      <w:r>
        <w:lastRenderedPageBreak/>
        <w:t xml:space="preserve">допълнителни критерии за допустимост, които ще се прилагат и не са посочени в раздел 4.11 от CEEAG, или в) дали са предвидени различни намаления на таксите за бенефициерите от една и съща категория. </w:t>
      </w:r>
    </w:p>
    <w:p w14:paraId="3D4B0F01" w14:textId="77777777" w:rsidR="00937DCD" w:rsidRDefault="00937DCD" w:rsidP="00937DCD">
      <w:pPr>
        <w:tabs>
          <w:tab w:val="left" w:leader="dot" w:pos="9072"/>
        </w:tabs>
        <w:spacing w:before="120" w:after="120"/>
        <w:jc w:val="both"/>
      </w:pPr>
      <w:r>
        <w:t xml:space="preserve">         </w:t>
      </w:r>
      <w:r>
        <w:tab/>
      </w:r>
    </w:p>
    <w:p w14:paraId="3D5A8825" w14:textId="6DB93F77" w:rsidR="00A151E7" w:rsidRDefault="00A151E7" w:rsidP="005A4E16">
      <w:pPr>
        <w:numPr>
          <w:ilvl w:val="0"/>
          <w:numId w:val="4"/>
        </w:numPr>
        <w:spacing w:before="240"/>
        <w:ind w:left="567" w:hanging="567"/>
        <w:jc w:val="both"/>
      </w:pPr>
      <w:r>
        <w:t>В съответствие с точка 407 от CEEAG е възможно да се ограничат допълнително допустимите бенефициери по мярката. Ако случаят е такъв, моля, обяснете за всяко такова допълнително условие за допустимост логиката, на която то се опира, и докажете, че i) съответното условие се основава на обективни, недискриминационни и прозрачни критерии и че ii) по принцип помощта се отпуска по един и същ начин за всички допустими бенефициери в един и същ сектор, ако те се намират в сходно фактическо положение.</w:t>
      </w:r>
    </w:p>
    <w:p w14:paraId="48E66AD1" w14:textId="4EAD5AB0" w:rsidR="00937DCD" w:rsidRDefault="00A151E7" w:rsidP="00D304A1">
      <w:pPr>
        <w:tabs>
          <w:tab w:val="left" w:leader="dot" w:pos="9072"/>
        </w:tabs>
        <w:spacing w:before="120" w:after="360"/>
        <w:jc w:val="both"/>
      </w:pPr>
      <w:r>
        <w:t xml:space="preserve">         </w:t>
      </w: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FC6878" w14:paraId="6548EFF5" w14:textId="77777777" w:rsidTr="00504F2E">
        <w:tc>
          <w:tcPr>
            <w:tcW w:w="9322" w:type="dxa"/>
            <w:shd w:val="pct15" w:color="auto" w:fill="auto"/>
          </w:tcPr>
          <w:p w14:paraId="3EB94997" w14:textId="3DBAF8C5" w:rsidR="00863406" w:rsidRPr="00FC6878" w:rsidRDefault="00970EF3" w:rsidP="005A4E16">
            <w:pPr>
              <w:pStyle w:val="Heading1"/>
              <w:keepNext/>
              <w:keepLines/>
              <w:numPr>
                <w:ilvl w:val="1"/>
                <w:numId w:val="24"/>
              </w:numPr>
              <w:ind w:left="1560" w:hanging="480"/>
              <w:jc w:val="left"/>
              <w:rPr>
                <w:sz w:val="24"/>
                <w:szCs w:val="24"/>
              </w:rPr>
            </w:pPr>
            <w:r>
              <w:rPr>
                <w:sz w:val="24"/>
              </w:rPr>
              <w:t>Пропорционалност на помощта (ограничаване на помощта до минимума, необходим за постигането на нейната цел), включително натрупване с друга помощ</w:t>
            </w:r>
          </w:p>
        </w:tc>
      </w:tr>
    </w:tbl>
    <w:p w14:paraId="12694CEF" w14:textId="77777777" w:rsidR="006F256F" w:rsidRPr="00863406" w:rsidRDefault="006F256F" w:rsidP="005A4E16">
      <w:pPr>
        <w:keepNext/>
        <w:keepLines/>
        <w:ind w:left="-567" w:firstLine="1412"/>
        <w:rPr>
          <w:i/>
          <w:color w:val="000000"/>
        </w:rPr>
      </w:pPr>
    </w:p>
    <w:p w14:paraId="4FA200E6" w14:textId="77777777" w:rsidR="001620DB" w:rsidRPr="00863406" w:rsidRDefault="001620DB" w:rsidP="005A4E16">
      <w:pPr>
        <w:keepNext/>
        <w:keepLines/>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FC6878" w14:paraId="1FE953DC" w14:textId="77777777" w:rsidTr="001D69A5">
        <w:tc>
          <w:tcPr>
            <w:tcW w:w="9322" w:type="dxa"/>
            <w:shd w:val="pct15" w:color="auto" w:fill="auto"/>
          </w:tcPr>
          <w:p w14:paraId="150946AF" w14:textId="2D280B55" w:rsidR="001620DB" w:rsidRPr="00FC6878" w:rsidRDefault="001620DB" w:rsidP="005A4E16">
            <w:pPr>
              <w:pStyle w:val="Heading1"/>
              <w:keepNext/>
              <w:keepLines/>
              <w:numPr>
                <w:ilvl w:val="2"/>
                <w:numId w:val="24"/>
              </w:numPr>
              <w:rPr>
                <w:sz w:val="24"/>
                <w:szCs w:val="24"/>
              </w:rPr>
            </w:pPr>
            <w:r>
              <w:rPr>
                <w:sz w:val="24"/>
              </w:rPr>
              <w:t xml:space="preserve">Пропорционалност на помощта </w:t>
            </w:r>
          </w:p>
        </w:tc>
      </w:tr>
    </w:tbl>
    <w:p w14:paraId="0190ED95" w14:textId="602AD107" w:rsidR="001620DB" w:rsidRDefault="00BF71F6" w:rsidP="005A4E16">
      <w:pPr>
        <w:pStyle w:val="ListParagraph"/>
        <w:keepNext/>
        <w:keepLines/>
        <w:spacing w:before="120" w:after="120"/>
        <w:ind w:left="567"/>
        <w:contextualSpacing w:val="0"/>
        <w:jc w:val="both"/>
        <w:rPr>
          <w:i/>
        </w:rPr>
      </w:pPr>
      <w:r>
        <w:rPr>
          <w:i/>
        </w:rPr>
        <w:t>За да предоставите информацията в настоящия раздел, моля, вижте раздел 4.11.3.2 и точка 407 от CEEAG.</w:t>
      </w:r>
    </w:p>
    <w:p w14:paraId="0CBF90E1" w14:textId="306749D7" w:rsidR="00B06A84" w:rsidRDefault="00644950" w:rsidP="005A4E16">
      <w:pPr>
        <w:numPr>
          <w:ilvl w:val="0"/>
          <w:numId w:val="4"/>
        </w:numPr>
        <w:spacing w:before="240"/>
        <w:ind w:left="567" w:hanging="567"/>
        <w:jc w:val="both"/>
      </w:pPr>
      <w:r>
        <w:t>За да се докаже съответствие с раздел 4.11.3.2 и точка 407 от CEEAG, моля, представете пълно и подробно описание на методиката за изчисляване на намаленията на таксите, приложими за допустимите бенефициери, като посочите къде тази информация може да бъде намерена в (проекта на) правното основание (напр. член 7, параграф 3). По-специално:</w:t>
      </w:r>
    </w:p>
    <w:p w14:paraId="2E456933" w14:textId="4F8D31AD" w:rsidR="00937DCD" w:rsidRDefault="006813BD" w:rsidP="009E4296">
      <w:pPr>
        <w:pStyle w:val="ListParagraph"/>
        <w:numPr>
          <w:ilvl w:val="0"/>
          <w:numId w:val="38"/>
        </w:numPr>
        <w:spacing w:before="120" w:after="120"/>
        <w:contextualSpacing w:val="0"/>
        <w:jc w:val="both"/>
      </w:pPr>
      <w:r>
        <w:t>Моля, посочете максималния процент за намаляване на таксите, приложим за предприятията, извършващи дейност съответно в сектори, „изложени на риск“, и сектори, „изложени на значителен риск“;</w:t>
      </w:r>
    </w:p>
    <w:p w14:paraId="7062DEA7" w14:textId="77777777" w:rsidR="00937DCD" w:rsidRPr="008515FB" w:rsidRDefault="00937DCD" w:rsidP="00937DCD">
      <w:pPr>
        <w:tabs>
          <w:tab w:val="left" w:leader="dot" w:pos="9072"/>
        </w:tabs>
        <w:spacing w:before="120" w:after="120"/>
        <w:jc w:val="both"/>
      </w:pPr>
      <w:r>
        <w:t xml:space="preserve">             </w:t>
      </w:r>
      <w:r>
        <w:tab/>
      </w:r>
    </w:p>
    <w:p w14:paraId="768B4002" w14:textId="287823A9" w:rsidR="00937DCD" w:rsidRDefault="006813BD" w:rsidP="009E4296">
      <w:pPr>
        <w:pStyle w:val="ListParagraph"/>
        <w:numPr>
          <w:ilvl w:val="0"/>
          <w:numId w:val="38"/>
        </w:numPr>
        <w:spacing w:before="120" w:after="120"/>
        <w:contextualSpacing w:val="0"/>
        <w:jc w:val="both"/>
      </w:pPr>
      <w:r>
        <w:t>Моля, посочете дали мярката, предмет на уведомление, предвижда, в сравнение с подточка i) по-горе, допълнителни ограничения за допълнителните разходи, произтичащи от съответните такси за електроенергия. Ако случаят е такъв, моля, също така а) посочете стойността на тези ограничения по отношение на брутната добавена стойност (БДС) на предприятията, извършващи дейност в сектори, „изложени на риск“, и сектори, „изложени на значителен риск“, и б) опишете как се изчислява БДС на допустимите предприятия, извършващи дейност в сектори, „изложени на риск“, и сектори „изложени на значителен риск“;</w:t>
      </w:r>
    </w:p>
    <w:p w14:paraId="46C6B30F" w14:textId="77777777" w:rsidR="00937DCD" w:rsidRPr="008515FB" w:rsidRDefault="00937DCD" w:rsidP="00937DCD">
      <w:pPr>
        <w:tabs>
          <w:tab w:val="left" w:leader="dot" w:pos="9072"/>
        </w:tabs>
        <w:spacing w:before="120" w:after="120"/>
        <w:jc w:val="both"/>
      </w:pPr>
      <w:r>
        <w:t xml:space="preserve">             </w:t>
      </w:r>
      <w:r>
        <w:tab/>
      </w:r>
    </w:p>
    <w:p w14:paraId="1082E1A9" w14:textId="32E904E4" w:rsidR="00D72037" w:rsidRDefault="006813BD" w:rsidP="00D72037">
      <w:pPr>
        <w:pStyle w:val="ListParagraph"/>
        <w:numPr>
          <w:ilvl w:val="0"/>
          <w:numId w:val="38"/>
        </w:numPr>
        <w:spacing w:before="120" w:after="120"/>
        <w:contextualSpacing w:val="0"/>
        <w:jc w:val="both"/>
      </w:pPr>
      <w:r>
        <w:t xml:space="preserve">Моля, потвърдете, че при всички случаи намаленията на таксите няма да доведат до такса под 0,5 EUR/MWh. </w:t>
      </w:r>
    </w:p>
    <w:p w14:paraId="78DCDF61" w14:textId="14157D2C" w:rsidR="00762E7A" w:rsidRPr="008515FB" w:rsidRDefault="00762E7A" w:rsidP="00762E7A">
      <w:pPr>
        <w:tabs>
          <w:tab w:val="left" w:leader="dot" w:pos="9072"/>
        </w:tabs>
        <w:spacing w:before="120" w:after="120"/>
        <w:jc w:val="both"/>
      </w:pPr>
      <w:r>
        <w:lastRenderedPageBreak/>
        <w:t xml:space="preserve">             </w:t>
      </w:r>
      <w:r>
        <w:tab/>
      </w:r>
    </w:p>
    <w:p w14:paraId="0E51C1C8" w14:textId="507FE509" w:rsidR="00937DCD" w:rsidRDefault="00C17C85" w:rsidP="005A4E16">
      <w:pPr>
        <w:numPr>
          <w:ilvl w:val="0"/>
          <w:numId w:val="4"/>
        </w:numPr>
        <w:spacing w:before="240"/>
        <w:ind w:left="567" w:hanging="567"/>
        <w:jc w:val="both"/>
      </w:pPr>
      <w:r>
        <w:t xml:space="preserve">Посочете дали мярката, предмет на уведомлението, предвижда, в съответствие с точка 410 от CEEAG, по-високи интензитети на помощта за предприятията, извършващи дейност в сектори, „изложени на риск“, които намалят въглеродния отпечатък на своето потребление на електроенергия. </w:t>
      </w:r>
    </w:p>
    <w:p w14:paraId="293F5C0A" w14:textId="77777777" w:rsidR="00937DCD" w:rsidRDefault="00C17C85" w:rsidP="005A4E16">
      <w:pPr>
        <w:pStyle w:val="ListParagraph"/>
        <w:keepLines/>
        <w:spacing w:before="120" w:after="120"/>
        <w:ind w:left="567"/>
        <w:contextualSpacing w:val="0"/>
        <w:jc w:val="both"/>
      </w:pPr>
      <w:r>
        <w:t>При положителен отговор:</w:t>
      </w:r>
    </w:p>
    <w:p w14:paraId="29CAF0A6" w14:textId="64FF48FB" w:rsidR="00937DCD" w:rsidRDefault="003653B6" w:rsidP="005A4E16">
      <w:pPr>
        <w:pStyle w:val="ListParagraph"/>
        <w:keepLines/>
        <w:numPr>
          <w:ilvl w:val="0"/>
          <w:numId w:val="52"/>
        </w:numPr>
        <w:spacing w:before="120" w:after="120"/>
        <w:contextualSpacing w:val="0"/>
        <w:jc w:val="both"/>
      </w:pPr>
      <w:r>
        <w:t>Моля, опишете по-високите интензитети на помощта и потвърдете съответните условия, които трябва да бъдат изпълнени от засегнатите предприятия (т.е. 50 % от потреблението на електроенергия да е от източници без въглеродни емисии, от които поне 10 % са от форуърден инструмент като СЗЕ (споразумение за изкупуване на електроенергия) или поне 5 % са от производство на място или в близост до обекта), като посочите къде тази информация може да бъде намерена в (проекта на) правното основание (напр. член 7, параграф 3);</w:t>
      </w:r>
    </w:p>
    <w:p w14:paraId="558716D3" w14:textId="77777777" w:rsidR="00937DCD" w:rsidRPr="008515FB" w:rsidRDefault="00937DCD" w:rsidP="005A4E16">
      <w:pPr>
        <w:keepLines/>
        <w:tabs>
          <w:tab w:val="left" w:leader="dot" w:pos="9072"/>
        </w:tabs>
        <w:spacing w:before="120" w:after="120"/>
        <w:jc w:val="both"/>
      </w:pPr>
      <w:r>
        <w:t xml:space="preserve">         </w:t>
      </w:r>
      <w:r>
        <w:tab/>
      </w:r>
    </w:p>
    <w:p w14:paraId="4900C3D3" w14:textId="00ED4A33" w:rsidR="00C17C85" w:rsidRDefault="003653B6" w:rsidP="009E4296">
      <w:pPr>
        <w:pStyle w:val="ListParagraph"/>
        <w:numPr>
          <w:ilvl w:val="0"/>
          <w:numId w:val="52"/>
        </w:numPr>
        <w:spacing w:before="120" w:after="120"/>
        <w:contextualSpacing w:val="0"/>
        <w:jc w:val="both"/>
      </w:pPr>
      <w:r>
        <w:t>Моля, опишете как ще бъде следено за изпълнението на тези условия, а в случай на последващ контрол — какви ще бъдат последиците, ако дадено предприятие не изпълнява условията.</w:t>
      </w:r>
    </w:p>
    <w:p w14:paraId="1AF5F330" w14:textId="71EE6354" w:rsidR="00762E7A" w:rsidRPr="008515FB" w:rsidRDefault="00762E7A" w:rsidP="00762E7A">
      <w:pPr>
        <w:tabs>
          <w:tab w:val="left" w:leader="dot" w:pos="9072"/>
        </w:tabs>
        <w:spacing w:before="120" w:after="120"/>
        <w:jc w:val="both"/>
      </w:pPr>
      <w:r>
        <w:t xml:space="preserve">         </w:t>
      </w:r>
      <w:r>
        <w:tab/>
      </w:r>
    </w:p>
    <w:p w14:paraId="1469FE3D" w14:textId="323FC3C7" w:rsidR="000575C3" w:rsidRPr="008515FB" w:rsidRDefault="00762E7A" w:rsidP="005A4E16">
      <w:pPr>
        <w:numPr>
          <w:ilvl w:val="0"/>
          <w:numId w:val="4"/>
        </w:numPr>
        <w:spacing w:before="240"/>
        <w:ind w:left="567" w:hanging="567"/>
        <w:jc w:val="both"/>
      </w:pPr>
      <w:r>
        <w:t xml:space="preserve">Ако е приложимо, моля, опишете всяка следваща модулация на процента за намаляване на таксите за бенефициерите, извършващи дейност съответно в сектори, „изложени на риск“, и сектори, „изложени на значителен риск“, като посочите къде тази информация може да бъде намерена в (проекта на) правното основание (напр. член 7, параграф 3). Моля, докажете, че а) различните намаления на таксите се основават на обективни, недискриминационни и прозрачни критерии и че б) по принцип помощта се отпуска по един и същ начин за всички допустими бенефициери в един и същ сектор, ако те се намират в сходно фактическо положение. </w:t>
      </w:r>
    </w:p>
    <w:p w14:paraId="7FD385CF" w14:textId="2DD94666" w:rsidR="009329F1" w:rsidRDefault="009329F1"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F586F" w:rsidRPr="00FC6878" w14:paraId="7420A7FD" w14:textId="77777777" w:rsidTr="00F17D00">
        <w:tc>
          <w:tcPr>
            <w:tcW w:w="9322" w:type="dxa"/>
            <w:shd w:val="pct15" w:color="auto" w:fill="auto"/>
          </w:tcPr>
          <w:p w14:paraId="2CC09BAB" w14:textId="36EF5B3D" w:rsidR="00DF586F" w:rsidRPr="00FC6878" w:rsidRDefault="00DF586F" w:rsidP="00DF586F">
            <w:pPr>
              <w:pStyle w:val="Heading1"/>
              <w:numPr>
                <w:ilvl w:val="2"/>
                <w:numId w:val="24"/>
              </w:numPr>
              <w:rPr>
                <w:sz w:val="24"/>
                <w:szCs w:val="24"/>
              </w:rPr>
            </w:pPr>
            <w:r>
              <w:rPr>
                <w:sz w:val="24"/>
              </w:rPr>
              <w:t xml:space="preserve">Енергийни обследвания и системи за управление на енергията </w:t>
            </w:r>
          </w:p>
        </w:tc>
      </w:tr>
    </w:tbl>
    <w:p w14:paraId="7C447A12" w14:textId="28CC1D2E" w:rsidR="00F17D00" w:rsidRDefault="00F17D00" w:rsidP="00F17D00">
      <w:pPr>
        <w:pStyle w:val="ListParagraph"/>
        <w:spacing w:before="120" w:after="120"/>
        <w:ind w:left="567"/>
        <w:contextualSpacing w:val="0"/>
        <w:jc w:val="both"/>
        <w:rPr>
          <w:i/>
        </w:rPr>
      </w:pPr>
      <w:r>
        <w:rPr>
          <w:i/>
        </w:rPr>
        <w:t>За да предоставите информацията в настоящия раздел, моля, вижте раздел 4.11.3.4 от CEEAG.</w:t>
      </w:r>
    </w:p>
    <w:p w14:paraId="455D1B6E" w14:textId="06E6D973" w:rsidR="00DF586F" w:rsidRDefault="00DF586F" w:rsidP="005A4E16">
      <w:pPr>
        <w:numPr>
          <w:ilvl w:val="0"/>
          <w:numId w:val="4"/>
        </w:numPr>
        <w:spacing w:before="240"/>
        <w:ind w:left="567" w:hanging="567"/>
        <w:jc w:val="both"/>
      </w:pPr>
      <w:r>
        <w:t>В съответствие с точка 414 от CEEAG, моля, опишете как националните органи ще проверяват по линия на мярката, предмет на уведомление, дали бенефициерите спазват задължението да извършат енергийно обследване по смисъла на член 8 от Директива 2012/27/ЕС. Моля, посочете къде тази информация може да бъде намерена в (проекта на) правното основание (напр. член 7, параграф 3).</w:t>
      </w:r>
    </w:p>
    <w:p w14:paraId="1FF21F8F" w14:textId="77777777" w:rsidR="00DF586F" w:rsidRPr="008515FB" w:rsidRDefault="00DF586F" w:rsidP="00D2287A">
      <w:pPr>
        <w:tabs>
          <w:tab w:val="left" w:leader="dot" w:pos="9072"/>
        </w:tabs>
        <w:spacing w:before="120" w:after="120"/>
        <w:jc w:val="both"/>
      </w:pPr>
      <w:r>
        <w:t xml:space="preserve">         </w:t>
      </w:r>
      <w:r>
        <w:tab/>
      </w:r>
    </w:p>
    <w:p w14:paraId="6788ADCC" w14:textId="322473AB" w:rsidR="00D2287A" w:rsidRDefault="00956022" w:rsidP="005A4E16">
      <w:pPr>
        <w:numPr>
          <w:ilvl w:val="0"/>
          <w:numId w:val="4"/>
        </w:numPr>
        <w:spacing w:before="240"/>
        <w:ind w:left="567" w:hanging="567"/>
        <w:jc w:val="both"/>
      </w:pPr>
      <w:r>
        <w:t xml:space="preserve">В точка 415 от CEEAG се предвижда, че бенефициерите, от които се изисква да извършат енергийно обследване, трябва да спазват поне един от следните три </w:t>
      </w:r>
      <w:r>
        <w:lastRenderedPageBreak/>
        <w:t>варианта: а) да изпълняват препоръките от обследването, доколкото срокът на възвръщаемост е максимум 3 години и разходите за техните инвестиции са пропорционални, или б) да покриват най-малко 30 % от своето потребление на електроенергия от източници без въглеродни емисии, или в) да инвестират най-малко 50 % от помощта в проекти, които водят до съществено намаляване на емисиите на парникови газове. Моля, опишете как националните органи ще проверяват по линия на мярката, предмет на уведомление, дали бенефициерите, от които се изисква да извършат енергийно обследване съгласно член 8, параграф 4 от Директива 2012/27/ЕС, спазват един или повече от трите варианта, изброени в точка 415 от CEEAG, като посочите къде тази информация може да бъде намерена в (проекта на) правното основание (напр. член 7, параграф 3). По-специално, моля, дайте подробности за всеки вариант, предвиден в мярката, предмет на уведомление:</w:t>
      </w:r>
    </w:p>
    <w:p w14:paraId="4CD0D5F0" w14:textId="6354CA9F" w:rsidR="00937DCD" w:rsidRDefault="00937DCD" w:rsidP="009E4296">
      <w:pPr>
        <w:pStyle w:val="ListParagraph"/>
        <w:numPr>
          <w:ilvl w:val="0"/>
          <w:numId w:val="41"/>
        </w:numPr>
        <w:spacing w:before="120" w:after="120"/>
        <w:jc w:val="both"/>
      </w:pPr>
      <w:r>
        <w:t>как точно ще трябва бенефициерите да докажат съответствие;</w:t>
      </w:r>
    </w:p>
    <w:p w14:paraId="3EE96587" w14:textId="77777777" w:rsidR="00937DCD" w:rsidRPr="008515FB" w:rsidRDefault="00937DCD" w:rsidP="00937DCD">
      <w:pPr>
        <w:tabs>
          <w:tab w:val="left" w:leader="dot" w:pos="9072"/>
        </w:tabs>
        <w:spacing w:before="120" w:after="120"/>
        <w:jc w:val="both"/>
      </w:pPr>
      <w:r>
        <w:t xml:space="preserve">         </w:t>
      </w:r>
      <w:r>
        <w:tab/>
      </w:r>
    </w:p>
    <w:p w14:paraId="52143098" w14:textId="03F05794" w:rsidR="00937DCD" w:rsidRDefault="007322A3" w:rsidP="009E4296">
      <w:pPr>
        <w:pStyle w:val="ListParagraph"/>
        <w:numPr>
          <w:ilvl w:val="0"/>
          <w:numId w:val="41"/>
        </w:numPr>
        <w:spacing w:before="120" w:after="120"/>
        <w:jc w:val="both"/>
      </w:pPr>
      <w:r>
        <w:t>какъв е крайният срок за спазване на изискванията (напр. съответните инвестиции трябва да бъдат направени в срок от една година от предоставянето на помощта) и колко често бенефициерите ще трябва да доказват, че спазват изискванията (напр. на годишна основа);</w:t>
      </w:r>
    </w:p>
    <w:p w14:paraId="01E9AF8F" w14:textId="77777777" w:rsidR="00937DCD" w:rsidRPr="008515FB" w:rsidRDefault="00937DCD" w:rsidP="00937DCD">
      <w:pPr>
        <w:tabs>
          <w:tab w:val="left" w:leader="dot" w:pos="9072"/>
        </w:tabs>
        <w:spacing w:before="120" w:after="120"/>
        <w:jc w:val="both"/>
      </w:pPr>
      <w:r>
        <w:t xml:space="preserve">         </w:t>
      </w:r>
      <w:r>
        <w:tab/>
      </w:r>
    </w:p>
    <w:p w14:paraId="75F0F8DD" w14:textId="7842A954" w:rsidR="00937DCD" w:rsidRDefault="00937DCD" w:rsidP="005A4E16">
      <w:pPr>
        <w:pStyle w:val="ListParagraph"/>
        <w:keepLines/>
        <w:numPr>
          <w:ilvl w:val="0"/>
          <w:numId w:val="41"/>
        </w:numPr>
        <w:spacing w:before="120" w:after="120"/>
        <w:jc w:val="both"/>
      </w:pPr>
      <w:r>
        <w:t>как и колко често ще се проверява изпълнението на условията (напр. на годишна основа);</w:t>
      </w:r>
    </w:p>
    <w:p w14:paraId="65105F0A" w14:textId="77777777" w:rsidR="00937DCD" w:rsidRPr="008515FB" w:rsidRDefault="00937DCD" w:rsidP="005A4E16">
      <w:pPr>
        <w:keepLines/>
        <w:tabs>
          <w:tab w:val="left" w:leader="dot" w:pos="9072"/>
        </w:tabs>
        <w:spacing w:before="120" w:after="120"/>
        <w:jc w:val="both"/>
      </w:pPr>
      <w:r>
        <w:t xml:space="preserve">         </w:t>
      </w:r>
      <w:r>
        <w:tab/>
      </w:r>
    </w:p>
    <w:p w14:paraId="0F6D1FBC" w14:textId="05AE79E0" w:rsidR="00CB6E9E" w:rsidRPr="00D2287A" w:rsidRDefault="007322A3" w:rsidP="005A4E16">
      <w:pPr>
        <w:pStyle w:val="ListParagraph"/>
        <w:keepLines/>
        <w:numPr>
          <w:ilvl w:val="0"/>
          <w:numId w:val="41"/>
        </w:numPr>
        <w:spacing w:before="120" w:after="120"/>
        <w:jc w:val="both"/>
      </w:pPr>
      <w:r>
        <w:t>какви ще бъдат последиците от неспазването на изискванията за бенефициерите (напр. отказ да бъде предоставена помощта, ако е извършена предварителна проверка, или възстановяване на вече предоставената помощ, ако е извършена последваща проверка).</w:t>
      </w:r>
    </w:p>
    <w:p w14:paraId="2CC12D69" w14:textId="77777777" w:rsidR="00DF586F" w:rsidRDefault="00DF586F"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FC6878" w14:paraId="5ADB97A4" w14:textId="77777777" w:rsidTr="00D25DD0">
        <w:tc>
          <w:tcPr>
            <w:tcW w:w="9322" w:type="dxa"/>
            <w:shd w:val="pct15" w:color="auto" w:fill="auto"/>
          </w:tcPr>
          <w:p w14:paraId="1D5ED9F0" w14:textId="2394281B" w:rsidR="00B21377" w:rsidRPr="00FC6878" w:rsidRDefault="00B21377" w:rsidP="00DF586F">
            <w:pPr>
              <w:pStyle w:val="Heading1"/>
              <w:numPr>
                <w:ilvl w:val="2"/>
                <w:numId w:val="24"/>
              </w:numPr>
              <w:rPr>
                <w:sz w:val="24"/>
                <w:szCs w:val="24"/>
              </w:rPr>
            </w:pPr>
            <w:r>
              <w:rPr>
                <w:sz w:val="24"/>
              </w:rPr>
              <w:t>Кумулация</w:t>
            </w:r>
          </w:p>
        </w:tc>
      </w:tr>
    </w:tbl>
    <w:p w14:paraId="2346A85D" w14:textId="5800D648" w:rsidR="00B21377" w:rsidRPr="002A3B51" w:rsidRDefault="00B21377" w:rsidP="00B21377">
      <w:pPr>
        <w:pStyle w:val="ListParagraph"/>
        <w:spacing w:before="120" w:after="120"/>
        <w:ind w:left="567"/>
        <w:contextualSpacing w:val="0"/>
        <w:jc w:val="both"/>
      </w:pPr>
      <w:r>
        <w:rPr>
          <w:i/>
        </w:rPr>
        <w:t>За да предоставите информацията в настоящия раздел, моля, вижте точки 56—57 от CEEAG.</w:t>
      </w:r>
    </w:p>
    <w:p w14:paraId="7159B0AA" w14:textId="326791FE" w:rsidR="00E5484B" w:rsidRPr="002A3B51" w:rsidRDefault="00B10F0D" w:rsidP="005A4E16">
      <w:pPr>
        <w:numPr>
          <w:ilvl w:val="0"/>
          <w:numId w:val="4"/>
        </w:numPr>
        <w:spacing w:before="240"/>
        <w:ind w:left="567" w:hanging="567"/>
        <w:jc w:val="both"/>
      </w:pPr>
      <w:r>
        <w:t xml:space="preserve">Доколкото все още не е предвидено във формуляра за обща информация (част I) и за да се провери съответствието с точка 56 от CEEAG, моля, пояснете дали помощта по мярката(мерките), за която(ито) е отправено уведомление, може да бъде предоставена едновременно по няколко схеми за помощ или да се натрупва с помощ </w:t>
      </w:r>
      <w:r>
        <w:rPr>
          <w:i/>
          <w:iCs/>
        </w:rPr>
        <w:t>ad hoc</w:t>
      </w:r>
      <w:r>
        <w:t xml:space="preserve"> или помощ </w:t>
      </w:r>
      <w:r>
        <w:rPr>
          <w:i/>
          <w:iCs/>
        </w:rPr>
        <w:t>de minimis</w:t>
      </w:r>
      <w:r>
        <w:t xml:space="preserve"> за едни и същи допустими разходи. Ако случаят е такъв, моля, представете подробна информация за тези схеми за помощ, помощ </w:t>
      </w:r>
      <w:r>
        <w:rPr>
          <w:i/>
          <w:iCs/>
        </w:rPr>
        <w:t>ad hoc</w:t>
      </w:r>
      <w:r>
        <w:t xml:space="preserve"> или помощ </w:t>
      </w:r>
      <w:r>
        <w:rPr>
          <w:i/>
          <w:iCs/>
        </w:rPr>
        <w:t>de minimis</w:t>
      </w:r>
      <w:r>
        <w:t xml:space="preserve"> и как ще се натрупва помощта.</w:t>
      </w:r>
    </w:p>
    <w:p w14:paraId="4EA350F2" w14:textId="6700FB40" w:rsidR="00D13239" w:rsidRPr="002A3B51" w:rsidRDefault="002A3B51" w:rsidP="002A3B51">
      <w:pPr>
        <w:tabs>
          <w:tab w:val="left" w:leader="dot" w:pos="9072"/>
        </w:tabs>
        <w:spacing w:before="120" w:after="120"/>
        <w:ind w:left="567"/>
        <w:jc w:val="both"/>
      </w:pPr>
      <w:r>
        <w:tab/>
      </w:r>
    </w:p>
    <w:p w14:paraId="113EC6AF" w14:textId="086F06F6" w:rsidR="007257F0" w:rsidRPr="00EE2D70" w:rsidRDefault="00720951" w:rsidP="005A4E16">
      <w:pPr>
        <w:numPr>
          <w:ilvl w:val="0"/>
          <w:numId w:val="4"/>
        </w:numPr>
        <w:spacing w:before="240"/>
        <w:ind w:left="567" w:hanging="567"/>
        <w:jc w:val="both"/>
      </w:pPr>
      <w:r>
        <w:t xml:space="preserve">Ако точка 56 от CEEAG е приложима за мярката(мерките), за която(ито) е отправено уведомление, моля, обосновете как общият размер на помощта, отпусната по мярката(мерките), за която(ито) е отправено уведомление, за дадена </w:t>
      </w:r>
      <w:r>
        <w:lastRenderedPageBreak/>
        <w:t xml:space="preserve">дейност не води до свръхкомпенсация или не надвишава максималния разрешен размер на помощта съгласно точки 408—410 от CEEAG. Моля, за всяка мярка, по която може да се натрупва помощ, отпусната по мярката(мерките) за помощ, за която(ито) е отправено уведомление, посочете метода, който е използван, за да се гарантира спазването на условията, определени в точка 56 от CEEAG. </w:t>
      </w:r>
    </w:p>
    <w:p w14:paraId="5A4E851C" w14:textId="1587758B" w:rsidR="007257F0" w:rsidRPr="00EE2D70" w:rsidRDefault="007257F0" w:rsidP="007257F0">
      <w:pPr>
        <w:tabs>
          <w:tab w:val="left" w:leader="dot" w:pos="9072"/>
        </w:tabs>
        <w:spacing w:before="120" w:after="120"/>
        <w:ind w:left="567"/>
        <w:jc w:val="both"/>
      </w:pPr>
      <w:r>
        <w:tab/>
      </w:r>
    </w:p>
    <w:p w14:paraId="4B762428" w14:textId="678FF3FD" w:rsidR="009861F5" w:rsidRPr="00EE2D70" w:rsidRDefault="00562354" w:rsidP="005A4E16">
      <w:pPr>
        <w:numPr>
          <w:ilvl w:val="0"/>
          <w:numId w:val="4"/>
        </w:numPr>
        <w:spacing w:before="240"/>
        <w:ind w:left="567" w:hanging="567"/>
        <w:jc w:val="both"/>
      </w:pPr>
      <w:r>
        <w:t>В случай че е приложима точка 57 от CEEAG, т.е. помощта, предоставена по мярката(мерките), за която(ито) е отправено уведомление, е съчетана с финансиране от Съюза, което се управлява централизирано</w:t>
      </w:r>
      <w:r w:rsidR="009B2F61">
        <w:rPr>
          <w:rStyle w:val="FootnoteReference"/>
          <w:lang w:eastAsia="en-GB"/>
        </w:rPr>
        <w:footnoteReference w:id="7"/>
      </w:r>
      <w:r>
        <w:t>, моля, обосновете по какъв начин общият размер на публичното финансиране, предоставено за същите допустими разходи, не води до свръхкомпенсация.</w:t>
      </w:r>
    </w:p>
    <w:p w14:paraId="4A76BA85" w14:textId="5308E4AE" w:rsidR="0078387C" w:rsidRDefault="009861F5"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17D00" w:rsidRPr="00FC6878" w14:paraId="05A55AD2" w14:textId="77777777" w:rsidTr="00F17D00">
        <w:tc>
          <w:tcPr>
            <w:tcW w:w="9322" w:type="dxa"/>
            <w:shd w:val="pct15" w:color="auto" w:fill="auto"/>
          </w:tcPr>
          <w:p w14:paraId="32947DA8" w14:textId="6BBD8D7E" w:rsidR="00F17D00" w:rsidRPr="00FC6878" w:rsidRDefault="00F17D00" w:rsidP="005A4E16">
            <w:pPr>
              <w:pStyle w:val="Heading1"/>
              <w:keepNext/>
              <w:keepLines/>
              <w:numPr>
                <w:ilvl w:val="2"/>
                <w:numId w:val="24"/>
              </w:numPr>
              <w:rPr>
                <w:sz w:val="24"/>
                <w:szCs w:val="24"/>
              </w:rPr>
            </w:pPr>
            <w:r>
              <w:rPr>
                <w:sz w:val="24"/>
              </w:rPr>
              <w:t>Преходни разпоредби</w:t>
            </w:r>
          </w:p>
        </w:tc>
      </w:tr>
    </w:tbl>
    <w:p w14:paraId="7D96774F" w14:textId="39E35847" w:rsidR="00F17D00" w:rsidRDefault="00F17D00" w:rsidP="005A4E16">
      <w:pPr>
        <w:pStyle w:val="ListParagraph"/>
        <w:keepNext/>
        <w:keepLines/>
        <w:spacing w:before="120" w:after="120"/>
        <w:ind w:left="567"/>
        <w:contextualSpacing w:val="0"/>
        <w:jc w:val="both"/>
        <w:rPr>
          <w:i/>
        </w:rPr>
      </w:pPr>
      <w:r>
        <w:rPr>
          <w:i/>
        </w:rPr>
        <w:t>За да предоставите информацията в настоящия раздел, моля, вижте раздел 4.11.3.5 от CEEAG.</w:t>
      </w:r>
    </w:p>
    <w:p w14:paraId="50B72823" w14:textId="74224ADE" w:rsidR="009E3717" w:rsidRPr="009E3717" w:rsidRDefault="00B10F0D" w:rsidP="005A4E16">
      <w:pPr>
        <w:numPr>
          <w:ilvl w:val="0"/>
          <w:numId w:val="4"/>
        </w:numPr>
        <w:spacing w:before="240"/>
        <w:ind w:left="567" w:hanging="567"/>
        <w:jc w:val="both"/>
      </w:pPr>
      <w:r>
        <w:t xml:space="preserve">Моля, посочете дали настоящото уведомление обхваща помощ, за която не е отправено уведомление, предоставена под формата на намалени такси върху електроенергията за енергоемки потребители в периода преди публикуването на CEEAG. При положителен отговор, моля, обяснете как помощта, за която не е отправено уведомление, е съобразена с точка 419 от CEEAG, букви а) и б). </w:t>
      </w:r>
      <w:r>
        <w:tab/>
      </w:r>
    </w:p>
    <w:p w14:paraId="4A9E8F47" w14:textId="19AEA7B3" w:rsidR="009E3717" w:rsidRDefault="009E3717" w:rsidP="009E3717">
      <w:pPr>
        <w:tabs>
          <w:tab w:val="left" w:leader="dot" w:pos="9072"/>
        </w:tabs>
        <w:spacing w:before="120" w:after="120"/>
        <w:ind w:left="567"/>
        <w:jc w:val="both"/>
      </w:pPr>
      <w:r>
        <w:tab/>
      </w:r>
    </w:p>
    <w:p w14:paraId="26BD1683" w14:textId="6223DFFD" w:rsidR="00F17D00" w:rsidRPr="00F8461C" w:rsidRDefault="00F17D00" w:rsidP="005A4E16">
      <w:pPr>
        <w:numPr>
          <w:ilvl w:val="0"/>
          <w:numId w:val="4"/>
        </w:numPr>
        <w:spacing w:before="240"/>
        <w:ind w:left="567" w:hanging="567"/>
        <w:jc w:val="both"/>
      </w:pPr>
      <w:r>
        <w:t xml:space="preserve">Моля, посочете дали с мярката, за която е отправено уведомление, се създава преходен план, за да се избегнат неблагоприятни промени в тежестта на таксите за отделните предприятия, които не отговарят на условията за допустимост, посочени в раздел 4.11 от CEEAG. При положителен отговор, моля, отговорете на следващите въпроси от този раздел. </w:t>
      </w:r>
    </w:p>
    <w:p w14:paraId="3F155670" w14:textId="2EF9B7E3" w:rsidR="00F17D00" w:rsidRDefault="00F17D00" w:rsidP="00F17D00">
      <w:pPr>
        <w:tabs>
          <w:tab w:val="left" w:leader="dot" w:pos="9072"/>
        </w:tabs>
        <w:spacing w:before="120" w:after="120"/>
        <w:ind w:left="567"/>
        <w:jc w:val="both"/>
      </w:pPr>
      <w:r>
        <w:tab/>
      </w:r>
    </w:p>
    <w:p w14:paraId="51B31159" w14:textId="77B0A2B2" w:rsidR="00F17D00" w:rsidRPr="00F8461C" w:rsidRDefault="00981C71" w:rsidP="005A4E16">
      <w:pPr>
        <w:numPr>
          <w:ilvl w:val="0"/>
          <w:numId w:val="4"/>
        </w:numPr>
        <w:spacing w:before="240"/>
        <w:ind w:left="567" w:hanging="567"/>
        <w:jc w:val="both"/>
      </w:pPr>
      <w:r>
        <w:t>В съответствие с точка 416 от CEEAG, моля, обяснете как допустимостта до преходния план ще бъде ограничена до предприятия, които i) отговарят на критериите за допустимост по раздел 3.7.2 от Насоките относно държавната помощ за опазване на околната среда и за енергетика за периода 2014—2020 г. и ii) са получили помощ под формата на намалени такси през поне една от 2-те години преди изменението на съществуващите схеми за помощ, за да бъдат приведени в съответствие с CEEAG. Моля, посочете къде тази информация може да бъде намерена в (проекта на) правното основание (напр. член 7, параграф 3).</w:t>
      </w:r>
    </w:p>
    <w:p w14:paraId="24160A4D" w14:textId="77777777" w:rsidR="00F8461C" w:rsidRPr="00EE2D70" w:rsidRDefault="00F8461C" w:rsidP="00F8461C">
      <w:pPr>
        <w:tabs>
          <w:tab w:val="left" w:leader="dot" w:pos="9072"/>
        </w:tabs>
        <w:spacing w:before="120" w:after="120"/>
        <w:ind w:left="567"/>
        <w:jc w:val="both"/>
      </w:pPr>
      <w:r>
        <w:tab/>
      </w:r>
    </w:p>
    <w:p w14:paraId="2849F38E" w14:textId="004EC680" w:rsidR="002C6CA8" w:rsidRDefault="00F8461C" w:rsidP="005A4E16">
      <w:pPr>
        <w:numPr>
          <w:ilvl w:val="0"/>
          <w:numId w:val="4"/>
        </w:numPr>
        <w:spacing w:before="240"/>
        <w:ind w:left="567" w:hanging="567"/>
        <w:jc w:val="both"/>
      </w:pPr>
      <w:r>
        <w:lastRenderedPageBreak/>
        <w:t>Моля, опишете как преходният план ще доведе до постепенно и пълно адаптиране към условията, произтичащи от прилагането на критериите за допустимост и пропорционалност от раздел 4.11 от CEEAG, и по-конкретно как интензитетът на помощта намалява с течение на времето и как таванът за БДС нараства с течение на времето в съответствие с графика, посочен в точка 417 от CEEAG. Моля, посочете точно къде тази информация може да бъде намерена в (проекта на) правното основание (напр. член 7, параграф 3).</w:t>
      </w:r>
    </w:p>
    <w:p w14:paraId="0ADB0F18" w14:textId="77777777" w:rsidR="002C6CA8" w:rsidRPr="00EE2D70" w:rsidRDefault="002C6CA8" w:rsidP="002C6CA8">
      <w:pPr>
        <w:tabs>
          <w:tab w:val="left" w:leader="dot" w:pos="9072"/>
        </w:tabs>
        <w:spacing w:before="120" w:after="120"/>
        <w:ind w:left="567"/>
        <w:jc w:val="both"/>
      </w:pPr>
      <w:r>
        <w:tab/>
      </w:r>
    </w:p>
    <w:p w14:paraId="454072D7" w14:textId="53930034" w:rsidR="009E3717" w:rsidRDefault="00EB3C44" w:rsidP="005A4E16">
      <w:pPr>
        <w:numPr>
          <w:ilvl w:val="0"/>
          <w:numId w:val="4"/>
        </w:numPr>
        <w:spacing w:before="240"/>
        <w:ind w:left="567" w:hanging="567"/>
        <w:jc w:val="both"/>
      </w:pPr>
      <w:r>
        <w:t>Моля, посочете дали преходният план ще позволи по изключение фиксирани интензитети на помощта през целия преходен период, при условие че съответните предприятия намалят въглеродния отпечатък на своето потребление на електроенергия в съответствие с условията в точка 418 от CEEAG (т.е. 50 % от потреблението на електроенергия да е от източници без въглеродни емисии, от които поне 10 % са от форуърден инструмент като СЗЕ (споразумение за изкупуване на електроенергия) или поне 5 % са от производство на място или в близост до обекта). При положителен отговор, моля, посочете къде тази информация може да бъде намерена в (проекта на) правното основание (напр. член 7, параграф 3) и обяснете как националните органи гарантират и следят за спазването на точка 418 от CEEAG.</w:t>
      </w:r>
    </w:p>
    <w:p w14:paraId="312A1DC1" w14:textId="23C8538F" w:rsidR="00F17D00" w:rsidRDefault="009E3717" w:rsidP="005A4E16">
      <w:pPr>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863406" w14:paraId="3B675B34" w14:textId="77777777" w:rsidTr="00504F2E">
        <w:tc>
          <w:tcPr>
            <w:tcW w:w="9322" w:type="dxa"/>
            <w:shd w:val="pct15" w:color="auto" w:fill="auto"/>
          </w:tcPr>
          <w:p w14:paraId="75619393" w14:textId="382F2F6E" w:rsidR="006773CE" w:rsidRPr="00863406" w:rsidRDefault="00571910" w:rsidP="005A4E16">
            <w:pPr>
              <w:pStyle w:val="Heading1"/>
              <w:keepNext/>
              <w:keepLines/>
              <w:numPr>
                <w:ilvl w:val="1"/>
                <w:numId w:val="24"/>
              </w:numPr>
              <w:ind w:left="1560" w:hanging="480"/>
              <w:rPr>
                <w:color w:val="000000"/>
                <w:sz w:val="24"/>
                <w:szCs w:val="24"/>
              </w:rPr>
            </w:pPr>
            <w:r>
              <w:rPr>
                <w:sz w:val="24"/>
              </w:rPr>
              <w:t>Прозрачност</w:t>
            </w:r>
          </w:p>
        </w:tc>
      </w:tr>
    </w:tbl>
    <w:p w14:paraId="1E96F77E" w14:textId="2D16554D" w:rsidR="00016924" w:rsidRPr="005A4E16" w:rsidRDefault="006773CE" w:rsidP="005A4E16">
      <w:pPr>
        <w:keepNext/>
        <w:keepLines/>
        <w:spacing w:before="360" w:after="120"/>
        <w:jc w:val="both"/>
        <w:rPr>
          <w:i/>
        </w:rPr>
      </w:pPr>
      <w:r>
        <w:rPr>
          <w:i/>
        </w:rPr>
        <w:t xml:space="preserve">За да предоставите информацията в настоящия раздел, моля, вижте раздел 3.2.1.4 (точки 58—62) от CEEAG. </w:t>
      </w:r>
    </w:p>
    <w:p w14:paraId="73485054" w14:textId="77777777" w:rsidR="00EB3C44" w:rsidRPr="0000648C" w:rsidRDefault="00EB3C44" w:rsidP="005A4E16">
      <w:pPr>
        <w:keepNext/>
        <w:keepLines/>
        <w:numPr>
          <w:ilvl w:val="0"/>
          <w:numId w:val="4"/>
        </w:numPr>
        <w:spacing w:before="240"/>
        <w:ind w:left="567" w:hanging="567"/>
        <w:jc w:val="both"/>
        <w:rPr>
          <w:rFonts w:eastAsia="Times New Roman"/>
          <w:szCs w:val="24"/>
        </w:rPr>
      </w:pPr>
      <w:r>
        <w:t xml:space="preserve">Моля, потвърдете, че държавата членка ще спазва изискванията за прозрачност, предвидени в точки 58—61 от CEEAG. </w:t>
      </w:r>
    </w:p>
    <w:p w14:paraId="383E9855" w14:textId="77777777" w:rsidR="00EB3C44" w:rsidRPr="00AB745F" w:rsidRDefault="00EB3C44" w:rsidP="005A4E16">
      <w:pPr>
        <w:keepLines/>
        <w:tabs>
          <w:tab w:val="left" w:leader="dot" w:pos="9072"/>
        </w:tabs>
        <w:spacing w:before="120" w:after="120"/>
        <w:ind w:left="567"/>
        <w:jc w:val="both"/>
      </w:pPr>
      <w:r>
        <w:tab/>
      </w:r>
    </w:p>
    <w:p w14:paraId="427D394F" w14:textId="02AC33DB" w:rsidR="005440AC" w:rsidRPr="00421F63" w:rsidRDefault="006B7161" w:rsidP="005A4E16">
      <w:pPr>
        <w:keepLines/>
        <w:numPr>
          <w:ilvl w:val="0"/>
          <w:numId w:val="4"/>
        </w:numPr>
        <w:spacing w:before="240"/>
        <w:ind w:left="567" w:hanging="567"/>
        <w:jc w:val="both"/>
      </w:pPr>
      <w:r>
        <w:t xml:space="preserve">За да се провери съответствието с точка 61 от CEEAG, моля, потвърдете, че информацията, предвидена в точка 58, буква б), ще бъде налична в продължение на поне 10 години от датата, на която е предоставена помощта, за да се даде възможност за прилагане на правилата за държавна помощ съгласно ДФЕС. </w:t>
      </w:r>
    </w:p>
    <w:p w14:paraId="14FE0B14" w14:textId="268106AF" w:rsidR="007C0A44" w:rsidRPr="00243597" w:rsidRDefault="00207D52"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164ADE" w14:paraId="3CD6496D" w14:textId="77777777" w:rsidTr="00504F2E">
        <w:tc>
          <w:tcPr>
            <w:tcW w:w="9322" w:type="dxa"/>
            <w:shd w:val="pct15" w:color="auto" w:fill="auto"/>
          </w:tcPr>
          <w:p w14:paraId="6D3C4956" w14:textId="35FDE87A" w:rsidR="008D37F9" w:rsidRPr="00164ADE" w:rsidRDefault="00011908" w:rsidP="000C2EFD">
            <w:pPr>
              <w:pStyle w:val="Heading1"/>
              <w:keepNext/>
              <w:keepLines/>
              <w:numPr>
                <w:ilvl w:val="0"/>
                <w:numId w:val="25"/>
              </w:numPr>
              <w:jc w:val="left"/>
              <w:rPr>
                <w:i/>
                <w:color w:val="000000"/>
                <w:sz w:val="28"/>
                <w:szCs w:val="28"/>
              </w:rPr>
            </w:pPr>
            <w:r>
              <w:rPr>
                <w:i/>
                <w:color w:val="000000"/>
                <w:sz w:val="28"/>
              </w:rPr>
              <w:t>Избягване на неоправдани отрицателни последици от помощта за конкуренцията и търговията и балансиране</w:t>
            </w:r>
          </w:p>
        </w:tc>
      </w:tr>
    </w:tbl>
    <w:p w14:paraId="6CD3884F" w14:textId="2CA189C2" w:rsidR="00F83660" w:rsidRPr="00B215FD" w:rsidRDefault="00F83660" w:rsidP="000C2EFD">
      <w:pPr>
        <w:keepNext/>
        <w:keepLines/>
        <w:spacing w:before="360" w:after="120"/>
        <w:jc w:val="both"/>
        <w:rPr>
          <w:i/>
        </w:rPr>
      </w:pPr>
      <w:r>
        <w:rPr>
          <w:i/>
        </w:rPr>
        <w:t xml:space="preserve">За да предоставите информацията в настоящия раздел, моля, вижте раздел 3.2.2 от CEEAG. </w:t>
      </w:r>
    </w:p>
    <w:p w14:paraId="5D5F17EA" w14:textId="02FA14EA" w:rsidR="00F83660" w:rsidRPr="001D7B55" w:rsidRDefault="00F83660" w:rsidP="005A4E16">
      <w:pPr>
        <w:keepLines/>
        <w:numPr>
          <w:ilvl w:val="0"/>
          <w:numId w:val="4"/>
        </w:numPr>
        <w:spacing w:before="240"/>
        <w:ind w:left="567" w:hanging="567"/>
        <w:jc w:val="both"/>
      </w:pPr>
      <w:r>
        <w:t>За да се провери съответствието с точка 70 от CEEAG:</w:t>
      </w:r>
    </w:p>
    <w:p w14:paraId="242551D6" w14:textId="420DDA9B" w:rsidR="00F83660" w:rsidRPr="009E0FCA" w:rsidRDefault="00473E7F" w:rsidP="005A4E16">
      <w:pPr>
        <w:pStyle w:val="ListParagraph"/>
        <w:keepLines/>
        <w:numPr>
          <w:ilvl w:val="1"/>
          <w:numId w:val="33"/>
        </w:numPr>
        <w:spacing w:before="240" w:after="120"/>
        <w:ind w:left="1434" w:hanging="357"/>
        <w:contextualSpacing w:val="0"/>
        <w:jc w:val="both"/>
      </w:pPr>
      <w:r>
        <w:lastRenderedPageBreak/>
        <w:t>моля, потвърдете, че срокът на действие на схемата е максимум 10 години от датата на уведомяване за решението на Комисията, с което помощта се обявява за съвместима;</w:t>
      </w:r>
    </w:p>
    <w:p w14:paraId="46C152D0" w14:textId="77777777" w:rsidR="00F83660" w:rsidRPr="009E0FCA" w:rsidRDefault="00F83660" w:rsidP="00F83660">
      <w:pPr>
        <w:tabs>
          <w:tab w:val="left" w:leader="dot" w:pos="9072"/>
        </w:tabs>
        <w:spacing w:before="120" w:after="120"/>
        <w:ind w:left="567"/>
        <w:jc w:val="both"/>
      </w:pPr>
      <w:r>
        <w:tab/>
      </w:r>
    </w:p>
    <w:p w14:paraId="0192C7C3" w14:textId="28884912" w:rsidR="00F83660" w:rsidRPr="009E0FCA" w:rsidRDefault="00473E7F" w:rsidP="005A4E16">
      <w:pPr>
        <w:pStyle w:val="ListParagraph"/>
        <w:keepLines/>
        <w:numPr>
          <w:ilvl w:val="1"/>
          <w:numId w:val="33"/>
        </w:numPr>
        <w:spacing w:before="240" w:after="120"/>
        <w:ind w:left="1434" w:hanging="357"/>
        <w:contextualSpacing w:val="0"/>
        <w:jc w:val="both"/>
      </w:pPr>
      <w:r>
        <w:t xml:space="preserve">моля, потвърдете, че ако държавата членка желае да удължи срока на действие на мярката над този максимален срок от 10 години, тя ще изпрати повторно уведомление за мярката(мерките). </w:t>
      </w:r>
    </w:p>
    <w:p w14:paraId="77064147" w14:textId="77777777" w:rsidR="00F83660" w:rsidRPr="009E0FCA" w:rsidRDefault="00F83660" w:rsidP="005A4E16">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96537D" w14:paraId="30392405" w14:textId="77777777" w:rsidTr="00504F2E">
        <w:tc>
          <w:tcPr>
            <w:tcW w:w="9322" w:type="dxa"/>
            <w:shd w:val="pct15" w:color="auto" w:fill="auto"/>
          </w:tcPr>
          <w:p w14:paraId="4A3A0E08" w14:textId="2B1D34AF" w:rsidR="0096537D" w:rsidRPr="00AA7DB4" w:rsidRDefault="00265702" w:rsidP="000C2EFD">
            <w:pPr>
              <w:pStyle w:val="Heading1"/>
              <w:keepNext/>
              <w:keepLines/>
              <w:numPr>
                <w:ilvl w:val="0"/>
                <w:numId w:val="25"/>
              </w:numPr>
              <w:jc w:val="left"/>
              <w:rPr>
                <w:i/>
                <w:color w:val="000000"/>
                <w:sz w:val="28"/>
                <w:szCs w:val="28"/>
              </w:rPr>
            </w:pPr>
            <w:r>
              <w:rPr>
                <w:i/>
                <w:color w:val="000000"/>
                <w:sz w:val="28"/>
              </w:rPr>
              <w:t>Съпоставяне на положителните последици от помощта с отрицателните последици за конкуренцията и търговията</w:t>
            </w:r>
          </w:p>
        </w:tc>
      </w:tr>
    </w:tbl>
    <w:p w14:paraId="2BA426DC" w14:textId="523B5AF6" w:rsidR="00265702" w:rsidRPr="00863406" w:rsidRDefault="00265702" w:rsidP="000C2EFD">
      <w:pPr>
        <w:keepNext/>
        <w:keepLines/>
        <w:spacing w:before="360" w:after="120"/>
        <w:jc w:val="both"/>
        <w:rPr>
          <w:i/>
          <w:color w:val="000000"/>
        </w:rPr>
      </w:pPr>
      <w:r>
        <w:rPr>
          <w:i/>
        </w:rPr>
        <w:t>За да предоставите информацията в настоящия раздел, моля, вижте раздел 3.3 (точки 71—76) и точки 400—402 от CEEAG.</w:t>
      </w:r>
      <w:r>
        <w:rPr>
          <w:i/>
          <w:color w:val="000000"/>
        </w:rPr>
        <w:t xml:space="preserve"> </w:t>
      </w:r>
    </w:p>
    <w:p w14:paraId="18165957" w14:textId="76C6222C" w:rsidR="004B2EF3" w:rsidRPr="00AC1973" w:rsidRDefault="004B2EF3" w:rsidP="005A4E16">
      <w:pPr>
        <w:keepLines/>
        <w:numPr>
          <w:ilvl w:val="0"/>
          <w:numId w:val="4"/>
        </w:numPr>
        <w:spacing w:before="240"/>
        <w:ind w:left="567" w:hanging="567"/>
        <w:jc w:val="both"/>
      </w:pPr>
      <w:r>
        <w:t>В съответствие с точка 75 от CEEAG, моля, пояснете дали мярката(мерките), предмет на уведомление, включва(т) характеристики за улесняване на участието на МСП. При положителен отговор, моля, представете информация за тези характеристики и обосновете как положителните ефекти от осигуряването на участие и приемане на МСП в мярката(мерките), предмет на уведомление, надхвърлят възможните нарушаващи ефекти.</w:t>
      </w:r>
    </w:p>
    <w:p w14:paraId="2C6E14C8" w14:textId="77777777" w:rsidR="004B2EF3" w:rsidRPr="00AC1973" w:rsidRDefault="004B2EF3" w:rsidP="005A4E16">
      <w:pPr>
        <w:keepLines/>
        <w:tabs>
          <w:tab w:val="left" w:leader="dot" w:pos="9072"/>
        </w:tabs>
        <w:spacing w:before="120" w:after="120"/>
        <w:ind w:left="567"/>
        <w:jc w:val="both"/>
      </w:pPr>
      <w:r>
        <w:tab/>
      </w:r>
    </w:p>
    <w:p w14:paraId="647161AA" w14:textId="41642210" w:rsidR="005C6138" w:rsidRDefault="005C6138" w:rsidP="005A4E16">
      <w:pPr>
        <w:keepLines/>
        <w:numPr>
          <w:ilvl w:val="0"/>
          <w:numId w:val="4"/>
        </w:numPr>
        <w:spacing w:before="240"/>
        <w:ind w:left="567" w:hanging="567"/>
        <w:jc w:val="both"/>
      </w:pPr>
      <w:r>
        <w:t xml:space="preserve">Що се отнася до прилагането на точка 76, буква в) от CEEAG, моля, посочете дали мярката(мерките) за помощ е(са) ограничена(и) във времето. </w:t>
      </w:r>
    </w:p>
    <w:p w14:paraId="52433654" w14:textId="2D5D8B0F" w:rsidR="005C6138" w:rsidRDefault="005C6138" w:rsidP="000C2EFD">
      <w:pPr>
        <w:keepLines/>
        <w:tabs>
          <w:tab w:val="left" w:leader="dot" w:pos="9072"/>
        </w:tabs>
        <w:spacing w:before="120" w:after="36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96537D" w14:paraId="2E5836DE" w14:textId="77777777" w:rsidTr="001C4D88">
        <w:tc>
          <w:tcPr>
            <w:tcW w:w="9322" w:type="dxa"/>
            <w:shd w:val="pct15" w:color="auto" w:fill="auto"/>
          </w:tcPr>
          <w:p w14:paraId="145F7D57" w14:textId="6D91A4BB" w:rsidR="000C2EFD" w:rsidRPr="000C2EFD" w:rsidRDefault="00C33721" w:rsidP="000C2EFD">
            <w:pPr>
              <w:pStyle w:val="Heading1"/>
              <w:keepNext/>
              <w:keepLines/>
              <w:numPr>
                <w:ilvl w:val="1"/>
                <w:numId w:val="24"/>
              </w:numPr>
              <w:ind w:left="1560" w:hanging="480"/>
              <w:rPr>
                <w:i/>
                <w:color w:val="000000"/>
                <w:sz w:val="28"/>
                <w:szCs w:val="28"/>
              </w:rPr>
            </w:pPr>
            <w:r>
              <w:rPr>
                <w:sz w:val="24"/>
              </w:rPr>
              <w:t>Оценка</w:t>
            </w:r>
          </w:p>
        </w:tc>
      </w:tr>
    </w:tbl>
    <w:p w14:paraId="78AC9B95" w14:textId="0E2D785C" w:rsidR="00C33721" w:rsidRPr="0051324D" w:rsidRDefault="00C33721" w:rsidP="000C2EFD">
      <w:pPr>
        <w:keepNext/>
        <w:keepLines/>
        <w:tabs>
          <w:tab w:val="left" w:leader="dot" w:pos="9072"/>
        </w:tabs>
        <w:spacing w:before="120" w:after="120"/>
        <w:ind w:left="567"/>
        <w:jc w:val="both"/>
      </w:pPr>
      <w:r>
        <w:rPr>
          <w:i/>
        </w:rPr>
        <w:t>За да предоставите информацията в настоящия раздел, моля, вижте точка 76, буква а) и глава 5 (точки 455—463) от CEEAG.</w:t>
      </w:r>
    </w:p>
    <w:p w14:paraId="7C72F6EA" w14:textId="04D9ACCD" w:rsidR="00FD7E6B" w:rsidRDefault="00FD7E6B" w:rsidP="005A4E16">
      <w:pPr>
        <w:numPr>
          <w:ilvl w:val="0"/>
          <w:numId w:val="4"/>
        </w:numPr>
        <w:spacing w:before="240"/>
        <w:ind w:left="567" w:hanging="567"/>
        <w:jc w:val="both"/>
      </w:pPr>
      <w:r>
        <w:t>Ако мярката(мерките), за която(ито) е отправено уведомление, надвишава(т) праговете за бюджет/разходи, посочени в точка 456 от CEEAG, моля, обяснете защо според вас следва да се прилага изключението, посочено в точка 457 от CEEAG, или добавете към настоящия формуляр за допълнителна информация приложение, което включва проект на план за оценка, покриващ обхвата, посочен в точка 458 от CEEAG</w:t>
      </w:r>
      <w:r w:rsidRPr="00C7201E">
        <w:rPr>
          <w:rStyle w:val="FootnoteReference"/>
          <w:lang w:eastAsia="en-GB"/>
        </w:rPr>
        <w:footnoteReference w:id="8"/>
      </w:r>
      <w:r>
        <w:t>.</w:t>
      </w:r>
    </w:p>
    <w:p w14:paraId="617779B3" w14:textId="77777777" w:rsidR="00FD7E6B" w:rsidRDefault="00FD7E6B" w:rsidP="00FD7E6B">
      <w:pPr>
        <w:pStyle w:val="ListParagraph"/>
        <w:spacing w:before="120" w:after="120"/>
        <w:ind w:left="0" w:firstLine="567"/>
        <w:contextualSpacing w:val="0"/>
        <w:jc w:val="both"/>
      </w:pPr>
      <w:r>
        <w:t>……………………………………………………………………………………………</w:t>
      </w:r>
    </w:p>
    <w:p w14:paraId="3F84AA42" w14:textId="77777777" w:rsidR="00FD7E6B" w:rsidRDefault="00FD7E6B" w:rsidP="005A4E16">
      <w:pPr>
        <w:keepLines/>
        <w:numPr>
          <w:ilvl w:val="0"/>
          <w:numId w:val="4"/>
        </w:numPr>
        <w:spacing w:before="240"/>
        <w:ind w:left="567" w:hanging="567"/>
        <w:jc w:val="both"/>
      </w:pPr>
      <w:r>
        <w:t>Ако е представен проект на план за оценка, моля:</w:t>
      </w:r>
    </w:p>
    <w:p w14:paraId="5F8484D6" w14:textId="77777777" w:rsidR="00FD7E6B" w:rsidRDefault="00FD7E6B" w:rsidP="005A4E16">
      <w:pPr>
        <w:pStyle w:val="ListParagraph"/>
        <w:keepLines/>
        <w:numPr>
          <w:ilvl w:val="0"/>
          <w:numId w:val="61"/>
        </w:numPr>
        <w:spacing w:before="240" w:after="120"/>
        <w:ind w:left="1434" w:hanging="357"/>
        <w:contextualSpacing w:val="0"/>
        <w:jc w:val="both"/>
      </w:pPr>
      <w:r>
        <w:lastRenderedPageBreak/>
        <w:t>представете по-долу резюме на този проект на план за оценка, включен в приложението;</w:t>
      </w:r>
    </w:p>
    <w:p w14:paraId="79E8DDEE" w14:textId="77777777" w:rsidR="00FD7E6B" w:rsidRDefault="00FD7E6B" w:rsidP="005A4E16">
      <w:pPr>
        <w:pStyle w:val="ListParagraph"/>
        <w:keepLines/>
        <w:spacing w:before="120" w:after="120"/>
        <w:ind w:left="1440"/>
        <w:contextualSpacing w:val="0"/>
        <w:jc w:val="both"/>
      </w:pPr>
      <w:r>
        <w:t>………………………………………………………………………………….</w:t>
      </w:r>
    </w:p>
    <w:p w14:paraId="7596EBA5" w14:textId="42138E94" w:rsidR="00FD7E6B" w:rsidRDefault="00FD7E6B" w:rsidP="005A4E16">
      <w:pPr>
        <w:pStyle w:val="ListParagraph"/>
        <w:keepLines/>
        <w:numPr>
          <w:ilvl w:val="0"/>
          <w:numId w:val="61"/>
        </w:numPr>
        <w:spacing w:before="240" w:after="120"/>
        <w:ind w:left="1434" w:hanging="357"/>
        <w:contextualSpacing w:val="0"/>
        <w:jc w:val="both"/>
      </w:pPr>
      <w:r>
        <w:t>потвърдете, че ще бъде спазена точка 460 от CEEAG;</w:t>
      </w:r>
    </w:p>
    <w:p w14:paraId="39DB0045" w14:textId="77777777" w:rsidR="00FD7E6B" w:rsidRPr="0051324D" w:rsidRDefault="00FD7E6B" w:rsidP="005A4E16">
      <w:pPr>
        <w:pStyle w:val="ListParagraph"/>
        <w:keepLines/>
        <w:spacing w:before="120" w:after="120"/>
        <w:ind w:left="1440"/>
        <w:contextualSpacing w:val="0"/>
        <w:jc w:val="both"/>
      </w:pPr>
      <w:r>
        <w:t xml:space="preserve">…………………………………………………………………………………. </w:t>
      </w:r>
    </w:p>
    <w:p w14:paraId="21A61D20" w14:textId="77777777" w:rsidR="00FD7E6B" w:rsidRDefault="00FD7E6B" w:rsidP="005A4E16">
      <w:pPr>
        <w:pStyle w:val="ListParagraph"/>
        <w:keepLines/>
        <w:numPr>
          <w:ilvl w:val="0"/>
          <w:numId w:val="61"/>
        </w:numPr>
        <w:spacing w:before="240" w:after="120"/>
        <w:ind w:left="1434" w:hanging="357"/>
        <w:contextualSpacing w:val="0"/>
        <w:jc w:val="both"/>
      </w:pPr>
      <w:r>
        <w:t>посочете датата и интернет връзката, на която планът за оценка ще бъде публично достъпен.</w:t>
      </w:r>
    </w:p>
    <w:p w14:paraId="7CB82817" w14:textId="77777777" w:rsidR="00FD7E6B" w:rsidRPr="0051324D" w:rsidRDefault="00FD7E6B" w:rsidP="005A4E16">
      <w:pPr>
        <w:pStyle w:val="ListParagraph"/>
        <w:keepLines/>
        <w:spacing w:before="120" w:after="120"/>
        <w:ind w:left="1440"/>
        <w:contextualSpacing w:val="0"/>
        <w:jc w:val="both"/>
      </w:pPr>
      <w:r>
        <w:t xml:space="preserve">…………………………………………………………………………………. </w:t>
      </w:r>
    </w:p>
    <w:p w14:paraId="3FE707E5" w14:textId="6404AF17" w:rsidR="00FD7E6B" w:rsidRPr="0051324D" w:rsidRDefault="00FD7E6B" w:rsidP="005A4E16">
      <w:pPr>
        <w:numPr>
          <w:ilvl w:val="0"/>
          <w:numId w:val="4"/>
        </w:numPr>
        <w:spacing w:before="240"/>
        <w:ind w:left="567" w:hanging="567"/>
        <w:jc w:val="both"/>
      </w:pPr>
      <w:r>
        <w:t xml:space="preserve">За да се провери съответствието с точка 459, буква б) от CEEAG, в случай че схемата за помощ понастоящем не подлежи на последваща оценка и нейният срок на действие надхвърля три години, моля, потвърдете, че ще изпратите проект на план за оценка в срок от 30 работни дни след всяка значителна промяна, с която бюджетът на схемата се увеличава до стойност над 150 милиона евро за дадена година или 750 милиона евро за целия срок на действие на схемата. </w:t>
      </w:r>
    </w:p>
    <w:p w14:paraId="1D26BAAE" w14:textId="77777777" w:rsidR="00FD7E6B" w:rsidRPr="0051324D" w:rsidRDefault="00FD7E6B" w:rsidP="00FD7E6B">
      <w:pPr>
        <w:tabs>
          <w:tab w:val="left" w:leader="dot" w:pos="9072"/>
        </w:tabs>
        <w:spacing w:before="120" w:after="120"/>
        <w:ind w:left="567"/>
        <w:jc w:val="both"/>
      </w:pPr>
      <w:r>
        <w:tab/>
      </w:r>
    </w:p>
    <w:p w14:paraId="71D45A8F" w14:textId="1CE93415" w:rsidR="00FD7E6B" w:rsidRPr="0051324D" w:rsidRDefault="00FD7E6B" w:rsidP="005A4E16">
      <w:pPr>
        <w:keepLines/>
        <w:numPr>
          <w:ilvl w:val="0"/>
          <w:numId w:val="4"/>
        </w:numPr>
        <w:spacing w:before="240"/>
        <w:ind w:left="567" w:hanging="567"/>
        <w:jc w:val="both"/>
      </w:pPr>
      <w:r>
        <w:t xml:space="preserve">За да се провери съответствието с точка 459, буква в) от CEEAG, в случай че схемата за помощ понастоящем не подлежи на последваща оценка, моля, представете по-долу ангажимент, че държавата членка ще изпрати проект на план за оценка в срок от 30 работни дни след отчитане в официалните сметки на разходи, които надвишават 150 милиона евро за предходната година. </w:t>
      </w:r>
    </w:p>
    <w:p w14:paraId="7AA3065F" w14:textId="77777777" w:rsidR="00FD7E6B" w:rsidRPr="0051324D" w:rsidRDefault="00FD7E6B" w:rsidP="005A4E16">
      <w:pPr>
        <w:keepLines/>
        <w:tabs>
          <w:tab w:val="left" w:leader="dot" w:pos="9072"/>
        </w:tabs>
        <w:spacing w:before="120" w:after="120"/>
        <w:ind w:left="567"/>
        <w:jc w:val="both"/>
      </w:pPr>
      <w:r>
        <w:tab/>
      </w:r>
    </w:p>
    <w:p w14:paraId="5B387667" w14:textId="416FBD5A" w:rsidR="00FD7E6B" w:rsidRPr="0051324D" w:rsidRDefault="00FD7E6B" w:rsidP="005A4E16">
      <w:pPr>
        <w:numPr>
          <w:ilvl w:val="0"/>
          <w:numId w:val="4"/>
        </w:numPr>
        <w:spacing w:before="240"/>
        <w:ind w:left="567" w:hanging="567"/>
        <w:jc w:val="both"/>
      </w:pPr>
      <w:r>
        <w:t>За да се провери съответствието с точка 461 от CEEAG:</w:t>
      </w:r>
    </w:p>
    <w:p w14:paraId="20232C0E" w14:textId="77777777" w:rsidR="00FD7E6B" w:rsidRDefault="00FD7E6B" w:rsidP="005A4E16">
      <w:pPr>
        <w:pStyle w:val="ListParagraph"/>
        <w:keepLines/>
        <w:numPr>
          <w:ilvl w:val="0"/>
          <w:numId w:val="62"/>
        </w:numPr>
        <w:spacing w:before="240" w:after="120"/>
        <w:ind w:left="1434" w:hanging="357"/>
        <w:contextualSpacing w:val="0"/>
        <w:jc w:val="both"/>
      </w:pPr>
      <w:r>
        <w:t>Моля, пояснете дали независимият експерт вече е избран или ще бъде избран в бъдеще.</w:t>
      </w:r>
    </w:p>
    <w:p w14:paraId="005DD860" w14:textId="77777777" w:rsidR="00FD7E6B" w:rsidRPr="0051324D" w:rsidRDefault="00FD7E6B" w:rsidP="005A4E16">
      <w:pPr>
        <w:pStyle w:val="ListParagraph"/>
        <w:keepLines/>
        <w:spacing w:before="120" w:after="120"/>
        <w:ind w:left="1440"/>
        <w:contextualSpacing w:val="0"/>
        <w:jc w:val="both"/>
      </w:pPr>
      <w:r>
        <w:t>…………………………………………………………………………………..</w:t>
      </w:r>
    </w:p>
    <w:p w14:paraId="2B4292B3" w14:textId="77777777" w:rsidR="00FD7E6B" w:rsidRDefault="00FD7E6B" w:rsidP="005A4E16">
      <w:pPr>
        <w:pStyle w:val="ListParagraph"/>
        <w:keepLines/>
        <w:numPr>
          <w:ilvl w:val="0"/>
          <w:numId w:val="62"/>
        </w:numPr>
        <w:spacing w:before="240" w:after="120"/>
        <w:ind w:left="1434" w:hanging="357"/>
        <w:contextualSpacing w:val="0"/>
        <w:jc w:val="both"/>
      </w:pPr>
      <w:r>
        <w:t>Моля, представете информация за процедурата за избор на експерт.</w:t>
      </w:r>
    </w:p>
    <w:p w14:paraId="34029CDE" w14:textId="77777777" w:rsidR="00FD7E6B" w:rsidRPr="0051324D" w:rsidRDefault="00FD7E6B" w:rsidP="005A4E16">
      <w:pPr>
        <w:pStyle w:val="ListParagraph"/>
        <w:keepLines/>
        <w:spacing w:before="120" w:after="120"/>
        <w:ind w:left="1440"/>
        <w:contextualSpacing w:val="0"/>
        <w:jc w:val="both"/>
      </w:pPr>
      <w:r>
        <w:t>………………………………………………………………………………….</w:t>
      </w:r>
    </w:p>
    <w:p w14:paraId="6348CF95" w14:textId="77777777" w:rsidR="00FD7E6B" w:rsidRDefault="00FD7E6B" w:rsidP="005A4E16">
      <w:pPr>
        <w:pStyle w:val="ListParagraph"/>
        <w:keepLines/>
        <w:numPr>
          <w:ilvl w:val="0"/>
          <w:numId w:val="62"/>
        </w:numPr>
        <w:spacing w:before="240" w:after="120"/>
        <w:ind w:left="1434" w:hanging="357"/>
        <w:contextualSpacing w:val="0"/>
        <w:jc w:val="both"/>
      </w:pPr>
      <w:r>
        <w:t>Моля, обосновете по какъв начин експертът е независим от предоставящия помощта орган.</w:t>
      </w:r>
    </w:p>
    <w:p w14:paraId="7B506649" w14:textId="77777777" w:rsidR="00FD7E6B" w:rsidRPr="0051324D" w:rsidRDefault="00FD7E6B" w:rsidP="005A4E16">
      <w:pPr>
        <w:pStyle w:val="ListParagraph"/>
        <w:keepLines/>
        <w:spacing w:before="120" w:after="120"/>
        <w:ind w:left="1440"/>
        <w:contextualSpacing w:val="0"/>
        <w:jc w:val="both"/>
      </w:pPr>
      <w:r>
        <w:t xml:space="preserve">………………………………………………………………………………….. </w:t>
      </w:r>
    </w:p>
    <w:p w14:paraId="5670F295" w14:textId="3D0EAFB6" w:rsidR="00FD7E6B" w:rsidRPr="0051324D" w:rsidRDefault="00FD7E6B" w:rsidP="005A4E16">
      <w:pPr>
        <w:numPr>
          <w:ilvl w:val="0"/>
          <w:numId w:val="4"/>
        </w:numPr>
        <w:spacing w:before="240"/>
        <w:ind w:left="567" w:hanging="567"/>
        <w:jc w:val="both"/>
      </w:pPr>
      <w:r>
        <w:t xml:space="preserve">За да се провери съответствието с точка 461 от CEEAG: </w:t>
      </w:r>
    </w:p>
    <w:p w14:paraId="461725E8" w14:textId="461372EF" w:rsidR="00FD7E6B" w:rsidRPr="0051324D" w:rsidRDefault="00FD7E6B" w:rsidP="005A4E16">
      <w:pPr>
        <w:pStyle w:val="ListParagraph"/>
        <w:numPr>
          <w:ilvl w:val="0"/>
          <w:numId w:val="63"/>
        </w:numPr>
        <w:spacing w:before="240" w:after="120"/>
        <w:ind w:left="1434" w:hanging="357"/>
        <w:contextualSpacing w:val="0"/>
        <w:jc w:val="both"/>
      </w:pPr>
      <w:r>
        <w:t xml:space="preserve">Моля, посочете предложените от вас срокове за представяне на междинния и окончателния доклад за оценка. Моля, обърнете внимание, че окончателният доклад за оценка трябва да бъде представен на Комисията своевременно, за да може тя да оцени възможното удължаване на схемата за помощ, и най-късно девет месеца преди да изтече срокът на действие на схемата, в съответствие с точка 463 от CEEAG. Моля, имайте предвид, че този срок може да бъде съкратен за схеми, при които </w:t>
      </w:r>
      <w:r>
        <w:lastRenderedPageBreak/>
        <w:t>изискването за оценка се задейства през последните две години от тяхното изпълнение.</w:t>
      </w:r>
    </w:p>
    <w:p w14:paraId="0115FEB7" w14:textId="77777777" w:rsidR="00FD7E6B" w:rsidRPr="0051324D" w:rsidRDefault="00FD7E6B" w:rsidP="00FD7E6B">
      <w:pPr>
        <w:tabs>
          <w:tab w:val="left" w:leader="dot" w:pos="9072"/>
        </w:tabs>
        <w:spacing w:before="120" w:after="120"/>
        <w:ind w:left="567"/>
        <w:jc w:val="both"/>
      </w:pPr>
      <w:r>
        <w:t xml:space="preserve"> </w:t>
      </w:r>
      <w:r>
        <w:tab/>
      </w:r>
    </w:p>
    <w:p w14:paraId="3784DF29" w14:textId="405B253E" w:rsidR="00B2631C" w:rsidRPr="0051324D" w:rsidRDefault="00FD7E6B" w:rsidP="005A4E16">
      <w:pPr>
        <w:pStyle w:val="ListParagraph"/>
        <w:numPr>
          <w:ilvl w:val="0"/>
          <w:numId w:val="63"/>
        </w:numPr>
        <w:spacing w:before="240" w:after="360"/>
        <w:ind w:left="1434" w:hanging="357"/>
        <w:contextualSpacing w:val="0"/>
        <w:jc w:val="both"/>
      </w:pPr>
      <w:r>
        <w:t xml:space="preserve">Моля, потвърдете, че междинният и окончателният доклад за оценка ще бъдат оповестени публично. Моля, посочете датата и интернет връзката, на която тези доклади ще бъдат публично достъпни.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51324D" w14:paraId="5AFCC7AE" w14:textId="77777777" w:rsidTr="001C4D88">
        <w:tc>
          <w:tcPr>
            <w:tcW w:w="9322" w:type="dxa"/>
            <w:shd w:val="pct15" w:color="auto" w:fill="auto"/>
          </w:tcPr>
          <w:p w14:paraId="6B1D3811" w14:textId="3D2E08DB" w:rsidR="00627715" w:rsidRPr="0051324D" w:rsidRDefault="00627715" w:rsidP="000C2EFD">
            <w:pPr>
              <w:keepNext/>
              <w:keepLines/>
              <w:numPr>
                <w:ilvl w:val="0"/>
                <w:numId w:val="24"/>
              </w:numPr>
              <w:jc w:val="center"/>
              <w:rPr>
                <w:rFonts w:eastAsia="Times New Roman"/>
                <w:b/>
                <w:i/>
                <w:sz w:val="28"/>
                <w:szCs w:val="28"/>
              </w:rPr>
            </w:pPr>
            <w:r>
              <w:rPr>
                <w:b/>
                <w:i/>
                <w:sz w:val="28"/>
              </w:rPr>
              <w:t>Докладване и мониторинг</w:t>
            </w:r>
          </w:p>
        </w:tc>
      </w:tr>
    </w:tbl>
    <w:p w14:paraId="6E3D4648" w14:textId="673CD232" w:rsidR="00FD7E6B" w:rsidRPr="0051324D" w:rsidRDefault="00FD7E6B" w:rsidP="000C2EFD">
      <w:pPr>
        <w:keepNext/>
        <w:keepLines/>
        <w:tabs>
          <w:tab w:val="left" w:leader="dot" w:pos="9072"/>
        </w:tabs>
        <w:spacing w:before="240" w:after="120"/>
        <w:ind w:left="567"/>
        <w:jc w:val="both"/>
      </w:pPr>
      <w:r>
        <w:rPr>
          <w:i/>
        </w:rPr>
        <w:t>За да предоставите информацията в настоящия раздел, моля, вижте раздел 6 (точки 464—465) от CEEAG.</w:t>
      </w:r>
    </w:p>
    <w:p w14:paraId="3FBE246E" w14:textId="1FB553B4" w:rsidR="00FD7E6B" w:rsidRDefault="00FD7E6B" w:rsidP="005A4E16">
      <w:pPr>
        <w:keepLines/>
        <w:numPr>
          <w:ilvl w:val="0"/>
          <w:numId w:val="4"/>
        </w:numPr>
        <w:spacing w:before="240"/>
        <w:ind w:left="567" w:hanging="567"/>
        <w:jc w:val="both"/>
      </w:pPr>
      <w:r>
        <w:t>Моля, потвърдете, че държавата членка ще спазва изискванията за докладване и мониторинг, предвидени в раздел 6, точки 464 и 465 от CEEAG.</w:t>
      </w:r>
    </w:p>
    <w:p w14:paraId="6B996AF9" w14:textId="34E6B0A9" w:rsidR="00697188" w:rsidRPr="00956022" w:rsidRDefault="00932D56" w:rsidP="00956022">
      <w:pPr>
        <w:keepLines/>
        <w:tabs>
          <w:tab w:val="left" w:leader="dot" w:pos="9072"/>
        </w:tabs>
        <w:spacing w:before="120" w:after="120"/>
        <w:ind w:left="567"/>
        <w:jc w:val="both"/>
        <w:rPr>
          <w:color w:val="00B050"/>
        </w:rPr>
      </w:pPr>
      <w:r>
        <w:tab/>
      </w:r>
    </w:p>
    <w:sectPr w:rsidR="00697188" w:rsidRPr="00956022"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2F631" w14:textId="77777777" w:rsidR="00142173" w:rsidRDefault="00142173" w:rsidP="000442F5">
      <w:r>
        <w:separator/>
      </w:r>
    </w:p>
  </w:endnote>
  <w:endnote w:type="continuationSeparator" w:id="0">
    <w:p w14:paraId="5968032F" w14:textId="77777777" w:rsidR="00142173" w:rsidRDefault="00142173" w:rsidP="000442F5">
      <w:r>
        <w:continuationSeparator/>
      </w:r>
    </w:p>
  </w:endnote>
  <w:endnote w:type="continuationNotice" w:id="1">
    <w:p w14:paraId="22E3267D" w14:textId="77777777" w:rsidR="00142173" w:rsidRDefault="00142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27EAE8D8" w:rsidR="00FE3196" w:rsidRDefault="00FE3196">
    <w:pPr>
      <w:pStyle w:val="Footer"/>
      <w:jc w:val="center"/>
    </w:pPr>
    <w:r>
      <w:fldChar w:fldCharType="begin"/>
    </w:r>
    <w:r>
      <w:instrText xml:space="preserve"> PAGE   \* MERGEFORMAT </w:instrText>
    </w:r>
    <w:r>
      <w:fldChar w:fldCharType="separate"/>
    </w:r>
    <w:r w:rsidR="00243597">
      <w:t>16</w:t>
    </w:r>
    <w:r>
      <w:fldChar w:fldCharType="end"/>
    </w:r>
  </w:p>
  <w:p w14:paraId="75E356FD" w14:textId="77777777" w:rsidR="00FE3196" w:rsidRDefault="00FE3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1E2A" w14:textId="77777777" w:rsidR="00142173" w:rsidRDefault="00142173" w:rsidP="000442F5">
      <w:r>
        <w:separator/>
      </w:r>
    </w:p>
  </w:footnote>
  <w:footnote w:type="continuationSeparator" w:id="0">
    <w:p w14:paraId="4F8BF7A5" w14:textId="77777777" w:rsidR="00142173" w:rsidRDefault="00142173" w:rsidP="000442F5">
      <w:r>
        <w:continuationSeparator/>
      </w:r>
    </w:p>
  </w:footnote>
  <w:footnote w:type="continuationNotice" w:id="1">
    <w:p w14:paraId="22781713" w14:textId="77777777" w:rsidR="00142173" w:rsidRDefault="00142173"/>
  </w:footnote>
  <w:footnote w:id="2">
    <w:p w14:paraId="2E1DAC13" w14:textId="77777777" w:rsidR="00FE3196" w:rsidRPr="0067348B" w:rsidRDefault="00FE3196" w:rsidP="007B485D">
      <w:pPr>
        <w:pStyle w:val="FootnoteText"/>
      </w:pPr>
      <w:r>
        <w:rPr>
          <w:rStyle w:val="FootnoteReference"/>
        </w:rPr>
        <w:footnoteRef/>
      </w:r>
      <w:r>
        <w:tab/>
        <w:t>OB C 80, 18.2.2022 г., стр. 1.</w:t>
      </w:r>
    </w:p>
  </w:footnote>
  <w:footnote w:id="3">
    <w:p w14:paraId="40B31757" w14:textId="710C01BF" w:rsidR="00B77C6D" w:rsidRDefault="00B77C6D" w:rsidP="00B77C6D">
      <w:pPr>
        <w:pStyle w:val="FootnoteText"/>
      </w:pPr>
      <w:r>
        <w:rPr>
          <w:rStyle w:val="FootnoteReference"/>
        </w:rPr>
        <w:footnoteRef/>
      </w:r>
      <w:r>
        <w:tab/>
        <w:t xml:space="preserve">Моля, обърнете внимание, че за схема за помощ срокът на действие е периодът, през който може да се кандидатства за помощ и да се вземе решение за отпускането ѝ (следователно това включва и времето, необходимо на органите да одобрят заявленията за помощ). Срокът на действие, посочен в настоящия въпрос, не се отнася до срока на действие на договорите, сключени в рамките на схемата за помощ, който може да продължи и след изтичането на срока на действие на мярката. </w:t>
      </w:r>
    </w:p>
  </w:footnote>
  <w:footnote w:id="4">
    <w:p w14:paraId="28F42BB8" w14:textId="2923C271" w:rsidR="0068024A" w:rsidRPr="0067348B" w:rsidRDefault="0068024A" w:rsidP="0068024A">
      <w:pPr>
        <w:pStyle w:val="FootnoteText"/>
      </w:pPr>
      <w:r>
        <w:rPr>
          <w:rStyle w:val="FootnoteReference"/>
        </w:rPr>
        <w:footnoteRef/>
      </w:r>
      <w:r>
        <w:tab/>
        <w:t>Моля, имайте предвид, че промяна в действителния или прогнозния бюджет може да представлява изменение на помощта, за което се изисква ново уведомление.</w:t>
      </w:r>
    </w:p>
  </w:footnote>
  <w:footnote w:id="5">
    <w:p w14:paraId="3A832CB6" w14:textId="77777777" w:rsidR="00FE3196" w:rsidRPr="00D6380C" w:rsidRDefault="00FE3196" w:rsidP="00470AF2">
      <w:pPr>
        <w:pStyle w:val="FootnoteText"/>
        <w:ind w:left="567" w:hanging="567"/>
      </w:pPr>
      <w:r>
        <w:rPr>
          <w:rStyle w:val="FootnoteReference"/>
        </w:rPr>
        <w:footnoteRef/>
      </w:r>
      <w:r>
        <w:tab/>
        <w:t>В определението на статистическата класификация на икономическите дейности в Европейската общност (NACE rev. 2), до ниво на дезагрегация, не по-високо от осем цифри (ниво PRODCOM).</w:t>
      </w:r>
    </w:p>
  </w:footnote>
  <w:footnote w:id="6">
    <w:p w14:paraId="555714D6" w14:textId="77777777" w:rsidR="00FE3196" w:rsidRPr="00D91CFC" w:rsidRDefault="00FE3196" w:rsidP="00470AF2">
      <w:pPr>
        <w:pStyle w:val="FootnoteText"/>
        <w:ind w:left="567" w:hanging="567"/>
      </w:pPr>
      <w:r>
        <w:rPr>
          <w:rStyle w:val="FootnoteReference"/>
        </w:rPr>
        <w:footnoteRef/>
      </w:r>
      <w:r>
        <w:tab/>
        <w:t>Например данни, обхващащи значителен процент от брутната добавена стойност на равнището на ЕС за съответния сектор или подсектор.</w:t>
      </w:r>
    </w:p>
  </w:footnote>
  <w:footnote w:id="7">
    <w:p w14:paraId="086AD512" w14:textId="7087BE19" w:rsidR="00FE3196" w:rsidRDefault="00FE3196">
      <w:pPr>
        <w:pStyle w:val="FootnoteText"/>
      </w:pPr>
      <w:r>
        <w:rPr>
          <w:rStyle w:val="FootnoteReference"/>
        </w:rPr>
        <w:footnoteRef/>
      </w:r>
      <w:r>
        <w:tab/>
        <w:t>Финансирането от Съюза, което се управлява централизирано, представлява финансиране от Съюза, което се управлява централизирано от институциите, агенциите, съвместните предприятия или другите органи на Европейски съюз и което не се намира пряко или непряко под контрола на държавата членка.</w:t>
      </w:r>
    </w:p>
  </w:footnote>
  <w:footnote w:id="8">
    <w:p w14:paraId="2FB02E44" w14:textId="77777777" w:rsidR="00FD7E6B" w:rsidRDefault="00FD7E6B" w:rsidP="00FD7E6B">
      <w:pPr>
        <w:pStyle w:val="FootnoteText"/>
      </w:pPr>
      <w:r>
        <w:rPr>
          <w:rStyle w:val="FootnoteReference"/>
        </w:rPr>
        <w:footnoteRef/>
      </w:r>
      <w:r>
        <w:tab/>
        <w:t xml:space="preserve">Образецът на формуляра за допълнителна информация за отправяне на уведомление за план за оценка (част III.8) е достъпен на следния адрес: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FE3196" w:rsidRDefault="00FE319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FE1357"/>
    <w:multiLevelType w:val="hybridMultilevel"/>
    <w:tmpl w:val="529A3EFC"/>
    <w:lvl w:ilvl="0" w:tplc="B3123D2E">
      <w:start w:val="1"/>
      <w:numFmt w:val="decimal"/>
      <w:lvlText w:val="%1."/>
      <w:lvlJc w:val="left"/>
      <w:pPr>
        <w:ind w:left="720" w:hanging="360"/>
      </w:pPr>
      <w:rPr>
        <w:b w:val="0"/>
        <w:i w:val="0"/>
        <w:color w:val="auto"/>
        <w:sz w:val="24"/>
        <w:szCs w:val="24"/>
      </w:rPr>
    </w:lvl>
    <w:lvl w:ilvl="1" w:tplc="DCB0F0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54A0C43"/>
    <w:multiLevelType w:val="hybridMultilevel"/>
    <w:tmpl w:val="143E0D5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AC54A0F"/>
    <w:multiLevelType w:val="hybridMultilevel"/>
    <w:tmpl w:val="12E2B3D6"/>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131D73C0"/>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C9201F"/>
    <w:multiLevelType w:val="hybridMultilevel"/>
    <w:tmpl w:val="F82AFC8A"/>
    <w:lvl w:ilvl="0" w:tplc="1809001B">
      <w:start w:val="1"/>
      <w:numFmt w:val="lowerRoman"/>
      <w:lvlText w:val="%1."/>
      <w:lvlJc w:val="righ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22E60F42"/>
    <w:multiLevelType w:val="hybridMultilevel"/>
    <w:tmpl w:val="8F02C1D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3D96C73"/>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3"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6E1E08"/>
    <w:multiLevelType w:val="hybridMultilevel"/>
    <w:tmpl w:val="9D962A5A"/>
    <w:lvl w:ilvl="0" w:tplc="0809001B">
      <w:start w:val="1"/>
      <w:numFmt w:val="lowerRoman"/>
      <w:lvlText w:val="%1."/>
      <w:lvlJc w:val="right"/>
      <w:pPr>
        <w:ind w:left="1500" w:hanging="360"/>
      </w:p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25" w15:restartNumberingAfterBreak="0">
    <w:nsid w:val="25DE71F7"/>
    <w:multiLevelType w:val="hybridMultilevel"/>
    <w:tmpl w:val="C0843E9C"/>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2B981173"/>
    <w:multiLevelType w:val="hybridMultilevel"/>
    <w:tmpl w:val="390E4B74"/>
    <w:lvl w:ilvl="0" w:tplc="0A5CAF9C">
      <w:start w:val="1"/>
      <w:numFmt w:val="bullet"/>
      <w:lvlText w:val="•"/>
      <w:lvlJc w:val="left"/>
      <w:pPr>
        <w:tabs>
          <w:tab w:val="num" w:pos="720"/>
        </w:tabs>
        <w:ind w:left="720" w:hanging="360"/>
      </w:pPr>
      <w:rPr>
        <w:rFonts w:ascii="Arial" w:hAnsi="Arial" w:hint="default"/>
      </w:rPr>
    </w:lvl>
    <w:lvl w:ilvl="1" w:tplc="753AB0BC" w:tentative="1">
      <w:start w:val="1"/>
      <w:numFmt w:val="bullet"/>
      <w:lvlText w:val="•"/>
      <w:lvlJc w:val="left"/>
      <w:pPr>
        <w:tabs>
          <w:tab w:val="num" w:pos="1440"/>
        </w:tabs>
        <w:ind w:left="1440" w:hanging="360"/>
      </w:pPr>
      <w:rPr>
        <w:rFonts w:ascii="Arial" w:hAnsi="Arial" w:hint="default"/>
      </w:rPr>
    </w:lvl>
    <w:lvl w:ilvl="2" w:tplc="9AB8EFFC" w:tentative="1">
      <w:start w:val="1"/>
      <w:numFmt w:val="bullet"/>
      <w:lvlText w:val="•"/>
      <w:lvlJc w:val="left"/>
      <w:pPr>
        <w:tabs>
          <w:tab w:val="num" w:pos="2160"/>
        </w:tabs>
        <w:ind w:left="2160" w:hanging="360"/>
      </w:pPr>
      <w:rPr>
        <w:rFonts w:ascii="Arial" w:hAnsi="Arial" w:hint="default"/>
      </w:rPr>
    </w:lvl>
    <w:lvl w:ilvl="3" w:tplc="2D00E854" w:tentative="1">
      <w:start w:val="1"/>
      <w:numFmt w:val="bullet"/>
      <w:lvlText w:val="•"/>
      <w:lvlJc w:val="left"/>
      <w:pPr>
        <w:tabs>
          <w:tab w:val="num" w:pos="2880"/>
        </w:tabs>
        <w:ind w:left="2880" w:hanging="360"/>
      </w:pPr>
      <w:rPr>
        <w:rFonts w:ascii="Arial" w:hAnsi="Arial" w:hint="default"/>
      </w:rPr>
    </w:lvl>
    <w:lvl w:ilvl="4" w:tplc="63B485B6" w:tentative="1">
      <w:start w:val="1"/>
      <w:numFmt w:val="bullet"/>
      <w:lvlText w:val="•"/>
      <w:lvlJc w:val="left"/>
      <w:pPr>
        <w:tabs>
          <w:tab w:val="num" w:pos="3600"/>
        </w:tabs>
        <w:ind w:left="3600" w:hanging="360"/>
      </w:pPr>
      <w:rPr>
        <w:rFonts w:ascii="Arial" w:hAnsi="Arial" w:hint="default"/>
      </w:rPr>
    </w:lvl>
    <w:lvl w:ilvl="5" w:tplc="0E1C8F50" w:tentative="1">
      <w:start w:val="1"/>
      <w:numFmt w:val="bullet"/>
      <w:lvlText w:val="•"/>
      <w:lvlJc w:val="left"/>
      <w:pPr>
        <w:tabs>
          <w:tab w:val="num" w:pos="4320"/>
        </w:tabs>
        <w:ind w:left="4320" w:hanging="360"/>
      </w:pPr>
      <w:rPr>
        <w:rFonts w:ascii="Arial" w:hAnsi="Arial" w:hint="default"/>
      </w:rPr>
    </w:lvl>
    <w:lvl w:ilvl="6" w:tplc="85163942" w:tentative="1">
      <w:start w:val="1"/>
      <w:numFmt w:val="bullet"/>
      <w:lvlText w:val="•"/>
      <w:lvlJc w:val="left"/>
      <w:pPr>
        <w:tabs>
          <w:tab w:val="num" w:pos="5040"/>
        </w:tabs>
        <w:ind w:left="5040" w:hanging="360"/>
      </w:pPr>
      <w:rPr>
        <w:rFonts w:ascii="Arial" w:hAnsi="Arial" w:hint="default"/>
      </w:rPr>
    </w:lvl>
    <w:lvl w:ilvl="7" w:tplc="E9A86234" w:tentative="1">
      <w:start w:val="1"/>
      <w:numFmt w:val="bullet"/>
      <w:lvlText w:val="•"/>
      <w:lvlJc w:val="left"/>
      <w:pPr>
        <w:tabs>
          <w:tab w:val="num" w:pos="5760"/>
        </w:tabs>
        <w:ind w:left="5760" w:hanging="360"/>
      </w:pPr>
      <w:rPr>
        <w:rFonts w:ascii="Arial" w:hAnsi="Arial" w:hint="default"/>
      </w:rPr>
    </w:lvl>
    <w:lvl w:ilvl="8" w:tplc="0484BD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2D2A5DF9"/>
    <w:multiLevelType w:val="hybridMultilevel"/>
    <w:tmpl w:val="DEE8E53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9" w15:restartNumberingAfterBreak="0">
    <w:nsid w:val="312B69AE"/>
    <w:multiLevelType w:val="multilevel"/>
    <w:tmpl w:val="3966620A"/>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2875D8"/>
    <w:multiLevelType w:val="hybridMultilevel"/>
    <w:tmpl w:val="442A9438"/>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38490E6F"/>
    <w:multiLevelType w:val="hybridMultilevel"/>
    <w:tmpl w:val="B1243762"/>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3" w15:restartNumberingAfterBreak="0">
    <w:nsid w:val="3BD7593A"/>
    <w:multiLevelType w:val="multilevel"/>
    <w:tmpl w:val="DC8CA2EC"/>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B6C"/>
    <w:multiLevelType w:val="hybridMultilevel"/>
    <w:tmpl w:val="BCB2A9AE"/>
    <w:lvl w:ilvl="0" w:tplc="1809001B">
      <w:start w:val="1"/>
      <w:numFmt w:val="lowerRoman"/>
      <w:lvlText w:val="%1."/>
      <w:lvlJc w:val="right"/>
      <w:pPr>
        <w:ind w:left="1561" w:hanging="360"/>
      </w:pPr>
    </w:lvl>
    <w:lvl w:ilvl="1" w:tplc="18090019" w:tentative="1">
      <w:start w:val="1"/>
      <w:numFmt w:val="lowerLetter"/>
      <w:lvlText w:val="%2."/>
      <w:lvlJc w:val="left"/>
      <w:pPr>
        <w:ind w:left="2281" w:hanging="360"/>
      </w:pPr>
    </w:lvl>
    <w:lvl w:ilvl="2" w:tplc="1809001B" w:tentative="1">
      <w:start w:val="1"/>
      <w:numFmt w:val="lowerRoman"/>
      <w:lvlText w:val="%3."/>
      <w:lvlJc w:val="right"/>
      <w:pPr>
        <w:ind w:left="3001" w:hanging="180"/>
      </w:pPr>
    </w:lvl>
    <w:lvl w:ilvl="3" w:tplc="1809000F" w:tentative="1">
      <w:start w:val="1"/>
      <w:numFmt w:val="decimal"/>
      <w:lvlText w:val="%4."/>
      <w:lvlJc w:val="left"/>
      <w:pPr>
        <w:ind w:left="3721" w:hanging="360"/>
      </w:pPr>
    </w:lvl>
    <w:lvl w:ilvl="4" w:tplc="18090019" w:tentative="1">
      <w:start w:val="1"/>
      <w:numFmt w:val="lowerLetter"/>
      <w:lvlText w:val="%5."/>
      <w:lvlJc w:val="left"/>
      <w:pPr>
        <w:ind w:left="4441" w:hanging="360"/>
      </w:pPr>
    </w:lvl>
    <w:lvl w:ilvl="5" w:tplc="1809001B" w:tentative="1">
      <w:start w:val="1"/>
      <w:numFmt w:val="lowerRoman"/>
      <w:lvlText w:val="%6."/>
      <w:lvlJc w:val="right"/>
      <w:pPr>
        <w:ind w:left="5161" w:hanging="180"/>
      </w:pPr>
    </w:lvl>
    <w:lvl w:ilvl="6" w:tplc="1809000F" w:tentative="1">
      <w:start w:val="1"/>
      <w:numFmt w:val="decimal"/>
      <w:lvlText w:val="%7."/>
      <w:lvlJc w:val="left"/>
      <w:pPr>
        <w:ind w:left="5881" w:hanging="360"/>
      </w:pPr>
    </w:lvl>
    <w:lvl w:ilvl="7" w:tplc="18090019" w:tentative="1">
      <w:start w:val="1"/>
      <w:numFmt w:val="lowerLetter"/>
      <w:lvlText w:val="%8."/>
      <w:lvlJc w:val="left"/>
      <w:pPr>
        <w:ind w:left="6601" w:hanging="360"/>
      </w:pPr>
    </w:lvl>
    <w:lvl w:ilvl="8" w:tplc="1809001B" w:tentative="1">
      <w:start w:val="1"/>
      <w:numFmt w:val="lowerRoman"/>
      <w:lvlText w:val="%9."/>
      <w:lvlJc w:val="right"/>
      <w:pPr>
        <w:ind w:left="7321" w:hanging="180"/>
      </w:pPr>
    </w:lvl>
  </w:abstractNum>
  <w:abstractNum w:abstractNumId="3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3B239D1"/>
    <w:multiLevelType w:val="hybridMultilevel"/>
    <w:tmpl w:val="E52201C4"/>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2B739F"/>
    <w:multiLevelType w:val="hybridMultilevel"/>
    <w:tmpl w:val="FCA03498"/>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7F62D5"/>
    <w:multiLevelType w:val="hybridMultilevel"/>
    <w:tmpl w:val="143E0D5C"/>
    <w:lvl w:ilvl="0" w:tplc="FFFFFFFF">
      <w:start w:val="1"/>
      <w:numFmt w:val="low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7710182"/>
    <w:multiLevelType w:val="hybridMultilevel"/>
    <w:tmpl w:val="5F944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E60392"/>
    <w:multiLevelType w:val="hybridMultilevel"/>
    <w:tmpl w:val="5F944572"/>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45" w15:restartNumberingAfterBreak="0">
    <w:nsid w:val="520554EB"/>
    <w:multiLevelType w:val="hybridMultilevel"/>
    <w:tmpl w:val="0602FE96"/>
    <w:lvl w:ilvl="0" w:tplc="04090019">
      <w:start w:val="1"/>
      <w:numFmt w:val="lowerLetter"/>
      <w:lvlText w:val="%1."/>
      <w:lvlJc w:val="left"/>
      <w:pPr>
        <w:ind w:left="2007"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17182"/>
    <w:multiLevelType w:val="hybridMultilevel"/>
    <w:tmpl w:val="8CC4C880"/>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174D36"/>
    <w:multiLevelType w:val="hybridMultilevel"/>
    <w:tmpl w:val="8CF8A510"/>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2" w15:restartNumberingAfterBreak="0">
    <w:nsid w:val="66A63355"/>
    <w:multiLevelType w:val="hybridMultilevel"/>
    <w:tmpl w:val="FDBE1D26"/>
    <w:lvl w:ilvl="0" w:tplc="82A46EEA">
      <w:start w:val="1"/>
      <w:numFmt w:val="decimal"/>
      <w:lvlText w:val="%1."/>
      <w:lvlJc w:val="left"/>
      <w:pPr>
        <w:ind w:left="786" w:hanging="360"/>
      </w:pPr>
      <w:rPr>
        <w:rFonts w:hint="default"/>
        <w:b/>
        <w:i w:val="0"/>
      </w:rPr>
    </w:lvl>
    <w:lvl w:ilvl="1" w:tplc="CBB2EC0A">
      <w:start w:val="1"/>
      <w:numFmt w:val="lowerRoman"/>
      <w:lvlText w:val="%2."/>
      <w:lvlJc w:val="left"/>
      <w:pPr>
        <w:ind w:left="1069"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6" w15:restartNumberingAfterBreak="0">
    <w:nsid w:val="700B2C1F"/>
    <w:multiLevelType w:val="hybridMultilevel"/>
    <w:tmpl w:val="8CF8A510"/>
    <w:lvl w:ilvl="0" w:tplc="1809001B">
      <w:start w:val="1"/>
      <w:numFmt w:val="lowerRoman"/>
      <w:lvlText w:val="%1."/>
      <w:lvlJc w:val="right"/>
      <w:pPr>
        <w:ind w:left="1080" w:hanging="360"/>
      </w:p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57" w15:restartNumberingAfterBreak="0">
    <w:nsid w:val="70BA71A1"/>
    <w:multiLevelType w:val="hybridMultilevel"/>
    <w:tmpl w:val="AF32BA60"/>
    <w:lvl w:ilvl="0" w:tplc="FFFFFFFF">
      <w:start w:val="1"/>
      <w:numFmt w:val="lowerRoman"/>
      <w:lvlText w:val="%1."/>
      <w:lvlJc w:val="left"/>
      <w:pPr>
        <w:ind w:left="1287" w:hanging="360"/>
      </w:pPr>
      <w:rPr>
        <w:rFonts w:ascii="Times New Roman" w:hAnsi="Times New Roman" w:hint="default"/>
        <w:b w:val="0"/>
        <w:i w:val="0"/>
        <w:sz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8" w15:restartNumberingAfterBreak="0">
    <w:nsid w:val="70D90C7B"/>
    <w:multiLevelType w:val="hybridMultilevel"/>
    <w:tmpl w:val="8F02C1D6"/>
    <w:lvl w:ilvl="0" w:tplc="FFFFFFFF">
      <w:start w:val="1"/>
      <w:numFmt w:val="lowerRoman"/>
      <w:lvlText w:val="%1."/>
      <w:lvlJc w:val="left"/>
      <w:pPr>
        <w:ind w:left="1287" w:hanging="360"/>
      </w:pPr>
      <w:rPr>
        <w:rFonts w:ascii="Times New Roman" w:hAnsi="Times New Roman" w:hint="default"/>
        <w:b w:val="0"/>
        <w:i w:val="0"/>
        <w:sz w:val="24"/>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7C075C"/>
    <w:multiLevelType w:val="hybridMultilevel"/>
    <w:tmpl w:val="143E0D5C"/>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1" w15:restartNumberingAfterBreak="0">
    <w:nsid w:val="7FD43F92"/>
    <w:multiLevelType w:val="hybridMultilevel"/>
    <w:tmpl w:val="EB1AF05C"/>
    <w:lvl w:ilvl="0" w:tplc="C7A0D2A8">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64288736">
    <w:abstractNumId w:val="15"/>
  </w:num>
  <w:num w:numId="2" w16cid:durableId="1901403762">
    <w:abstractNumId w:val="18"/>
  </w:num>
  <w:num w:numId="3" w16cid:durableId="793602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3892">
    <w:abstractNumId w:val="52"/>
  </w:num>
  <w:num w:numId="5" w16cid:durableId="1426266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391809">
    <w:abstractNumId w:val="32"/>
  </w:num>
  <w:num w:numId="7" w16cid:durableId="1629311869">
    <w:abstractNumId w:val="27"/>
  </w:num>
  <w:num w:numId="8" w16cid:durableId="2014868290">
    <w:abstractNumId w:val="14"/>
  </w:num>
  <w:num w:numId="9" w16cid:durableId="1142691522">
    <w:abstractNumId w:val="11"/>
  </w:num>
  <w:num w:numId="10" w16cid:durableId="1809585525">
    <w:abstractNumId w:val="50"/>
  </w:num>
  <w:num w:numId="11" w16cid:durableId="1281380101">
    <w:abstractNumId w:val="53"/>
  </w:num>
  <w:num w:numId="12" w16cid:durableId="1450395249">
    <w:abstractNumId w:val="51"/>
  </w:num>
  <w:num w:numId="13" w16cid:durableId="1598516083">
    <w:abstractNumId w:val="55"/>
  </w:num>
  <w:num w:numId="14" w16cid:durableId="1565531281">
    <w:abstractNumId w:val="22"/>
  </w:num>
  <w:num w:numId="15" w16cid:durableId="1599171890">
    <w:abstractNumId w:val="39"/>
  </w:num>
  <w:num w:numId="16" w16cid:durableId="75826715">
    <w:abstractNumId w:val="7"/>
  </w:num>
  <w:num w:numId="17" w16cid:durableId="1903129642">
    <w:abstractNumId w:val="43"/>
  </w:num>
  <w:num w:numId="18" w16cid:durableId="2090612230">
    <w:abstractNumId w:val="1"/>
  </w:num>
  <w:num w:numId="19" w16cid:durableId="431164181">
    <w:abstractNumId w:val="0"/>
  </w:num>
  <w:num w:numId="20" w16cid:durableId="621501060">
    <w:abstractNumId w:val="46"/>
  </w:num>
  <w:num w:numId="21" w16cid:durableId="595409164">
    <w:abstractNumId w:val="5"/>
  </w:num>
  <w:num w:numId="22" w16cid:durableId="1866480976">
    <w:abstractNumId w:val="9"/>
  </w:num>
  <w:num w:numId="23" w16cid:durableId="241063518">
    <w:abstractNumId w:val="20"/>
  </w:num>
  <w:num w:numId="24" w16cid:durableId="722796745">
    <w:abstractNumId w:val="29"/>
  </w:num>
  <w:num w:numId="25" w16cid:durableId="306739339">
    <w:abstractNumId w:val="23"/>
  </w:num>
  <w:num w:numId="26" w16cid:durableId="1256939364">
    <w:abstractNumId w:val="48"/>
  </w:num>
  <w:num w:numId="27" w16cid:durableId="1976174197">
    <w:abstractNumId w:val="2"/>
  </w:num>
  <w:num w:numId="28" w16cid:durableId="565990862">
    <w:abstractNumId w:val="17"/>
  </w:num>
  <w:num w:numId="29" w16cid:durableId="818764912">
    <w:abstractNumId w:val="54"/>
  </w:num>
  <w:num w:numId="30" w16cid:durableId="1394347601">
    <w:abstractNumId w:val="59"/>
  </w:num>
  <w:num w:numId="31" w16cid:durableId="125856751">
    <w:abstractNumId w:val="12"/>
  </w:num>
  <w:num w:numId="32" w16cid:durableId="1194076316">
    <w:abstractNumId w:val="8"/>
  </w:num>
  <w:num w:numId="33" w16cid:durableId="12998362">
    <w:abstractNumId w:val="36"/>
  </w:num>
  <w:num w:numId="34" w16cid:durableId="324473520">
    <w:abstractNumId w:val="56"/>
  </w:num>
  <w:num w:numId="35" w16cid:durableId="1069619285">
    <w:abstractNumId w:val="56"/>
  </w:num>
  <w:num w:numId="36" w16cid:durableId="804276655">
    <w:abstractNumId w:val="28"/>
  </w:num>
  <w:num w:numId="37" w16cid:durableId="426851395">
    <w:abstractNumId w:val="34"/>
  </w:num>
  <w:num w:numId="38" w16cid:durableId="1291087716">
    <w:abstractNumId w:val="44"/>
  </w:num>
  <w:num w:numId="39" w16cid:durableId="879049738">
    <w:abstractNumId w:val="21"/>
  </w:num>
  <w:num w:numId="40" w16cid:durableId="1291012676">
    <w:abstractNumId w:val="3"/>
  </w:num>
  <w:num w:numId="41" w16cid:durableId="1179075975">
    <w:abstractNumId w:val="24"/>
  </w:num>
  <w:num w:numId="42" w16cid:durableId="914127830">
    <w:abstractNumId w:val="33"/>
  </w:num>
  <w:num w:numId="43" w16cid:durableId="325981968">
    <w:abstractNumId w:val="60"/>
  </w:num>
  <w:num w:numId="44" w16cid:durableId="400449354">
    <w:abstractNumId w:val="10"/>
  </w:num>
  <w:num w:numId="45" w16cid:durableId="1078094331">
    <w:abstractNumId w:val="19"/>
  </w:num>
  <w:num w:numId="46" w16cid:durableId="285435528">
    <w:abstractNumId w:val="30"/>
  </w:num>
  <w:num w:numId="47" w16cid:durableId="1659187236">
    <w:abstractNumId w:val="13"/>
  </w:num>
  <w:num w:numId="48" w16cid:durableId="100295854">
    <w:abstractNumId w:val="58"/>
  </w:num>
  <w:num w:numId="49" w16cid:durableId="1387685173">
    <w:abstractNumId w:val="49"/>
  </w:num>
  <w:num w:numId="50" w16cid:durableId="1251507302">
    <w:abstractNumId w:val="25"/>
  </w:num>
  <w:num w:numId="51" w16cid:durableId="1369523919">
    <w:abstractNumId w:val="40"/>
  </w:num>
  <w:num w:numId="52" w16cid:durableId="2073697349">
    <w:abstractNumId w:val="42"/>
  </w:num>
  <w:num w:numId="53" w16cid:durableId="341126190">
    <w:abstractNumId w:val="6"/>
  </w:num>
  <w:num w:numId="54" w16cid:durableId="270551510">
    <w:abstractNumId w:val="57"/>
  </w:num>
  <w:num w:numId="55" w16cid:durableId="875234966">
    <w:abstractNumId w:val="45"/>
  </w:num>
  <w:num w:numId="56" w16cid:durableId="1025329894">
    <w:abstractNumId w:val="26"/>
  </w:num>
  <w:num w:numId="57" w16cid:durableId="1353653561">
    <w:abstractNumId w:val="37"/>
  </w:num>
  <w:num w:numId="58" w16cid:durableId="600140453">
    <w:abstractNumId w:val="61"/>
  </w:num>
  <w:num w:numId="59" w16cid:durableId="1714843676">
    <w:abstractNumId w:val="31"/>
  </w:num>
  <w:num w:numId="60" w16cid:durableId="1576359169">
    <w:abstractNumId w:val="47"/>
  </w:num>
  <w:num w:numId="61" w16cid:durableId="74594250">
    <w:abstractNumId w:val="38"/>
  </w:num>
  <w:num w:numId="62" w16cid:durableId="1355302933">
    <w:abstractNumId w:val="16"/>
  </w:num>
  <w:num w:numId="63" w16cid:durableId="173122417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442F5"/>
    <w:rsid w:val="00001A9C"/>
    <w:rsid w:val="00004378"/>
    <w:rsid w:val="0000461B"/>
    <w:rsid w:val="00004DA7"/>
    <w:rsid w:val="00011908"/>
    <w:rsid w:val="0001211F"/>
    <w:rsid w:val="00012F14"/>
    <w:rsid w:val="00015204"/>
    <w:rsid w:val="00015E2B"/>
    <w:rsid w:val="00016884"/>
    <w:rsid w:val="00016924"/>
    <w:rsid w:val="00020ECB"/>
    <w:rsid w:val="0002251B"/>
    <w:rsid w:val="000236B2"/>
    <w:rsid w:val="00026DCF"/>
    <w:rsid w:val="00030283"/>
    <w:rsid w:val="000314D8"/>
    <w:rsid w:val="00033005"/>
    <w:rsid w:val="00034704"/>
    <w:rsid w:val="000369C2"/>
    <w:rsid w:val="000405D3"/>
    <w:rsid w:val="00041455"/>
    <w:rsid w:val="00042D7B"/>
    <w:rsid w:val="0004325C"/>
    <w:rsid w:val="000442F5"/>
    <w:rsid w:val="0004464A"/>
    <w:rsid w:val="0004513C"/>
    <w:rsid w:val="000456D8"/>
    <w:rsid w:val="00050EB9"/>
    <w:rsid w:val="00051090"/>
    <w:rsid w:val="000531F9"/>
    <w:rsid w:val="00054C3D"/>
    <w:rsid w:val="00054C7D"/>
    <w:rsid w:val="00055122"/>
    <w:rsid w:val="000575C3"/>
    <w:rsid w:val="00062608"/>
    <w:rsid w:val="00063EA3"/>
    <w:rsid w:val="00067138"/>
    <w:rsid w:val="0006798B"/>
    <w:rsid w:val="00074701"/>
    <w:rsid w:val="00075E12"/>
    <w:rsid w:val="00082E97"/>
    <w:rsid w:val="00086F20"/>
    <w:rsid w:val="000A055E"/>
    <w:rsid w:val="000A1671"/>
    <w:rsid w:val="000A276B"/>
    <w:rsid w:val="000A5825"/>
    <w:rsid w:val="000A5C13"/>
    <w:rsid w:val="000B0AAF"/>
    <w:rsid w:val="000B1BDB"/>
    <w:rsid w:val="000B4557"/>
    <w:rsid w:val="000B46CA"/>
    <w:rsid w:val="000C135B"/>
    <w:rsid w:val="000C2EFD"/>
    <w:rsid w:val="000C3517"/>
    <w:rsid w:val="000C614B"/>
    <w:rsid w:val="000C64AD"/>
    <w:rsid w:val="000D2305"/>
    <w:rsid w:val="000D23DD"/>
    <w:rsid w:val="000D3C54"/>
    <w:rsid w:val="000D7371"/>
    <w:rsid w:val="000E17B5"/>
    <w:rsid w:val="000E630D"/>
    <w:rsid w:val="000E669F"/>
    <w:rsid w:val="000E7DFF"/>
    <w:rsid w:val="000F176E"/>
    <w:rsid w:val="000F7DBD"/>
    <w:rsid w:val="00100464"/>
    <w:rsid w:val="00102684"/>
    <w:rsid w:val="00102E32"/>
    <w:rsid w:val="00105CC5"/>
    <w:rsid w:val="00115C85"/>
    <w:rsid w:val="001169CB"/>
    <w:rsid w:val="00117269"/>
    <w:rsid w:val="00117CBD"/>
    <w:rsid w:val="00120336"/>
    <w:rsid w:val="0012340C"/>
    <w:rsid w:val="00124329"/>
    <w:rsid w:val="00124B6F"/>
    <w:rsid w:val="00125122"/>
    <w:rsid w:val="00126334"/>
    <w:rsid w:val="00135465"/>
    <w:rsid w:val="001368AC"/>
    <w:rsid w:val="0013791D"/>
    <w:rsid w:val="00137C03"/>
    <w:rsid w:val="00140522"/>
    <w:rsid w:val="00142173"/>
    <w:rsid w:val="00142B91"/>
    <w:rsid w:val="00143ABF"/>
    <w:rsid w:val="00144C96"/>
    <w:rsid w:val="00146BEA"/>
    <w:rsid w:val="001474B5"/>
    <w:rsid w:val="001522E4"/>
    <w:rsid w:val="0015340B"/>
    <w:rsid w:val="001548B6"/>
    <w:rsid w:val="001555F0"/>
    <w:rsid w:val="001620DB"/>
    <w:rsid w:val="001622D8"/>
    <w:rsid w:val="00164ADE"/>
    <w:rsid w:val="0016750C"/>
    <w:rsid w:val="00170FBF"/>
    <w:rsid w:val="0017251B"/>
    <w:rsid w:val="00173E14"/>
    <w:rsid w:val="001759B4"/>
    <w:rsid w:val="00175C89"/>
    <w:rsid w:val="0017744F"/>
    <w:rsid w:val="00181BB0"/>
    <w:rsid w:val="0018463C"/>
    <w:rsid w:val="001874A6"/>
    <w:rsid w:val="00191564"/>
    <w:rsid w:val="00192CAA"/>
    <w:rsid w:val="00193E48"/>
    <w:rsid w:val="00196847"/>
    <w:rsid w:val="00197CE8"/>
    <w:rsid w:val="001A4038"/>
    <w:rsid w:val="001A44EB"/>
    <w:rsid w:val="001A7BBF"/>
    <w:rsid w:val="001A7CAC"/>
    <w:rsid w:val="001B0D9B"/>
    <w:rsid w:val="001B645C"/>
    <w:rsid w:val="001B6590"/>
    <w:rsid w:val="001B6DD1"/>
    <w:rsid w:val="001C27EF"/>
    <w:rsid w:val="001C4D88"/>
    <w:rsid w:val="001C5A50"/>
    <w:rsid w:val="001C7129"/>
    <w:rsid w:val="001D3382"/>
    <w:rsid w:val="001D57C9"/>
    <w:rsid w:val="001D69A5"/>
    <w:rsid w:val="001D7EE4"/>
    <w:rsid w:val="001E6859"/>
    <w:rsid w:val="001E7288"/>
    <w:rsid w:val="001F17A4"/>
    <w:rsid w:val="001F56DC"/>
    <w:rsid w:val="001F75B2"/>
    <w:rsid w:val="001F7806"/>
    <w:rsid w:val="0020109B"/>
    <w:rsid w:val="0020702F"/>
    <w:rsid w:val="0020770B"/>
    <w:rsid w:val="00207D52"/>
    <w:rsid w:val="00210BE0"/>
    <w:rsid w:val="00211A92"/>
    <w:rsid w:val="0021220C"/>
    <w:rsid w:val="0022129E"/>
    <w:rsid w:val="00222274"/>
    <w:rsid w:val="0022598D"/>
    <w:rsid w:val="00230614"/>
    <w:rsid w:val="0023543E"/>
    <w:rsid w:val="00235A26"/>
    <w:rsid w:val="00241C49"/>
    <w:rsid w:val="00243597"/>
    <w:rsid w:val="002464D3"/>
    <w:rsid w:val="00250081"/>
    <w:rsid w:val="00250481"/>
    <w:rsid w:val="0025374D"/>
    <w:rsid w:val="002565B7"/>
    <w:rsid w:val="00256F72"/>
    <w:rsid w:val="00263A65"/>
    <w:rsid w:val="00264FE6"/>
    <w:rsid w:val="00265702"/>
    <w:rsid w:val="00266A7C"/>
    <w:rsid w:val="00270917"/>
    <w:rsid w:val="002727F7"/>
    <w:rsid w:val="00276E40"/>
    <w:rsid w:val="00277BC0"/>
    <w:rsid w:val="00280D61"/>
    <w:rsid w:val="00284ADA"/>
    <w:rsid w:val="0029002E"/>
    <w:rsid w:val="00290805"/>
    <w:rsid w:val="0029110A"/>
    <w:rsid w:val="00291ACC"/>
    <w:rsid w:val="002928CD"/>
    <w:rsid w:val="00293076"/>
    <w:rsid w:val="002933E1"/>
    <w:rsid w:val="00295028"/>
    <w:rsid w:val="00295065"/>
    <w:rsid w:val="00295C90"/>
    <w:rsid w:val="0029714D"/>
    <w:rsid w:val="002A11D4"/>
    <w:rsid w:val="002A2303"/>
    <w:rsid w:val="002A3B51"/>
    <w:rsid w:val="002A78C7"/>
    <w:rsid w:val="002B0498"/>
    <w:rsid w:val="002B0F24"/>
    <w:rsid w:val="002B2963"/>
    <w:rsid w:val="002B4509"/>
    <w:rsid w:val="002B52B3"/>
    <w:rsid w:val="002B535F"/>
    <w:rsid w:val="002B6C22"/>
    <w:rsid w:val="002B70C6"/>
    <w:rsid w:val="002C0264"/>
    <w:rsid w:val="002C1559"/>
    <w:rsid w:val="002C1B62"/>
    <w:rsid w:val="002C4CEE"/>
    <w:rsid w:val="002C6636"/>
    <w:rsid w:val="002C6BE5"/>
    <w:rsid w:val="002C6CA8"/>
    <w:rsid w:val="002D014F"/>
    <w:rsid w:val="002D3277"/>
    <w:rsid w:val="002D67D0"/>
    <w:rsid w:val="002D6F97"/>
    <w:rsid w:val="002E10AC"/>
    <w:rsid w:val="002E1B91"/>
    <w:rsid w:val="002F16BD"/>
    <w:rsid w:val="002F4845"/>
    <w:rsid w:val="002F4F73"/>
    <w:rsid w:val="00300062"/>
    <w:rsid w:val="0030040A"/>
    <w:rsid w:val="00302B19"/>
    <w:rsid w:val="003030FB"/>
    <w:rsid w:val="00304535"/>
    <w:rsid w:val="00305DC0"/>
    <w:rsid w:val="00307FC7"/>
    <w:rsid w:val="00312A8F"/>
    <w:rsid w:val="00313947"/>
    <w:rsid w:val="003151F7"/>
    <w:rsid w:val="003160CC"/>
    <w:rsid w:val="00321874"/>
    <w:rsid w:val="00324224"/>
    <w:rsid w:val="00324F09"/>
    <w:rsid w:val="00325713"/>
    <w:rsid w:val="00326F40"/>
    <w:rsid w:val="00327439"/>
    <w:rsid w:val="003342BE"/>
    <w:rsid w:val="00335079"/>
    <w:rsid w:val="003358B3"/>
    <w:rsid w:val="00336A87"/>
    <w:rsid w:val="00341C6B"/>
    <w:rsid w:val="00343948"/>
    <w:rsid w:val="00345523"/>
    <w:rsid w:val="003458AA"/>
    <w:rsid w:val="00346146"/>
    <w:rsid w:val="003469DB"/>
    <w:rsid w:val="00354B4F"/>
    <w:rsid w:val="00355ECB"/>
    <w:rsid w:val="0036160C"/>
    <w:rsid w:val="0036238A"/>
    <w:rsid w:val="0036428C"/>
    <w:rsid w:val="00364FC0"/>
    <w:rsid w:val="003653B6"/>
    <w:rsid w:val="003664A8"/>
    <w:rsid w:val="00372914"/>
    <w:rsid w:val="00373272"/>
    <w:rsid w:val="00374DC2"/>
    <w:rsid w:val="00374F76"/>
    <w:rsid w:val="003764EE"/>
    <w:rsid w:val="003765A5"/>
    <w:rsid w:val="00384B34"/>
    <w:rsid w:val="00385633"/>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4EB8"/>
    <w:rsid w:val="003E2897"/>
    <w:rsid w:val="003E4266"/>
    <w:rsid w:val="003E454B"/>
    <w:rsid w:val="003E6E6B"/>
    <w:rsid w:val="003F629D"/>
    <w:rsid w:val="00403BCE"/>
    <w:rsid w:val="00405732"/>
    <w:rsid w:val="004065A8"/>
    <w:rsid w:val="00407C0A"/>
    <w:rsid w:val="00411A2F"/>
    <w:rsid w:val="004133BD"/>
    <w:rsid w:val="004152C3"/>
    <w:rsid w:val="00415614"/>
    <w:rsid w:val="004165E0"/>
    <w:rsid w:val="00416D76"/>
    <w:rsid w:val="00421F63"/>
    <w:rsid w:val="004261E0"/>
    <w:rsid w:val="00427762"/>
    <w:rsid w:val="00431D32"/>
    <w:rsid w:val="00432738"/>
    <w:rsid w:val="0043413B"/>
    <w:rsid w:val="00435C49"/>
    <w:rsid w:val="00441F0B"/>
    <w:rsid w:val="0044249A"/>
    <w:rsid w:val="00445F48"/>
    <w:rsid w:val="004473F5"/>
    <w:rsid w:val="00447EAC"/>
    <w:rsid w:val="004525DA"/>
    <w:rsid w:val="00452F5A"/>
    <w:rsid w:val="004556D2"/>
    <w:rsid w:val="00457D2B"/>
    <w:rsid w:val="00470AF2"/>
    <w:rsid w:val="00470D98"/>
    <w:rsid w:val="00471B74"/>
    <w:rsid w:val="00473E7F"/>
    <w:rsid w:val="004755F4"/>
    <w:rsid w:val="004776A4"/>
    <w:rsid w:val="0048026D"/>
    <w:rsid w:val="004810CA"/>
    <w:rsid w:val="00483882"/>
    <w:rsid w:val="00484374"/>
    <w:rsid w:val="00497548"/>
    <w:rsid w:val="00497669"/>
    <w:rsid w:val="004B0C34"/>
    <w:rsid w:val="004B10B5"/>
    <w:rsid w:val="004B2A42"/>
    <w:rsid w:val="004B2EF3"/>
    <w:rsid w:val="004B4A25"/>
    <w:rsid w:val="004B5C2A"/>
    <w:rsid w:val="004B74BC"/>
    <w:rsid w:val="004C0064"/>
    <w:rsid w:val="004C1FBF"/>
    <w:rsid w:val="004D061A"/>
    <w:rsid w:val="004D1161"/>
    <w:rsid w:val="004D14A6"/>
    <w:rsid w:val="004D34AD"/>
    <w:rsid w:val="004D6830"/>
    <w:rsid w:val="004D6B12"/>
    <w:rsid w:val="004D718B"/>
    <w:rsid w:val="004E0647"/>
    <w:rsid w:val="004E1CCE"/>
    <w:rsid w:val="004F16F9"/>
    <w:rsid w:val="004F192A"/>
    <w:rsid w:val="004F1FC4"/>
    <w:rsid w:val="004F64BC"/>
    <w:rsid w:val="004F668D"/>
    <w:rsid w:val="005003AE"/>
    <w:rsid w:val="00501DBF"/>
    <w:rsid w:val="0050219C"/>
    <w:rsid w:val="005021C4"/>
    <w:rsid w:val="00502FC2"/>
    <w:rsid w:val="005039EF"/>
    <w:rsid w:val="00503FD6"/>
    <w:rsid w:val="00504F2E"/>
    <w:rsid w:val="00507D75"/>
    <w:rsid w:val="005105A1"/>
    <w:rsid w:val="0051165C"/>
    <w:rsid w:val="00512A31"/>
    <w:rsid w:val="0051324D"/>
    <w:rsid w:val="00514375"/>
    <w:rsid w:val="00520368"/>
    <w:rsid w:val="00523E17"/>
    <w:rsid w:val="00526607"/>
    <w:rsid w:val="00526ADF"/>
    <w:rsid w:val="00526E16"/>
    <w:rsid w:val="0053006D"/>
    <w:rsid w:val="00531803"/>
    <w:rsid w:val="005333AD"/>
    <w:rsid w:val="00533AE4"/>
    <w:rsid w:val="0054037E"/>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1EE0"/>
    <w:rsid w:val="00592A5F"/>
    <w:rsid w:val="005A2000"/>
    <w:rsid w:val="005A295A"/>
    <w:rsid w:val="005A370E"/>
    <w:rsid w:val="005A412F"/>
    <w:rsid w:val="005A4D83"/>
    <w:rsid w:val="005A4E16"/>
    <w:rsid w:val="005B1A69"/>
    <w:rsid w:val="005B2B50"/>
    <w:rsid w:val="005B2FED"/>
    <w:rsid w:val="005B40D5"/>
    <w:rsid w:val="005B7DF0"/>
    <w:rsid w:val="005C0DBD"/>
    <w:rsid w:val="005C2ABA"/>
    <w:rsid w:val="005C5481"/>
    <w:rsid w:val="005C6138"/>
    <w:rsid w:val="005C6594"/>
    <w:rsid w:val="005C7B32"/>
    <w:rsid w:val="005D105E"/>
    <w:rsid w:val="005E0688"/>
    <w:rsid w:val="005E3625"/>
    <w:rsid w:val="005F0397"/>
    <w:rsid w:val="005F0E0A"/>
    <w:rsid w:val="005F4A56"/>
    <w:rsid w:val="005F6E6B"/>
    <w:rsid w:val="00606D3F"/>
    <w:rsid w:val="00611562"/>
    <w:rsid w:val="00612783"/>
    <w:rsid w:val="00613560"/>
    <w:rsid w:val="0061499B"/>
    <w:rsid w:val="00615130"/>
    <w:rsid w:val="006209FA"/>
    <w:rsid w:val="00622E98"/>
    <w:rsid w:val="00624493"/>
    <w:rsid w:val="00626791"/>
    <w:rsid w:val="00627715"/>
    <w:rsid w:val="00633726"/>
    <w:rsid w:val="00633A78"/>
    <w:rsid w:val="0064082D"/>
    <w:rsid w:val="006445C3"/>
    <w:rsid w:val="00644950"/>
    <w:rsid w:val="006461A6"/>
    <w:rsid w:val="00660F14"/>
    <w:rsid w:val="00663008"/>
    <w:rsid w:val="00663F9A"/>
    <w:rsid w:val="00665B4F"/>
    <w:rsid w:val="006668D8"/>
    <w:rsid w:val="00671053"/>
    <w:rsid w:val="0067348B"/>
    <w:rsid w:val="006773CE"/>
    <w:rsid w:val="00677805"/>
    <w:rsid w:val="00677E67"/>
    <w:rsid w:val="0068024A"/>
    <w:rsid w:val="006813BD"/>
    <w:rsid w:val="00686963"/>
    <w:rsid w:val="006906AE"/>
    <w:rsid w:val="00697188"/>
    <w:rsid w:val="00697BDC"/>
    <w:rsid w:val="006B0930"/>
    <w:rsid w:val="006B1712"/>
    <w:rsid w:val="006B2D40"/>
    <w:rsid w:val="006B59A2"/>
    <w:rsid w:val="006B6657"/>
    <w:rsid w:val="006B7161"/>
    <w:rsid w:val="006C5CF1"/>
    <w:rsid w:val="006D10E1"/>
    <w:rsid w:val="006D38D6"/>
    <w:rsid w:val="006D6281"/>
    <w:rsid w:val="006D6AED"/>
    <w:rsid w:val="006E34F7"/>
    <w:rsid w:val="006E59A1"/>
    <w:rsid w:val="006F217F"/>
    <w:rsid w:val="006F256F"/>
    <w:rsid w:val="006F2898"/>
    <w:rsid w:val="006F4C55"/>
    <w:rsid w:val="006F55B6"/>
    <w:rsid w:val="006F666A"/>
    <w:rsid w:val="007019E7"/>
    <w:rsid w:val="00701D5B"/>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22A3"/>
    <w:rsid w:val="00734FD0"/>
    <w:rsid w:val="007415FC"/>
    <w:rsid w:val="00741A7A"/>
    <w:rsid w:val="00741C93"/>
    <w:rsid w:val="00744840"/>
    <w:rsid w:val="00745B62"/>
    <w:rsid w:val="0074772E"/>
    <w:rsid w:val="00750C29"/>
    <w:rsid w:val="00752850"/>
    <w:rsid w:val="00753463"/>
    <w:rsid w:val="00753B93"/>
    <w:rsid w:val="00754C35"/>
    <w:rsid w:val="0075622E"/>
    <w:rsid w:val="007629B8"/>
    <w:rsid w:val="00762E7A"/>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A39"/>
    <w:rsid w:val="007B7B48"/>
    <w:rsid w:val="007C0A44"/>
    <w:rsid w:val="007C0C88"/>
    <w:rsid w:val="007C158E"/>
    <w:rsid w:val="007C240B"/>
    <w:rsid w:val="007C2757"/>
    <w:rsid w:val="007C4E0C"/>
    <w:rsid w:val="007C69A7"/>
    <w:rsid w:val="007C72F6"/>
    <w:rsid w:val="007D1561"/>
    <w:rsid w:val="007D1E08"/>
    <w:rsid w:val="007D3544"/>
    <w:rsid w:val="007D3768"/>
    <w:rsid w:val="007D3C86"/>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183F"/>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3DBA"/>
    <w:rsid w:val="00846B27"/>
    <w:rsid w:val="00846CE7"/>
    <w:rsid w:val="008515FB"/>
    <w:rsid w:val="0085208E"/>
    <w:rsid w:val="00853AC4"/>
    <w:rsid w:val="00855B10"/>
    <w:rsid w:val="00860FF1"/>
    <w:rsid w:val="008618B1"/>
    <w:rsid w:val="00861D9F"/>
    <w:rsid w:val="00863406"/>
    <w:rsid w:val="00863626"/>
    <w:rsid w:val="00864DCD"/>
    <w:rsid w:val="00865A9D"/>
    <w:rsid w:val="00865FFC"/>
    <w:rsid w:val="00866C66"/>
    <w:rsid w:val="008674C0"/>
    <w:rsid w:val="00870C6A"/>
    <w:rsid w:val="008806FA"/>
    <w:rsid w:val="008828D4"/>
    <w:rsid w:val="008848B5"/>
    <w:rsid w:val="008861D9"/>
    <w:rsid w:val="00890F0D"/>
    <w:rsid w:val="008948A5"/>
    <w:rsid w:val="00897919"/>
    <w:rsid w:val="008A18BC"/>
    <w:rsid w:val="008A3CB7"/>
    <w:rsid w:val="008A559D"/>
    <w:rsid w:val="008A5B68"/>
    <w:rsid w:val="008A7E93"/>
    <w:rsid w:val="008B1377"/>
    <w:rsid w:val="008B16AB"/>
    <w:rsid w:val="008B1CA3"/>
    <w:rsid w:val="008B1E43"/>
    <w:rsid w:val="008C001A"/>
    <w:rsid w:val="008C3068"/>
    <w:rsid w:val="008C3AB2"/>
    <w:rsid w:val="008C5759"/>
    <w:rsid w:val="008D0214"/>
    <w:rsid w:val="008D1DCC"/>
    <w:rsid w:val="008D2AB4"/>
    <w:rsid w:val="008D37F9"/>
    <w:rsid w:val="008D3856"/>
    <w:rsid w:val="008D467D"/>
    <w:rsid w:val="008D5571"/>
    <w:rsid w:val="008D71EF"/>
    <w:rsid w:val="008E0275"/>
    <w:rsid w:val="008E4062"/>
    <w:rsid w:val="008E4E94"/>
    <w:rsid w:val="008F12AC"/>
    <w:rsid w:val="008F26C5"/>
    <w:rsid w:val="008F2CDE"/>
    <w:rsid w:val="008F3C10"/>
    <w:rsid w:val="008F5A1E"/>
    <w:rsid w:val="009000F0"/>
    <w:rsid w:val="00900825"/>
    <w:rsid w:val="0090138C"/>
    <w:rsid w:val="009046DC"/>
    <w:rsid w:val="00904729"/>
    <w:rsid w:val="00904979"/>
    <w:rsid w:val="00911C6C"/>
    <w:rsid w:val="009159A7"/>
    <w:rsid w:val="009162D0"/>
    <w:rsid w:val="00920B9C"/>
    <w:rsid w:val="00921247"/>
    <w:rsid w:val="0092172E"/>
    <w:rsid w:val="00925EF8"/>
    <w:rsid w:val="0093046D"/>
    <w:rsid w:val="00931262"/>
    <w:rsid w:val="009329F1"/>
    <w:rsid w:val="00932D56"/>
    <w:rsid w:val="00936573"/>
    <w:rsid w:val="009368F1"/>
    <w:rsid w:val="00937DCD"/>
    <w:rsid w:val="009412D3"/>
    <w:rsid w:val="0094429F"/>
    <w:rsid w:val="00945368"/>
    <w:rsid w:val="00945643"/>
    <w:rsid w:val="00947BCE"/>
    <w:rsid w:val="00956022"/>
    <w:rsid w:val="00957D47"/>
    <w:rsid w:val="00961876"/>
    <w:rsid w:val="0096537D"/>
    <w:rsid w:val="00965B98"/>
    <w:rsid w:val="0096752D"/>
    <w:rsid w:val="00970EF3"/>
    <w:rsid w:val="00980D9E"/>
    <w:rsid w:val="009813AF"/>
    <w:rsid w:val="00981863"/>
    <w:rsid w:val="00981C71"/>
    <w:rsid w:val="009861F5"/>
    <w:rsid w:val="0098722B"/>
    <w:rsid w:val="009914C8"/>
    <w:rsid w:val="009916D5"/>
    <w:rsid w:val="00993AF1"/>
    <w:rsid w:val="009965BA"/>
    <w:rsid w:val="00996699"/>
    <w:rsid w:val="009A5820"/>
    <w:rsid w:val="009A606D"/>
    <w:rsid w:val="009B23EB"/>
    <w:rsid w:val="009B2A4B"/>
    <w:rsid w:val="009B2F61"/>
    <w:rsid w:val="009B6EA8"/>
    <w:rsid w:val="009C275F"/>
    <w:rsid w:val="009D0772"/>
    <w:rsid w:val="009D15AC"/>
    <w:rsid w:val="009D22F2"/>
    <w:rsid w:val="009D3BC5"/>
    <w:rsid w:val="009D65D3"/>
    <w:rsid w:val="009D6AD7"/>
    <w:rsid w:val="009E2C04"/>
    <w:rsid w:val="009E2EA1"/>
    <w:rsid w:val="009E309F"/>
    <w:rsid w:val="009E3717"/>
    <w:rsid w:val="009E4296"/>
    <w:rsid w:val="009E5AE0"/>
    <w:rsid w:val="009F4041"/>
    <w:rsid w:val="00A05235"/>
    <w:rsid w:val="00A151E7"/>
    <w:rsid w:val="00A2108A"/>
    <w:rsid w:val="00A22402"/>
    <w:rsid w:val="00A255BF"/>
    <w:rsid w:val="00A25D46"/>
    <w:rsid w:val="00A27600"/>
    <w:rsid w:val="00A27E0C"/>
    <w:rsid w:val="00A33BDE"/>
    <w:rsid w:val="00A35E9E"/>
    <w:rsid w:val="00A4067B"/>
    <w:rsid w:val="00A40CA2"/>
    <w:rsid w:val="00A42834"/>
    <w:rsid w:val="00A44765"/>
    <w:rsid w:val="00A45079"/>
    <w:rsid w:val="00A51C4A"/>
    <w:rsid w:val="00A54EFB"/>
    <w:rsid w:val="00A56D68"/>
    <w:rsid w:val="00A56FE6"/>
    <w:rsid w:val="00A6007A"/>
    <w:rsid w:val="00A66FA2"/>
    <w:rsid w:val="00A70104"/>
    <w:rsid w:val="00A7131E"/>
    <w:rsid w:val="00A77677"/>
    <w:rsid w:val="00A77F76"/>
    <w:rsid w:val="00A84D63"/>
    <w:rsid w:val="00A86D0B"/>
    <w:rsid w:val="00A87C34"/>
    <w:rsid w:val="00A90A15"/>
    <w:rsid w:val="00A94C5F"/>
    <w:rsid w:val="00A97DDF"/>
    <w:rsid w:val="00AA0C07"/>
    <w:rsid w:val="00AA1CA7"/>
    <w:rsid w:val="00AA251D"/>
    <w:rsid w:val="00AA36A9"/>
    <w:rsid w:val="00AA6F85"/>
    <w:rsid w:val="00AA7DB4"/>
    <w:rsid w:val="00AB322D"/>
    <w:rsid w:val="00AB47A1"/>
    <w:rsid w:val="00AB606C"/>
    <w:rsid w:val="00AB6B5D"/>
    <w:rsid w:val="00AB7338"/>
    <w:rsid w:val="00AB745F"/>
    <w:rsid w:val="00AC16A7"/>
    <w:rsid w:val="00AC40CB"/>
    <w:rsid w:val="00AC5B96"/>
    <w:rsid w:val="00AD0976"/>
    <w:rsid w:val="00AD3A3E"/>
    <w:rsid w:val="00AE093E"/>
    <w:rsid w:val="00AE2795"/>
    <w:rsid w:val="00AE4020"/>
    <w:rsid w:val="00AF1422"/>
    <w:rsid w:val="00AF203B"/>
    <w:rsid w:val="00AF3BAB"/>
    <w:rsid w:val="00AF3E4A"/>
    <w:rsid w:val="00AF520F"/>
    <w:rsid w:val="00AF79E9"/>
    <w:rsid w:val="00B049F9"/>
    <w:rsid w:val="00B05591"/>
    <w:rsid w:val="00B06A84"/>
    <w:rsid w:val="00B07E32"/>
    <w:rsid w:val="00B10F0D"/>
    <w:rsid w:val="00B13D02"/>
    <w:rsid w:val="00B13E24"/>
    <w:rsid w:val="00B15313"/>
    <w:rsid w:val="00B15E54"/>
    <w:rsid w:val="00B2002A"/>
    <w:rsid w:val="00B21377"/>
    <w:rsid w:val="00B246B7"/>
    <w:rsid w:val="00B249F6"/>
    <w:rsid w:val="00B24D9B"/>
    <w:rsid w:val="00B2631C"/>
    <w:rsid w:val="00B26532"/>
    <w:rsid w:val="00B27DBF"/>
    <w:rsid w:val="00B32478"/>
    <w:rsid w:val="00B35F1C"/>
    <w:rsid w:val="00B418CC"/>
    <w:rsid w:val="00B420EA"/>
    <w:rsid w:val="00B42D95"/>
    <w:rsid w:val="00B45260"/>
    <w:rsid w:val="00B47CDB"/>
    <w:rsid w:val="00B47D6F"/>
    <w:rsid w:val="00B5282E"/>
    <w:rsid w:val="00B54884"/>
    <w:rsid w:val="00B54E5F"/>
    <w:rsid w:val="00B568A2"/>
    <w:rsid w:val="00B56D14"/>
    <w:rsid w:val="00B578A9"/>
    <w:rsid w:val="00B615B4"/>
    <w:rsid w:val="00B62996"/>
    <w:rsid w:val="00B62EDD"/>
    <w:rsid w:val="00B647FD"/>
    <w:rsid w:val="00B70355"/>
    <w:rsid w:val="00B72939"/>
    <w:rsid w:val="00B745B3"/>
    <w:rsid w:val="00B76185"/>
    <w:rsid w:val="00B76FB9"/>
    <w:rsid w:val="00B77C6D"/>
    <w:rsid w:val="00B80746"/>
    <w:rsid w:val="00B815E3"/>
    <w:rsid w:val="00B856FB"/>
    <w:rsid w:val="00B87223"/>
    <w:rsid w:val="00B91BE0"/>
    <w:rsid w:val="00B932EC"/>
    <w:rsid w:val="00B942E0"/>
    <w:rsid w:val="00B94D0D"/>
    <w:rsid w:val="00BA0515"/>
    <w:rsid w:val="00BA42C6"/>
    <w:rsid w:val="00BA5751"/>
    <w:rsid w:val="00BA7606"/>
    <w:rsid w:val="00BB0FC6"/>
    <w:rsid w:val="00BB1DF5"/>
    <w:rsid w:val="00BB2068"/>
    <w:rsid w:val="00BB56D1"/>
    <w:rsid w:val="00BC0409"/>
    <w:rsid w:val="00BC1A80"/>
    <w:rsid w:val="00BC250F"/>
    <w:rsid w:val="00BC2DAA"/>
    <w:rsid w:val="00BC5DDD"/>
    <w:rsid w:val="00BC61CF"/>
    <w:rsid w:val="00BC7F53"/>
    <w:rsid w:val="00BD2DC7"/>
    <w:rsid w:val="00BD33A7"/>
    <w:rsid w:val="00BD7C58"/>
    <w:rsid w:val="00BE07DE"/>
    <w:rsid w:val="00BE09C7"/>
    <w:rsid w:val="00BE4C16"/>
    <w:rsid w:val="00BE6629"/>
    <w:rsid w:val="00BE702A"/>
    <w:rsid w:val="00BE757A"/>
    <w:rsid w:val="00BF09E3"/>
    <w:rsid w:val="00BF32AF"/>
    <w:rsid w:val="00BF38BD"/>
    <w:rsid w:val="00BF53A3"/>
    <w:rsid w:val="00BF716C"/>
    <w:rsid w:val="00BF71F6"/>
    <w:rsid w:val="00C0147D"/>
    <w:rsid w:val="00C01760"/>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17C85"/>
    <w:rsid w:val="00C24D2F"/>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296A"/>
    <w:rsid w:val="00C63D7C"/>
    <w:rsid w:val="00C63FA7"/>
    <w:rsid w:val="00C64270"/>
    <w:rsid w:val="00C66590"/>
    <w:rsid w:val="00C667C0"/>
    <w:rsid w:val="00C707A0"/>
    <w:rsid w:val="00C70CD0"/>
    <w:rsid w:val="00C70D68"/>
    <w:rsid w:val="00C713DD"/>
    <w:rsid w:val="00C75792"/>
    <w:rsid w:val="00C842AF"/>
    <w:rsid w:val="00C8481E"/>
    <w:rsid w:val="00C86C53"/>
    <w:rsid w:val="00C90797"/>
    <w:rsid w:val="00C963D4"/>
    <w:rsid w:val="00CA1921"/>
    <w:rsid w:val="00CA3172"/>
    <w:rsid w:val="00CA6ADC"/>
    <w:rsid w:val="00CA7A4A"/>
    <w:rsid w:val="00CB09E0"/>
    <w:rsid w:val="00CB253B"/>
    <w:rsid w:val="00CB43A7"/>
    <w:rsid w:val="00CB6E9E"/>
    <w:rsid w:val="00CC08F3"/>
    <w:rsid w:val="00CC09AC"/>
    <w:rsid w:val="00CC1756"/>
    <w:rsid w:val="00CC1891"/>
    <w:rsid w:val="00CC1A2C"/>
    <w:rsid w:val="00CC29A8"/>
    <w:rsid w:val="00CC373C"/>
    <w:rsid w:val="00CC3843"/>
    <w:rsid w:val="00CC7D76"/>
    <w:rsid w:val="00CC7EFA"/>
    <w:rsid w:val="00CD3C50"/>
    <w:rsid w:val="00CD498E"/>
    <w:rsid w:val="00CD6B86"/>
    <w:rsid w:val="00CD6ED4"/>
    <w:rsid w:val="00CE1ED6"/>
    <w:rsid w:val="00CE2275"/>
    <w:rsid w:val="00CF0917"/>
    <w:rsid w:val="00CF1135"/>
    <w:rsid w:val="00CF412D"/>
    <w:rsid w:val="00D00AB5"/>
    <w:rsid w:val="00D01C6E"/>
    <w:rsid w:val="00D06B73"/>
    <w:rsid w:val="00D073C2"/>
    <w:rsid w:val="00D07969"/>
    <w:rsid w:val="00D10FE7"/>
    <w:rsid w:val="00D12079"/>
    <w:rsid w:val="00D13239"/>
    <w:rsid w:val="00D1529E"/>
    <w:rsid w:val="00D2287A"/>
    <w:rsid w:val="00D24240"/>
    <w:rsid w:val="00D25DD0"/>
    <w:rsid w:val="00D25FB9"/>
    <w:rsid w:val="00D2673A"/>
    <w:rsid w:val="00D275BF"/>
    <w:rsid w:val="00D304A1"/>
    <w:rsid w:val="00D3076E"/>
    <w:rsid w:val="00D357DF"/>
    <w:rsid w:val="00D37676"/>
    <w:rsid w:val="00D43837"/>
    <w:rsid w:val="00D53859"/>
    <w:rsid w:val="00D54947"/>
    <w:rsid w:val="00D55ACA"/>
    <w:rsid w:val="00D56E44"/>
    <w:rsid w:val="00D605C9"/>
    <w:rsid w:val="00D6096B"/>
    <w:rsid w:val="00D60E5A"/>
    <w:rsid w:val="00D61D41"/>
    <w:rsid w:val="00D7055C"/>
    <w:rsid w:val="00D70FE9"/>
    <w:rsid w:val="00D72037"/>
    <w:rsid w:val="00D72D27"/>
    <w:rsid w:val="00D7525E"/>
    <w:rsid w:val="00D75D58"/>
    <w:rsid w:val="00D77A43"/>
    <w:rsid w:val="00D81C3B"/>
    <w:rsid w:val="00D84DA0"/>
    <w:rsid w:val="00D90307"/>
    <w:rsid w:val="00D90AAC"/>
    <w:rsid w:val="00D90BD8"/>
    <w:rsid w:val="00D93836"/>
    <w:rsid w:val="00D95B36"/>
    <w:rsid w:val="00D97B3D"/>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586F"/>
    <w:rsid w:val="00DF76BD"/>
    <w:rsid w:val="00DF7875"/>
    <w:rsid w:val="00E02B81"/>
    <w:rsid w:val="00E142B1"/>
    <w:rsid w:val="00E152E7"/>
    <w:rsid w:val="00E15CCB"/>
    <w:rsid w:val="00E1791B"/>
    <w:rsid w:val="00E21EC7"/>
    <w:rsid w:val="00E30A75"/>
    <w:rsid w:val="00E32327"/>
    <w:rsid w:val="00E32AD5"/>
    <w:rsid w:val="00E330EC"/>
    <w:rsid w:val="00E33385"/>
    <w:rsid w:val="00E338F5"/>
    <w:rsid w:val="00E34D0D"/>
    <w:rsid w:val="00E35BE1"/>
    <w:rsid w:val="00E41869"/>
    <w:rsid w:val="00E4424D"/>
    <w:rsid w:val="00E446F2"/>
    <w:rsid w:val="00E47719"/>
    <w:rsid w:val="00E528A7"/>
    <w:rsid w:val="00E52B4D"/>
    <w:rsid w:val="00E535D8"/>
    <w:rsid w:val="00E5484B"/>
    <w:rsid w:val="00E55631"/>
    <w:rsid w:val="00E573FA"/>
    <w:rsid w:val="00E57872"/>
    <w:rsid w:val="00E661B9"/>
    <w:rsid w:val="00E70B1A"/>
    <w:rsid w:val="00E71C59"/>
    <w:rsid w:val="00E74034"/>
    <w:rsid w:val="00E74CAF"/>
    <w:rsid w:val="00E754D1"/>
    <w:rsid w:val="00E7597C"/>
    <w:rsid w:val="00E775B4"/>
    <w:rsid w:val="00E77DDE"/>
    <w:rsid w:val="00E80F06"/>
    <w:rsid w:val="00E8390C"/>
    <w:rsid w:val="00E86C23"/>
    <w:rsid w:val="00E9233A"/>
    <w:rsid w:val="00EA272E"/>
    <w:rsid w:val="00EA30DD"/>
    <w:rsid w:val="00EA354A"/>
    <w:rsid w:val="00EA5AC6"/>
    <w:rsid w:val="00EA5CBC"/>
    <w:rsid w:val="00EA609E"/>
    <w:rsid w:val="00EA7FBC"/>
    <w:rsid w:val="00EB2530"/>
    <w:rsid w:val="00EB2A67"/>
    <w:rsid w:val="00EB2CDE"/>
    <w:rsid w:val="00EB33B1"/>
    <w:rsid w:val="00EB3C44"/>
    <w:rsid w:val="00EB4633"/>
    <w:rsid w:val="00EB4C63"/>
    <w:rsid w:val="00EB5D7F"/>
    <w:rsid w:val="00EB6682"/>
    <w:rsid w:val="00EB729D"/>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066BF"/>
    <w:rsid w:val="00F1014F"/>
    <w:rsid w:val="00F1260A"/>
    <w:rsid w:val="00F137D5"/>
    <w:rsid w:val="00F14A91"/>
    <w:rsid w:val="00F17D00"/>
    <w:rsid w:val="00F248A0"/>
    <w:rsid w:val="00F25D42"/>
    <w:rsid w:val="00F269D3"/>
    <w:rsid w:val="00F30F01"/>
    <w:rsid w:val="00F32C74"/>
    <w:rsid w:val="00F33CC0"/>
    <w:rsid w:val="00F36456"/>
    <w:rsid w:val="00F40098"/>
    <w:rsid w:val="00F41459"/>
    <w:rsid w:val="00F50E99"/>
    <w:rsid w:val="00F52A81"/>
    <w:rsid w:val="00F5520A"/>
    <w:rsid w:val="00F60172"/>
    <w:rsid w:val="00F605A7"/>
    <w:rsid w:val="00F61519"/>
    <w:rsid w:val="00F65835"/>
    <w:rsid w:val="00F65B17"/>
    <w:rsid w:val="00F6756A"/>
    <w:rsid w:val="00F710BE"/>
    <w:rsid w:val="00F7280F"/>
    <w:rsid w:val="00F73CA6"/>
    <w:rsid w:val="00F760AD"/>
    <w:rsid w:val="00F76B39"/>
    <w:rsid w:val="00F7705E"/>
    <w:rsid w:val="00F83660"/>
    <w:rsid w:val="00F8461C"/>
    <w:rsid w:val="00F8597E"/>
    <w:rsid w:val="00FA1F8A"/>
    <w:rsid w:val="00FA5166"/>
    <w:rsid w:val="00FA5348"/>
    <w:rsid w:val="00FA6322"/>
    <w:rsid w:val="00FA67D4"/>
    <w:rsid w:val="00FB041C"/>
    <w:rsid w:val="00FB1406"/>
    <w:rsid w:val="00FB1FC5"/>
    <w:rsid w:val="00FB1FD6"/>
    <w:rsid w:val="00FB2CFC"/>
    <w:rsid w:val="00FB2E17"/>
    <w:rsid w:val="00FB40DF"/>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D7297"/>
    <w:rsid w:val="00FD7E6B"/>
    <w:rsid w:val="00FE281D"/>
    <w:rsid w:val="00FE3044"/>
    <w:rsid w:val="00FE3196"/>
    <w:rsid w:val="00FE59FF"/>
    <w:rsid w:val="00FE7025"/>
    <w:rsid w:val="00FE7C85"/>
    <w:rsid w:val="00FF137F"/>
    <w:rsid w:val="00FF1BF6"/>
    <w:rsid w:val="00FF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bg-BG"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00"/>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bg-BG"/>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bg-BG"/>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68024A"/>
    <w:rPr>
      <w:sz w:val="24"/>
      <w:lang w:val="bg-B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585188751">
      <w:bodyDiv w:val="1"/>
      <w:marLeft w:val="0"/>
      <w:marRight w:val="0"/>
      <w:marTop w:val="0"/>
      <w:marBottom w:val="0"/>
      <w:divBdr>
        <w:top w:val="none" w:sz="0" w:space="0" w:color="auto"/>
        <w:left w:val="none" w:sz="0" w:space="0" w:color="auto"/>
        <w:bottom w:val="none" w:sz="0" w:space="0" w:color="auto"/>
        <w:right w:val="none" w:sz="0" w:space="0" w:color="auto"/>
      </w:divBdr>
    </w:div>
    <w:div w:id="665473747">
      <w:bodyDiv w:val="1"/>
      <w:marLeft w:val="0"/>
      <w:marRight w:val="0"/>
      <w:marTop w:val="0"/>
      <w:marBottom w:val="0"/>
      <w:divBdr>
        <w:top w:val="none" w:sz="0" w:space="0" w:color="auto"/>
        <w:left w:val="none" w:sz="0" w:space="0" w:color="auto"/>
        <w:bottom w:val="none" w:sz="0" w:space="0" w:color="auto"/>
        <w:right w:val="none" w:sz="0" w:space="0" w:color="auto"/>
      </w:divBdr>
      <w:divsChild>
        <w:div w:id="263811431">
          <w:marLeft w:val="446"/>
          <w:marRight w:val="0"/>
          <w:marTop w:val="0"/>
          <w:marBottom w:val="0"/>
          <w:divBdr>
            <w:top w:val="none" w:sz="0" w:space="0" w:color="auto"/>
            <w:left w:val="none" w:sz="0" w:space="0" w:color="auto"/>
            <w:bottom w:val="none" w:sz="0" w:space="0" w:color="auto"/>
            <w:right w:val="none" w:sz="0" w:space="0" w:color="auto"/>
          </w:divBdr>
        </w:div>
      </w:divsChild>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2752865">
      <w:bodyDiv w:val="1"/>
      <w:marLeft w:val="0"/>
      <w:marRight w:val="0"/>
      <w:marTop w:val="0"/>
      <w:marBottom w:val="0"/>
      <w:divBdr>
        <w:top w:val="none" w:sz="0" w:space="0" w:color="auto"/>
        <w:left w:val="none" w:sz="0" w:space="0" w:color="auto"/>
        <w:bottom w:val="none" w:sz="0" w:space="0" w:color="auto"/>
        <w:right w:val="none" w:sz="0" w:space="0" w:color="auto"/>
      </w:divBdr>
      <w:divsChild>
        <w:div w:id="1873805476">
          <w:marLeft w:val="1166"/>
          <w:marRight w:val="0"/>
          <w:marTop w:val="0"/>
          <w:marBottom w:val="0"/>
          <w:divBdr>
            <w:top w:val="none" w:sz="0" w:space="0" w:color="auto"/>
            <w:left w:val="none" w:sz="0" w:space="0" w:color="auto"/>
            <w:bottom w:val="none" w:sz="0" w:space="0" w:color="auto"/>
            <w:right w:val="none" w:sz="0" w:space="0" w:color="auto"/>
          </w:divBdr>
        </w:div>
        <w:div w:id="1014263292">
          <w:marLeft w:val="1166"/>
          <w:marRight w:val="0"/>
          <w:marTop w:val="0"/>
          <w:marBottom w:val="0"/>
          <w:divBdr>
            <w:top w:val="none" w:sz="0" w:space="0" w:color="auto"/>
            <w:left w:val="none" w:sz="0" w:space="0" w:color="auto"/>
            <w:bottom w:val="none" w:sz="0" w:space="0" w:color="auto"/>
            <w:right w:val="none" w:sz="0" w:space="0" w:color="auto"/>
          </w:divBdr>
        </w:div>
        <w:div w:id="2059350478">
          <w:marLeft w:val="1166"/>
          <w:marRight w:val="0"/>
          <w:marTop w:val="0"/>
          <w:marBottom w:val="0"/>
          <w:divBdr>
            <w:top w:val="none" w:sz="0" w:space="0" w:color="auto"/>
            <w:left w:val="none" w:sz="0" w:space="0" w:color="auto"/>
            <w:bottom w:val="none" w:sz="0" w:space="0" w:color="auto"/>
            <w:right w:val="none" w:sz="0" w:space="0" w:color="auto"/>
          </w:divBdr>
        </w:div>
      </w:divsChild>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236E7BA1538E8D44B6EF7A1F30261CA7" ma:contentTypeVersion="5" ma:contentTypeDescription="Upload a any type of Document to this Document Library, Tag and Categorize." ma:contentTypeScope="" ma:versionID="cbadaa2d528840816611599b21ad1f4c">
  <xsd:schema xmlns:xsd="http://www.w3.org/2001/XMLSchema" xmlns:xs="http://www.w3.org/2001/XMLSchema" xmlns:p="http://schemas.microsoft.com/office/2006/metadata/properties" xmlns:ns1="01a4cf75-cd7c-4298-a8d0-4b1c71ad45b4" targetNamespace="http://schemas.microsoft.com/office/2006/metadata/properties" ma:root="true" ma:fieldsID="fd3a69f157b82fb3cfe0c7c6fc0f49a9" ns1:_="">
    <xsd:import namespace="01a4cf75-cd7c-4298-a8d0-4b1c71ad45b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ie39855556fa4c99b694f0a9c496cf5f" minOccurs="0"/>
                <xsd:element ref="ns1:TaxCatchAll" minOccurs="0"/>
                <xsd:element ref="ns1:TaxCatchAllLabel" minOccurs="0"/>
                <xsd:element ref="ns1:n3a4edb2db6145639abd532a94f4c96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4cf75-cd7c-4298-a8d0-4b1c71ad45b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ie39855556fa4c99b694f0a9c496cf5f" ma:index="6" nillable="true" ma:taxonomy="true" ma:internalName="ie39855556fa4c99b694f0a9c496cf5f" ma:taxonomyFieldName="documentGeneralTags" ma:displayName="General Tags" ma:fieldId="{2e398555-56fa-4c99-b694-f0a9c496cf5f}"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1abade67-9eb3-4e61-b5c5-ab5df2d3602d}" ma:internalName="TaxCatchAll" ma:showField="CatchAllData"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1abade67-9eb3-4e61-b5c5-ab5df2d3602d}" ma:internalName="TaxCatchAllLabel" ma:readOnly="true" ma:showField="CatchAllDataLabel" ma:web="01a4cf75-cd7c-4298-a8d0-4b1c71ad45b4">
      <xsd:complexType>
        <xsd:complexContent>
          <xsd:extension base="dms:MultiChoiceLookup">
            <xsd:sequence>
              <xsd:element name="Value" type="dms:Lookup" maxOccurs="unbounded" minOccurs="0" nillable="true"/>
            </xsd:sequence>
          </xsd:extension>
        </xsd:complexContent>
      </xsd:complexType>
    </xsd:element>
    <xsd:element name="n3a4edb2db6145639abd532a94f4c96e" ma:index="10" nillable="true" ma:taxonomy="true" ma:internalName="n3a4edb2db6145639abd532a94f4c96e" ma:taxonomyFieldName="documentCaseTags" ma:displayName="Case Tags" ma:fieldId="{73a4edb2-db61-4563-9abd-532a94f4c96e}" ma:taxonomyMulti="true" ma:sspId="0b3cc5dc-dc2a-4346-9392-57628a0b46cb" ma:termSetId="b67886b4-2d11-412b-b11a-f12f2e978deb"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01a4cf75-cd7c-4298-a8d0-4b1c71ad45b4" xsi:nil="true"/>
    <n3a4edb2db6145639abd532a94f4c96e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n3a4edb2db6145639abd532a94f4c96e>
    <TaxCatchAll xmlns="01a4cf75-cd7c-4298-a8d0-4b1c71ad45b4"/>
    <documentTitle xmlns="01a4cf75-cd7c-4298-a8d0-4b1c71ad45b4" xsi:nil="true"/>
    <documentFollowUp xmlns="01a4cf75-cd7c-4298-a8d0-4b1c71ad45b4" xsi:nil="true"/>
    <ie39855556fa4c99b694f0a9c496cf5f xmlns="01a4cf75-cd7c-4298-a8d0-4b1c71ad45b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e39855556fa4c99b694f0a9c496cf5f>
    <_dlc_DocId xmlns="01a4cf75-cd7c-4298-a8d0-4b1c71ad45b4">COMPCOLLAB-850037142-143</_dlc_DocId>
    <_dlc_DocIdUrl xmlns="01a4cf75-cd7c-4298-a8d0-4b1c71ad45b4">
      <Url>https://compcollab.ec.europa.eu/cases/HT.6305/_layouts/15/DocIdRedir.aspx?ID=COMPCOLLAB-850037142-143</Url>
      <Description>COMPCOLLAB-850037142-143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A5062FFC-6034-4120-86A5-2632A8EA6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4cf75-cd7c-4298-a8d0-4b1c71ad4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7A9470-DE6F-4C4A-82C3-4C8849CF12FA}">
  <ds:schemaRefs>
    <ds:schemaRef ds:uri="http://schemas.openxmlformats.org/officeDocument/2006/bibliography"/>
  </ds:schemaRefs>
</ds:datastoreItem>
</file>

<file path=customXml/itemProps3.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 ds:uri="01a4cf75-cd7c-4298-a8d0-4b1c71ad45b4"/>
  </ds:schemaRefs>
</ds:datastoreItem>
</file>

<file path=customXml/itemProps4.xml><?xml version="1.0" encoding="utf-8"?>
<ds:datastoreItem xmlns:ds="http://schemas.openxmlformats.org/officeDocument/2006/customXml" ds:itemID="{D52C06CA-21D3-4CD0-95B2-A3BF4E61382A}">
  <ds:schemaRefs>
    <ds:schemaRef ds:uri="http://schemas.microsoft.com/sharepoint/events"/>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4269</Words>
  <Characters>23869</Characters>
  <Application>Microsoft Office Word</Application>
  <DocSecurity>0</DocSecurity>
  <Lines>542</Lines>
  <Paragraphs>167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cp:lastModifiedBy>ACKERT Hannes (COMP)</cp:lastModifiedBy>
  <cp:revision>6</cp:revision>
  <cp:lastPrinted>2022-10-05T12:42:00Z</cp:lastPrinted>
  <dcterms:created xsi:type="dcterms:W3CDTF">2024-08-01T10:54:00Z</dcterms:created>
  <dcterms:modified xsi:type="dcterms:W3CDTF">2024-09-06T15:07:00Z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879263d8-fe1a-40fc-8c5e-7698afca9b9f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0x01010400988603A364794F7AA753E65AAE73280500236E7BA1538E8D44B6EF7A1F30261CA7</vt:lpwstr>
  </property>
  <property fmtid="{D5CDD505-2E9C-101B-9397-08002B2CF9AE}" pid="8" name="MSIP_Label_6bd9ddd1-4d20-43f6-abfa-fc3c07406f94_Enabled">
    <vt:lpwstr>true</vt:lpwstr>
  </property>
  <property fmtid="{D5CDD505-2E9C-101B-9397-08002B2CF9AE}" pid="9" name="MSIP_Label_6bd9ddd1-4d20-43f6-abfa-fc3c07406f94_SetDate">
    <vt:lpwstr>2023-02-27T13:51:16Z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fb72a0e4-dd28-473f-9c53-f93dbebb1a15</vt:lpwstr>
  </property>
  <property fmtid="{D5CDD505-2E9C-101B-9397-08002B2CF9AE}" pid="14" name="MSIP_Label_6bd9ddd1-4d20-43f6-abfa-fc3c07406f94_ContentBits">
    <vt:lpwstr>0</vt:lpwstr>
  </property>
</Properties>
</file>