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EECF0" w14:textId="56424371" w:rsidR="001F64EA" w:rsidRPr="00FE24BF" w:rsidRDefault="001F64EA" w:rsidP="001F64EA">
      <w:pPr>
        <w:pStyle w:val="ManualHeading2"/>
        <w:rPr>
          <w:noProof/>
          <w:color w:val="000000"/>
          <w:szCs w:val="24"/>
        </w:rPr>
      </w:pPr>
      <w:r w:rsidRPr="00FE24BF">
        <w:rPr>
          <w:noProof/>
        </w:rPr>
        <w:t>DEEL III.1.B</w:t>
      </w:r>
      <w:r>
        <w:rPr>
          <w:noProof/>
        </w:rPr>
        <w:t xml:space="preserve"> - </w:t>
      </w:r>
      <w:r w:rsidRPr="00FE24BF">
        <w:rPr>
          <w:noProof/>
          <w:color w:val="000000"/>
        </w:rPr>
        <w:t>FORMULIER AANVULLENDE INFORMATIE VOOR REGELINGEN VOOR REGIONALE INVESTERINGSSTEUN</w:t>
      </w:r>
    </w:p>
    <w:p w14:paraId="3FF4951E" w14:textId="77777777" w:rsidR="001F64EA" w:rsidRPr="00FE24BF" w:rsidRDefault="001F64EA" w:rsidP="001F64EA">
      <w:pPr>
        <w:rPr>
          <w:i/>
          <w:iCs/>
          <w:noProof/>
          <w:szCs w:val="24"/>
        </w:rPr>
      </w:pPr>
      <w:r w:rsidRPr="00FE24BF">
        <w:rPr>
          <w:i/>
          <w:noProof/>
        </w:rPr>
        <w:t>U bent niet verplicht dit formulier aanvullende informatie in te vullen. Het verdient echter aanbeveling om naast het formulier “Algemene informatie” ook dit formulier in te vullen voor de aanmelding van individuele investeringssteun die valt onder de richtsnoeren inzake regionale steunmaatregelen die vanaf 1 januari 2022 van toepassing zijn (“de richtsnoeren”)</w:t>
      </w:r>
      <w:r w:rsidRPr="00FE24BF">
        <w:rPr>
          <w:rStyle w:val="FootnoteReference"/>
          <w:noProof/>
        </w:rPr>
        <w:footnoteReference w:id="1"/>
      </w:r>
      <w:r w:rsidRPr="00FE24BF">
        <w:rPr>
          <w:noProof/>
        </w:rPr>
        <w:t>.</w:t>
      </w:r>
      <w:r w:rsidRPr="00FE24BF">
        <w:rPr>
          <w:i/>
          <w:noProof/>
        </w:rPr>
        <w:t xml:space="preserve"> </w:t>
      </w:r>
    </w:p>
    <w:p w14:paraId="25098940" w14:textId="42E5B0A4" w:rsidR="001F64EA" w:rsidRPr="00FE24BF" w:rsidRDefault="001F64EA" w:rsidP="001F64EA">
      <w:pPr>
        <w:pStyle w:val="Heading1"/>
        <w:rPr>
          <w:noProof/>
        </w:rPr>
      </w:pPr>
      <w:r w:rsidRPr="00FE24BF">
        <w:rPr>
          <w:noProof/>
        </w:rPr>
        <w:t>Toepassingsgebied</w:t>
      </w:r>
    </w:p>
    <w:p w14:paraId="79E31E8F" w14:textId="77777777" w:rsidR="001F64EA" w:rsidRPr="00FE24BF" w:rsidRDefault="001F64EA" w:rsidP="001F64EA">
      <w:pPr>
        <w:pStyle w:val="NormalKop111"/>
        <w:numPr>
          <w:ilvl w:val="1"/>
          <w:numId w:val="22"/>
        </w:numPr>
        <w:tabs>
          <w:tab w:val="clear" w:pos="720"/>
          <w:tab w:val="clear" w:pos="1440"/>
          <w:tab w:val="clear" w:pos="1797"/>
        </w:tabs>
        <w:ind w:left="709" w:hanging="709"/>
        <w:rPr>
          <w:noProof/>
        </w:rPr>
      </w:pPr>
      <w:r w:rsidRPr="00FE24BF">
        <w:rPr>
          <w:noProof/>
        </w:rPr>
        <w:t>Waarom meldt u de regeling aan, in plaats van haar ten uitvoer te leggen op grond van de algemene groepsvrijstellingsverordening (“AGVV”)</w:t>
      </w:r>
      <w:r w:rsidRPr="00FE24BF">
        <w:rPr>
          <w:rStyle w:val="FootnoteReference"/>
          <w:rFonts w:cs="Times New Roman"/>
          <w:noProof/>
        </w:rPr>
        <w:footnoteReference w:id="2"/>
      </w:r>
      <w:r w:rsidRPr="00FE24BF">
        <w:rPr>
          <w:noProof/>
        </w:rPr>
        <w:t xml:space="preserve"> of de de-minimisverordening</w:t>
      </w:r>
      <w:r w:rsidRPr="00FE24BF">
        <w:rPr>
          <w:rStyle w:val="FootnoteReference"/>
          <w:noProof/>
        </w:rPr>
        <w:footnoteReference w:id="3"/>
      </w:r>
      <w:r w:rsidRPr="00FE24BF">
        <w:rPr>
          <w:noProof/>
        </w:rPr>
        <w:t>?</w:t>
      </w:r>
    </w:p>
    <w:p w14:paraId="19184AA3" w14:textId="77777777" w:rsidR="001F64EA" w:rsidRPr="00FE24BF" w:rsidRDefault="00C00B04" w:rsidP="001F64EA">
      <w:pPr>
        <w:pStyle w:val="Tiret2"/>
        <w:rPr>
          <w:noProof/>
        </w:rPr>
      </w:pPr>
      <w:sdt>
        <w:sdtPr>
          <w:rPr>
            <w:noProof/>
          </w:rPr>
          <w:id w:val="1152482089"/>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De aanmelding betreft een sectorale regeling. Geef in dat geval de sector waarop de regeling betrekking heeft (NACE-code):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64EA" w:rsidRPr="00FE24BF" w14:paraId="5739E261" w14:textId="77777777" w:rsidTr="00DE0F24">
        <w:tc>
          <w:tcPr>
            <w:tcW w:w="7672" w:type="dxa"/>
            <w:shd w:val="clear" w:color="auto" w:fill="auto"/>
          </w:tcPr>
          <w:p w14:paraId="53F41E43" w14:textId="77777777" w:rsidR="001F64EA" w:rsidRPr="00FE24BF" w:rsidRDefault="001F64EA" w:rsidP="00DE0F24">
            <w:pPr>
              <w:rPr>
                <w:noProof/>
              </w:rPr>
            </w:pPr>
            <w:r w:rsidRPr="00FE24BF">
              <w:rPr>
                <w:noProof/>
              </w:rPr>
              <w:t xml:space="preserve">… </w:t>
            </w:r>
          </w:p>
        </w:tc>
      </w:tr>
    </w:tbl>
    <w:p w14:paraId="62AE8E9C" w14:textId="77777777" w:rsidR="001F64EA" w:rsidRPr="00FE24BF" w:rsidRDefault="00C00B04" w:rsidP="001F64EA">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rFonts w:ascii="MS Gothic" w:hAnsi="MS Gothic"/>
          <w:noProof/>
        </w:rPr>
        <w:t xml:space="preserve"> </w:t>
      </w:r>
      <w:r w:rsidR="001F64EA" w:rsidRPr="00FE24BF">
        <w:rPr>
          <w:noProof/>
        </w:rPr>
        <w:t xml:space="preserve">Andere. namelijk: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64EA" w:rsidRPr="00FE24BF" w14:paraId="25754FFE" w14:textId="77777777" w:rsidTr="00DE0F24">
        <w:tc>
          <w:tcPr>
            <w:tcW w:w="8391" w:type="dxa"/>
            <w:shd w:val="clear" w:color="auto" w:fill="auto"/>
          </w:tcPr>
          <w:p w14:paraId="5DA1DBAC" w14:textId="77777777" w:rsidR="001F64EA" w:rsidRPr="00FE24BF" w:rsidRDefault="001F64EA" w:rsidP="00DE0F24">
            <w:pPr>
              <w:rPr>
                <w:noProof/>
              </w:rPr>
            </w:pPr>
            <w:r w:rsidRPr="00FE24BF">
              <w:rPr>
                <w:noProof/>
              </w:rPr>
              <w:t xml:space="preserve">… </w:t>
            </w:r>
          </w:p>
        </w:tc>
      </w:tr>
    </w:tbl>
    <w:p w14:paraId="208A9C71" w14:textId="77777777" w:rsidR="001F64EA" w:rsidRPr="00FE24BF" w:rsidRDefault="001F64EA" w:rsidP="001F64EA">
      <w:pPr>
        <w:pStyle w:val="NormalKop111"/>
        <w:numPr>
          <w:ilvl w:val="1"/>
          <w:numId w:val="22"/>
        </w:numPr>
        <w:tabs>
          <w:tab w:val="clear" w:pos="720"/>
          <w:tab w:val="clear" w:pos="1440"/>
          <w:tab w:val="clear" w:pos="1797"/>
        </w:tabs>
        <w:ind w:left="709" w:hanging="709"/>
        <w:rPr>
          <w:noProof/>
        </w:rPr>
      </w:pPr>
      <w:r w:rsidRPr="00FE24BF">
        <w:rPr>
          <w:noProof/>
        </w:rPr>
        <w:t>Toepassingsgebied van de aangemelde regeling</w:t>
      </w:r>
    </w:p>
    <w:p w14:paraId="00A05460"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Bevestig dat de rechtsgrondslag voor de aangemelde regeling een verplichting bevat om individuele steun aan een begunstigde bij de Commissie aan te melden indien de uit alle bronnen verleende steun de in de algemene groepsvrijstellingsverordening (“AGVV”) bepaalde individuele aanmeldingsdrempel voor regionale investeringssteun overschrijdt (punt 22 van de richtsnoeren).</w:t>
      </w:r>
    </w:p>
    <w:p w14:paraId="21D198A1" w14:textId="77777777" w:rsidR="001F64EA" w:rsidRPr="00FE24BF" w:rsidRDefault="001F64EA" w:rsidP="001F64EA">
      <w:pPr>
        <w:pStyle w:val="Text2"/>
        <w:rPr>
          <w:noProof/>
        </w:rPr>
      </w:pPr>
      <w:r w:rsidRPr="00FE24BF">
        <w:rPr>
          <w:noProof/>
        </w:rPr>
        <w:t xml:space="preserve">Geef hier de referentie naar de desbetreffende bepaling in de rechtsgrondslag: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64EA" w:rsidRPr="00FE24BF" w14:paraId="252DB78E" w14:textId="77777777" w:rsidTr="00DE0F24">
        <w:tc>
          <w:tcPr>
            <w:tcW w:w="8391" w:type="dxa"/>
            <w:shd w:val="clear" w:color="auto" w:fill="auto"/>
          </w:tcPr>
          <w:p w14:paraId="00D92359" w14:textId="77777777" w:rsidR="001F64EA" w:rsidRPr="00FE24BF" w:rsidRDefault="001F64EA" w:rsidP="00DE0F24">
            <w:pPr>
              <w:rPr>
                <w:noProof/>
              </w:rPr>
            </w:pPr>
            <w:r w:rsidRPr="00FE24BF">
              <w:rPr>
                <w:noProof/>
              </w:rPr>
              <w:t xml:space="preserve">… </w:t>
            </w:r>
          </w:p>
        </w:tc>
      </w:tr>
    </w:tbl>
    <w:p w14:paraId="65E796D8"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 xml:space="preserve">Bevestig dat de rechtsgrondslag voor de aangemelde regeling een verplichting inhoudt om individuele steun aan een begunstigde bij de Commissie aan te melden, tenzij de begunstigde 1) heeft bevestigd dat hij in de twee jaar voorafgaand aan de steunaanvraag geen verplaatsing heeft uitgevoerd naar de vestiging waar de initiële investering moet plaatsvinden en 2) zich ertoe heeft verbonden die verplaatsing niet te doen gedurende een periode van maximaal </w:t>
      </w:r>
      <w:r w:rsidRPr="00FE24BF">
        <w:rPr>
          <w:noProof/>
        </w:rPr>
        <w:lastRenderedPageBreak/>
        <w:t>twee jaar na de voltooiing van de initiële investering. (punt 23 van de richtsnoeren)</w:t>
      </w:r>
    </w:p>
    <w:p w14:paraId="0092B869"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 xml:space="preserve">Geef hier de referentie naar de desbetreffende bepaling in de rechtsgrondslag: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1F64EA" w:rsidRPr="00FE24BF" w14:paraId="394298D7" w14:textId="77777777" w:rsidTr="00DE0F24">
        <w:tc>
          <w:tcPr>
            <w:tcW w:w="8391" w:type="dxa"/>
            <w:shd w:val="clear" w:color="auto" w:fill="auto"/>
          </w:tcPr>
          <w:p w14:paraId="17B942C1" w14:textId="77777777" w:rsidR="001F64EA" w:rsidRPr="00FE24BF" w:rsidRDefault="001F64EA" w:rsidP="00DE0F24">
            <w:pPr>
              <w:rPr>
                <w:noProof/>
              </w:rPr>
            </w:pPr>
            <w:r w:rsidRPr="00FE24BF">
              <w:rPr>
                <w:noProof/>
              </w:rPr>
              <w:t xml:space="preserve">… </w:t>
            </w:r>
          </w:p>
        </w:tc>
      </w:tr>
    </w:tbl>
    <w:p w14:paraId="4AEE5452"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Bevestig dat met de aangemelde steunregeling geen regionale investeringssteun zal worden toegekend aan de onderstaande categorieën ondernemingen en sectoren. Geef telkens de desbetreffende rechtsgrondslag van de regeling.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1F64EA" w:rsidRPr="00FE24BF" w14:paraId="12B5EC78" w14:textId="77777777" w:rsidTr="00DE0F24">
        <w:tc>
          <w:tcPr>
            <w:tcW w:w="3221" w:type="pct"/>
            <w:shd w:val="clear" w:color="auto" w:fill="auto"/>
          </w:tcPr>
          <w:p w14:paraId="3425B8A3" w14:textId="58D20661" w:rsidR="001F64EA" w:rsidRPr="00FE24BF" w:rsidRDefault="001F64EA" w:rsidP="00C00B04">
            <w:pPr>
              <w:rPr>
                <w:noProof/>
              </w:rPr>
            </w:pPr>
            <w:r w:rsidRPr="00FE24BF">
              <w:rPr>
                <w:noProof/>
              </w:rPr>
              <w:t>Uitgesloten categorieën ondernemingen en sectoren</w:t>
            </w:r>
          </w:p>
        </w:tc>
        <w:tc>
          <w:tcPr>
            <w:tcW w:w="1779" w:type="pct"/>
            <w:shd w:val="clear" w:color="auto" w:fill="auto"/>
          </w:tcPr>
          <w:p w14:paraId="26291FCE" w14:textId="0C4B9BA5" w:rsidR="001F64EA" w:rsidRPr="00FE24BF" w:rsidRDefault="001F64EA" w:rsidP="00C00B04">
            <w:pPr>
              <w:rPr>
                <w:noProof/>
              </w:rPr>
            </w:pPr>
            <w:r w:rsidRPr="00FE24BF">
              <w:rPr>
                <w:noProof/>
              </w:rPr>
              <w:t>Desbetreffende rechtsgrondslag van de regeling</w:t>
            </w:r>
          </w:p>
        </w:tc>
      </w:tr>
      <w:tr w:rsidR="001F64EA" w:rsidRPr="00FE24BF" w14:paraId="4E6DB4D1" w14:textId="77777777" w:rsidTr="00DE0F24">
        <w:tc>
          <w:tcPr>
            <w:tcW w:w="3221" w:type="pct"/>
            <w:shd w:val="clear" w:color="auto" w:fill="auto"/>
          </w:tcPr>
          <w:p w14:paraId="683D67C5" w14:textId="4B9ECBB4" w:rsidR="001F64EA" w:rsidRPr="00FE24BF" w:rsidRDefault="001F64EA" w:rsidP="00C00B04">
            <w:pPr>
              <w:rPr>
                <w:noProof/>
              </w:rPr>
            </w:pPr>
            <w:r w:rsidRPr="00FE24BF">
              <w:rPr>
                <w:noProof/>
              </w:rPr>
              <w:t>Ondernemingen in moeilijkheden</w:t>
            </w:r>
            <w:r w:rsidRPr="00FE24BF">
              <w:rPr>
                <w:rStyle w:val="FootnoteReference"/>
                <w:noProof/>
              </w:rPr>
              <w:footnoteReference w:id="4"/>
            </w:r>
          </w:p>
        </w:tc>
        <w:tc>
          <w:tcPr>
            <w:tcW w:w="1779" w:type="pct"/>
            <w:shd w:val="clear" w:color="auto" w:fill="auto"/>
          </w:tcPr>
          <w:p w14:paraId="16C2E8E7" w14:textId="0E3014C1" w:rsidR="001F64EA" w:rsidRPr="00FE24BF" w:rsidRDefault="001F64EA" w:rsidP="00C00B04">
            <w:pPr>
              <w:rPr>
                <w:noProof/>
                <w:sz w:val="22"/>
              </w:rPr>
            </w:pPr>
          </w:p>
        </w:tc>
      </w:tr>
      <w:tr w:rsidR="001F64EA" w:rsidRPr="00FE24BF" w14:paraId="5F81CCC9" w14:textId="77777777" w:rsidTr="00DE0F24">
        <w:tc>
          <w:tcPr>
            <w:tcW w:w="3221" w:type="pct"/>
            <w:shd w:val="clear" w:color="auto" w:fill="auto"/>
          </w:tcPr>
          <w:p w14:paraId="61BE9A07" w14:textId="25F98C2A" w:rsidR="001F64EA" w:rsidRPr="00FE24BF" w:rsidRDefault="001F64EA" w:rsidP="00C00B04">
            <w:pPr>
              <w:rPr>
                <w:noProof/>
              </w:rPr>
            </w:pPr>
            <w:r w:rsidRPr="00FE24BF">
              <w:rPr>
                <w:noProof/>
              </w:rPr>
              <w:t>De ijzer- en staalindustrie</w:t>
            </w:r>
            <w:r w:rsidRPr="00FE24BF">
              <w:rPr>
                <w:rStyle w:val="FootnoteReference"/>
                <w:noProof/>
              </w:rPr>
              <w:footnoteReference w:id="5"/>
            </w:r>
            <w:r w:rsidRPr="00FE24BF">
              <w:rPr>
                <w:noProof/>
              </w:rPr>
              <w:t xml:space="preserve"> </w:t>
            </w:r>
          </w:p>
        </w:tc>
        <w:tc>
          <w:tcPr>
            <w:tcW w:w="1779" w:type="pct"/>
            <w:shd w:val="clear" w:color="auto" w:fill="auto"/>
          </w:tcPr>
          <w:p w14:paraId="6827F228" w14:textId="6598ED7A" w:rsidR="001F64EA" w:rsidRPr="00FE24BF" w:rsidRDefault="001F64EA" w:rsidP="00C00B04">
            <w:pPr>
              <w:rPr>
                <w:noProof/>
                <w:sz w:val="22"/>
              </w:rPr>
            </w:pPr>
          </w:p>
        </w:tc>
      </w:tr>
      <w:tr w:rsidR="001F64EA" w:rsidRPr="00FE24BF" w14:paraId="064CCBA5" w14:textId="77777777" w:rsidTr="00DE0F24">
        <w:tc>
          <w:tcPr>
            <w:tcW w:w="3221" w:type="pct"/>
            <w:shd w:val="clear" w:color="auto" w:fill="auto"/>
          </w:tcPr>
          <w:p w14:paraId="119A1636" w14:textId="7182DD94" w:rsidR="001F64EA" w:rsidRPr="00FE24BF" w:rsidRDefault="001F64EA" w:rsidP="00C00B04">
            <w:pPr>
              <w:rPr>
                <w:noProof/>
              </w:rPr>
            </w:pPr>
            <w:r w:rsidRPr="00FE24BF">
              <w:rPr>
                <w:noProof/>
              </w:rPr>
              <w:t>De bruinkoolsector</w:t>
            </w:r>
            <w:r w:rsidRPr="00FE24BF">
              <w:rPr>
                <w:rStyle w:val="FootnoteReference"/>
                <w:noProof/>
                <w:sz w:val="22"/>
              </w:rPr>
              <w:footnoteReference w:id="6"/>
            </w:r>
          </w:p>
        </w:tc>
        <w:tc>
          <w:tcPr>
            <w:tcW w:w="1779" w:type="pct"/>
            <w:shd w:val="clear" w:color="auto" w:fill="auto"/>
          </w:tcPr>
          <w:p w14:paraId="5F52CB44" w14:textId="36DB5875" w:rsidR="001F64EA" w:rsidRPr="00FE24BF" w:rsidRDefault="001F64EA" w:rsidP="00C00B04">
            <w:pPr>
              <w:rPr>
                <w:noProof/>
                <w:sz w:val="22"/>
              </w:rPr>
            </w:pPr>
          </w:p>
        </w:tc>
      </w:tr>
      <w:tr w:rsidR="001F64EA" w:rsidRPr="00FE24BF" w14:paraId="710B88FD" w14:textId="77777777" w:rsidTr="00DE0F24">
        <w:tc>
          <w:tcPr>
            <w:tcW w:w="3221" w:type="pct"/>
            <w:shd w:val="clear" w:color="auto" w:fill="auto"/>
          </w:tcPr>
          <w:p w14:paraId="4B2D278C" w14:textId="447B6B0E" w:rsidR="001F64EA" w:rsidRPr="00FE24BF" w:rsidRDefault="001F64EA" w:rsidP="00C00B04">
            <w:pPr>
              <w:rPr>
                <w:noProof/>
              </w:rPr>
            </w:pPr>
            <w:r w:rsidRPr="00FE24BF">
              <w:rPr>
                <w:noProof/>
              </w:rPr>
              <w:t>De steenkoolsector</w:t>
            </w:r>
            <w:r w:rsidRPr="00FE24BF">
              <w:rPr>
                <w:rStyle w:val="FootnoteReference"/>
                <w:noProof/>
                <w:sz w:val="22"/>
              </w:rPr>
              <w:footnoteReference w:id="7"/>
            </w:r>
          </w:p>
        </w:tc>
        <w:tc>
          <w:tcPr>
            <w:tcW w:w="1779" w:type="pct"/>
            <w:shd w:val="clear" w:color="auto" w:fill="auto"/>
          </w:tcPr>
          <w:p w14:paraId="1E52FEF4" w14:textId="17DD5301" w:rsidR="001F64EA" w:rsidRPr="00FE24BF" w:rsidRDefault="001F64EA" w:rsidP="00C00B04">
            <w:pPr>
              <w:rPr>
                <w:noProof/>
                <w:sz w:val="22"/>
              </w:rPr>
            </w:pPr>
          </w:p>
        </w:tc>
      </w:tr>
      <w:tr w:rsidR="001F64EA" w:rsidRPr="00FE24BF" w14:paraId="1C928B05" w14:textId="77777777" w:rsidTr="00DE0F24">
        <w:tc>
          <w:tcPr>
            <w:tcW w:w="3221" w:type="pct"/>
            <w:shd w:val="clear" w:color="auto" w:fill="auto"/>
          </w:tcPr>
          <w:p w14:paraId="62935482" w14:textId="4DC6CE54" w:rsidR="001F64EA" w:rsidRPr="00FE24BF" w:rsidRDefault="001F64EA" w:rsidP="00C00B04">
            <w:pPr>
              <w:rPr>
                <w:noProof/>
              </w:rPr>
            </w:pPr>
            <w:r w:rsidRPr="00FE24BF">
              <w:rPr>
                <w:noProof/>
              </w:rPr>
              <w:t>Visserij en aquacultuur</w:t>
            </w:r>
            <w:r w:rsidRPr="00FE24BF">
              <w:rPr>
                <w:rStyle w:val="FootnoteReference"/>
                <w:noProof/>
                <w:sz w:val="22"/>
              </w:rPr>
              <w:footnoteReference w:id="8"/>
            </w:r>
          </w:p>
        </w:tc>
        <w:tc>
          <w:tcPr>
            <w:tcW w:w="1779" w:type="pct"/>
            <w:shd w:val="clear" w:color="auto" w:fill="auto"/>
          </w:tcPr>
          <w:p w14:paraId="491DF025" w14:textId="20C60051" w:rsidR="001F64EA" w:rsidRPr="00FE24BF" w:rsidRDefault="001F64EA" w:rsidP="00C00B04">
            <w:pPr>
              <w:rPr>
                <w:noProof/>
                <w:sz w:val="22"/>
              </w:rPr>
            </w:pPr>
          </w:p>
        </w:tc>
      </w:tr>
      <w:tr w:rsidR="001F64EA" w:rsidRPr="00FE24BF" w14:paraId="102B7A3B" w14:textId="77777777" w:rsidTr="00DE0F24">
        <w:tc>
          <w:tcPr>
            <w:tcW w:w="3221" w:type="pct"/>
            <w:shd w:val="clear" w:color="auto" w:fill="auto"/>
          </w:tcPr>
          <w:p w14:paraId="3CEBEE8C" w14:textId="5EE648FA" w:rsidR="001F64EA" w:rsidRPr="00FE24BF" w:rsidRDefault="001F64EA" w:rsidP="00C00B04">
            <w:pPr>
              <w:rPr>
                <w:noProof/>
              </w:rPr>
            </w:pPr>
            <w:r w:rsidRPr="00FE24BF">
              <w:rPr>
                <w:noProof/>
              </w:rPr>
              <w:t>Landbouw</w:t>
            </w:r>
            <w:r w:rsidRPr="00FE24BF">
              <w:rPr>
                <w:rStyle w:val="FootnoteReference"/>
                <w:bCs/>
                <w:noProof/>
                <w:sz w:val="22"/>
              </w:rPr>
              <w:footnoteReference w:id="9"/>
            </w:r>
          </w:p>
        </w:tc>
        <w:tc>
          <w:tcPr>
            <w:tcW w:w="1779" w:type="pct"/>
            <w:shd w:val="clear" w:color="auto" w:fill="auto"/>
          </w:tcPr>
          <w:p w14:paraId="422B3F62" w14:textId="6706EAAE" w:rsidR="001F64EA" w:rsidRPr="00FE24BF" w:rsidRDefault="001F64EA" w:rsidP="00C00B04">
            <w:pPr>
              <w:rPr>
                <w:noProof/>
                <w:sz w:val="22"/>
              </w:rPr>
            </w:pPr>
          </w:p>
        </w:tc>
      </w:tr>
      <w:tr w:rsidR="001F64EA" w:rsidRPr="00FE24BF" w14:paraId="1FBB4732" w14:textId="77777777" w:rsidTr="00DE0F24">
        <w:tc>
          <w:tcPr>
            <w:tcW w:w="3221" w:type="pct"/>
            <w:shd w:val="clear" w:color="auto" w:fill="auto"/>
          </w:tcPr>
          <w:p w14:paraId="6EFCE4ED" w14:textId="438A7E34" w:rsidR="001F64EA" w:rsidRPr="00FE24BF" w:rsidRDefault="001F64EA" w:rsidP="00C00B04">
            <w:pPr>
              <w:rPr>
                <w:noProof/>
              </w:rPr>
            </w:pPr>
            <w:r w:rsidRPr="00FE24BF">
              <w:rPr>
                <w:noProof/>
              </w:rPr>
              <w:t>Verwerking en/of afzet van in bijlage I bij het Verdrag</w:t>
            </w:r>
            <w:r w:rsidRPr="00FE24BF">
              <w:rPr>
                <w:rStyle w:val="FootnoteReference"/>
                <w:bCs/>
                <w:noProof/>
                <w:sz w:val="22"/>
              </w:rPr>
              <w:footnoteReference w:id="10"/>
            </w:r>
            <w:r w:rsidRPr="00FE24BF">
              <w:rPr>
                <w:noProof/>
              </w:rPr>
              <w:t xml:space="preserve"> genoemde landbouwproducten tot in die bijlage I genoemde producten</w:t>
            </w:r>
          </w:p>
        </w:tc>
        <w:tc>
          <w:tcPr>
            <w:tcW w:w="1779" w:type="pct"/>
            <w:shd w:val="clear" w:color="auto" w:fill="auto"/>
          </w:tcPr>
          <w:p w14:paraId="76E73A7A" w14:textId="0F660B73" w:rsidR="001F64EA" w:rsidRPr="00FE24BF" w:rsidRDefault="001F64EA" w:rsidP="00C00B04">
            <w:pPr>
              <w:rPr>
                <w:noProof/>
                <w:sz w:val="22"/>
              </w:rPr>
            </w:pPr>
          </w:p>
        </w:tc>
      </w:tr>
      <w:tr w:rsidR="001F64EA" w:rsidRPr="00FE24BF" w14:paraId="535E45CB" w14:textId="77777777" w:rsidTr="00DE0F24">
        <w:tc>
          <w:tcPr>
            <w:tcW w:w="3221" w:type="pct"/>
            <w:shd w:val="clear" w:color="auto" w:fill="auto"/>
          </w:tcPr>
          <w:p w14:paraId="6EA6F9CA" w14:textId="3318737F" w:rsidR="001F64EA" w:rsidRPr="00FE24BF" w:rsidRDefault="001F64EA" w:rsidP="00C00B04">
            <w:pPr>
              <w:rPr>
                <w:noProof/>
              </w:rPr>
            </w:pPr>
            <w:r w:rsidRPr="00FE24BF">
              <w:rPr>
                <w:noProof/>
              </w:rPr>
              <w:lastRenderedPageBreak/>
              <w:t>Vervoer</w:t>
            </w:r>
            <w:r w:rsidRPr="00FE24BF">
              <w:rPr>
                <w:rStyle w:val="FootnoteReference"/>
                <w:bCs/>
                <w:noProof/>
                <w:sz w:val="22"/>
              </w:rPr>
              <w:footnoteReference w:id="11"/>
            </w:r>
          </w:p>
        </w:tc>
        <w:tc>
          <w:tcPr>
            <w:tcW w:w="1779" w:type="pct"/>
            <w:shd w:val="clear" w:color="auto" w:fill="auto"/>
          </w:tcPr>
          <w:p w14:paraId="16C9B62B" w14:textId="270B10FA" w:rsidR="001F64EA" w:rsidRPr="00FE24BF" w:rsidRDefault="001F64EA" w:rsidP="00C00B04">
            <w:pPr>
              <w:rPr>
                <w:noProof/>
                <w:sz w:val="22"/>
              </w:rPr>
            </w:pPr>
          </w:p>
        </w:tc>
      </w:tr>
      <w:tr w:rsidR="001F64EA" w:rsidRPr="00FE24BF" w14:paraId="0BC65A64" w14:textId="77777777" w:rsidTr="00DE0F24">
        <w:tc>
          <w:tcPr>
            <w:tcW w:w="3221" w:type="pct"/>
            <w:shd w:val="clear" w:color="auto" w:fill="auto"/>
          </w:tcPr>
          <w:p w14:paraId="62A86319" w14:textId="4C13AA79" w:rsidR="001F64EA" w:rsidRPr="00FE24BF" w:rsidRDefault="001F64EA" w:rsidP="00C00B04">
            <w:pPr>
              <w:rPr>
                <w:noProof/>
              </w:rPr>
            </w:pPr>
            <w:r w:rsidRPr="00FE24BF">
              <w:rPr>
                <w:noProof/>
              </w:rPr>
              <w:t>Breedband</w:t>
            </w:r>
            <w:r w:rsidRPr="00FE24BF">
              <w:rPr>
                <w:rStyle w:val="FootnoteReference"/>
                <w:bCs/>
                <w:noProof/>
                <w:sz w:val="22"/>
              </w:rPr>
              <w:footnoteReference w:id="12"/>
            </w:r>
          </w:p>
        </w:tc>
        <w:tc>
          <w:tcPr>
            <w:tcW w:w="1779" w:type="pct"/>
            <w:shd w:val="clear" w:color="auto" w:fill="auto"/>
          </w:tcPr>
          <w:p w14:paraId="70EE9490" w14:textId="6E971C89" w:rsidR="001F64EA" w:rsidRPr="00FE24BF" w:rsidRDefault="001F64EA" w:rsidP="00C00B04">
            <w:pPr>
              <w:rPr>
                <w:noProof/>
                <w:sz w:val="22"/>
              </w:rPr>
            </w:pPr>
          </w:p>
        </w:tc>
      </w:tr>
      <w:tr w:rsidR="001F64EA" w:rsidRPr="00FE24BF" w14:paraId="7D73EB3E" w14:textId="77777777" w:rsidTr="00DE0F24">
        <w:tc>
          <w:tcPr>
            <w:tcW w:w="3221" w:type="pct"/>
            <w:shd w:val="clear" w:color="auto" w:fill="auto"/>
          </w:tcPr>
          <w:p w14:paraId="53866E64" w14:textId="297FCDE8" w:rsidR="001F64EA" w:rsidRPr="00FE24BF" w:rsidRDefault="001F64EA" w:rsidP="00C00B04">
            <w:pPr>
              <w:rPr>
                <w:noProof/>
              </w:rPr>
            </w:pPr>
            <w:r w:rsidRPr="00FE24BF">
              <w:rPr>
                <w:noProof/>
              </w:rPr>
              <w:t>Energie</w:t>
            </w:r>
            <w:r w:rsidRPr="00FE24BF">
              <w:rPr>
                <w:rStyle w:val="FootnoteReference"/>
                <w:noProof/>
                <w:sz w:val="22"/>
              </w:rPr>
              <w:footnoteReference w:id="13"/>
            </w:r>
          </w:p>
        </w:tc>
        <w:tc>
          <w:tcPr>
            <w:tcW w:w="1779" w:type="pct"/>
            <w:shd w:val="clear" w:color="auto" w:fill="auto"/>
          </w:tcPr>
          <w:p w14:paraId="6745D7C7" w14:textId="362EAC2E" w:rsidR="001F64EA" w:rsidRPr="00FE24BF" w:rsidRDefault="001F64EA" w:rsidP="00C00B04">
            <w:pPr>
              <w:rPr>
                <w:noProof/>
                <w:sz w:val="22"/>
              </w:rPr>
            </w:pPr>
          </w:p>
        </w:tc>
      </w:tr>
    </w:tbl>
    <w:p w14:paraId="6314B6B0" w14:textId="3F6FE65F" w:rsidR="001F64EA" w:rsidRPr="00FE24BF" w:rsidRDefault="001F64EA" w:rsidP="001F64EA">
      <w:pPr>
        <w:pStyle w:val="Heading1"/>
        <w:rPr>
          <w:noProof/>
          <w:szCs w:val="24"/>
        </w:rPr>
      </w:pPr>
      <w:r w:rsidRPr="00FE24BF">
        <w:rPr>
          <w:noProof/>
        </w:rPr>
        <w:t>Initiële investering, in aanmerking komende kosten en steun</w:t>
      </w:r>
    </w:p>
    <w:p w14:paraId="2CB15FDF"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Soorten initiële investeringen die onder de regeling vallen</w:t>
      </w:r>
    </w:p>
    <w:p w14:paraId="2BB7B100"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Heeft de regeling betrekking op investeringen van kmo’s of van grote ondernemingen</w:t>
      </w:r>
      <w:r w:rsidRPr="00FE24BF">
        <w:rPr>
          <w:rStyle w:val="FootnoteReference"/>
          <w:noProof/>
        </w:rPr>
        <w:footnoteReference w:id="14"/>
      </w:r>
      <w:r w:rsidRPr="00FE24BF">
        <w:rPr>
          <w:noProof/>
        </w:rPr>
        <w:t xml:space="preserve"> in steungebieden onder a) of op investeringen van kmo’s in steungebieden onder c) (punt 45 van de richtsnoeren)? Om welke categorie/categorieën initiële investeringen gaat het dan in de aanmelding (punt 19, 13), van de richtsnoeren)? </w:t>
      </w:r>
    </w:p>
    <w:p w14:paraId="410E0F50" w14:textId="77777777" w:rsidR="001F64EA" w:rsidRPr="00FE24BF" w:rsidRDefault="00C00B04" w:rsidP="001F64EA">
      <w:pPr>
        <w:pStyle w:val="Tiret1"/>
        <w:rPr>
          <w:noProof/>
        </w:rPr>
      </w:pPr>
      <w:sdt>
        <w:sdtPr>
          <w:rPr>
            <w:noProof/>
          </w:rPr>
          <w:id w:val="1251621376"/>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de oprichting van een nieuwe vestiging</w:t>
      </w:r>
    </w:p>
    <w:p w14:paraId="536E4063" w14:textId="77777777" w:rsidR="001F64EA" w:rsidRPr="00FE24BF" w:rsidRDefault="00C00B04" w:rsidP="001F64EA">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1F64EA">
            <w:rPr>
              <w:rFonts w:ascii="MS Gothic" w:eastAsia="MS Gothic" w:hAnsi="MS Gothic" w:hint="eastAsia"/>
              <w:noProof/>
            </w:rPr>
            <w:t>☐</w:t>
          </w:r>
        </w:sdtContent>
      </w:sdt>
      <w:r w:rsidR="001F64EA" w:rsidRPr="00FE24BF">
        <w:rPr>
          <w:noProof/>
        </w:rPr>
        <w:t xml:space="preserve"> de uitbreiding van de capaciteit van een bestaande vestiging</w:t>
      </w:r>
    </w:p>
    <w:p w14:paraId="47A8E504" w14:textId="77777777" w:rsidR="001F64EA" w:rsidRPr="00FE24BF" w:rsidRDefault="00C00B04" w:rsidP="001F64EA">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de diversificatie van de productie van een vestiging naar producten die voordien niet in de vestiging werden vervaardigd</w:t>
      </w:r>
    </w:p>
    <w:p w14:paraId="35669622" w14:textId="77777777" w:rsidR="001F64EA" w:rsidRPr="00FE24BF" w:rsidRDefault="00C00B04" w:rsidP="001F64EA">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een fundamentele wijziging in het volledige productieproces van het product of de producten waarop de investering in de vestiging betrekking heeft</w:t>
      </w:r>
    </w:p>
    <w:p w14:paraId="3B9A5B5C" w14:textId="77777777" w:rsidR="001F64EA" w:rsidRPr="00FE24BF" w:rsidRDefault="00C00B04" w:rsidP="001F64EA">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1F64EA">
            <w:rPr>
              <w:rFonts w:ascii="MS Gothic" w:eastAsia="MS Gothic" w:hAnsi="MS Gothic" w:hint="eastAsia"/>
              <w:noProof/>
            </w:rPr>
            <w:t>☐</w:t>
          </w:r>
        </w:sdtContent>
      </w:sdt>
      <w:r w:rsidR="001F64EA" w:rsidRPr="00FE24BF">
        <w:rPr>
          <w:noProof/>
        </w:rPr>
        <w:t xml:space="preserve"> een verwerving van activa behorende tot een vestiging die is gesloten of zou zijn gesloten indien zij niet was overgenomen</w:t>
      </w:r>
      <w:r w:rsidR="001F64EA" w:rsidRPr="00FE24BF">
        <w:rPr>
          <w:rStyle w:val="FootnoteReference"/>
          <w:noProof/>
        </w:rPr>
        <w:footnoteReference w:id="15"/>
      </w:r>
      <w:r w:rsidR="001F64EA" w:rsidRPr="00FE24BF">
        <w:rPr>
          <w:noProof/>
        </w:rPr>
        <w:t xml:space="preserve"> </w:t>
      </w:r>
    </w:p>
    <w:p w14:paraId="2BAFBD6D"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Betreft de regeling investeringen van een grote ondernemingen in steungebieden onder c)? Om welke categorie/categorieën initiële investeringen gaat het dan in de aanmelding (punt 19, 14), en punt 14 van de richtsnoeren)?</w:t>
      </w:r>
    </w:p>
    <w:p w14:paraId="1002D2BF" w14:textId="77777777" w:rsidR="001F64EA" w:rsidRPr="00FE24BF" w:rsidRDefault="00C00B04" w:rsidP="001F64EA">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de oprichting van een nieuwe vestiging</w:t>
      </w:r>
    </w:p>
    <w:p w14:paraId="575B9C30" w14:textId="77777777" w:rsidR="001F64EA" w:rsidRPr="00FE24BF" w:rsidRDefault="00C00B04" w:rsidP="001F64EA">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de diversificatie van de activiteit van een vestiging, op voorwaarde dat de nieuwe activiteit niet dezelfde is als of vergelijkbaar</w:t>
      </w:r>
      <w:r w:rsidR="001F64EA" w:rsidRPr="00FE24BF">
        <w:rPr>
          <w:rStyle w:val="FootnoteReference"/>
          <w:noProof/>
        </w:rPr>
        <w:footnoteReference w:id="16"/>
      </w:r>
      <w:r w:rsidR="001F64EA" w:rsidRPr="00FE24BF">
        <w:rPr>
          <w:noProof/>
        </w:rPr>
        <w:t xml:space="preserve"> is met de activiteit die voordien in die vestiging werd uitgeoefend</w:t>
      </w:r>
    </w:p>
    <w:p w14:paraId="7083BD1E" w14:textId="77777777" w:rsidR="001F64EA" w:rsidRPr="00FE24BF" w:rsidRDefault="00C00B04" w:rsidP="001F64EA">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een verwerving van activa behorende tot een vestiging die is gesloten of zou zijn gesloten indien zij niet was overgenomen, op voorwaarde dat de met de overgenomen activa uit te oefenen nieuwe activiteit niet dezelfde is als of vergelijkbaar is met de activiteit die in die vestiging werd uitgeoefend vóór de overname ervan</w:t>
      </w:r>
      <w:r w:rsidR="001F64EA" w:rsidRPr="00FE24BF">
        <w:rPr>
          <w:rStyle w:val="FootnoteReference"/>
          <w:noProof/>
        </w:rPr>
        <w:footnoteReference w:id="17"/>
      </w:r>
    </w:p>
    <w:p w14:paraId="08FB2662"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In aanmerking komende kosten, berekend op basis van de investeringskosten</w:t>
      </w:r>
    </w:p>
    <w:p w14:paraId="25FC2218"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Indien de in het kader van de regeling in aanmerking komende kosten betrekking hebben op materiële activa (punt 19, 31), van de richtsnoeren), geef dan aan of de waarde van de investering is vastgesteld als een percentage van de kosten van gronden, gebouwen en installaties, machines en uitrusting:</w:t>
      </w:r>
    </w:p>
    <w:p w14:paraId="54B4B7CD" w14:textId="77777777" w:rsidR="001F64EA" w:rsidRPr="00FE24BF" w:rsidRDefault="00C00B04" w:rsidP="001F64EA">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gronden</w:t>
      </w:r>
    </w:p>
    <w:p w14:paraId="33FC1F72" w14:textId="77777777" w:rsidR="001F64EA" w:rsidRPr="00FE24BF" w:rsidRDefault="00C00B04" w:rsidP="001F64EA">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gebouwen </w:t>
      </w:r>
    </w:p>
    <w:p w14:paraId="6A4F286F" w14:textId="77777777" w:rsidR="001F64EA" w:rsidRPr="00FE24BF" w:rsidRDefault="00C00B04" w:rsidP="001F64EA">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installaties/machines/uitrusting</w:t>
      </w:r>
    </w:p>
    <w:p w14:paraId="79CF2A39" w14:textId="77777777" w:rsidR="001F64EA" w:rsidRPr="00FE24BF" w:rsidRDefault="001F64EA" w:rsidP="001F64EA">
      <w:pPr>
        <w:pStyle w:val="Text2"/>
        <w:ind w:left="1843" w:hanging="425"/>
        <w:rPr>
          <w:noProof/>
        </w:rPr>
      </w:pPr>
      <w:r w:rsidRPr="00FE24BF">
        <w:rPr>
          <w:noProof/>
        </w:rPr>
        <w:t xml:space="preserve">Geef hier de referentie naar de desbetreffende bepalingen in de rechtsgrondslag: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1081F476" w14:textId="77777777" w:rsidTr="00DE0F24">
        <w:tc>
          <w:tcPr>
            <w:tcW w:w="7682" w:type="dxa"/>
            <w:shd w:val="clear" w:color="auto" w:fill="auto"/>
          </w:tcPr>
          <w:p w14:paraId="1B93CF3C" w14:textId="77777777" w:rsidR="001F64EA" w:rsidRPr="00FE24BF" w:rsidRDefault="001F64EA" w:rsidP="00DE0F24">
            <w:pPr>
              <w:rPr>
                <w:noProof/>
              </w:rPr>
            </w:pPr>
            <w:r w:rsidRPr="00FE24BF">
              <w:rPr>
                <w:noProof/>
              </w:rPr>
              <w:t xml:space="preserve">… </w:t>
            </w:r>
          </w:p>
        </w:tc>
      </w:tr>
    </w:tbl>
    <w:p w14:paraId="648C072A"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color w:val="000000"/>
        </w:rPr>
        <w:t xml:space="preserve">Geef hier </w:t>
      </w:r>
      <w:r w:rsidRPr="00FE24BF">
        <w:rPr>
          <w:noProof/>
        </w:rPr>
        <w:t xml:space="preserve">een referentie </w:t>
      </w:r>
      <w:bookmarkStart w:id="0" w:name="OLE_LINK1"/>
      <w:bookmarkStart w:id="1" w:name="OLE_LINK2"/>
      <w:bookmarkEnd w:id="0"/>
      <w:r w:rsidRPr="00FE24BF">
        <w:rPr>
          <w:noProof/>
        </w:rPr>
        <w:t xml:space="preserve"> naar de desbetreffende bepaling</w:t>
      </w:r>
      <w:bookmarkEnd w:id="1"/>
      <w:r w:rsidRPr="00FE24BF">
        <w:rPr>
          <w:noProof/>
        </w:rPr>
        <w:t xml:space="preserve"> in de rechtsgrondslag waar is bepaald dat de verworven activa nieuw moeten zijn</w:t>
      </w:r>
      <w:r w:rsidRPr="00FE24BF">
        <w:rPr>
          <w:rStyle w:val="FootnoteReference"/>
          <w:noProof/>
        </w:rPr>
        <w:footnoteReference w:id="18"/>
      </w:r>
      <w:r w:rsidRPr="00FE24BF">
        <w:rPr>
          <w:noProof/>
        </w:rPr>
        <w:t>: (punt 27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59230CC3" w14:textId="77777777" w:rsidTr="00DE0F24">
        <w:tc>
          <w:tcPr>
            <w:tcW w:w="7682" w:type="dxa"/>
            <w:shd w:val="clear" w:color="auto" w:fill="auto"/>
          </w:tcPr>
          <w:p w14:paraId="6AFBCE37" w14:textId="77777777" w:rsidR="001F64EA" w:rsidRPr="00FE24BF" w:rsidRDefault="001F64EA" w:rsidP="00DE0F24">
            <w:pPr>
              <w:rPr>
                <w:noProof/>
              </w:rPr>
            </w:pPr>
            <w:r w:rsidRPr="00FE24BF">
              <w:rPr>
                <w:noProof/>
              </w:rPr>
              <w:t xml:space="preserve">… </w:t>
            </w:r>
          </w:p>
        </w:tc>
      </w:tr>
    </w:tbl>
    <w:p w14:paraId="30AD8D8D"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t xml:space="preserve">Geef hier een referentie naar de desbetreffende bepaling in de rechtsgrondslag waar is bepaald dat voor kmo’s maximaal 50 % van de kosten voor voorbereidende studies of consultancykosten met betrekking tot de investering als in aanmerking komende kosten kunnen worden beschouwd (punt 28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0BDB5473" w14:textId="77777777" w:rsidTr="00DE0F24">
        <w:tc>
          <w:tcPr>
            <w:tcW w:w="7682" w:type="dxa"/>
            <w:shd w:val="clear" w:color="auto" w:fill="auto"/>
          </w:tcPr>
          <w:p w14:paraId="0D1C259B" w14:textId="77777777" w:rsidR="001F64EA" w:rsidRPr="00FE24BF" w:rsidRDefault="001F64EA" w:rsidP="00DE0F24">
            <w:pPr>
              <w:rPr>
                <w:noProof/>
              </w:rPr>
            </w:pPr>
            <w:r w:rsidRPr="00FE24BF">
              <w:rPr>
                <w:noProof/>
              </w:rPr>
              <w:t>…</w:t>
            </w:r>
          </w:p>
        </w:tc>
      </w:tr>
    </w:tbl>
    <w:p w14:paraId="78436889"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t xml:space="preserve">Geef hier een referentie naar de desbetreffende bepaling in de rechtsgrondslag waar is bepaald dat voor steun aan grote ondernemingen ten behoeve van een fundamentele verandering in het productieproces, de in aanmerking komende </w:t>
      </w:r>
      <w:r w:rsidRPr="00FE24BF">
        <w:rPr>
          <w:noProof/>
          <w:color w:val="000000"/>
        </w:rPr>
        <w:lastRenderedPageBreak/>
        <w:t xml:space="preserve">kosten hoger liggen dan de in de drie voorafgaande belastingjaren doorgevoerde afschrijving voor de met de te moderniseren activiteit verband houdende activa (punt 29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80AE19F" w14:textId="77777777" w:rsidTr="00DE0F24">
        <w:tc>
          <w:tcPr>
            <w:tcW w:w="7682" w:type="dxa"/>
            <w:shd w:val="clear" w:color="auto" w:fill="auto"/>
          </w:tcPr>
          <w:p w14:paraId="4D0E48C7" w14:textId="77777777" w:rsidR="001F64EA" w:rsidRPr="00FE24BF" w:rsidRDefault="001F64EA" w:rsidP="00DE0F24">
            <w:pPr>
              <w:rPr>
                <w:noProof/>
              </w:rPr>
            </w:pPr>
            <w:r w:rsidRPr="00FE24BF">
              <w:rPr>
                <w:noProof/>
              </w:rPr>
              <w:t>….</w:t>
            </w:r>
          </w:p>
        </w:tc>
      </w:tr>
    </w:tbl>
    <w:p w14:paraId="147E56BF"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t xml:space="preserve">Geef hier een referentie naar de desbetreffende bepaling in de rechtsgrondslag waar is bepaald dat voor steun ten behoeve van de diversificatie van een bestaande vestiging de in aanmerking komende kosten ten minste 200 % hoger moeten liggen dan de boekwaarde van de opnieuw gebruikte activa, zoals die in het belastingjaar voorafgaand aan de aanvang van de werkzaamheden is geboekt (punt 30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25CC54C4" w14:textId="77777777" w:rsidTr="00DE0F24">
        <w:tc>
          <w:tcPr>
            <w:tcW w:w="7682" w:type="dxa"/>
            <w:shd w:val="clear" w:color="auto" w:fill="auto"/>
          </w:tcPr>
          <w:p w14:paraId="4DD2A9E3" w14:textId="77777777" w:rsidR="001F64EA" w:rsidRPr="00FE24BF" w:rsidRDefault="001F64EA" w:rsidP="00DE0F24">
            <w:pPr>
              <w:rPr>
                <w:noProof/>
              </w:rPr>
            </w:pPr>
            <w:r w:rsidRPr="00FE24BF">
              <w:rPr>
                <w:noProof/>
              </w:rPr>
              <w:t>…</w:t>
            </w:r>
          </w:p>
        </w:tc>
      </w:tr>
    </w:tbl>
    <w:p w14:paraId="2ADC9AE0"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t xml:space="preserve">Ingeval van huur/leasing van materiële activa: geef een referentie naar de desbetreffende bepalingen in de rechtsgrondslag waar is bepaald dat de volgende voorwaarden dienen te worden nageleefd (punt 31 van de richtsnoeren): </w:t>
      </w:r>
    </w:p>
    <w:p w14:paraId="6C2E5BA3" w14:textId="77777777" w:rsidR="001F64EA" w:rsidRPr="00FE24BF" w:rsidRDefault="001F64EA" w:rsidP="001F64EA">
      <w:pPr>
        <w:pStyle w:val="Normal127Bullet63"/>
        <w:spacing w:after="120"/>
        <w:rPr>
          <w:noProof/>
        </w:rPr>
      </w:pPr>
      <w:r w:rsidRPr="00FE24BF">
        <w:rPr>
          <w:noProof/>
        </w:rPr>
        <w:t>voor gronden en gebouwen moet de huur na het verwachte tijdstip van de voltooiing van de investering ten minste vijf jaar blijven doorlopen in het geval van grote ondernemingen en drie jaar in het geval van kmo’s;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F64EA" w:rsidRPr="00FE24BF" w14:paraId="144FA86E" w14:textId="77777777" w:rsidTr="00DE0F24">
        <w:tc>
          <w:tcPr>
            <w:tcW w:w="7399" w:type="dxa"/>
            <w:shd w:val="clear" w:color="auto" w:fill="auto"/>
          </w:tcPr>
          <w:p w14:paraId="497E7B5E" w14:textId="77777777" w:rsidR="001F64EA" w:rsidRPr="00FE24BF" w:rsidRDefault="001F64EA" w:rsidP="00DE0F24">
            <w:pPr>
              <w:rPr>
                <w:noProof/>
              </w:rPr>
            </w:pPr>
            <w:r w:rsidRPr="00FE24BF">
              <w:rPr>
                <w:noProof/>
              </w:rPr>
              <w:t>...</w:t>
            </w:r>
          </w:p>
        </w:tc>
      </w:tr>
    </w:tbl>
    <w:p w14:paraId="4EFD5149" w14:textId="77777777" w:rsidR="001F64EA" w:rsidRPr="00FE24BF" w:rsidRDefault="001F64EA" w:rsidP="001F64EA">
      <w:pPr>
        <w:pStyle w:val="Normal127Bullet63"/>
        <w:spacing w:after="120"/>
        <w:rPr>
          <w:noProof/>
        </w:rPr>
      </w:pPr>
      <w:r w:rsidRPr="00FE24BF">
        <w:rPr>
          <w:noProof/>
        </w:rPr>
        <w:t xml:space="preserve">voor de huur van installaties of machines moet de huur plaatsvinden in de vorm van leasing en moet deze voor de begunstigde van de steun een verplichting inhouden om de activa na afloop van de leaseovereenkomst te kopen.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F64EA" w:rsidRPr="00FE24BF" w14:paraId="76077816" w14:textId="77777777" w:rsidTr="00DE0F24">
        <w:tc>
          <w:tcPr>
            <w:tcW w:w="7399" w:type="dxa"/>
            <w:shd w:val="clear" w:color="auto" w:fill="auto"/>
          </w:tcPr>
          <w:p w14:paraId="672448BD" w14:textId="77777777" w:rsidR="001F64EA" w:rsidRPr="00FE24BF" w:rsidRDefault="001F64EA" w:rsidP="00DE0F24">
            <w:pPr>
              <w:rPr>
                <w:noProof/>
              </w:rPr>
            </w:pPr>
            <w:r w:rsidRPr="00FE24BF">
              <w:rPr>
                <w:noProof/>
              </w:rPr>
              <w:t>…</w:t>
            </w:r>
          </w:p>
        </w:tc>
      </w:tr>
    </w:tbl>
    <w:p w14:paraId="1796E6BF"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t>In punt 32 van de richtsnoeren is bepaald dat “</w:t>
      </w:r>
      <w:r w:rsidRPr="00FE24BF">
        <w:rPr>
          <w:i/>
          <w:noProof/>
          <w:color w:val="000000"/>
        </w:rPr>
        <w:t>in principe alleen de kosten voor de aankoop van de activa van derden die geen banden met de koper hebben, in aanmerking [mogen] worden genomen. Als echter een familielid van de oorspronkelijke eigenaar, of een werknemer, een kleine onderneming overneemt, is de voorwaarde dat de activa moeten worden gekocht van derden die geen banden hebben met de koper, niet van toepassing. De transactie moet op marktvoorwaarden plaatsvinden. Indien de verwerving van de activa van een vestiging vergezeld gaat van een bijkomende, voor regionale steun in aanmerking komende investering, moeten de in aanmerking komende kosten van die aanvullende investering worden bijgeteld bij de kosten voor de verwerving van de activa van de vestiging</w:t>
      </w:r>
      <w:r w:rsidRPr="00FE24BF">
        <w:rPr>
          <w:noProof/>
          <w:color w:val="000000"/>
        </w:rPr>
        <w:t xml:space="preserve">”. </w:t>
      </w:r>
    </w:p>
    <w:p w14:paraId="131EDF84" w14:textId="77777777" w:rsidR="001F64EA" w:rsidRPr="00FE24BF" w:rsidRDefault="001F64EA" w:rsidP="001F64EA">
      <w:pPr>
        <w:pStyle w:val="NormalKop111"/>
        <w:tabs>
          <w:tab w:val="clear" w:pos="720"/>
          <w:tab w:val="clear" w:pos="1440"/>
          <w:tab w:val="clear" w:pos="1797"/>
        </w:tabs>
        <w:ind w:left="1418"/>
        <w:rPr>
          <w:noProof/>
        </w:rPr>
      </w:pPr>
      <w:r w:rsidRPr="00FE24BF">
        <w:rPr>
          <w:noProof/>
        </w:rPr>
        <w:t xml:space="preserve">Geef hier, voor zover dit relevant is voor de aangemelde regeling, een referentie naar de desbetreffende de rechtsgrondslag waar is bepaald dat de bovenstaande voorwaarden moeten worden nageleefd.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7A05D15C" w14:textId="77777777" w:rsidTr="00DE0F24">
        <w:tc>
          <w:tcPr>
            <w:tcW w:w="7682" w:type="dxa"/>
            <w:shd w:val="clear" w:color="auto" w:fill="auto"/>
          </w:tcPr>
          <w:p w14:paraId="22719249" w14:textId="77777777" w:rsidR="001F64EA" w:rsidRPr="00FE24BF" w:rsidRDefault="001F64EA" w:rsidP="00DE0F24">
            <w:pPr>
              <w:rPr>
                <w:noProof/>
              </w:rPr>
            </w:pPr>
            <w:r w:rsidRPr="00FE24BF">
              <w:rPr>
                <w:noProof/>
              </w:rPr>
              <w:t>…</w:t>
            </w:r>
          </w:p>
        </w:tc>
      </w:tr>
    </w:tbl>
    <w:p w14:paraId="4C3DA444"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lastRenderedPageBreak/>
        <w:t>Indien de op grond van de regeling in aanmerking komende kosten immateriële activa (punt 19, 15), van de richtsnoeren) vormen, geef dan aan of de waarde van de investering wordt berekend op basis van uitgaven die verband houden met technologieoverdracht door de verwerving van octrooirechten, licenties, knowhow of andere intellectuele eigendom:</w:t>
      </w:r>
    </w:p>
    <w:p w14:paraId="73D3A9A1" w14:textId="77777777" w:rsidR="001F64EA" w:rsidRPr="00FE24BF" w:rsidRDefault="00C00B04" w:rsidP="001F64EA">
      <w:pPr>
        <w:pStyle w:val="Tiret2"/>
        <w:rPr>
          <w:noProof/>
        </w:rPr>
      </w:pPr>
      <w:sdt>
        <w:sdtPr>
          <w:rPr>
            <w:noProof/>
          </w:rPr>
          <w:id w:val="1828090279"/>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octrooirechten</w:t>
      </w:r>
    </w:p>
    <w:p w14:paraId="1A1F7908" w14:textId="77777777" w:rsidR="001F64EA" w:rsidRPr="00FE24BF" w:rsidRDefault="00C00B04" w:rsidP="001F64EA">
      <w:pPr>
        <w:pStyle w:val="Tiret2"/>
        <w:rPr>
          <w:noProof/>
        </w:rPr>
      </w:pPr>
      <w:sdt>
        <w:sdtPr>
          <w:rPr>
            <w:noProof/>
          </w:rPr>
          <w:id w:val="-1964336262"/>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licenties</w:t>
      </w:r>
    </w:p>
    <w:p w14:paraId="4472DEFB" w14:textId="77777777" w:rsidR="001F64EA" w:rsidRPr="00FE24BF" w:rsidRDefault="00C00B04" w:rsidP="001F64EA">
      <w:pPr>
        <w:pStyle w:val="Tiret2"/>
        <w:rPr>
          <w:noProof/>
        </w:rPr>
      </w:pPr>
      <w:sdt>
        <w:sdtPr>
          <w:rPr>
            <w:noProof/>
          </w:rPr>
          <w:id w:val="-1608340805"/>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knowhow</w:t>
      </w:r>
    </w:p>
    <w:p w14:paraId="05E10A12" w14:textId="77777777" w:rsidR="001F64EA" w:rsidRPr="00FE24BF" w:rsidRDefault="00C00B04" w:rsidP="001F64EA">
      <w:pPr>
        <w:pStyle w:val="Tiret2"/>
        <w:rPr>
          <w:noProof/>
        </w:rPr>
      </w:pPr>
      <w:sdt>
        <w:sdtPr>
          <w:rPr>
            <w:noProof/>
          </w:rPr>
          <w:id w:val="-2080744092"/>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andere intellectuele eigendom</w:t>
      </w:r>
    </w:p>
    <w:p w14:paraId="254C0193" w14:textId="77777777" w:rsidR="001F64EA" w:rsidRPr="00FE24BF" w:rsidRDefault="001F64EA" w:rsidP="001F64EA">
      <w:pPr>
        <w:pStyle w:val="Text2"/>
        <w:ind w:left="1418"/>
        <w:rPr>
          <w:noProof/>
        </w:rPr>
      </w:pPr>
      <w:r w:rsidRPr="00FE24BF">
        <w:rPr>
          <w:noProof/>
        </w:rPr>
        <w:t>Geef hier de referentie naar de desbetreffende bepalingen in de rechtsgrondslag: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43C6396B" w14:textId="77777777" w:rsidTr="00DE0F24">
        <w:tc>
          <w:tcPr>
            <w:tcW w:w="7682" w:type="dxa"/>
            <w:shd w:val="clear" w:color="auto" w:fill="auto"/>
          </w:tcPr>
          <w:p w14:paraId="6FE51E3F" w14:textId="77777777" w:rsidR="001F64EA" w:rsidRPr="00FE24BF" w:rsidRDefault="001F64EA" w:rsidP="00DE0F24">
            <w:pPr>
              <w:rPr>
                <w:noProof/>
              </w:rPr>
            </w:pPr>
            <w:r w:rsidRPr="00FE24BF">
              <w:rPr>
                <w:noProof/>
              </w:rPr>
              <w:t>…</w:t>
            </w:r>
          </w:p>
        </w:tc>
      </w:tr>
    </w:tbl>
    <w:p w14:paraId="26959251"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t>Geef hier een referentie naar de desbetreffende bepalingen in de rechtsgrondslag waar is bepaald dat voor grote ondernemingen de kosten voor in aanmerking komende investeringen in immateriële activa maximaal 50 % van de totale in aanmerking komende investeringskosten voor het project mogen bedragen (punt 33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4D4640A5" w14:textId="77777777" w:rsidTr="00DE0F24">
        <w:tc>
          <w:tcPr>
            <w:tcW w:w="7682" w:type="dxa"/>
            <w:shd w:val="clear" w:color="auto" w:fill="auto"/>
          </w:tcPr>
          <w:p w14:paraId="531AFC1A" w14:textId="77777777" w:rsidR="001F64EA" w:rsidRPr="00FE24BF" w:rsidRDefault="001F64EA" w:rsidP="00DE0F24">
            <w:pPr>
              <w:rPr>
                <w:noProof/>
              </w:rPr>
            </w:pPr>
            <w:r w:rsidRPr="00FE24BF">
              <w:rPr>
                <w:noProof/>
              </w:rPr>
              <w:t>…</w:t>
            </w:r>
          </w:p>
        </w:tc>
      </w:tr>
    </w:tbl>
    <w:p w14:paraId="1B2AD38F"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color w:val="000000"/>
        </w:rPr>
      </w:pPr>
      <w:r w:rsidRPr="00FE24BF">
        <w:rPr>
          <w:noProof/>
          <w:color w:val="000000"/>
        </w:rPr>
        <w:t>Geef hier een referentie naar de desbetreffende bepalingen in de rechtsgrondslag waar is bepaald dat de in punt 34 van de richtsnoeren</w:t>
      </w:r>
      <w:r w:rsidRPr="00FE24BF">
        <w:rPr>
          <w:rStyle w:val="FootnoteReference"/>
          <w:noProof/>
        </w:rPr>
        <w:footnoteReference w:id="19"/>
      </w:r>
      <w:r w:rsidRPr="00FE24BF">
        <w:rPr>
          <w:noProof/>
          <w:color w:val="000000"/>
        </w:rPr>
        <w:t xml:space="preserve"> uiteengezette voorwaarden moeten worden nageleefd: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68343F3B" w14:textId="77777777" w:rsidTr="00DE0F24">
        <w:tc>
          <w:tcPr>
            <w:tcW w:w="7682" w:type="dxa"/>
            <w:shd w:val="clear" w:color="auto" w:fill="auto"/>
          </w:tcPr>
          <w:p w14:paraId="5502D1B7" w14:textId="77777777" w:rsidR="001F64EA" w:rsidRPr="00FE24BF" w:rsidRDefault="001F64EA" w:rsidP="00DE0F24">
            <w:pPr>
              <w:rPr>
                <w:noProof/>
              </w:rPr>
            </w:pPr>
            <w:r w:rsidRPr="00FE24BF">
              <w:rPr>
                <w:noProof/>
              </w:rPr>
              <w:t>…</w:t>
            </w:r>
          </w:p>
        </w:tc>
      </w:tr>
    </w:tbl>
    <w:p w14:paraId="376AADE6"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In aanmerking komende kosten, berekend op basis van de loonkosten</w:t>
      </w:r>
    </w:p>
    <w:p w14:paraId="129E26E0"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Geef hier een referentie naar de desbetreffende bepalingen in de rechtsgrondslag waar is bepaald hoe de in aanmerking komende kosten, berekend op basis van de loonkosten, moeten worden vastgesteld (punt 35 van de richtsnoeren), hoe het aantal geschapen arbeidsplaatsen moet worden berekend aan de hand van punt 19, 16), van de richtsnoeren en hoe de loonkosten van de in dienst genomen personen moeten worden vastgesteld aan de hand van punt 19, 33),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14BDF651" w14:textId="77777777" w:rsidTr="00DE0F24">
        <w:tc>
          <w:tcPr>
            <w:tcW w:w="7682" w:type="dxa"/>
            <w:shd w:val="clear" w:color="auto" w:fill="auto"/>
          </w:tcPr>
          <w:p w14:paraId="58461C71" w14:textId="77777777" w:rsidR="001F64EA" w:rsidRPr="00FE24BF" w:rsidRDefault="001F64EA" w:rsidP="00DE0F24">
            <w:pPr>
              <w:rPr>
                <w:noProof/>
              </w:rPr>
            </w:pPr>
            <w:r w:rsidRPr="00FE24BF">
              <w:rPr>
                <w:noProof/>
              </w:rPr>
              <w:lastRenderedPageBreak/>
              <w:t>…</w:t>
            </w:r>
          </w:p>
        </w:tc>
      </w:tr>
    </w:tbl>
    <w:p w14:paraId="569F3E0B"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Berekening van de contant gemaakte in aanmerking komende kosten</w:t>
      </w:r>
    </w:p>
    <w:p w14:paraId="361C03D0"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Welke vormen van steun zijn toegestaan in het kader van de regeling?</w:t>
      </w:r>
    </w:p>
    <w:p w14:paraId="6BCB17E7" w14:textId="77777777" w:rsidR="001F64EA" w:rsidRPr="00FE24BF" w:rsidRDefault="00C00B04" w:rsidP="001F64EA">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subsidies. Geef hier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1F64EA" w:rsidRPr="00FE24BF" w14:paraId="479E1374" w14:textId="77777777" w:rsidTr="00DE0F24">
        <w:tc>
          <w:tcPr>
            <w:tcW w:w="7115" w:type="dxa"/>
            <w:shd w:val="clear" w:color="auto" w:fill="auto"/>
          </w:tcPr>
          <w:p w14:paraId="6960F4D9" w14:textId="77777777" w:rsidR="001F64EA" w:rsidRPr="00FE24BF" w:rsidRDefault="001F64EA" w:rsidP="001F64EA">
            <w:pPr>
              <w:pStyle w:val="ListParagraph"/>
              <w:numPr>
                <w:ilvl w:val="0"/>
                <w:numId w:val="24"/>
              </w:numPr>
              <w:rPr>
                <w:noProof/>
              </w:rPr>
            </w:pPr>
            <w:r w:rsidRPr="00FE24BF">
              <w:rPr>
                <w:noProof/>
              </w:rPr>
              <w:t xml:space="preserve">… </w:t>
            </w:r>
          </w:p>
        </w:tc>
      </w:tr>
    </w:tbl>
    <w:p w14:paraId="165D3531" w14:textId="77777777" w:rsidR="001F64EA" w:rsidRPr="00FE24BF" w:rsidRDefault="00C00B04" w:rsidP="001F64EA">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leningen. Hoe zal het subsidie-equivalent worden berekend? Geef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1F64EA" w:rsidRPr="00FE24BF" w14:paraId="54E3D661" w14:textId="77777777" w:rsidTr="00DE0F24">
        <w:tc>
          <w:tcPr>
            <w:tcW w:w="7115" w:type="dxa"/>
            <w:shd w:val="clear" w:color="auto" w:fill="auto"/>
          </w:tcPr>
          <w:p w14:paraId="10CE496F" w14:textId="77777777" w:rsidR="001F64EA" w:rsidRPr="00FE24BF" w:rsidRDefault="001F64EA" w:rsidP="001F64EA">
            <w:pPr>
              <w:pStyle w:val="ListParagraph"/>
              <w:numPr>
                <w:ilvl w:val="0"/>
                <w:numId w:val="24"/>
              </w:numPr>
              <w:rPr>
                <w:noProof/>
              </w:rPr>
            </w:pPr>
            <w:r w:rsidRPr="00FE24BF">
              <w:rPr>
                <w:noProof/>
              </w:rPr>
              <w:t xml:space="preserve">… </w:t>
            </w:r>
          </w:p>
        </w:tc>
      </w:tr>
    </w:tbl>
    <w:p w14:paraId="43A423C6" w14:textId="77777777" w:rsidR="001F64EA" w:rsidRPr="00FE24BF" w:rsidRDefault="00C00B04" w:rsidP="001F64EA">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garanties. Hoe zal het subsidie-equivalent worden berekend? Geef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1F64EA" w:rsidRPr="00FE24BF" w14:paraId="31F12DA4" w14:textId="77777777" w:rsidTr="00DE0F24">
        <w:tc>
          <w:tcPr>
            <w:tcW w:w="7115" w:type="dxa"/>
            <w:shd w:val="clear" w:color="auto" w:fill="auto"/>
          </w:tcPr>
          <w:p w14:paraId="0AFD4949" w14:textId="77777777" w:rsidR="001F64EA" w:rsidRPr="00FE24BF" w:rsidRDefault="001F64EA" w:rsidP="001F64EA">
            <w:pPr>
              <w:pStyle w:val="ListParagraph"/>
              <w:numPr>
                <w:ilvl w:val="0"/>
                <w:numId w:val="24"/>
              </w:numPr>
              <w:rPr>
                <w:noProof/>
              </w:rPr>
            </w:pPr>
            <w:r w:rsidRPr="00FE24BF">
              <w:rPr>
                <w:noProof/>
              </w:rPr>
              <w:t>…</w:t>
            </w:r>
          </w:p>
        </w:tc>
      </w:tr>
    </w:tbl>
    <w:p w14:paraId="0C70C84B" w14:textId="77777777" w:rsidR="001F64EA" w:rsidRPr="00FE24BF" w:rsidRDefault="00C00B04" w:rsidP="001F64EA">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belastingvoordelen. Om welk soort maatregelen gaat het? Hoe zal het subsidie-equivalent worden berekend? Geef hier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1F64EA" w:rsidRPr="00FE24BF" w14:paraId="4292AD27" w14:textId="77777777" w:rsidTr="00DE0F24">
        <w:tc>
          <w:tcPr>
            <w:tcW w:w="7115" w:type="dxa"/>
            <w:shd w:val="clear" w:color="auto" w:fill="auto"/>
          </w:tcPr>
          <w:p w14:paraId="5DC0A54F" w14:textId="77777777" w:rsidR="001F64EA" w:rsidRPr="00FE24BF" w:rsidRDefault="001F64EA" w:rsidP="001F64EA">
            <w:pPr>
              <w:pStyle w:val="ListParagraph"/>
              <w:numPr>
                <w:ilvl w:val="0"/>
                <w:numId w:val="24"/>
              </w:numPr>
              <w:rPr>
                <w:noProof/>
              </w:rPr>
            </w:pPr>
            <w:r w:rsidRPr="00FE24BF">
              <w:rPr>
                <w:noProof/>
              </w:rPr>
              <w:t>…</w:t>
            </w:r>
          </w:p>
        </w:tc>
      </w:tr>
    </w:tbl>
    <w:p w14:paraId="100988C3" w14:textId="77777777" w:rsidR="001F64EA" w:rsidRPr="00FE24BF" w:rsidRDefault="00C00B04" w:rsidP="001F64EA">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andere. Welke? Geef ook aan hoe het subsidie-equivalent zal worden berekend. Geef hier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1F64EA" w:rsidRPr="00FE24BF" w14:paraId="4D30C2B9" w14:textId="77777777" w:rsidTr="00DE0F24">
        <w:tc>
          <w:tcPr>
            <w:tcW w:w="7115" w:type="dxa"/>
            <w:shd w:val="clear" w:color="auto" w:fill="auto"/>
          </w:tcPr>
          <w:p w14:paraId="58D06147" w14:textId="77777777" w:rsidR="001F64EA" w:rsidRPr="00FE24BF" w:rsidRDefault="001F64EA" w:rsidP="00DE0F24">
            <w:pPr>
              <w:rPr>
                <w:noProof/>
              </w:rPr>
            </w:pPr>
            <w:r w:rsidRPr="00FE24BF">
              <w:rPr>
                <w:noProof/>
              </w:rPr>
              <w:t>….</w:t>
            </w:r>
          </w:p>
        </w:tc>
      </w:tr>
    </w:tbl>
    <w:p w14:paraId="62AB1C8E"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aan of de steunregeling in aanmerking komt voor medefinanciering uit een van de Uniefondsen die in gedeeld beheer worden uitgevoerd (“de fondsen”). Zo ja, geef dan aan in het kader van welk programma dergelijke financiering kan worden verkregen. Geef ook het bedrag aan financiering uit de fondsen waarom het gaat, indien dat op dit ogenblik bekend 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9A746AA" w14:textId="77777777" w:rsidTr="00DE0F24">
        <w:tc>
          <w:tcPr>
            <w:tcW w:w="7682" w:type="dxa"/>
            <w:tcBorders>
              <w:top w:val="dotted" w:sz="4" w:space="0" w:color="auto"/>
              <w:left w:val="dotted" w:sz="4" w:space="0" w:color="auto"/>
              <w:bottom w:val="dotted" w:sz="4" w:space="0" w:color="auto"/>
              <w:right w:val="dotted" w:sz="4" w:space="0" w:color="auto"/>
            </w:tcBorders>
          </w:tcPr>
          <w:p w14:paraId="59735C42" w14:textId="77777777" w:rsidR="001F64EA" w:rsidRPr="00FE24BF" w:rsidRDefault="001F64EA" w:rsidP="00DE0F24">
            <w:pPr>
              <w:rPr>
                <w:noProof/>
              </w:rPr>
            </w:pPr>
            <w:r w:rsidRPr="00FE24BF">
              <w:rPr>
                <w:noProof/>
              </w:rPr>
              <w:t>…</w:t>
            </w:r>
          </w:p>
        </w:tc>
      </w:tr>
    </w:tbl>
    <w:p w14:paraId="614EB6CE"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 xml:space="preserve">Geef hier de referentie naar de desbetreffende bepalingen in de rechtsgrondslag waar is bepaald dat de steunverlenende autoriteit, voordat in het kader van de aangemelde regeling individuele steun wordt verleend, moet nagaan of de begunstigde (op groepsniveau) steun heeft ontvangen voor één of meer initiële investeringen die van start zijn gegaan in dezelfde NUTS 3-regio in een periode van drie jaar voor de aanvang van de werkzaamheden aan het investeringsproject.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4823F2BF" w14:textId="77777777" w:rsidTr="00DE0F24">
        <w:tc>
          <w:tcPr>
            <w:tcW w:w="7682" w:type="dxa"/>
            <w:tcBorders>
              <w:top w:val="dotted" w:sz="4" w:space="0" w:color="auto"/>
              <w:left w:val="dotted" w:sz="4" w:space="0" w:color="auto"/>
              <w:bottom w:val="dotted" w:sz="4" w:space="0" w:color="auto"/>
              <w:right w:val="dotted" w:sz="4" w:space="0" w:color="auto"/>
            </w:tcBorders>
          </w:tcPr>
          <w:p w14:paraId="23C7EEE1" w14:textId="77777777" w:rsidR="001F64EA" w:rsidRPr="00FE24BF" w:rsidRDefault="001F64EA" w:rsidP="00DE0F24">
            <w:pPr>
              <w:rPr>
                <w:noProof/>
              </w:rPr>
            </w:pPr>
            <w:r w:rsidRPr="00FE24BF">
              <w:rPr>
                <w:noProof/>
              </w:rPr>
              <w:lastRenderedPageBreak/>
              <w:t>…</w:t>
            </w:r>
          </w:p>
        </w:tc>
      </w:tr>
    </w:tbl>
    <w:p w14:paraId="26246E64"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hier de referentie naar de desbetreffende bepalingen in de rechtsgrondslag waar is bepaald dat het totale steunbedrag dat in het kader van de regeling aan een project voor initiële investeringen zal worden toegekend, het uit de maximale steunintensiteit (als omschreven in punt 19, 19), van de richtsnoeren) voortvloeiende bedrag niet overschrijdt, rekening houdende met de verhoogde steunintensiteit voor kmo’s (zoals bepaald in punt 186 van de richtsnoeren) of het “bijgestelde steunbedrag” (als omschreven in punt 19, 3), van de richtsnoeren), voor zover van toepassing: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7EE9E91E" w14:textId="77777777" w:rsidTr="00DE0F24">
        <w:tc>
          <w:tcPr>
            <w:tcW w:w="7682" w:type="dxa"/>
            <w:tcBorders>
              <w:top w:val="dotted" w:sz="4" w:space="0" w:color="auto"/>
              <w:left w:val="dotted" w:sz="4" w:space="0" w:color="auto"/>
              <w:bottom w:val="dotted" w:sz="4" w:space="0" w:color="auto"/>
              <w:right w:val="dotted" w:sz="4" w:space="0" w:color="auto"/>
            </w:tcBorders>
          </w:tcPr>
          <w:p w14:paraId="5EABC679" w14:textId="77777777" w:rsidR="001F64EA" w:rsidRPr="00FE24BF" w:rsidRDefault="001F64EA" w:rsidP="00DE0F24">
            <w:pPr>
              <w:rPr>
                <w:noProof/>
              </w:rPr>
            </w:pPr>
            <w:r w:rsidRPr="00FE24BF">
              <w:rPr>
                <w:noProof/>
              </w:rPr>
              <w:t>…</w:t>
            </w:r>
          </w:p>
        </w:tc>
      </w:tr>
    </w:tbl>
    <w:p w14:paraId="6EA129F1"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hier de referentie naar de desbetreffende bepalingen in de rechtsgrondslag die bepalen dat wanneer individuele steun wordt toegekend op grond van meerdere regionale-steunregelingen of die wordt gecumuleerd met ad-hocsteun, de maximaal toegestane steunintensiteit voor het project vooraf zal worden berekend door de eerste steunverlenende autoriteit (punt 99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4DE3AB5" w14:textId="77777777" w:rsidTr="00DE0F24">
        <w:tc>
          <w:tcPr>
            <w:tcW w:w="7682" w:type="dxa"/>
            <w:tcBorders>
              <w:top w:val="dotted" w:sz="4" w:space="0" w:color="auto"/>
              <w:left w:val="dotted" w:sz="4" w:space="0" w:color="auto"/>
              <w:bottom w:val="dotted" w:sz="4" w:space="0" w:color="auto"/>
              <w:right w:val="dotted" w:sz="4" w:space="0" w:color="auto"/>
            </w:tcBorders>
          </w:tcPr>
          <w:p w14:paraId="37D3011B" w14:textId="77777777" w:rsidR="001F64EA" w:rsidRPr="00FE24BF" w:rsidRDefault="001F64EA" w:rsidP="00DE0F24">
            <w:pPr>
              <w:rPr>
                <w:noProof/>
              </w:rPr>
            </w:pPr>
            <w:r w:rsidRPr="00FE24BF">
              <w:rPr>
                <w:noProof/>
              </w:rPr>
              <w:t>…</w:t>
            </w:r>
          </w:p>
        </w:tc>
      </w:tr>
    </w:tbl>
    <w:p w14:paraId="4C7EF9AF"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 xml:space="preserve">Wanneer de steunregeling de mogelijkheid biedt voor steun ten behoeve van initiële investeringen die verband houden met projecten in het kader van de Europese territoriale samenwerking (ETC), geef dan de referentie naar de desbetreffende bepalingen in de rechtsgrondslag waar is bepaald (aan de hand van punt 100 van de richtsnoeren) hoe de voor het project geldende maximale steunintensiteit en de verschillende betrokken begunstigden zullen worden vastgesteld: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5BCF0359" w14:textId="77777777" w:rsidTr="00DE0F24">
        <w:tc>
          <w:tcPr>
            <w:tcW w:w="7682" w:type="dxa"/>
            <w:tcBorders>
              <w:top w:val="dotted" w:sz="4" w:space="0" w:color="auto"/>
              <w:left w:val="dotted" w:sz="4" w:space="0" w:color="auto"/>
              <w:bottom w:val="dotted" w:sz="4" w:space="0" w:color="auto"/>
              <w:right w:val="dotted" w:sz="4" w:space="0" w:color="auto"/>
            </w:tcBorders>
          </w:tcPr>
          <w:p w14:paraId="3E3D96CD" w14:textId="77777777" w:rsidR="001F64EA" w:rsidRPr="00FE24BF" w:rsidRDefault="001F64EA" w:rsidP="00DE0F24">
            <w:pPr>
              <w:rPr>
                <w:noProof/>
              </w:rPr>
            </w:pPr>
            <w:r w:rsidRPr="00FE24BF">
              <w:rPr>
                <w:noProof/>
              </w:rPr>
              <w:t>…</w:t>
            </w:r>
          </w:p>
        </w:tc>
      </w:tr>
    </w:tbl>
    <w:p w14:paraId="2FC0551C" w14:textId="6FDE5500" w:rsidR="001F64EA" w:rsidRPr="00FE24BF" w:rsidRDefault="001F64EA" w:rsidP="001F64EA">
      <w:pPr>
        <w:pStyle w:val="Heading1"/>
        <w:rPr>
          <w:noProof/>
        </w:rPr>
      </w:pPr>
      <w:r w:rsidRPr="00FE24BF">
        <w:rPr>
          <w:noProof/>
        </w:rPr>
        <w:t>Verenigbaarheidsbeoordeling van de steunregeling</w:t>
      </w:r>
    </w:p>
    <w:p w14:paraId="008DDC9B"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Bijdrage aan regionale ontwikkeling, positieve effecten en noodzaak van overheidsmaatregelen</w:t>
      </w:r>
    </w:p>
    <w:p w14:paraId="5D54DA15"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Leg uit hoe de regeling aansluit bij en bijdraagt tot de ontwikkelingsstrategie van het betrokken gebied (punt 44 van de richtsnoeren):</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1F64EA" w:rsidRPr="00FE24BF" w14:paraId="654DA3B7" w14:textId="77777777" w:rsidTr="00C00B04">
        <w:tc>
          <w:tcPr>
            <w:tcW w:w="7660" w:type="dxa"/>
            <w:tcBorders>
              <w:top w:val="dotted" w:sz="4" w:space="0" w:color="auto"/>
              <w:left w:val="dotted" w:sz="4" w:space="0" w:color="auto"/>
              <w:bottom w:val="dotted" w:sz="4" w:space="0" w:color="auto"/>
              <w:right w:val="dotted" w:sz="4" w:space="0" w:color="auto"/>
            </w:tcBorders>
          </w:tcPr>
          <w:p w14:paraId="1B3F452E" w14:textId="77777777" w:rsidR="001F64EA" w:rsidRPr="00FE24BF" w:rsidRDefault="001F64EA" w:rsidP="00DE0F24">
            <w:pPr>
              <w:rPr>
                <w:noProof/>
              </w:rPr>
            </w:pPr>
            <w:r w:rsidRPr="00FE24BF">
              <w:rPr>
                <w:noProof/>
              </w:rPr>
              <w:t>…</w:t>
            </w:r>
          </w:p>
        </w:tc>
      </w:tr>
    </w:tbl>
    <w:p w14:paraId="6E8E918C"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hier de referentie naar de desbetreffende bepalingen in de rechtsgrondslag die de voorwaarde bevat dat, wanneer dit wettelijk verplicht is, voor de betrokken investeringen een milieueffectbeoordeling moet worden uitgevoerd voordat aan individuele projecten steun kan worden toegekend (punt 49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EAC2ABC" w14:textId="77777777" w:rsidTr="00DE0F24">
        <w:tc>
          <w:tcPr>
            <w:tcW w:w="7682" w:type="dxa"/>
            <w:tcBorders>
              <w:top w:val="dotted" w:sz="4" w:space="0" w:color="auto"/>
              <w:left w:val="dotted" w:sz="4" w:space="0" w:color="auto"/>
              <w:bottom w:val="dotted" w:sz="4" w:space="0" w:color="auto"/>
              <w:right w:val="dotted" w:sz="4" w:space="0" w:color="auto"/>
            </w:tcBorders>
          </w:tcPr>
          <w:p w14:paraId="6E72A18A" w14:textId="77777777" w:rsidR="001F64EA" w:rsidRPr="00FE24BF" w:rsidRDefault="001F64EA" w:rsidP="00DE0F24">
            <w:pPr>
              <w:tabs>
                <w:tab w:val="left" w:pos="720"/>
                <w:tab w:val="left" w:pos="1077"/>
                <w:tab w:val="left" w:pos="1440"/>
                <w:tab w:val="left" w:pos="1797"/>
              </w:tabs>
              <w:rPr>
                <w:noProof/>
              </w:rPr>
            </w:pPr>
            <w:r w:rsidRPr="00FE24BF">
              <w:rPr>
                <w:noProof/>
              </w:rPr>
              <w:lastRenderedPageBreak/>
              <w:t>…</w:t>
            </w:r>
          </w:p>
        </w:tc>
      </w:tr>
    </w:tbl>
    <w:p w14:paraId="6DF05505"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Hoe zullen de steunverlenende autoriteiten prioriteiten kunnen stellen en de investeringsprojecten kunnen selecteren aan de hand van de doelstellingen van de regeling (bv. op basis van een puntensysteem) (punt 44 van de richtsnoeren)? Geef hier ook de referentie naar de desbetreffende bepalingen in de rechtsgrondslag of andere daarmee in verband staande bestuurlijke besluiten.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252B2CB3" w14:textId="77777777" w:rsidTr="00DE0F24">
        <w:tc>
          <w:tcPr>
            <w:tcW w:w="7682" w:type="dxa"/>
            <w:tcBorders>
              <w:top w:val="dotted" w:sz="4" w:space="0" w:color="auto"/>
              <w:left w:val="dotted" w:sz="4" w:space="0" w:color="auto"/>
              <w:bottom w:val="dotted" w:sz="4" w:space="0" w:color="auto"/>
              <w:right w:val="dotted" w:sz="4" w:space="0" w:color="auto"/>
            </w:tcBorders>
          </w:tcPr>
          <w:p w14:paraId="37FAA225" w14:textId="77777777" w:rsidR="001F64EA" w:rsidRPr="00FE24BF" w:rsidRDefault="001F64EA" w:rsidP="00DE0F24">
            <w:pPr>
              <w:tabs>
                <w:tab w:val="left" w:pos="720"/>
                <w:tab w:val="left" w:pos="1077"/>
                <w:tab w:val="left" w:pos="1440"/>
                <w:tab w:val="left" w:pos="1797"/>
              </w:tabs>
              <w:rPr>
                <w:noProof/>
              </w:rPr>
            </w:pPr>
            <w:r w:rsidRPr="00FE24BF">
              <w:rPr>
                <w:noProof/>
              </w:rPr>
              <w:t>…</w:t>
            </w:r>
          </w:p>
        </w:tc>
      </w:tr>
    </w:tbl>
    <w:p w14:paraId="045E9EE8"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Hoe zal de steunverlenende autoriteit, wanneer krachtens de aangemelde regeling steun aan individuele investeringsprojecten wordt toegekend, bepalen dat het (de) geselecteerde project(en) zal (zullen) bijdragen aan de doelstelling van de regeling, en zo aan de ontwikkelingsstrategie voor het betrokken gebied? (punt 46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2FE005B9" w14:textId="77777777" w:rsidTr="00DE0F24">
        <w:tc>
          <w:tcPr>
            <w:tcW w:w="7682" w:type="dxa"/>
            <w:tcBorders>
              <w:top w:val="dotted" w:sz="4" w:space="0" w:color="auto"/>
              <w:left w:val="dotted" w:sz="4" w:space="0" w:color="auto"/>
              <w:bottom w:val="dotted" w:sz="4" w:space="0" w:color="auto"/>
              <w:right w:val="dotted" w:sz="4" w:space="0" w:color="auto"/>
            </w:tcBorders>
          </w:tcPr>
          <w:p w14:paraId="3D02CF85" w14:textId="77777777" w:rsidR="001F64EA" w:rsidRPr="00FE24BF" w:rsidRDefault="001F64EA" w:rsidP="00DE0F24">
            <w:pPr>
              <w:tabs>
                <w:tab w:val="left" w:pos="720"/>
                <w:tab w:val="left" w:pos="1077"/>
                <w:tab w:val="left" w:pos="1440"/>
                <w:tab w:val="left" w:pos="1797"/>
              </w:tabs>
              <w:rPr>
                <w:noProof/>
              </w:rPr>
            </w:pPr>
            <w:r w:rsidRPr="00FE24BF">
              <w:rPr>
                <w:noProof/>
              </w:rPr>
              <w:t>…</w:t>
            </w:r>
          </w:p>
        </w:tc>
      </w:tr>
    </w:tbl>
    <w:p w14:paraId="40484CF8"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Hoe zal de voorwaarde worden toegepast dat een in het kader van de aangemelde regeling gesteunde investering ten minste vijf jaar of, in het geval van kmo’s drie jaar, na de voltooiing ervan in het gebied behouden moet blijven (punt 47 van de richtsnoeren)? Geef hier de referentie naar de desbetreffende bepalingen in de rechtsgrondslag.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74C48FF8" w14:textId="77777777" w:rsidTr="00DE0F24">
        <w:tc>
          <w:tcPr>
            <w:tcW w:w="7682" w:type="dxa"/>
            <w:tcBorders>
              <w:top w:val="dotted" w:sz="4" w:space="0" w:color="auto"/>
              <w:left w:val="dotted" w:sz="4" w:space="0" w:color="auto"/>
              <w:bottom w:val="dotted" w:sz="4" w:space="0" w:color="auto"/>
              <w:right w:val="dotted" w:sz="4" w:space="0" w:color="auto"/>
            </w:tcBorders>
          </w:tcPr>
          <w:p w14:paraId="30BD99DD" w14:textId="77777777" w:rsidR="001F64EA" w:rsidRPr="00FE24BF" w:rsidRDefault="001F64EA" w:rsidP="00DE0F24">
            <w:pPr>
              <w:tabs>
                <w:tab w:val="left" w:pos="720"/>
                <w:tab w:val="left" w:pos="1077"/>
                <w:tab w:val="left" w:pos="1440"/>
                <w:tab w:val="left" w:pos="1797"/>
              </w:tabs>
              <w:rPr>
                <w:noProof/>
              </w:rPr>
            </w:pPr>
            <w:r w:rsidRPr="00FE24BF">
              <w:rPr>
                <w:noProof/>
              </w:rPr>
              <w:t>…</w:t>
            </w:r>
          </w:p>
        </w:tc>
      </w:tr>
    </w:tbl>
    <w:p w14:paraId="33D41162"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Wordt de in het kader van de aangemelde regeling toegekende steun berekend op basis van de loonkosten? Licht dan toe hoe de bepaling wordt toegepast dat arbeidsplaatsen moeten worden geschapen in de eerste drie jaar nadat de investering is voltooid en dat alle door de betrokken investering geschapen arbeidsplaatsen binnen het betrokken gebied behouden moeten blijven gedurende een periode van vijf jaar (of drie jaar in het geval van kmo’s) te rekenen vanaf de datum waarop de arbeidsplaats voor het eerst werd ingevuld (punt 36 van de richtsnoeren). Geef hier de referentie naar de desbetreffende bepaling in de rechtsgrondslag.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7AF8E4ED" w14:textId="77777777" w:rsidTr="00DE0F24">
        <w:tc>
          <w:tcPr>
            <w:tcW w:w="7682" w:type="dxa"/>
            <w:tcBorders>
              <w:top w:val="dotted" w:sz="4" w:space="0" w:color="auto"/>
              <w:left w:val="dotted" w:sz="4" w:space="0" w:color="auto"/>
              <w:bottom w:val="dotted" w:sz="4" w:space="0" w:color="auto"/>
              <w:right w:val="dotted" w:sz="4" w:space="0" w:color="auto"/>
            </w:tcBorders>
          </w:tcPr>
          <w:p w14:paraId="69ABB2D8" w14:textId="77777777" w:rsidR="001F64EA" w:rsidRPr="00FE24BF" w:rsidRDefault="001F64EA" w:rsidP="00DE0F24">
            <w:pPr>
              <w:tabs>
                <w:tab w:val="left" w:pos="720"/>
                <w:tab w:val="left" w:pos="1077"/>
                <w:tab w:val="left" w:pos="1440"/>
                <w:tab w:val="left" w:pos="1797"/>
              </w:tabs>
              <w:rPr>
                <w:noProof/>
              </w:rPr>
            </w:pPr>
            <w:r w:rsidRPr="00FE24BF">
              <w:rPr>
                <w:noProof/>
              </w:rPr>
              <w:t>…</w:t>
            </w:r>
          </w:p>
        </w:tc>
      </w:tr>
    </w:tbl>
    <w:p w14:paraId="39735DD8"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hier een referentie naar de desbetreffende bepalingen in de rechtsgrondslag waar is bepaald dat de ontvangers van de steun een bijdrage moeten leveren van ten minste 25 % van de in aanmerking komende kosten – uit eigen middelen dan wel door externe financiering – in een vorm die vrij is van alle financiële steun van de overheid</w:t>
      </w:r>
      <w:r w:rsidRPr="00FE24BF">
        <w:rPr>
          <w:rStyle w:val="FootnoteReference"/>
          <w:noProof/>
        </w:rPr>
        <w:footnoteReference w:id="20"/>
      </w:r>
      <w:r w:rsidRPr="00FE24BF">
        <w:rPr>
          <w:noProof/>
        </w:rPr>
        <w:t xml:space="preserve"> (punt 48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5C66361C" w14:textId="77777777" w:rsidTr="00DE0F24">
        <w:tc>
          <w:tcPr>
            <w:tcW w:w="7682" w:type="dxa"/>
            <w:tcBorders>
              <w:top w:val="dotted" w:sz="4" w:space="0" w:color="auto"/>
              <w:left w:val="dotted" w:sz="4" w:space="0" w:color="auto"/>
              <w:bottom w:val="dotted" w:sz="4" w:space="0" w:color="auto"/>
              <w:right w:val="dotted" w:sz="4" w:space="0" w:color="auto"/>
            </w:tcBorders>
          </w:tcPr>
          <w:p w14:paraId="19E40A27" w14:textId="77777777" w:rsidR="001F64EA" w:rsidRPr="00FE24BF" w:rsidRDefault="001F64EA" w:rsidP="00DE0F24">
            <w:pPr>
              <w:rPr>
                <w:noProof/>
                <w:szCs w:val="24"/>
              </w:rPr>
            </w:pPr>
            <w:r w:rsidRPr="00FE24BF">
              <w:rPr>
                <w:noProof/>
              </w:rPr>
              <w:lastRenderedPageBreak/>
              <w:t>…</w:t>
            </w:r>
          </w:p>
        </w:tc>
      </w:tr>
    </w:tbl>
    <w:p w14:paraId="5836B600"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Geef hier een referentie naar de desbetreffende bepalingen in de rechtsgrondslag waaruit blijkt dat de regeling op het tijdstip van toekenning van de steun de geldende plafonds van de regionale-steunkaart in acht moet nemen (punt 88 van de richtsnoeren). Geef ook de referentie naar het besluit van de Commissie waarbij de betrokken regionale-steunkaart is goedgekeurd.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47836EBC" w14:textId="77777777" w:rsidTr="00DE0F24">
        <w:tc>
          <w:tcPr>
            <w:tcW w:w="7682" w:type="dxa"/>
            <w:tcBorders>
              <w:top w:val="dotted" w:sz="4" w:space="0" w:color="auto"/>
              <w:left w:val="dotted" w:sz="4" w:space="0" w:color="auto"/>
              <w:bottom w:val="dotted" w:sz="4" w:space="0" w:color="auto"/>
              <w:right w:val="dotted" w:sz="4" w:space="0" w:color="auto"/>
            </w:tcBorders>
          </w:tcPr>
          <w:p w14:paraId="45F0F212" w14:textId="77777777" w:rsidR="001F64EA" w:rsidRPr="00FE24BF" w:rsidRDefault="001F64EA" w:rsidP="00DE0F24">
            <w:pPr>
              <w:rPr>
                <w:noProof/>
                <w:szCs w:val="24"/>
              </w:rPr>
            </w:pPr>
            <w:r w:rsidRPr="00FE24BF">
              <w:rPr>
                <w:noProof/>
              </w:rPr>
              <w:t>…</w:t>
            </w:r>
          </w:p>
        </w:tc>
      </w:tr>
    </w:tbl>
    <w:p w14:paraId="183C061B"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Stimulerend effect van de maatregel</w:t>
      </w:r>
    </w:p>
    <w:p w14:paraId="51C2EB30"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hier de referentie naar de desbetreffende bepalingen in de rechtsgrondslag waar is bepaald dat steunaanvragen moeten zijn ingediend voordat met de uitvoering van het investeringsproject een aanvang wordt gemaakt (punt 62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57D32B40" w14:textId="77777777" w:rsidTr="00DE0F24">
        <w:tc>
          <w:tcPr>
            <w:tcW w:w="7682" w:type="dxa"/>
            <w:shd w:val="clear" w:color="auto" w:fill="auto"/>
          </w:tcPr>
          <w:p w14:paraId="3DC55ED0" w14:textId="77777777" w:rsidR="001F64EA" w:rsidRPr="00FE24BF" w:rsidRDefault="001F64EA" w:rsidP="00DE0F24">
            <w:pPr>
              <w:rPr>
                <w:noProof/>
              </w:rPr>
            </w:pPr>
            <w:r w:rsidRPr="00FE24BF">
              <w:rPr>
                <w:noProof/>
              </w:rPr>
              <w:t>…</w:t>
            </w:r>
          </w:p>
        </w:tc>
      </w:tr>
    </w:tbl>
    <w:p w14:paraId="5B2F2059"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hier de referentie naar de desbetreffende bepalingen in de rechtsgrondslag waar is bepaald dat aanvragers van steun in het kader van de aangemelde regeling een door de steunverlenende autoriteit verschaft standaardaanvraagformulier moeten indienen waarin zij aan de hand van een nulscenario moeten uitleggen wat er zou gebeuren indien zij de steun niet ontvangen. Daarbij moeten zij aangeven welke van de scenario’s (scenario 1 – investeringsbesluit of scenario 2 – vestigingsbesluit) van toepassing is (punten 64 en 59 van de richtsnoeren).</w:t>
      </w:r>
      <w:r w:rsidRPr="00FE24BF">
        <w:rPr>
          <w:noProof/>
          <w:color w:val="000000"/>
        </w:rPr>
        <w:t xml:space="preserve"> Verschilt dat aanvraagformulier van het in bijlage VII bij de richtsnoeren verschafte voorbeeld, verschaf dan een kopie van dit formulier.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1A81EC35" w14:textId="77777777" w:rsidTr="00DE0F24">
        <w:tc>
          <w:tcPr>
            <w:tcW w:w="7682" w:type="dxa"/>
            <w:shd w:val="clear" w:color="auto" w:fill="auto"/>
          </w:tcPr>
          <w:p w14:paraId="39F8D7F7" w14:textId="77777777" w:rsidR="001F64EA" w:rsidRPr="00FE24BF" w:rsidRDefault="001F64EA" w:rsidP="00DE0F24">
            <w:pPr>
              <w:rPr>
                <w:noProof/>
              </w:rPr>
            </w:pPr>
            <w:r w:rsidRPr="00FE24BF">
              <w:rPr>
                <w:noProof/>
              </w:rPr>
              <w:t>…</w:t>
            </w:r>
          </w:p>
        </w:tc>
      </w:tr>
    </w:tbl>
    <w:p w14:paraId="054F800E"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Geef hier de referentie naar de desbetreffende bepalingen in de rechtsgrondslag waar is bepaald dat grote ondernemingen die steun aanvragen in het kader van de aangemelde regeling bewijsstukken moeten verschaffen ter staving van het in het aanvraagformulier beschreven nulscenario. (punt 65 van de richtsnoeren). Geef ook aan welk soort documenten zal worden verlangd.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7D0F74FE" w14:textId="77777777" w:rsidTr="00DE0F24">
        <w:tc>
          <w:tcPr>
            <w:tcW w:w="7682" w:type="dxa"/>
            <w:shd w:val="clear" w:color="auto" w:fill="auto"/>
          </w:tcPr>
          <w:p w14:paraId="55F0418C" w14:textId="77777777" w:rsidR="001F64EA" w:rsidRPr="00FE24BF" w:rsidRDefault="001F64EA" w:rsidP="00DE0F24">
            <w:pPr>
              <w:rPr>
                <w:noProof/>
              </w:rPr>
            </w:pPr>
            <w:r w:rsidRPr="00FE24BF">
              <w:rPr>
                <w:noProof/>
              </w:rPr>
              <w:t>…</w:t>
            </w:r>
          </w:p>
        </w:tc>
      </w:tr>
    </w:tbl>
    <w:p w14:paraId="55082C02" w14:textId="77777777" w:rsidR="001F64EA" w:rsidRPr="00FE24BF" w:rsidRDefault="001F64EA" w:rsidP="001F64EA">
      <w:pPr>
        <w:pStyle w:val="NormalKop111"/>
        <w:numPr>
          <w:ilvl w:val="2"/>
          <w:numId w:val="22"/>
        </w:numPr>
        <w:tabs>
          <w:tab w:val="clear" w:pos="720"/>
          <w:tab w:val="clear" w:pos="1440"/>
          <w:tab w:val="clear" w:pos="1797"/>
        </w:tabs>
        <w:ind w:left="1418" w:hanging="698"/>
        <w:rPr>
          <w:rFonts w:cs="Times New Roman"/>
          <w:noProof/>
        </w:rPr>
      </w:pPr>
      <w:r w:rsidRPr="00FE24BF">
        <w:rPr>
          <w:noProof/>
        </w:rPr>
        <w:t xml:space="preserve">Geef hier de referentie naar de desbetreffende bepalingen in de rechtsgrondslag waar is bepaald dat de steunverlenende autoriteit, bij het beoordelen van individuele steunaanvragen, het meegedeelde nulscenario op zijn geloofwaardigheid moet toetsen en zich ervan moet vergewissen dat regionale </w:t>
      </w:r>
      <w:r w:rsidRPr="00FE24BF">
        <w:rPr>
          <w:noProof/>
        </w:rPr>
        <w:lastRenderedPageBreak/>
        <w:t>steun het vereiste stimulerende effect oplevert dat overeenstemt met scenario 1 of scenario 2</w:t>
      </w:r>
      <w:r w:rsidRPr="00FE24BF">
        <w:rPr>
          <w:rStyle w:val="FootnoteReference"/>
          <w:noProof/>
        </w:rPr>
        <w:footnoteReference w:id="21"/>
      </w:r>
      <w:r w:rsidRPr="00FE24BF">
        <w:rPr>
          <w:noProof/>
        </w:rPr>
        <w:t xml:space="preserve"> (punt 66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03FAD4C3" w14:textId="77777777" w:rsidTr="00DE0F24">
        <w:tc>
          <w:tcPr>
            <w:tcW w:w="7682" w:type="dxa"/>
            <w:shd w:val="clear" w:color="auto" w:fill="auto"/>
          </w:tcPr>
          <w:p w14:paraId="358D2CC2" w14:textId="77777777" w:rsidR="001F64EA" w:rsidRPr="00FE24BF" w:rsidRDefault="001F64EA" w:rsidP="00DE0F24">
            <w:pPr>
              <w:rPr>
                <w:noProof/>
              </w:rPr>
            </w:pPr>
            <w:r w:rsidRPr="00FE24BF">
              <w:rPr>
                <w:noProof/>
              </w:rPr>
              <w:t>…</w:t>
            </w:r>
          </w:p>
        </w:tc>
      </w:tr>
    </w:tbl>
    <w:p w14:paraId="48C0FEDA"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Geschiktheid van de regeling</w:t>
      </w:r>
    </w:p>
    <w:p w14:paraId="2EFDCC03"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Leg uit waarom regionale steun een geschikt instrument is om het gebied te helpen ontwikkelen</w:t>
      </w:r>
      <w:r w:rsidRPr="00FE24BF">
        <w:rPr>
          <w:rStyle w:val="FootnoteReference"/>
          <w:noProof/>
        </w:rPr>
        <w:footnoteReference w:id="22"/>
      </w:r>
      <w:r w:rsidRPr="00FE24BF">
        <w:rPr>
          <w:noProof/>
        </w:rPr>
        <w:t xml:space="preserve"> (punt 80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5C48FC84" w14:textId="77777777" w:rsidTr="00DE0F24">
        <w:tc>
          <w:tcPr>
            <w:tcW w:w="7682" w:type="dxa"/>
            <w:tcBorders>
              <w:top w:val="dotted" w:sz="4" w:space="0" w:color="auto"/>
              <w:left w:val="dotted" w:sz="4" w:space="0" w:color="auto"/>
              <w:bottom w:val="dotted" w:sz="4" w:space="0" w:color="auto"/>
              <w:right w:val="dotted" w:sz="4" w:space="0" w:color="auto"/>
            </w:tcBorders>
          </w:tcPr>
          <w:p w14:paraId="59884842" w14:textId="77777777" w:rsidR="001F64EA" w:rsidRPr="00FE24BF" w:rsidRDefault="001F64EA" w:rsidP="00DE0F24">
            <w:pPr>
              <w:rPr>
                <w:noProof/>
                <w:szCs w:val="24"/>
              </w:rPr>
            </w:pPr>
            <w:r w:rsidRPr="00FE24BF">
              <w:rPr>
                <w:noProof/>
              </w:rPr>
              <w:t>…</w:t>
            </w:r>
          </w:p>
        </w:tc>
      </w:tr>
    </w:tbl>
    <w:p w14:paraId="770C4D69"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Wanneer de regeling sectorspecifiek is, toon dan aan wat de voordelen zijn van dit soort instrument vergeleken met een multisectorale regeling of andere beleidsopties (punt 81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5BAEE1F" w14:textId="77777777" w:rsidTr="00DE0F24">
        <w:tc>
          <w:tcPr>
            <w:tcW w:w="7682" w:type="dxa"/>
            <w:tcBorders>
              <w:top w:val="dotted" w:sz="4" w:space="0" w:color="auto"/>
              <w:left w:val="dotted" w:sz="4" w:space="0" w:color="auto"/>
              <w:bottom w:val="dotted" w:sz="4" w:space="0" w:color="auto"/>
              <w:right w:val="dotted" w:sz="4" w:space="0" w:color="auto"/>
            </w:tcBorders>
          </w:tcPr>
          <w:p w14:paraId="2E029FD8" w14:textId="77777777" w:rsidR="001F64EA" w:rsidRPr="00FE24BF" w:rsidRDefault="001F64EA" w:rsidP="00DE0F24">
            <w:pPr>
              <w:rPr>
                <w:noProof/>
                <w:szCs w:val="24"/>
              </w:rPr>
            </w:pPr>
            <w:r w:rsidRPr="00FE24BF">
              <w:rPr>
                <w:noProof/>
              </w:rPr>
              <w:t>…</w:t>
            </w:r>
          </w:p>
        </w:tc>
      </w:tr>
    </w:tbl>
    <w:p w14:paraId="5F4DEE21"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Hoe wordt individuele steun in het kader van de aangemelde regeling toegekend?</w:t>
      </w:r>
    </w:p>
    <w:p w14:paraId="4BB56425" w14:textId="77777777" w:rsidR="001F64EA" w:rsidRPr="00FE24BF" w:rsidRDefault="00C00B04" w:rsidP="001F64EA">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Automatisch indien aan de voorwaarden van de regeling is voldaan, of</w:t>
      </w:r>
    </w:p>
    <w:p w14:paraId="08CFB876" w14:textId="77777777" w:rsidR="001F64EA" w:rsidRPr="00FE24BF" w:rsidRDefault="00C00B04" w:rsidP="001F64EA">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Op discretionaire basis, na een besluit van de autoriteiten.</w:t>
      </w:r>
    </w:p>
    <w:p w14:paraId="23E43241" w14:textId="77777777" w:rsidR="001F64EA" w:rsidRPr="00FE24BF" w:rsidRDefault="001F64EA" w:rsidP="001F64EA">
      <w:pPr>
        <w:pStyle w:val="Text2"/>
        <w:ind w:left="1418"/>
        <w:rPr>
          <w:noProof/>
        </w:rPr>
      </w:pPr>
      <w:r w:rsidRPr="00FE24BF">
        <w:rPr>
          <w:noProof/>
        </w:rPr>
        <w:t xml:space="preserve">Geef hier de referentie naar de desbetreffende bepaling in de rechtsgrondslag: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D0CA7C7" w14:textId="77777777" w:rsidTr="00DE0F24">
        <w:tc>
          <w:tcPr>
            <w:tcW w:w="7682" w:type="dxa"/>
            <w:tcBorders>
              <w:top w:val="dotted" w:sz="4" w:space="0" w:color="auto"/>
              <w:left w:val="dotted" w:sz="4" w:space="0" w:color="auto"/>
              <w:bottom w:val="dotted" w:sz="4" w:space="0" w:color="auto"/>
              <w:right w:val="dotted" w:sz="4" w:space="0" w:color="auto"/>
            </w:tcBorders>
          </w:tcPr>
          <w:p w14:paraId="0468A19D" w14:textId="77777777" w:rsidR="001F64EA" w:rsidRPr="00FE24BF" w:rsidRDefault="001F64EA" w:rsidP="00DE0F24">
            <w:pPr>
              <w:rPr>
                <w:noProof/>
                <w:szCs w:val="24"/>
              </w:rPr>
            </w:pPr>
            <w:r w:rsidRPr="00FE24BF">
              <w:rPr>
                <w:noProof/>
              </w:rPr>
              <w:t>…</w:t>
            </w:r>
          </w:p>
        </w:tc>
      </w:tr>
    </w:tbl>
    <w:p w14:paraId="298D496C" w14:textId="77777777" w:rsidR="001F64EA" w:rsidRPr="00FE24BF" w:rsidRDefault="001F64EA" w:rsidP="001F64EA">
      <w:pPr>
        <w:pStyle w:val="Text2"/>
        <w:ind w:left="1418"/>
        <w:rPr>
          <w:noProof/>
        </w:rPr>
      </w:pPr>
      <w:r w:rsidRPr="00FE24BF">
        <w:rPr>
          <w:noProof/>
        </w:rPr>
        <w:t>Wordt de steun discretionair toegekend, geef dan een beknopte beschrijving van de toegepaste criteria en voeg een kopie bij van de voor de steunverlening geldende interne administratieve bepalingen van de steunverlenende autoriteit.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272A5E94" w14:textId="77777777" w:rsidTr="00DE0F24">
        <w:tc>
          <w:tcPr>
            <w:tcW w:w="7682" w:type="dxa"/>
            <w:tcBorders>
              <w:top w:val="dotted" w:sz="4" w:space="0" w:color="auto"/>
              <w:left w:val="dotted" w:sz="4" w:space="0" w:color="auto"/>
              <w:bottom w:val="dotted" w:sz="4" w:space="0" w:color="auto"/>
              <w:right w:val="dotted" w:sz="4" w:space="0" w:color="auto"/>
            </w:tcBorders>
          </w:tcPr>
          <w:p w14:paraId="2C467CB1" w14:textId="77777777" w:rsidR="001F64EA" w:rsidRPr="00FE24BF" w:rsidRDefault="001F64EA" w:rsidP="00DE0F24">
            <w:pPr>
              <w:rPr>
                <w:noProof/>
                <w:szCs w:val="24"/>
              </w:rPr>
            </w:pPr>
            <w:r w:rsidRPr="00FE24BF">
              <w:rPr>
                <w:noProof/>
              </w:rPr>
              <w:t>…</w:t>
            </w:r>
          </w:p>
        </w:tc>
      </w:tr>
    </w:tbl>
    <w:p w14:paraId="1F7B2A29"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Wordt de steun in het kader van de regeling toegekend in een vorm die een direct financieel voordeel</w:t>
      </w:r>
      <w:r w:rsidRPr="00FE24BF">
        <w:rPr>
          <w:rStyle w:val="FootnoteReference"/>
          <w:noProof/>
        </w:rPr>
        <w:footnoteReference w:id="23"/>
      </w:r>
      <w:r w:rsidRPr="00FE24BF">
        <w:rPr>
          <w:noProof/>
        </w:rPr>
        <w:t xml:space="preserve"> oplevert, toon dan aan waarom andere, potentieel minder verstorende vormen van steun zoals terugbetaalbare voorschotten of vormen van steun die gebaseerd zijn op schuld- of </w:t>
      </w:r>
      <w:r w:rsidRPr="00FE24BF">
        <w:rPr>
          <w:noProof/>
        </w:rPr>
        <w:lastRenderedPageBreak/>
        <w:t>eigenvermogensinstrumenten</w:t>
      </w:r>
      <w:r w:rsidRPr="00FE24BF">
        <w:rPr>
          <w:rStyle w:val="FootnoteReference"/>
          <w:noProof/>
        </w:rPr>
        <w:footnoteReference w:id="24"/>
      </w:r>
      <w:r w:rsidRPr="00FE24BF">
        <w:rPr>
          <w:noProof/>
        </w:rPr>
        <w:t xml:space="preserve">, niet geschikt zijn (punt 85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B34C39A" w14:textId="77777777" w:rsidTr="00DE0F24">
        <w:tc>
          <w:tcPr>
            <w:tcW w:w="7682" w:type="dxa"/>
            <w:shd w:val="clear" w:color="auto" w:fill="auto"/>
          </w:tcPr>
          <w:p w14:paraId="530D2AEE" w14:textId="77777777" w:rsidR="001F64EA" w:rsidRPr="00FE24BF" w:rsidRDefault="001F64EA" w:rsidP="00DE0F24">
            <w:pPr>
              <w:rPr>
                <w:noProof/>
              </w:rPr>
            </w:pPr>
            <w:r w:rsidRPr="00FE24BF">
              <w:rPr>
                <w:noProof/>
              </w:rPr>
              <w:t>…</w:t>
            </w:r>
          </w:p>
        </w:tc>
      </w:tr>
    </w:tbl>
    <w:p w14:paraId="7240CE4C"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Stimulerend effect en evenredigheid van de regeling</w:t>
      </w:r>
    </w:p>
    <w:p w14:paraId="3B373445"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 xml:space="preserve">Geef hier de referentie naar de desbetreffende bepalingen in de rechtsgrondslag waar is bepaald dat de in het kader van de aangemelde regeling aan grote ondernemingen verschafte individuele steun beperkt zal zijn tot de nettomeerkosten van de tenuitvoerlegging van de investering in het betrokken gebied vergeleken met het nulscenario waarin er geen steun wordt verleend, gebruikmakend van de in de punten 96 en 97 van de richtsnoeren toegelichte methodiek (punt 95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6BB7C525" w14:textId="77777777" w:rsidTr="00DE0F24">
        <w:tc>
          <w:tcPr>
            <w:tcW w:w="7682" w:type="dxa"/>
            <w:shd w:val="clear" w:color="auto" w:fill="auto"/>
          </w:tcPr>
          <w:p w14:paraId="4FDCFBE1" w14:textId="77777777" w:rsidR="001F64EA" w:rsidRPr="00FE24BF" w:rsidRDefault="001F64EA" w:rsidP="00DE0F24">
            <w:pPr>
              <w:rPr>
                <w:noProof/>
              </w:rPr>
            </w:pPr>
            <w:r w:rsidRPr="00FE24BF">
              <w:rPr>
                <w:noProof/>
              </w:rPr>
              <w:t>…</w:t>
            </w:r>
          </w:p>
        </w:tc>
      </w:tr>
    </w:tbl>
    <w:p w14:paraId="0413178D"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t>Vermijden van ongewenste negatieve effecten op mededinging en handelsverkeer</w:t>
      </w:r>
    </w:p>
    <w:p w14:paraId="6B7B407B"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Hoe zullen de door de aangemelde steunregeling veroorzaakte verstoringen van de mededinging en het handelsverkeer tot het minimum beperkt blijven (punt 120 van de richtsnoeren)</w:t>
      </w:r>
      <w:r w:rsidRPr="00FE24BF">
        <w:rPr>
          <w:rStyle w:val="FootnoteReference"/>
          <w:noProof/>
        </w:rPr>
        <w:footnoteReference w:id="25"/>
      </w:r>
      <w:r w:rsidRPr="00FE24BF">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3EEDCF13" w14:textId="77777777" w:rsidTr="00DE0F24">
        <w:tc>
          <w:tcPr>
            <w:tcW w:w="7682" w:type="dxa"/>
            <w:shd w:val="clear" w:color="auto" w:fill="auto"/>
          </w:tcPr>
          <w:p w14:paraId="72659ABA" w14:textId="77777777" w:rsidR="001F64EA" w:rsidRPr="00FE24BF" w:rsidRDefault="001F64EA" w:rsidP="00DE0F24">
            <w:pPr>
              <w:rPr>
                <w:noProof/>
              </w:rPr>
            </w:pPr>
            <w:r w:rsidRPr="00FE24BF">
              <w:rPr>
                <w:noProof/>
              </w:rPr>
              <w:t>…</w:t>
            </w:r>
          </w:p>
        </w:tc>
      </w:tr>
    </w:tbl>
    <w:p w14:paraId="442DEF55"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Geef hier verwijzingen naar de desbetreffende bepalingen in de rechtsgrondslag waar is bepaald dat de steunverlenende autoriteit bij de toekenning van steun in het kader van de regeling aan individuele projecten moet nagaan of en bevestigen dat de steun geen duidelijke negatieve effecten oplevert, zoals het creëren van overcapaciteit op een markt in absolute achteruitgang (punten 112 tot en met 115 van de richtsnoeren), cohesieverstorende effecten (punten 116-117 van de richtsnoeren) of verplaatsing (punt 118 van de richtsnoeren) (punt 121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F64EA" w:rsidRPr="00FE24BF" w14:paraId="02722710" w14:textId="77777777" w:rsidTr="00DE0F24">
        <w:tc>
          <w:tcPr>
            <w:tcW w:w="7682" w:type="dxa"/>
            <w:shd w:val="clear" w:color="auto" w:fill="auto"/>
          </w:tcPr>
          <w:p w14:paraId="31436B25" w14:textId="77777777" w:rsidR="001F64EA" w:rsidRPr="00FE24BF" w:rsidRDefault="001F64EA" w:rsidP="00DE0F24">
            <w:pPr>
              <w:rPr>
                <w:noProof/>
              </w:rPr>
            </w:pPr>
            <w:r w:rsidRPr="00FE24BF">
              <w:rPr>
                <w:noProof/>
              </w:rPr>
              <w:t>…</w:t>
            </w:r>
          </w:p>
        </w:tc>
      </w:tr>
    </w:tbl>
    <w:p w14:paraId="70514243" w14:textId="54E1A75C" w:rsidR="001F64EA" w:rsidRPr="00FE24BF" w:rsidRDefault="001F64EA" w:rsidP="001F64EA">
      <w:pPr>
        <w:pStyle w:val="Heading1"/>
        <w:rPr>
          <w:noProof/>
        </w:rPr>
      </w:pPr>
      <w:r w:rsidRPr="00FE24BF">
        <w:rPr>
          <w:noProof/>
        </w:rPr>
        <w:t>Transparantie</w:t>
      </w:r>
    </w:p>
    <w:p w14:paraId="7868000C" w14:textId="77777777" w:rsidR="001F64EA" w:rsidRPr="00FE24BF" w:rsidRDefault="001F64EA" w:rsidP="001F64EA">
      <w:pPr>
        <w:pStyle w:val="NormalKop111"/>
        <w:numPr>
          <w:ilvl w:val="1"/>
          <w:numId w:val="22"/>
        </w:numPr>
        <w:tabs>
          <w:tab w:val="clear" w:pos="720"/>
          <w:tab w:val="clear" w:pos="1440"/>
          <w:tab w:val="clear" w:pos="1797"/>
        </w:tabs>
        <w:ind w:left="709" w:hanging="709"/>
        <w:rPr>
          <w:noProof/>
        </w:rPr>
      </w:pPr>
      <w:r w:rsidRPr="00FE24BF">
        <w:rPr>
          <w:noProof/>
        </w:rPr>
        <w:t xml:space="preserve">Bevestig dat de volledige tekst van het besluit tot individuele steunverlening of de goedgekeurde steunregeling en de uitvoeringsbepalingen daarvoor, of een link daarnaar, </w:t>
      </w:r>
      <w:r w:rsidRPr="00FE24BF">
        <w:rPr>
          <w:noProof/>
          <w:color w:val="000000"/>
        </w:rPr>
        <w:t>en informatie over elke individuele steun die is verleend ter waarde van meer dan 100 000 EUR</w:t>
      </w:r>
      <w:r w:rsidRPr="00FE24BF">
        <w:rPr>
          <w:noProof/>
        </w:rPr>
        <w:t xml:space="preserve">, binnen zes maanden na de datum van toekenning van de steun of, in het geval van steun in de vorm van belastingvoordelen, binnen een jaar na de datum voor het indienen van de belastingaangifte aan de hand van de structuur in bijlage VIII </w:t>
      </w:r>
      <w:r w:rsidRPr="00FE24BF">
        <w:rPr>
          <w:noProof/>
        </w:rPr>
        <w:lastRenderedPageBreak/>
        <w:t>zal worden bekendgemaakt in de Transparency Award Module (TAM) van de Europese Commissie of op een uitgebreide staatssteunwebsite, op nationaal of regionaal niveau</w:t>
      </w:r>
      <w:r w:rsidRPr="00FE24BF">
        <w:rPr>
          <w:rStyle w:val="FootnoteReference"/>
          <w:noProof/>
        </w:rPr>
        <w:footnoteReference w:id="26"/>
      </w:r>
      <w:r w:rsidRPr="00FE24BF">
        <w:rPr>
          <w:noProof/>
        </w:rPr>
        <w:t>.</w:t>
      </w:r>
    </w:p>
    <w:p w14:paraId="48D6B8EE" w14:textId="77777777" w:rsidR="001F64EA" w:rsidRPr="00FE24BF" w:rsidRDefault="001F64EA" w:rsidP="001F64EA">
      <w:pPr>
        <w:pStyle w:val="Normal127"/>
        <w:rPr>
          <w:noProof/>
        </w:rPr>
      </w:pPr>
      <w:r w:rsidRPr="00FE24BF">
        <w:rPr>
          <w:noProof/>
        </w:rPr>
        <w:tab/>
      </w:r>
      <w:sdt>
        <w:sdtPr>
          <w:rPr>
            <w:noProof/>
          </w:rPr>
          <w:id w:val="-1383553951"/>
          <w14:checkbox>
            <w14:checked w14:val="0"/>
            <w14:checkedState w14:val="2612" w14:font="MS Gothic"/>
            <w14:uncheckedState w14:val="2610" w14:font="MS Gothic"/>
          </w14:checkbox>
        </w:sdtPr>
        <w:sdtEndPr/>
        <w:sdtContent>
          <w:r w:rsidRPr="00FE24BF">
            <w:rPr>
              <w:rFonts w:ascii="MS Gothic" w:eastAsia="MS Gothic" w:hAnsi="MS Gothic" w:hint="eastAsia"/>
              <w:noProof/>
            </w:rPr>
            <w:t>☐</w:t>
          </w:r>
        </w:sdtContent>
      </w:sdt>
      <w:r w:rsidRPr="00FE24BF">
        <w:rPr>
          <w:noProof/>
        </w:rPr>
        <w:t xml:space="preserve"> Ja</w:t>
      </w:r>
    </w:p>
    <w:p w14:paraId="708163F1" w14:textId="77777777" w:rsidR="001F64EA" w:rsidRPr="00FE24BF" w:rsidRDefault="001F64EA" w:rsidP="001F64EA">
      <w:pPr>
        <w:pStyle w:val="NormalKop111"/>
        <w:numPr>
          <w:ilvl w:val="1"/>
          <w:numId w:val="22"/>
        </w:numPr>
        <w:tabs>
          <w:tab w:val="clear" w:pos="720"/>
          <w:tab w:val="clear" w:pos="1440"/>
          <w:tab w:val="clear" w:pos="1797"/>
        </w:tabs>
        <w:ind w:left="709" w:hanging="709"/>
        <w:rPr>
          <w:noProof/>
        </w:rPr>
      </w:pPr>
      <w:r w:rsidRPr="00FE24BF">
        <w:rPr>
          <w:noProof/>
        </w:rPr>
        <w:t>Geef hier de referenties naar de betrokken bepalingen in de rechtsgrondslag waarin is bepaald dat de steunverlenende autoriteit in de Transparency Award Module (TAM) of op een uitgebreide staatssteunwebsite, op nationaal of regionaal niveau</w:t>
      </w:r>
      <w:r w:rsidRPr="00FE24BF">
        <w:rPr>
          <w:rStyle w:val="FootnoteReference"/>
          <w:noProof/>
        </w:rPr>
        <w:footnoteReference w:id="27"/>
      </w:r>
      <w:r w:rsidRPr="00FE24BF">
        <w:rPr>
          <w:noProof/>
        </w:rPr>
        <w:t>, ten minste de volgende informatie over de aangemelde staatssteunregelingen moet publiceren: de tekst van de aangemelde steunregeling en de uitvoeringsbepalingen daarvan, de steunverlenende autoriteit, de individuele begunstigden, het steunbedrag per begunstigde, en de steunintensiteit. (punt 136 van de richtsnoeren)</w:t>
      </w:r>
    </w:p>
    <w:p w14:paraId="2EE3FA74" w14:textId="77777777" w:rsidR="001F64EA" w:rsidRPr="00FE24BF" w:rsidRDefault="001F64EA" w:rsidP="001F64EA">
      <w:pPr>
        <w:pStyle w:val="Normal127"/>
        <w:rPr>
          <w:noProof/>
        </w:rPr>
      </w:pPr>
      <w:r w:rsidRPr="00FE24BF">
        <w:rPr>
          <w:noProof/>
        </w:rPr>
        <w:t>Zijn dergelijke bepalingen niet voorhanden, leg dan uit waarom niet. Geef ook aan wanneer dergelijke bepalingen niet zijn opgenomen in de rechtsgrondslag voor de aangemelde regeling, maar wel in andere wetgevingsinstrumenten.</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1F64EA" w:rsidRPr="00FE24BF" w14:paraId="18AF25CA" w14:textId="77777777" w:rsidTr="00DE0F24">
        <w:tc>
          <w:tcPr>
            <w:tcW w:w="8674" w:type="dxa"/>
            <w:shd w:val="clear" w:color="auto" w:fill="auto"/>
          </w:tcPr>
          <w:p w14:paraId="7B0C0F2D" w14:textId="77777777" w:rsidR="001F64EA" w:rsidRPr="00FE24BF" w:rsidRDefault="001F64EA" w:rsidP="00DE0F24">
            <w:pPr>
              <w:rPr>
                <w:noProof/>
              </w:rPr>
            </w:pPr>
            <w:r w:rsidRPr="00FE24BF">
              <w:rPr>
                <w:noProof/>
              </w:rPr>
              <w:t>…</w:t>
            </w:r>
          </w:p>
        </w:tc>
      </w:tr>
    </w:tbl>
    <w:p w14:paraId="1249745A" w14:textId="77777777" w:rsidR="001F64EA" w:rsidRPr="00FE24BF" w:rsidRDefault="001F64EA" w:rsidP="001F64EA">
      <w:pPr>
        <w:pStyle w:val="Normal127"/>
        <w:rPr>
          <w:noProof/>
        </w:rPr>
      </w:pPr>
      <w:r w:rsidRPr="00FE24BF">
        <w:rPr>
          <w:noProof/>
        </w:rPr>
        <w:t>Geef referenties naar de desbetreffende bepalingen in de rechtsgrondslag waarin is bepaald dat de bovengenoemde informatie gedurende ten minste 10 jaar vanaf de datum van toekenning van de steun zonder beperkingen voor het grote publiek beschikbaar zal worden gesteld. (punt 140 van de richtsnoeren)</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1F64EA" w:rsidRPr="00FE24BF" w14:paraId="7A45FF4C" w14:textId="77777777" w:rsidTr="00DE0F24">
        <w:tc>
          <w:tcPr>
            <w:tcW w:w="8674" w:type="dxa"/>
            <w:shd w:val="clear" w:color="auto" w:fill="auto"/>
          </w:tcPr>
          <w:p w14:paraId="27015C7D" w14:textId="77777777" w:rsidR="001F64EA" w:rsidRPr="00FE24BF" w:rsidRDefault="001F64EA" w:rsidP="00DE0F24">
            <w:pPr>
              <w:rPr>
                <w:noProof/>
              </w:rPr>
            </w:pPr>
            <w:r w:rsidRPr="00FE24BF">
              <w:rPr>
                <w:noProof/>
              </w:rPr>
              <w:t>…</w:t>
            </w:r>
          </w:p>
        </w:tc>
      </w:tr>
    </w:tbl>
    <w:p w14:paraId="6A600948" w14:textId="2493CB0E" w:rsidR="001F64EA" w:rsidRPr="00FE24BF" w:rsidRDefault="001F64EA" w:rsidP="001F64EA">
      <w:pPr>
        <w:pStyle w:val="Heading1"/>
        <w:rPr>
          <w:noProof/>
        </w:rPr>
      </w:pPr>
      <w:r w:rsidRPr="00FE24BF">
        <w:rPr>
          <w:noProof/>
        </w:rPr>
        <w:t xml:space="preserve">Evaluatie, verslaglegging en toezicht </w:t>
      </w:r>
    </w:p>
    <w:p w14:paraId="015106F9" w14:textId="77777777" w:rsidR="001F64EA" w:rsidRPr="00FE24BF" w:rsidRDefault="001F64EA" w:rsidP="001F64EA">
      <w:pPr>
        <w:pStyle w:val="NormalKop111"/>
        <w:numPr>
          <w:ilvl w:val="1"/>
          <w:numId w:val="22"/>
        </w:numPr>
        <w:tabs>
          <w:tab w:val="clear" w:pos="720"/>
          <w:tab w:val="clear" w:pos="1440"/>
          <w:tab w:val="clear" w:pos="1797"/>
        </w:tabs>
        <w:ind w:left="709" w:hanging="709"/>
        <w:rPr>
          <w:b/>
          <w:bCs/>
          <w:noProof/>
        </w:rPr>
      </w:pPr>
      <w:r w:rsidRPr="00FE24BF">
        <w:rPr>
          <w:b/>
          <w:noProof/>
        </w:rPr>
        <w:t>Evaluatie</w:t>
      </w:r>
    </w:p>
    <w:p w14:paraId="1C851C95"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Vermeld het SA-nummer van alle eerdere en lopende staatssteunregelingen met een soortgelijk doel en geografisch gebied. (punt 144 van de richtsnoeren)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1F64EA" w:rsidRPr="00FE24BF" w14:paraId="38335D31" w14:textId="77777777" w:rsidTr="00DE0F24">
        <w:tc>
          <w:tcPr>
            <w:tcW w:w="8107" w:type="dxa"/>
            <w:tcBorders>
              <w:top w:val="dotted" w:sz="4" w:space="0" w:color="auto"/>
              <w:left w:val="dotted" w:sz="4" w:space="0" w:color="auto"/>
              <w:bottom w:val="dotted" w:sz="4" w:space="0" w:color="auto"/>
              <w:right w:val="dotted" w:sz="4" w:space="0" w:color="auto"/>
            </w:tcBorders>
            <w:hideMark/>
          </w:tcPr>
          <w:p w14:paraId="39A6345B" w14:textId="77777777" w:rsidR="001F64EA" w:rsidRPr="00FE24BF" w:rsidRDefault="001F64EA" w:rsidP="00DE0F24">
            <w:pPr>
              <w:rPr>
                <w:noProof/>
              </w:rPr>
            </w:pPr>
            <w:r w:rsidRPr="00FE24BF">
              <w:rPr>
                <w:noProof/>
              </w:rPr>
              <w:t>…</w:t>
            </w:r>
          </w:p>
        </w:tc>
      </w:tr>
    </w:tbl>
    <w:p w14:paraId="258ADF98" w14:textId="77777777" w:rsidR="001F64EA" w:rsidRPr="00FE24BF" w:rsidRDefault="001F64EA" w:rsidP="001F64EA">
      <w:pPr>
        <w:pStyle w:val="Normal127"/>
        <w:rPr>
          <w:noProof/>
        </w:rPr>
      </w:pPr>
      <w:r w:rsidRPr="00FE24BF">
        <w:rPr>
          <w:noProof/>
        </w:rPr>
        <w:t>Is een van de bovengenoemde staatssteunregelingen achteraf geëvalueerd? (punt 144 van de richtsnoeren)</w:t>
      </w:r>
    </w:p>
    <w:p w14:paraId="5BB085EF" w14:textId="77777777" w:rsidR="001F64EA" w:rsidRPr="00FE24BF" w:rsidRDefault="00C00B04" w:rsidP="001F64EA">
      <w:pPr>
        <w:pStyle w:val="Tiret2"/>
        <w:rPr>
          <w:noProof/>
        </w:rPr>
      </w:pPr>
      <w:sdt>
        <w:sdtPr>
          <w:rPr>
            <w:noProof/>
          </w:rPr>
          <w:id w:val="-2095303102"/>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Ja</w:t>
      </w:r>
    </w:p>
    <w:p w14:paraId="1E0F191D" w14:textId="77777777" w:rsidR="001F64EA" w:rsidRPr="00FE24BF" w:rsidRDefault="00C00B04" w:rsidP="001F64EA">
      <w:pPr>
        <w:pStyle w:val="Tiret2"/>
        <w:rPr>
          <w:noProof/>
        </w:rPr>
      </w:pPr>
      <w:sdt>
        <w:sdtPr>
          <w:rPr>
            <w:noProof/>
          </w:rPr>
          <w:id w:val="249157444"/>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Nee</w:t>
      </w:r>
    </w:p>
    <w:p w14:paraId="4443279B" w14:textId="77777777" w:rsidR="001F64EA" w:rsidRPr="00FE24BF" w:rsidRDefault="001F64EA" w:rsidP="001F64EA">
      <w:pPr>
        <w:pStyle w:val="Normal127"/>
        <w:rPr>
          <w:noProof/>
        </w:rPr>
      </w:pPr>
      <w:r w:rsidRPr="00FE24BF">
        <w:rPr>
          <w:noProof/>
        </w:rPr>
        <w:lastRenderedPageBreak/>
        <w:t>Zo ja, geef een korte samenvatting van de belangrijkste resultaten van de evaluatie(s) achteraf (indien van toepassing met een referentie en een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1F64EA" w:rsidRPr="00FE24BF" w14:paraId="165A159C" w14:textId="77777777" w:rsidTr="00DE0F24">
        <w:tc>
          <w:tcPr>
            <w:tcW w:w="8107" w:type="dxa"/>
            <w:tcBorders>
              <w:top w:val="dotted" w:sz="4" w:space="0" w:color="auto"/>
              <w:left w:val="dotted" w:sz="4" w:space="0" w:color="auto"/>
              <w:bottom w:val="dotted" w:sz="4" w:space="0" w:color="auto"/>
              <w:right w:val="dotted" w:sz="4" w:space="0" w:color="auto"/>
            </w:tcBorders>
            <w:hideMark/>
          </w:tcPr>
          <w:p w14:paraId="5F533661" w14:textId="77777777" w:rsidR="001F64EA" w:rsidRPr="00FE24BF" w:rsidRDefault="001F64EA" w:rsidP="00C00B04">
            <w:pPr>
              <w:rPr>
                <w:noProof/>
              </w:rPr>
            </w:pPr>
            <w:r w:rsidRPr="00FE24BF">
              <w:rPr>
                <w:noProof/>
              </w:rPr>
              <w:t>…</w:t>
            </w:r>
          </w:p>
        </w:tc>
      </w:tr>
    </w:tbl>
    <w:p w14:paraId="18FBCA81" w14:textId="77777777" w:rsidR="001F64EA" w:rsidRPr="00FE24BF" w:rsidRDefault="001F64EA" w:rsidP="001F64EA">
      <w:pPr>
        <w:pStyle w:val="Normal127"/>
        <w:rPr>
          <w:noProof/>
        </w:rPr>
      </w:pPr>
      <w:r w:rsidRPr="00FE24BF">
        <w:rPr>
          <w:noProof/>
        </w:rPr>
        <w:t>Beschrijf hoe met de resultaten van deze evaluaties rekening is gehouden bij het ontwerp van de nieuwe regeling.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1F64EA" w:rsidRPr="00FE24BF" w14:paraId="71F0B88C" w14:textId="77777777" w:rsidTr="00DE0F24">
        <w:tc>
          <w:tcPr>
            <w:tcW w:w="8107" w:type="dxa"/>
            <w:tcBorders>
              <w:top w:val="dotted" w:sz="4" w:space="0" w:color="auto"/>
              <w:left w:val="dotted" w:sz="4" w:space="0" w:color="auto"/>
              <w:bottom w:val="dotted" w:sz="4" w:space="0" w:color="auto"/>
              <w:right w:val="dotted" w:sz="4" w:space="0" w:color="auto"/>
            </w:tcBorders>
            <w:hideMark/>
          </w:tcPr>
          <w:p w14:paraId="0E947F9F" w14:textId="77777777" w:rsidR="001F64EA" w:rsidRPr="00FE24BF" w:rsidRDefault="001F64EA" w:rsidP="00C00B04">
            <w:pPr>
              <w:rPr>
                <w:noProof/>
              </w:rPr>
            </w:pPr>
            <w:r w:rsidRPr="00FE24BF">
              <w:rPr>
                <w:noProof/>
              </w:rPr>
              <w:t>…</w:t>
            </w:r>
          </w:p>
        </w:tc>
      </w:tr>
    </w:tbl>
    <w:p w14:paraId="3AE4BF22"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Geef aan of het staatssteunbudget van de regeling in een bepaald jaar meer dan 150 miljoen EUR bedraagt (punt 143 van de richtsnoeren):</w:t>
      </w:r>
    </w:p>
    <w:p w14:paraId="748540F5" w14:textId="77777777" w:rsidR="001F64EA" w:rsidRPr="00FE24BF" w:rsidRDefault="00C00B04" w:rsidP="001F64EA">
      <w:pPr>
        <w:pStyle w:val="Tiret2"/>
        <w:rPr>
          <w:noProof/>
        </w:rPr>
      </w:pPr>
      <w:sdt>
        <w:sdtPr>
          <w:rPr>
            <w:noProof/>
          </w:rPr>
          <w:id w:val="943351428"/>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Ja</w:t>
      </w:r>
    </w:p>
    <w:p w14:paraId="3719ED64" w14:textId="77777777" w:rsidR="001F64EA" w:rsidRPr="00FE24BF" w:rsidRDefault="00C00B04" w:rsidP="001F64EA">
      <w:pPr>
        <w:pStyle w:val="Tiret2"/>
        <w:rPr>
          <w:noProof/>
        </w:rPr>
      </w:pPr>
      <w:sdt>
        <w:sdtPr>
          <w:rPr>
            <w:noProof/>
          </w:rPr>
          <w:id w:val="918982827"/>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Nee</w:t>
      </w:r>
    </w:p>
    <w:p w14:paraId="78B4EEDD" w14:textId="77777777" w:rsidR="001F64EA" w:rsidRPr="00FE24BF" w:rsidRDefault="001F64EA" w:rsidP="001F64EA">
      <w:pPr>
        <w:pStyle w:val="Text2"/>
        <w:rPr>
          <w:noProof/>
        </w:rPr>
      </w:pPr>
      <w:r w:rsidRPr="00FE24BF">
        <w:rPr>
          <w:noProof/>
        </w:rPr>
        <w:t>Geef aan of het staatssteunbudget van de regeling meer dan 750 miljoen EUR bedraagt over de totale looptijd van de regeling (d.w.z. de gecombineerde looptijd van de regeling en alle voorgaande regelingen die een soortgelijk doel en geografisch gebied bestrijken, vanaf 1 januari 2022):</w:t>
      </w:r>
    </w:p>
    <w:p w14:paraId="503C96CF" w14:textId="77777777" w:rsidR="001F64EA" w:rsidRPr="00FE24BF" w:rsidRDefault="00C00B04" w:rsidP="001F64EA">
      <w:pPr>
        <w:pStyle w:val="Tiret2"/>
        <w:rPr>
          <w:noProof/>
        </w:rPr>
      </w:pPr>
      <w:sdt>
        <w:sdtPr>
          <w:rPr>
            <w:noProof/>
          </w:rPr>
          <w:id w:val="-1616747592"/>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Ja</w:t>
      </w:r>
    </w:p>
    <w:p w14:paraId="3F726D39" w14:textId="77777777" w:rsidR="001F64EA" w:rsidRPr="00FE24BF" w:rsidRDefault="00C00B04" w:rsidP="001F64EA">
      <w:pPr>
        <w:pStyle w:val="Tiret2"/>
        <w:rPr>
          <w:noProof/>
        </w:rPr>
      </w:pPr>
      <w:sdt>
        <w:sdtPr>
          <w:rPr>
            <w:noProof/>
          </w:rPr>
          <w:id w:val="-719355448"/>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Nee</w:t>
      </w:r>
    </w:p>
    <w:p w14:paraId="23D4FE5F"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Is de regeling (punt 143 van de richtsnoeren):</w:t>
      </w:r>
    </w:p>
    <w:p w14:paraId="3D2F541C" w14:textId="77777777" w:rsidR="001F64EA" w:rsidRPr="00FE24BF" w:rsidRDefault="001F64EA" w:rsidP="001F64EA">
      <w:pPr>
        <w:ind w:left="1701" w:hanging="283"/>
        <w:rPr>
          <w:noProof/>
          <w:szCs w:val="24"/>
        </w:rPr>
      </w:pPr>
      <w:r w:rsidRPr="00FE24BF">
        <w:rPr>
          <w:noProof/>
        </w:rPr>
        <w:t>een regeling die nieuwe kenmerken bevat?</w:t>
      </w:r>
    </w:p>
    <w:p w14:paraId="5BBA8897" w14:textId="77777777" w:rsidR="001F64EA" w:rsidRPr="00FE24BF" w:rsidRDefault="00C00B04" w:rsidP="001F64EA">
      <w:pPr>
        <w:pStyle w:val="Tiret2"/>
        <w:rPr>
          <w:noProof/>
        </w:rPr>
      </w:pPr>
      <w:sdt>
        <w:sdtPr>
          <w:rPr>
            <w:noProof/>
          </w:rPr>
          <w:id w:val="-1332977954"/>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Ja</w:t>
      </w:r>
    </w:p>
    <w:p w14:paraId="1E170191" w14:textId="77777777" w:rsidR="001F64EA" w:rsidRPr="00FE24BF" w:rsidRDefault="00C00B04" w:rsidP="001F64EA">
      <w:pPr>
        <w:pStyle w:val="Tiret2"/>
        <w:rPr>
          <w:noProof/>
        </w:rPr>
      </w:pPr>
      <w:sdt>
        <w:sdtPr>
          <w:rPr>
            <w:noProof/>
          </w:rPr>
          <w:id w:val="-721906136"/>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Nee</w:t>
      </w:r>
    </w:p>
    <w:p w14:paraId="73A3E30D" w14:textId="77777777" w:rsidR="001F64EA" w:rsidRPr="00FE24BF" w:rsidRDefault="001F64EA" w:rsidP="001F64EA">
      <w:pPr>
        <w:ind w:left="1418"/>
        <w:rPr>
          <w:noProof/>
          <w:szCs w:val="24"/>
        </w:rPr>
      </w:pPr>
      <w:r w:rsidRPr="00FE24BF">
        <w:rPr>
          <w:noProof/>
        </w:rPr>
        <w:t>een regeling waarbij aanzienlijke veranderingen van de markt, de technologie of de regelgeving kunnen worden verwacht?</w:t>
      </w:r>
    </w:p>
    <w:p w14:paraId="714A5F95" w14:textId="77777777" w:rsidR="001F64EA" w:rsidRPr="00FE24BF" w:rsidRDefault="00C00B04" w:rsidP="001F64EA">
      <w:pPr>
        <w:pStyle w:val="Tiret2"/>
        <w:rPr>
          <w:noProof/>
        </w:rPr>
      </w:pPr>
      <w:sdt>
        <w:sdtPr>
          <w:rPr>
            <w:noProof/>
          </w:rPr>
          <w:id w:val="1495136313"/>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Ja</w:t>
      </w:r>
    </w:p>
    <w:p w14:paraId="4D41CCB1" w14:textId="77777777" w:rsidR="001F64EA" w:rsidRPr="00FE24BF" w:rsidRDefault="00C00B04" w:rsidP="001F64EA">
      <w:pPr>
        <w:pStyle w:val="Tiret2"/>
        <w:rPr>
          <w:noProof/>
        </w:rPr>
      </w:pPr>
      <w:sdt>
        <w:sdtPr>
          <w:rPr>
            <w:noProof/>
          </w:rPr>
          <w:id w:val="120039535"/>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Nee</w:t>
      </w:r>
    </w:p>
    <w:p w14:paraId="70567BFD" w14:textId="77777777" w:rsidR="001F64EA" w:rsidRPr="00FE24BF" w:rsidRDefault="001F64EA" w:rsidP="001F64EA">
      <w:pPr>
        <w:ind w:left="1843" w:hanging="425"/>
        <w:rPr>
          <w:noProof/>
          <w:szCs w:val="24"/>
        </w:rPr>
      </w:pPr>
      <w:r w:rsidRPr="00FE24BF">
        <w:rPr>
          <w:noProof/>
        </w:rPr>
        <w:t>een regeling waarvoor u een evaluatie plant, ook al zijn de bovenstaande criteria in de punten 5.1.2. en 5.1.3. niet van toepassing?</w:t>
      </w:r>
    </w:p>
    <w:p w14:paraId="40DF8302" w14:textId="77777777" w:rsidR="001F64EA" w:rsidRPr="00FE24BF" w:rsidRDefault="00C00B04" w:rsidP="001F64EA">
      <w:pPr>
        <w:pStyle w:val="Tiret2"/>
        <w:rPr>
          <w:noProof/>
        </w:rPr>
      </w:pPr>
      <w:sdt>
        <w:sdtPr>
          <w:rPr>
            <w:noProof/>
          </w:rPr>
          <w:id w:val="2060281245"/>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Ja</w:t>
      </w:r>
    </w:p>
    <w:p w14:paraId="59B1C55B" w14:textId="77777777" w:rsidR="001F64EA" w:rsidRPr="00FE24BF" w:rsidRDefault="00C00B04" w:rsidP="001F64EA">
      <w:pPr>
        <w:pStyle w:val="Tiret2"/>
        <w:rPr>
          <w:noProof/>
        </w:rPr>
      </w:pPr>
      <w:sdt>
        <w:sdtPr>
          <w:rPr>
            <w:noProof/>
          </w:rPr>
          <w:id w:val="-1829899886"/>
          <w14:checkbox>
            <w14:checked w14:val="0"/>
            <w14:checkedState w14:val="2612" w14:font="MS Gothic"/>
            <w14:uncheckedState w14:val="2610" w14:font="MS Gothic"/>
          </w14:checkbox>
        </w:sdtPr>
        <w:sdtEndPr/>
        <w:sdtContent>
          <w:r w:rsidR="001F64EA" w:rsidRPr="00FE24BF">
            <w:rPr>
              <w:rFonts w:ascii="MS Gothic" w:eastAsia="MS Gothic" w:hAnsi="MS Gothic" w:hint="eastAsia"/>
              <w:noProof/>
            </w:rPr>
            <w:t>☐</w:t>
          </w:r>
        </w:sdtContent>
      </w:sdt>
      <w:r w:rsidR="001F64EA" w:rsidRPr="00FE24BF">
        <w:rPr>
          <w:noProof/>
        </w:rPr>
        <w:t xml:space="preserve"> Nee</w:t>
      </w:r>
    </w:p>
    <w:p w14:paraId="13ED27E7" w14:textId="77777777" w:rsidR="001F64EA" w:rsidRPr="00FE24BF" w:rsidRDefault="001F64EA" w:rsidP="001F64EA">
      <w:pPr>
        <w:ind w:left="1418"/>
        <w:rPr>
          <w:b/>
          <w:noProof/>
        </w:rPr>
      </w:pPr>
      <w:r w:rsidRPr="00FE24BF">
        <w:rPr>
          <w:noProof/>
        </w:rPr>
        <w:t>Indien het antwoord op vraag 5.1.1. “nee” en het antwoord op een of meer van de vragen in 5.1.2 of 5.1.3. “ja” is, komt de regeling in aanmerking voor evaluatie achteraf (punt 143 van de richtsnoeren). In dat geval moet u “ja” antwoorden op desbetreffende vraag in het algemene aanmeldingsformulier, de evaluatieperiode vermelden en het ontwerpevaluatieplan in bijlage I - deel III.8</w:t>
      </w:r>
      <w:r w:rsidRPr="00FE24BF">
        <w:rPr>
          <w:rStyle w:val="FootnoteReference"/>
          <w:noProof/>
        </w:rPr>
        <w:footnoteReference w:id="28"/>
      </w:r>
      <w:r w:rsidRPr="00FE24BF">
        <w:rPr>
          <w:noProof/>
        </w:rPr>
        <w:t xml:space="preserve"> aanmelden.</w:t>
      </w:r>
      <w:r w:rsidRPr="00FE24BF">
        <w:rPr>
          <w:noProof/>
          <w:color w:val="000000"/>
        </w:rPr>
        <w:t xml:space="preserve"> </w:t>
      </w:r>
    </w:p>
    <w:p w14:paraId="0C20755B" w14:textId="77777777" w:rsidR="001F64EA" w:rsidRPr="00FE24BF" w:rsidRDefault="001F64EA" w:rsidP="001F64EA">
      <w:pPr>
        <w:pStyle w:val="NormalKop111"/>
        <w:numPr>
          <w:ilvl w:val="1"/>
          <w:numId w:val="22"/>
        </w:numPr>
        <w:tabs>
          <w:tab w:val="clear" w:pos="720"/>
          <w:tab w:val="clear" w:pos="1440"/>
          <w:tab w:val="clear" w:pos="1797"/>
        </w:tabs>
        <w:ind w:left="709" w:hanging="709"/>
        <w:rPr>
          <w:b/>
          <w:noProof/>
        </w:rPr>
      </w:pPr>
      <w:r w:rsidRPr="00FE24BF">
        <w:rPr>
          <w:b/>
          <w:noProof/>
        </w:rPr>
        <w:lastRenderedPageBreak/>
        <w:t>Verslaglegging en toezicht</w:t>
      </w:r>
    </w:p>
    <w:p w14:paraId="5442CC85" w14:textId="77777777" w:rsidR="001F64EA" w:rsidRPr="00FE24BF" w:rsidRDefault="001F64EA" w:rsidP="001F64EA">
      <w:pPr>
        <w:pStyle w:val="NormalKop111"/>
        <w:numPr>
          <w:ilvl w:val="2"/>
          <w:numId w:val="22"/>
        </w:numPr>
        <w:tabs>
          <w:tab w:val="clear" w:pos="720"/>
          <w:tab w:val="clear" w:pos="1440"/>
          <w:tab w:val="clear" w:pos="1797"/>
        </w:tabs>
        <w:ind w:left="1418" w:hanging="698"/>
        <w:rPr>
          <w:noProof/>
        </w:rPr>
      </w:pPr>
      <w:r w:rsidRPr="00FE24BF">
        <w:rPr>
          <w:noProof/>
        </w:rPr>
        <w:t>Kunt u bevestigen dat:</w:t>
      </w:r>
    </w:p>
    <w:p w14:paraId="21ACE774" w14:textId="77777777" w:rsidR="001F64EA" w:rsidRPr="00FE24BF" w:rsidRDefault="001F64EA" w:rsidP="001F64EA">
      <w:pPr>
        <w:pStyle w:val="Tiret0"/>
        <w:rPr>
          <w:noProof/>
        </w:rPr>
      </w:pPr>
      <w:r w:rsidRPr="00FE24BF">
        <w:rPr>
          <w:noProof/>
        </w:rPr>
        <w:t>u jaarverslagen zult indienen bij de Commissie overeenkomstig Verordening (EU) 2015/1589 en Verordening (EG) nr. 794/2004; en</w:t>
      </w:r>
    </w:p>
    <w:p w14:paraId="01381E84" w14:textId="77777777" w:rsidR="001F64EA" w:rsidRPr="00FE24BF" w:rsidRDefault="001F64EA" w:rsidP="001F64EA">
      <w:pPr>
        <w:pStyle w:val="Normal127"/>
        <w:ind w:left="1778"/>
        <w:rPr>
          <w:noProof/>
        </w:rPr>
      </w:pPr>
      <w:r w:rsidRPr="00FE24BF">
        <w:rPr>
          <w:noProof/>
        </w:rPr>
        <w:tab/>
      </w:r>
      <w:sdt>
        <w:sdtPr>
          <w:rPr>
            <w:noProof/>
          </w:rPr>
          <w:id w:val="-1014452315"/>
          <w14:checkbox>
            <w14:checked w14:val="0"/>
            <w14:checkedState w14:val="2612" w14:font="MS Gothic"/>
            <w14:uncheckedState w14:val="2610" w14:font="MS Gothic"/>
          </w14:checkbox>
        </w:sdtPr>
        <w:sdtEndPr/>
        <w:sdtContent>
          <w:r w:rsidRPr="00FE24BF">
            <w:rPr>
              <w:rFonts w:ascii="MS Gothic" w:eastAsia="MS Gothic" w:hAnsi="MS Gothic" w:hint="eastAsia"/>
              <w:noProof/>
            </w:rPr>
            <w:t>☐</w:t>
          </w:r>
        </w:sdtContent>
      </w:sdt>
      <w:r w:rsidRPr="00FE24BF">
        <w:rPr>
          <w:noProof/>
        </w:rPr>
        <w:t xml:space="preserve"> Ja</w:t>
      </w:r>
    </w:p>
    <w:p w14:paraId="60F76B78" w14:textId="77777777" w:rsidR="001F64EA" w:rsidRPr="00FE24BF" w:rsidRDefault="001F64EA" w:rsidP="001F64EA">
      <w:pPr>
        <w:pStyle w:val="Tiret0"/>
        <w:numPr>
          <w:ilvl w:val="0"/>
          <w:numId w:val="28"/>
        </w:numPr>
        <w:rPr>
          <w:noProof/>
        </w:rPr>
      </w:pPr>
      <w:r w:rsidRPr="00FE24BF">
        <w:rPr>
          <w:noProof/>
        </w:rPr>
        <w:t>u gedurende ten minste 10 jaar vanaf de datum van toekenning van steun in het kader van de regeling gedetailleerde dossiers zult bijhouden met de informatie en bewijsstukken die nodig zijn om vast te stellen dat aan alle verenigbaarheidsvoorwaarden is voldaan, en dat deze dossiers op verzoek aan de Commissie zullen worden verstrekt?</w:t>
      </w:r>
    </w:p>
    <w:p w14:paraId="0EE2B94F" w14:textId="77777777" w:rsidR="001F64EA" w:rsidRPr="00FE24BF" w:rsidRDefault="001F64EA" w:rsidP="001F64EA">
      <w:pPr>
        <w:pStyle w:val="Normal127"/>
        <w:ind w:left="1778"/>
        <w:rPr>
          <w:noProof/>
        </w:rPr>
      </w:pPr>
      <w:r w:rsidRPr="00FE24BF">
        <w:rPr>
          <w:noProof/>
        </w:rPr>
        <w:tab/>
      </w:r>
      <w:sdt>
        <w:sdtPr>
          <w:rPr>
            <w:noProof/>
          </w:rPr>
          <w:id w:val="479968380"/>
          <w14:checkbox>
            <w14:checked w14:val="0"/>
            <w14:checkedState w14:val="2612" w14:font="MS Gothic"/>
            <w14:uncheckedState w14:val="2610" w14:font="MS Gothic"/>
          </w14:checkbox>
        </w:sdtPr>
        <w:sdtEndPr/>
        <w:sdtContent>
          <w:r w:rsidRPr="00FE24BF">
            <w:rPr>
              <w:rFonts w:ascii="MS Gothic" w:eastAsia="MS Gothic" w:hAnsi="MS Gothic" w:hint="eastAsia"/>
              <w:noProof/>
            </w:rPr>
            <w:t>☐</w:t>
          </w:r>
        </w:sdtContent>
      </w:sdt>
      <w:r w:rsidRPr="00FE24BF">
        <w:rPr>
          <w:noProof/>
        </w:rPr>
        <w:t xml:space="preserve"> Ja</w:t>
      </w:r>
    </w:p>
    <w:p w14:paraId="4D20712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6AECE" w14:textId="77777777" w:rsidR="001F64EA" w:rsidRDefault="001F64EA" w:rsidP="001F64EA">
      <w:pPr>
        <w:spacing w:before="0" w:after="0"/>
      </w:pPr>
      <w:r>
        <w:separator/>
      </w:r>
    </w:p>
  </w:endnote>
  <w:endnote w:type="continuationSeparator" w:id="0">
    <w:p w14:paraId="1D55611C" w14:textId="77777777" w:rsidR="001F64EA" w:rsidRDefault="001F64EA" w:rsidP="001F64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20188" w14:textId="77777777" w:rsidR="001F64EA" w:rsidRDefault="001F64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D6B1" w14:textId="799470B4" w:rsidR="001F64EA" w:rsidRDefault="001F64EA" w:rsidP="001F64E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6A3D6" w14:textId="77777777" w:rsidR="001F64EA" w:rsidRDefault="001F6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67550" w14:textId="77777777" w:rsidR="001F64EA" w:rsidRDefault="001F64EA" w:rsidP="001F64EA">
      <w:pPr>
        <w:spacing w:before="0" w:after="0"/>
      </w:pPr>
      <w:r>
        <w:separator/>
      </w:r>
    </w:p>
  </w:footnote>
  <w:footnote w:type="continuationSeparator" w:id="0">
    <w:p w14:paraId="5A3E30A4" w14:textId="77777777" w:rsidR="001F64EA" w:rsidRDefault="001F64EA" w:rsidP="001F64EA">
      <w:pPr>
        <w:spacing w:before="0" w:after="0"/>
      </w:pPr>
      <w:r>
        <w:continuationSeparator/>
      </w:r>
    </w:p>
  </w:footnote>
  <w:footnote w:id="1">
    <w:p w14:paraId="2AEBBB0E" w14:textId="77777777" w:rsidR="001F64EA" w:rsidRPr="00AF634A" w:rsidRDefault="001F64EA" w:rsidP="001F64EA">
      <w:pPr>
        <w:pStyle w:val="FootnoteText"/>
        <w:tabs>
          <w:tab w:val="left" w:pos="284"/>
        </w:tabs>
        <w:spacing w:after="120"/>
        <w:ind w:left="284" w:hanging="284"/>
      </w:pPr>
      <w:r>
        <w:rPr>
          <w:rStyle w:val="FootnoteReference"/>
        </w:rPr>
        <w:footnoteRef/>
      </w:r>
      <w:r>
        <w:tab/>
        <w:t>Richtsnoeren inzake regionale steunmaatregelen (</w:t>
      </w:r>
      <w:r w:rsidRPr="001F64EA">
        <w:rPr>
          <w:rStyle w:val="Emphasis"/>
          <w:i w:val="0"/>
          <w:iCs w:val="0"/>
        </w:rPr>
        <w:t>PB C 153 van 29.4.2021, blz. 1</w:t>
      </w:r>
      <w:r>
        <w:t>).</w:t>
      </w:r>
    </w:p>
  </w:footnote>
  <w:footnote w:id="2">
    <w:p w14:paraId="3073DA22" w14:textId="77777777" w:rsidR="001F64EA" w:rsidRPr="00DB5B5A" w:rsidRDefault="001F64EA" w:rsidP="001F64EA">
      <w:pPr>
        <w:pStyle w:val="FootnoteText"/>
        <w:tabs>
          <w:tab w:val="left" w:pos="284"/>
        </w:tabs>
        <w:spacing w:after="120"/>
        <w:ind w:left="284" w:hanging="284"/>
      </w:pPr>
      <w:r>
        <w:rPr>
          <w:rStyle w:val="FootnoteReference"/>
        </w:rPr>
        <w:footnoteRef/>
      </w:r>
      <w:r>
        <w:tab/>
      </w:r>
      <w:r w:rsidRPr="001F64EA">
        <w:rPr>
          <w:rStyle w:val="Emphasis"/>
          <w:i w:val="0"/>
          <w:iCs w:val="0"/>
        </w:rPr>
        <w:t>Verordening (EU) nr. 651/2014 van de Commissie van 17 juni 2014 waarbij bepaalde categorieën steun op grond van de artikelen 107 en 108 van het Verdrag met de interne markt verenigbaar worden verklaard (PB L 187 van 26.6.2014, blz. 1, ELI:</w:t>
      </w:r>
      <w:r w:rsidRPr="001F64EA">
        <w:rPr>
          <w:i/>
          <w:iCs/>
        </w:rPr>
        <w:t> </w:t>
      </w:r>
      <w:hyperlink r:id="rId1" w:tooltip="Geeft toegang tot dit document via de ELI URI." w:history="1">
        <w:r>
          <w:rPr>
            <w:rStyle w:val="Hyperlink"/>
          </w:rPr>
          <w:t>http://data.europa.eu/eli/reg/2014/651/oj</w:t>
        </w:r>
      </w:hyperlink>
      <w:r>
        <w:rPr>
          <w:i/>
        </w:rPr>
        <w:t>)</w:t>
      </w:r>
      <w:r>
        <w:t>.</w:t>
      </w:r>
    </w:p>
  </w:footnote>
  <w:footnote w:id="3">
    <w:p w14:paraId="67842038" w14:textId="77777777" w:rsidR="001F64EA" w:rsidRPr="00E4500B" w:rsidRDefault="001F64EA" w:rsidP="001F64EA">
      <w:pPr>
        <w:pStyle w:val="FootnoteText"/>
        <w:tabs>
          <w:tab w:val="left" w:pos="284"/>
        </w:tabs>
        <w:spacing w:after="120"/>
        <w:ind w:left="284" w:hanging="284"/>
      </w:pPr>
      <w:r>
        <w:rPr>
          <w:rStyle w:val="FootnoteReference"/>
        </w:rPr>
        <w:footnoteRef/>
      </w:r>
      <w:r>
        <w:tab/>
        <w:t>Verordening (EU) 2023/2831 van de Commissie van 13 december 2023 betreffende de toepassing van de artikelen 107 en 108 van het Verdrag betreffende de werking van de Europese Unie op de-minimissteun (PB L 2023/2831, 15.12.2023, ELI: </w:t>
      </w:r>
      <w:hyperlink r:id="rId2" w:tgtFrame="_blank" w:tooltip="Geeft toegang tot dit document via de ELI URI." w:history="1">
        <w:r>
          <w:rPr>
            <w:rStyle w:val="Hyperlink"/>
          </w:rPr>
          <w:t>http://data.europa.eu/eli/reg/2023/2831/oj</w:t>
        </w:r>
      </w:hyperlink>
      <w:r>
        <w:t xml:space="preserve"> ). </w:t>
      </w:r>
    </w:p>
  </w:footnote>
  <w:footnote w:id="4">
    <w:p w14:paraId="52D4E453" w14:textId="77777777" w:rsidR="001F64EA" w:rsidRPr="00EF64F0" w:rsidRDefault="001F64EA" w:rsidP="001F64EA">
      <w:pPr>
        <w:pStyle w:val="FootnoteText"/>
        <w:tabs>
          <w:tab w:val="left" w:pos="284"/>
        </w:tabs>
        <w:spacing w:after="120"/>
        <w:ind w:left="284" w:hanging="284"/>
        <w:rPr>
          <w:color w:val="000000"/>
        </w:rPr>
      </w:pPr>
      <w:r>
        <w:rPr>
          <w:rStyle w:val="FootnoteReference"/>
        </w:rPr>
        <w:footnoteRef/>
      </w:r>
      <w:r>
        <w:tab/>
        <w:t>In de zin van de richtsnoeren voor reddings- en herstructureringssteun aan niet-financiële ondernemingen in moeilijkheden (PB C 249 van 31.7.2014, blz. 1).</w:t>
      </w:r>
    </w:p>
  </w:footnote>
  <w:footnote w:id="5">
    <w:p w14:paraId="4C483824" w14:textId="77777777" w:rsidR="001F64EA" w:rsidRPr="00EF64F0" w:rsidRDefault="001F64EA" w:rsidP="001F64EA">
      <w:pPr>
        <w:pStyle w:val="FootnoteText"/>
        <w:tabs>
          <w:tab w:val="left" w:pos="284"/>
        </w:tabs>
        <w:spacing w:after="120"/>
        <w:ind w:left="284" w:hanging="284"/>
        <w:rPr>
          <w:color w:val="000000"/>
        </w:rPr>
      </w:pPr>
      <w:r>
        <w:rPr>
          <w:rStyle w:val="FootnoteReference"/>
        </w:rPr>
        <w:footnoteRef/>
      </w:r>
      <w:r>
        <w:tab/>
        <w:t>Zoals gedefinieerd in bijlage VI bij de richtsnoeren.</w:t>
      </w:r>
    </w:p>
  </w:footnote>
  <w:footnote w:id="6">
    <w:p w14:paraId="099E9DD0" w14:textId="77777777" w:rsidR="001F64EA" w:rsidRPr="00DB5B5A" w:rsidRDefault="001F64EA" w:rsidP="001F64EA">
      <w:pPr>
        <w:pStyle w:val="FootnoteText"/>
        <w:tabs>
          <w:tab w:val="left" w:pos="284"/>
        </w:tabs>
        <w:spacing w:after="120"/>
        <w:ind w:left="284" w:hanging="284"/>
      </w:pPr>
      <w:r>
        <w:rPr>
          <w:rStyle w:val="FootnoteReference"/>
        </w:rPr>
        <w:footnoteRef/>
      </w:r>
      <w:r>
        <w:tab/>
        <w:t>De term “bruinkool” omvat minderwaardige “C”-kolen (of ortholigniet) en minderwaardige “B”-kolen (of metaligniet) in de zin van het internationale codificatiesysteem voor kolen van de Economische Commissie voor Europa van de Verenigde Naties.</w:t>
      </w:r>
    </w:p>
  </w:footnote>
  <w:footnote w:id="7">
    <w:p w14:paraId="2518FB26" w14:textId="77777777" w:rsidR="001F64EA" w:rsidRPr="00DB5B5A" w:rsidRDefault="001F64EA" w:rsidP="001F64EA">
      <w:pPr>
        <w:pStyle w:val="FootnoteText"/>
        <w:tabs>
          <w:tab w:val="left" w:pos="284"/>
        </w:tabs>
        <w:spacing w:after="120"/>
        <w:ind w:left="284" w:hanging="284"/>
      </w:pPr>
      <w:r>
        <w:rPr>
          <w:rStyle w:val="FootnoteReference"/>
        </w:rPr>
        <w:footnoteRef/>
      </w:r>
      <w:r>
        <w:tab/>
        <w:t>De term “steenkool” omvat hoogwaardige steenkool, middelwaardige steenkool en laagwaardige A- en B-kolen, in de zin van het internationale codificatiesysteem voor kolen van de Economische Commissie voor Europa van de Verenigde Naties en zoals verduidelijkt in het besluit van de Raad van 10 december 2010 betreffende staatssteun ter bevordering van de sluiting van niet-concurrentiekrachtige steenkoolmijnen (PB L 336 van 21.12.2010, blz. 24).</w:t>
      </w:r>
    </w:p>
  </w:footnote>
  <w:footnote w:id="8">
    <w:p w14:paraId="4A679854" w14:textId="77777777" w:rsidR="001F64EA" w:rsidRPr="00DB5B5A" w:rsidRDefault="001F64EA" w:rsidP="001F64EA">
      <w:pPr>
        <w:pStyle w:val="FootnoteText"/>
        <w:tabs>
          <w:tab w:val="left" w:pos="284"/>
        </w:tabs>
        <w:spacing w:after="120"/>
        <w:ind w:left="284" w:hanging="284"/>
      </w:pPr>
      <w:r>
        <w:rPr>
          <w:rStyle w:val="FootnoteReference"/>
        </w:rPr>
        <w:footnoteRef/>
      </w:r>
      <w:r>
        <w:tab/>
        <w:t>Vallend onder Verordening (EU) nr. 1379/2013 van het Europees Parlement en de Raad van 11 december 2013 houdende een gemeenschappelijke marktordening voor visserijproducten en aquacultuurproducten, tot wijziging van Verordeningen (EG) nr. 1184/2006 en (EG) nr. 1224/2009 en tot intrekking van Verordening (EG) nr. 104/2000 van de Raad (PB L 354 van 28.12.2013, blz. 1).</w:t>
      </w:r>
    </w:p>
  </w:footnote>
  <w:footnote w:id="9">
    <w:p w14:paraId="034B98D9" w14:textId="77777777" w:rsidR="001F64EA" w:rsidRPr="00DB5B5A" w:rsidRDefault="001F64EA" w:rsidP="001F64EA">
      <w:pPr>
        <w:pStyle w:val="FootnoteText"/>
        <w:tabs>
          <w:tab w:val="left" w:pos="284"/>
        </w:tabs>
        <w:spacing w:after="120"/>
        <w:ind w:left="284" w:hanging="284"/>
      </w:pPr>
      <w:r>
        <w:rPr>
          <w:rStyle w:val="FootnoteReference"/>
        </w:rPr>
        <w:footnoteRef/>
      </w:r>
      <w:r>
        <w:tab/>
        <w:t>Voor staatssteun aan de primaire productie, de verwerking van landbouwproducten tot landbouwproducten uit bijlage I bij het Verdrag en de afzet daarvan, en staatssteun aan de bosbouw gelden de regels van de richtsnoeren voor staatssteun in de landbouw- en de bosbouwsector (PB C 204 van 1.7.2014, blz. 1).</w:t>
      </w:r>
    </w:p>
  </w:footnote>
  <w:footnote w:id="10">
    <w:p w14:paraId="06337781" w14:textId="77777777" w:rsidR="001F64EA" w:rsidRPr="005C73FC" w:rsidRDefault="001F64EA" w:rsidP="001F64EA">
      <w:pPr>
        <w:pStyle w:val="FootnoteText"/>
        <w:tabs>
          <w:tab w:val="left" w:pos="284"/>
        </w:tabs>
        <w:spacing w:after="120"/>
        <w:ind w:left="284" w:hanging="284"/>
      </w:pPr>
      <w:r>
        <w:rPr>
          <w:rStyle w:val="FootnoteReference"/>
        </w:rPr>
        <w:footnoteRef/>
      </w:r>
      <w:r>
        <w:tab/>
        <w:t>De richtsnoeren zijn van toepassing op steunregelingen ter ondersteuning van activiteiten die buiten het toepassingsgebied van artikel 42 van het Verdrag vallen en die worden gecofinancierd door het Europees Landbouwfonds voor Plattelandsontwikkeling (Elfpo) of die worden toegekend als aanvullende nationale financiering bij dergelijke gecofinancierde maatregelen, tenzij in de sectorale voorschriften anders is bepaald.</w:t>
      </w:r>
    </w:p>
  </w:footnote>
  <w:footnote w:id="11">
    <w:p w14:paraId="7F7C4BF4" w14:textId="77777777" w:rsidR="001F64EA" w:rsidRPr="003F69C7" w:rsidRDefault="001F64EA" w:rsidP="001F64EA">
      <w:pPr>
        <w:pStyle w:val="FootnoteText"/>
        <w:tabs>
          <w:tab w:val="left" w:pos="284"/>
        </w:tabs>
        <w:spacing w:after="120"/>
        <w:ind w:left="284" w:hanging="284"/>
      </w:pPr>
      <w:r>
        <w:rPr>
          <w:rStyle w:val="FootnoteReference"/>
        </w:rPr>
        <w:footnoteRef/>
      </w:r>
      <w:r>
        <w:tab/>
        <w:t>Met “vervoer” wordt bedoeld het passagiersvervoer met het vliegtuig, via zeevervoer, over de weg, per spoor of over de binnenwateren, of beroepsgoederenvervoer. Vervoersinfrastructuur die valt onder specifieke richtsnoeren, zoals luchthavens, wordt eveneens van deze richtsnoeren uitgesloten (zie de mededeling van de Commissie “Richtsnoeren voor staatssteun aan luchthavens en luchtvaartmaatschappijen” (PB C 99 van 4.4.2014, blz. 3).</w:t>
      </w:r>
    </w:p>
  </w:footnote>
  <w:footnote w:id="12">
    <w:p w14:paraId="5E7ADA66" w14:textId="77777777" w:rsidR="001F64EA" w:rsidRPr="00DB5B5A" w:rsidRDefault="001F64EA" w:rsidP="001F64EA">
      <w:pPr>
        <w:pStyle w:val="FootnoteText"/>
        <w:tabs>
          <w:tab w:val="left" w:pos="284"/>
        </w:tabs>
        <w:spacing w:after="120"/>
        <w:ind w:left="284" w:hanging="284"/>
      </w:pPr>
      <w:r>
        <w:rPr>
          <w:rStyle w:val="FootnoteReference"/>
        </w:rPr>
        <w:footnoteRef/>
      </w:r>
      <w:r>
        <w:tab/>
        <w:t>Mededeling van de Commissie “EU-richtsnoeren voor de toepassing van de staatssteunregels in het kader van de snelle uitrol van breedbandnetwerken” ( PB C 25 van 26.1.2013, blz. 1).</w:t>
      </w:r>
    </w:p>
  </w:footnote>
  <w:footnote w:id="13">
    <w:p w14:paraId="2A19550C" w14:textId="77777777" w:rsidR="001F64EA" w:rsidRPr="003F69C7" w:rsidRDefault="001F64EA" w:rsidP="001F64EA">
      <w:pPr>
        <w:pStyle w:val="FootnoteText"/>
        <w:tabs>
          <w:tab w:val="left" w:pos="284"/>
        </w:tabs>
        <w:spacing w:after="120"/>
        <w:ind w:left="284" w:hanging="284"/>
      </w:pPr>
      <w:r>
        <w:rPr>
          <w:rStyle w:val="FootnoteReference"/>
        </w:rPr>
        <w:footnoteRef/>
      </w:r>
      <w:r>
        <w:tab/>
        <w:t>De Commissie zal de verenigbaarheid van staatssteun voor de energiesector beoordelen op grond van de richtsnoeren energie- en milieusteun 2014-2020 (PB C 200 van 28.6.2014, blz. 1).</w:t>
      </w:r>
    </w:p>
  </w:footnote>
  <w:footnote w:id="14">
    <w:p w14:paraId="28E0669B" w14:textId="77777777" w:rsidR="001F64EA" w:rsidRPr="00527F99" w:rsidRDefault="001F64EA" w:rsidP="001F64EA">
      <w:pPr>
        <w:pStyle w:val="FootnoteText"/>
        <w:tabs>
          <w:tab w:val="left" w:pos="284"/>
        </w:tabs>
        <w:spacing w:after="120"/>
        <w:ind w:left="284" w:hanging="284"/>
      </w:pPr>
      <w:r>
        <w:rPr>
          <w:rStyle w:val="FootnoteReference"/>
        </w:rPr>
        <w:footnoteRef/>
      </w:r>
      <w:r>
        <w:tab/>
        <w:t>“Kleine en middelgrote ondernemingen” (kmo’s): ondernemingen die voldoen aan de voorwaarden van de aanbeveling van de Commissie van 6 mei 2003 betreffende de definitie van kleine, middelgrote en micro-ondernemingen (PB L 124 van 20.5.2003, blz. 36).</w:t>
      </w:r>
    </w:p>
  </w:footnote>
  <w:footnote w:id="15">
    <w:p w14:paraId="43CD1975" w14:textId="77777777" w:rsidR="001F64EA" w:rsidRPr="0056721A" w:rsidRDefault="001F64EA" w:rsidP="001F64EA">
      <w:pPr>
        <w:pStyle w:val="FootnoteText"/>
        <w:tabs>
          <w:tab w:val="left" w:pos="284"/>
        </w:tabs>
        <w:spacing w:after="120"/>
        <w:ind w:left="284" w:hanging="284"/>
      </w:pPr>
      <w:r>
        <w:rPr>
          <w:rStyle w:val="FootnoteReference"/>
        </w:rPr>
        <w:footnoteRef/>
      </w:r>
      <w:r>
        <w:tab/>
        <w:t>De loutere verkrijging van de aandelen van een onderneming geldt niet als initiële investering.</w:t>
      </w:r>
    </w:p>
  </w:footnote>
  <w:footnote w:id="16">
    <w:p w14:paraId="2E566C7B" w14:textId="77777777" w:rsidR="001F64EA" w:rsidRPr="008A59EC" w:rsidRDefault="001F64EA" w:rsidP="001F64EA">
      <w:pPr>
        <w:pStyle w:val="FootnoteText"/>
        <w:tabs>
          <w:tab w:val="left" w:pos="284"/>
        </w:tabs>
        <w:spacing w:after="120"/>
        <w:ind w:left="284" w:hanging="284"/>
      </w:pPr>
      <w:r>
        <w:rPr>
          <w:rStyle w:val="FootnoteReference"/>
        </w:rPr>
        <w:footnoteRef/>
      </w:r>
      <w:r>
        <w:tab/>
        <w:t>“Dezelfde of een vergelijkbare activiteit”: activiteit die behoort tot dezelfde klasse (viercijferige code) van de statistische classificatie van economische activiteiten NACE Rev. 2.</w:t>
      </w:r>
    </w:p>
  </w:footnote>
  <w:footnote w:id="17">
    <w:p w14:paraId="448C6F65" w14:textId="77777777" w:rsidR="001F64EA" w:rsidRPr="000D0DAA" w:rsidRDefault="001F64EA" w:rsidP="001F64EA">
      <w:pPr>
        <w:pStyle w:val="FootnoteText"/>
        <w:tabs>
          <w:tab w:val="left" w:pos="284"/>
        </w:tabs>
        <w:spacing w:after="120"/>
        <w:ind w:left="284" w:hanging="284"/>
      </w:pPr>
      <w:r>
        <w:rPr>
          <w:rStyle w:val="FootnoteReference"/>
        </w:rPr>
        <w:footnoteRef/>
      </w:r>
      <w:r>
        <w:tab/>
        <w:t>De loutere verkrijging van de aandelen van een onderneming geldt niet als initiële investering die leidt tot een nieuwe economische activiteit.</w:t>
      </w:r>
    </w:p>
  </w:footnote>
  <w:footnote w:id="18">
    <w:p w14:paraId="5A9A3ED2" w14:textId="77777777" w:rsidR="001F64EA" w:rsidRPr="00D35343" w:rsidRDefault="001F64EA" w:rsidP="001F64EA">
      <w:pPr>
        <w:pStyle w:val="FootnoteText"/>
        <w:tabs>
          <w:tab w:val="left" w:pos="284"/>
        </w:tabs>
        <w:spacing w:after="120"/>
        <w:ind w:left="284" w:hanging="284"/>
      </w:pPr>
      <w:r>
        <w:rPr>
          <w:rStyle w:val="FootnoteReference"/>
        </w:rPr>
        <w:footnoteRef/>
      </w:r>
      <w:r>
        <w:tab/>
        <w:t>Die bepaling hoeft niet te gelden voor kmo’s of bij de overname van een vestiging.</w:t>
      </w:r>
    </w:p>
  </w:footnote>
  <w:footnote w:id="19">
    <w:p w14:paraId="6A68E2EA" w14:textId="77777777" w:rsidR="001F64EA" w:rsidRPr="006D6383" w:rsidRDefault="001F64EA" w:rsidP="001F64EA">
      <w:pPr>
        <w:pStyle w:val="FootnoteText"/>
        <w:tabs>
          <w:tab w:val="left" w:pos="284"/>
        </w:tabs>
        <w:ind w:left="284" w:hanging="284"/>
      </w:pPr>
      <w:r>
        <w:rPr>
          <w:rStyle w:val="FootnoteReference"/>
        </w:rPr>
        <w:footnoteRef/>
      </w:r>
      <w:r>
        <w:tab/>
        <w:t>Punt 34 van de richtsnoeren bepaalt dat immateriële activa die in aanmerking komen voor de berekening van de investeringskosten, verbonden moeten blijven met het betrokken steungebied en niet naar andere gebieden mogen worden overgebracht. Met het oog daarop moeten de immateriële activa voldoen aan de volgende voorwaarden:</w:t>
      </w:r>
    </w:p>
    <w:p w14:paraId="54D62909" w14:textId="77777777" w:rsidR="001F64EA" w:rsidRDefault="001F64EA" w:rsidP="001F64EA">
      <w:pPr>
        <w:pStyle w:val="FootnoteText"/>
        <w:numPr>
          <w:ilvl w:val="0"/>
          <w:numId w:val="23"/>
        </w:numPr>
        <w:tabs>
          <w:tab w:val="left" w:pos="709"/>
        </w:tabs>
        <w:spacing w:before="0"/>
        <w:ind w:left="709" w:hanging="425"/>
      </w:pPr>
      <w:r>
        <w:t>zij moeten uitsluitend in de steun ontvangende vestiging worden gebruikt;</w:t>
      </w:r>
    </w:p>
    <w:p w14:paraId="36F12C0A" w14:textId="77777777" w:rsidR="001F64EA" w:rsidRDefault="001F64EA" w:rsidP="001F64EA">
      <w:pPr>
        <w:pStyle w:val="FootnoteText"/>
        <w:numPr>
          <w:ilvl w:val="0"/>
          <w:numId w:val="23"/>
        </w:numPr>
        <w:tabs>
          <w:tab w:val="left" w:pos="709"/>
        </w:tabs>
        <w:spacing w:before="0"/>
        <w:ind w:left="709" w:hanging="425"/>
      </w:pPr>
      <w:r>
        <w:t>zij moeten kunnen worden afgeschreven;</w:t>
      </w:r>
    </w:p>
    <w:p w14:paraId="5D335971" w14:textId="77777777" w:rsidR="001F64EA" w:rsidRDefault="001F64EA" w:rsidP="001F64EA">
      <w:pPr>
        <w:pStyle w:val="FootnoteText"/>
        <w:numPr>
          <w:ilvl w:val="0"/>
          <w:numId w:val="23"/>
        </w:numPr>
        <w:tabs>
          <w:tab w:val="left" w:pos="709"/>
        </w:tabs>
        <w:spacing w:before="0"/>
        <w:ind w:left="709" w:hanging="425"/>
      </w:pPr>
      <w:r>
        <w:t>zij worden op marktvoorwaarden aangekocht van derden zonder banden met de koper;</w:t>
      </w:r>
    </w:p>
    <w:p w14:paraId="15FB2DC7" w14:textId="77777777" w:rsidR="001F64EA" w:rsidRPr="006D6383" w:rsidRDefault="001F64EA" w:rsidP="001F64EA">
      <w:pPr>
        <w:pStyle w:val="FootnoteText"/>
        <w:numPr>
          <w:ilvl w:val="0"/>
          <w:numId w:val="23"/>
        </w:numPr>
        <w:tabs>
          <w:tab w:val="left" w:pos="709"/>
        </w:tabs>
        <w:spacing w:before="0" w:after="120"/>
        <w:ind w:left="709" w:hanging="425"/>
      </w:pPr>
      <w:r>
        <w:t>zij moeten worden opgenomen bij de activa van de onderneming die steun ontvangt en moeten gedurende ten minste vijf jaar (drie jaar voor kmo’s) verbonden blijven met het project waarvoor de steun wordt verleend.</w:t>
      </w:r>
    </w:p>
  </w:footnote>
  <w:footnote w:id="20">
    <w:p w14:paraId="6017EA15" w14:textId="77777777" w:rsidR="001F64EA" w:rsidRDefault="001F64EA" w:rsidP="001F64EA">
      <w:pPr>
        <w:pStyle w:val="FootnoteText"/>
        <w:tabs>
          <w:tab w:val="left" w:pos="284"/>
        </w:tabs>
        <w:spacing w:after="120"/>
        <w:ind w:left="284" w:hanging="284"/>
      </w:pPr>
      <w:r>
        <w:rPr>
          <w:rStyle w:val="FootnoteReference"/>
        </w:rPr>
        <w:footnoteRef/>
      </w:r>
      <w:r>
        <w:tab/>
        <w:t>Deze vraag is niet van toepassing op leningen met rentesubsidie, door de overheid verstrekte participatieleningen of overheidsparticipaties die niet aan het beginsel van een particuliere investeerder handelend in een markteconomie voldoen, staatsgaranties die steunelementen bevatten, of staatssteun die binnen het kader van de de-minimisregels wordt verleend.</w:t>
      </w:r>
    </w:p>
  </w:footnote>
  <w:footnote w:id="21">
    <w:p w14:paraId="107C09B7" w14:textId="77777777" w:rsidR="001F64EA" w:rsidRDefault="001F64EA" w:rsidP="001F64EA">
      <w:pPr>
        <w:pStyle w:val="FootnoteText"/>
        <w:tabs>
          <w:tab w:val="left" w:pos="284"/>
        </w:tabs>
        <w:spacing w:after="120"/>
        <w:ind w:left="284" w:hanging="284"/>
      </w:pPr>
      <w:r>
        <w:rPr>
          <w:rStyle w:val="FootnoteReference"/>
        </w:rPr>
        <w:footnoteRef/>
      </w:r>
      <w:r>
        <w:tab/>
        <w:t>Een nulscenario is geloofwaardig indien het een reëel scenario betreft en verband houdt met factoren die meespeelden in de besluitvorming op de datum waarop de begunstigde het besluit nam ten aanzien van de investering.</w:t>
      </w:r>
    </w:p>
  </w:footnote>
  <w:footnote w:id="22">
    <w:p w14:paraId="018D5C0B" w14:textId="77777777" w:rsidR="001F64EA" w:rsidRDefault="001F64EA" w:rsidP="001F64EA">
      <w:pPr>
        <w:pStyle w:val="FootnoteText"/>
        <w:tabs>
          <w:tab w:val="left" w:pos="284"/>
        </w:tabs>
        <w:spacing w:after="120"/>
        <w:ind w:left="284" w:hanging="284"/>
      </w:pPr>
      <w:r>
        <w:rPr>
          <w:rStyle w:val="FootnoteReference"/>
        </w:rPr>
        <w:footnoteRef/>
      </w:r>
      <w:r>
        <w:tab/>
        <w:t>Hiervoor kan onder meer worden gebruikgemaakt van effectbeoordelingen van de voorgenomen regeling of van evaluaties achteraf van vergelijkbare regelingen.</w:t>
      </w:r>
    </w:p>
  </w:footnote>
  <w:footnote w:id="23">
    <w:p w14:paraId="2710CC11" w14:textId="77777777" w:rsidR="001F64EA" w:rsidRPr="00F800EA" w:rsidRDefault="001F64EA" w:rsidP="001F64EA">
      <w:pPr>
        <w:pStyle w:val="FootnoteText"/>
        <w:tabs>
          <w:tab w:val="left" w:pos="284"/>
        </w:tabs>
        <w:spacing w:after="120"/>
        <w:ind w:left="284" w:hanging="284"/>
      </w:pPr>
      <w:r>
        <w:rPr>
          <w:rStyle w:val="FootnoteReference"/>
        </w:rPr>
        <w:footnoteRef/>
      </w:r>
      <w:r>
        <w:tab/>
        <w:t>Bv. rechtstreekse subsidies, vrijstellingen of verlagingen van belastingen, socialezekerheidsbijdragen of andere verplichte bijdragen, of de terbeschikkingstelling van gronden, goederen of diensten tegen voordelige prijzen.</w:t>
      </w:r>
    </w:p>
  </w:footnote>
  <w:footnote w:id="24">
    <w:p w14:paraId="4A717940" w14:textId="77777777" w:rsidR="001F64EA" w:rsidRPr="001D303A" w:rsidRDefault="001F64EA" w:rsidP="001F64EA">
      <w:pPr>
        <w:pStyle w:val="FootnoteText"/>
        <w:tabs>
          <w:tab w:val="left" w:pos="284"/>
        </w:tabs>
        <w:spacing w:after="120"/>
        <w:ind w:left="284" w:hanging="284"/>
      </w:pPr>
      <w:r>
        <w:rPr>
          <w:rStyle w:val="FootnoteReference"/>
        </w:rPr>
        <w:footnoteRef/>
      </w:r>
      <w:r>
        <w:tab/>
        <w:t>Bv. leningen tegen verlaagde rente of met rentesubsidie, overheidsgaranties, de verwerving van een belang of een andere vorm van kapitaalinjectie tegen gunstige voorwaarden.</w:t>
      </w:r>
    </w:p>
  </w:footnote>
  <w:footnote w:id="25">
    <w:p w14:paraId="7E455FC1" w14:textId="77777777" w:rsidR="001F64EA" w:rsidRPr="004E27C0" w:rsidRDefault="001F64EA" w:rsidP="001F64EA">
      <w:pPr>
        <w:pStyle w:val="FootnoteText"/>
        <w:tabs>
          <w:tab w:val="left" w:pos="284"/>
        </w:tabs>
        <w:spacing w:after="120"/>
        <w:ind w:left="284" w:hanging="284"/>
      </w:pPr>
      <w:r>
        <w:rPr>
          <w:rStyle w:val="FootnoteReference"/>
        </w:rPr>
        <w:footnoteRef/>
      </w:r>
      <w:r>
        <w:tab/>
        <w:t>Om de Commissie in staat te stellen de te verwachten negatieve effecten te beoordelen, kan de lidstaat effectbeoordelingen waarover hij beschikt indienen, alsmede doorlichtingen achteraf die zijn uitgevoerd voor vergelijkbare voorgaande regelingen.</w:t>
      </w:r>
    </w:p>
  </w:footnote>
  <w:footnote w:id="26">
    <w:p w14:paraId="46776CFE" w14:textId="77777777" w:rsidR="001F64EA" w:rsidRPr="004A0583" w:rsidRDefault="001F64EA" w:rsidP="001F64EA">
      <w:pPr>
        <w:pStyle w:val="FootnoteText"/>
        <w:tabs>
          <w:tab w:val="left" w:pos="284"/>
        </w:tabs>
        <w:spacing w:after="120"/>
        <w:ind w:left="284" w:hanging="284"/>
      </w:pPr>
      <w:r>
        <w:rPr>
          <w:rStyle w:val="FootnoteReference"/>
        </w:rPr>
        <w:footnoteRef/>
      </w:r>
      <w:r>
        <w:tab/>
        <w:t>Zoals gedefinieerd in bijlage III bij Verordening (EU) nr. 651/2014 van de Commissie van 17 juni 2014 waarbij bepaalde categorieën steun op grond van de artikelen 107 en 108 van het Verdrag met de interne markt verenigbaar worden verklaard.</w:t>
      </w:r>
    </w:p>
  </w:footnote>
  <w:footnote w:id="27">
    <w:p w14:paraId="6E9D2C1B" w14:textId="77777777" w:rsidR="001F64EA" w:rsidRPr="004A0583" w:rsidRDefault="001F64EA" w:rsidP="001F64EA">
      <w:pPr>
        <w:pStyle w:val="FootnoteText"/>
        <w:tabs>
          <w:tab w:val="left" w:pos="284"/>
        </w:tabs>
        <w:spacing w:after="120"/>
        <w:ind w:left="284" w:hanging="284"/>
      </w:pPr>
      <w:r>
        <w:rPr>
          <w:rStyle w:val="FootnoteReference"/>
        </w:rPr>
        <w:footnoteRef/>
      </w:r>
      <w:r>
        <w:tab/>
        <w:t>Zoals gedefinieerd in bijlage III bij Verordening (EU) nr. 651/2014 van de Commissie van 17 juni 2014 waarbij bepaalde categorieën steun op grond van de artikelen 107 en 108 van het Verdrag met de interne markt verenigbaar worden verklaard.</w:t>
      </w:r>
    </w:p>
  </w:footnote>
  <w:footnote w:id="28">
    <w:p w14:paraId="1EB1EDDD" w14:textId="77777777" w:rsidR="001F64EA" w:rsidRDefault="001F64EA" w:rsidP="001F64EA">
      <w:pPr>
        <w:pStyle w:val="FootnoteText"/>
        <w:tabs>
          <w:tab w:val="left" w:pos="284"/>
        </w:tabs>
        <w:spacing w:after="120"/>
        <w:ind w:left="284" w:hanging="284"/>
      </w:pPr>
      <w:r>
        <w:rPr>
          <w:rStyle w:val="FootnoteReference"/>
        </w:rPr>
        <w:footnoteRef/>
      </w:r>
      <w:r w:rsidRPr="005A2D15">
        <w:rPr>
          <w:lang w:val="en-IE"/>
        </w:rPr>
        <w:tab/>
        <w:t xml:space="preserve">Zie voor richtsnoeren de Methodological Guidance Paper for Evaluation on the field of State aid: </w:t>
      </w:r>
      <w:hyperlink r:id="rId3" w:history="1">
        <w:r w:rsidRPr="005A2D15">
          <w:rPr>
            <w:rStyle w:val="Hyperlink"/>
            <w:lang w:val="en-IE"/>
          </w:rPr>
          <w:t>https://competition-policy.ec.europa.eu/system/files/2021-04/modernisation_evaluation_methodology_en.pdf</w:t>
        </w:r>
      </w:hyperlink>
      <w:r w:rsidRPr="005A2D15">
        <w:rPr>
          <w:lang w:val="en-IE"/>
        </w:rPr>
        <w:t xml:space="preserve">.  </w:t>
      </w:r>
      <w:r>
        <w:t xml:space="preserve">Het evaluatieplan (bijlage I – deel III.8) moet worden ingediend met behulp van het formulier dat beschikbaar is op: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DF9B" w14:textId="77777777" w:rsidR="001F64EA" w:rsidRDefault="001F64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9B63B" w14:textId="77777777" w:rsidR="001F64EA" w:rsidRDefault="001F64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BE8B" w14:textId="77777777" w:rsidR="001F64EA" w:rsidRDefault="001F6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5471130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2159192">
    <w:abstractNumId w:val="16"/>
  </w:num>
  <w:num w:numId="24" w16cid:durableId="1500534894">
    <w:abstractNumId w:val="19"/>
  </w:num>
  <w:num w:numId="25" w16cid:durableId="40908998">
    <w:abstractNumId w:val="9"/>
  </w:num>
  <w:num w:numId="26" w16cid:durableId="1503861953">
    <w:abstractNumId w:val="15"/>
    <w:lvlOverride w:ilvl="0">
      <w:startOverride w:val="1"/>
    </w:lvlOverride>
  </w:num>
  <w:num w:numId="27" w16cid:durableId="1611935893">
    <w:abstractNumId w:val="23"/>
    <w:lvlOverride w:ilvl="0">
      <w:startOverride w:val="1"/>
    </w:lvlOverride>
  </w:num>
  <w:num w:numId="28" w16cid:durableId="1477649002">
    <w:abstractNumId w:val="23"/>
  </w:num>
  <w:num w:numId="29" w16cid:durableId="2129349935">
    <w:abstractNumId w:val="15"/>
  </w:num>
  <w:num w:numId="30" w16cid:durableId="341008002">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F64E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1F64EA"/>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00A1"/>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8154D"/>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0B04"/>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F16E"/>
  <w15:chartTrackingRefBased/>
  <w15:docId w15:val="{FA9234BF-1FF7-430A-B602-22172E8D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4EA"/>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F64E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F64E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nl-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nl-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nl-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nl-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nl-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nl-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nl-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F64E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F64E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F64E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64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64E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64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64E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64E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F64EA"/>
    <w:rPr>
      <w:i/>
      <w:iCs/>
      <w:color w:val="365F91" w:themeColor="accent1" w:themeShade="BF"/>
    </w:rPr>
  </w:style>
  <w:style w:type="paragraph" w:styleId="IntenseQuote">
    <w:name w:val="Intense Quote"/>
    <w:basedOn w:val="Normal"/>
    <w:next w:val="Normal"/>
    <w:link w:val="IntenseQuoteChar"/>
    <w:uiPriority w:val="30"/>
    <w:qFormat/>
    <w:rsid w:val="001F64E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F64E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F64EA"/>
    <w:rPr>
      <w:b/>
      <w:bCs/>
      <w:smallCaps/>
      <w:color w:val="365F91" w:themeColor="accent1" w:themeShade="BF"/>
      <w:spacing w:val="5"/>
    </w:rPr>
  </w:style>
  <w:style w:type="paragraph" w:customStyle="1" w:styleId="Text2">
    <w:name w:val="Text 2"/>
    <w:basedOn w:val="Normal"/>
    <w:rsid w:val="001F64EA"/>
    <w:pPr>
      <w:ind w:left="1417"/>
    </w:pPr>
  </w:style>
  <w:style w:type="paragraph" w:customStyle="1" w:styleId="Tiret0">
    <w:name w:val="Tiret 0"/>
    <w:basedOn w:val="Normal"/>
    <w:rsid w:val="001F64EA"/>
    <w:pPr>
      <w:numPr>
        <w:numId w:val="27"/>
      </w:numPr>
    </w:pPr>
  </w:style>
  <w:style w:type="paragraph" w:customStyle="1" w:styleId="Tiret1">
    <w:name w:val="Tiret 1"/>
    <w:basedOn w:val="Normal"/>
    <w:rsid w:val="001F64EA"/>
    <w:pPr>
      <w:numPr>
        <w:numId w:val="26"/>
      </w:numPr>
    </w:pPr>
  </w:style>
  <w:style w:type="paragraph" w:customStyle="1" w:styleId="Tiret2">
    <w:name w:val="Tiret 2"/>
    <w:basedOn w:val="Normal"/>
    <w:rsid w:val="001F64E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3602</Words>
  <Characters>20536</Characters>
  <DocSecurity>0</DocSecurity>
  <Lines>456</Lines>
  <Paragraphs>229</Paragraphs>
  <ScaleCrop>false</ScaleCrop>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2025-05-30T07:22:00Z</dcterms:created>
  <dcterms:modified xsi:type="dcterms:W3CDTF">2025-05-30T11:20:00Z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2025-05-30T07:24:49Z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5f9afb6f-caa1-4113-8474-94dfa024cb0c</vt:lpwstr>
  </property>
  <property fmtid="{D5CDD505-2E9C-101B-9397-08002B2CF9AE}" pid="8" name="MSIP_Label_6bd9ddd1-4d20-43f6-abfa-fc3c07406f94_ContentBits">
    <vt:lpwstr>0</vt:lpwstr>
  </property>
</Properties>
</file>