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F30C0" w14:textId="6DC756D7" w:rsidR="00BE7218" w:rsidRPr="00150A07" w:rsidRDefault="00BE7218" w:rsidP="00BE7218">
      <w:pPr>
        <w:pStyle w:val="ManualHeading2"/>
        <w:rPr>
          <w:noProof/>
          <w:color w:val="000000"/>
          <w:szCs w:val="24"/>
        </w:rPr>
      </w:pPr>
      <w:r w:rsidRPr="00150A07">
        <w:rPr>
          <w:noProof/>
        </w:rPr>
        <w:t>PARTI III.1.B</w:t>
      </w:r>
      <w:r>
        <w:rPr>
          <w:noProof/>
        </w:rPr>
        <w:t xml:space="preserve"> - </w:t>
      </w:r>
      <w:r w:rsidRPr="00150A07">
        <w:rPr>
          <w:noProof/>
          <w:color w:val="000000"/>
        </w:rPr>
        <w:t>FORMOLA TA’ INFORMAZZJONI SUPPLIMENTARI DWAR SKEMI TA’ GĦAJNUNA GĦALL-INVESTIMENT REĠJONALI.</w:t>
      </w:r>
    </w:p>
    <w:p w14:paraId="439E05B3" w14:textId="77777777" w:rsidR="00BE7218" w:rsidRPr="00150A07" w:rsidRDefault="00BE7218" w:rsidP="00BE7218">
      <w:pPr>
        <w:rPr>
          <w:i/>
          <w:iCs/>
          <w:noProof/>
          <w:szCs w:val="24"/>
        </w:rPr>
      </w:pPr>
      <w:r w:rsidRPr="00150A07">
        <w:rPr>
          <w:i/>
          <w:noProof/>
        </w:rPr>
        <w:t>Din il-formola ta’ informazzjoni supplimentari ma hijiex obbligatorja. Madankollu, huwa rrakkomandat li din timtela, flimkien mal-formola “Informazzjoni ġenerali”, għan-notifika ta’ kwalunkwe għajnuna għall-investiment individwali koperta mil-Linji Gwida dwar l-għajnuna reġjonali mill-Istat applikabbli mill-1 ta’ Jannar 2022 (“RAG”).</w:t>
      </w:r>
      <w:r w:rsidRPr="00150A07">
        <w:rPr>
          <w:rStyle w:val="FootnoteReference"/>
          <w:noProof/>
        </w:rPr>
        <w:footnoteReference w:id="1"/>
      </w:r>
      <w:r w:rsidRPr="00150A07">
        <w:rPr>
          <w:i/>
          <w:noProof/>
        </w:rPr>
        <w:t xml:space="preserve"> </w:t>
      </w:r>
    </w:p>
    <w:p w14:paraId="204D769A" w14:textId="088BEDDF" w:rsidR="00BE7218" w:rsidRPr="00150A07" w:rsidRDefault="00BE7218" w:rsidP="00BE7218">
      <w:pPr>
        <w:pStyle w:val="Heading1"/>
        <w:rPr>
          <w:noProof/>
        </w:rPr>
      </w:pPr>
      <w:r w:rsidRPr="00150A07">
        <w:rPr>
          <w:noProof/>
        </w:rPr>
        <w:t>Kamp ta’ applikazzjoni</w:t>
      </w:r>
    </w:p>
    <w:p w14:paraId="56CBABDD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noProof/>
        </w:rPr>
      </w:pPr>
      <w:r w:rsidRPr="00150A07">
        <w:rPr>
          <w:noProof/>
        </w:rPr>
        <w:t>Ir-raġunijiet għan-notifika tal-iskema minflok ma tiġi implimentata skont ir-Regolament għall-Eżenzjoni Ġenerali Sħiħa (“GBER”)</w:t>
      </w:r>
      <w:r w:rsidRPr="00150A07">
        <w:rPr>
          <w:rStyle w:val="FootnoteReference"/>
          <w:rFonts w:cs="Times New Roman"/>
          <w:noProof/>
        </w:rPr>
        <w:footnoteReference w:id="2"/>
      </w:r>
      <w:r w:rsidRPr="00150A07">
        <w:rPr>
          <w:noProof/>
        </w:rPr>
        <w:t xml:space="preserve"> jew ir-Regolament </w:t>
      </w:r>
      <w:r w:rsidRPr="00150A07">
        <w:rPr>
          <w:i/>
          <w:noProof/>
        </w:rPr>
        <w:t>de minimis</w:t>
      </w:r>
      <w:r w:rsidRPr="00150A07">
        <w:rPr>
          <w:rStyle w:val="FootnoteReference"/>
          <w:noProof/>
        </w:rPr>
        <w:footnoteReference w:id="3"/>
      </w:r>
      <w:r w:rsidRPr="00150A07">
        <w:rPr>
          <w:noProof/>
        </w:rPr>
        <w:t>:</w:t>
      </w:r>
    </w:p>
    <w:p w14:paraId="5E8D26C8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115248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In-notifika hija relatata ma’ skema settorjali. F’dan il-każ, indika s-settur kopert mill-iskema (il-kodiċi NACE):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BE7218" w:rsidRPr="00150A07" w14:paraId="250AC826" w14:textId="77777777" w:rsidTr="00AF03D0">
        <w:tc>
          <w:tcPr>
            <w:tcW w:w="7672" w:type="dxa"/>
            <w:shd w:val="clear" w:color="auto" w:fill="auto"/>
          </w:tcPr>
          <w:p w14:paraId="6815BD44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 xml:space="preserve">… </w:t>
            </w:r>
          </w:p>
        </w:tc>
      </w:tr>
    </w:tbl>
    <w:p w14:paraId="29AD299B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rFonts w:ascii="MS Gothic" w:eastAsia="MS Gothic" w:hAnsi="MS Gothic"/>
            <w:noProof/>
          </w:rPr>
          <w:id w:val="1734890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rFonts w:ascii="MS Gothic" w:hAnsi="MS Gothic"/>
          <w:noProof/>
        </w:rPr>
        <w:t xml:space="preserve"> </w:t>
      </w:r>
      <w:r w:rsidR="00BE7218" w:rsidRPr="00150A07">
        <w:rPr>
          <w:noProof/>
        </w:rPr>
        <w:t xml:space="preserve">Oħrajn. Speċifika: 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BE7218" w:rsidRPr="00150A07" w14:paraId="76327D13" w14:textId="77777777" w:rsidTr="00AF03D0">
        <w:tc>
          <w:tcPr>
            <w:tcW w:w="8391" w:type="dxa"/>
            <w:shd w:val="clear" w:color="auto" w:fill="auto"/>
          </w:tcPr>
          <w:p w14:paraId="7321E3F1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 xml:space="preserve">… </w:t>
            </w:r>
          </w:p>
        </w:tc>
      </w:tr>
    </w:tbl>
    <w:p w14:paraId="09F52ABB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noProof/>
        </w:rPr>
      </w:pPr>
      <w:r w:rsidRPr="00150A07">
        <w:rPr>
          <w:noProof/>
        </w:rPr>
        <w:t>Il-kamp ta’ applikazzjoni tal-iskema notifikata</w:t>
      </w:r>
    </w:p>
    <w:p w14:paraId="1D74FFE8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  <w:color w:val="000000"/>
        </w:rPr>
        <w:t>Ikkonferma</w:t>
      </w:r>
      <w:r w:rsidRPr="00150A07">
        <w:rPr>
          <w:noProof/>
        </w:rPr>
        <w:t xml:space="preserve"> li l-bażi legali għall-iskema notifikata tinkludi obbligu li l-Kummissjoni tiġi nnotifikata dwar għajnuna individwali mogħtija lil benefiċjarju f’każ li l-għajnuna mis-sorsi kollha taqbeż il-livell limitu ta’ notifika individwali stabbilit fir-Regolament għall-Eżenzjoni Ġenerali Sħiħa (“GBER”) għall-għajnuna għall-investiment reġjonali (il-paragrafu 22 tal-RAG)</w:t>
      </w:r>
    </w:p>
    <w:p w14:paraId="2C8A350F" w14:textId="77777777" w:rsidR="00BE7218" w:rsidRPr="00150A07" w:rsidRDefault="00BE7218" w:rsidP="00BE7218">
      <w:pPr>
        <w:pStyle w:val="Text2"/>
        <w:rPr>
          <w:noProof/>
        </w:rPr>
      </w:pPr>
      <w:r w:rsidRPr="00150A07">
        <w:rPr>
          <w:noProof/>
          <w:color w:val="000000"/>
        </w:rPr>
        <w:t>Ipprovdi</w:t>
      </w:r>
      <w:r w:rsidRPr="00150A07">
        <w:rPr>
          <w:noProof/>
        </w:rPr>
        <w:t xml:space="preserve"> r-referenza għad-dispożizzjoni rilevanti tal-bażi legali: 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BE7218" w:rsidRPr="00150A07" w14:paraId="374DF8D1" w14:textId="77777777" w:rsidTr="00AF03D0">
        <w:tc>
          <w:tcPr>
            <w:tcW w:w="8391" w:type="dxa"/>
            <w:shd w:val="clear" w:color="auto" w:fill="auto"/>
          </w:tcPr>
          <w:p w14:paraId="4D2248C1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 xml:space="preserve">… </w:t>
            </w:r>
          </w:p>
        </w:tc>
      </w:tr>
    </w:tbl>
    <w:p w14:paraId="454F488F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  <w:color w:val="000000"/>
        </w:rPr>
        <w:t>Ikkonferma</w:t>
      </w:r>
      <w:r w:rsidRPr="00150A07">
        <w:rPr>
          <w:noProof/>
        </w:rPr>
        <w:t xml:space="preserve"> li l-bażi legali għall-iskema notifikata tinkludi obbligu li l-Kummissjoni tiġi nnotifikata dwar għajnuna individwali mogħtija lil benefiċjarju sakemm dan (1) ma jkunx ikkonferma li fis-sentejn ta’ qabel l-applikazzjoni għall-għajnuna, ma jkunx wettaq rilokazzjoni għall-istabbiliment li fih għandu jsir l-investiment inizjali megħjun u (2) ikun impenja ruħu li ma jwettaqx rilokazzjoni bħal din sa perjodu ta’ sentejn wara li jitlesta l-investiment inizjali. (il-paragrafu 23 tal-RAG)</w:t>
      </w:r>
    </w:p>
    <w:p w14:paraId="0D9F7F9A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lastRenderedPageBreak/>
        <w:t xml:space="preserve">Ipprovdi r-referenza għad-dispożizzjoni rilevanti tal-bażi legali: 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BE7218" w:rsidRPr="00150A07" w14:paraId="7B4ABB67" w14:textId="77777777" w:rsidTr="00AF03D0">
        <w:tc>
          <w:tcPr>
            <w:tcW w:w="8391" w:type="dxa"/>
            <w:shd w:val="clear" w:color="auto" w:fill="auto"/>
          </w:tcPr>
          <w:p w14:paraId="3AEEEEC4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 xml:space="preserve">… </w:t>
            </w:r>
          </w:p>
        </w:tc>
      </w:tr>
    </w:tbl>
    <w:p w14:paraId="7D045553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Ikkonferma li l-iskema ta’ għajnuna notifikata tipprevedi li l-ebda għajnuna għall-investiment reġjonali ma hija se tingħata lil kategoriji ta’ kumpaniji u setturi elenkati hawn taħt? F’kull każ, elenka d-dispożizzjoni rilevanti fil-bażi legali tal-iskema.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1"/>
        <w:gridCol w:w="3231"/>
      </w:tblGrid>
      <w:tr w:rsidR="00BE7218" w:rsidRPr="00150A07" w14:paraId="778EBD52" w14:textId="77777777" w:rsidTr="00AF03D0">
        <w:tc>
          <w:tcPr>
            <w:tcW w:w="3221" w:type="pct"/>
            <w:shd w:val="clear" w:color="auto" w:fill="auto"/>
          </w:tcPr>
          <w:p w14:paraId="2A4A5B8C" w14:textId="5D375CE9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Kategoriji ta’ kumpaniji u setturi esklużi</w:t>
            </w:r>
          </w:p>
        </w:tc>
        <w:tc>
          <w:tcPr>
            <w:tcW w:w="1779" w:type="pct"/>
            <w:shd w:val="clear" w:color="auto" w:fill="auto"/>
          </w:tcPr>
          <w:p w14:paraId="01A6D039" w14:textId="77777777" w:rsidR="00BE7218" w:rsidRPr="00150A07" w:rsidRDefault="00BE7218" w:rsidP="008B21F8">
            <w:pPr>
              <w:rPr>
                <w:noProof/>
              </w:rPr>
            </w:pPr>
            <w:r w:rsidRPr="00C413FF">
              <w:rPr>
                <w:noProof/>
              </w:rPr>
              <w:t>1.1.2.</w:t>
            </w:r>
            <w:r w:rsidRPr="00C413FF">
              <w:rPr>
                <w:noProof/>
              </w:rPr>
              <w:tab/>
            </w:r>
            <w:r w:rsidRPr="00150A07">
              <w:rPr>
                <w:noProof/>
              </w:rPr>
              <w:t>Dispożizzjoni rilevanti fil-bażi legali tal-iskema</w:t>
            </w:r>
          </w:p>
        </w:tc>
      </w:tr>
      <w:tr w:rsidR="00BE7218" w:rsidRPr="00150A07" w14:paraId="7D7408D9" w14:textId="77777777" w:rsidTr="00AF03D0">
        <w:tc>
          <w:tcPr>
            <w:tcW w:w="3221" w:type="pct"/>
            <w:shd w:val="clear" w:color="auto" w:fill="auto"/>
          </w:tcPr>
          <w:p w14:paraId="3A01EFD9" w14:textId="51D1159F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Ditti f’diffikultà</w:t>
            </w:r>
            <w:r w:rsidRPr="00150A07">
              <w:rPr>
                <w:rStyle w:val="FootnoteReference"/>
                <w:noProof/>
              </w:rPr>
              <w:footnoteReference w:id="4"/>
            </w:r>
          </w:p>
        </w:tc>
        <w:tc>
          <w:tcPr>
            <w:tcW w:w="1779" w:type="pct"/>
            <w:shd w:val="clear" w:color="auto" w:fill="auto"/>
          </w:tcPr>
          <w:p w14:paraId="775B1CFD" w14:textId="0616CE26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256B91EE" w14:textId="77777777" w:rsidTr="00AF03D0">
        <w:tc>
          <w:tcPr>
            <w:tcW w:w="3221" w:type="pct"/>
            <w:shd w:val="clear" w:color="auto" w:fill="auto"/>
          </w:tcPr>
          <w:p w14:paraId="67845F3F" w14:textId="69573675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Is-settur tal-azzar</w:t>
            </w:r>
            <w:r w:rsidRPr="00150A07">
              <w:rPr>
                <w:rStyle w:val="FootnoteReference"/>
                <w:noProof/>
              </w:rPr>
              <w:footnoteReference w:id="5"/>
            </w:r>
            <w:r w:rsidRPr="00150A07">
              <w:rPr>
                <w:noProof/>
              </w:rPr>
              <w:t xml:space="preserve"> </w:t>
            </w:r>
          </w:p>
        </w:tc>
        <w:tc>
          <w:tcPr>
            <w:tcW w:w="1779" w:type="pct"/>
            <w:shd w:val="clear" w:color="auto" w:fill="auto"/>
          </w:tcPr>
          <w:p w14:paraId="5C46DBD0" w14:textId="33EF3D88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554642EB" w14:textId="77777777" w:rsidTr="00AF03D0">
        <w:tc>
          <w:tcPr>
            <w:tcW w:w="3221" w:type="pct"/>
            <w:shd w:val="clear" w:color="auto" w:fill="auto"/>
          </w:tcPr>
          <w:p w14:paraId="2ACA295C" w14:textId="750C0636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Is-settur tal-linjite</w:t>
            </w:r>
            <w:r w:rsidRPr="00150A07">
              <w:rPr>
                <w:rStyle w:val="FootnoteReference"/>
                <w:noProof/>
                <w:sz w:val="22"/>
              </w:rPr>
              <w:footnoteReference w:id="6"/>
            </w:r>
          </w:p>
        </w:tc>
        <w:tc>
          <w:tcPr>
            <w:tcW w:w="1779" w:type="pct"/>
            <w:shd w:val="clear" w:color="auto" w:fill="auto"/>
          </w:tcPr>
          <w:p w14:paraId="28A1765B" w14:textId="7C1846F2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0BBE7136" w14:textId="77777777" w:rsidTr="00AF03D0">
        <w:tc>
          <w:tcPr>
            <w:tcW w:w="3221" w:type="pct"/>
            <w:shd w:val="clear" w:color="auto" w:fill="auto"/>
          </w:tcPr>
          <w:p w14:paraId="0382249D" w14:textId="5B29FE42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Is-settur tal-faħam</w:t>
            </w:r>
            <w:r w:rsidRPr="00150A07">
              <w:rPr>
                <w:rStyle w:val="FootnoteReference"/>
                <w:noProof/>
                <w:sz w:val="22"/>
              </w:rPr>
              <w:footnoteReference w:id="7"/>
            </w:r>
          </w:p>
        </w:tc>
        <w:tc>
          <w:tcPr>
            <w:tcW w:w="1779" w:type="pct"/>
            <w:shd w:val="clear" w:color="auto" w:fill="auto"/>
          </w:tcPr>
          <w:p w14:paraId="32C35C73" w14:textId="4A66A920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511A9748" w14:textId="77777777" w:rsidTr="00AF03D0">
        <w:tc>
          <w:tcPr>
            <w:tcW w:w="3221" w:type="pct"/>
            <w:shd w:val="clear" w:color="auto" w:fill="auto"/>
          </w:tcPr>
          <w:p w14:paraId="2409D865" w14:textId="724EFC17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Is-sajd u l-akkwakultura</w:t>
            </w:r>
            <w:r w:rsidRPr="00150A07">
              <w:rPr>
                <w:rStyle w:val="FootnoteReference"/>
                <w:noProof/>
                <w:sz w:val="22"/>
              </w:rPr>
              <w:footnoteReference w:id="8"/>
            </w:r>
          </w:p>
        </w:tc>
        <w:tc>
          <w:tcPr>
            <w:tcW w:w="1779" w:type="pct"/>
            <w:shd w:val="clear" w:color="auto" w:fill="auto"/>
          </w:tcPr>
          <w:p w14:paraId="28BF61E0" w14:textId="5F730A2A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0F13AEDA" w14:textId="77777777" w:rsidTr="00AF03D0">
        <w:tc>
          <w:tcPr>
            <w:tcW w:w="3221" w:type="pct"/>
            <w:shd w:val="clear" w:color="auto" w:fill="auto"/>
          </w:tcPr>
          <w:p w14:paraId="042A74E2" w14:textId="6DDDD55B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L-agrikoltura</w:t>
            </w:r>
            <w:r w:rsidRPr="00150A07">
              <w:rPr>
                <w:rStyle w:val="FootnoteReference"/>
                <w:bCs/>
                <w:noProof/>
                <w:sz w:val="22"/>
              </w:rPr>
              <w:footnoteReference w:id="9"/>
            </w:r>
          </w:p>
        </w:tc>
        <w:tc>
          <w:tcPr>
            <w:tcW w:w="1779" w:type="pct"/>
            <w:shd w:val="clear" w:color="auto" w:fill="auto"/>
          </w:tcPr>
          <w:p w14:paraId="6BD2BFC4" w14:textId="5B59C96B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2CE8567E" w14:textId="77777777" w:rsidTr="00AF03D0">
        <w:tc>
          <w:tcPr>
            <w:tcW w:w="3221" w:type="pct"/>
            <w:shd w:val="clear" w:color="auto" w:fill="auto"/>
          </w:tcPr>
          <w:p w14:paraId="0127A35C" w14:textId="5A078749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L-ipproċessar u/jew il-kummerċjalizzazzjoni tal-prodotti agrikoli elenkati fl-Anness I tat-Trattat</w:t>
            </w:r>
            <w:r w:rsidRPr="00150A07">
              <w:rPr>
                <w:rStyle w:val="FootnoteReference"/>
                <w:bCs/>
                <w:noProof/>
                <w:sz w:val="22"/>
              </w:rPr>
              <w:footnoteReference w:id="10"/>
            </w:r>
            <w:r w:rsidRPr="00150A07">
              <w:rPr>
                <w:noProof/>
              </w:rPr>
              <w:t xml:space="preserve"> fi prodotti elenkati fl-Anness I</w:t>
            </w:r>
          </w:p>
        </w:tc>
        <w:tc>
          <w:tcPr>
            <w:tcW w:w="1779" w:type="pct"/>
            <w:shd w:val="clear" w:color="auto" w:fill="auto"/>
          </w:tcPr>
          <w:p w14:paraId="68B2C2CE" w14:textId="1E90F7BF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0F776B2D" w14:textId="77777777" w:rsidTr="00AF03D0">
        <w:tc>
          <w:tcPr>
            <w:tcW w:w="3221" w:type="pct"/>
            <w:shd w:val="clear" w:color="auto" w:fill="auto"/>
          </w:tcPr>
          <w:p w14:paraId="684AF62A" w14:textId="4E0FBD66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lastRenderedPageBreak/>
              <w:t>It-trasport</w:t>
            </w:r>
            <w:r w:rsidRPr="00150A07">
              <w:rPr>
                <w:rStyle w:val="FootnoteReference"/>
                <w:bCs/>
                <w:noProof/>
                <w:sz w:val="22"/>
              </w:rPr>
              <w:footnoteReference w:id="11"/>
            </w:r>
          </w:p>
        </w:tc>
        <w:tc>
          <w:tcPr>
            <w:tcW w:w="1779" w:type="pct"/>
            <w:shd w:val="clear" w:color="auto" w:fill="auto"/>
          </w:tcPr>
          <w:p w14:paraId="1ED293A9" w14:textId="3A7D271D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7D6A51BA" w14:textId="77777777" w:rsidTr="00AF03D0">
        <w:tc>
          <w:tcPr>
            <w:tcW w:w="3221" w:type="pct"/>
            <w:shd w:val="clear" w:color="auto" w:fill="auto"/>
          </w:tcPr>
          <w:p w14:paraId="73575A56" w14:textId="4CE1CE37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Il-broadband</w:t>
            </w:r>
            <w:r w:rsidRPr="00150A07">
              <w:rPr>
                <w:rStyle w:val="FootnoteReference"/>
                <w:bCs/>
                <w:noProof/>
                <w:sz w:val="22"/>
              </w:rPr>
              <w:footnoteReference w:id="12"/>
            </w:r>
          </w:p>
        </w:tc>
        <w:tc>
          <w:tcPr>
            <w:tcW w:w="1779" w:type="pct"/>
            <w:shd w:val="clear" w:color="auto" w:fill="auto"/>
          </w:tcPr>
          <w:p w14:paraId="79318FE6" w14:textId="6E525D5F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  <w:tr w:rsidR="00BE7218" w:rsidRPr="00150A07" w14:paraId="23478781" w14:textId="77777777" w:rsidTr="00AF03D0">
        <w:tc>
          <w:tcPr>
            <w:tcW w:w="3221" w:type="pct"/>
            <w:shd w:val="clear" w:color="auto" w:fill="auto"/>
          </w:tcPr>
          <w:p w14:paraId="72CE516A" w14:textId="0DB0FDDC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L-enerġija</w:t>
            </w:r>
            <w:r w:rsidRPr="00150A07">
              <w:rPr>
                <w:rStyle w:val="FootnoteReference"/>
                <w:noProof/>
                <w:sz w:val="22"/>
              </w:rPr>
              <w:footnoteReference w:id="13"/>
            </w:r>
          </w:p>
        </w:tc>
        <w:tc>
          <w:tcPr>
            <w:tcW w:w="1779" w:type="pct"/>
            <w:shd w:val="clear" w:color="auto" w:fill="auto"/>
          </w:tcPr>
          <w:p w14:paraId="701651A8" w14:textId="68D4FD8B" w:rsidR="00BE7218" w:rsidRPr="00150A07" w:rsidRDefault="00BE7218" w:rsidP="008B21F8">
            <w:pPr>
              <w:rPr>
                <w:noProof/>
                <w:sz w:val="22"/>
              </w:rPr>
            </w:pPr>
          </w:p>
        </w:tc>
      </w:tr>
    </w:tbl>
    <w:p w14:paraId="0A2621E1" w14:textId="77761837" w:rsidR="00BE7218" w:rsidRPr="00150A07" w:rsidRDefault="00BE7218" w:rsidP="00BE7218">
      <w:pPr>
        <w:pStyle w:val="Heading1"/>
        <w:rPr>
          <w:noProof/>
          <w:szCs w:val="24"/>
        </w:rPr>
      </w:pPr>
      <w:r w:rsidRPr="00150A07">
        <w:rPr>
          <w:noProof/>
        </w:rPr>
        <w:t>Investiment inizjali, kostijiet eliġibbli u għajnuna</w:t>
      </w:r>
    </w:p>
    <w:p w14:paraId="73EE692F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Tipi ta’ investimenti inizjali koperti mill-iskema</w:t>
      </w:r>
    </w:p>
    <w:p w14:paraId="1C4635F9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F’każ li l-iskema tkopri investimenti f’żoni “a” minn SMEs jew Intrapriżi Kbar</w:t>
      </w:r>
      <w:r w:rsidRPr="00150A07">
        <w:rPr>
          <w:rStyle w:val="FootnoteReference"/>
          <w:noProof/>
        </w:rPr>
        <w:footnoteReference w:id="14"/>
      </w:r>
      <w:r w:rsidRPr="00150A07">
        <w:rPr>
          <w:noProof/>
        </w:rPr>
        <w:t xml:space="preserve"> jew investimenti minn SME(s) f’żoni “c” (il-paragrafu 45 tal-RAG), speċifika l-kategorija/i tal-investiment inizjali kkonċernata/i min-notifika (il-paragrafu 19(13) tal-RAG): </w:t>
      </w:r>
    </w:p>
    <w:p w14:paraId="4C915BB6" w14:textId="77777777" w:rsidR="00BE7218" w:rsidRPr="00150A07" w:rsidRDefault="008B21F8" w:rsidP="00BE7218">
      <w:pPr>
        <w:pStyle w:val="Tiret1"/>
        <w:rPr>
          <w:noProof/>
        </w:rPr>
      </w:pPr>
      <w:sdt>
        <w:sdtPr>
          <w:rPr>
            <w:noProof/>
          </w:rPr>
          <w:id w:val="1251621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it-twaqqif ta’ stabbiliment ġdid</w:t>
      </w:r>
    </w:p>
    <w:p w14:paraId="7F782F2D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52556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l-estensjoni tal-kapaċità ta’ stabbiliment eżistenti</w:t>
      </w:r>
    </w:p>
    <w:p w14:paraId="40B6DE4A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53122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id-diversifikazzjoni tal-output ta’ stabbiliment fi prodotti li qatt ma ġew prodotti fl-istabbiliment qabel</w:t>
      </w:r>
    </w:p>
    <w:p w14:paraId="427A89FC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1322036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bidla fundamentali fil-proċess globali tal-produzzjoni tal-prodott(i) ikkonċernat(i) mill-investiment fl-istabbiliment</w:t>
      </w:r>
    </w:p>
    <w:p w14:paraId="720C5EDD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1695986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l-akkwist ta’ assi li jappartjenu għal stabbiliment li jkun għalaq jew li kien jagħlaq kieku ma nxtarax</w:t>
      </w:r>
      <w:r w:rsidR="00BE7218" w:rsidRPr="00150A07">
        <w:rPr>
          <w:rStyle w:val="FootnoteReference"/>
          <w:noProof/>
        </w:rPr>
        <w:footnoteReference w:id="15"/>
      </w:r>
      <w:r w:rsidR="00BE7218" w:rsidRPr="00150A07">
        <w:rPr>
          <w:noProof/>
        </w:rPr>
        <w:t xml:space="preserve">. </w:t>
      </w:r>
    </w:p>
    <w:p w14:paraId="5FA027B7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F’każ li l-iskema tkopri investimenti fiż-żoni “c” minn Intrapriżi Kbar, speċifika l-kategorija/i tal-investiment inizjali kkonċernata/i min-notifika(il-paragrafu 19(14) u l-paragrafu 14 tal-RAG):</w:t>
      </w:r>
    </w:p>
    <w:p w14:paraId="1E2072D2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742147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it-twaqqif ta’ stabbiliment ġdid</w:t>
      </w:r>
    </w:p>
    <w:p w14:paraId="5DE1A5DF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2123293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id-diversifikazzjoni tal-attività ta’ stabbiliment, bil-kundizzjoni li l-attività l-ġdida ma tkunx l-istess attività jew waħda simili għall-attività</w:t>
      </w:r>
      <w:r w:rsidR="00BE7218" w:rsidRPr="00150A07">
        <w:rPr>
          <w:rStyle w:val="FootnoteReference"/>
          <w:noProof/>
        </w:rPr>
        <w:footnoteReference w:id="16"/>
      </w:r>
      <w:r w:rsidR="00BE7218" w:rsidRPr="00150A07">
        <w:rPr>
          <w:noProof/>
        </w:rPr>
        <w:t xml:space="preserve"> li kienet issir qabel fl-istabbiliment</w:t>
      </w:r>
    </w:p>
    <w:p w14:paraId="34A55612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116582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l-akkwist ta’ assi li jappartjenu għal stabbiliment li għalaq jew li kieku kien jagħlaq kieku ma nxtarax, bil-kundizzjoni li l-attività l-ġdida li se ssir bl-użu tal-assi akkwiżiti ma tkunx l-istess attività jew waħda simili għall-attività mwettqa fl-istabbiliment qabel l-akkwist</w:t>
      </w:r>
      <w:r w:rsidR="00BE7218" w:rsidRPr="00150A07">
        <w:rPr>
          <w:rStyle w:val="FootnoteReference"/>
          <w:noProof/>
        </w:rPr>
        <w:footnoteReference w:id="17"/>
      </w:r>
    </w:p>
    <w:p w14:paraId="45E3C642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Kostijiet eliġibbli kkalkolati abbażi tal-kostijiet ta’ investiment</w:t>
      </w:r>
    </w:p>
    <w:p w14:paraId="4E39A406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Meta l-kostijiet eliġibbli taħt l-iskema ikunu relatati ma’ assi tanġibbli (il-paragrafu 19(31) tal-RAG), indika jekk il-valur tal-investiment huwiex stabbilit bħala perċentwal tal-kostijiet tal-art, tal-bini u tal-impjant, tal-makkinarju u tat-tagħmir:</w:t>
      </w:r>
    </w:p>
    <w:p w14:paraId="1456500D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1990044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l-art</w:t>
      </w:r>
    </w:p>
    <w:p w14:paraId="4E49BC58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495801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il-bini </w:t>
      </w:r>
    </w:p>
    <w:p w14:paraId="7DCB4997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1683582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l-impjant/il-makkinarju/it-tagħmir</w:t>
      </w:r>
    </w:p>
    <w:p w14:paraId="7AD32CF3" w14:textId="77777777" w:rsidR="00BE7218" w:rsidRPr="00150A07" w:rsidRDefault="00BE7218" w:rsidP="00BE7218">
      <w:pPr>
        <w:pStyle w:val="Text2"/>
        <w:ind w:left="1843" w:hanging="425"/>
        <w:rPr>
          <w:noProof/>
        </w:rPr>
      </w:pPr>
      <w:r w:rsidRPr="00150A07">
        <w:rPr>
          <w:noProof/>
        </w:rPr>
        <w:t xml:space="preserve">Ipprovdi r-referenza għad-dispożizzjonijiet rilevanti tal-bażi legali: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7A386F89" w14:textId="77777777" w:rsidTr="00AF03D0">
        <w:tc>
          <w:tcPr>
            <w:tcW w:w="7682" w:type="dxa"/>
            <w:shd w:val="clear" w:color="auto" w:fill="auto"/>
          </w:tcPr>
          <w:p w14:paraId="1270534D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 xml:space="preserve">… </w:t>
            </w:r>
          </w:p>
        </w:tc>
      </w:tr>
    </w:tbl>
    <w:p w14:paraId="621BCE4F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  <w:color w:val="000000"/>
        </w:rPr>
        <w:t>Ipprovdi</w:t>
      </w:r>
      <w:r w:rsidRPr="00150A07">
        <w:rPr>
          <w:noProof/>
        </w:rPr>
        <w:t xml:space="preserve"> referenza</w:t>
      </w:r>
      <w:r w:rsidRPr="00150A07">
        <w:rPr>
          <w:noProof/>
          <w:color w:val="000000"/>
        </w:rPr>
        <w:t xml:space="preserve"> </w:t>
      </w:r>
      <w:bookmarkStart w:id="0" w:name="OLE_LINK1"/>
      <w:bookmarkStart w:id="1" w:name="OLE_LINK2"/>
      <w:r w:rsidRPr="00150A07">
        <w:rPr>
          <w:noProof/>
          <w:color w:val="000000"/>
        </w:rPr>
        <w:t xml:space="preserve">għad-dispożizzjoni rilevanti </w:t>
      </w:r>
      <w:bookmarkEnd w:id="0"/>
      <w:bookmarkEnd w:id="1"/>
      <w:r w:rsidRPr="00150A07">
        <w:rPr>
          <w:noProof/>
          <w:color w:val="000000"/>
        </w:rPr>
        <w:t>tal-bażi legali li tistipula li l-assi akkwiżiti għandhom ikunu ġodda</w:t>
      </w:r>
      <w:r w:rsidRPr="00150A07">
        <w:rPr>
          <w:rStyle w:val="FootnoteReference"/>
          <w:noProof/>
        </w:rPr>
        <w:footnoteReference w:id="18"/>
      </w:r>
      <w:r w:rsidRPr="00150A07">
        <w:rPr>
          <w:noProof/>
        </w:rPr>
        <w:t>? (il-paragrafu 27 tal-RAG)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5EAE2798" w14:textId="77777777" w:rsidTr="00AF03D0">
        <w:tc>
          <w:tcPr>
            <w:tcW w:w="7682" w:type="dxa"/>
            <w:shd w:val="clear" w:color="auto" w:fill="auto"/>
          </w:tcPr>
          <w:p w14:paraId="5FC68A22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 xml:space="preserve">… </w:t>
            </w:r>
          </w:p>
        </w:tc>
      </w:tr>
    </w:tbl>
    <w:p w14:paraId="5A31EBFA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  <w:color w:val="000000"/>
        </w:rPr>
      </w:pPr>
      <w:r w:rsidRPr="00150A07">
        <w:rPr>
          <w:noProof/>
          <w:color w:val="000000"/>
        </w:rPr>
        <w:t xml:space="preserve">Ipprovdi referenza għad-dispożizzjoni rilevanti fil-bażi legali li tistipula li fil-każ ta’ SMEs mhux aktar minn 50 % tal-kostijiet ta’ studji preparatorji jew tal-kostijiet ta’ konsulenza marbutin mal-investiment jistgħu jitqiesu bħala kostijiet eliġibbli (il-paragrafu 28 tal-RAG).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75F20D12" w14:textId="77777777" w:rsidTr="00AF03D0">
        <w:tc>
          <w:tcPr>
            <w:tcW w:w="7682" w:type="dxa"/>
            <w:shd w:val="clear" w:color="auto" w:fill="auto"/>
          </w:tcPr>
          <w:p w14:paraId="4836B607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61EC6645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  <w:color w:val="000000"/>
        </w:rPr>
      </w:pPr>
      <w:r w:rsidRPr="00150A07">
        <w:rPr>
          <w:noProof/>
          <w:color w:val="000000"/>
        </w:rPr>
        <w:t xml:space="preserve">Ipprovdi referenza għad-dispożizzjoni rilevanti tal-bażi legali li tistipula li għall-għajnuna mogħtija lil intrapriżi kbar għal bidla fundamentali fil-proċess tal-produzzjoni, il-kostijiet eliġibbli jaqbżu d-deprezzament tal-assi marbutin mal-attività li għandha tiġi mmodernizzata matul it-3 snin fiskali preċedenti (il-paragrafu 29 tal-RAG).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6AB3F8C6" w14:textId="77777777" w:rsidTr="00AF03D0">
        <w:tc>
          <w:tcPr>
            <w:tcW w:w="7682" w:type="dxa"/>
            <w:shd w:val="clear" w:color="auto" w:fill="auto"/>
          </w:tcPr>
          <w:p w14:paraId="451C5349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….</w:t>
            </w:r>
          </w:p>
        </w:tc>
      </w:tr>
    </w:tbl>
    <w:p w14:paraId="155BBB4B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  <w:color w:val="000000"/>
        </w:rPr>
      </w:pPr>
      <w:r w:rsidRPr="00150A07">
        <w:rPr>
          <w:noProof/>
          <w:color w:val="000000"/>
        </w:rPr>
        <w:t xml:space="preserve">Ipprovdi referenza għad-dispożizzjoni rilevanti tal-bażi legali li tistipula li għall-għajnuna mogħtija għal diversifikazzjoni ta’ stabbiliment eżistenti, il-kostijiet eliġibbli jaqbżu mill-anqas b’200 % l-valur kontabilistiku tal-assi li </w:t>
      </w:r>
      <w:r w:rsidRPr="00150A07">
        <w:rPr>
          <w:noProof/>
          <w:color w:val="000000"/>
        </w:rPr>
        <w:lastRenderedPageBreak/>
        <w:t xml:space="preserve">jintużaw mill-ġdid, kif irreġistrat fis-sena fiskali ta’ qabel il-bidu tax-xogħlijiet (il-paragrafu 30 tal-RAG).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0597D67A" w14:textId="77777777" w:rsidTr="00AF03D0">
        <w:tc>
          <w:tcPr>
            <w:tcW w:w="7682" w:type="dxa"/>
            <w:shd w:val="clear" w:color="auto" w:fill="auto"/>
          </w:tcPr>
          <w:p w14:paraId="7B2CED48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2D0BA86A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  <w:color w:val="000000"/>
        </w:rPr>
      </w:pPr>
      <w:r w:rsidRPr="00150A07">
        <w:rPr>
          <w:noProof/>
          <w:color w:val="000000"/>
        </w:rPr>
        <w:t xml:space="preserve">F’każijiet li jinvolvu l-lokazzjoni ta’ assi tanġibbli, ipprovdi referenza għad-dispożizzjonijiet rilevanti tal-bażi legali li tistipula li l-kundizzjonijiet li ġejjin jenħtieġ li jiġu rrispettati (il-paragrafu 31 tal-RAG). </w:t>
      </w:r>
    </w:p>
    <w:p w14:paraId="3348B6C9" w14:textId="77777777" w:rsidR="00BE7218" w:rsidRPr="00150A07" w:rsidRDefault="00BE7218" w:rsidP="00BE7218">
      <w:pPr>
        <w:pStyle w:val="Normal127Bullet63"/>
        <w:spacing w:after="120"/>
        <w:rPr>
          <w:noProof/>
        </w:rPr>
      </w:pPr>
      <w:r w:rsidRPr="00150A07">
        <w:rPr>
          <w:noProof/>
        </w:rPr>
        <w:t>fil-każ ta’ art u bini, il-lokazzjoni trid tkompli għal mill-anqas 5 snin wara d-data li fiha jkun mistenni li jitlesta l-investiment fil-każ ta’ intrapriżi kbar, u għal 3 snin fil-każ ta’ SMEs;</w:t>
      </w:r>
    </w:p>
    <w:tbl>
      <w:tblPr>
        <w:tblW w:w="0" w:type="auto"/>
        <w:tblInd w:w="17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9"/>
      </w:tblGrid>
      <w:tr w:rsidR="00BE7218" w:rsidRPr="00150A07" w14:paraId="168A8D8C" w14:textId="77777777" w:rsidTr="00AF03D0">
        <w:tc>
          <w:tcPr>
            <w:tcW w:w="7399" w:type="dxa"/>
            <w:shd w:val="clear" w:color="auto" w:fill="auto"/>
          </w:tcPr>
          <w:p w14:paraId="0799136A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..</w:t>
            </w:r>
          </w:p>
        </w:tc>
      </w:tr>
    </w:tbl>
    <w:p w14:paraId="5C64E4A3" w14:textId="77777777" w:rsidR="00BE7218" w:rsidRPr="00150A07" w:rsidRDefault="00BE7218" w:rsidP="00BE7218">
      <w:pPr>
        <w:pStyle w:val="Normal127Bullet63"/>
        <w:spacing w:after="120"/>
        <w:rPr>
          <w:noProof/>
        </w:rPr>
      </w:pPr>
      <w:r w:rsidRPr="00150A07">
        <w:rPr>
          <w:noProof/>
        </w:rPr>
        <w:t xml:space="preserve">fil-każ ta’ impjanti jew makkinarju, il-lokazzjoni trid tieħu l-forma ta’ lokazzjoni finanzjarja u trid tinkludi obbligu għall-benefiċjarju tal-għajnuna sabiex jixtri l-assi malli jiskadi t-terminu tal-lokazzjoni. </w:t>
      </w:r>
    </w:p>
    <w:tbl>
      <w:tblPr>
        <w:tblW w:w="0" w:type="auto"/>
        <w:tblInd w:w="17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9"/>
      </w:tblGrid>
      <w:tr w:rsidR="00BE7218" w:rsidRPr="00150A07" w14:paraId="251BC956" w14:textId="77777777" w:rsidTr="00AF03D0">
        <w:tc>
          <w:tcPr>
            <w:tcW w:w="7399" w:type="dxa"/>
            <w:shd w:val="clear" w:color="auto" w:fill="auto"/>
          </w:tcPr>
          <w:p w14:paraId="25A42492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3607A8FB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  <w:color w:val="000000"/>
        </w:rPr>
      </w:pPr>
      <w:r w:rsidRPr="00150A07">
        <w:rPr>
          <w:noProof/>
          <w:color w:val="000000"/>
        </w:rPr>
        <w:t>Il-paragrafu 32 tal-RAG jipprevedi li fil-każ ta’ akkwist ta’ stabbiliment “</w:t>
      </w:r>
      <w:r w:rsidRPr="00150A07">
        <w:rPr>
          <w:i/>
          <w:noProof/>
          <w:color w:val="000000"/>
        </w:rPr>
        <w:t>fil-prinċipju jenħtieġ li jitqiesu biss il-kostijiet tax-xiri tal-assi minn partijiet terzi mhux relatati max-xerrej. Madankollu, jekk membru tal-familja tas-sid oriġinali, jew impjegat, jieħu f’idejh intrapriża żgħira, il-kundizzjoni li l-assi jridu jinxtraw minn partijiet terzi mhux relatati max-xerrej ma tapplikax. It-tranżazzjoni trid isseħħ skont il-kundizzjonijiet tas-suq. Jekk l-akkwist tal-assi ta’ stabbiliment ikun akkumpanjat minn investiment addizzjonali eliġibbli għall-għajnuna reġjonali, il-kostijiet eliġibbli ta’ dak l-investiment addizzjonali jenħtieġ li jiġu miżjuda mal-kostijiet tal-akkwist tal-assi tal-istabbiliment</w:t>
      </w:r>
      <w:r w:rsidRPr="00150A07">
        <w:rPr>
          <w:noProof/>
          <w:color w:val="000000"/>
        </w:rPr>
        <w:t xml:space="preserve">”. </w:t>
      </w:r>
    </w:p>
    <w:p w14:paraId="5EEA7CA0" w14:textId="77777777" w:rsidR="00BE7218" w:rsidRPr="00150A07" w:rsidRDefault="00BE7218" w:rsidP="00BE7218">
      <w:pPr>
        <w:pStyle w:val="NormalKop111"/>
        <w:tabs>
          <w:tab w:val="clear" w:pos="720"/>
          <w:tab w:val="clear" w:pos="1440"/>
          <w:tab w:val="clear" w:pos="1797"/>
        </w:tabs>
        <w:ind w:left="1418"/>
        <w:rPr>
          <w:noProof/>
        </w:rPr>
      </w:pPr>
      <w:r w:rsidRPr="00150A07">
        <w:rPr>
          <w:noProof/>
        </w:rPr>
        <w:t xml:space="preserve">Jekk rilevanti </w:t>
      </w:r>
      <w:r w:rsidRPr="00150A07">
        <w:rPr>
          <w:noProof/>
          <w:color w:val="000000"/>
        </w:rPr>
        <w:t>għall-iskema notifikata</w:t>
      </w:r>
      <w:r w:rsidRPr="00150A07">
        <w:rPr>
          <w:noProof/>
        </w:rPr>
        <w:t xml:space="preserve">, ipprovdi referenza </w:t>
      </w:r>
      <w:r w:rsidRPr="00150A07">
        <w:rPr>
          <w:noProof/>
          <w:color w:val="000000"/>
        </w:rPr>
        <w:t>għad-dispożizzjonijiet tal-bażi legali li jistipulaw li</w:t>
      </w:r>
      <w:r w:rsidRPr="00150A07">
        <w:rPr>
          <w:noProof/>
        </w:rPr>
        <w:t xml:space="preserve"> l-kundizzjonijiet ta’ hawn fuq għandhom jiġu rrispettati.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16667A16" w14:textId="77777777" w:rsidTr="00AF03D0">
        <w:tc>
          <w:tcPr>
            <w:tcW w:w="7682" w:type="dxa"/>
            <w:shd w:val="clear" w:color="auto" w:fill="auto"/>
          </w:tcPr>
          <w:p w14:paraId="64BBDEFD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7466603A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  <w:color w:val="000000"/>
        </w:rPr>
      </w:pPr>
      <w:r w:rsidRPr="00150A07">
        <w:rPr>
          <w:noProof/>
          <w:color w:val="000000"/>
        </w:rPr>
        <w:t>Meta l-kostijiet eliġibbli taħt l-iskema jirrigwardaw assi intanġibbli (il-paragrafu 19(15) tal-RAG), speċifika jekk il-valur tal-investiment huwiex stabbilit abbażi tan-nefqa mġarrba mit-trasferiment tat-teknoloġija permezz tal-akkwist ta’ drittijiet ta’ privattivi, liċenzji, għarfien jew proprjetà intellettwali oħra:</w:t>
      </w:r>
    </w:p>
    <w:p w14:paraId="168680CB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1828090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drittijiet ta’ privattivi</w:t>
      </w:r>
    </w:p>
    <w:p w14:paraId="410798A1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1964336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liċenzji</w:t>
      </w:r>
    </w:p>
    <w:p w14:paraId="5B772AC2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160834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għarfien</w:t>
      </w:r>
    </w:p>
    <w:p w14:paraId="05B03F41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2080744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proprjetà intellettwali oħra</w:t>
      </w:r>
    </w:p>
    <w:p w14:paraId="55774DDE" w14:textId="77777777" w:rsidR="00BE7218" w:rsidRPr="00150A07" w:rsidRDefault="00BE7218" w:rsidP="00BE7218">
      <w:pPr>
        <w:pStyle w:val="Text2"/>
        <w:ind w:left="1418"/>
        <w:rPr>
          <w:noProof/>
        </w:rPr>
      </w:pPr>
      <w:r w:rsidRPr="00150A07">
        <w:rPr>
          <w:noProof/>
        </w:rPr>
        <w:t>Ipprovdi r-referenza għad-dispożizzjonijiet rilevanti tal-bażi legali: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78EF3901" w14:textId="77777777" w:rsidTr="00AF03D0">
        <w:tc>
          <w:tcPr>
            <w:tcW w:w="7682" w:type="dxa"/>
            <w:shd w:val="clear" w:color="auto" w:fill="auto"/>
          </w:tcPr>
          <w:p w14:paraId="5CF332C3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lastRenderedPageBreak/>
              <w:t>…</w:t>
            </w:r>
          </w:p>
        </w:tc>
      </w:tr>
    </w:tbl>
    <w:p w14:paraId="0C6AD739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  <w:color w:val="000000"/>
        </w:rPr>
      </w:pPr>
      <w:r w:rsidRPr="00150A07">
        <w:rPr>
          <w:noProof/>
          <w:color w:val="000000"/>
        </w:rPr>
        <w:t>Ipprovdi referenza għad-dispożizzjonijiet rilevanti tal-bażi legali fejn huwa stipulat li għall-impriżi kbar in-nefqa fuq investiment intanġibbli eliġibbli ma tridx taqbeż il-50 % tal-kostijiet ta’ investiment eliġibbli totali tal-proġett (il-paragrafu 33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2412E0F0" w14:textId="77777777" w:rsidTr="00AF03D0">
        <w:tc>
          <w:tcPr>
            <w:tcW w:w="7682" w:type="dxa"/>
            <w:shd w:val="clear" w:color="auto" w:fill="auto"/>
          </w:tcPr>
          <w:p w14:paraId="79CF62EC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034C0B91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  <w:color w:val="000000"/>
        </w:rPr>
      </w:pPr>
      <w:r w:rsidRPr="00150A07">
        <w:rPr>
          <w:noProof/>
          <w:color w:val="000000"/>
        </w:rPr>
        <w:t>Ipprovdi referenza għad-dispożizzjonijiet rilevanti tal-bażi legali li tistipula li l-kundizzjonijiet stabbiliti fil-paragrafu 34 tal-RAG</w:t>
      </w:r>
      <w:r w:rsidRPr="00150A07">
        <w:rPr>
          <w:rStyle w:val="FootnoteReference"/>
          <w:noProof/>
        </w:rPr>
        <w:footnoteReference w:id="19"/>
      </w:r>
      <w:r w:rsidRPr="00150A07">
        <w:rPr>
          <w:noProof/>
          <w:color w:val="000000"/>
        </w:rPr>
        <w:t xml:space="preserve"> għandhom jiġu rrispettati.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028B650B" w14:textId="77777777" w:rsidTr="00AF03D0">
        <w:tc>
          <w:tcPr>
            <w:tcW w:w="7682" w:type="dxa"/>
            <w:shd w:val="clear" w:color="auto" w:fill="auto"/>
          </w:tcPr>
          <w:p w14:paraId="17646BE1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38B01A5B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Kostijiet eliġibbli kkalkolati abbażi tal-kostijiet tal-pagi</w:t>
      </w:r>
    </w:p>
    <w:p w14:paraId="56EFFA37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Ipprovdi referenza għad-dispożizzjonijiet rilevanti tal-bażi legali fejn huwa stipulat kif għandu jkun stabbilit il-kost eliġibbli kkalkolat abbażi tal-kostijiet tal-pagi (il-paragrafu 35 tal-RAG), kif l-għadd ta’ impjiegi maħluq għandu jiġi kkalkolat b’referenza għall-paragrafu 19(16) tal-RAG u kif il-kostijiet tal-pagi tal-persuni rreklutati għandhom jiġu stabbiliti b’referenza għall-paragrafu 19(33) tal-RAG.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062BDB40" w14:textId="77777777" w:rsidTr="00AF03D0">
        <w:tc>
          <w:tcPr>
            <w:tcW w:w="7682" w:type="dxa"/>
            <w:shd w:val="clear" w:color="auto" w:fill="auto"/>
          </w:tcPr>
          <w:p w14:paraId="4F5EE2B3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5B86E124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Kalkolu tal-kostijiet eliġibbli skontati</w:t>
      </w:r>
    </w:p>
    <w:p w14:paraId="60781970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Indika liema tipi ta’ għajnuna huma permessi taħt l-iskema:</w:t>
      </w:r>
    </w:p>
    <w:p w14:paraId="7A74C516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146204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għotjiet. Ipprovdi r-referenza għad-dispożizzjonijiet rilevanti tal-bażi legali: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BE7218" w:rsidRPr="00150A07" w14:paraId="2F792F28" w14:textId="77777777" w:rsidTr="00AF03D0">
        <w:tc>
          <w:tcPr>
            <w:tcW w:w="7115" w:type="dxa"/>
            <w:shd w:val="clear" w:color="auto" w:fill="auto"/>
          </w:tcPr>
          <w:p w14:paraId="6CB9D04E" w14:textId="77777777" w:rsidR="00BE7218" w:rsidRPr="00150A07" w:rsidRDefault="00BE7218" w:rsidP="00BE7218">
            <w:pPr>
              <w:pStyle w:val="ListParagraph"/>
              <w:numPr>
                <w:ilvl w:val="0"/>
                <w:numId w:val="24"/>
              </w:numPr>
              <w:rPr>
                <w:noProof/>
              </w:rPr>
            </w:pPr>
            <w:r w:rsidRPr="00150A07">
              <w:rPr>
                <w:noProof/>
              </w:rPr>
              <w:t xml:space="preserve">… </w:t>
            </w:r>
          </w:p>
        </w:tc>
      </w:tr>
    </w:tbl>
    <w:p w14:paraId="5712DDE2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202381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self. Indika kif l-ekwivalent tal-għotja se jiġi kkalkolat u pprovdi r-referenza għad-dispożizzjonijiet rilevanti tal-bażi legali: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BE7218" w:rsidRPr="00150A07" w14:paraId="18D30926" w14:textId="77777777" w:rsidTr="00AF03D0">
        <w:tc>
          <w:tcPr>
            <w:tcW w:w="7115" w:type="dxa"/>
            <w:shd w:val="clear" w:color="auto" w:fill="auto"/>
          </w:tcPr>
          <w:p w14:paraId="09D70477" w14:textId="77777777" w:rsidR="00BE7218" w:rsidRPr="00150A07" w:rsidRDefault="00BE7218" w:rsidP="00BE7218">
            <w:pPr>
              <w:pStyle w:val="ListParagraph"/>
              <w:numPr>
                <w:ilvl w:val="0"/>
                <w:numId w:val="24"/>
              </w:numPr>
              <w:rPr>
                <w:noProof/>
              </w:rPr>
            </w:pPr>
            <w:r w:rsidRPr="00150A07">
              <w:rPr>
                <w:noProof/>
              </w:rPr>
              <w:t xml:space="preserve">… </w:t>
            </w:r>
          </w:p>
        </w:tc>
      </w:tr>
    </w:tbl>
    <w:p w14:paraId="7312A7F4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22850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garanziji. Indika kif l-ekwivalent tal-għotja se jiġi kkalkolat u pprovdi r-referenza għad-dispożizzjonijiet rilevanti tal-bażi legali: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BE7218" w:rsidRPr="00150A07" w14:paraId="106494DF" w14:textId="77777777" w:rsidTr="00AF03D0">
        <w:tc>
          <w:tcPr>
            <w:tcW w:w="7115" w:type="dxa"/>
            <w:shd w:val="clear" w:color="auto" w:fill="auto"/>
          </w:tcPr>
          <w:p w14:paraId="2DC241D7" w14:textId="77777777" w:rsidR="00BE7218" w:rsidRPr="00150A07" w:rsidRDefault="00BE7218" w:rsidP="00BE7218">
            <w:pPr>
              <w:pStyle w:val="ListParagraph"/>
              <w:numPr>
                <w:ilvl w:val="0"/>
                <w:numId w:val="24"/>
              </w:numPr>
              <w:rPr>
                <w:noProof/>
              </w:rPr>
            </w:pPr>
            <w:r w:rsidRPr="00150A07">
              <w:rPr>
                <w:noProof/>
              </w:rPr>
              <w:lastRenderedPageBreak/>
              <w:t>…</w:t>
            </w:r>
          </w:p>
        </w:tc>
      </w:tr>
    </w:tbl>
    <w:p w14:paraId="7DAFF896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1028026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benefiċċji fuq it-taxxa. Speċifika liema tip ta’ miżuri u indika kif l-ekwivalent tal-għotja se jiġi kkalkolat. Ipprovdi wkoll ir-referenza għad-dispożizzjonijiet rilevanti tal-bażi legali: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BE7218" w:rsidRPr="00150A07" w14:paraId="5E8AAFD6" w14:textId="77777777" w:rsidTr="00AF03D0">
        <w:tc>
          <w:tcPr>
            <w:tcW w:w="7115" w:type="dxa"/>
            <w:shd w:val="clear" w:color="auto" w:fill="auto"/>
          </w:tcPr>
          <w:p w14:paraId="62E0A0EE" w14:textId="77777777" w:rsidR="00BE7218" w:rsidRPr="00150A07" w:rsidRDefault="00BE7218" w:rsidP="00BE7218">
            <w:pPr>
              <w:pStyle w:val="ListParagraph"/>
              <w:numPr>
                <w:ilvl w:val="0"/>
                <w:numId w:val="24"/>
              </w:num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09889BBB" w14:textId="77777777" w:rsidR="00BE7218" w:rsidRPr="00150A07" w:rsidRDefault="008B21F8" w:rsidP="00BE7218">
      <w:pPr>
        <w:pStyle w:val="Tiret1"/>
        <w:numPr>
          <w:ilvl w:val="0"/>
          <w:numId w:val="30"/>
        </w:numPr>
        <w:rPr>
          <w:noProof/>
        </w:rPr>
      </w:pPr>
      <w:sdt>
        <w:sdtPr>
          <w:rPr>
            <w:noProof/>
          </w:rPr>
          <w:id w:val="-1467264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oħrajn. Speċifika u indika kif l-ekwivalent tal-għotja se jiġi kkalkolat. Ipprovdi wkoll ir-referenza għad-dispożizzjonijiet rilevanti tal-bażi legali: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BE7218" w:rsidRPr="00150A07" w14:paraId="029DD856" w14:textId="77777777" w:rsidTr="00AF03D0">
        <w:tc>
          <w:tcPr>
            <w:tcW w:w="7115" w:type="dxa"/>
            <w:shd w:val="clear" w:color="auto" w:fill="auto"/>
          </w:tcPr>
          <w:p w14:paraId="58CB197E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….</w:t>
            </w:r>
          </w:p>
        </w:tc>
      </w:tr>
    </w:tbl>
    <w:p w14:paraId="7C80FB62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 xml:space="preserve">Speċifika jekk l-iskema ta’ għajnuna hijiex eliġibbli biex tiġi kofinanzjata minn </w:t>
      </w:r>
      <w:r w:rsidRPr="00150A07">
        <w:rPr>
          <w:noProof/>
          <w:color w:val="000000"/>
        </w:rPr>
        <w:t>xi wieħed mill-Fondi tal-UE implimentati taħt ġestjoni kondiviża (il-“Fondi”).</w:t>
      </w:r>
      <w:r w:rsidRPr="00150A07">
        <w:rPr>
          <w:noProof/>
        </w:rPr>
        <w:t xml:space="preserve"> Jekk iva, semmi taħt liema programm jista’ jinkiseb dan il-finanzjament. Indika wkoll l-ammont ta’ finanzjament mill-Fondi li se jkun involut, jekk huwa magħruf f’dan l-istadju.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4F5852A1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8DBE1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0A66C920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 xml:space="preserve">Ipprovdi referenza għad-dispożizzjonijiet rilevanti tal-bażi legali li jistipulaw li, qabel ma tagħti l-għajnuna individwali mill-iskema notifikata, l-awtorità tal-għoti tal-għajnuna għandha tistabbilixxi jekk il-benefiċjarju (fil-livell tal-grupp) irċeviex għajnuna għal investiment inizjali wieħed (jew aktar) mibdi fl-istess reġjun NUTS 3 f’perjodu ta’ 3 snin qabel id-data tal-bidu tax-xogħlijiet fuq il-proġett ta’ investiment.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0FBD2FD5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E93EA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67E0BE37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Ipprovdi referenza għad-dispożizzjonijiet rilevanti tal-bażi legali li jistipulaw li l-ammont totali tal-għajnuna li se tingħata taħt l-iskema għal kwalunkwe proġett ta’ investiment inizjali ma jaqbiżx l-ammont li jirriżulta mill-“intensità massima tal-għajnuna” (kif definit fil-paragrafu 19(19) tal-RAG), b’kont meħud tal-intensità akbar tal-għajnuna għall-SMEs (kif determinat fil-paragrafu 186 tal-RAG) jew l-“ammont aġġustat tal-għajnuna” (kif definit fil-paragrafu 19(3) tal-RAG), fejn applikabbli.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555620C8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E3AE5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64347E55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 xml:space="preserve">Ipprovdi r-referenza għad-dispożizzjonijiet rilevanti tal-bażi legali li jistipulaw li meta l-għajnuna individwali tingħata minn bosta skemi ta’ għajnuna reġjonali jew flimkien ma’ għajnuna </w:t>
      </w:r>
      <w:r w:rsidRPr="00150A07">
        <w:rPr>
          <w:i/>
          <w:iCs/>
          <w:noProof/>
        </w:rPr>
        <w:t>ad hoc</w:t>
      </w:r>
      <w:r w:rsidRPr="00150A07">
        <w:rPr>
          <w:noProof/>
        </w:rPr>
        <w:t>, l-intensità massima permissibbli tal-għajnuna li tista’ tingħata lill-proġett tiġi kkalkolata bil-quddiem mill-ewwel awtorità tal-għoti (il-paragrafu 99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32C09051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F6F60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206D301F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lastRenderedPageBreak/>
        <w:t xml:space="preserve">Meta l-iskema ta’ għajnuna tippermetti għajnuna għal investiment inizjali marbuta ma’ proġetti tal-Kooperazzjoni Territorjali Ewropea (KTE), ipprovdi r-referenza għad-dispożizzjonijiet rilevanti tal-bażi legali li jistipulaw (b’referenza għad-dispożizzjonijiet stipulati fil-paragrafu 100 tal-RAG) kif se tiġi stabbilita l-intensità massima tal-għajnuna applikabbli għall-proġett u l-benefiċjarji differenti involuti.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666E83CB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BCDAF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38C2FF0E" w14:textId="4B7F8DF7" w:rsidR="00BE7218" w:rsidRPr="00150A07" w:rsidRDefault="00BE7218" w:rsidP="00BE7218">
      <w:pPr>
        <w:pStyle w:val="Heading1"/>
        <w:rPr>
          <w:noProof/>
        </w:rPr>
      </w:pPr>
      <w:r w:rsidRPr="00150A07">
        <w:rPr>
          <w:noProof/>
        </w:rPr>
        <w:t>Valutazzjoni tal-kompatibbiltà tal-iskema ta’ għajnuna</w:t>
      </w:r>
    </w:p>
    <w:p w14:paraId="2BBF7CAD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Kontribut għall-iżvilupp reġjonali, l-effetti pożittivi u l-ħtieġa għal intervent mill-Istat</w:t>
      </w:r>
    </w:p>
    <w:p w14:paraId="6C1EC25A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Spjega kif l-iskema hija konsistenti mal-istrateġija ta’ żvilupp taż-żona kkonċernata u kif tikkontribwixxi għaliha (il-paragrafu 44 tal-RAG):</w:t>
      </w:r>
    </w:p>
    <w:tbl>
      <w:tblPr>
        <w:tblW w:w="0" w:type="auto"/>
        <w:tblInd w:w="14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60"/>
      </w:tblGrid>
      <w:tr w:rsidR="00BE7218" w:rsidRPr="00150A07" w14:paraId="34EDBCE6" w14:textId="77777777" w:rsidTr="008B21F8">
        <w:tc>
          <w:tcPr>
            <w:tcW w:w="7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2D7CD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1F748CE9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Ipprovdi r-referenza għad-dispożizzjonijiet rilevanti tal-bażi legali li jkun fihom ir-rekwiżit li ssir Valutazzjoni tal-Impatt Ambjentali (“VIA”) għall-investimenti kkonċernati qabel l-għoti ta’ għajnuna lil proġetti individwali, meta hekk rikjest bil-liġi (il-paragrafu 49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436FB23B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E99D0" w14:textId="77777777" w:rsidR="00BE7218" w:rsidRPr="00150A07" w:rsidRDefault="00BE7218" w:rsidP="00AF03D0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2F1549F7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Spjega kif l-awtoritajiet tal-għoti se jagħtu prijorità u jagħżlu l-proġetti ta’ investiment skont l-objettivi tal-iskema (pereżempju, fuq il-bażi tal-approċċ ta’ punteġġ formali) (il-paragrafu 44 tal-RAG). Ipprovdi wkoll ir-referenza għad-dispożizzjonijiet rilevanti tal-bażi legali jew atti amministrattivi relatati oħrajn.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07AC5818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35BF9" w14:textId="77777777" w:rsidR="00BE7218" w:rsidRPr="00150A07" w:rsidRDefault="00BE7218" w:rsidP="00AF03D0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79BC5520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Spjega kif, meta tagħti l-għajnuna lil proġetti ta’ investiment individwali taħt l-iskema notifikata, l-awtorità tal-għoti se tistabbilixxi li l-proġett(i) magħżul(in) jikkontribwixxi/u għall-objettiv tal-iskema u, għalhekk, għall-istrateġija ta’ żvilupp taż-żona kkonċernata. (il-paragrafu 46 tal-RAG)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1E767D6D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A69C" w14:textId="77777777" w:rsidR="00BE7218" w:rsidRPr="00150A07" w:rsidRDefault="00BE7218" w:rsidP="00AF03D0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42B66E67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Spjega kif hija implimentata d-dispożizzjoni li tirrikjedi li kwalunkwe investiment appoġġat taħt l-iskema notifikata se jinżamm fiż-żona kkonċernata għal tal-anqas 5 snin (3 snin għall-SMEs) wara li jitlesta (il-paragrafu 47 tal-RAG). Ipprovdi referenza għad-dispożizzjonijiet rilevanti fil-bażi legali.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48FEE026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63AE9" w14:textId="77777777" w:rsidR="00BE7218" w:rsidRPr="00150A07" w:rsidRDefault="00BE7218" w:rsidP="00AF03D0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74E9F408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 xml:space="preserve">F’każijiet fejn l-għajnuna mogħtija taħt l-iskema notifikata hija kkalkolata abbażi tal-kostijiet tal-pagi, spjega kif tiġi implimentata d-dispożizzjoni li </w:t>
      </w:r>
      <w:r w:rsidRPr="00150A07">
        <w:rPr>
          <w:noProof/>
        </w:rPr>
        <w:lastRenderedPageBreak/>
        <w:t>tirrikjedi li l-impjiegi jinħolqu fi żmien 3 snin mit-tlestija tal-investiment, u li kull impjieg maħluq permezz tal-investiment ikkonċernat għandu jinżamm fiż-żona għal perjodu ta’ 5 snin (3 snin għall-SMEs) mid-data minn meta l-post ikun imtela’ l-ewwel darba (il-paragrafu 36 tal-RAG). Ipprovdi r-referenza għad-dispożizzjoni rilevanti tal-bażi legali.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1C60B655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3DC21" w14:textId="77777777" w:rsidR="00BE7218" w:rsidRPr="00150A07" w:rsidRDefault="00BE7218" w:rsidP="00AF03D0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453F9446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Ipprovdi referenza għad-dispożizzjonijiet rilevanti tal-bażi legali fejn huwa stipulat li r-riċevituri jridu jipprovdu kontribuzzjoni ta’ mill-anqas 25 % tal-kostijiet eliġibbli, mir-riżorsi tagħhom stess jew permezz ta’ finanzjament estern, f’forma li hija eżenti minn kwalunkwe appoġġ finanzjarju pubbliku</w:t>
      </w:r>
      <w:r w:rsidRPr="00150A07">
        <w:rPr>
          <w:rStyle w:val="FootnoteReference"/>
          <w:noProof/>
        </w:rPr>
        <w:footnoteReference w:id="20"/>
      </w:r>
      <w:r w:rsidRPr="00150A07">
        <w:rPr>
          <w:noProof/>
        </w:rPr>
        <w:t>. (il-paragrafu 48 tal-RAG)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25742EB0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82084" w14:textId="77777777" w:rsidR="00BE7218" w:rsidRPr="00150A07" w:rsidRDefault="00BE7218" w:rsidP="00AF03D0">
            <w:pPr>
              <w:rPr>
                <w:noProof/>
                <w:szCs w:val="24"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752FDB65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Ipprovdi referenza għad-dispożizzjonijiet rilevanti tal-bażi legali li turi li l-iskema għandha tirrispetta l-limiti tal-mappa tal-għajnuna reġjonali applikabbli fi żmien l-għoti tal-għajnuna (il-paragrafu 88 tal-RAG). Ipprovdi wkoll ir-referenza għad-deċiżjoni tal-Kummissjoni li tapprova l-mappa tal-għajnuna reġjonali kkonċernata.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5A263902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09A24" w14:textId="77777777" w:rsidR="00BE7218" w:rsidRPr="00150A07" w:rsidRDefault="00BE7218" w:rsidP="00AF03D0">
            <w:pPr>
              <w:rPr>
                <w:noProof/>
                <w:szCs w:val="24"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0765EB14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Effett ta’ inċentiv tal-iskema</w:t>
      </w:r>
    </w:p>
    <w:p w14:paraId="6BF82093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Ipprovdi referenza għad-dispożizzjonijiet rilevanti tal-bażi legali li jistipulaw li kwalunkwe applikazzjoni għall-għajnuna trid tiġi ppreżentata qabel ma jinbeda x-xogħol fuq il-proġett ta’ investiment ikkonċernat (il-paragrafu 62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7DEBA767" w14:textId="77777777" w:rsidTr="00AF03D0">
        <w:tc>
          <w:tcPr>
            <w:tcW w:w="7682" w:type="dxa"/>
            <w:shd w:val="clear" w:color="auto" w:fill="auto"/>
          </w:tcPr>
          <w:p w14:paraId="29069E17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54820C75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 xml:space="preserve">Ipprovdi referenza għad-dispożizzjonijiet rilevanti tal-bażi legali li jistipulaw li dawk li japplikaw għal għajnuna taħt l-iskema notifikata se jkunu obbligati jippreżentaw formola ta’ applikazzjoni standard provduta mill-awtorità tal-għoti ta’ għajnuna, li fiha </w:t>
      </w:r>
      <w:r w:rsidRPr="00150A07">
        <w:rPr>
          <w:noProof/>
          <w:color w:val="000000"/>
        </w:rPr>
        <w:t>jridu jispjegaw x’jiġri f’xenarju kontrofattwali jekk ma jirċevux l-għajnuna u jindikaw liema mix-xenarji (</w:t>
      </w:r>
      <w:r w:rsidRPr="00150A07">
        <w:rPr>
          <w:i/>
          <w:noProof/>
          <w:color w:val="000000"/>
        </w:rPr>
        <w:t>xenarju 1</w:t>
      </w:r>
      <w:r w:rsidRPr="00150A07">
        <w:rPr>
          <w:noProof/>
          <w:color w:val="000000"/>
        </w:rPr>
        <w:t xml:space="preserve"> – deċiżjoni ta’ investiment jew </w:t>
      </w:r>
      <w:r w:rsidRPr="00150A07">
        <w:rPr>
          <w:i/>
          <w:noProof/>
          <w:color w:val="000000"/>
        </w:rPr>
        <w:t>xenarju 2</w:t>
      </w:r>
      <w:r w:rsidRPr="00150A07">
        <w:rPr>
          <w:noProof/>
          <w:color w:val="000000"/>
        </w:rPr>
        <w:t xml:space="preserve"> – deċiżjoni dwar il-post) japplika (il-paragrafu 64 u l-paragrafu 59 tal-RAG). Jekk din il-formola ta’ applikazzjoni tkun differenti mill-eżempju mogħti fl-Anness VII tal-RAG, ipprovdi kopja ta’ din il-formola.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4B4D691F" w14:textId="77777777" w:rsidTr="00AF03D0">
        <w:tc>
          <w:tcPr>
            <w:tcW w:w="7682" w:type="dxa"/>
            <w:shd w:val="clear" w:color="auto" w:fill="auto"/>
          </w:tcPr>
          <w:p w14:paraId="1C24D007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73C69629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 xml:space="preserve">Ipprovdi r-referenza għad-dispożizzjonijiet rilevanti tal-bażi legali li jistipulaw li intrapriżi kbar li japplikaw għall-għajnuna taħt l-iskema notifikata huma </w:t>
      </w:r>
      <w:r w:rsidRPr="00150A07">
        <w:rPr>
          <w:noProof/>
        </w:rPr>
        <w:lastRenderedPageBreak/>
        <w:t>rikjesti jipprovdu evidenza dokumentarja sabiex tissostanzja x-xenarju kontrofattwali deskritt. (il-paragrafu 65 tal-RAG). Spjega wkoll x’tip ta’ dokumenti se jkunu meħtieġa.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362FA7A0" w14:textId="77777777" w:rsidTr="00AF03D0">
        <w:tc>
          <w:tcPr>
            <w:tcW w:w="7682" w:type="dxa"/>
            <w:shd w:val="clear" w:color="auto" w:fill="auto"/>
          </w:tcPr>
          <w:p w14:paraId="247BA32C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5D3E7A64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noProof/>
        </w:rPr>
      </w:pPr>
      <w:r w:rsidRPr="00150A07">
        <w:rPr>
          <w:noProof/>
        </w:rPr>
        <w:t>Ipprovdi referenza għad-dispożizzjonijiet rilevanti tal-bażi legali li jistipulaw li meta tivvaluta applikazzjonijiet għal għajnuna individwali, l-awtorità tal-għoti hija obbligata twettaq verifika tal-kredibbiltà tax-xenarju kontrofattwali pprovdut u tivverifika li l-għajnuna reġjonali għandha l-effett ta’ inċentiv meħtieġ li jikkorrispondi għax-</w:t>
      </w:r>
      <w:r w:rsidRPr="00150A07">
        <w:rPr>
          <w:i/>
          <w:iCs/>
          <w:noProof/>
        </w:rPr>
        <w:t>xenarju 1</w:t>
      </w:r>
      <w:r w:rsidRPr="00150A07">
        <w:rPr>
          <w:noProof/>
        </w:rPr>
        <w:t xml:space="preserve"> jew għax-</w:t>
      </w:r>
      <w:r w:rsidRPr="00150A07">
        <w:rPr>
          <w:i/>
          <w:iCs/>
          <w:noProof/>
        </w:rPr>
        <w:t>xenarju 2</w:t>
      </w:r>
      <w:r w:rsidRPr="00150A07">
        <w:rPr>
          <w:rStyle w:val="FootnoteReference"/>
          <w:noProof/>
        </w:rPr>
        <w:footnoteReference w:id="21"/>
      </w:r>
      <w:r w:rsidRPr="00150A07">
        <w:rPr>
          <w:noProof/>
        </w:rPr>
        <w:t xml:space="preserve"> (il-paragrafu 66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76245C79" w14:textId="77777777" w:rsidTr="00AF03D0">
        <w:tc>
          <w:tcPr>
            <w:tcW w:w="7682" w:type="dxa"/>
            <w:shd w:val="clear" w:color="auto" w:fill="auto"/>
          </w:tcPr>
          <w:p w14:paraId="40EA434B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6BFC920E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Adegwatezza tal-iskema</w:t>
      </w:r>
    </w:p>
    <w:p w14:paraId="537C05EA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Spjega għaliex l-għajnuna reġjonali hija strument xieraq li jgħin fl-iżvilupp taż-żona</w:t>
      </w:r>
      <w:r w:rsidRPr="00150A07">
        <w:rPr>
          <w:rStyle w:val="FootnoteReference"/>
          <w:noProof/>
        </w:rPr>
        <w:footnoteReference w:id="22"/>
      </w:r>
      <w:r w:rsidRPr="00150A07">
        <w:rPr>
          <w:noProof/>
        </w:rPr>
        <w:t xml:space="preserve"> (il-paragrafu 80 tal-RAG):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72C09EB4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BD253" w14:textId="77777777" w:rsidR="00BE7218" w:rsidRPr="00150A07" w:rsidRDefault="00BE7218" w:rsidP="00AF03D0">
            <w:pPr>
              <w:rPr>
                <w:noProof/>
                <w:szCs w:val="24"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62955673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Meta l-iskema tkun speċifika għas-settur, uri l-vantaġġi ta’ dan l-istrument meta mqabbel ma’ skema multisettorjali jew ma’ għażliet ta’ politika oħrajn (il-paragrafu 81 tal-RAG):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418C3C6D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26BBF" w14:textId="77777777" w:rsidR="00BE7218" w:rsidRPr="00150A07" w:rsidRDefault="00BE7218" w:rsidP="00AF03D0">
            <w:pPr>
              <w:rPr>
                <w:noProof/>
                <w:szCs w:val="24"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3BF70AB9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Speċifika jekk l-għajnuna individwali taħt l-iskema notifikata hijiex se tingħata:</w:t>
      </w:r>
    </w:p>
    <w:p w14:paraId="0F632EFB" w14:textId="77777777" w:rsidR="00BE7218" w:rsidRPr="00150A07" w:rsidRDefault="008B21F8" w:rsidP="00BE7218">
      <w:pPr>
        <w:pStyle w:val="Normal127Indent127"/>
        <w:numPr>
          <w:ilvl w:val="0"/>
          <w:numId w:val="25"/>
        </w:numPr>
        <w:ind w:left="2160"/>
        <w:rPr>
          <w:noProof/>
        </w:rPr>
      </w:pPr>
      <w:sdt>
        <w:sdtPr>
          <w:rPr>
            <w:noProof/>
          </w:rPr>
          <w:id w:val="-864908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Awtomatikament, jekk il-kundizzjonijiet tal-iskema jiġu ssodisfati jew</w:t>
      </w:r>
    </w:p>
    <w:p w14:paraId="6B0E0981" w14:textId="77777777" w:rsidR="00BE7218" w:rsidRPr="00150A07" w:rsidRDefault="008B21F8" w:rsidP="00BE7218">
      <w:pPr>
        <w:pStyle w:val="Normal127Indent127"/>
        <w:numPr>
          <w:ilvl w:val="0"/>
          <w:numId w:val="25"/>
        </w:numPr>
        <w:ind w:left="2160"/>
        <w:rPr>
          <w:noProof/>
        </w:rPr>
      </w:pPr>
      <w:sdt>
        <w:sdtPr>
          <w:rPr>
            <w:noProof/>
          </w:rPr>
          <w:id w:val="-947620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Fuq bażi diskrezzjonali, wara deċiżjoni tal-awtoritajiet</w:t>
      </w:r>
    </w:p>
    <w:p w14:paraId="148F8E28" w14:textId="77777777" w:rsidR="00BE7218" w:rsidRPr="00150A07" w:rsidRDefault="00BE7218" w:rsidP="00BE7218">
      <w:pPr>
        <w:pStyle w:val="Text2"/>
        <w:ind w:left="1418"/>
        <w:rPr>
          <w:noProof/>
        </w:rPr>
      </w:pPr>
      <w:r w:rsidRPr="00150A07">
        <w:rPr>
          <w:noProof/>
        </w:rPr>
        <w:t xml:space="preserve">Ipprovdi r-referenza għad-dispożizzjoni rilevanti tal-bażi legali: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49464C9B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D4469" w14:textId="77777777" w:rsidR="00BE7218" w:rsidRPr="00150A07" w:rsidRDefault="00BE7218" w:rsidP="00AF03D0">
            <w:pPr>
              <w:rPr>
                <w:noProof/>
                <w:szCs w:val="24"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28F5B5B2" w14:textId="77777777" w:rsidR="00BE7218" w:rsidRPr="00150A07" w:rsidRDefault="00BE7218" w:rsidP="00BE7218">
      <w:pPr>
        <w:pStyle w:val="Text2"/>
        <w:ind w:left="1418"/>
        <w:rPr>
          <w:noProof/>
        </w:rPr>
      </w:pPr>
      <w:r w:rsidRPr="00150A07">
        <w:rPr>
          <w:noProof/>
        </w:rPr>
        <w:t>Jekk għajnuna għandha tingħata fuq bażi diskrezzjonali, ipprovdi deskrizzjoni qasira tal-kriterji użati u ehmeż kopja tad-dispożizzjonijiet amministrattivi tal-awtorità tal-għoti applikabbli għall-għoti tal-għajnuna: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6C7C849E" w14:textId="77777777" w:rsidTr="00AF03D0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829E7" w14:textId="77777777" w:rsidR="00BE7218" w:rsidRPr="00150A07" w:rsidRDefault="00BE7218" w:rsidP="00AF03D0">
            <w:pPr>
              <w:rPr>
                <w:noProof/>
                <w:szCs w:val="24"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7FF88B6B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lastRenderedPageBreak/>
        <w:t>Jekk l-għajnuna mill-iskema tingħata f’forom li jipprovdu vantaġġ pekunjarju dirett</w:t>
      </w:r>
      <w:r w:rsidRPr="00150A07">
        <w:rPr>
          <w:rStyle w:val="FootnoteReference"/>
          <w:noProof/>
        </w:rPr>
        <w:footnoteReference w:id="23"/>
      </w:r>
      <w:r w:rsidRPr="00150A07">
        <w:rPr>
          <w:noProof/>
        </w:rPr>
        <w:t>, uri għaliex forom oħrajn ta’ għajnuna li potenzjalment ifixklu anqas, bħas-self bil-quddiem li jitħallas lura jew forom ta’ għajnuna li huma bbażati fuq strumenti ta’ dejn jew ta’ ekwità</w:t>
      </w:r>
      <w:r w:rsidRPr="00150A07">
        <w:rPr>
          <w:rStyle w:val="FootnoteReference"/>
          <w:noProof/>
        </w:rPr>
        <w:footnoteReference w:id="24"/>
      </w:r>
      <w:r w:rsidRPr="00150A07">
        <w:rPr>
          <w:noProof/>
        </w:rPr>
        <w:t xml:space="preserve"> ma humiex adattati (il-paragrafu 85 tal-RAG):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71D89118" w14:textId="77777777" w:rsidTr="00AF03D0">
        <w:tc>
          <w:tcPr>
            <w:tcW w:w="7682" w:type="dxa"/>
            <w:shd w:val="clear" w:color="auto" w:fill="auto"/>
          </w:tcPr>
          <w:p w14:paraId="7D0988F8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1C43416E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Effett ta’ inċentiv u proporzjonalità tal-iskema</w:t>
      </w:r>
    </w:p>
    <w:p w14:paraId="5B31C83D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 xml:space="preserve">Ipprovdi referenza għad-dispożizzjonijiet rilevanti tal-bażi legali li jistipulaw li għajnuna individwali mogħtija lil intrapriżi kbar taħt l-iskema notifikata se tkun limitata għall-kostijiet netti żejda marbutin mal-implimentazzjoni tal-investiment fiż-żona kkonċernata, meta mqabbla max-xenarju kontrofattwali fin-nuqqas ta’ għajnuna, bl-użu tal-metodu spjegat fil-paragrafi 96 u 97 tal-RAG (il-paragrafu 95 tal-RAG).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4C0596EF" w14:textId="77777777" w:rsidTr="00AF03D0">
        <w:tc>
          <w:tcPr>
            <w:tcW w:w="7682" w:type="dxa"/>
            <w:shd w:val="clear" w:color="auto" w:fill="auto"/>
          </w:tcPr>
          <w:p w14:paraId="1FDBBD9B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0D7C2E70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Evitar ta’ effetti negattivi bla bżonn fuq il-kompetizzjoni u fuq il-kummerċ</w:t>
      </w:r>
    </w:p>
    <w:p w14:paraId="700E2978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Spjega kif id-distorsjonijiet tal-kompetizzjoni u tal-kummerċ ikkawżati mill-iskema ta’ għajnuna notifikata se jkunu limitati għall-minimu (il-paragrafu 120 tal-RAG)</w:t>
      </w:r>
      <w:r w:rsidRPr="00150A07">
        <w:rPr>
          <w:rStyle w:val="FootnoteReference"/>
          <w:noProof/>
        </w:rPr>
        <w:footnoteReference w:id="25"/>
      </w:r>
      <w:r w:rsidRPr="00150A07">
        <w:rPr>
          <w:noProof/>
        </w:rPr>
        <w:t>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1370F6B0" w14:textId="77777777" w:rsidTr="00AF03D0">
        <w:tc>
          <w:tcPr>
            <w:tcW w:w="7682" w:type="dxa"/>
            <w:shd w:val="clear" w:color="auto" w:fill="auto"/>
          </w:tcPr>
          <w:p w14:paraId="6A59D5EE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6FB46EA3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Ipprovdi referenzi għad-dispożizzjonijiet rilevanti fil-bażi legali li jistipulaw li meta tingħata l-għajnuna taħt l-iskema għal proġetti individwali, l-awtorità tal-għoti għandha tivverifika u tikkonferma li l-għajnuna ma tirriżultax f’effetti negattivi evidenti bħall-ħolqien ta’ kapaċità żejda f’suq li jkun sejjer lura f’termini assoluti (il-paragrafi 112 sa 115 tal-RAG), f’effetti kontra l-koeżjoni (il-paragrafi 116 u 117 tal-RAG) jew rilokazzjoni (il-paragrafi 118 u 121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BE7218" w:rsidRPr="00150A07" w14:paraId="02258D3A" w14:textId="77777777" w:rsidTr="00AF03D0">
        <w:tc>
          <w:tcPr>
            <w:tcW w:w="7682" w:type="dxa"/>
            <w:shd w:val="clear" w:color="auto" w:fill="auto"/>
          </w:tcPr>
          <w:p w14:paraId="780565F6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75A78B1C" w14:textId="6EB25BFB" w:rsidR="00BE7218" w:rsidRPr="00150A07" w:rsidRDefault="00BE7218" w:rsidP="00BE7218">
      <w:pPr>
        <w:pStyle w:val="Heading1"/>
        <w:rPr>
          <w:noProof/>
        </w:rPr>
      </w:pPr>
      <w:r w:rsidRPr="00150A07">
        <w:rPr>
          <w:noProof/>
        </w:rPr>
        <w:t>Trasparenza</w:t>
      </w:r>
    </w:p>
    <w:p w14:paraId="3790B559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noProof/>
        </w:rPr>
      </w:pPr>
      <w:r w:rsidRPr="00150A07">
        <w:rPr>
          <w:noProof/>
        </w:rPr>
        <w:t xml:space="preserve">Ikkonferma li t-test sħiħ tad-deċiżjoni għall-għoti ta’ għajnuna individwali jew tal-iskema ta’ </w:t>
      </w:r>
      <w:r w:rsidRPr="00150A07">
        <w:rPr>
          <w:noProof/>
          <w:color w:val="000000"/>
        </w:rPr>
        <w:t>għajnuna</w:t>
      </w:r>
      <w:r w:rsidRPr="00150A07">
        <w:rPr>
          <w:noProof/>
        </w:rPr>
        <w:t xml:space="preserve"> approvata u tad-dispożizzjonijiet ta’ implimentazzjoni tagħha, jew il-link għalih, u informazzjoni dwar kull għotja ta’ għajnuna individwali li taqbeż il-</w:t>
      </w:r>
      <w:r w:rsidRPr="00150A07">
        <w:rPr>
          <w:noProof/>
        </w:rPr>
        <w:lastRenderedPageBreak/>
        <w:t>EUR 100 000, se jiġi ppubblikat bl-użu tal-istruttura fl-Anness VIII fuq il-pjattaforma Transparency Award Modul (TAM) tal-Kummissjoni Ewropea, jew fuq sit web komprensiv dwar l-għajnuna mill-Istat, fil-livell nazzjonali jew reġjonali</w:t>
      </w:r>
      <w:r w:rsidRPr="00150A07">
        <w:rPr>
          <w:rStyle w:val="FootnoteReference"/>
          <w:noProof/>
        </w:rPr>
        <w:footnoteReference w:id="26"/>
      </w:r>
      <w:r w:rsidRPr="00150A07">
        <w:rPr>
          <w:noProof/>
        </w:rPr>
        <w:t>, fi żmien 6 xhur mid-data tal-għoti tal-għajnuna, jew, għal għajnuna fil-forma ta’ vantaġġi tat-taxxa, fi żmien sena mid-data li fiha tkun dovuta d-dikjarazzjoni tat-taxxa.</w:t>
      </w:r>
    </w:p>
    <w:p w14:paraId="4589F1C5" w14:textId="77777777" w:rsidR="00BE7218" w:rsidRPr="00150A07" w:rsidRDefault="00BE7218" w:rsidP="00BE7218">
      <w:pPr>
        <w:pStyle w:val="Normal127"/>
        <w:rPr>
          <w:noProof/>
        </w:rPr>
      </w:pPr>
      <w:r w:rsidRPr="00150A07">
        <w:rPr>
          <w:noProof/>
        </w:rPr>
        <w:tab/>
      </w:r>
      <w:sdt>
        <w:sdtPr>
          <w:rPr>
            <w:noProof/>
          </w:rPr>
          <w:id w:val="-1383553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50A07">
        <w:rPr>
          <w:noProof/>
        </w:rPr>
        <w:t xml:space="preserve"> Iva</w:t>
      </w:r>
    </w:p>
    <w:p w14:paraId="580CF59F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noProof/>
        </w:rPr>
      </w:pPr>
      <w:r w:rsidRPr="00150A07">
        <w:rPr>
          <w:noProof/>
        </w:rPr>
        <w:t xml:space="preserve">Ipprovdi </w:t>
      </w:r>
      <w:r w:rsidRPr="00150A07">
        <w:rPr>
          <w:noProof/>
          <w:color w:val="000000"/>
        </w:rPr>
        <w:t>referenzi</w:t>
      </w:r>
      <w:r w:rsidRPr="00150A07">
        <w:rPr>
          <w:noProof/>
        </w:rPr>
        <w:t xml:space="preserve"> għad-dispożizzjonijiet rilevanti fil-bażi legali li jistipulaw li l-awtorità tal-għoti għandha tippubblika fuq il-pjattaforma Transparency Award Module (TAM) jew fuq sit web komprensiv dwar l-għajnuna mill-Istat, fil-livell nazzjonali jew reġjonali</w:t>
      </w:r>
      <w:r w:rsidRPr="00150A07">
        <w:rPr>
          <w:rStyle w:val="FootnoteReference"/>
          <w:noProof/>
        </w:rPr>
        <w:footnoteReference w:id="27"/>
      </w:r>
      <w:r w:rsidRPr="00150A07">
        <w:rPr>
          <w:noProof/>
        </w:rPr>
        <w:t>, tal-anqas l-informazzjoni li ġejja dwar l-iskemi notifikati ta’ għajnuna mill-Istat: it-test tal-iskema ta’ għajnuna notifikata u d-dispożizzjonijiet ta’ implimentazzjoni tagħha, l-awtorità tal-għoti, il-benefiċjarji individwali, l-ammont ta’ għajnuna għal kull benefiċjarju u l-intensità tal-għajnuna. (il-paragrafu 136 tal-RAG)</w:t>
      </w:r>
    </w:p>
    <w:p w14:paraId="0437B38D" w14:textId="77777777" w:rsidR="00BE7218" w:rsidRPr="00150A07" w:rsidRDefault="00BE7218" w:rsidP="00BE7218">
      <w:pPr>
        <w:pStyle w:val="Normal127"/>
        <w:rPr>
          <w:noProof/>
        </w:rPr>
      </w:pPr>
      <w:r w:rsidRPr="00150A07">
        <w:rPr>
          <w:noProof/>
        </w:rPr>
        <w:t>Jekk dawn id-dispożizzjonijiet ma jkunux fis-seħħ, spjega għaliex le. Bl-istess mod, jekk dawn id-dispożizzjonijiet ma jkunux inklużi fil-bażi legali għall-iskema notifikata, iżda jkunu jinsabu f’dokumenti leġiżlattivi oħrajn, indika dan.</w:t>
      </w:r>
    </w:p>
    <w:tbl>
      <w:tblPr>
        <w:tblW w:w="0" w:type="auto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4"/>
      </w:tblGrid>
      <w:tr w:rsidR="00BE7218" w:rsidRPr="00150A07" w14:paraId="7681A292" w14:textId="77777777" w:rsidTr="00AF03D0">
        <w:tc>
          <w:tcPr>
            <w:tcW w:w="8674" w:type="dxa"/>
            <w:shd w:val="clear" w:color="auto" w:fill="auto"/>
          </w:tcPr>
          <w:p w14:paraId="67EFD314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6646A1FD" w14:textId="77777777" w:rsidR="00BE7218" w:rsidRPr="00150A07" w:rsidRDefault="00BE7218" w:rsidP="00BE7218">
      <w:pPr>
        <w:pStyle w:val="Normal127"/>
        <w:rPr>
          <w:noProof/>
        </w:rPr>
      </w:pPr>
      <w:r w:rsidRPr="00150A07">
        <w:rPr>
          <w:noProof/>
        </w:rPr>
        <w:t>Ipprovdi referenzi għad-dispożizzjonijiet rilevanti fil-bażi legali li jistipulaw li l-informazzjoni msemmija hawn fuq se tkun disponibbli għall-pubbliku ġenerali mingħajr restrizzjonijiet għal mill-anqas 10 snin mid-data tal-għoti tal-għajnuna. (il-paragrafu 140 tal-RAG)</w:t>
      </w:r>
    </w:p>
    <w:tbl>
      <w:tblPr>
        <w:tblW w:w="0" w:type="auto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4"/>
      </w:tblGrid>
      <w:tr w:rsidR="00BE7218" w:rsidRPr="00150A07" w14:paraId="1A30B125" w14:textId="77777777" w:rsidTr="00AF03D0">
        <w:tc>
          <w:tcPr>
            <w:tcW w:w="8674" w:type="dxa"/>
            <w:shd w:val="clear" w:color="auto" w:fill="auto"/>
          </w:tcPr>
          <w:p w14:paraId="3EC156EE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59089342" w14:textId="049BF929" w:rsidR="00BE7218" w:rsidRPr="00150A07" w:rsidRDefault="00BE7218" w:rsidP="00BE7218">
      <w:pPr>
        <w:pStyle w:val="Heading1"/>
        <w:rPr>
          <w:noProof/>
        </w:rPr>
      </w:pPr>
      <w:r w:rsidRPr="00150A07">
        <w:rPr>
          <w:noProof/>
        </w:rPr>
        <w:t xml:space="preserve">Evalwazzjoni, Rapportar u Monitoraġġ </w:t>
      </w:r>
    </w:p>
    <w:p w14:paraId="39063B5F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bCs/>
          <w:noProof/>
        </w:rPr>
      </w:pPr>
      <w:r w:rsidRPr="00150A07">
        <w:rPr>
          <w:b/>
          <w:noProof/>
        </w:rPr>
        <w:t>Evalwazzjoni</w:t>
      </w:r>
    </w:p>
    <w:p w14:paraId="3F2070AC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Indika n-numru SA tal-iskemi kollha ta’ għajnuna mill-Istat preċedenti u li għadhom għaddejjin li għandhom objettiv u żona ġeografika simili. (il-paragrafu 144 tal-RAG)</w:t>
      </w:r>
    </w:p>
    <w:tbl>
      <w:tblPr>
        <w:tblW w:w="0" w:type="auto"/>
        <w:tblInd w:w="10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7"/>
      </w:tblGrid>
      <w:tr w:rsidR="00BE7218" w:rsidRPr="00150A07" w14:paraId="450C88B7" w14:textId="77777777" w:rsidTr="00AF03D0">
        <w:tc>
          <w:tcPr>
            <w:tcW w:w="8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8F430F" w14:textId="77777777" w:rsidR="00BE7218" w:rsidRPr="00150A07" w:rsidRDefault="00BE7218" w:rsidP="00AF03D0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0CE5AE66" w14:textId="77777777" w:rsidR="00BE7218" w:rsidRPr="00150A07" w:rsidRDefault="00BE7218" w:rsidP="00BE7218">
      <w:pPr>
        <w:pStyle w:val="Normal127"/>
        <w:rPr>
          <w:noProof/>
        </w:rPr>
      </w:pPr>
      <w:r w:rsidRPr="00150A07">
        <w:rPr>
          <w:noProof/>
        </w:rPr>
        <w:t xml:space="preserve">Xi waħda mill-iskemi ta’ għajnuna mill-Istat elenkati hawn fuq ġiet evalwata </w:t>
      </w:r>
      <w:r w:rsidRPr="00150A07">
        <w:rPr>
          <w:i/>
          <w:noProof/>
        </w:rPr>
        <w:t>ex post</w:t>
      </w:r>
      <w:r w:rsidRPr="00150A07">
        <w:rPr>
          <w:noProof/>
        </w:rPr>
        <w:t>? (il-paragrafu 144 tal-RAG)</w:t>
      </w:r>
    </w:p>
    <w:p w14:paraId="62603154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209530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Iva</w:t>
      </w:r>
    </w:p>
    <w:p w14:paraId="1F515F26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249157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Le</w:t>
      </w:r>
    </w:p>
    <w:p w14:paraId="0FBC0368" w14:textId="77777777" w:rsidR="00BE7218" w:rsidRPr="00150A07" w:rsidRDefault="00BE7218" w:rsidP="00BE7218">
      <w:pPr>
        <w:pStyle w:val="Normal127"/>
        <w:rPr>
          <w:noProof/>
        </w:rPr>
      </w:pPr>
      <w:r w:rsidRPr="00150A07">
        <w:rPr>
          <w:noProof/>
        </w:rPr>
        <w:t>Jekk iva, ipprovdi sommarju qasir tar-riżultati ewlenin tal-evalwazzjoni(jiet)</w:t>
      </w:r>
      <w:r w:rsidRPr="00150A07">
        <w:rPr>
          <w:i/>
          <w:noProof/>
        </w:rPr>
        <w:t xml:space="preserve"> ex post</w:t>
      </w:r>
      <w:r w:rsidRPr="00150A07">
        <w:rPr>
          <w:noProof/>
        </w:rPr>
        <w:t xml:space="preserve"> (fejn rilevanti, b’referenza u b’link).</w:t>
      </w:r>
    </w:p>
    <w:tbl>
      <w:tblPr>
        <w:tblW w:w="0" w:type="auto"/>
        <w:tblInd w:w="10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7"/>
      </w:tblGrid>
      <w:tr w:rsidR="00BE7218" w:rsidRPr="00150A07" w14:paraId="1024D1D4" w14:textId="77777777" w:rsidTr="00AF03D0">
        <w:tc>
          <w:tcPr>
            <w:tcW w:w="8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DB7503" w14:textId="77777777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6F926E68" w14:textId="77777777" w:rsidR="00BE7218" w:rsidRPr="00150A07" w:rsidRDefault="00BE7218" w:rsidP="00BE7218">
      <w:pPr>
        <w:pStyle w:val="Normal127"/>
        <w:rPr>
          <w:noProof/>
        </w:rPr>
      </w:pPr>
      <w:r w:rsidRPr="00150A07">
        <w:rPr>
          <w:noProof/>
        </w:rPr>
        <w:t>Iddeskrivi kif ir-riżultati ta’ dawn l-evalwazzjonijiet tqiesu fit-tfassil tal-iskema l-ġdida.</w:t>
      </w:r>
    </w:p>
    <w:tbl>
      <w:tblPr>
        <w:tblW w:w="0" w:type="auto"/>
        <w:tblInd w:w="10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7"/>
      </w:tblGrid>
      <w:tr w:rsidR="00BE7218" w:rsidRPr="00150A07" w14:paraId="76717BDD" w14:textId="77777777" w:rsidTr="00AF03D0">
        <w:tc>
          <w:tcPr>
            <w:tcW w:w="8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A2750E" w14:textId="77777777" w:rsidR="00BE7218" w:rsidRPr="00150A07" w:rsidRDefault="00BE7218" w:rsidP="008B21F8">
            <w:pPr>
              <w:rPr>
                <w:noProof/>
              </w:rPr>
            </w:pPr>
            <w:r w:rsidRPr="00150A07">
              <w:rPr>
                <w:noProof/>
              </w:rPr>
              <w:t>…</w:t>
            </w:r>
          </w:p>
        </w:tc>
      </w:tr>
    </w:tbl>
    <w:p w14:paraId="7AA9CF0F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Indika jekk il-baġit tal-għajnuna mill-Istat tal-iskema jaqbiżx il-EUR 150 miljun fi kwalunkwe sena partikolari (il-paragrafu 143 tal-RAG):</w:t>
      </w:r>
    </w:p>
    <w:p w14:paraId="5F79635D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943351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Iva</w:t>
      </w:r>
    </w:p>
    <w:p w14:paraId="4EE5DCCC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918982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Le</w:t>
      </w:r>
    </w:p>
    <w:p w14:paraId="63545B2B" w14:textId="77777777" w:rsidR="00BE7218" w:rsidRPr="00150A07" w:rsidRDefault="00BE7218" w:rsidP="00BE7218">
      <w:pPr>
        <w:pStyle w:val="Text2"/>
        <w:rPr>
          <w:noProof/>
        </w:rPr>
      </w:pPr>
      <w:r w:rsidRPr="00150A07">
        <w:rPr>
          <w:noProof/>
        </w:rPr>
        <w:t>Indika jekk il-baġit tal-għajnuna mill-Istat tal-iskema jaqbiżx is-EUR 750 miljun tul il-perjodu kollu tal-iskema (jiġifieri t-tul tal-perjodu kkombinat tal-iskema u kwalunkwe skema ta’ qabel li jkopru objettiv u żona ġeografika simili, mill-1 ta’ Jannar 2022):</w:t>
      </w:r>
    </w:p>
    <w:p w14:paraId="363A7164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1616747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Iva</w:t>
      </w:r>
    </w:p>
    <w:p w14:paraId="7B1CCAF6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719355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Le</w:t>
      </w:r>
    </w:p>
    <w:p w14:paraId="1AA34411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Indika jekk l-iskema hijiex (il-paragrafu 143 tal-RAG):</w:t>
      </w:r>
    </w:p>
    <w:p w14:paraId="04770E08" w14:textId="77777777" w:rsidR="00BE7218" w:rsidRPr="00150A07" w:rsidRDefault="00BE7218" w:rsidP="00BE7218">
      <w:pPr>
        <w:ind w:left="1701" w:hanging="283"/>
        <w:rPr>
          <w:noProof/>
          <w:szCs w:val="24"/>
        </w:rPr>
      </w:pPr>
      <w:r w:rsidRPr="00150A07">
        <w:rPr>
          <w:noProof/>
        </w:rPr>
        <w:t>Skema li tinkludi karatteristiċi ġodda?</w:t>
      </w:r>
    </w:p>
    <w:p w14:paraId="6661F1D1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1332977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Iva</w:t>
      </w:r>
    </w:p>
    <w:p w14:paraId="5686BF82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721906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Le</w:t>
      </w:r>
    </w:p>
    <w:p w14:paraId="0A6DBD3D" w14:textId="77777777" w:rsidR="00BE7218" w:rsidRPr="00150A07" w:rsidRDefault="00BE7218" w:rsidP="00BE7218">
      <w:pPr>
        <w:ind w:left="1418"/>
        <w:rPr>
          <w:noProof/>
          <w:szCs w:val="24"/>
        </w:rPr>
      </w:pPr>
      <w:r w:rsidRPr="00150A07">
        <w:rPr>
          <w:noProof/>
        </w:rPr>
        <w:t>Skema fejn jista’ jiġi previst tibdil sinifikanti tas-suq, tat-teknoloġija jew regolatorju?</w:t>
      </w:r>
    </w:p>
    <w:p w14:paraId="2F018CED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1495136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Iva</w:t>
      </w:r>
    </w:p>
    <w:p w14:paraId="698829AD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12003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Le</w:t>
      </w:r>
    </w:p>
    <w:p w14:paraId="27B3B9ED" w14:textId="77777777" w:rsidR="00BE7218" w:rsidRPr="00150A07" w:rsidRDefault="00BE7218" w:rsidP="00BE7218">
      <w:pPr>
        <w:ind w:left="1843" w:hanging="425"/>
        <w:rPr>
          <w:noProof/>
          <w:szCs w:val="24"/>
        </w:rPr>
      </w:pPr>
      <w:r w:rsidRPr="00150A07">
        <w:rPr>
          <w:noProof/>
        </w:rPr>
        <w:t>Skema li għaliha hi prevista evalwazzjoni anke jekk il-kriterji ta’ hawn fuq f’5.1.2. u 5.1.3. ma japplikawx?</w:t>
      </w:r>
    </w:p>
    <w:p w14:paraId="34F0780A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2060281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Iva</w:t>
      </w:r>
    </w:p>
    <w:p w14:paraId="0839E14B" w14:textId="77777777" w:rsidR="00BE7218" w:rsidRPr="00150A07" w:rsidRDefault="008B21F8" w:rsidP="00BE7218">
      <w:pPr>
        <w:pStyle w:val="Tiret2"/>
        <w:numPr>
          <w:ilvl w:val="0"/>
          <w:numId w:val="31"/>
        </w:numPr>
        <w:rPr>
          <w:noProof/>
        </w:rPr>
      </w:pPr>
      <w:sdt>
        <w:sdtPr>
          <w:rPr>
            <w:noProof/>
          </w:rPr>
          <w:id w:val="-1829899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218"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="00BE7218" w:rsidRPr="00150A07">
        <w:rPr>
          <w:noProof/>
        </w:rPr>
        <w:t xml:space="preserve"> Le</w:t>
      </w:r>
    </w:p>
    <w:p w14:paraId="2F849C91" w14:textId="77777777" w:rsidR="00BE7218" w:rsidRPr="00150A07" w:rsidRDefault="00BE7218" w:rsidP="00BE7218">
      <w:pPr>
        <w:ind w:left="1418"/>
        <w:rPr>
          <w:b/>
          <w:noProof/>
        </w:rPr>
      </w:pPr>
      <w:r w:rsidRPr="00150A07">
        <w:rPr>
          <w:noProof/>
          <w:color w:val="000000"/>
        </w:rPr>
        <w:t>Jekk</w:t>
      </w:r>
      <w:r w:rsidRPr="00150A07">
        <w:rPr>
          <w:noProof/>
        </w:rPr>
        <w:t xml:space="preserve"> it-tweġiba</w:t>
      </w:r>
      <w:r w:rsidRPr="00150A07">
        <w:rPr>
          <w:noProof/>
          <w:color w:val="000000"/>
        </w:rPr>
        <w:t xml:space="preserve"> hija “Le” għall-mistoqsija 5.1.1. u “Iva” għal xi waħda mill-mistoqsijiet f’5.1.2 jew 5.1.3, l-iskema </w:t>
      </w:r>
      <w:r w:rsidRPr="00150A07">
        <w:rPr>
          <w:noProof/>
        </w:rPr>
        <w:t xml:space="preserve">għandha titqies għal evalwazzjoni </w:t>
      </w:r>
      <w:r w:rsidRPr="00150A07">
        <w:rPr>
          <w:i/>
          <w:noProof/>
        </w:rPr>
        <w:t>ex post</w:t>
      </w:r>
      <w:r w:rsidRPr="00150A07">
        <w:rPr>
          <w:noProof/>
        </w:rPr>
        <w:t xml:space="preserve"> (il-paragrafu 143 tal-RAG). Jekk dan ikun il-każ, </w:t>
      </w:r>
      <w:r w:rsidRPr="00150A07">
        <w:rPr>
          <w:noProof/>
          <w:color w:val="000000"/>
        </w:rPr>
        <w:t>wieġeb “Iva” għall-mistoqsija rilevanti fil-formola ta’ notifika ġenerali, indika l-perjodu tal-</w:t>
      </w:r>
      <w:r w:rsidRPr="00150A07">
        <w:rPr>
          <w:noProof/>
          <w:color w:val="000000"/>
        </w:rPr>
        <w:lastRenderedPageBreak/>
        <w:t>evalwazzjoni, u nnotifika l-abbozz tal-pjan ta’ evalwazzjoni fl-Anness I - Parti III.8</w:t>
      </w:r>
      <w:r w:rsidRPr="00150A07">
        <w:rPr>
          <w:rStyle w:val="FootnoteReference"/>
          <w:noProof/>
        </w:rPr>
        <w:footnoteReference w:id="28"/>
      </w:r>
      <w:r w:rsidRPr="00150A07">
        <w:rPr>
          <w:noProof/>
          <w:color w:val="000000"/>
        </w:rPr>
        <w:t xml:space="preserve">. </w:t>
      </w:r>
    </w:p>
    <w:p w14:paraId="0D77217F" w14:textId="77777777" w:rsidR="00BE7218" w:rsidRPr="00150A07" w:rsidRDefault="00BE7218" w:rsidP="00BE7218">
      <w:pPr>
        <w:pStyle w:val="NormalKop111"/>
        <w:numPr>
          <w:ilvl w:val="1"/>
          <w:numId w:val="22"/>
        </w:numPr>
        <w:tabs>
          <w:tab w:val="clear" w:pos="720"/>
          <w:tab w:val="clear" w:pos="1440"/>
          <w:tab w:val="clear" w:pos="1797"/>
        </w:tabs>
        <w:ind w:left="709" w:hanging="709"/>
        <w:rPr>
          <w:b/>
          <w:noProof/>
        </w:rPr>
      </w:pPr>
      <w:r w:rsidRPr="00150A07">
        <w:rPr>
          <w:b/>
          <w:noProof/>
        </w:rPr>
        <w:t>Rapportar u Monitoraġġ</w:t>
      </w:r>
    </w:p>
    <w:p w14:paraId="2E4CCF2B" w14:textId="77777777" w:rsidR="00BE7218" w:rsidRPr="00150A07" w:rsidRDefault="00BE7218" w:rsidP="00BE7218">
      <w:pPr>
        <w:pStyle w:val="NormalKop111"/>
        <w:numPr>
          <w:ilvl w:val="2"/>
          <w:numId w:val="22"/>
        </w:numPr>
        <w:tabs>
          <w:tab w:val="clear" w:pos="720"/>
          <w:tab w:val="clear" w:pos="1440"/>
          <w:tab w:val="clear" w:pos="1797"/>
        </w:tabs>
        <w:ind w:left="1418" w:hanging="698"/>
        <w:rPr>
          <w:noProof/>
        </w:rPr>
      </w:pPr>
      <w:r w:rsidRPr="00150A07">
        <w:rPr>
          <w:noProof/>
        </w:rPr>
        <w:t>Ikkonferma li se:</w:t>
      </w:r>
    </w:p>
    <w:p w14:paraId="53B469C7" w14:textId="77777777" w:rsidR="00BE7218" w:rsidRPr="00150A07" w:rsidRDefault="00BE7218" w:rsidP="00BE7218">
      <w:pPr>
        <w:pStyle w:val="Tiret0"/>
        <w:rPr>
          <w:noProof/>
        </w:rPr>
      </w:pPr>
      <w:r w:rsidRPr="00150A07">
        <w:rPr>
          <w:noProof/>
        </w:rPr>
        <w:t>tippreżenta rapporti annwali lill-Kummissjoni f’konformità mar-Regolament (UE) 2015/1589 u r-Regolament (KE) Nru 794/2004; u</w:t>
      </w:r>
    </w:p>
    <w:p w14:paraId="4B4AEA3C" w14:textId="77777777" w:rsidR="00BE7218" w:rsidRPr="00150A07" w:rsidRDefault="00BE7218" w:rsidP="00BE7218">
      <w:pPr>
        <w:pStyle w:val="Normal127"/>
        <w:ind w:left="1778"/>
        <w:rPr>
          <w:noProof/>
        </w:rPr>
      </w:pPr>
      <w:r w:rsidRPr="00150A07">
        <w:rPr>
          <w:noProof/>
        </w:rPr>
        <w:tab/>
      </w:r>
      <w:sdt>
        <w:sdtPr>
          <w:rPr>
            <w:noProof/>
          </w:rPr>
          <w:id w:val="-1014452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50A07">
        <w:rPr>
          <w:noProof/>
        </w:rPr>
        <w:t xml:space="preserve"> Iva</w:t>
      </w:r>
    </w:p>
    <w:p w14:paraId="1408CBB4" w14:textId="77777777" w:rsidR="00BE7218" w:rsidRPr="00150A07" w:rsidRDefault="00BE7218" w:rsidP="00BE7218">
      <w:pPr>
        <w:pStyle w:val="Tiret0"/>
        <w:numPr>
          <w:ilvl w:val="0"/>
          <w:numId w:val="29"/>
        </w:numPr>
        <w:rPr>
          <w:noProof/>
        </w:rPr>
      </w:pPr>
      <w:r w:rsidRPr="00150A07">
        <w:rPr>
          <w:noProof/>
        </w:rPr>
        <w:t>jinżammu rekords dettaljati għal mill-anqas 10 snin mid-data tal-għoti ta’ kwalunkwe għajnuna taħt l-iskema li jkun fihom l-informazzjoni u d-dokumentazzjoni ta’ sostenn meħtieġa sabiex jiġi stabbilit li l-kundizzjonijiet kollha ta’ kompatibbiltà huma ssodisfati, u li dawn ir-rekords jiġu pprovduti lill-Kummissjoni meta jintalbu.</w:t>
      </w:r>
    </w:p>
    <w:p w14:paraId="307B6BF1" w14:textId="77777777" w:rsidR="00BE7218" w:rsidRPr="00150A07" w:rsidRDefault="00BE7218" w:rsidP="00BE7218">
      <w:pPr>
        <w:pStyle w:val="Normal127"/>
        <w:ind w:left="1778"/>
        <w:rPr>
          <w:noProof/>
        </w:rPr>
      </w:pPr>
      <w:r w:rsidRPr="00150A07">
        <w:rPr>
          <w:noProof/>
        </w:rPr>
        <w:tab/>
      </w:r>
      <w:sdt>
        <w:sdtPr>
          <w:rPr>
            <w:noProof/>
          </w:rPr>
          <w:id w:val="47996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50A07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150A07">
        <w:rPr>
          <w:noProof/>
        </w:rPr>
        <w:t xml:space="preserve"> Iva</w:t>
      </w:r>
    </w:p>
    <w:p w14:paraId="46DD43B3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F8DF7" w14:textId="77777777" w:rsidR="00BE7218" w:rsidRDefault="00BE7218" w:rsidP="00BE7218">
      <w:pPr>
        <w:spacing w:before="0" w:after="0"/>
      </w:pPr>
      <w:r>
        <w:separator/>
      </w:r>
    </w:p>
  </w:endnote>
  <w:endnote w:type="continuationSeparator" w:id="0">
    <w:p w14:paraId="0E0BAA80" w14:textId="77777777" w:rsidR="00BE7218" w:rsidRDefault="00BE7218" w:rsidP="00BE72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89219" w14:textId="77777777" w:rsidR="00BE7218" w:rsidRDefault="00BE72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223D" w14:textId="7B3B2687" w:rsidR="00BE7218" w:rsidRDefault="00BE7218" w:rsidP="00BE7218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EB73" w14:textId="77777777" w:rsidR="00BE7218" w:rsidRDefault="00BE72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8AEA6" w14:textId="77777777" w:rsidR="00BE7218" w:rsidRDefault="00BE7218" w:rsidP="00BE7218">
      <w:pPr>
        <w:spacing w:before="0" w:after="0"/>
      </w:pPr>
      <w:r>
        <w:separator/>
      </w:r>
    </w:p>
  </w:footnote>
  <w:footnote w:type="continuationSeparator" w:id="0">
    <w:p w14:paraId="734E3C23" w14:textId="77777777" w:rsidR="00BE7218" w:rsidRDefault="00BE7218" w:rsidP="00BE7218">
      <w:pPr>
        <w:spacing w:before="0" w:after="0"/>
      </w:pPr>
      <w:r>
        <w:continuationSeparator/>
      </w:r>
    </w:p>
  </w:footnote>
  <w:footnote w:id="1">
    <w:p w14:paraId="09E8D532" w14:textId="77777777" w:rsidR="00BE7218" w:rsidRPr="00AF634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 xml:space="preserve">Il-Linji Gwida dwar l-għajnuna reġjonali mill-Istat (ĠU C </w:t>
      </w:r>
      <w:r w:rsidRPr="008B21F8">
        <w:rPr>
          <w:rStyle w:val="Emphasis"/>
          <w:i w:val="0"/>
          <w:iCs w:val="0"/>
        </w:rPr>
        <w:t>153, 29.4.2021, p. 1)</w:t>
      </w:r>
      <w:r>
        <w:rPr>
          <w:i/>
        </w:rPr>
        <w:t>.</w:t>
      </w:r>
    </w:p>
  </w:footnote>
  <w:footnote w:id="2">
    <w:p w14:paraId="44478E12" w14:textId="1F4EF58C" w:rsidR="00BE7218" w:rsidRPr="008B21F8" w:rsidRDefault="00BE7218" w:rsidP="00BE7218">
      <w:pPr>
        <w:pStyle w:val="FootnoteText"/>
        <w:tabs>
          <w:tab w:val="left" w:pos="284"/>
        </w:tabs>
        <w:spacing w:after="120"/>
        <w:ind w:left="284" w:hanging="284"/>
        <w:rPr>
          <w:iCs/>
        </w:rPr>
      </w:pPr>
      <w:r>
        <w:rPr>
          <w:rStyle w:val="FootnoteReference"/>
        </w:rPr>
        <w:footnoteRef/>
      </w:r>
      <w:r>
        <w:tab/>
        <w:t>Ir-Regolament tal-Kummissjoni (UE) Nru 651/2014 tas-17 ta’ Ġunju 2014 li jiddikjara li ċerti kategoriji ta’ għajnuna huma kompatibbli mas-suq intern skont l-Artikoli 107 u 108 tat-Trattat</w:t>
      </w:r>
      <w:r w:rsidR="008B21F8">
        <w:t xml:space="preserve"> (</w:t>
      </w:r>
      <w:r w:rsidRPr="008B21F8">
        <w:rPr>
          <w:rStyle w:val="Emphasis"/>
          <w:i w:val="0"/>
        </w:rPr>
        <w:t>ĠU L 187, 26.6.2014, p. 1,</w:t>
      </w:r>
      <w:r>
        <w:rPr>
          <w:rStyle w:val="Emphasis"/>
        </w:rPr>
        <w:t xml:space="preserve"> </w:t>
      </w:r>
      <w:r>
        <w:t>ELI: </w:t>
      </w:r>
      <w:hyperlink r:id="rId1" w:tooltip="Aċċess għal dan id-dokument permezz tal-URI tal-ELI tiegħu." w:history="1">
        <w:r>
          <w:rPr>
            <w:rStyle w:val="Hyperlink"/>
          </w:rPr>
          <w:t>http://data.europa.eu/eli/reg/2014/651/oj</w:t>
        </w:r>
      </w:hyperlink>
      <w:r w:rsidR="008B21F8">
        <w:rPr>
          <w:iCs/>
        </w:rPr>
        <w:t>).</w:t>
      </w:r>
    </w:p>
  </w:footnote>
  <w:footnote w:id="3">
    <w:p w14:paraId="08221724" w14:textId="77777777" w:rsidR="00BE7218" w:rsidRPr="00E4500B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 xml:space="preserve">Ir-Regolament tal-Kummissjoni (UE) 2023/2831 tat-13 ta’ Diċembru 2023 dwar l-applikazzjoni tal-Artikoli 107 u 108 tat-Trattat dwar il-Funzjonament tal-Unjoni Ewropea għall-għajnuna </w:t>
      </w:r>
      <w:r>
        <w:rPr>
          <w:i/>
          <w:iCs/>
        </w:rPr>
        <w:t>de minimis</w:t>
      </w:r>
      <w:r>
        <w:t xml:space="preserve"> (ĠU L, 2023/2831, 15.12.2023, ELI: </w:t>
      </w:r>
      <w:hyperlink r:id="rId2" w:tgtFrame="_blank" w:tooltip="Aċċess għal dan id-dokument permezz tal-URI tal-ELI tiegħu." w:history="1">
        <w:r>
          <w:rPr>
            <w:rStyle w:val="Hyperlink"/>
          </w:rPr>
          <w:t>http://data.europa.eu/eli/reg/2023/2831/oj</w:t>
        </w:r>
      </w:hyperlink>
      <w:r>
        <w:t xml:space="preserve"> ). </w:t>
      </w:r>
    </w:p>
  </w:footnote>
  <w:footnote w:id="4">
    <w:p w14:paraId="1EDE8850" w14:textId="77777777" w:rsidR="00BE7218" w:rsidRPr="00EF64F0" w:rsidRDefault="00BE7218" w:rsidP="00BE7218">
      <w:pPr>
        <w:pStyle w:val="FootnoteText"/>
        <w:tabs>
          <w:tab w:val="left" w:pos="284"/>
        </w:tabs>
        <w:spacing w:after="120"/>
        <w:ind w:left="284" w:hanging="284"/>
        <w:rPr>
          <w:color w:val="000000"/>
        </w:rPr>
      </w:pPr>
      <w:r>
        <w:rPr>
          <w:rStyle w:val="FootnoteReference"/>
        </w:rPr>
        <w:footnoteRef/>
      </w:r>
      <w:r>
        <w:tab/>
      </w:r>
      <w:r>
        <w:rPr>
          <w:color w:val="000000"/>
        </w:rPr>
        <w:t>Kif definit fil-Linji Gwida dwar l-għajnuna mill-Istat għas-salvataġġ u r-ristrutturar tal-impriżi mhux finanzjarji f’diffikultà (ĠU C 249, 31.7.2014, p. 1).</w:t>
      </w:r>
    </w:p>
  </w:footnote>
  <w:footnote w:id="5">
    <w:p w14:paraId="5A201C6F" w14:textId="77777777" w:rsidR="00BE7218" w:rsidRPr="00EF64F0" w:rsidRDefault="00BE7218" w:rsidP="00BE7218">
      <w:pPr>
        <w:pStyle w:val="FootnoteText"/>
        <w:tabs>
          <w:tab w:val="left" w:pos="284"/>
        </w:tabs>
        <w:spacing w:after="120"/>
        <w:ind w:left="284" w:hanging="284"/>
        <w:rPr>
          <w:color w:val="000000"/>
        </w:rPr>
      </w:pPr>
      <w:r>
        <w:rPr>
          <w:rStyle w:val="FootnoteReference"/>
        </w:rPr>
        <w:footnoteRef/>
      </w:r>
      <w:r>
        <w:tab/>
      </w:r>
      <w:r>
        <w:rPr>
          <w:color w:val="000000"/>
        </w:rPr>
        <w:t>Kif definit fl-Anness VI tal-RAG.</w:t>
      </w:r>
    </w:p>
  </w:footnote>
  <w:footnote w:id="6">
    <w:p w14:paraId="1CEFB115" w14:textId="77777777" w:rsidR="00BE7218" w:rsidRPr="00DB5B5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“Linjite” tfisser linjite ta’ grad baxx C jew ortolinjite u linjite ta’ grad baxx B jew metalinjite kif definit mis-sistema ta’ kodifikazzjoni internazzjonali għall-faħam stabbilita mill-Kummissjoni Ekonomika għall-Ewropa tan-Nazzjonijiet Uniti.</w:t>
      </w:r>
    </w:p>
  </w:footnote>
  <w:footnote w:id="7">
    <w:p w14:paraId="3269358B" w14:textId="77777777" w:rsidR="00BE7218" w:rsidRPr="00DB5B5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“Faħam” tfisser faħam ta’ grad għoli, ta’ grad medju u ta’ grad baxx tal-kategorija A u B kif definit mis-sistema ta’ kodifikazzjoni internazzjonali għall-faħam stabbilita mill-Kummissjoni Ekonomika għall-Ewropa tan-Nazzjonijiet Uniti, u kif iċċarat fid-deċiżjoni tal-Kunsill tal-10 ta’ Diċembru 2010 dwar Għajnuna mill-Istat biex jiġi ffaċilitat l-għeluq ta’ minjieri tal-faħam li mhumiex kompettitivi (ĠU L 336, 21.12.2010, p. 24).</w:t>
      </w:r>
    </w:p>
  </w:footnote>
  <w:footnote w:id="8">
    <w:p w14:paraId="0937D0D8" w14:textId="77777777" w:rsidR="00BE7218" w:rsidRPr="00DB5B5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Kif kopert mir-Regolament (UE) Nru 1379/2013 tal-Parlament Ewropew u tal-Kunsill tal-11 ta’ Diċembru 2013 dwar l-organizzazzjoni komuni tas-swieq fil-prodotti tas-sajd u tal-akkwakultura, li jemenda r-Regolamenti tal-Kunsill (KE) Nru 1184/2006 u (KE) Nru 1224/2009 u li jħassar ir-Regolament tal-Kunsill (KE) Nru 104/2000 (ĠU L 354, 28.12.2013, p. 1).</w:t>
      </w:r>
    </w:p>
  </w:footnote>
  <w:footnote w:id="9">
    <w:p w14:paraId="3D539C8D" w14:textId="77777777" w:rsidR="00BE7218" w:rsidRPr="00DB5B5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L-għajnuna mill-Istat għall-produzzjoni primarja, għall-ipproċessar u għall-kummerċjalizzazzjoni ta’ prodotti agrikoli li jirriżultaw fil-prodotti agrikoli elenkati fl-Anness I tat-Trattat u għall-forestrija hija soġġetta għal regoli stabbiliti fil-Linji Gwida għall-għajnuna mill-Istat fis-settur tal-agrikoltura (ĠU C 204, 1.7.2014, p. 1).</w:t>
      </w:r>
    </w:p>
  </w:footnote>
  <w:footnote w:id="10">
    <w:p w14:paraId="4BA99BE6" w14:textId="77777777" w:rsidR="00BE7218" w:rsidRPr="005C73FC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Il-Linji Gwida dwar l-Għajnuna Reġjonali japplikaw għal skemi ta’ għajnuna li jappoġġaw attivitajiet li ma jaqgħux fil-kamp ta’ applikazzjoni tal-Artikolu 42 tat-Trattat iżda li huma kofinanzjati mill-Fond Agrikolu Ewropew għall-Iżvilupp Rurali (FAEŻR), jew li qegħdin jingħataw bħala finanzjament nazzjonali addizzjonali għal dawn il-miżuri kofinanzjati, sakemm ir-regoli settorjali ma jipprevedux mod ieħor.</w:t>
      </w:r>
    </w:p>
  </w:footnote>
  <w:footnote w:id="11">
    <w:p w14:paraId="44CE95C1" w14:textId="77777777" w:rsidR="00BE7218" w:rsidRPr="003F69C7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Trasport tfisser it-trasport ta’ passiġġieri permezz ta’ inġenji tal-ajru, it-trasport marittimu, bit-triq, bil-ferrovija u permezz ta’ passaġġi fuq l-ilma interni jew servizzi ta’ trasport ta’ merkanzija b’kiri jew b’kumpens. L-infrastruttura tat-trasport koperta minn linji gwida speċifiċi, bħall-ajruporti, ukoll hija eskluża minn dawn il-Linji Gwida (ara l-Komunikazzjoni tal-Kummissjoni — Linji Gwida dwar l-għajnuna mill-Istat għall-ajruporti u l-linji tal-ajru (ĠU C 99, 4.4.2014, p. 3).</w:t>
      </w:r>
    </w:p>
  </w:footnote>
  <w:footnote w:id="12">
    <w:p w14:paraId="4453E6BA" w14:textId="77777777" w:rsidR="00BE7218" w:rsidRPr="00DB5B5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Komunikazzjoni tal-Kummissjoni — Linji Gwida tal-UE għall-applikazzjoni tar-regoli dwar l-għajnuna mill-Istat b’rabta mal-implimentazzjoni rapida tan-netwerks tal-broadband (ĠU C 25, 26.1.2013, p. 1).</w:t>
      </w:r>
    </w:p>
  </w:footnote>
  <w:footnote w:id="13">
    <w:p w14:paraId="61C750B3" w14:textId="77777777" w:rsidR="00BE7218" w:rsidRPr="003F69C7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Il-Kummissjoni se tivvaluta l-kompatibbiltà tal-għajnuna mill-Istat għas-settur tal-enerġija abbażi tal-Linji Gwida dwar l-għajnuna mill-Istat għall-protezzjoni ambjentali u l-enerġija 2014-2020 (ĠU C 200, 28.6.2014, p. 1).</w:t>
      </w:r>
    </w:p>
  </w:footnote>
  <w:footnote w:id="14">
    <w:p w14:paraId="366FC8C8" w14:textId="77777777" w:rsidR="00BE7218" w:rsidRPr="00527F99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“SMEs” tfisser intrapriżi li jissodisfaw il-kundizzjonijiet stipulati fir-Rakkomandazzjoni tal-Kummissjoni tas-6 ta’ Mejju 2003 dwar id-definizzjoni tal-intrapriżi mikro, żgħar u ta’ daqs medju (ĠU L 124, 20.5.2003, p. 36).</w:t>
      </w:r>
    </w:p>
  </w:footnote>
  <w:footnote w:id="15">
    <w:p w14:paraId="79766DC1" w14:textId="77777777" w:rsidR="00BE7218" w:rsidRPr="0056721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L-akkwist uniku tal-ishma ta’ impriża ma jikkwalifikax bħala investiment inizjali.</w:t>
      </w:r>
    </w:p>
  </w:footnote>
  <w:footnote w:id="16">
    <w:p w14:paraId="4F5D81CB" w14:textId="77777777" w:rsidR="00BE7218" w:rsidRPr="008A59EC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“L-istess attività jew waħda simili” tfisser attività li taqa’ taħt l-istess kategorija (kodiċi numeriku b’erba’ ċifri) tal-klassifikazzjoni statistika tal-attivitajiet ekonomiċi NACE Reviżjoni 2.</w:t>
      </w:r>
    </w:p>
  </w:footnote>
  <w:footnote w:id="17">
    <w:p w14:paraId="51492C2D" w14:textId="77777777" w:rsidR="00BE7218" w:rsidRPr="000D0DA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L-akkwist uniku tal-ishma ta’ impriża ma jikkwalifikax bħala investiment inizjali li joħloq attività ekonomika ġdida.</w:t>
      </w:r>
    </w:p>
  </w:footnote>
  <w:footnote w:id="18">
    <w:p w14:paraId="7F30959B" w14:textId="77777777" w:rsidR="00BE7218" w:rsidRPr="00D35343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Din id-dispożizzjoni ma għandhiex għalfejn tapplika għal SMEs jew fil-każ ta’ akkwist ta’ stabbiliment.</w:t>
      </w:r>
    </w:p>
  </w:footnote>
  <w:footnote w:id="19">
    <w:p w14:paraId="05E864A8" w14:textId="77777777" w:rsidR="00BE7218" w:rsidRPr="006D6383" w:rsidRDefault="00BE7218" w:rsidP="00BE7218">
      <w:pPr>
        <w:pStyle w:val="FootnoteText"/>
        <w:tabs>
          <w:tab w:val="left" w:pos="284"/>
        </w:tabs>
        <w:ind w:left="284" w:hanging="284"/>
      </w:pPr>
      <w:r>
        <w:rPr>
          <w:rStyle w:val="FootnoteReference"/>
        </w:rPr>
        <w:footnoteRef/>
      </w:r>
      <w:r>
        <w:tab/>
        <w:t>Il-paragrafu 34 tal-RAG jipprevedi li l-assi intanġibbli li jistgħu jitqiesu għall-kalkolu tal-kostijiet ta’ investiment iridu jibqgħu assoċjati maż-żona kkonċernata u ma għandhomx jiġu ttrasferiti għal żoni oħrajn. Għal dan il-għan, l-assi intanġibbli jridu jissodisfaw il-kundizzjonijiet li ġejjin:</w:t>
      </w:r>
    </w:p>
    <w:p w14:paraId="3F6A328F" w14:textId="77777777" w:rsidR="00BE7218" w:rsidRDefault="00BE7218" w:rsidP="00BE7218">
      <w:pPr>
        <w:pStyle w:val="FootnoteText"/>
        <w:numPr>
          <w:ilvl w:val="0"/>
          <w:numId w:val="23"/>
        </w:numPr>
        <w:tabs>
          <w:tab w:val="left" w:pos="709"/>
        </w:tabs>
        <w:spacing w:before="0"/>
        <w:ind w:left="709" w:hanging="425"/>
      </w:pPr>
      <w:r>
        <w:t>iridu jintużaw esklussivament fl-istabbiliment li jirċievi l-għajnuna;</w:t>
      </w:r>
    </w:p>
    <w:p w14:paraId="68227442" w14:textId="77777777" w:rsidR="00BE7218" w:rsidRDefault="00BE7218" w:rsidP="00BE7218">
      <w:pPr>
        <w:pStyle w:val="FootnoteText"/>
        <w:numPr>
          <w:ilvl w:val="0"/>
          <w:numId w:val="23"/>
        </w:numPr>
        <w:tabs>
          <w:tab w:val="left" w:pos="709"/>
        </w:tabs>
        <w:spacing w:before="0"/>
        <w:ind w:left="709" w:hanging="425"/>
      </w:pPr>
      <w:r>
        <w:t>iridu jkunu amortizzabbli;</w:t>
      </w:r>
    </w:p>
    <w:p w14:paraId="0CD2FFCA" w14:textId="77777777" w:rsidR="00BE7218" w:rsidRDefault="00BE7218" w:rsidP="00BE7218">
      <w:pPr>
        <w:pStyle w:val="FootnoteText"/>
        <w:numPr>
          <w:ilvl w:val="0"/>
          <w:numId w:val="23"/>
        </w:numPr>
        <w:tabs>
          <w:tab w:val="left" w:pos="709"/>
        </w:tabs>
        <w:spacing w:before="0"/>
        <w:ind w:left="709" w:hanging="425"/>
      </w:pPr>
      <w:r>
        <w:t>iridu jinxtraw skont kundizzjonijiet tas-suq minn partijiet terzi mhux relatati mal-akkwirent;</w:t>
      </w:r>
    </w:p>
    <w:p w14:paraId="15ABACDF" w14:textId="77777777" w:rsidR="00BE7218" w:rsidRPr="006D6383" w:rsidRDefault="00BE7218" w:rsidP="00BE7218">
      <w:pPr>
        <w:pStyle w:val="FootnoteText"/>
        <w:numPr>
          <w:ilvl w:val="0"/>
          <w:numId w:val="23"/>
        </w:numPr>
        <w:tabs>
          <w:tab w:val="left" w:pos="709"/>
        </w:tabs>
        <w:spacing w:before="0" w:after="120"/>
        <w:ind w:left="709" w:hanging="425"/>
      </w:pPr>
      <w:r>
        <w:t>iridu jiġu inklużi fl-assi tal-impriża li tkun qiegħda tirċievi l-għajnuna u jridu jibqgħu assoċjati mal-proġett li għalih tkun ingħatat l-għajnuna għal mill-anqas 5 snin (3 snin għall-SMEs).</w:t>
      </w:r>
    </w:p>
  </w:footnote>
  <w:footnote w:id="20">
    <w:p w14:paraId="76139B3C" w14:textId="77777777" w:rsidR="00BE7218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 xml:space="preserve">Din il-mistoqsija ma tapplikax għal self sussidjat, self pubbliku ta’ kapital ta’ ekwità jew parteċipazzjonijiet pubbliċi li ma jissodisfawx il-prinċipju ta’ investitur tas-suq, garanziji mill-Istat li fihom elementi ta’ għajnuna, jew appoġġ pubbliku mogħti fil-kamp ta’ applikazzjoni tar-regola </w:t>
      </w:r>
      <w:r>
        <w:rPr>
          <w:i/>
        </w:rPr>
        <w:t>de minimis</w:t>
      </w:r>
      <w:r>
        <w:t>.</w:t>
      </w:r>
    </w:p>
  </w:footnote>
  <w:footnote w:id="21">
    <w:p w14:paraId="69373DC9" w14:textId="77777777" w:rsidR="00BE7218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Xenarju kontrofattwali jitqies kredibbli jekk ikun ġenwin u jekk ikun jirrigwarda l-fatturi deċiżjonali prevalenti fiż-żmien li fih il-benefiċjarju jieħu d-deċiżjoni dwar l-investiment.</w:t>
      </w:r>
    </w:p>
  </w:footnote>
  <w:footnote w:id="22">
    <w:p w14:paraId="074A44EE" w14:textId="77777777" w:rsidR="00BE7218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 xml:space="preserve">Għal dan l-għan tista’ ssir referenza, fost l-oħrajn, għal valutazzjonijiet tal-impatt tal-iskema proposta jew evalwazzjonijiet </w:t>
      </w:r>
      <w:r>
        <w:rPr>
          <w:i/>
        </w:rPr>
        <w:t>ex post</w:t>
      </w:r>
      <w:r>
        <w:t xml:space="preserve"> ta’ skemi simili.</w:t>
      </w:r>
    </w:p>
  </w:footnote>
  <w:footnote w:id="23">
    <w:p w14:paraId="47430A12" w14:textId="77777777" w:rsidR="00BE7218" w:rsidRPr="00F800E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Pereżempju, għotjiet diretti, eżenzjonijiet jew tnaqqis tat-taxxi, sigurtà soċjali jew imposti obbligatorji oħrajn, jew il-provvista ta’ art, prodotti jew servizzi bi prezzijiet favorevoli, eċċ.</w:t>
      </w:r>
    </w:p>
  </w:footnote>
  <w:footnote w:id="24">
    <w:p w14:paraId="71E62370" w14:textId="77777777" w:rsidR="00BE7218" w:rsidRPr="001D303A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Pereżempju, self b’rati tal-imgħax baxxi jew tnaqqis tal-imgħax, garanziji tal-Istat, ix-xiri ta’ parteċipazzjoni azzjonarja jew injezzjoni alternattiva ta’ kapital b’termini favorevoli.</w:t>
      </w:r>
    </w:p>
  </w:footnote>
  <w:footnote w:id="25">
    <w:p w14:paraId="24EA63CB" w14:textId="77777777" w:rsidR="00BE7218" w:rsidRPr="004E27C0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 xml:space="preserve">Sabiex il-Kummissjoni tkun tista’ tivvaluta l-effetti negattivi potenzjali, l-Istat Membru jista’ jippreżenta kwalunkwe valutazzjoni tal-impatt li tkun għad-dispożizzjoni tiegħu kif ukoll evalwazzjonijiet </w:t>
      </w:r>
      <w:r>
        <w:rPr>
          <w:i/>
        </w:rPr>
        <w:t>ex post</w:t>
      </w:r>
      <w:r>
        <w:t xml:space="preserve"> li jkunu saru għal skemi simili preċedenti.</w:t>
      </w:r>
    </w:p>
  </w:footnote>
  <w:footnote w:id="26">
    <w:p w14:paraId="4F032FFF" w14:textId="77777777" w:rsidR="00BE7218" w:rsidRPr="004A0583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Kif definit fl-Anness III tar-Regolament tal-Kummissjoni (UE) Nru 651/2014 tas-17 ta’ Ġunju 2014 li jiddikjara li ċerti kategoriji ta’ għajnuna huma kompatibbli mas-suq intern skont l-Artikoli 107 u 108 tat-Trattat.</w:t>
      </w:r>
    </w:p>
  </w:footnote>
  <w:footnote w:id="27">
    <w:p w14:paraId="48552DE4" w14:textId="77777777" w:rsidR="00BE7218" w:rsidRPr="004A0583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>Kif definit fl-Anness III tar-Regolament tal-Kummissjoni (UE) Nru 651/2014 tas-17 ta’ Ġunju 2014 li jiddikjara li ċerti kategoriji ta’ għajnuna huma kompatibbli mas-suq intern skont l-Artikoli 107 u 108 tat-Trattat.</w:t>
      </w:r>
    </w:p>
  </w:footnote>
  <w:footnote w:id="28">
    <w:p w14:paraId="06CE5F05" w14:textId="77777777" w:rsidR="00BE7218" w:rsidRDefault="00BE7218" w:rsidP="00BE7218">
      <w:pPr>
        <w:pStyle w:val="FootnoteText"/>
        <w:tabs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 xml:space="preserve">Għal gwida ara d-dokument ta’ gwida metodoloġika għal evalwazzjoni fil-qasam tal-għajnuna mill-Istat: </w:t>
      </w:r>
      <w:hyperlink r:id="rId3" w:history="1">
        <w:r>
          <w:rPr>
            <w:rStyle w:val="Hyperlink"/>
          </w:rPr>
          <w:t>https://competition-policy.ec.europa.eu/system/files/2021-04/modernisation_evaluation_methodology_en.pdf</w:t>
        </w:r>
      </w:hyperlink>
      <w:r>
        <w:t xml:space="preserve">.  Il-pjan ta’ evalwazzjoni (Anness I – Parti III.8) għandu jiġi ppreżentat billi tintuża l-formola disponibbli fuq: </w:t>
      </w:r>
      <w:hyperlink r:id="rId4" w:history="1">
        <w:r>
          <w:rPr>
            <w:rStyle w:val="Hyperlink"/>
          </w:rPr>
          <w:t>https://competition-policy.ec.europa.eu/state-aid/legislation/forms-notifications-and-reporting_en</w:t>
        </w:r>
      </w:hyperlink>
      <w:r>
        <w:t xml:space="preserve">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2A0EA" w14:textId="77777777" w:rsidR="00BE7218" w:rsidRDefault="00BE72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91DA" w14:textId="77777777" w:rsidR="00BE7218" w:rsidRDefault="00BE72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DA348" w14:textId="77777777" w:rsidR="00BE7218" w:rsidRDefault="00BE72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0CAA14D2"/>
    <w:multiLevelType w:val="hybridMultilevel"/>
    <w:tmpl w:val="E9BC5A84"/>
    <w:lvl w:ilvl="0" w:tplc="80BAE652">
      <w:start w:val="1"/>
      <w:numFmt w:val="bullet"/>
      <w:lvlText w:val="–"/>
      <w:lvlJc w:val="left"/>
      <w:pPr>
        <w:ind w:left="2880" w:hanging="360"/>
      </w:pPr>
      <w:rPr>
        <w:rFonts w:ascii="Times New Roman" w:hAnsi="Times New Roman" w:hint="default"/>
      </w:rPr>
    </w:lvl>
    <w:lvl w:ilvl="1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3DF00FE"/>
    <w:multiLevelType w:val="hybridMultilevel"/>
    <w:tmpl w:val="69EC16C2"/>
    <w:lvl w:ilvl="0" w:tplc="1AD482E8">
      <w:start w:val="1"/>
      <w:numFmt w:val="decimal"/>
      <w:lvlText w:val="(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28632F6"/>
    <w:multiLevelType w:val="hybridMultilevel"/>
    <w:tmpl w:val="BA20ECA2"/>
    <w:lvl w:ilvl="0" w:tplc="C92298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0BAE652">
      <w:start w:val="1"/>
      <w:numFmt w:val="bullet"/>
      <w:lvlText w:val="–"/>
      <w:lvlJc w:val="left"/>
      <w:pPr>
        <w:ind w:left="1570" w:hanging="360"/>
      </w:pPr>
      <w:rPr>
        <w:rFonts w:ascii="Times New Roman" w:hAnsi="Times New Roman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1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2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6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18"/>
  </w:num>
  <w:num w:numId="2" w16cid:durableId="70546065">
    <w:abstractNumId w:val="13"/>
  </w:num>
  <w:num w:numId="3" w16cid:durableId="1999067676">
    <w:abstractNumId w:val="17"/>
  </w:num>
  <w:num w:numId="4" w16cid:durableId="269362632">
    <w:abstractNumId w:val="21"/>
  </w:num>
  <w:num w:numId="5" w16cid:durableId="943927640">
    <w:abstractNumId w:val="22"/>
  </w:num>
  <w:num w:numId="6" w16cid:durableId="547230529">
    <w:abstractNumId w:val="12"/>
  </w:num>
  <w:num w:numId="7" w16cid:durableId="2009407815">
    <w:abstractNumId w:val="20"/>
  </w:num>
  <w:num w:numId="8" w16cid:durableId="1698462345">
    <w:abstractNumId w:val="26"/>
  </w:num>
  <w:num w:numId="9" w16cid:durableId="599681503">
    <w:abstractNumId w:val="24"/>
  </w:num>
  <w:num w:numId="10" w16cid:durableId="631178489">
    <w:abstractNumId w:val="7"/>
  </w:num>
  <w:num w:numId="11" w16cid:durableId="503668344">
    <w:abstractNumId w:val="5"/>
  </w:num>
  <w:num w:numId="12" w16cid:durableId="811755485">
    <w:abstractNumId w:val="4"/>
  </w:num>
  <w:num w:numId="13" w16cid:durableId="2072803304">
    <w:abstractNumId w:val="3"/>
  </w:num>
  <w:num w:numId="14" w16cid:durableId="1397050786">
    <w:abstractNumId w:val="6"/>
  </w:num>
  <w:num w:numId="15" w16cid:durableId="1511329551">
    <w:abstractNumId w:val="2"/>
  </w:num>
  <w:num w:numId="16" w16cid:durableId="845631935">
    <w:abstractNumId w:val="1"/>
  </w:num>
  <w:num w:numId="17" w16cid:durableId="124978832">
    <w:abstractNumId w:val="0"/>
  </w:num>
  <w:num w:numId="18" w16cid:durableId="458106537">
    <w:abstractNumId w:val="11"/>
  </w:num>
  <w:num w:numId="19" w16cid:durableId="960915140">
    <w:abstractNumId w:val="8"/>
  </w:num>
  <w:num w:numId="20" w16cid:durableId="1221357290">
    <w:abstractNumId w:val="10"/>
  </w:num>
  <w:num w:numId="21" w16cid:durableId="1762600965">
    <w:abstractNumId w:val="14"/>
  </w:num>
  <w:num w:numId="22" w16cid:durableId="1423580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9032880">
    <w:abstractNumId w:val="16"/>
  </w:num>
  <w:num w:numId="24" w16cid:durableId="1423255355">
    <w:abstractNumId w:val="19"/>
  </w:num>
  <w:num w:numId="25" w16cid:durableId="135337168">
    <w:abstractNumId w:val="9"/>
  </w:num>
  <w:num w:numId="26" w16cid:durableId="1867719221">
    <w:abstractNumId w:val="15"/>
    <w:lvlOverride w:ilvl="0">
      <w:startOverride w:val="1"/>
    </w:lvlOverride>
  </w:num>
  <w:num w:numId="27" w16cid:durableId="436870618">
    <w:abstractNumId w:val="25"/>
    <w:lvlOverride w:ilvl="0">
      <w:startOverride w:val="1"/>
    </w:lvlOverride>
  </w:num>
  <w:num w:numId="28" w16cid:durableId="1932202203">
    <w:abstractNumId w:val="23"/>
    <w:lvlOverride w:ilvl="0">
      <w:startOverride w:val="1"/>
    </w:lvlOverride>
  </w:num>
  <w:num w:numId="29" w16cid:durableId="371226323">
    <w:abstractNumId w:val="23"/>
  </w:num>
  <w:num w:numId="30" w16cid:durableId="755906847">
    <w:abstractNumId w:val="15"/>
  </w:num>
  <w:num w:numId="31" w16cid:durableId="1527908170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E7218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6B2B96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21F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E7218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54F46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B62A4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7071"/>
  <w15:chartTrackingRefBased/>
  <w15:docId w15:val="{6A8F35BC-568E-4E56-93B0-9C0A4F4C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218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9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9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9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9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9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721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721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3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18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18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18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18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18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19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0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1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BE721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7218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E72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72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721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7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72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7218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BE7218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721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7218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BE7218"/>
    <w:rPr>
      <w:b/>
      <w:bCs/>
      <w:smallCaps/>
      <w:color w:val="365F91" w:themeColor="accent1" w:themeShade="BF"/>
      <w:spacing w:val="5"/>
    </w:rPr>
  </w:style>
  <w:style w:type="paragraph" w:customStyle="1" w:styleId="Text2">
    <w:name w:val="Text 2"/>
    <w:basedOn w:val="Normal"/>
    <w:rsid w:val="00BE7218"/>
    <w:pPr>
      <w:ind w:left="1417"/>
    </w:pPr>
  </w:style>
  <w:style w:type="paragraph" w:customStyle="1" w:styleId="Tiret0">
    <w:name w:val="Tiret 0"/>
    <w:basedOn w:val="Normal"/>
    <w:rsid w:val="00BE7218"/>
    <w:pPr>
      <w:numPr>
        <w:numId w:val="28"/>
      </w:numPr>
    </w:pPr>
  </w:style>
  <w:style w:type="paragraph" w:customStyle="1" w:styleId="Tiret1">
    <w:name w:val="Tiret 1"/>
    <w:basedOn w:val="Normal"/>
    <w:rsid w:val="00BE7218"/>
    <w:pPr>
      <w:numPr>
        <w:numId w:val="26"/>
      </w:numPr>
    </w:pPr>
  </w:style>
  <w:style w:type="paragraph" w:customStyle="1" w:styleId="Tiret2">
    <w:name w:val="Tiret 2"/>
    <w:basedOn w:val="Normal"/>
    <w:rsid w:val="00BE7218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ompetition-policy.ec.europa.eu/system/files/2021-04/modernization_evaluation_methodology_en.pdf" TargetMode="External"/><Relationship Id="rId2" Type="http://schemas.openxmlformats.org/officeDocument/2006/relationships/hyperlink" Target="http://data.europa.eu/eli/reg/2023/2831/oj" TargetMode="External"/><Relationship Id="rId1" Type="http://schemas.openxmlformats.org/officeDocument/2006/relationships/hyperlink" Target="http://data.europa.eu/eli/reg/2014/651/oj" TargetMode="External"/><Relationship Id="rId4" Type="http://schemas.openxmlformats.org/officeDocument/2006/relationships/hyperlink" Target="https://competition-policy.ec.europa.eu/state-aid/legislation/forms-notifications-and-reporting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2713</Words>
  <Characters>19594</Characters>
  <DocSecurity>0</DocSecurity>
  <Lines>416</Lines>
  <Paragraphs>223</Paragraphs>
  <ScaleCrop>false</ScaleCrop>
  <LinksUpToDate>false</LinksUpToDate>
  <CharactersWithSpaces>22084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2025-05-30T07:13:00Z</dcterms:created>
  <dcterms:modified xsi:type="dcterms:W3CDTF">2025-05-30T11:18:00Z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2025-05-30T07:15:14Z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bc9e3088-d6db-47c9-a3ad-2dd927743962</vt:lpwstr>
  </property>
  <property fmtid="{D5CDD505-2E9C-101B-9397-08002B2CF9AE}" pid="8" name="MSIP_Label_6bd9ddd1-4d20-43f6-abfa-fc3c07406f94_ContentBits">
    <vt:lpwstr>0</vt:lpwstr>
  </property>
</Properties>
</file>