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74226" w14:textId="72B13C85" w:rsidR="00AA5B76" w:rsidRPr="00B076D0" w:rsidRDefault="00AA5B76" w:rsidP="00AA5B76">
      <w:pPr>
        <w:pStyle w:val="ManualHeading2"/>
        <w:rPr>
          <w:noProof/>
          <w:color w:val="000000"/>
          <w:szCs w:val="24"/>
        </w:rPr>
      </w:pPr>
      <w:r w:rsidRPr="00B076D0">
        <w:rPr>
          <w:noProof/>
        </w:rPr>
        <w:t>III.1.B</w:t>
      </w:r>
      <w:r>
        <w:rPr>
          <w:noProof/>
        </w:rPr>
        <w:t xml:space="preserve"> </w:t>
      </w:r>
      <w:r w:rsidRPr="00B076D0">
        <w:rPr>
          <w:noProof/>
        </w:rPr>
        <w:t>DAĻA</w:t>
      </w:r>
      <w:r>
        <w:rPr>
          <w:noProof/>
        </w:rPr>
        <w:t xml:space="preserve"> - </w:t>
      </w:r>
      <w:r w:rsidRPr="00B076D0">
        <w:rPr>
          <w:noProof/>
          <w:color w:val="000000"/>
        </w:rPr>
        <w:t>PAPILDINFORMĀCIJAS ANKETA PAR REĢIONĀLĀ IEGULDĪJUMU ATBALSTA SHĒMĀM</w:t>
      </w:r>
    </w:p>
    <w:p w14:paraId="60E17442" w14:textId="77777777" w:rsidR="00AA5B76" w:rsidRPr="00B076D0" w:rsidRDefault="00AA5B76" w:rsidP="00AA5B76">
      <w:pPr>
        <w:rPr>
          <w:i/>
          <w:iCs/>
          <w:noProof/>
          <w:szCs w:val="24"/>
        </w:rPr>
      </w:pPr>
      <w:r w:rsidRPr="00B076D0">
        <w:rPr>
          <w:i/>
          <w:noProof/>
        </w:rPr>
        <w:t>Šī papildinformācijas anketa ir fakultatīva. Tomēr, paziņojot par individuālu ieguldījumu atbalstu, uz kuru attiecas no 2022. gada 1. janvāra piemērojamās Reģionālā valsts atbalsta pamatnostādnes (RAP)</w:t>
      </w:r>
      <w:r w:rsidRPr="00B076D0">
        <w:rPr>
          <w:rStyle w:val="FootnoteReference"/>
          <w:noProof/>
        </w:rPr>
        <w:footnoteReference w:id="1"/>
      </w:r>
      <w:r w:rsidRPr="00B076D0">
        <w:rPr>
          <w:i/>
          <w:noProof/>
        </w:rPr>
        <w:t xml:space="preserve">, ir ieteicams papildus vispārīgās informācijas veidnei aizpildīt arī šo anketu. </w:t>
      </w:r>
    </w:p>
    <w:p w14:paraId="4435FA9E" w14:textId="74F8C81C" w:rsidR="00AA5B76" w:rsidRPr="00B076D0" w:rsidRDefault="00AA5B76" w:rsidP="00AA5B76">
      <w:pPr>
        <w:pStyle w:val="Heading1"/>
        <w:rPr>
          <w:noProof/>
        </w:rPr>
      </w:pPr>
      <w:r w:rsidRPr="00B076D0">
        <w:rPr>
          <w:noProof/>
        </w:rPr>
        <w:t>Tvērums</w:t>
      </w:r>
    </w:p>
    <w:p w14:paraId="65DC55CA" w14:textId="77777777" w:rsidR="00AA5B76" w:rsidRPr="00B076D0" w:rsidRDefault="00AA5B76" w:rsidP="00AA5B76">
      <w:pPr>
        <w:pStyle w:val="NormalKop111"/>
        <w:numPr>
          <w:ilvl w:val="1"/>
          <w:numId w:val="22"/>
        </w:numPr>
        <w:tabs>
          <w:tab w:val="clear" w:pos="720"/>
          <w:tab w:val="clear" w:pos="1440"/>
          <w:tab w:val="clear" w:pos="1797"/>
        </w:tabs>
        <w:ind w:left="709" w:hanging="709"/>
        <w:rPr>
          <w:noProof/>
        </w:rPr>
      </w:pPr>
      <w:r w:rsidRPr="00B076D0">
        <w:rPr>
          <w:noProof/>
        </w:rPr>
        <w:t>Iemesls, kāpēc par šo shēmu tiek paziņots tā vietā, lai to īstenotu saskaņā ar Vispārējo grupu atbrīvojuma regulu (“VGAR”)</w:t>
      </w:r>
      <w:r w:rsidRPr="00B076D0">
        <w:rPr>
          <w:rStyle w:val="FootnoteReference"/>
          <w:rFonts w:cs="Times New Roman"/>
          <w:noProof/>
        </w:rPr>
        <w:footnoteReference w:id="2"/>
      </w:r>
      <w:r w:rsidRPr="00B076D0">
        <w:rPr>
          <w:noProof/>
        </w:rPr>
        <w:t xml:space="preserve"> vai </w:t>
      </w:r>
      <w:r w:rsidRPr="00B076D0">
        <w:rPr>
          <w:i/>
          <w:noProof/>
        </w:rPr>
        <w:t>de minimis</w:t>
      </w:r>
      <w:r w:rsidRPr="00B076D0">
        <w:rPr>
          <w:noProof/>
        </w:rPr>
        <w:t xml:space="preserve"> regulu</w:t>
      </w:r>
      <w:r w:rsidRPr="00B076D0">
        <w:rPr>
          <w:rStyle w:val="FootnoteReference"/>
          <w:noProof/>
        </w:rPr>
        <w:footnoteReference w:id="3"/>
      </w:r>
      <w:r w:rsidRPr="00B076D0">
        <w:rPr>
          <w:noProof/>
        </w:rPr>
        <w:t>:</w:t>
      </w:r>
    </w:p>
    <w:p w14:paraId="50D410C8" w14:textId="32483359" w:rsidR="00AA5B76" w:rsidRPr="00B076D0" w:rsidRDefault="009A0760" w:rsidP="00AA5B76">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Pr>
          <w:noProof/>
        </w:rPr>
        <w:t xml:space="preserve"> </w:t>
      </w:r>
      <w:r w:rsidR="00AA5B76" w:rsidRPr="00B076D0">
        <w:rPr>
          <w:noProof/>
        </w:rPr>
        <w:t>paziņojums attiecas uz nozares mēroga shēmu; tādā gadījumā norādiet nozari, uz kuru attiecas šī shēma (</w:t>
      </w:r>
      <w:r w:rsidR="00AA5B76" w:rsidRPr="00B076D0">
        <w:rPr>
          <w:i/>
          <w:noProof/>
        </w:rPr>
        <w:t>NACE</w:t>
      </w:r>
      <w:r w:rsidR="00AA5B76" w:rsidRPr="00B076D0">
        <w:rPr>
          <w:noProof/>
        </w:rPr>
        <w:t xml:space="preserve"> kods):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A5B76" w:rsidRPr="00B076D0" w14:paraId="4AC33877" w14:textId="77777777" w:rsidTr="00017B02">
        <w:tc>
          <w:tcPr>
            <w:tcW w:w="7672" w:type="dxa"/>
            <w:shd w:val="clear" w:color="auto" w:fill="auto"/>
          </w:tcPr>
          <w:p w14:paraId="72949FCC" w14:textId="77777777" w:rsidR="00AA5B76" w:rsidRPr="00B076D0" w:rsidRDefault="00AA5B76" w:rsidP="00017B02">
            <w:pPr>
              <w:rPr>
                <w:noProof/>
              </w:rPr>
            </w:pPr>
            <w:r w:rsidRPr="00B076D0">
              <w:rPr>
                <w:noProof/>
              </w:rPr>
              <w:t xml:space="preserve">... </w:t>
            </w:r>
          </w:p>
        </w:tc>
      </w:tr>
    </w:tbl>
    <w:p w14:paraId="3E5A01AD" w14:textId="77777777" w:rsidR="00AA5B76" w:rsidRPr="00B076D0" w:rsidRDefault="009A0760" w:rsidP="00AA5B76">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rFonts w:ascii="MS Gothic" w:hAnsi="MS Gothic"/>
          <w:noProof/>
        </w:rPr>
        <w:t xml:space="preserve"> </w:t>
      </w:r>
      <w:r w:rsidR="00AA5B76" w:rsidRPr="00B076D0">
        <w:rPr>
          <w:noProof/>
        </w:rPr>
        <w:t xml:space="preserve">cits (norādīt):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A5B76" w:rsidRPr="00B076D0" w14:paraId="5E5C9BE1" w14:textId="77777777" w:rsidTr="00017B02">
        <w:tc>
          <w:tcPr>
            <w:tcW w:w="8391" w:type="dxa"/>
            <w:shd w:val="clear" w:color="auto" w:fill="auto"/>
          </w:tcPr>
          <w:p w14:paraId="1DFF1886" w14:textId="77777777" w:rsidR="00AA5B76" w:rsidRPr="00B076D0" w:rsidRDefault="00AA5B76" w:rsidP="00017B02">
            <w:pPr>
              <w:rPr>
                <w:noProof/>
              </w:rPr>
            </w:pPr>
            <w:r w:rsidRPr="00B076D0">
              <w:rPr>
                <w:noProof/>
              </w:rPr>
              <w:t xml:space="preserve">... </w:t>
            </w:r>
          </w:p>
        </w:tc>
      </w:tr>
    </w:tbl>
    <w:p w14:paraId="21D4E05B" w14:textId="77777777" w:rsidR="00AA5B76" w:rsidRPr="00B076D0" w:rsidRDefault="00AA5B76" w:rsidP="00AA5B76">
      <w:pPr>
        <w:pStyle w:val="NormalKop111"/>
        <w:numPr>
          <w:ilvl w:val="1"/>
          <w:numId w:val="22"/>
        </w:numPr>
        <w:tabs>
          <w:tab w:val="clear" w:pos="720"/>
          <w:tab w:val="clear" w:pos="1440"/>
          <w:tab w:val="clear" w:pos="1797"/>
        </w:tabs>
        <w:ind w:left="709" w:hanging="709"/>
        <w:rPr>
          <w:noProof/>
        </w:rPr>
      </w:pPr>
      <w:r w:rsidRPr="00B076D0">
        <w:rPr>
          <w:noProof/>
        </w:rPr>
        <w:t>Paziņojamās shēmas tvērums</w:t>
      </w:r>
    </w:p>
    <w:p w14:paraId="7EAFBFD2"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Aplieciniet, ka paziņojamās shēmas juridiskajā pamatā ir noteikts pienākums paziņot Komisijai par individuālo atbalstu, ja atbalsts no visiem avotiem pārsniedz individuālā atbalsta paziņošanas robežvērtības, kas reģionālajam ieguldījumu atbalstam noteiktas Vispārējā grupu atbrīvojuma regulā (“VGAR”) (RAP 22. punkts).</w:t>
      </w:r>
    </w:p>
    <w:p w14:paraId="375EE768" w14:textId="77777777" w:rsidR="00AA5B76" w:rsidRPr="00B076D0" w:rsidRDefault="00AA5B76" w:rsidP="00AA5B76">
      <w:pPr>
        <w:pStyle w:val="Text2"/>
        <w:rPr>
          <w:noProof/>
        </w:rPr>
      </w:pPr>
      <w:r w:rsidRPr="00B076D0">
        <w:rPr>
          <w:noProof/>
        </w:rPr>
        <w:t xml:space="preserve">Norādiet atsauci uz juridiskā pamata attiecīgo noteikumu.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A5B76" w:rsidRPr="00B076D0" w14:paraId="0E1E6D2A" w14:textId="77777777" w:rsidTr="00017B02">
        <w:tc>
          <w:tcPr>
            <w:tcW w:w="8391" w:type="dxa"/>
            <w:shd w:val="clear" w:color="auto" w:fill="auto"/>
          </w:tcPr>
          <w:p w14:paraId="4EE04E08" w14:textId="77777777" w:rsidR="00AA5B76" w:rsidRPr="00B076D0" w:rsidRDefault="00AA5B76" w:rsidP="00017B02">
            <w:pPr>
              <w:rPr>
                <w:noProof/>
              </w:rPr>
            </w:pPr>
            <w:r w:rsidRPr="00B076D0">
              <w:rPr>
                <w:noProof/>
              </w:rPr>
              <w:t xml:space="preserve">... </w:t>
            </w:r>
          </w:p>
        </w:tc>
      </w:tr>
    </w:tbl>
    <w:p w14:paraId="404E9915"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Aplieciniet, ka paziņojamās shēmas juridiskajā pamatā ir noteikts pienākums paziņot Komisijai par individuālo atbalstu, izņemot, ja saņēmējs 1) ir apliecinājis, ka pēdējo divu gadu laikā pirms pieteikšanās uz atbalstu tas nav veicis pārcelšanu uz uzņēmējdarbības vietu, kurā paredzēts veikt sākotnējo atbalstāmo ieguldījumu, un 2) ir apņēmies neveikt šādu pārcelšanu vismaz divus gadus pēc sākotnējā ieguldījuma pabeigšanas (RAP 23. punkts).</w:t>
      </w:r>
    </w:p>
    <w:p w14:paraId="225396A5"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 xml:space="preserve">Norādiet atsauci uz juridiskā pamata attiecīgo noteikumu.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A5B76" w:rsidRPr="00B076D0" w14:paraId="1992B5ED" w14:textId="77777777" w:rsidTr="00017B02">
        <w:tc>
          <w:tcPr>
            <w:tcW w:w="8391" w:type="dxa"/>
            <w:shd w:val="clear" w:color="auto" w:fill="auto"/>
          </w:tcPr>
          <w:p w14:paraId="7BC6ED83" w14:textId="77777777" w:rsidR="00AA5B76" w:rsidRPr="00B076D0" w:rsidRDefault="00AA5B76" w:rsidP="00017B02">
            <w:pPr>
              <w:rPr>
                <w:noProof/>
              </w:rPr>
            </w:pPr>
            <w:r w:rsidRPr="00B076D0">
              <w:rPr>
                <w:noProof/>
              </w:rPr>
              <w:lastRenderedPageBreak/>
              <w:t xml:space="preserve">... </w:t>
            </w:r>
          </w:p>
        </w:tc>
      </w:tr>
    </w:tbl>
    <w:p w14:paraId="2C59F7FA"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Aplieciniet, ka paziņojamajā atbalsta shēmā ir paredzēts, ka reģionālais ieguldījumu atbalsts netiks piešķirts turpmāk uzskaitītajām uzņēmumu kategorijām un nozarēm. Par katru no tām norādiet shēmas juridiskā pamata attiecīgo noteikumu.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AA5B76" w:rsidRPr="00B076D0" w14:paraId="28E86CDA" w14:textId="77777777" w:rsidTr="00017B02">
        <w:tc>
          <w:tcPr>
            <w:tcW w:w="3221" w:type="pct"/>
            <w:shd w:val="clear" w:color="auto" w:fill="auto"/>
          </w:tcPr>
          <w:p w14:paraId="128AF21D" w14:textId="42C200D7" w:rsidR="00AA5B76" w:rsidRPr="00B076D0" w:rsidRDefault="00AA5B76" w:rsidP="009A0760">
            <w:pPr>
              <w:rPr>
                <w:noProof/>
              </w:rPr>
            </w:pPr>
            <w:r w:rsidRPr="00B076D0">
              <w:rPr>
                <w:noProof/>
              </w:rPr>
              <w:t>Izslēgtās uzņēmumu kategorijas un nozares</w:t>
            </w:r>
          </w:p>
        </w:tc>
        <w:tc>
          <w:tcPr>
            <w:tcW w:w="1779" w:type="pct"/>
            <w:shd w:val="clear" w:color="auto" w:fill="auto"/>
          </w:tcPr>
          <w:p w14:paraId="7776F02A" w14:textId="27A70F8C" w:rsidR="00AA5B76" w:rsidRPr="00B076D0" w:rsidRDefault="00AA5B76" w:rsidP="009A0760">
            <w:pPr>
              <w:rPr>
                <w:noProof/>
              </w:rPr>
            </w:pPr>
            <w:r w:rsidRPr="00B076D0">
              <w:rPr>
                <w:noProof/>
              </w:rPr>
              <w:t>Shēmas juridiskā pamata attiecīgais noteikums</w:t>
            </w:r>
          </w:p>
        </w:tc>
      </w:tr>
      <w:tr w:rsidR="00AA5B76" w:rsidRPr="00B076D0" w14:paraId="0A4CBD85" w14:textId="77777777" w:rsidTr="00017B02">
        <w:tc>
          <w:tcPr>
            <w:tcW w:w="3221" w:type="pct"/>
            <w:shd w:val="clear" w:color="auto" w:fill="auto"/>
          </w:tcPr>
          <w:p w14:paraId="77A4A8C1" w14:textId="4F0C46B9" w:rsidR="00AA5B76" w:rsidRPr="00B076D0" w:rsidRDefault="00AA5B76" w:rsidP="009A0760">
            <w:pPr>
              <w:rPr>
                <w:noProof/>
              </w:rPr>
            </w:pPr>
            <w:r w:rsidRPr="00B076D0">
              <w:rPr>
                <w:noProof/>
              </w:rPr>
              <w:t>Grūtībās nonākuši uzņēmumi</w:t>
            </w:r>
            <w:r w:rsidRPr="00B076D0">
              <w:rPr>
                <w:rStyle w:val="FootnoteReference"/>
                <w:noProof/>
              </w:rPr>
              <w:footnoteReference w:id="4"/>
            </w:r>
          </w:p>
        </w:tc>
        <w:tc>
          <w:tcPr>
            <w:tcW w:w="1779" w:type="pct"/>
            <w:shd w:val="clear" w:color="auto" w:fill="auto"/>
          </w:tcPr>
          <w:p w14:paraId="02EAF1D9" w14:textId="3C1D8C6A" w:rsidR="00AA5B76" w:rsidRPr="00B076D0" w:rsidRDefault="00AA5B76" w:rsidP="009A0760">
            <w:pPr>
              <w:rPr>
                <w:noProof/>
                <w:sz w:val="22"/>
              </w:rPr>
            </w:pPr>
          </w:p>
        </w:tc>
      </w:tr>
      <w:tr w:rsidR="00AA5B76" w:rsidRPr="00B076D0" w14:paraId="04615558" w14:textId="77777777" w:rsidTr="00017B02">
        <w:tc>
          <w:tcPr>
            <w:tcW w:w="3221" w:type="pct"/>
            <w:shd w:val="clear" w:color="auto" w:fill="auto"/>
          </w:tcPr>
          <w:p w14:paraId="3D0F46D3" w14:textId="25021162" w:rsidR="00AA5B76" w:rsidRPr="00B076D0" w:rsidRDefault="00AA5B76" w:rsidP="009A0760">
            <w:pPr>
              <w:rPr>
                <w:noProof/>
              </w:rPr>
            </w:pPr>
            <w:r w:rsidRPr="00B076D0">
              <w:rPr>
                <w:noProof/>
              </w:rPr>
              <w:t>Tērauda nozare</w:t>
            </w:r>
            <w:r w:rsidRPr="00B076D0">
              <w:rPr>
                <w:rStyle w:val="FootnoteReference"/>
                <w:noProof/>
              </w:rPr>
              <w:footnoteReference w:id="5"/>
            </w:r>
            <w:r w:rsidRPr="00B076D0">
              <w:rPr>
                <w:noProof/>
              </w:rPr>
              <w:t xml:space="preserve"> </w:t>
            </w:r>
          </w:p>
        </w:tc>
        <w:tc>
          <w:tcPr>
            <w:tcW w:w="1779" w:type="pct"/>
            <w:shd w:val="clear" w:color="auto" w:fill="auto"/>
          </w:tcPr>
          <w:p w14:paraId="0E1CDD45" w14:textId="54A09A5E" w:rsidR="00AA5B76" w:rsidRPr="00B076D0" w:rsidRDefault="00AA5B76" w:rsidP="009A0760">
            <w:pPr>
              <w:rPr>
                <w:noProof/>
                <w:sz w:val="22"/>
              </w:rPr>
            </w:pPr>
          </w:p>
        </w:tc>
      </w:tr>
      <w:tr w:rsidR="00AA5B76" w:rsidRPr="00B076D0" w14:paraId="2410FA2F" w14:textId="77777777" w:rsidTr="00017B02">
        <w:tc>
          <w:tcPr>
            <w:tcW w:w="3221" w:type="pct"/>
            <w:shd w:val="clear" w:color="auto" w:fill="auto"/>
          </w:tcPr>
          <w:p w14:paraId="2513CA11" w14:textId="5B619ED6" w:rsidR="00AA5B76" w:rsidRPr="00B076D0" w:rsidRDefault="00AA5B76" w:rsidP="009A0760">
            <w:pPr>
              <w:rPr>
                <w:noProof/>
              </w:rPr>
            </w:pPr>
            <w:r w:rsidRPr="00B076D0">
              <w:rPr>
                <w:noProof/>
              </w:rPr>
              <w:t>Lignīta nozare</w:t>
            </w:r>
            <w:r w:rsidRPr="00B076D0">
              <w:rPr>
                <w:rStyle w:val="FootnoteReference"/>
                <w:noProof/>
                <w:sz w:val="22"/>
              </w:rPr>
              <w:footnoteReference w:id="6"/>
            </w:r>
          </w:p>
        </w:tc>
        <w:tc>
          <w:tcPr>
            <w:tcW w:w="1779" w:type="pct"/>
            <w:shd w:val="clear" w:color="auto" w:fill="auto"/>
          </w:tcPr>
          <w:p w14:paraId="033BB164" w14:textId="304EFC83" w:rsidR="00AA5B76" w:rsidRPr="00B076D0" w:rsidRDefault="00AA5B76" w:rsidP="009A0760">
            <w:pPr>
              <w:rPr>
                <w:noProof/>
                <w:sz w:val="22"/>
              </w:rPr>
            </w:pPr>
          </w:p>
        </w:tc>
      </w:tr>
      <w:tr w:rsidR="00AA5B76" w:rsidRPr="00B076D0" w14:paraId="65D09CD2" w14:textId="77777777" w:rsidTr="00017B02">
        <w:tc>
          <w:tcPr>
            <w:tcW w:w="3221" w:type="pct"/>
            <w:shd w:val="clear" w:color="auto" w:fill="auto"/>
          </w:tcPr>
          <w:p w14:paraId="3A5AA10A" w14:textId="4B176776" w:rsidR="00AA5B76" w:rsidRPr="00B076D0" w:rsidRDefault="00AA5B76" w:rsidP="009A0760">
            <w:pPr>
              <w:rPr>
                <w:noProof/>
              </w:rPr>
            </w:pPr>
            <w:r w:rsidRPr="00B076D0">
              <w:rPr>
                <w:noProof/>
              </w:rPr>
              <w:t>Ogļu nozare</w:t>
            </w:r>
            <w:r w:rsidRPr="00B076D0">
              <w:rPr>
                <w:rStyle w:val="FootnoteReference"/>
                <w:noProof/>
                <w:sz w:val="22"/>
              </w:rPr>
              <w:footnoteReference w:id="7"/>
            </w:r>
          </w:p>
        </w:tc>
        <w:tc>
          <w:tcPr>
            <w:tcW w:w="1779" w:type="pct"/>
            <w:shd w:val="clear" w:color="auto" w:fill="auto"/>
          </w:tcPr>
          <w:p w14:paraId="41E0BD72" w14:textId="613A0ACD" w:rsidR="00AA5B76" w:rsidRPr="00B076D0" w:rsidRDefault="00AA5B76" w:rsidP="009A0760">
            <w:pPr>
              <w:rPr>
                <w:noProof/>
                <w:sz w:val="22"/>
              </w:rPr>
            </w:pPr>
          </w:p>
        </w:tc>
      </w:tr>
      <w:tr w:rsidR="00AA5B76" w:rsidRPr="00B076D0" w14:paraId="1CF5193E" w14:textId="77777777" w:rsidTr="00017B02">
        <w:tc>
          <w:tcPr>
            <w:tcW w:w="3221" w:type="pct"/>
            <w:shd w:val="clear" w:color="auto" w:fill="auto"/>
          </w:tcPr>
          <w:p w14:paraId="0F1D1F66" w14:textId="5BE8ED09" w:rsidR="00AA5B76" w:rsidRPr="00B076D0" w:rsidRDefault="00AA5B76" w:rsidP="009A0760">
            <w:pPr>
              <w:rPr>
                <w:noProof/>
              </w:rPr>
            </w:pPr>
            <w:r w:rsidRPr="00B076D0">
              <w:rPr>
                <w:noProof/>
              </w:rPr>
              <w:t>Zvejniecība un akvakultūra</w:t>
            </w:r>
            <w:r w:rsidRPr="00B076D0">
              <w:rPr>
                <w:rStyle w:val="FootnoteReference"/>
                <w:noProof/>
                <w:sz w:val="22"/>
              </w:rPr>
              <w:footnoteReference w:id="8"/>
            </w:r>
          </w:p>
        </w:tc>
        <w:tc>
          <w:tcPr>
            <w:tcW w:w="1779" w:type="pct"/>
            <w:shd w:val="clear" w:color="auto" w:fill="auto"/>
          </w:tcPr>
          <w:p w14:paraId="6B4A503D" w14:textId="0ABD32D1" w:rsidR="00AA5B76" w:rsidRPr="00B076D0" w:rsidRDefault="00AA5B76" w:rsidP="009A0760">
            <w:pPr>
              <w:rPr>
                <w:noProof/>
                <w:sz w:val="22"/>
              </w:rPr>
            </w:pPr>
          </w:p>
        </w:tc>
      </w:tr>
      <w:tr w:rsidR="00AA5B76" w:rsidRPr="00B076D0" w14:paraId="40E3E9E9" w14:textId="77777777" w:rsidTr="00017B02">
        <w:tc>
          <w:tcPr>
            <w:tcW w:w="3221" w:type="pct"/>
            <w:shd w:val="clear" w:color="auto" w:fill="auto"/>
          </w:tcPr>
          <w:p w14:paraId="01D6145A" w14:textId="11DA63F0" w:rsidR="00AA5B76" w:rsidRPr="00B076D0" w:rsidRDefault="00AA5B76" w:rsidP="009A0760">
            <w:pPr>
              <w:rPr>
                <w:noProof/>
              </w:rPr>
            </w:pPr>
            <w:r w:rsidRPr="00B076D0">
              <w:rPr>
                <w:noProof/>
              </w:rPr>
              <w:t>Lauksaimniecība</w:t>
            </w:r>
            <w:r w:rsidRPr="00B076D0">
              <w:rPr>
                <w:rStyle w:val="FootnoteReference"/>
                <w:bCs/>
                <w:noProof/>
                <w:sz w:val="22"/>
              </w:rPr>
              <w:footnoteReference w:id="9"/>
            </w:r>
          </w:p>
        </w:tc>
        <w:tc>
          <w:tcPr>
            <w:tcW w:w="1779" w:type="pct"/>
            <w:shd w:val="clear" w:color="auto" w:fill="auto"/>
          </w:tcPr>
          <w:p w14:paraId="0CD77659" w14:textId="17533553" w:rsidR="00AA5B76" w:rsidRPr="00B076D0" w:rsidRDefault="00AA5B76" w:rsidP="009A0760">
            <w:pPr>
              <w:rPr>
                <w:noProof/>
                <w:sz w:val="22"/>
              </w:rPr>
            </w:pPr>
          </w:p>
        </w:tc>
      </w:tr>
      <w:tr w:rsidR="00AA5B76" w:rsidRPr="00B076D0" w14:paraId="78575B91" w14:textId="77777777" w:rsidTr="00017B02">
        <w:tc>
          <w:tcPr>
            <w:tcW w:w="3221" w:type="pct"/>
            <w:shd w:val="clear" w:color="auto" w:fill="auto"/>
          </w:tcPr>
          <w:p w14:paraId="0291553F" w14:textId="0238B6B9" w:rsidR="00AA5B76" w:rsidRPr="00B076D0" w:rsidRDefault="00AA5B76" w:rsidP="009A0760">
            <w:pPr>
              <w:rPr>
                <w:noProof/>
              </w:rPr>
            </w:pPr>
            <w:r w:rsidRPr="00B076D0">
              <w:rPr>
                <w:noProof/>
              </w:rPr>
              <w:t>Līguma I pielikumā uzskaitīto lauksaimniecības produktu pārstrāde tajā pašā pielikumā uzskaitītajos produktos un/vai to tirdzniecība</w:t>
            </w:r>
            <w:r w:rsidRPr="00B076D0">
              <w:rPr>
                <w:rStyle w:val="FootnoteReference"/>
                <w:bCs/>
                <w:noProof/>
                <w:sz w:val="22"/>
              </w:rPr>
              <w:footnoteReference w:id="10"/>
            </w:r>
          </w:p>
        </w:tc>
        <w:tc>
          <w:tcPr>
            <w:tcW w:w="1779" w:type="pct"/>
            <w:shd w:val="clear" w:color="auto" w:fill="auto"/>
          </w:tcPr>
          <w:p w14:paraId="1C8012A1" w14:textId="6E3169DF" w:rsidR="00AA5B76" w:rsidRPr="00B076D0" w:rsidRDefault="00AA5B76" w:rsidP="009A0760">
            <w:pPr>
              <w:rPr>
                <w:noProof/>
                <w:sz w:val="22"/>
              </w:rPr>
            </w:pPr>
          </w:p>
        </w:tc>
      </w:tr>
      <w:tr w:rsidR="00AA5B76" w:rsidRPr="00B076D0" w14:paraId="4CC9DF3D" w14:textId="77777777" w:rsidTr="00017B02">
        <w:tc>
          <w:tcPr>
            <w:tcW w:w="3221" w:type="pct"/>
            <w:shd w:val="clear" w:color="auto" w:fill="auto"/>
          </w:tcPr>
          <w:p w14:paraId="4A60B98B" w14:textId="54C68417" w:rsidR="00AA5B76" w:rsidRPr="00B076D0" w:rsidRDefault="00AA5B76" w:rsidP="009A0760">
            <w:pPr>
              <w:rPr>
                <w:noProof/>
              </w:rPr>
            </w:pPr>
            <w:r w:rsidRPr="00B076D0">
              <w:rPr>
                <w:noProof/>
              </w:rPr>
              <w:t>Transports</w:t>
            </w:r>
            <w:r w:rsidRPr="00B076D0">
              <w:rPr>
                <w:rStyle w:val="FootnoteReference"/>
                <w:bCs/>
                <w:noProof/>
                <w:sz w:val="22"/>
              </w:rPr>
              <w:footnoteReference w:id="11"/>
            </w:r>
          </w:p>
        </w:tc>
        <w:tc>
          <w:tcPr>
            <w:tcW w:w="1779" w:type="pct"/>
            <w:shd w:val="clear" w:color="auto" w:fill="auto"/>
          </w:tcPr>
          <w:p w14:paraId="7BBAEAAD" w14:textId="78B77D1B" w:rsidR="00AA5B76" w:rsidRPr="00B076D0" w:rsidRDefault="00AA5B76" w:rsidP="009A0760">
            <w:pPr>
              <w:rPr>
                <w:noProof/>
                <w:sz w:val="22"/>
              </w:rPr>
            </w:pPr>
          </w:p>
        </w:tc>
      </w:tr>
      <w:tr w:rsidR="00AA5B76" w:rsidRPr="00B076D0" w14:paraId="04B1F439" w14:textId="77777777" w:rsidTr="00017B02">
        <w:tc>
          <w:tcPr>
            <w:tcW w:w="3221" w:type="pct"/>
            <w:shd w:val="clear" w:color="auto" w:fill="auto"/>
          </w:tcPr>
          <w:p w14:paraId="778612AE" w14:textId="5EC638A1" w:rsidR="00AA5B76" w:rsidRPr="00B076D0" w:rsidRDefault="00AA5B76" w:rsidP="009A0760">
            <w:pPr>
              <w:rPr>
                <w:noProof/>
              </w:rPr>
            </w:pPr>
            <w:r w:rsidRPr="00B076D0">
              <w:rPr>
                <w:noProof/>
              </w:rPr>
              <w:lastRenderedPageBreak/>
              <w:t>Platjosla</w:t>
            </w:r>
            <w:r w:rsidRPr="00B076D0">
              <w:rPr>
                <w:rStyle w:val="FootnoteReference"/>
                <w:bCs/>
                <w:noProof/>
                <w:sz w:val="22"/>
              </w:rPr>
              <w:footnoteReference w:id="12"/>
            </w:r>
          </w:p>
        </w:tc>
        <w:tc>
          <w:tcPr>
            <w:tcW w:w="1779" w:type="pct"/>
            <w:shd w:val="clear" w:color="auto" w:fill="auto"/>
          </w:tcPr>
          <w:p w14:paraId="6D879026" w14:textId="324760A2" w:rsidR="00AA5B76" w:rsidRPr="00B076D0" w:rsidRDefault="00AA5B76" w:rsidP="009A0760">
            <w:pPr>
              <w:rPr>
                <w:noProof/>
                <w:sz w:val="22"/>
              </w:rPr>
            </w:pPr>
          </w:p>
        </w:tc>
      </w:tr>
      <w:tr w:rsidR="00AA5B76" w:rsidRPr="00B076D0" w14:paraId="4E4B9A38" w14:textId="77777777" w:rsidTr="00017B02">
        <w:tc>
          <w:tcPr>
            <w:tcW w:w="3221" w:type="pct"/>
            <w:shd w:val="clear" w:color="auto" w:fill="auto"/>
          </w:tcPr>
          <w:p w14:paraId="39F2F045" w14:textId="757753E6" w:rsidR="00AA5B76" w:rsidRPr="00B076D0" w:rsidRDefault="00AA5B76" w:rsidP="009A0760">
            <w:pPr>
              <w:rPr>
                <w:noProof/>
              </w:rPr>
            </w:pPr>
            <w:r w:rsidRPr="00B076D0">
              <w:rPr>
                <w:noProof/>
              </w:rPr>
              <w:t>Enerģētika</w:t>
            </w:r>
            <w:r w:rsidRPr="00B076D0">
              <w:rPr>
                <w:rStyle w:val="FootnoteReference"/>
                <w:noProof/>
                <w:sz w:val="22"/>
              </w:rPr>
              <w:footnoteReference w:id="13"/>
            </w:r>
          </w:p>
        </w:tc>
        <w:tc>
          <w:tcPr>
            <w:tcW w:w="1779" w:type="pct"/>
            <w:shd w:val="clear" w:color="auto" w:fill="auto"/>
          </w:tcPr>
          <w:p w14:paraId="37F85E6F" w14:textId="7752E903" w:rsidR="00AA5B76" w:rsidRPr="00B076D0" w:rsidRDefault="00AA5B76" w:rsidP="009A0760">
            <w:pPr>
              <w:rPr>
                <w:noProof/>
                <w:sz w:val="22"/>
              </w:rPr>
            </w:pPr>
          </w:p>
        </w:tc>
      </w:tr>
    </w:tbl>
    <w:p w14:paraId="456844A3" w14:textId="157CEF66" w:rsidR="00AA5B76" w:rsidRPr="00B076D0" w:rsidRDefault="00AA5B76" w:rsidP="00AA5B76">
      <w:pPr>
        <w:pStyle w:val="Heading1"/>
        <w:rPr>
          <w:noProof/>
          <w:szCs w:val="24"/>
        </w:rPr>
      </w:pPr>
      <w:r w:rsidRPr="00B076D0">
        <w:rPr>
          <w:noProof/>
        </w:rPr>
        <w:t>Sākotnējais ieguldījums, attiecināmās izmaksas un atbalsts</w:t>
      </w:r>
    </w:p>
    <w:p w14:paraId="4C1E0971"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Sākotnējā ieguldījuma veidi, uz kuriem attiecas shēma</w:t>
      </w:r>
    </w:p>
    <w:p w14:paraId="375D00EE"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Ja shēma attiecas uz MVU</w:t>
      </w:r>
      <w:r w:rsidRPr="00B076D0">
        <w:rPr>
          <w:rStyle w:val="FootnoteReference"/>
          <w:noProof/>
        </w:rPr>
        <w:footnoteReference w:id="14"/>
      </w:r>
      <w:r w:rsidRPr="00B076D0">
        <w:rPr>
          <w:noProof/>
        </w:rPr>
        <w:t xml:space="preserve"> vai lielo uzņēmumu ieguldījumiem “a” apgabalos vai MVU ieguldījumiem “c” apgabalos (RAP 45. punkts), norādiet sākotnējā ieguldījuma kategoriju vai kategorijas, uz kurām attiecas paziņojums (RAP 19. punkta 13) apakšpunkts): </w:t>
      </w:r>
    </w:p>
    <w:p w14:paraId="05F96BE1" w14:textId="77777777" w:rsidR="00AA5B76" w:rsidRPr="00B076D0" w:rsidRDefault="009A0760" w:rsidP="00AA5B76">
      <w:pPr>
        <w:pStyle w:val="Tiret1"/>
        <w:rPr>
          <w:noProof/>
        </w:rPr>
      </w:pPr>
      <w:sdt>
        <w:sdtPr>
          <w:rPr>
            <w:noProof/>
          </w:rPr>
          <w:id w:val="1251621376"/>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jaunas uzņēmējdarbības vietas izveide</w:t>
      </w:r>
    </w:p>
    <w:p w14:paraId="4CAC39CE" w14:textId="77777777" w:rsidR="00AA5B76" w:rsidRPr="00B076D0" w:rsidRDefault="009A0760" w:rsidP="00AA5B76">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esošas uzņēmējdarbības vietas jaudas palielināšana</w:t>
      </w:r>
    </w:p>
    <w:p w14:paraId="06326DFB" w14:textId="77777777" w:rsidR="00AA5B76" w:rsidRPr="00B076D0" w:rsidRDefault="009A0760" w:rsidP="00AA5B76">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izlaides dažādošana attiecīgajā uzņēmējdarbības vietā ar produktiem, kas iepriekš tur netika ražoti</w:t>
      </w:r>
    </w:p>
    <w:p w14:paraId="57B1D700" w14:textId="77777777" w:rsidR="00AA5B76" w:rsidRPr="00B076D0" w:rsidRDefault="009A0760" w:rsidP="00AA5B76">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produktu, uz kuriem attiecas ieguldījums attiecīgajā uzņēmējdarbības vietā, vispārējā ražošanas procesa būtiskas izmaiņas</w:t>
      </w:r>
    </w:p>
    <w:p w14:paraId="5C920A44" w14:textId="77777777" w:rsidR="00AA5B76" w:rsidRPr="00B076D0" w:rsidRDefault="009A0760" w:rsidP="00AA5B76">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tādai uzņēmējdarbības vietai piederošu aktīvu iegāde, kas ir slēgta vai tiktu slēgta, ja tā netiktu nopirkta</w:t>
      </w:r>
      <w:r w:rsidR="00AA5B76" w:rsidRPr="00B076D0">
        <w:rPr>
          <w:rStyle w:val="FootnoteReference"/>
          <w:noProof/>
        </w:rPr>
        <w:footnoteReference w:id="15"/>
      </w:r>
      <w:r w:rsidR="00AA5B76" w:rsidRPr="00B076D0">
        <w:rPr>
          <w:noProof/>
        </w:rPr>
        <w:t xml:space="preserve"> </w:t>
      </w:r>
    </w:p>
    <w:p w14:paraId="69A0C8CA"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Ja shēma attiecas uz lielo uzņēmumu ieguldījumiem “c” apgabalos, norādiet sākotnējā ieguldījuma kategoriju vai kategorijas, uz kurām attiecas paziņojums (RAP 19. punkta 14) apakšpunkts un 14. punkts):</w:t>
      </w:r>
    </w:p>
    <w:p w14:paraId="5843D169" w14:textId="77777777" w:rsidR="00AA5B76" w:rsidRPr="00B076D0" w:rsidRDefault="009A0760" w:rsidP="00AA5B76">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jaunas uzņēmējdarbības vietas izveide</w:t>
      </w:r>
    </w:p>
    <w:p w14:paraId="3CC595CB" w14:textId="77777777" w:rsidR="00AA5B76" w:rsidRPr="00B076D0" w:rsidRDefault="009A0760" w:rsidP="00AA5B76">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darbības dažādošana uzņēmējdarbības vietā ar nosacījumu, ka jaunā darbība nav tā pati vai līdzīga darbība</w:t>
      </w:r>
      <w:r w:rsidR="00AA5B76" w:rsidRPr="00B076D0">
        <w:rPr>
          <w:rStyle w:val="FootnoteReference"/>
          <w:noProof/>
        </w:rPr>
        <w:footnoteReference w:id="16"/>
      </w:r>
      <w:r w:rsidR="00AA5B76" w:rsidRPr="00B076D0">
        <w:rPr>
          <w:noProof/>
        </w:rPr>
        <w:t xml:space="preserve"> kā tā, kas uzņēmējdarbības vietā tika veikta iepriekš</w:t>
      </w:r>
    </w:p>
    <w:p w14:paraId="03104EC3" w14:textId="77777777" w:rsidR="00AA5B76" w:rsidRPr="00B076D0" w:rsidRDefault="009A0760" w:rsidP="00AA5B76">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tādai uzņēmējdarbības vietai piederošu aktīvu iegāde, kas ir slēgta vai tiktu slēgta, ja tā netiktu nopirkta, ar nosacījumu, ka jaunā darbība, kuru paredzēts </w:t>
      </w:r>
      <w:r w:rsidR="00AA5B76" w:rsidRPr="00B076D0">
        <w:rPr>
          <w:noProof/>
        </w:rPr>
        <w:lastRenderedPageBreak/>
        <w:t>veikt, izmantojot iegādātos aktīvus, nav tā pati vai līdzīga darbība kā tā, kas uzņēmējdarbības vietā tika veikta pirms iegādes</w:t>
      </w:r>
      <w:r w:rsidR="00AA5B76" w:rsidRPr="00B076D0">
        <w:rPr>
          <w:rStyle w:val="FootnoteReference"/>
          <w:noProof/>
        </w:rPr>
        <w:footnoteReference w:id="17"/>
      </w:r>
    </w:p>
    <w:p w14:paraId="23AA434B"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Attiecināmo izmaksu aprēķināšana uz ieguldījumu izmaksu pamata</w:t>
      </w:r>
    </w:p>
    <w:p w14:paraId="55E44D6B"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Ja shēmas attiecināmās izmaksas attiecas uz materiālajiem aktīviem (RAP 19. punkta 31) apakšpunkts), norādiet, vai ieguldījumu vērtība ir noteikta procentos no zemes, ēku, ražotņu, tehnikas un aprīkojuma izmaksām:</w:t>
      </w:r>
    </w:p>
    <w:p w14:paraId="327AE30E" w14:textId="77777777" w:rsidR="00AA5B76" w:rsidRPr="00B076D0" w:rsidRDefault="009A0760" w:rsidP="00AA5B76">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zeme</w:t>
      </w:r>
    </w:p>
    <w:p w14:paraId="2F655A1E" w14:textId="77777777" w:rsidR="00AA5B76" w:rsidRPr="00B076D0" w:rsidRDefault="009A0760" w:rsidP="00AA5B76">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ēkas </w:t>
      </w:r>
    </w:p>
    <w:p w14:paraId="5E3EF60E" w14:textId="77777777" w:rsidR="00AA5B76" w:rsidRPr="00B076D0" w:rsidRDefault="009A0760" w:rsidP="00AA5B76">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ražotnes, tehnika un aprīkojums</w:t>
      </w:r>
    </w:p>
    <w:p w14:paraId="30726A07" w14:textId="77777777" w:rsidR="00AA5B76" w:rsidRPr="00B076D0" w:rsidRDefault="00AA5B76" w:rsidP="00AA5B76">
      <w:pPr>
        <w:pStyle w:val="Text2"/>
        <w:ind w:left="1843" w:hanging="425"/>
        <w:rPr>
          <w:noProof/>
        </w:rPr>
      </w:pPr>
      <w:r w:rsidRPr="00B076D0">
        <w:rPr>
          <w:noProof/>
        </w:rPr>
        <w:t xml:space="preserve">Norādiet atsauces uz juridiskā pamata attiecīgajiem noteikumiem.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54CA155" w14:textId="77777777" w:rsidTr="00017B02">
        <w:tc>
          <w:tcPr>
            <w:tcW w:w="7682" w:type="dxa"/>
            <w:shd w:val="clear" w:color="auto" w:fill="auto"/>
          </w:tcPr>
          <w:p w14:paraId="305A5A72" w14:textId="77777777" w:rsidR="00AA5B76" w:rsidRPr="00B076D0" w:rsidRDefault="00AA5B76" w:rsidP="00017B02">
            <w:pPr>
              <w:rPr>
                <w:noProof/>
              </w:rPr>
            </w:pPr>
            <w:r w:rsidRPr="00B076D0">
              <w:rPr>
                <w:noProof/>
              </w:rPr>
              <w:t xml:space="preserve">... </w:t>
            </w:r>
          </w:p>
        </w:tc>
      </w:tr>
    </w:tbl>
    <w:p w14:paraId="37D5EC28"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color w:val="000000"/>
        </w:rPr>
        <w:t>Norādiet atsauci uz juridiskā pamata attiecīgo noteikumu, kurā ir paredzēts, ka iegādātajiem aktīviem ir jābūt jauniem</w:t>
      </w:r>
      <w:r w:rsidRPr="00B076D0">
        <w:rPr>
          <w:rStyle w:val="FootnoteReference"/>
          <w:noProof/>
        </w:rPr>
        <w:footnoteReference w:id="18"/>
      </w:r>
      <w:bookmarkStart w:id="0" w:name="OLE_LINK1"/>
      <w:bookmarkStart w:id="1" w:name="OLE_LINK2"/>
      <w:bookmarkEnd w:id="0"/>
      <w:bookmarkEnd w:id="1"/>
      <w:r w:rsidRPr="00B076D0">
        <w:rPr>
          <w:noProof/>
        </w:rPr>
        <w:t xml:space="preserve"> (RAP 27.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6867A13" w14:textId="77777777" w:rsidTr="00017B02">
        <w:tc>
          <w:tcPr>
            <w:tcW w:w="7682" w:type="dxa"/>
            <w:shd w:val="clear" w:color="auto" w:fill="auto"/>
          </w:tcPr>
          <w:p w14:paraId="24D18FCD" w14:textId="77777777" w:rsidR="00AA5B76" w:rsidRPr="00B076D0" w:rsidRDefault="00AA5B76" w:rsidP="00017B02">
            <w:pPr>
              <w:rPr>
                <w:noProof/>
              </w:rPr>
            </w:pPr>
            <w:r w:rsidRPr="00B076D0">
              <w:rPr>
                <w:noProof/>
              </w:rPr>
              <w:t xml:space="preserve">... </w:t>
            </w:r>
          </w:p>
        </w:tc>
      </w:tr>
    </w:tbl>
    <w:p w14:paraId="4005F322"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 xml:space="preserve">Norādiet atsauci uz juridiskā pamata attiecīgo noteikumu, kurā ir paredzēts, ka MVU gadījumā attiecināmajās izmaksās var ietvert ne vairāk kā 50 % no priekšizpētes vai konsultāciju izmaksām, kas saistītas ar ieguldījumu (RAP 28. punkts).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12D57C0" w14:textId="77777777" w:rsidTr="00017B02">
        <w:tc>
          <w:tcPr>
            <w:tcW w:w="7682" w:type="dxa"/>
            <w:shd w:val="clear" w:color="auto" w:fill="auto"/>
          </w:tcPr>
          <w:p w14:paraId="3F4D3D16" w14:textId="77777777" w:rsidR="00AA5B76" w:rsidRPr="00B076D0" w:rsidRDefault="00AA5B76" w:rsidP="00017B02">
            <w:pPr>
              <w:rPr>
                <w:noProof/>
              </w:rPr>
            </w:pPr>
            <w:r w:rsidRPr="00B076D0">
              <w:rPr>
                <w:noProof/>
              </w:rPr>
              <w:t>...</w:t>
            </w:r>
          </w:p>
        </w:tc>
      </w:tr>
    </w:tbl>
    <w:p w14:paraId="138C23AA"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 xml:space="preserve">Norādiet atsauci uz juridiskā pamata attiecīgo noteikumu, kurā ir paredzēts, ka attiecībā uz atbalstu, ko piešķir lielajiem uzņēmumiem būtisku izmaiņu veikšanai ražošanas procesā, attiecināmās izmaksas pārsniedz ar modernizējamo darbību saistīto aktīvu amortizāciju pēdējo triju fiskālo gadu laikā (RAP 29. punkts).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0FAE75E5" w14:textId="77777777" w:rsidTr="00017B02">
        <w:tc>
          <w:tcPr>
            <w:tcW w:w="7682" w:type="dxa"/>
            <w:shd w:val="clear" w:color="auto" w:fill="auto"/>
          </w:tcPr>
          <w:p w14:paraId="0240EC1B" w14:textId="77777777" w:rsidR="00AA5B76" w:rsidRPr="00B076D0" w:rsidRDefault="00AA5B76" w:rsidP="00017B02">
            <w:pPr>
              <w:rPr>
                <w:noProof/>
              </w:rPr>
            </w:pPr>
            <w:r w:rsidRPr="00B076D0">
              <w:rPr>
                <w:noProof/>
              </w:rPr>
              <w:t>….</w:t>
            </w:r>
          </w:p>
        </w:tc>
      </w:tr>
    </w:tbl>
    <w:p w14:paraId="32ED7A82"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 xml:space="preserve">Norādiet atsauci uz juridiskā pamata attiecīgo noteikumu, kurā ir paredzēts, ka attiecībā uz atbalstu, ko piešķir esošas uzņēmējdarbības vietas darbības dažādošanai, attiecināmās izmaksas par vismaz 200 % pārsniedz atkārtoti izmantoto aktīvu uzskaites vērtību, kas reģistrēta iepriekšējā fiskālajā gadā pirms darbu sākuma (RAP 30. punkts).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40D95BA" w14:textId="77777777" w:rsidTr="00017B02">
        <w:tc>
          <w:tcPr>
            <w:tcW w:w="7682" w:type="dxa"/>
            <w:shd w:val="clear" w:color="auto" w:fill="auto"/>
          </w:tcPr>
          <w:p w14:paraId="5B818D10" w14:textId="77777777" w:rsidR="00AA5B76" w:rsidRPr="00B076D0" w:rsidRDefault="00AA5B76" w:rsidP="00017B02">
            <w:pPr>
              <w:rPr>
                <w:noProof/>
              </w:rPr>
            </w:pPr>
            <w:r w:rsidRPr="00B076D0">
              <w:rPr>
                <w:noProof/>
              </w:rPr>
              <w:t>...</w:t>
            </w:r>
          </w:p>
        </w:tc>
      </w:tr>
    </w:tbl>
    <w:p w14:paraId="6835BE29"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lastRenderedPageBreak/>
        <w:t xml:space="preserve">Gadījumos, kad paredzēta materiālo aktīvu noma, norādiet atsauces uz juridiskā pamata attiecīgajiem noteikumiem, kuros ir paredzēta turpmāk minēto nosacījumu izpilde (RAP 31. punkts): </w:t>
      </w:r>
    </w:p>
    <w:p w14:paraId="70CD1092" w14:textId="77777777" w:rsidR="00AA5B76" w:rsidRPr="00B076D0" w:rsidRDefault="00AA5B76" w:rsidP="00AA5B76">
      <w:pPr>
        <w:pStyle w:val="Normal127Bullet63"/>
        <w:spacing w:after="120"/>
        <w:rPr>
          <w:noProof/>
        </w:rPr>
      </w:pPr>
      <w:r w:rsidRPr="00B076D0">
        <w:rPr>
          <w:noProof/>
        </w:rPr>
        <w:t>ja tiek nomāta zeme un ēkas, lielo uzņēmumu gadījumā nomai jāilgst vismaz piecus gadus, bet MVU gadījumā vismaz trīs gadus pēc ieguldījuma pabeigšanas paredzamā datuma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AA5B76" w:rsidRPr="00B076D0" w14:paraId="07056B36" w14:textId="77777777" w:rsidTr="00017B02">
        <w:tc>
          <w:tcPr>
            <w:tcW w:w="7399" w:type="dxa"/>
            <w:shd w:val="clear" w:color="auto" w:fill="auto"/>
          </w:tcPr>
          <w:p w14:paraId="06019D8A" w14:textId="77777777" w:rsidR="00AA5B76" w:rsidRPr="00B076D0" w:rsidRDefault="00AA5B76" w:rsidP="00017B02">
            <w:pPr>
              <w:rPr>
                <w:noProof/>
              </w:rPr>
            </w:pPr>
            <w:r w:rsidRPr="00B076D0">
              <w:rPr>
                <w:noProof/>
              </w:rPr>
              <w:t>…</w:t>
            </w:r>
          </w:p>
        </w:tc>
      </w:tr>
    </w:tbl>
    <w:p w14:paraId="75EEB34E" w14:textId="77777777" w:rsidR="00AA5B76" w:rsidRPr="00B076D0" w:rsidRDefault="00AA5B76" w:rsidP="00AA5B76">
      <w:pPr>
        <w:pStyle w:val="Normal127Bullet63"/>
        <w:spacing w:after="120"/>
        <w:rPr>
          <w:noProof/>
        </w:rPr>
      </w:pPr>
      <w:r w:rsidRPr="00B076D0">
        <w:rPr>
          <w:noProof/>
        </w:rPr>
        <w:t xml:space="preserve">ja tiek nomāta ražotne vai tehnika, nomai jābūt finanšu izpirkumnomai (līzingam) un tās līgumā jābūt noteiktam atbalsta saņēmēja pienākumam pēc nomas termiņa beigām aktīvus izpirkt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AA5B76" w:rsidRPr="00B076D0" w14:paraId="7D88B257" w14:textId="77777777" w:rsidTr="00017B02">
        <w:tc>
          <w:tcPr>
            <w:tcW w:w="7399" w:type="dxa"/>
            <w:shd w:val="clear" w:color="auto" w:fill="auto"/>
          </w:tcPr>
          <w:p w14:paraId="6161BC7B" w14:textId="77777777" w:rsidR="00AA5B76" w:rsidRPr="00B076D0" w:rsidRDefault="00AA5B76" w:rsidP="00017B02">
            <w:pPr>
              <w:rPr>
                <w:noProof/>
              </w:rPr>
            </w:pPr>
            <w:r w:rsidRPr="00B076D0">
              <w:rPr>
                <w:noProof/>
              </w:rPr>
              <w:t>...</w:t>
            </w:r>
          </w:p>
        </w:tc>
      </w:tr>
    </w:tbl>
    <w:p w14:paraId="002EB6E2"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RAP 32. punktā ir noteikts, ka uzņēmējdarbības vietas iegādes gadījumā “</w:t>
      </w:r>
      <w:r w:rsidRPr="00B076D0">
        <w:rPr>
          <w:i/>
          <w:noProof/>
          <w:color w:val="000000"/>
        </w:rPr>
        <w:t>principā ņem vērā tikai izmaksas par aktīvu iegādi no trešām personām, kas nav saistītas ar pircēju. Tomēr nosacījums par aktīvu iegādi no trešām personām, kas nav saistītas ar pircēju, nav piemērojams, ja sākotnējā īpašnieka ģimenes loceklis vai darbinieks pārņem mazu uzņēmumu. Darījumam jānotiek atbilstoši tirgus nosacījumiem. Ja uzņēmējdarbības vietas aktīvu iegāde tiek apvienota ar papildu ieguldījumiem, par kuriem var saņemt reģionālo atbalstu, šo papildu ieguldījumu attiecināmās izmaksas jāpieskaita uzņēmējdarbības vietas aktīvu iegādes izmaksām</w:t>
      </w:r>
      <w:r w:rsidRPr="00B076D0">
        <w:rPr>
          <w:noProof/>
          <w:color w:val="000000"/>
        </w:rPr>
        <w:t xml:space="preserve">”. </w:t>
      </w:r>
    </w:p>
    <w:p w14:paraId="1B2AB892" w14:textId="77777777" w:rsidR="00AA5B76" w:rsidRPr="00B076D0" w:rsidRDefault="00AA5B76" w:rsidP="00AA5B76">
      <w:pPr>
        <w:pStyle w:val="NormalKop111"/>
        <w:tabs>
          <w:tab w:val="clear" w:pos="720"/>
          <w:tab w:val="clear" w:pos="1440"/>
          <w:tab w:val="clear" w:pos="1797"/>
        </w:tabs>
        <w:ind w:left="1418"/>
        <w:rPr>
          <w:noProof/>
        </w:rPr>
      </w:pPr>
      <w:r w:rsidRPr="00B076D0">
        <w:rPr>
          <w:noProof/>
        </w:rPr>
        <w:t xml:space="preserve">Ja minētais attiecas uz paziņojamo shēmu, norādiet atsauces uz juridiskā pamata attiecīgajiem noteikumiem, kuros ir paredzēta šo nosacījumu izpilde.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2665D58" w14:textId="77777777" w:rsidTr="00017B02">
        <w:tc>
          <w:tcPr>
            <w:tcW w:w="7682" w:type="dxa"/>
            <w:shd w:val="clear" w:color="auto" w:fill="auto"/>
          </w:tcPr>
          <w:p w14:paraId="50F782EB" w14:textId="77777777" w:rsidR="00AA5B76" w:rsidRPr="00B076D0" w:rsidRDefault="00AA5B76" w:rsidP="00017B02">
            <w:pPr>
              <w:rPr>
                <w:noProof/>
              </w:rPr>
            </w:pPr>
            <w:r w:rsidRPr="00B076D0">
              <w:rPr>
                <w:noProof/>
              </w:rPr>
              <w:t>...</w:t>
            </w:r>
          </w:p>
        </w:tc>
      </w:tr>
    </w:tbl>
    <w:p w14:paraId="6C17C8FD"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Ja shēmas attiecināmās izmaksas attiecas uz nemateriālajiem aktīviem (RAP 19. punkta 15) apakšpunkts), norādiet, vai ieguldījumu vērtība ir noteikta, balstoties uz izdevumiem, ko rada tehnoloģiju pārnese patentu tiesību, licenču, zinātības vai cita intelektuālā īpašuma iegādes ceļā:</w:t>
      </w:r>
    </w:p>
    <w:p w14:paraId="678691D0" w14:textId="77777777" w:rsidR="00AA5B76" w:rsidRPr="00B076D0" w:rsidRDefault="009A0760" w:rsidP="00AA5B76">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patentu tiesības</w:t>
      </w:r>
    </w:p>
    <w:p w14:paraId="3094B4CD" w14:textId="77777777" w:rsidR="00AA5B76" w:rsidRPr="00B076D0" w:rsidRDefault="009A0760" w:rsidP="00AA5B76">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licences</w:t>
      </w:r>
    </w:p>
    <w:p w14:paraId="53E8E6F3" w14:textId="77777777" w:rsidR="00AA5B76" w:rsidRPr="00B076D0" w:rsidRDefault="009A0760" w:rsidP="00AA5B76">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zinātība</w:t>
      </w:r>
    </w:p>
    <w:p w14:paraId="28F0E73F" w14:textId="77777777" w:rsidR="00AA5B76" w:rsidRPr="00B076D0" w:rsidRDefault="009A0760" w:rsidP="00AA5B76">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cits intelektuālais īpašums</w:t>
      </w:r>
    </w:p>
    <w:p w14:paraId="3CE4361A" w14:textId="77777777" w:rsidR="00AA5B76" w:rsidRPr="00B076D0" w:rsidRDefault="00AA5B76" w:rsidP="00AA5B76">
      <w:pPr>
        <w:pStyle w:val="Text2"/>
        <w:ind w:left="1418"/>
        <w:rPr>
          <w:noProof/>
        </w:rPr>
      </w:pPr>
      <w:r w:rsidRPr="00B076D0">
        <w:rPr>
          <w:noProof/>
        </w:rPr>
        <w:t>Norādiet atsauces uz juridiskā pamata attiecīgajiem noteikumiem.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7FD31F5D" w14:textId="77777777" w:rsidTr="00017B02">
        <w:tc>
          <w:tcPr>
            <w:tcW w:w="7682" w:type="dxa"/>
            <w:shd w:val="clear" w:color="auto" w:fill="auto"/>
          </w:tcPr>
          <w:p w14:paraId="19FC5199" w14:textId="77777777" w:rsidR="00AA5B76" w:rsidRPr="00B076D0" w:rsidRDefault="00AA5B76" w:rsidP="00017B02">
            <w:pPr>
              <w:rPr>
                <w:noProof/>
              </w:rPr>
            </w:pPr>
            <w:r w:rsidRPr="00B076D0">
              <w:rPr>
                <w:noProof/>
              </w:rPr>
              <w:t>...</w:t>
            </w:r>
          </w:p>
        </w:tc>
      </w:tr>
    </w:tbl>
    <w:p w14:paraId="6167293F"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Norādiet atsauces uz juridiskā pamata attiecīgajiem noteikumiem, kuros ir paredzēts, ka attiecībā uz lielajiem uzņēmumiem nemateriālo ieguldījumu izmaksas ir attiecināmas lielākais 50 % apmērā no projekta kopējām attiecināmajām ieguldījumu izmaksām (RAP 33.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7C847899" w14:textId="77777777" w:rsidTr="00017B02">
        <w:tc>
          <w:tcPr>
            <w:tcW w:w="7682" w:type="dxa"/>
            <w:shd w:val="clear" w:color="auto" w:fill="auto"/>
          </w:tcPr>
          <w:p w14:paraId="4DA63678" w14:textId="77777777" w:rsidR="00AA5B76" w:rsidRPr="00B076D0" w:rsidRDefault="00AA5B76" w:rsidP="00017B02">
            <w:pPr>
              <w:rPr>
                <w:noProof/>
              </w:rPr>
            </w:pPr>
            <w:r w:rsidRPr="00B076D0">
              <w:rPr>
                <w:noProof/>
              </w:rPr>
              <w:lastRenderedPageBreak/>
              <w:t>...</w:t>
            </w:r>
          </w:p>
        </w:tc>
      </w:tr>
    </w:tbl>
    <w:p w14:paraId="01139214"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color w:val="000000"/>
        </w:rPr>
      </w:pPr>
      <w:r w:rsidRPr="00B076D0">
        <w:rPr>
          <w:noProof/>
          <w:color w:val="000000"/>
        </w:rPr>
        <w:t>Norādiet atsauces uz juridiskā pamata attiecīgajiem noteikumiem, kuros ir paredzēts, ka ir jāizpilda RAP 34. punkta nosacījumi</w:t>
      </w:r>
      <w:r w:rsidRPr="00B076D0">
        <w:rPr>
          <w:rStyle w:val="FootnoteReference"/>
          <w:noProof/>
        </w:rPr>
        <w:footnoteReference w:id="19"/>
      </w:r>
      <w:r w:rsidRPr="00B076D0">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7B03B2A1" w14:textId="77777777" w:rsidTr="00017B02">
        <w:tc>
          <w:tcPr>
            <w:tcW w:w="7682" w:type="dxa"/>
            <w:shd w:val="clear" w:color="auto" w:fill="auto"/>
          </w:tcPr>
          <w:p w14:paraId="66D7AC8E" w14:textId="77777777" w:rsidR="00AA5B76" w:rsidRPr="00B076D0" w:rsidRDefault="00AA5B76" w:rsidP="00017B02">
            <w:pPr>
              <w:rPr>
                <w:noProof/>
              </w:rPr>
            </w:pPr>
            <w:r w:rsidRPr="00B076D0">
              <w:rPr>
                <w:noProof/>
              </w:rPr>
              <w:t>...</w:t>
            </w:r>
          </w:p>
        </w:tc>
      </w:tr>
    </w:tbl>
    <w:p w14:paraId="57E8B722"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Attiecināmo izmaksu aprēķināšana uz algu izmaksu pamata</w:t>
      </w:r>
    </w:p>
    <w:p w14:paraId="15C67BE1"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atsauces uz juridiskā pamata attiecīgajiem noteikumiem, kuros ir paredzēts, kā tiek noteiktas attiecināmās izmaksas, kas aprēķinātas, pamatojoties uz algu izmaksām (RAP 35. punkts), kā tiek aprēķināts radāmo darbvietu skaits (RAP 19. punkta 16) apakšpunkts) un kā tiek noteiktas darbā pieņemto vai vēl pieņemamo personu algu izmaksas (RAP 19. punkta 33) apakšpunkts).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7B587EB" w14:textId="77777777" w:rsidTr="00017B02">
        <w:tc>
          <w:tcPr>
            <w:tcW w:w="7682" w:type="dxa"/>
            <w:shd w:val="clear" w:color="auto" w:fill="auto"/>
          </w:tcPr>
          <w:p w14:paraId="7A8B291F" w14:textId="77777777" w:rsidR="00AA5B76" w:rsidRPr="00B076D0" w:rsidRDefault="00AA5B76" w:rsidP="00017B02">
            <w:pPr>
              <w:rPr>
                <w:noProof/>
              </w:rPr>
            </w:pPr>
            <w:r w:rsidRPr="00B076D0">
              <w:rPr>
                <w:noProof/>
              </w:rPr>
              <w:t>...</w:t>
            </w:r>
          </w:p>
        </w:tc>
      </w:tr>
    </w:tbl>
    <w:p w14:paraId="1A2C0D60"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Attiecināmo izmaksu diskontētās vērtības aprēķins</w:t>
      </w:r>
    </w:p>
    <w:p w14:paraId="2709EEE6"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shēmas ietvaros atļautos atbalsta veidus:</w:t>
      </w:r>
    </w:p>
    <w:p w14:paraId="431EAAEC" w14:textId="77777777" w:rsidR="00AA5B76" w:rsidRPr="00B076D0" w:rsidRDefault="009A0760" w:rsidP="00AA5B76">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dotācijas. Norādiet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A5B76" w:rsidRPr="00B076D0" w14:paraId="4F0A7DB9" w14:textId="77777777" w:rsidTr="00017B02">
        <w:tc>
          <w:tcPr>
            <w:tcW w:w="7115" w:type="dxa"/>
            <w:shd w:val="clear" w:color="auto" w:fill="auto"/>
          </w:tcPr>
          <w:p w14:paraId="0A8FF083" w14:textId="77777777" w:rsidR="00AA5B76" w:rsidRPr="00B076D0" w:rsidRDefault="00AA5B76" w:rsidP="009A0760">
            <w:pPr>
              <w:rPr>
                <w:noProof/>
              </w:rPr>
            </w:pPr>
            <w:r w:rsidRPr="00B076D0">
              <w:rPr>
                <w:noProof/>
              </w:rPr>
              <w:t xml:space="preserve">... </w:t>
            </w:r>
          </w:p>
        </w:tc>
      </w:tr>
    </w:tbl>
    <w:p w14:paraId="6085FB85" w14:textId="77777777" w:rsidR="00AA5B76" w:rsidRPr="00B076D0" w:rsidRDefault="009A0760" w:rsidP="00AA5B76">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aizdevumi. Norādiet, kā tiks aprēķināts dotācijas ekvivalents, un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A5B76" w:rsidRPr="00B076D0" w14:paraId="4F23690F" w14:textId="77777777" w:rsidTr="00017B02">
        <w:tc>
          <w:tcPr>
            <w:tcW w:w="7115" w:type="dxa"/>
            <w:shd w:val="clear" w:color="auto" w:fill="auto"/>
          </w:tcPr>
          <w:p w14:paraId="0F0F0AF1" w14:textId="647223F5" w:rsidR="00AA5B76" w:rsidRPr="00B076D0" w:rsidRDefault="00AA5B76" w:rsidP="009A0760">
            <w:pPr>
              <w:pStyle w:val="ListParagraph"/>
              <w:rPr>
                <w:noProof/>
              </w:rPr>
            </w:pPr>
            <w:r w:rsidRPr="00B076D0">
              <w:rPr>
                <w:noProof/>
              </w:rPr>
              <w:t xml:space="preserve">.. </w:t>
            </w:r>
          </w:p>
        </w:tc>
      </w:tr>
    </w:tbl>
    <w:p w14:paraId="1C82566B" w14:textId="77777777" w:rsidR="00AA5B76" w:rsidRPr="00B076D0" w:rsidRDefault="009A0760" w:rsidP="00AA5B76">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garantijas. Norādiet, kā tiks aprēķināts dotācijas ekvivalents, un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A5B76" w:rsidRPr="00B076D0" w14:paraId="7FDB47C4" w14:textId="77777777" w:rsidTr="00017B02">
        <w:tc>
          <w:tcPr>
            <w:tcW w:w="7115" w:type="dxa"/>
            <w:shd w:val="clear" w:color="auto" w:fill="auto"/>
          </w:tcPr>
          <w:p w14:paraId="4F3A04E9" w14:textId="77777777" w:rsidR="00AA5B76" w:rsidRPr="00B076D0" w:rsidRDefault="00AA5B76" w:rsidP="009A0760">
            <w:pPr>
              <w:rPr>
                <w:noProof/>
              </w:rPr>
            </w:pPr>
            <w:r w:rsidRPr="00B076D0">
              <w:rPr>
                <w:noProof/>
              </w:rPr>
              <w:t>...</w:t>
            </w:r>
          </w:p>
        </w:tc>
      </w:tr>
    </w:tbl>
    <w:p w14:paraId="1A5D2457" w14:textId="77777777" w:rsidR="00AA5B76" w:rsidRPr="00B076D0" w:rsidRDefault="009A0760" w:rsidP="00AA5B76">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nodokļu atvieglojumi. Norādiet konkrēto pasākumu veidu un to, kā tiks aprēķināts dotācijas ekvivalents. Norādiet arī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A5B76" w:rsidRPr="00B076D0" w14:paraId="189FDF21" w14:textId="77777777" w:rsidTr="00017B02">
        <w:tc>
          <w:tcPr>
            <w:tcW w:w="7115" w:type="dxa"/>
            <w:shd w:val="clear" w:color="auto" w:fill="auto"/>
          </w:tcPr>
          <w:p w14:paraId="0247D415" w14:textId="77777777" w:rsidR="00AA5B76" w:rsidRPr="00B076D0" w:rsidRDefault="00AA5B76" w:rsidP="009A0760">
            <w:pPr>
              <w:rPr>
                <w:noProof/>
              </w:rPr>
            </w:pPr>
            <w:r w:rsidRPr="00B076D0">
              <w:rPr>
                <w:noProof/>
              </w:rPr>
              <w:t>...</w:t>
            </w:r>
          </w:p>
        </w:tc>
      </w:tr>
    </w:tbl>
    <w:p w14:paraId="483FC2FE" w14:textId="77777777" w:rsidR="00AA5B76" w:rsidRPr="00B076D0" w:rsidRDefault="009A0760" w:rsidP="00AA5B76">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cits. Norādiet atbalsta veidu un to, kā tiks aprēķināts dotācijas ekvivalents. Norādiet arī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A5B76" w:rsidRPr="00B076D0" w14:paraId="13C992E7" w14:textId="77777777" w:rsidTr="00017B02">
        <w:tc>
          <w:tcPr>
            <w:tcW w:w="7115" w:type="dxa"/>
            <w:shd w:val="clear" w:color="auto" w:fill="auto"/>
          </w:tcPr>
          <w:p w14:paraId="51285820" w14:textId="77777777" w:rsidR="00AA5B76" w:rsidRPr="00B076D0" w:rsidRDefault="00AA5B76" w:rsidP="00017B02">
            <w:pPr>
              <w:rPr>
                <w:noProof/>
              </w:rPr>
            </w:pPr>
            <w:r w:rsidRPr="00B076D0">
              <w:rPr>
                <w:noProof/>
              </w:rPr>
              <w:t>…</w:t>
            </w:r>
          </w:p>
        </w:tc>
      </w:tr>
    </w:tbl>
    <w:p w14:paraId="37156223"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Vai atbalsta shēma kvalificējas līdzfinansēšanai no kāda no ES fondiem, kuri tiek īstenoti dalītajā pārvaldībā (“fondi”)? Ja kvalificējas, norādiet, no kuras programmas varētu tikt saņemts finansējums. Norādiet arī piesaistāmā fondu finansējuma summu, ja tā šajā posmā ir jau zināma.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82F1A56" w14:textId="77777777" w:rsidTr="00017B02">
        <w:tc>
          <w:tcPr>
            <w:tcW w:w="7682" w:type="dxa"/>
            <w:tcBorders>
              <w:top w:val="dotted" w:sz="4" w:space="0" w:color="auto"/>
              <w:left w:val="dotted" w:sz="4" w:space="0" w:color="auto"/>
              <w:bottom w:val="dotted" w:sz="4" w:space="0" w:color="auto"/>
              <w:right w:val="dotted" w:sz="4" w:space="0" w:color="auto"/>
            </w:tcBorders>
          </w:tcPr>
          <w:p w14:paraId="4A62B7B9" w14:textId="77777777" w:rsidR="00AA5B76" w:rsidRPr="00B076D0" w:rsidRDefault="00AA5B76" w:rsidP="00017B02">
            <w:pPr>
              <w:rPr>
                <w:noProof/>
              </w:rPr>
            </w:pPr>
            <w:r w:rsidRPr="00B076D0">
              <w:rPr>
                <w:noProof/>
              </w:rPr>
              <w:t>...</w:t>
            </w:r>
          </w:p>
        </w:tc>
      </w:tr>
    </w:tbl>
    <w:p w14:paraId="52121ED2"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 xml:space="preserve">Norādiet atsauces uz juridiskā pamata attiecīgajiem noteikumiem, kuros ir paredzēts, ka atbalsta piešķīrējiestādei pirms individuālā atbalsta piešķiršanas paziņotās shēmas ietvaros ir jānoskaidro, vai saņēmējs (grupas līmenī) ir saņēmis atbalstu par vienu vai vairākiem sākotnējiem ieguldījumiem, kuri sākti tajā pašā </w:t>
      </w:r>
      <w:r w:rsidRPr="00B076D0">
        <w:rPr>
          <w:i/>
          <w:noProof/>
        </w:rPr>
        <w:t>NUTS</w:t>
      </w:r>
      <w:r w:rsidRPr="00B076D0">
        <w:rPr>
          <w:noProof/>
        </w:rPr>
        <w:t xml:space="preserve"> 3. līmeņa reģionā triju gadu laikā pirms dienas, kad paredzēts sākt darbus pie konkrētā ieguldījumu projekta.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2D94317" w14:textId="77777777" w:rsidTr="00017B02">
        <w:tc>
          <w:tcPr>
            <w:tcW w:w="7682" w:type="dxa"/>
            <w:tcBorders>
              <w:top w:val="dotted" w:sz="4" w:space="0" w:color="auto"/>
              <w:left w:val="dotted" w:sz="4" w:space="0" w:color="auto"/>
              <w:bottom w:val="dotted" w:sz="4" w:space="0" w:color="auto"/>
              <w:right w:val="dotted" w:sz="4" w:space="0" w:color="auto"/>
            </w:tcBorders>
          </w:tcPr>
          <w:p w14:paraId="1C35465E" w14:textId="77777777" w:rsidR="00AA5B76" w:rsidRPr="00B076D0" w:rsidRDefault="00AA5B76" w:rsidP="00017B02">
            <w:pPr>
              <w:rPr>
                <w:noProof/>
              </w:rPr>
            </w:pPr>
            <w:r w:rsidRPr="00B076D0">
              <w:rPr>
                <w:noProof/>
              </w:rPr>
              <w:t>...</w:t>
            </w:r>
          </w:p>
        </w:tc>
      </w:tr>
    </w:tbl>
    <w:p w14:paraId="23EF9303"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atsauces uz juridiskā pamata attiecīgajiem noteikumiem, kuros ir paredzēts, ka nevienam sākotnējo ieguldījumu projektam shēmas ietvaros piešķiramā atbalsta kopsumma nepārsniegs summu, kas izriet no “atbalsta maksimālās intensitātes” (definēta RAP 19. punkta 19) apakšpunktā), MVU gadījumā ņemot vērā atbalsta palielināto intensitāti (saskaņā ar RAP 186. punktu), vai attiecīgā gadījumā “atbalsta koriģēto summu” (saskaņā ar RAP 19. punkta 3) apakšpunktu).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95C40C0" w14:textId="77777777" w:rsidTr="00017B02">
        <w:tc>
          <w:tcPr>
            <w:tcW w:w="7682" w:type="dxa"/>
            <w:tcBorders>
              <w:top w:val="dotted" w:sz="4" w:space="0" w:color="auto"/>
              <w:left w:val="dotted" w:sz="4" w:space="0" w:color="auto"/>
              <w:bottom w:val="dotted" w:sz="4" w:space="0" w:color="auto"/>
              <w:right w:val="dotted" w:sz="4" w:space="0" w:color="auto"/>
            </w:tcBorders>
          </w:tcPr>
          <w:p w14:paraId="38E7A2C5" w14:textId="77777777" w:rsidR="00AA5B76" w:rsidRPr="00B076D0" w:rsidRDefault="00AA5B76" w:rsidP="00017B02">
            <w:pPr>
              <w:rPr>
                <w:noProof/>
              </w:rPr>
            </w:pPr>
            <w:r w:rsidRPr="00B076D0">
              <w:rPr>
                <w:noProof/>
              </w:rPr>
              <w:t>...</w:t>
            </w:r>
          </w:p>
        </w:tc>
      </w:tr>
    </w:tbl>
    <w:p w14:paraId="532CCFC7"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 xml:space="preserve">Norādiet atsauces uz juridiskā pamata attiecīgajiem noteikumiem, kuros ir paredzēts, ka, ja individuālo atbalstu paredzēts piešķirt no vairākām reģionālā atbalsta shēmām vai kumulēt ar </w:t>
      </w:r>
      <w:r w:rsidRPr="00B076D0">
        <w:rPr>
          <w:i/>
          <w:iCs/>
          <w:noProof/>
        </w:rPr>
        <w:t>ad hoc</w:t>
      </w:r>
      <w:r w:rsidRPr="00B076D0">
        <w:rPr>
          <w:noProof/>
        </w:rPr>
        <w:t xml:space="preserve"> atbalstu, pirmā piešķīrējiestāde iepriekš aprēķina šā projekta maksimāli pieļaujamo atbalsta intensitāti (RAP 99.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5C24E81" w14:textId="77777777" w:rsidTr="00017B02">
        <w:tc>
          <w:tcPr>
            <w:tcW w:w="7682" w:type="dxa"/>
            <w:tcBorders>
              <w:top w:val="dotted" w:sz="4" w:space="0" w:color="auto"/>
              <w:left w:val="dotted" w:sz="4" w:space="0" w:color="auto"/>
              <w:bottom w:val="dotted" w:sz="4" w:space="0" w:color="auto"/>
              <w:right w:val="dotted" w:sz="4" w:space="0" w:color="auto"/>
            </w:tcBorders>
          </w:tcPr>
          <w:p w14:paraId="792BF0D0" w14:textId="77777777" w:rsidR="00AA5B76" w:rsidRPr="00B076D0" w:rsidRDefault="00AA5B76" w:rsidP="00017B02">
            <w:pPr>
              <w:rPr>
                <w:noProof/>
              </w:rPr>
            </w:pPr>
            <w:r w:rsidRPr="00B076D0">
              <w:rPr>
                <w:noProof/>
              </w:rPr>
              <w:t>...</w:t>
            </w:r>
          </w:p>
        </w:tc>
      </w:tr>
    </w:tbl>
    <w:p w14:paraId="2A4A76EB"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 xml:space="preserve">Ja atbalsta shēma pieļauj atbalstu sākotnējiem ieguldījumiem, kas saistīti ar Eiropas teritoriālās sadarbības (ETS) projektiem, norādiet atsauces uz juridiskā pamata attiecīgajiem noteikumiem, kuros saskaņā ar RAP 100. punkta noteikumiem ir paredzēts, kā tiks noteikta projektam un visiem attiecīgajiem atbalsta saņēmējiem piemērojamā atbalsta maksimālā intensitāte.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51FF8652" w14:textId="77777777" w:rsidTr="00017B02">
        <w:tc>
          <w:tcPr>
            <w:tcW w:w="7682" w:type="dxa"/>
            <w:tcBorders>
              <w:top w:val="dotted" w:sz="4" w:space="0" w:color="auto"/>
              <w:left w:val="dotted" w:sz="4" w:space="0" w:color="auto"/>
              <w:bottom w:val="dotted" w:sz="4" w:space="0" w:color="auto"/>
              <w:right w:val="dotted" w:sz="4" w:space="0" w:color="auto"/>
            </w:tcBorders>
          </w:tcPr>
          <w:p w14:paraId="05C0D6DD" w14:textId="77777777" w:rsidR="00AA5B76" w:rsidRPr="00B076D0" w:rsidRDefault="00AA5B76" w:rsidP="00017B02">
            <w:pPr>
              <w:rPr>
                <w:noProof/>
              </w:rPr>
            </w:pPr>
            <w:r w:rsidRPr="00B076D0">
              <w:rPr>
                <w:noProof/>
              </w:rPr>
              <w:t>...</w:t>
            </w:r>
          </w:p>
        </w:tc>
      </w:tr>
    </w:tbl>
    <w:p w14:paraId="52D0CDCE" w14:textId="4B51A03C" w:rsidR="00AA5B76" w:rsidRPr="00B076D0" w:rsidRDefault="00AA5B76" w:rsidP="00AA5B76">
      <w:pPr>
        <w:pStyle w:val="Heading1"/>
        <w:rPr>
          <w:noProof/>
        </w:rPr>
      </w:pPr>
      <w:r w:rsidRPr="00B076D0">
        <w:rPr>
          <w:noProof/>
        </w:rPr>
        <w:lastRenderedPageBreak/>
        <w:t>Atbalsta shēmas saderības novērtējums</w:t>
      </w:r>
    </w:p>
    <w:p w14:paraId="2F7445C2"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Reģionālās attīstības sekmēšana, pozitīvā ietekme un valsts iejaukšanās nepieciešamība</w:t>
      </w:r>
    </w:p>
    <w:p w14:paraId="1AA4E8DD"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Paskaidrojiet, kāpēc šī shēma atbilst attiecīgā apgabala attīstības stratēģijai un sekmē tās īstenošanu (RAP 44. punkts).</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AA5B76" w:rsidRPr="00B076D0" w14:paraId="0BBC5253" w14:textId="77777777" w:rsidTr="009A0760">
        <w:tc>
          <w:tcPr>
            <w:tcW w:w="7780" w:type="dxa"/>
            <w:tcBorders>
              <w:top w:val="dotted" w:sz="4" w:space="0" w:color="auto"/>
              <w:left w:val="dotted" w:sz="4" w:space="0" w:color="auto"/>
              <w:bottom w:val="dotted" w:sz="4" w:space="0" w:color="auto"/>
              <w:right w:val="dotted" w:sz="4" w:space="0" w:color="auto"/>
            </w:tcBorders>
          </w:tcPr>
          <w:p w14:paraId="43862167" w14:textId="77777777" w:rsidR="00AA5B76" w:rsidRPr="00B076D0" w:rsidRDefault="00AA5B76" w:rsidP="00017B02">
            <w:pPr>
              <w:rPr>
                <w:noProof/>
              </w:rPr>
            </w:pPr>
            <w:r w:rsidRPr="00B076D0">
              <w:rPr>
                <w:noProof/>
              </w:rPr>
              <w:t>...</w:t>
            </w:r>
          </w:p>
        </w:tc>
      </w:tr>
    </w:tbl>
    <w:p w14:paraId="52AEEED3"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atsauces uz juridiskā pamata attiecīgajiem noteikumiem, kuros ir ietverta prasība, ka tad, ja to paredz tiesību akti, pirms atbalsta piešķiršanas individuāliem projektiem par attiecīgajiem ieguldījumiem jāveic vidiskās ietekmes novērtējums (“VIN”) (RAP 49.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3B229B89" w14:textId="77777777" w:rsidTr="00017B02">
        <w:tc>
          <w:tcPr>
            <w:tcW w:w="7682" w:type="dxa"/>
            <w:tcBorders>
              <w:top w:val="dotted" w:sz="4" w:space="0" w:color="auto"/>
              <w:left w:val="dotted" w:sz="4" w:space="0" w:color="auto"/>
              <w:bottom w:val="dotted" w:sz="4" w:space="0" w:color="auto"/>
              <w:right w:val="dotted" w:sz="4" w:space="0" w:color="auto"/>
            </w:tcBorders>
          </w:tcPr>
          <w:p w14:paraId="1C0D0918" w14:textId="77777777" w:rsidR="00AA5B76" w:rsidRPr="00B076D0" w:rsidRDefault="00AA5B76" w:rsidP="00017B02">
            <w:pPr>
              <w:tabs>
                <w:tab w:val="left" w:pos="720"/>
                <w:tab w:val="left" w:pos="1077"/>
                <w:tab w:val="left" w:pos="1440"/>
                <w:tab w:val="left" w:pos="1797"/>
              </w:tabs>
              <w:rPr>
                <w:noProof/>
              </w:rPr>
            </w:pPr>
            <w:r w:rsidRPr="00B076D0">
              <w:rPr>
                <w:noProof/>
              </w:rPr>
              <w:t>...</w:t>
            </w:r>
          </w:p>
        </w:tc>
      </w:tr>
    </w:tbl>
    <w:p w14:paraId="39B5AAFD"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Paskaidrojiet, kā piešķīrējiestādes sarindos ieguldījumu projektus atbilstoši prioritātēm un atlasīs tos, kuri atbilst shēmas mērķiem (piemēram, uz punktu metodes pamata) (RAP 44. punkts). Norādiet arī atsauces uz juridiskā pamata attiecīgajiem noteikumiem vai citiem administratīvajiem aktiem, kuri attiecas uz šo.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AA25D8F" w14:textId="77777777" w:rsidTr="00017B02">
        <w:tc>
          <w:tcPr>
            <w:tcW w:w="7682" w:type="dxa"/>
            <w:tcBorders>
              <w:top w:val="dotted" w:sz="4" w:space="0" w:color="auto"/>
              <w:left w:val="dotted" w:sz="4" w:space="0" w:color="auto"/>
              <w:bottom w:val="dotted" w:sz="4" w:space="0" w:color="auto"/>
              <w:right w:val="dotted" w:sz="4" w:space="0" w:color="auto"/>
            </w:tcBorders>
          </w:tcPr>
          <w:p w14:paraId="096D8C0C" w14:textId="77777777" w:rsidR="00AA5B76" w:rsidRPr="00B076D0" w:rsidRDefault="00AA5B76" w:rsidP="00017B02">
            <w:pPr>
              <w:tabs>
                <w:tab w:val="left" w:pos="720"/>
                <w:tab w:val="left" w:pos="1077"/>
                <w:tab w:val="left" w:pos="1440"/>
                <w:tab w:val="left" w:pos="1797"/>
              </w:tabs>
              <w:rPr>
                <w:noProof/>
              </w:rPr>
            </w:pPr>
            <w:r w:rsidRPr="00B076D0">
              <w:rPr>
                <w:noProof/>
              </w:rPr>
              <w:t>...</w:t>
            </w:r>
          </w:p>
        </w:tc>
      </w:tr>
    </w:tbl>
    <w:p w14:paraId="51EC0F70"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Paskaidrojiet, kā, uz paziņojamās shēmas pamata piešķirot atbalstu individuāliem ieguldījumu projektiem, atbalsta piešķīrējiestāde pārliecināsies, ka atlasītais projekts vai projekti sekmēs shēmas mērķa sasniegšanu un līdz ar to arī attiecīgā apgabala attīstības stratēģijas īstenošanu (RAP 46.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8556B72" w14:textId="77777777" w:rsidTr="00017B02">
        <w:tc>
          <w:tcPr>
            <w:tcW w:w="7682" w:type="dxa"/>
            <w:tcBorders>
              <w:top w:val="dotted" w:sz="4" w:space="0" w:color="auto"/>
              <w:left w:val="dotted" w:sz="4" w:space="0" w:color="auto"/>
              <w:bottom w:val="dotted" w:sz="4" w:space="0" w:color="auto"/>
              <w:right w:val="dotted" w:sz="4" w:space="0" w:color="auto"/>
            </w:tcBorders>
          </w:tcPr>
          <w:p w14:paraId="68192961" w14:textId="77777777" w:rsidR="00AA5B76" w:rsidRPr="00B076D0" w:rsidRDefault="00AA5B76" w:rsidP="00017B02">
            <w:pPr>
              <w:tabs>
                <w:tab w:val="left" w:pos="720"/>
                <w:tab w:val="left" w:pos="1077"/>
                <w:tab w:val="left" w:pos="1440"/>
                <w:tab w:val="left" w:pos="1797"/>
              </w:tabs>
              <w:rPr>
                <w:noProof/>
              </w:rPr>
            </w:pPr>
            <w:r w:rsidRPr="00B076D0">
              <w:rPr>
                <w:noProof/>
              </w:rPr>
              <w:t>...</w:t>
            </w:r>
          </w:p>
        </w:tc>
      </w:tr>
    </w:tbl>
    <w:p w14:paraId="7007BBE5"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Paskaidrojiet, kā paredzēts īstenot noteikumu, ka ieguldījumiem, kas atbalstīti paziņojamās shēmas ietvaros, jāpaliek attiecīgajā apgabalā vismaz piecus gadus vai MVU gadījumā trīs gadus pēc to pabeigšanas (RAP 47. punkts). Norādiet atsauces uz juridiskā pamata attiecīgajiem noteikumiem.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D5723C6" w14:textId="77777777" w:rsidTr="00017B02">
        <w:tc>
          <w:tcPr>
            <w:tcW w:w="7682" w:type="dxa"/>
            <w:tcBorders>
              <w:top w:val="dotted" w:sz="4" w:space="0" w:color="auto"/>
              <w:left w:val="dotted" w:sz="4" w:space="0" w:color="auto"/>
              <w:bottom w:val="dotted" w:sz="4" w:space="0" w:color="auto"/>
              <w:right w:val="dotted" w:sz="4" w:space="0" w:color="auto"/>
            </w:tcBorders>
          </w:tcPr>
          <w:p w14:paraId="73C024F8" w14:textId="77777777" w:rsidR="00AA5B76" w:rsidRPr="00B076D0" w:rsidRDefault="00AA5B76" w:rsidP="00017B02">
            <w:pPr>
              <w:tabs>
                <w:tab w:val="left" w:pos="720"/>
                <w:tab w:val="left" w:pos="1077"/>
                <w:tab w:val="left" w:pos="1440"/>
                <w:tab w:val="left" w:pos="1797"/>
              </w:tabs>
              <w:rPr>
                <w:noProof/>
              </w:rPr>
            </w:pPr>
            <w:r w:rsidRPr="00B076D0">
              <w:rPr>
                <w:noProof/>
              </w:rPr>
              <w:t>...</w:t>
            </w:r>
          </w:p>
        </w:tc>
      </w:tr>
    </w:tbl>
    <w:p w14:paraId="03042924"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Ja atbalsts paziņojamās shēmas ietvaros tiek aprēķināts, balstoties uz algu izmaksām, paskaidrojiet, kā tiks izpildīts noteikums, kas paredz, ka darbvietas ir jāizveido triju gadu laikā no ieguldījuma pabeigšanas un ka katra darbvieta, kas radīta konkrētā ieguldījuma rezultātā, attiecīgajā apgabalā jāsaglabā vismaz piecus gadus vai MVU gadījumā trīs gadus no dienas, kad attiecīgā amata vieta pirmo reizi aizpildīta (RAP 36. punkts). Norādiet atsauci uz juridiskā pamata attiecīgo noteikumu.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8F05533" w14:textId="77777777" w:rsidTr="00017B02">
        <w:tc>
          <w:tcPr>
            <w:tcW w:w="7682" w:type="dxa"/>
            <w:tcBorders>
              <w:top w:val="dotted" w:sz="4" w:space="0" w:color="auto"/>
              <w:left w:val="dotted" w:sz="4" w:space="0" w:color="auto"/>
              <w:bottom w:val="dotted" w:sz="4" w:space="0" w:color="auto"/>
              <w:right w:val="dotted" w:sz="4" w:space="0" w:color="auto"/>
            </w:tcBorders>
          </w:tcPr>
          <w:p w14:paraId="51AB051F" w14:textId="77777777" w:rsidR="00AA5B76" w:rsidRPr="00B076D0" w:rsidRDefault="00AA5B76" w:rsidP="00017B02">
            <w:pPr>
              <w:tabs>
                <w:tab w:val="left" w:pos="720"/>
                <w:tab w:val="left" w:pos="1077"/>
                <w:tab w:val="left" w:pos="1440"/>
                <w:tab w:val="left" w:pos="1797"/>
              </w:tabs>
              <w:rPr>
                <w:noProof/>
              </w:rPr>
            </w:pPr>
            <w:r w:rsidRPr="00B076D0">
              <w:rPr>
                <w:noProof/>
              </w:rPr>
              <w:t>...</w:t>
            </w:r>
          </w:p>
        </w:tc>
      </w:tr>
    </w:tbl>
    <w:p w14:paraId="27015554"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lastRenderedPageBreak/>
        <w:t>Norādiet atsauces uz juridiskā pamata attiecīgajiem noteikumiem, kuros ir paredzēts, ka saņēmējiem jānodrošina finansējums vismaz 25 % apmērā no attiecināmajām izmaksām, izmantojot pašu līdzekļus vai ārējo finansējumu, par ko nav saņemts nekāds publiskais atbalsts</w:t>
      </w:r>
      <w:r w:rsidRPr="00B076D0">
        <w:rPr>
          <w:rStyle w:val="FootnoteReference"/>
          <w:noProof/>
        </w:rPr>
        <w:footnoteReference w:id="20"/>
      </w:r>
      <w:r w:rsidRPr="00B076D0">
        <w:rPr>
          <w:noProof/>
        </w:rPr>
        <w:t xml:space="preserve"> (RAP 48.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3D976655" w14:textId="77777777" w:rsidTr="00017B02">
        <w:tc>
          <w:tcPr>
            <w:tcW w:w="7682" w:type="dxa"/>
            <w:tcBorders>
              <w:top w:val="dotted" w:sz="4" w:space="0" w:color="auto"/>
              <w:left w:val="dotted" w:sz="4" w:space="0" w:color="auto"/>
              <w:bottom w:val="dotted" w:sz="4" w:space="0" w:color="auto"/>
              <w:right w:val="dotted" w:sz="4" w:space="0" w:color="auto"/>
            </w:tcBorders>
          </w:tcPr>
          <w:p w14:paraId="79333C26" w14:textId="77777777" w:rsidR="00AA5B76" w:rsidRPr="00B076D0" w:rsidRDefault="00AA5B76" w:rsidP="00017B02">
            <w:pPr>
              <w:rPr>
                <w:noProof/>
                <w:szCs w:val="24"/>
              </w:rPr>
            </w:pPr>
            <w:r w:rsidRPr="00B076D0">
              <w:rPr>
                <w:noProof/>
              </w:rPr>
              <w:t>...</w:t>
            </w:r>
          </w:p>
        </w:tc>
      </w:tr>
    </w:tbl>
    <w:p w14:paraId="743D8D56"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atsauces uz juridiskā pamata attiecīgajiem noteikumiem, kuros ir paredzēts, ka shēmā ir jābūt ievērotām maksimālajām intensitātēm, kuras noteiktas reģionālā atbalsta kartē, kas ir piemērojama atbalsta piešķiršanas laikā (RAP 88. punkts). Norādiet arī atsauci uz Komisijas lēmumu, ar kuru apstiprināta attiecīgā reģionālā atbalsta karte.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344DAB9B" w14:textId="77777777" w:rsidTr="00017B02">
        <w:tc>
          <w:tcPr>
            <w:tcW w:w="7682" w:type="dxa"/>
            <w:tcBorders>
              <w:top w:val="dotted" w:sz="4" w:space="0" w:color="auto"/>
              <w:left w:val="dotted" w:sz="4" w:space="0" w:color="auto"/>
              <w:bottom w:val="dotted" w:sz="4" w:space="0" w:color="auto"/>
              <w:right w:val="dotted" w:sz="4" w:space="0" w:color="auto"/>
            </w:tcBorders>
          </w:tcPr>
          <w:p w14:paraId="786420DD" w14:textId="77777777" w:rsidR="00AA5B76" w:rsidRPr="00B076D0" w:rsidRDefault="00AA5B76" w:rsidP="00017B02">
            <w:pPr>
              <w:rPr>
                <w:noProof/>
                <w:szCs w:val="24"/>
              </w:rPr>
            </w:pPr>
            <w:r w:rsidRPr="00B076D0">
              <w:rPr>
                <w:noProof/>
              </w:rPr>
              <w:t>...</w:t>
            </w:r>
          </w:p>
        </w:tc>
      </w:tr>
    </w:tbl>
    <w:p w14:paraId="22BD33C0"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Shēmas stimulējošā ietekme</w:t>
      </w:r>
    </w:p>
    <w:p w14:paraId="4F770971"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atsauces uz juridiskā pamata attiecīgajiem noteikumiem, kuros ir paredzēts, ka atbalsta pieteikumam jābūt iesniegtam pirms darbu sākšanas pie konkrētā ieguldījumu projekta (RAP 62.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5E896CF7" w14:textId="77777777" w:rsidTr="00017B02">
        <w:tc>
          <w:tcPr>
            <w:tcW w:w="7682" w:type="dxa"/>
            <w:shd w:val="clear" w:color="auto" w:fill="auto"/>
          </w:tcPr>
          <w:p w14:paraId="24B212D6" w14:textId="77777777" w:rsidR="00AA5B76" w:rsidRPr="00B076D0" w:rsidRDefault="00AA5B76" w:rsidP="00017B02">
            <w:pPr>
              <w:rPr>
                <w:noProof/>
              </w:rPr>
            </w:pPr>
            <w:r w:rsidRPr="00B076D0">
              <w:rPr>
                <w:noProof/>
              </w:rPr>
              <w:t>...</w:t>
            </w:r>
          </w:p>
        </w:tc>
      </w:tr>
    </w:tbl>
    <w:p w14:paraId="592615AC"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atsauces uz juridiskā pamata attiecīgajiem noteikumiem, kuros ir paredzēts, ka atbalsta pieteikuma iesniedzējiem paziņojamās shēmas ietvaros būs pienākums izmantot pieteikuma standartveidni, kuru nodrošina atbalsta piešķīrējiestāde un kurā tiem jāapraksta hipotētiskais scenārijs, t. i., kas notiktu, ja atbalsts tiem netiktu piešķirts, un jānorāda, kurš no scenārijiem (</w:t>
      </w:r>
      <w:r w:rsidRPr="00B076D0">
        <w:rPr>
          <w:i/>
          <w:noProof/>
        </w:rPr>
        <w:t>1. scenārijs</w:t>
      </w:r>
      <w:r w:rsidRPr="00B076D0">
        <w:rPr>
          <w:noProof/>
        </w:rPr>
        <w:t xml:space="preserve"> – lēmums par ieguldījumiem – vai </w:t>
      </w:r>
      <w:r w:rsidRPr="00B076D0">
        <w:rPr>
          <w:i/>
          <w:noProof/>
        </w:rPr>
        <w:t>2. scenārijs</w:t>
      </w:r>
      <w:r w:rsidRPr="00B076D0">
        <w:rPr>
          <w:noProof/>
        </w:rPr>
        <w:t> – lēmums par atrašanās vietu) ir atbilstošais (RAP 64. un 59. punkts).</w:t>
      </w:r>
      <w:r w:rsidRPr="00B076D0">
        <w:rPr>
          <w:noProof/>
          <w:color w:val="000000"/>
        </w:rPr>
        <w:t xml:space="preserve"> Ja pieteikuma standartveidnē prasītā informācija atšķiras no RAP VII pielikumā noteiktās informācijas, iesniedziet veidnes kopiju.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7D3FE830" w14:textId="77777777" w:rsidTr="00017B02">
        <w:tc>
          <w:tcPr>
            <w:tcW w:w="7682" w:type="dxa"/>
            <w:shd w:val="clear" w:color="auto" w:fill="auto"/>
          </w:tcPr>
          <w:p w14:paraId="251A4E70" w14:textId="77777777" w:rsidR="00AA5B76" w:rsidRPr="00B076D0" w:rsidRDefault="00AA5B76" w:rsidP="00017B02">
            <w:pPr>
              <w:rPr>
                <w:noProof/>
              </w:rPr>
            </w:pPr>
            <w:r w:rsidRPr="00B076D0">
              <w:rPr>
                <w:noProof/>
              </w:rPr>
              <w:t>...</w:t>
            </w:r>
          </w:p>
        </w:tc>
      </w:tr>
    </w:tbl>
    <w:p w14:paraId="17BB80E9"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Norādiet atsauces uz juridiskā pamata attiecīgajiem noteikumiem, kuros ir paredzēts, ka lielajiem uzņēmumiem, kuri piesakās uz atbalstu paziņojamās shēmas ietvaros, ir jāiesniedz dokumentāri pierādījumi, kas pamato aprakstīto hipotētisko scenāriju (RAP 65. punkts). Norādiet arī, kāda veida dokumenti tiks prasīti.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EDF4209" w14:textId="77777777" w:rsidTr="00017B02">
        <w:tc>
          <w:tcPr>
            <w:tcW w:w="7682" w:type="dxa"/>
            <w:shd w:val="clear" w:color="auto" w:fill="auto"/>
          </w:tcPr>
          <w:p w14:paraId="0F4D2DB5" w14:textId="77777777" w:rsidR="00AA5B76" w:rsidRPr="00B076D0" w:rsidRDefault="00AA5B76" w:rsidP="00017B02">
            <w:pPr>
              <w:rPr>
                <w:noProof/>
              </w:rPr>
            </w:pPr>
            <w:r w:rsidRPr="00B076D0">
              <w:rPr>
                <w:noProof/>
              </w:rPr>
              <w:t>...</w:t>
            </w:r>
          </w:p>
        </w:tc>
      </w:tr>
    </w:tbl>
    <w:p w14:paraId="75F51F78" w14:textId="77777777" w:rsidR="00AA5B76" w:rsidRPr="00B076D0" w:rsidRDefault="00AA5B76" w:rsidP="00AA5B76">
      <w:pPr>
        <w:pStyle w:val="NormalKop111"/>
        <w:numPr>
          <w:ilvl w:val="2"/>
          <w:numId w:val="22"/>
        </w:numPr>
        <w:tabs>
          <w:tab w:val="clear" w:pos="720"/>
          <w:tab w:val="clear" w:pos="1440"/>
          <w:tab w:val="clear" w:pos="1797"/>
        </w:tabs>
        <w:ind w:left="1418" w:hanging="698"/>
        <w:rPr>
          <w:rFonts w:cs="Times New Roman"/>
          <w:noProof/>
        </w:rPr>
      </w:pPr>
      <w:r w:rsidRPr="00B076D0">
        <w:rPr>
          <w:noProof/>
        </w:rPr>
        <w:t xml:space="preserve">Norādiet atsauces uz juridiskā pamata attiecīgajiem noteikumiem, kuros ir paredzēts, ka, novērtējot individuālā atbalsta pieteikumus, atbalsta </w:t>
      </w:r>
      <w:r w:rsidRPr="00B076D0">
        <w:rPr>
          <w:noProof/>
        </w:rPr>
        <w:lastRenderedPageBreak/>
        <w:t xml:space="preserve">piešķīrējiestādei ir pienākums veikt iesniegtā hipotētiskā scenārija ticamības pārbaudi un pārliecināties, ka reģionālajam atbalstam ir nepieciešamā stimulējošā ietekme, kas atbilst </w:t>
      </w:r>
      <w:r w:rsidRPr="00B076D0">
        <w:rPr>
          <w:i/>
          <w:iCs/>
          <w:noProof/>
        </w:rPr>
        <w:t>1. scenārijam</w:t>
      </w:r>
      <w:r w:rsidRPr="00B076D0">
        <w:rPr>
          <w:noProof/>
        </w:rPr>
        <w:t xml:space="preserve"> vai </w:t>
      </w:r>
      <w:r w:rsidRPr="00B076D0">
        <w:rPr>
          <w:i/>
          <w:iCs/>
          <w:noProof/>
        </w:rPr>
        <w:t>2. scenārijam</w:t>
      </w:r>
      <w:r w:rsidRPr="00B076D0">
        <w:rPr>
          <w:rStyle w:val="FootnoteReference"/>
          <w:noProof/>
        </w:rPr>
        <w:footnoteReference w:id="21"/>
      </w:r>
      <w:r w:rsidRPr="00B076D0">
        <w:rPr>
          <w:noProof/>
        </w:rPr>
        <w:t xml:space="preserve"> (RAP 66.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3775BC2" w14:textId="77777777" w:rsidTr="00017B02">
        <w:tc>
          <w:tcPr>
            <w:tcW w:w="7682" w:type="dxa"/>
            <w:shd w:val="clear" w:color="auto" w:fill="auto"/>
          </w:tcPr>
          <w:p w14:paraId="57C53461" w14:textId="77777777" w:rsidR="00AA5B76" w:rsidRPr="00B076D0" w:rsidRDefault="00AA5B76" w:rsidP="00017B02">
            <w:pPr>
              <w:rPr>
                <w:noProof/>
              </w:rPr>
            </w:pPr>
            <w:r w:rsidRPr="00B076D0">
              <w:rPr>
                <w:noProof/>
              </w:rPr>
              <w:t>...</w:t>
            </w:r>
          </w:p>
        </w:tc>
      </w:tr>
    </w:tbl>
    <w:p w14:paraId="5507F83E"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Shēmas piemērotība</w:t>
      </w:r>
    </w:p>
    <w:p w14:paraId="2DCB4967"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Paskaidrojiet, kāpēc reģionālais atbalsts ir piemērotākais instruments konkrētā apgabala attīstības sekmēšanai</w:t>
      </w:r>
      <w:r w:rsidRPr="00B076D0">
        <w:rPr>
          <w:rStyle w:val="FootnoteReference"/>
          <w:noProof/>
        </w:rPr>
        <w:footnoteReference w:id="22"/>
      </w:r>
      <w:r w:rsidRPr="00B076D0">
        <w:rPr>
          <w:noProof/>
        </w:rPr>
        <w:t xml:space="preserve"> (RAP 80.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243693DF" w14:textId="77777777" w:rsidTr="00017B02">
        <w:tc>
          <w:tcPr>
            <w:tcW w:w="7682" w:type="dxa"/>
            <w:tcBorders>
              <w:top w:val="dotted" w:sz="4" w:space="0" w:color="auto"/>
              <w:left w:val="dotted" w:sz="4" w:space="0" w:color="auto"/>
              <w:bottom w:val="dotted" w:sz="4" w:space="0" w:color="auto"/>
              <w:right w:val="dotted" w:sz="4" w:space="0" w:color="auto"/>
            </w:tcBorders>
          </w:tcPr>
          <w:p w14:paraId="6ACBB6F4" w14:textId="77777777" w:rsidR="00AA5B76" w:rsidRPr="00B076D0" w:rsidRDefault="00AA5B76" w:rsidP="00017B02">
            <w:pPr>
              <w:rPr>
                <w:noProof/>
                <w:szCs w:val="24"/>
              </w:rPr>
            </w:pPr>
            <w:r w:rsidRPr="00B076D0">
              <w:rPr>
                <w:noProof/>
              </w:rPr>
              <w:t>...</w:t>
            </w:r>
          </w:p>
        </w:tc>
      </w:tr>
    </w:tbl>
    <w:p w14:paraId="5CD394C5"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Ja shēma attiecas uz konkrētu nozari, norādiet šādas shēmas priekšrocības salīdzinājumā ar daudznozaru atbalsta shēmu vai citiem risinājumiem (RAP 81.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4AD506B7" w14:textId="77777777" w:rsidTr="00017B02">
        <w:tc>
          <w:tcPr>
            <w:tcW w:w="7682" w:type="dxa"/>
            <w:tcBorders>
              <w:top w:val="dotted" w:sz="4" w:space="0" w:color="auto"/>
              <w:left w:val="dotted" w:sz="4" w:space="0" w:color="auto"/>
              <w:bottom w:val="dotted" w:sz="4" w:space="0" w:color="auto"/>
              <w:right w:val="dotted" w:sz="4" w:space="0" w:color="auto"/>
            </w:tcBorders>
          </w:tcPr>
          <w:p w14:paraId="3BFF43B3" w14:textId="77777777" w:rsidR="00AA5B76" w:rsidRPr="00B076D0" w:rsidRDefault="00AA5B76" w:rsidP="00017B02">
            <w:pPr>
              <w:rPr>
                <w:noProof/>
                <w:szCs w:val="24"/>
              </w:rPr>
            </w:pPr>
            <w:r w:rsidRPr="00B076D0">
              <w:rPr>
                <w:noProof/>
              </w:rPr>
              <w:t>...</w:t>
            </w:r>
          </w:p>
        </w:tc>
      </w:tr>
    </w:tbl>
    <w:p w14:paraId="696F6867"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vai individuālais atbalsts paziņojamās shēmas ietvaros tiks piešķirts:</w:t>
      </w:r>
    </w:p>
    <w:p w14:paraId="72053405" w14:textId="77777777" w:rsidR="00AA5B76" w:rsidRPr="00B076D0" w:rsidRDefault="009A0760" w:rsidP="00AA5B76">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automātiski, ja būs izpildīti shēmas nosacījumi, vai</w:t>
      </w:r>
    </w:p>
    <w:p w14:paraId="4CA9A6A4" w14:textId="77777777" w:rsidR="00AA5B76" w:rsidRPr="00B076D0" w:rsidRDefault="009A0760" w:rsidP="00AA5B76">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pēc iestāžu ieskatiem (uz lēmuma pamata)</w:t>
      </w:r>
    </w:p>
    <w:p w14:paraId="236AC11D" w14:textId="77777777" w:rsidR="00AA5B76" w:rsidRPr="00B076D0" w:rsidRDefault="00AA5B76" w:rsidP="00AA5B76">
      <w:pPr>
        <w:pStyle w:val="Text2"/>
        <w:ind w:left="1418"/>
        <w:rPr>
          <w:noProof/>
        </w:rPr>
      </w:pPr>
      <w:r w:rsidRPr="00B076D0">
        <w:rPr>
          <w:noProof/>
        </w:rPr>
        <w:t xml:space="preserve">Norādiet atsauci uz juridiskā pamata attiecīgo noteikumu.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9BC2294" w14:textId="77777777" w:rsidTr="00017B02">
        <w:tc>
          <w:tcPr>
            <w:tcW w:w="7682" w:type="dxa"/>
            <w:tcBorders>
              <w:top w:val="dotted" w:sz="4" w:space="0" w:color="auto"/>
              <w:left w:val="dotted" w:sz="4" w:space="0" w:color="auto"/>
              <w:bottom w:val="dotted" w:sz="4" w:space="0" w:color="auto"/>
              <w:right w:val="dotted" w:sz="4" w:space="0" w:color="auto"/>
            </w:tcBorders>
          </w:tcPr>
          <w:p w14:paraId="517F3FB7" w14:textId="77777777" w:rsidR="00AA5B76" w:rsidRPr="00B076D0" w:rsidRDefault="00AA5B76" w:rsidP="00017B02">
            <w:pPr>
              <w:rPr>
                <w:noProof/>
                <w:szCs w:val="24"/>
              </w:rPr>
            </w:pPr>
            <w:r w:rsidRPr="00B076D0">
              <w:rPr>
                <w:noProof/>
              </w:rPr>
              <w:t>...</w:t>
            </w:r>
          </w:p>
        </w:tc>
      </w:tr>
    </w:tbl>
    <w:p w14:paraId="61874C19" w14:textId="77777777" w:rsidR="00AA5B76" w:rsidRPr="00B076D0" w:rsidRDefault="00AA5B76" w:rsidP="00AA5B76">
      <w:pPr>
        <w:pStyle w:val="Text2"/>
        <w:ind w:left="1418"/>
        <w:rPr>
          <w:noProof/>
        </w:rPr>
      </w:pPr>
      <w:r w:rsidRPr="00B076D0">
        <w:rPr>
          <w:noProof/>
        </w:rPr>
        <w:t>Ja atbalsts tiks piešķirts pēc iestāžu ieskatiem, īsi aprakstiet izmantojamos kritērijus un pievienojiet kopiju ar piešķīrējiestādes iekšējiem administratīvajiem noteikumiem, kas piemērojami atbalsta piešķiršanai.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4E3E7F5" w14:textId="77777777" w:rsidTr="00017B02">
        <w:tc>
          <w:tcPr>
            <w:tcW w:w="7682" w:type="dxa"/>
            <w:tcBorders>
              <w:top w:val="dotted" w:sz="4" w:space="0" w:color="auto"/>
              <w:left w:val="dotted" w:sz="4" w:space="0" w:color="auto"/>
              <w:bottom w:val="dotted" w:sz="4" w:space="0" w:color="auto"/>
              <w:right w:val="dotted" w:sz="4" w:space="0" w:color="auto"/>
            </w:tcBorders>
          </w:tcPr>
          <w:p w14:paraId="1E7F4E19" w14:textId="77777777" w:rsidR="00AA5B76" w:rsidRPr="00B076D0" w:rsidRDefault="00AA5B76" w:rsidP="00017B02">
            <w:pPr>
              <w:rPr>
                <w:noProof/>
                <w:szCs w:val="24"/>
              </w:rPr>
            </w:pPr>
            <w:r w:rsidRPr="00B076D0">
              <w:rPr>
                <w:noProof/>
              </w:rPr>
              <w:t>...</w:t>
            </w:r>
          </w:p>
        </w:tc>
      </w:tr>
    </w:tbl>
    <w:p w14:paraId="06465170"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Ja atbalstu shēmas ietvaros paredzēts piešķirt veidos, kas sniedz tiešas finansiālas priekšrocības</w:t>
      </w:r>
      <w:r w:rsidRPr="00B076D0">
        <w:rPr>
          <w:rStyle w:val="FootnoteReference"/>
          <w:noProof/>
        </w:rPr>
        <w:footnoteReference w:id="23"/>
      </w:r>
      <w:r w:rsidRPr="00B076D0">
        <w:rPr>
          <w:noProof/>
        </w:rPr>
        <w:t>, pamatojiet, kāpēc piemērotāki nav citi, iespējami mazāk kropļojoši atbalsta veidi, piemēram, atmaksājami avansi vai atbalsts parāda vai kapitāla instrumentu formā</w:t>
      </w:r>
      <w:r w:rsidRPr="00B076D0">
        <w:rPr>
          <w:rStyle w:val="FootnoteReference"/>
          <w:noProof/>
        </w:rPr>
        <w:footnoteReference w:id="24"/>
      </w:r>
      <w:r w:rsidRPr="00B076D0">
        <w:rPr>
          <w:noProof/>
        </w:rPr>
        <w:t xml:space="preserve"> (RAP 85. punkts).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1B14235B" w14:textId="77777777" w:rsidTr="00017B02">
        <w:tc>
          <w:tcPr>
            <w:tcW w:w="7682" w:type="dxa"/>
            <w:shd w:val="clear" w:color="auto" w:fill="auto"/>
          </w:tcPr>
          <w:p w14:paraId="52AEE857" w14:textId="77777777" w:rsidR="00AA5B76" w:rsidRPr="00B076D0" w:rsidRDefault="00AA5B76" w:rsidP="00017B02">
            <w:pPr>
              <w:rPr>
                <w:noProof/>
              </w:rPr>
            </w:pPr>
            <w:r w:rsidRPr="00B076D0">
              <w:rPr>
                <w:noProof/>
              </w:rPr>
              <w:lastRenderedPageBreak/>
              <w:t>...</w:t>
            </w:r>
          </w:p>
        </w:tc>
      </w:tr>
    </w:tbl>
    <w:p w14:paraId="6E9D140D"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Shēmas stimulējošā ietekme un samērīgums</w:t>
      </w:r>
    </w:p>
    <w:p w14:paraId="1B172731"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 xml:space="preserve">Norādiet atsauces uz juridiskā pamata attiecīgajiem noteikumiem, kuros ir paredzēts, ka individuālais atbalsts, kas paziņojamās shēmas ietvaros tiks piešķirts lielajiem uzņēmumiem, nepārsniegs ieguldīšanas neto papildu izmaksas attiecīgajā apgabalā salīdzinājumā ar hipotētisko scenāriju, kurā atbalsts netiek sniegts, atbilstoši metodēm, kas skaidrotas attiecīgi RAP 96. un 97. punktā (RAP 95. punkts).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64AEA8C9" w14:textId="77777777" w:rsidTr="00017B02">
        <w:tc>
          <w:tcPr>
            <w:tcW w:w="7682" w:type="dxa"/>
            <w:shd w:val="clear" w:color="auto" w:fill="auto"/>
          </w:tcPr>
          <w:p w14:paraId="62474F00" w14:textId="77777777" w:rsidR="00AA5B76" w:rsidRPr="00B076D0" w:rsidRDefault="00AA5B76" w:rsidP="00017B02">
            <w:pPr>
              <w:rPr>
                <w:noProof/>
              </w:rPr>
            </w:pPr>
            <w:r w:rsidRPr="00B076D0">
              <w:rPr>
                <w:noProof/>
              </w:rPr>
              <w:t>...</w:t>
            </w:r>
          </w:p>
        </w:tc>
      </w:tr>
    </w:tbl>
    <w:p w14:paraId="1B8E158B"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Izvairīšanās no nepamatotas negatīvās ietekmes uz konkurenci un tirdzniecību</w:t>
      </w:r>
    </w:p>
    <w:p w14:paraId="34DD25E7"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Paskaidrojiet, kā līdz minimumam tiks samazināti paziņojamās atbalsta shēmas izraisītie konkurences un tirdzniecības izkropļojumi (RAP 120. punkts)</w:t>
      </w:r>
      <w:r w:rsidRPr="00B076D0">
        <w:rPr>
          <w:rStyle w:val="FootnoteReference"/>
          <w:noProof/>
        </w:rPr>
        <w:footnoteReference w:id="25"/>
      </w:r>
      <w:r w:rsidRPr="00B076D0">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643997DC" w14:textId="77777777" w:rsidTr="00017B02">
        <w:tc>
          <w:tcPr>
            <w:tcW w:w="7682" w:type="dxa"/>
            <w:shd w:val="clear" w:color="auto" w:fill="auto"/>
          </w:tcPr>
          <w:p w14:paraId="2303CF6F" w14:textId="77777777" w:rsidR="00AA5B76" w:rsidRPr="00B076D0" w:rsidRDefault="00AA5B76" w:rsidP="00017B02">
            <w:pPr>
              <w:rPr>
                <w:noProof/>
              </w:rPr>
            </w:pPr>
            <w:r w:rsidRPr="00B076D0">
              <w:rPr>
                <w:noProof/>
              </w:rPr>
              <w:t>...</w:t>
            </w:r>
          </w:p>
        </w:tc>
      </w:tr>
    </w:tbl>
    <w:p w14:paraId="1083B827"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atsauces uz juridiskā pamata attiecīgajiem noteikumiem, kuros ir paredzēts, ka, uz shēmas pamata piešķirot atbalstu individuāliem projektiem, piešķīrējiestāde pārbaudīs un pārliecināsies, ka atbalsts neradīs acīmredzamu negatīvo ietekmi, tādu kā jaudas pārpalikuma radīšana tirgū, kas piedzīvo absolūtu lejupslīdi (RAP 112. līdz 115. punkts), kohēziju mazinoša ietekme (RAP 116. un 117. punkts) vai pārcelšana (RAP 118. punkts) (RAP 121.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A5B76" w:rsidRPr="00B076D0" w14:paraId="320F085C" w14:textId="77777777" w:rsidTr="00017B02">
        <w:tc>
          <w:tcPr>
            <w:tcW w:w="7682" w:type="dxa"/>
            <w:shd w:val="clear" w:color="auto" w:fill="auto"/>
          </w:tcPr>
          <w:p w14:paraId="283C72DB" w14:textId="77777777" w:rsidR="00AA5B76" w:rsidRPr="00B076D0" w:rsidRDefault="00AA5B76" w:rsidP="00017B02">
            <w:pPr>
              <w:rPr>
                <w:noProof/>
              </w:rPr>
            </w:pPr>
            <w:r w:rsidRPr="00B076D0">
              <w:rPr>
                <w:noProof/>
              </w:rPr>
              <w:t>...</w:t>
            </w:r>
          </w:p>
        </w:tc>
      </w:tr>
    </w:tbl>
    <w:p w14:paraId="05C0923C" w14:textId="0BB21EBB" w:rsidR="00AA5B76" w:rsidRPr="00B076D0" w:rsidRDefault="00AA5B76" w:rsidP="00AA5B76">
      <w:pPr>
        <w:pStyle w:val="Heading1"/>
        <w:rPr>
          <w:noProof/>
        </w:rPr>
      </w:pPr>
      <w:r w:rsidRPr="00B076D0">
        <w:rPr>
          <w:noProof/>
        </w:rPr>
        <w:t>Pārredzamība</w:t>
      </w:r>
    </w:p>
    <w:p w14:paraId="47B6AEFC" w14:textId="77777777" w:rsidR="00AA5B76" w:rsidRPr="00B076D0" w:rsidRDefault="00AA5B76" w:rsidP="00AA5B76">
      <w:pPr>
        <w:pStyle w:val="NormalKop111"/>
        <w:numPr>
          <w:ilvl w:val="1"/>
          <w:numId w:val="22"/>
        </w:numPr>
        <w:tabs>
          <w:tab w:val="clear" w:pos="720"/>
          <w:tab w:val="clear" w:pos="1440"/>
          <w:tab w:val="clear" w:pos="1797"/>
        </w:tabs>
        <w:ind w:left="709" w:hanging="709"/>
        <w:rPr>
          <w:noProof/>
        </w:rPr>
      </w:pPr>
      <w:r w:rsidRPr="00B076D0">
        <w:rPr>
          <w:noProof/>
        </w:rPr>
        <w:t>Aplieciniet, ka lēmuma par individuālā atbalsta piešķiršanu vai apstiprinātās atbalsta shēmas un attiecīgo īstenošanas noteikumu pilns teksts vai saite uz to un informācija par katru individuālā atbalsta piešķīrumu, kas pārsniedz 100 000 EUR, atbilstoši VIII pielikumā sniegtajai struktūrai tiks publicēti Eiropas Komisijas Atbalsta pārredzamības modulī (</w:t>
      </w:r>
      <w:r w:rsidRPr="00B076D0">
        <w:rPr>
          <w:i/>
          <w:noProof/>
        </w:rPr>
        <w:t>TAM</w:t>
      </w:r>
      <w:r w:rsidRPr="00B076D0">
        <w:rPr>
          <w:noProof/>
        </w:rPr>
        <w:t>) vai visaptverošā valsts atbalsta vietnē valsts vai reģionālā līmenī</w:t>
      </w:r>
      <w:r w:rsidRPr="00B076D0">
        <w:rPr>
          <w:rStyle w:val="FootnoteReference"/>
          <w:noProof/>
        </w:rPr>
        <w:footnoteReference w:id="26"/>
      </w:r>
      <w:r w:rsidRPr="00B076D0">
        <w:rPr>
          <w:noProof/>
        </w:rPr>
        <w:t xml:space="preserve"> sešu mēnešu laikā no atbalsta piešķiršanas dienas vai, ja atbalsts ir nodokļu atvieglojumu veidā, – viena gada laikā no dienas, kad jāiesniedz nodokļu deklarācija.</w:t>
      </w:r>
    </w:p>
    <w:p w14:paraId="4663D350" w14:textId="77777777" w:rsidR="00AA5B76" w:rsidRPr="00B076D0" w:rsidRDefault="00AA5B76" w:rsidP="00AA5B76">
      <w:pPr>
        <w:pStyle w:val="Normal127"/>
        <w:rPr>
          <w:noProof/>
        </w:rPr>
      </w:pPr>
      <w:r w:rsidRPr="00B076D0">
        <w:rPr>
          <w:noProof/>
        </w:rPr>
        <w:tab/>
      </w:r>
      <w:sdt>
        <w:sdtPr>
          <w:rPr>
            <w:noProof/>
          </w:rPr>
          <w:id w:val="-1383553951"/>
          <w14:checkbox>
            <w14:checked w14:val="0"/>
            <w14:checkedState w14:val="2612" w14:font="MS Gothic"/>
            <w14:uncheckedState w14:val="2610" w14:font="MS Gothic"/>
          </w14:checkbox>
        </w:sdtPr>
        <w:sdtEndPr/>
        <w:sdtContent>
          <w:r w:rsidRPr="00B076D0">
            <w:rPr>
              <w:rFonts w:ascii="MS Gothic" w:eastAsia="MS Gothic" w:hAnsi="MS Gothic" w:hint="eastAsia"/>
              <w:noProof/>
            </w:rPr>
            <w:t>☐</w:t>
          </w:r>
        </w:sdtContent>
      </w:sdt>
      <w:r w:rsidRPr="00B076D0">
        <w:rPr>
          <w:noProof/>
        </w:rPr>
        <w:t xml:space="preserve"> Jā</w:t>
      </w:r>
    </w:p>
    <w:p w14:paraId="7EAE6EC3" w14:textId="77777777" w:rsidR="00AA5B76" w:rsidRPr="00B076D0" w:rsidRDefault="00AA5B76" w:rsidP="00AA5B76">
      <w:pPr>
        <w:pStyle w:val="NormalKop111"/>
        <w:numPr>
          <w:ilvl w:val="1"/>
          <w:numId w:val="22"/>
        </w:numPr>
        <w:tabs>
          <w:tab w:val="clear" w:pos="720"/>
          <w:tab w:val="clear" w:pos="1440"/>
          <w:tab w:val="clear" w:pos="1797"/>
        </w:tabs>
        <w:ind w:left="709" w:hanging="709"/>
        <w:rPr>
          <w:noProof/>
        </w:rPr>
      </w:pPr>
      <w:r w:rsidRPr="00B076D0">
        <w:rPr>
          <w:noProof/>
        </w:rPr>
        <w:lastRenderedPageBreak/>
        <w:t>Norādiet atsauces uz juridiskā pamata attiecīgajiem noteikumiem, kuros ir paredzēts, ka piešķīrējiestādei par paziņotajām valsts atbalsta shēmām Atbalsta pārredzamības modulī vai visaptverošā valsts atbalsta vietnē valsts vai reģionālā līmenī</w:t>
      </w:r>
      <w:r w:rsidRPr="00B076D0">
        <w:rPr>
          <w:rStyle w:val="FootnoteReference"/>
          <w:noProof/>
        </w:rPr>
        <w:footnoteReference w:id="27"/>
      </w:r>
      <w:r w:rsidRPr="00B076D0">
        <w:rPr>
          <w:noProof/>
        </w:rPr>
        <w:t xml:space="preserve"> jāpublicē vismaz šāda informācija: paziņotās atbalsta shēmas un attiecīgo īstenošanas noteikumu teksts, piešķīrējiestāde, individuālie saņēmēji, atbalsta summa vienam saņēmējam un atbalsta intensitāte (RAP 136. punkts).</w:t>
      </w:r>
    </w:p>
    <w:p w14:paraId="04DC32B8" w14:textId="77777777" w:rsidR="00AA5B76" w:rsidRPr="00B076D0" w:rsidRDefault="00AA5B76" w:rsidP="00AA5B76">
      <w:pPr>
        <w:pStyle w:val="Normal127"/>
        <w:rPr>
          <w:noProof/>
        </w:rPr>
      </w:pPr>
      <w:r w:rsidRPr="00B076D0">
        <w:rPr>
          <w:noProof/>
        </w:rPr>
        <w:t>Ja minētie noteikumi nav pieņemti, paskaidrojiet, kāpēc. Savukārt tad, ja minētie noteikumi nav ietverti paziņotās shēmas juridiskajā pamatā, bet citos tiesību aktos, norādiet to.</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AA5B76" w:rsidRPr="00B076D0" w14:paraId="211FE028" w14:textId="77777777" w:rsidTr="00017B02">
        <w:tc>
          <w:tcPr>
            <w:tcW w:w="8674" w:type="dxa"/>
            <w:shd w:val="clear" w:color="auto" w:fill="auto"/>
          </w:tcPr>
          <w:p w14:paraId="0E926456" w14:textId="77777777" w:rsidR="00AA5B76" w:rsidRPr="00B076D0" w:rsidRDefault="00AA5B76" w:rsidP="00017B02">
            <w:pPr>
              <w:rPr>
                <w:noProof/>
              </w:rPr>
            </w:pPr>
            <w:r w:rsidRPr="00B076D0">
              <w:rPr>
                <w:noProof/>
              </w:rPr>
              <w:t>...</w:t>
            </w:r>
          </w:p>
        </w:tc>
      </w:tr>
    </w:tbl>
    <w:p w14:paraId="5EE718C0" w14:textId="77777777" w:rsidR="00AA5B76" w:rsidRPr="00B076D0" w:rsidRDefault="00AA5B76" w:rsidP="00AA5B76">
      <w:pPr>
        <w:pStyle w:val="Normal127"/>
        <w:rPr>
          <w:noProof/>
        </w:rPr>
      </w:pPr>
      <w:r w:rsidRPr="00B076D0">
        <w:rPr>
          <w:noProof/>
        </w:rPr>
        <w:t>Norādiet atsauces uz juridiskā pamata attiecīgajiem noteikumiem, kuros ir paredzēts, ka iepriekš minētā informācija sabiedrībai bez jebkādiem ierobežojumiem būs pieejama vismaz 10 gadus no atbalsta piešķiršanas dienas (RAP 140. punkts).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AA5B76" w:rsidRPr="00B076D0" w14:paraId="2FCC649B" w14:textId="77777777" w:rsidTr="00017B02">
        <w:tc>
          <w:tcPr>
            <w:tcW w:w="8674" w:type="dxa"/>
            <w:shd w:val="clear" w:color="auto" w:fill="auto"/>
          </w:tcPr>
          <w:p w14:paraId="62AD5CC2" w14:textId="77777777" w:rsidR="00AA5B76" w:rsidRPr="00B076D0" w:rsidRDefault="00AA5B76" w:rsidP="00017B02">
            <w:pPr>
              <w:rPr>
                <w:noProof/>
              </w:rPr>
            </w:pPr>
            <w:r w:rsidRPr="00B076D0">
              <w:rPr>
                <w:noProof/>
              </w:rPr>
              <w:t>...</w:t>
            </w:r>
          </w:p>
        </w:tc>
      </w:tr>
    </w:tbl>
    <w:p w14:paraId="4F3C57E3" w14:textId="1ACED445" w:rsidR="00AA5B76" w:rsidRPr="00B076D0" w:rsidRDefault="00AA5B76" w:rsidP="00AA5B76">
      <w:pPr>
        <w:pStyle w:val="Heading1"/>
        <w:rPr>
          <w:noProof/>
        </w:rPr>
      </w:pPr>
      <w:r w:rsidRPr="00B076D0">
        <w:rPr>
          <w:noProof/>
        </w:rPr>
        <w:t xml:space="preserve">Izvērtēšana, pārskatu sniegšana un uzraudzība </w:t>
      </w:r>
    </w:p>
    <w:p w14:paraId="5904878A" w14:textId="77777777" w:rsidR="00AA5B76" w:rsidRPr="00B076D0" w:rsidRDefault="00AA5B76" w:rsidP="00AA5B76">
      <w:pPr>
        <w:pStyle w:val="NormalKop111"/>
        <w:numPr>
          <w:ilvl w:val="1"/>
          <w:numId w:val="22"/>
        </w:numPr>
        <w:tabs>
          <w:tab w:val="clear" w:pos="720"/>
          <w:tab w:val="clear" w:pos="1440"/>
          <w:tab w:val="clear" w:pos="1797"/>
        </w:tabs>
        <w:ind w:left="709" w:hanging="709"/>
        <w:rPr>
          <w:b/>
          <w:bCs/>
          <w:noProof/>
        </w:rPr>
      </w:pPr>
      <w:r w:rsidRPr="00B076D0">
        <w:rPr>
          <w:b/>
          <w:noProof/>
        </w:rPr>
        <w:t>Izvērtēšana</w:t>
      </w:r>
    </w:p>
    <w:p w14:paraId="1DD09E70"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SA numurus par visām līdzšinējām un īstenošanā esošajām atbalsta shēmām ar līdzīgu mērķi un ģeogrāfisko tvērumu (RAP 144. punkts).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A5B76" w:rsidRPr="00B076D0" w14:paraId="27F610A7" w14:textId="77777777" w:rsidTr="00017B02">
        <w:tc>
          <w:tcPr>
            <w:tcW w:w="8107" w:type="dxa"/>
            <w:tcBorders>
              <w:top w:val="dotted" w:sz="4" w:space="0" w:color="auto"/>
              <w:left w:val="dotted" w:sz="4" w:space="0" w:color="auto"/>
              <w:bottom w:val="dotted" w:sz="4" w:space="0" w:color="auto"/>
              <w:right w:val="dotted" w:sz="4" w:space="0" w:color="auto"/>
            </w:tcBorders>
            <w:hideMark/>
          </w:tcPr>
          <w:p w14:paraId="675AF857" w14:textId="77777777" w:rsidR="00AA5B76" w:rsidRPr="00B076D0" w:rsidRDefault="00AA5B76" w:rsidP="00017B02">
            <w:pPr>
              <w:rPr>
                <w:noProof/>
              </w:rPr>
            </w:pPr>
            <w:r w:rsidRPr="00B076D0">
              <w:rPr>
                <w:noProof/>
              </w:rPr>
              <w:t>...</w:t>
            </w:r>
          </w:p>
        </w:tc>
      </w:tr>
    </w:tbl>
    <w:p w14:paraId="25E9917D" w14:textId="77777777" w:rsidR="00AA5B76" w:rsidRPr="00B076D0" w:rsidRDefault="00AA5B76" w:rsidP="00AA5B76">
      <w:pPr>
        <w:pStyle w:val="Normal127"/>
        <w:rPr>
          <w:noProof/>
        </w:rPr>
      </w:pPr>
      <w:r w:rsidRPr="00B076D0">
        <w:rPr>
          <w:noProof/>
        </w:rPr>
        <w:t xml:space="preserve">Vai par kādu no iepriekšējā punktā uzskaitītajām valsts atbalsta shēmām ir veikts </w:t>
      </w:r>
      <w:r w:rsidRPr="00B076D0">
        <w:rPr>
          <w:i/>
          <w:noProof/>
        </w:rPr>
        <w:t>ex post</w:t>
      </w:r>
      <w:r w:rsidRPr="00B076D0">
        <w:rPr>
          <w:noProof/>
        </w:rPr>
        <w:t xml:space="preserve"> izvērtējums (RAP 144. punkts).</w:t>
      </w:r>
    </w:p>
    <w:p w14:paraId="0C7F3271" w14:textId="77777777" w:rsidR="00AA5B76" w:rsidRPr="00B076D0" w:rsidRDefault="009A0760" w:rsidP="00AA5B76">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06BEDE37" w14:textId="77777777" w:rsidR="00AA5B76" w:rsidRPr="00B076D0" w:rsidRDefault="009A0760" w:rsidP="00AA5B76">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635F8A31" w14:textId="77777777" w:rsidR="00AA5B76" w:rsidRPr="00B076D0" w:rsidRDefault="00AA5B76" w:rsidP="00AA5B76">
      <w:pPr>
        <w:pStyle w:val="Normal127"/>
        <w:rPr>
          <w:noProof/>
        </w:rPr>
      </w:pPr>
      <w:r w:rsidRPr="00B076D0">
        <w:rPr>
          <w:noProof/>
        </w:rPr>
        <w:t xml:space="preserve">Ja atbilde ir “Jā”, sniedziet šo </w:t>
      </w:r>
      <w:r w:rsidRPr="00B076D0">
        <w:rPr>
          <w:i/>
          <w:noProof/>
        </w:rPr>
        <w:t>ex post</w:t>
      </w:r>
      <w:r w:rsidRPr="00B076D0">
        <w:rPr>
          <w:noProof/>
        </w:rPr>
        <w:t xml:space="preserve"> izvērtējumu galveno rezultātu īsu kopsavilkumu (attiecīgā gadījumā norādiet atsauci un vietnes saiti).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A5B76" w:rsidRPr="00B076D0" w14:paraId="794FA216" w14:textId="77777777" w:rsidTr="00017B02">
        <w:tc>
          <w:tcPr>
            <w:tcW w:w="8107" w:type="dxa"/>
            <w:tcBorders>
              <w:top w:val="dotted" w:sz="4" w:space="0" w:color="auto"/>
              <w:left w:val="dotted" w:sz="4" w:space="0" w:color="auto"/>
              <w:bottom w:val="dotted" w:sz="4" w:space="0" w:color="auto"/>
              <w:right w:val="dotted" w:sz="4" w:space="0" w:color="auto"/>
            </w:tcBorders>
            <w:hideMark/>
          </w:tcPr>
          <w:p w14:paraId="63456C11" w14:textId="77777777" w:rsidR="00AA5B76" w:rsidRPr="00B076D0" w:rsidRDefault="00AA5B76" w:rsidP="009A0760">
            <w:pPr>
              <w:rPr>
                <w:noProof/>
              </w:rPr>
            </w:pPr>
            <w:r w:rsidRPr="00B076D0">
              <w:rPr>
                <w:noProof/>
              </w:rPr>
              <w:t>...</w:t>
            </w:r>
          </w:p>
        </w:tc>
      </w:tr>
    </w:tbl>
    <w:p w14:paraId="7F0A24FE" w14:textId="77777777" w:rsidR="00AA5B76" w:rsidRPr="00B076D0" w:rsidRDefault="00AA5B76" w:rsidP="00AA5B76">
      <w:pPr>
        <w:pStyle w:val="Normal127"/>
        <w:rPr>
          <w:noProof/>
        </w:rPr>
      </w:pPr>
      <w:r w:rsidRPr="00B076D0">
        <w:rPr>
          <w:noProof/>
        </w:rPr>
        <w:t>Aprakstiet, kā šo izvērtējumu rezultāti ir ņemti vērā, izstrādājot jauno shēmu.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A5B76" w:rsidRPr="00B076D0" w14:paraId="27E9B5D4" w14:textId="77777777" w:rsidTr="00017B02">
        <w:tc>
          <w:tcPr>
            <w:tcW w:w="8107" w:type="dxa"/>
            <w:tcBorders>
              <w:top w:val="dotted" w:sz="4" w:space="0" w:color="auto"/>
              <w:left w:val="dotted" w:sz="4" w:space="0" w:color="auto"/>
              <w:bottom w:val="dotted" w:sz="4" w:space="0" w:color="auto"/>
              <w:right w:val="dotted" w:sz="4" w:space="0" w:color="auto"/>
            </w:tcBorders>
            <w:hideMark/>
          </w:tcPr>
          <w:p w14:paraId="433A1FFB" w14:textId="77777777" w:rsidR="00AA5B76" w:rsidRPr="00B076D0" w:rsidRDefault="00AA5B76" w:rsidP="009A0760">
            <w:pPr>
              <w:rPr>
                <w:noProof/>
              </w:rPr>
            </w:pPr>
            <w:r w:rsidRPr="00B076D0">
              <w:rPr>
                <w:noProof/>
              </w:rPr>
              <w:t>...</w:t>
            </w:r>
          </w:p>
        </w:tc>
      </w:tr>
    </w:tbl>
    <w:p w14:paraId="4BF15118"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Norādiet, vai shēmai paredzētā valsts atbalsta budžets jebkurā gadā pārsniedz 150 miljonus EUR (RAP 143. punkts).</w:t>
      </w:r>
    </w:p>
    <w:p w14:paraId="03C0DFB6" w14:textId="77777777" w:rsidR="00AA5B76" w:rsidRPr="00B076D0" w:rsidRDefault="009A0760" w:rsidP="00AA5B76">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1953025D" w14:textId="77777777" w:rsidR="00AA5B76" w:rsidRPr="00B076D0" w:rsidRDefault="009A0760" w:rsidP="00AA5B76">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208E7AEF" w14:textId="77777777" w:rsidR="00AA5B76" w:rsidRPr="00B076D0" w:rsidRDefault="00AA5B76" w:rsidP="00AA5B76">
      <w:pPr>
        <w:pStyle w:val="Text2"/>
        <w:rPr>
          <w:noProof/>
        </w:rPr>
      </w:pPr>
      <w:r w:rsidRPr="00B076D0">
        <w:rPr>
          <w:noProof/>
        </w:rPr>
        <w:t>Norādiet, vai shēmai paredzētā valsts atbalsta budžets shēmas kopējā darbības periodā (t. i., periodā, kurā darbosies konkrētā shēma un darbojās iespējamā iepriekšējā shēma ar līdzīgu mērķi un ģeogrāfisko tvērumu, skaitot no 2022. gada 1. janvāra) pārsniedz 750 miljonus EUR.</w:t>
      </w:r>
    </w:p>
    <w:p w14:paraId="150EF1CD" w14:textId="77777777" w:rsidR="00AA5B76" w:rsidRPr="00B076D0" w:rsidRDefault="009A0760" w:rsidP="00AA5B76">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795F0A2E" w14:textId="77777777" w:rsidR="00AA5B76" w:rsidRPr="00B076D0" w:rsidRDefault="009A0760" w:rsidP="00AA5B76">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4E167634"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Saskaņā ar RAP 143. punktu norādiet, vai runa ir par:</w:t>
      </w:r>
    </w:p>
    <w:p w14:paraId="4EC18D85" w14:textId="77777777" w:rsidR="00AA5B76" w:rsidRPr="00B076D0" w:rsidRDefault="00AA5B76" w:rsidP="00AA5B76">
      <w:pPr>
        <w:ind w:left="1701" w:hanging="283"/>
        <w:rPr>
          <w:noProof/>
          <w:szCs w:val="24"/>
        </w:rPr>
      </w:pPr>
      <w:r w:rsidRPr="00B076D0">
        <w:rPr>
          <w:noProof/>
        </w:rPr>
        <w:t>shēmu ar oriģinālām iezīmēm</w:t>
      </w:r>
    </w:p>
    <w:p w14:paraId="725EFEFB" w14:textId="77777777" w:rsidR="00AA5B76" w:rsidRPr="00B076D0" w:rsidRDefault="009A0760" w:rsidP="00AA5B76">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4168D0F4" w14:textId="77777777" w:rsidR="00AA5B76" w:rsidRPr="00B076D0" w:rsidRDefault="009A0760" w:rsidP="00AA5B76">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6D24FE86" w14:textId="77777777" w:rsidR="00AA5B76" w:rsidRPr="00B076D0" w:rsidRDefault="00AA5B76" w:rsidP="00AA5B76">
      <w:pPr>
        <w:ind w:left="1418"/>
        <w:rPr>
          <w:noProof/>
          <w:szCs w:val="24"/>
        </w:rPr>
      </w:pPr>
      <w:r w:rsidRPr="00B076D0">
        <w:rPr>
          <w:noProof/>
        </w:rPr>
        <w:t>shēmu tirgos, kuros ir paredzamas būtiskas komerciālās, tehnoloģiju vai regulatīvās izmaiņas</w:t>
      </w:r>
    </w:p>
    <w:p w14:paraId="3F454B5F" w14:textId="77777777" w:rsidR="00AA5B76" w:rsidRPr="00B076D0" w:rsidRDefault="009A0760" w:rsidP="00AA5B76">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60695C8B" w14:textId="77777777" w:rsidR="00AA5B76" w:rsidRPr="00B076D0" w:rsidRDefault="009A0760" w:rsidP="00AA5B76">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451022F4" w14:textId="77777777" w:rsidR="00AA5B76" w:rsidRPr="00B076D0" w:rsidRDefault="00AA5B76" w:rsidP="00AA5B76">
      <w:pPr>
        <w:ind w:left="1843" w:hanging="425"/>
        <w:rPr>
          <w:noProof/>
          <w:szCs w:val="24"/>
        </w:rPr>
      </w:pPr>
      <w:r w:rsidRPr="00B076D0">
        <w:rPr>
          <w:noProof/>
        </w:rPr>
        <w:t>shēmu, kuru plānojat izvērtēt, pat ja 5.1.2. punktā un šajā punktā iepriekš uzskaitītie kritēriji nav izpildīti</w:t>
      </w:r>
    </w:p>
    <w:p w14:paraId="1719B80B" w14:textId="77777777" w:rsidR="00AA5B76" w:rsidRPr="00B076D0" w:rsidRDefault="009A0760" w:rsidP="00AA5B76">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Jā</w:t>
      </w:r>
    </w:p>
    <w:p w14:paraId="50B649D3" w14:textId="77777777" w:rsidR="00AA5B76" w:rsidRPr="00B076D0" w:rsidRDefault="009A0760" w:rsidP="00AA5B76">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AA5B76" w:rsidRPr="00B076D0">
            <w:rPr>
              <w:rFonts w:ascii="MS Gothic" w:eastAsia="MS Gothic" w:hAnsi="MS Gothic" w:hint="eastAsia"/>
              <w:noProof/>
            </w:rPr>
            <w:t>☐</w:t>
          </w:r>
        </w:sdtContent>
      </w:sdt>
      <w:r w:rsidR="00AA5B76" w:rsidRPr="00B076D0">
        <w:rPr>
          <w:noProof/>
        </w:rPr>
        <w:t xml:space="preserve"> Nē</w:t>
      </w:r>
    </w:p>
    <w:p w14:paraId="7C3AF698" w14:textId="77777777" w:rsidR="00AA5B76" w:rsidRPr="00B076D0" w:rsidRDefault="00AA5B76" w:rsidP="00AA5B76">
      <w:pPr>
        <w:ind w:left="1418"/>
        <w:rPr>
          <w:b/>
          <w:noProof/>
        </w:rPr>
      </w:pPr>
      <w:r w:rsidRPr="00B076D0">
        <w:rPr>
          <w:noProof/>
        </w:rPr>
        <w:t xml:space="preserve">Ja atbilde uz jautājumu 5.1.1. punktā ir “Nē” un ja 5.1.2. un šajā 5.1.3. punktā ir kaut viena atbilde “Jā”, par šo shēmu būs jāveic </w:t>
      </w:r>
      <w:r w:rsidRPr="00B076D0">
        <w:rPr>
          <w:i/>
          <w:noProof/>
        </w:rPr>
        <w:t>ex post</w:t>
      </w:r>
      <w:r w:rsidRPr="00B076D0">
        <w:rPr>
          <w:noProof/>
        </w:rPr>
        <w:t xml:space="preserve"> izvērtējums (RAP 143. punkts). Tādā gadījumā atbildiet “Jā” uz attiecīgo jautājumu paziņojuma vispārīgās informācijas veidnē, norādiet izvērtējuma periodu un, izmantojot I pielikuma III.8. daļā sniegto veidni</w:t>
      </w:r>
      <w:r w:rsidRPr="00B076D0">
        <w:rPr>
          <w:rStyle w:val="FootnoteReference"/>
          <w:noProof/>
        </w:rPr>
        <w:footnoteReference w:id="28"/>
      </w:r>
      <w:r w:rsidRPr="00B076D0">
        <w:rPr>
          <w:noProof/>
        </w:rPr>
        <w:t>, iesniedziet izvērtējuma plāna projektu.</w:t>
      </w:r>
      <w:r w:rsidRPr="00B076D0">
        <w:rPr>
          <w:noProof/>
          <w:color w:val="000000"/>
        </w:rPr>
        <w:t xml:space="preserve"> </w:t>
      </w:r>
    </w:p>
    <w:p w14:paraId="7D132857" w14:textId="77777777" w:rsidR="00AA5B76" w:rsidRPr="00B076D0" w:rsidRDefault="00AA5B76" w:rsidP="00AA5B76">
      <w:pPr>
        <w:pStyle w:val="NormalKop111"/>
        <w:numPr>
          <w:ilvl w:val="1"/>
          <w:numId w:val="22"/>
        </w:numPr>
        <w:tabs>
          <w:tab w:val="clear" w:pos="720"/>
          <w:tab w:val="clear" w:pos="1440"/>
          <w:tab w:val="clear" w:pos="1797"/>
        </w:tabs>
        <w:ind w:left="709" w:hanging="709"/>
        <w:rPr>
          <w:b/>
          <w:noProof/>
        </w:rPr>
      </w:pPr>
      <w:r w:rsidRPr="00B076D0">
        <w:rPr>
          <w:b/>
          <w:noProof/>
        </w:rPr>
        <w:t>Pārskatu sniegšana un uzraudzība</w:t>
      </w:r>
    </w:p>
    <w:p w14:paraId="62FF8D03" w14:textId="77777777" w:rsidR="00AA5B76" w:rsidRPr="00B076D0" w:rsidRDefault="00AA5B76" w:rsidP="00AA5B76">
      <w:pPr>
        <w:pStyle w:val="NormalKop111"/>
        <w:numPr>
          <w:ilvl w:val="2"/>
          <w:numId w:val="22"/>
        </w:numPr>
        <w:tabs>
          <w:tab w:val="clear" w:pos="720"/>
          <w:tab w:val="clear" w:pos="1440"/>
          <w:tab w:val="clear" w:pos="1797"/>
        </w:tabs>
        <w:ind w:left="1418" w:hanging="698"/>
        <w:rPr>
          <w:noProof/>
        </w:rPr>
      </w:pPr>
      <w:r w:rsidRPr="00B076D0">
        <w:rPr>
          <w:noProof/>
        </w:rPr>
        <w:t>Aplieciniet, ka:</w:t>
      </w:r>
    </w:p>
    <w:p w14:paraId="00D18C3A" w14:textId="77777777" w:rsidR="00AA5B76" w:rsidRPr="00B076D0" w:rsidRDefault="00AA5B76" w:rsidP="00AA5B76">
      <w:pPr>
        <w:pStyle w:val="Tiret0"/>
        <w:rPr>
          <w:noProof/>
        </w:rPr>
      </w:pPr>
      <w:r w:rsidRPr="00B076D0">
        <w:rPr>
          <w:noProof/>
        </w:rPr>
        <w:t>iesniegsiet Komisijai gada pārskatus saskaņā ar Regulu (ES) 2015/1589 un Regulu (EK) Nr. 794/2004 un</w:t>
      </w:r>
    </w:p>
    <w:p w14:paraId="01FD4246" w14:textId="77777777" w:rsidR="00AA5B76" w:rsidRPr="00B076D0" w:rsidRDefault="00AA5B76" w:rsidP="00AA5B76">
      <w:pPr>
        <w:pStyle w:val="Normal127"/>
        <w:ind w:left="1778"/>
        <w:rPr>
          <w:noProof/>
        </w:rPr>
      </w:pPr>
      <w:r w:rsidRPr="00B076D0">
        <w:rPr>
          <w:noProof/>
        </w:rPr>
        <w:tab/>
      </w:r>
      <w:sdt>
        <w:sdtPr>
          <w:rPr>
            <w:noProof/>
          </w:rPr>
          <w:id w:val="-1014452315"/>
          <w14:checkbox>
            <w14:checked w14:val="0"/>
            <w14:checkedState w14:val="2612" w14:font="MS Gothic"/>
            <w14:uncheckedState w14:val="2610" w14:font="MS Gothic"/>
          </w14:checkbox>
        </w:sdtPr>
        <w:sdtEndPr/>
        <w:sdtContent>
          <w:r w:rsidRPr="00B076D0">
            <w:rPr>
              <w:rFonts w:ascii="MS Gothic" w:eastAsia="MS Gothic" w:hAnsi="MS Gothic" w:hint="eastAsia"/>
              <w:noProof/>
            </w:rPr>
            <w:t>☐</w:t>
          </w:r>
        </w:sdtContent>
      </w:sdt>
      <w:r w:rsidRPr="00B076D0">
        <w:rPr>
          <w:noProof/>
        </w:rPr>
        <w:t xml:space="preserve"> Jā</w:t>
      </w:r>
    </w:p>
    <w:p w14:paraId="6BE4298E" w14:textId="77777777" w:rsidR="00AA5B76" w:rsidRPr="00B076D0" w:rsidRDefault="00AA5B76" w:rsidP="00AA5B76">
      <w:pPr>
        <w:pStyle w:val="Tiret0"/>
        <w:numPr>
          <w:ilvl w:val="0"/>
          <w:numId w:val="29"/>
        </w:numPr>
        <w:rPr>
          <w:noProof/>
        </w:rPr>
      </w:pPr>
      <w:r w:rsidRPr="00B076D0">
        <w:rPr>
          <w:noProof/>
        </w:rPr>
        <w:t>vismaz 10 gadus no šīs shēmas ietvaros piešķirtā atbalsta piešķiršanas dienas glabāsiet detalizētu dokumentāciju ar informāciju un apliecinošajiem dokumentiem, kas ir nepieciešami, lai konstatētu, ka ir izpildīti visi saderības nosacījumi, un ka šī dokumentācija pēc pieprasījuma tiks iesniegta Komisijai</w:t>
      </w:r>
    </w:p>
    <w:p w14:paraId="2B1B25C8" w14:textId="77777777" w:rsidR="00AA5B76" w:rsidRPr="00B076D0" w:rsidRDefault="00AA5B76" w:rsidP="00AA5B76">
      <w:pPr>
        <w:pStyle w:val="Normal127"/>
        <w:ind w:left="1778"/>
        <w:rPr>
          <w:noProof/>
        </w:rPr>
      </w:pPr>
      <w:r w:rsidRPr="00B076D0">
        <w:rPr>
          <w:noProof/>
        </w:rPr>
        <w:lastRenderedPageBreak/>
        <w:tab/>
      </w:r>
      <w:sdt>
        <w:sdtPr>
          <w:rPr>
            <w:noProof/>
          </w:rPr>
          <w:id w:val="479968380"/>
          <w14:checkbox>
            <w14:checked w14:val="0"/>
            <w14:checkedState w14:val="2612" w14:font="MS Gothic"/>
            <w14:uncheckedState w14:val="2610" w14:font="MS Gothic"/>
          </w14:checkbox>
        </w:sdtPr>
        <w:sdtEndPr/>
        <w:sdtContent>
          <w:r w:rsidRPr="00B076D0">
            <w:rPr>
              <w:rFonts w:ascii="MS Gothic" w:eastAsia="MS Gothic" w:hAnsi="MS Gothic" w:hint="eastAsia"/>
              <w:noProof/>
            </w:rPr>
            <w:t>☐</w:t>
          </w:r>
        </w:sdtContent>
      </w:sdt>
      <w:r w:rsidRPr="00B076D0">
        <w:rPr>
          <w:noProof/>
        </w:rPr>
        <w:t xml:space="preserve"> Jā</w:t>
      </w:r>
    </w:p>
    <w:p w14:paraId="30AEEA32" w14:textId="77777777" w:rsidR="00E6658B" w:rsidRDefault="00E6658B"/>
    <w:sectPr w:rsidR="00E665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4C9A6" w14:textId="77777777" w:rsidR="00AA5B76" w:rsidRDefault="00AA5B76" w:rsidP="00AA5B76">
      <w:pPr>
        <w:spacing w:before="0" w:after="0"/>
      </w:pPr>
      <w:r>
        <w:separator/>
      </w:r>
    </w:p>
  </w:endnote>
  <w:endnote w:type="continuationSeparator" w:id="0">
    <w:p w14:paraId="05BB1C10" w14:textId="77777777" w:rsidR="00AA5B76" w:rsidRDefault="00AA5B76" w:rsidP="00AA5B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549A" w14:textId="77777777" w:rsidR="00AA5B76" w:rsidRDefault="00AA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CB00" w14:textId="45579B50" w:rsidR="00AA5B76" w:rsidRDefault="00AA5B76" w:rsidP="00AA5B7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5B6A" w14:textId="77777777" w:rsidR="00AA5B76" w:rsidRDefault="00AA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F41DE" w14:textId="77777777" w:rsidR="00AA5B76" w:rsidRDefault="00AA5B76" w:rsidP="00AA5B76">
      <w:pPr>
        <w:spacing w:before="0" w:after="0"/>
      </w:pPr>
      <w:r>
        <w:separator/>
      </w:r>
    </w:p>
  </w:footnote>
  <w:footnote w:type="continuationSeparator" w:id="0">
    <w:p w14:paraId="192500C9" w14:textId="77777777" w:rsidR="00AA5B76" w:rsidRDefault="00AA5B76" w:rsidP="00AA5B76">
      <w:pPr>
        <w:spacing w:before="0" w:after="0"/>
      </w:pPr>
      <w:r>
        <w:continuationSeparator/>
      </w:r>
    </w:p>
  </w:footnote>
  <w:footnote w:id="1">
    <w:p w14:paraId="4B853841" w14:textId="77777777" w:rsidR="00AA5B76" w:rsidRPr="00AF634A" w:rsidRDefault="00AA5B76" w:rsidP="00AA5B76">
      <w:pPr>
        <w:pStyle w:val="FootnoteText"/>
        <w:tabs>
          <w:tab w:val="left" w:pos="284"/>
        </w:tabs>
        <w:spacing w:after="120"/>
        <w:ind w:left="284" w:hanging="284"/>
      </w:pPr>
      <w:r>
        <w:rPr>
          <w:rStyle w:val="FootnoteReference"/>
        </w:rPr>
        <w:footnoteRef/>
      </w:r>
      <w:r>
        <w:tab/>
        <w:t>Reģionālā valsts atbalsta pamatnostādnes (</w:t>
      </w:r>
      <w:r w:rsidRPr="009A0760">
        <w:rPr>
          <w:rStyle w:val="Emphasis"/>
          <w:i w:val="0"/>
          <w:iCs w:val="0"/>
        </w:rPr>
        <w:t>OV C 153, 29.4.2021., 1. lpp</w:t>
      </w:r>
      <w:r>
        <w:rPr>
          <w:rStyle w:val="Emphasis"/>
        </w:rPr>
        <w:t>.</w:t>
      </w:r>
      <w:r>
        <w:t>).</w:t>
      </w:r>
    </w:p>
  </w:footnote>
  <w:footnote w:id="2">
    <w:p w14:paraId="50CC0435" w14:textId="77777777" w:rsidR="00AA5B76" w:rsidRPr="00DB5B5A" w:rsidRDefault="00AA5B76" w:rsidP="00AA5B76">
      <w:pPr>
        <w:pStyle w:val="FootnoteText"/>
        <w:tabs>
          <w:tab w:val="left" w:pos="284"/>
        </w:tabs>
        <w:spacing w:after="120"/>
        <w:ind w:left="284" w:hanging="284"/>
      </w:pPr>
      <w:r>
        <w:rPr>
          <w:rStyle w:val="FootnoteReference"/>
        </w:rPr>
        <w:footnoteRef/>
      </w:r>
      <w:r>
        <w:tab/>
        <w:t>Komisijas Regula (ES) Nr. 651/2014 (2014. gada 17. jūnijs), ar ko noteiktas atbalsta kategorijas atzīst par saderīgām ar iekšējo tirgu, piemērojot Līguma 107. un 108. pantu (OV L 187, 26.6.2014., 1. lpp., ELI: </w:t>
      </w:r>
      <w:hyperlink r:id="rId1" w:tooltip="Nodrošina piekļuvi šim dokumentam ar tā ELI URI." w:history="1">
        <w:r>
          <w:rPr>
            <w:rStyle w:val="Hyperlink"/>
          </w:rPr>
          <w:t>http://data.europa.eu/eli/reg/2014/651/oj</w:t>
        </w:r>
      </w:hyperlink>
      <w:r>
        <w:t>).</w:t>
      </w:r>
    </w:p>
  </w:footnote>
  <w:footnote w:id="3">
    <w:p w14:paraId="3DCA42FD" w14:textId="77777777" w:rsidR="00AA5B76" w:rsidRPr="00E4500B" w:rsidRDefault="00AA5B76" w:rsidP="00AA5B76">
      <w:pPr>
        <w:pStyle w:val="FootnoteText"/>
        <w:tabs>
          <w:tab w:val="left" w:pos="284"/>
        </w:tabs>
        <w:spacing w:after="120"/>
        <w:ind w:left="284" w:hanging="284"/>
      </w:pPr>
      <w:r>
        <w:rPr>
          <w:rStyle w:val="FootnoteReference"/>
        </w:rPr>
        <w:footnoteRef/>
      </w:r>
      <w:r>
        <w:tab/>
        <w:t xml:space="preserve">Komisijas Regula (ES) Nr. 2023/2831 (2023. gada 13. decembris) par Līguma par Eiropas Savienības darbību 107. un 108. panta piemērošanu </w:t>
      </w:r>
      <w:r>
        <w:rPr>
          <w:i/>
          <w:iCs/>
        </w:rPr>
        <w:t>de minimis</w:t>
      </w:r>
      <w:r>
        <w:t xml:space="preserve"> atbalstam (OV L, 2023/2831, 15.12.2023., ELI: </w:t>
      </w:r>
      <w:hyperlink r:id="rId2" w:tgtFrame="_blank" w:tooltip="Nodrošina piekļuvi šim dokumentam ar tā ELI URI." w:history="1">
        <w:r>
          <w:rPr>
            <w:rStyle w:val="Hyperlink"/>
          </w:rPr>
          <w:t>http://data.europa.eu/eli/reg/2023/2831/oj</w:t>
        </w:r>
      </w:hyperlink>
      <w:r>
        <w:t xml:space="preserve">). </w:t>
      </w:r>
    </w:p>
  </w:footnote>
  <w:footnote w:id="4">
    <w:p w14:paraId="1378C6AB" w14:textId="77777777" w:rsidR="00AA5B76" w:rsidRPr="00EF64F0" w:rsidRDefault="00AA5B76" w:rsidP="00AA5B76">
      <w:pPr>
        <w:pStyle w:val="FootnoteText"/>
        <w:tabs>
          <w:tab w:val="left" w:pos="284"/>
        </w:tabs>
        <w:spacing w:after="120"/>
        <w:ind w:left="284" w:hanging="284"/>
        <w:rPr>
          <w:color w:val="000000"/>
        </w:rPr>
      </w:pPr>
      <w:r>
        <w:rPr>
          <w:rStyle w:val="FootnoteReference"/>
        </w:rPr>
        <w:footnoteRef/>
      </w:r>
      <w:r>
        <w:tab/>
      </w:r>
      <w:r>
        <w:rPr>
          <w:color w:val="000000"/>
        </w:rPr>
        <w:t>Atbilstoši definīcijai Pamatnostādnēs par valsts atbalstu grūtībās nonākušu nefinanšu uzņēmumu glābšanai un pārstrukturēšanai (OV C 249, 31.7.2014., 1. lpp.).</w:t>
      </w:r>
    </w:p>
  </w:footnote>
  <w:footnote w:id="5">
    <w:p w14:paraId="1B6A5109" w14:textId="77777777" w:rsidR="00AA5B76" w:rsidRPr="00EF64F0" w:rsidRDefault="00AA5B76" w:rsidP="00AA5B76">
      <w:pPr>
        <w:pStyle w:val="FootnoteText"/>
        <w:tabs>
          <w:tab w:val="left" w:pos="284"/>
        </w:tabs>
        <w:spacing w:after="120"/>
        <w:ind w:left="284" w:hanging="284"/>
        <w:rPr>
          <w:color w:val="000000"/>
        </w:rPr>
      </w:pPr>
      <w:r>
        <w:rPr>
          <w:rStyle w:val="FootnoteReference"/>
        </w:rPr>
        <w:footnoteRef/>
      </w:r>
      <w:r>
        <w:tab/>
      </w:r>
      <w:r>
        <w:rPr>
          <w:color w:val="000000"/>
        </w:rPr>
        <w:t>Atbilstoši definīcijai RAP VI pielikumā.</w:t>
      </w:r>
    </w:p>
  </w:footnote>
  <w:footnote w:id="6">
    <w:p w14:paraId="58B3819D" w14:textId="77777777" w:rsidR="00AA5B76" w:rsidRPr="00DB5B5A" w:rsidRDefault="00AA5B76" w:rsidP="00AA5B76">
      <w:pPr>
        <w:pStyle w:val="FootnoteText"/>
        <w:tabs>
          <w:tab w:val="left" w:pos="284"/>
        </w:tabs>
        <w:spacing w:after="120"/>
        <w:ind w:left="284" w:hanging="284"/>
      </w:pPr>
      <w:r>
        <w:rPr>
          <w:rStyle w:val="FootnoteReference"/>
        </w:rPr>
        <w:footnoteRef/>
      </w:r>
      <w:r>
        <w:tab/>
        <w:t>“Lignīts” ir zemas šķiras C jeb ortolignīts un zemas šķiras B jeb metalignīts atbilstoši definīcijai, kas sniegta Apvienoto Nāciju Organizācijas Eiropas Ekonomikas komisijas izstrādātajā starptautiskajā ogļu kodifikācijas sistēmā.</w:t>
      </w:r>
    </w:p>
  </w:footnote>
  <w:footnote w:id="7">
    <w:p w14:paraId="7980387A" w14:textId="77777777" w:rsidR="00AA5B76" w:rsidRPr="00DB5B5A" w:rsidRDefault="00AA5B76" w:rsidP="00AA5B76">
      <w:pPr>
        <w:pStyle w:val="FootnoteText"/>
        <w:tabs>
          <w:tab w:val="left" w:pos="284"/>
        </w:tabs>
        <w:spacing w:after="120"/>
        <w:ind w:left="284" w:hanging="284"/>
      </w:pPr>
      <w:r>
        <w:rPr>
          <w:rStyle w:val="FootnoteReference"/>
        </w:rPr>
        <w:footnoteRef/>
      </w:r>
      <w:r>
        <w:tab/>
        <w:t>“Ogles” ir augstas kvalitātes, vidējas kvalitātes un zemas kvalitātes A un B kategorijas ogles atbilstoši definīcijai, kas sniegta Apvienoto Nāciju Organizācijas Eiropas Ekonomikas komisijas izstrādātajā starptautiskajā ogļu kodifikācijas sistēmā, kura precizēta Padomes 2010. gada 10. decembra Lēmumā par valsts atbalstu nekonkurētspējīgu ogļraktuvju slēgšanas atvieglošanai (OV L 336, 21.12.2010., 24. lpp.).</w:t>
      </w:r>
    </w:p>
  </w:footnote>
  <w:footnote w:id="8">
    <w:p w14:paraId="4703955C" w14:textId="77777777" w:rsidR="00AA5B76" w:rsidRPr="00DB5B5A" w:rsidRDefault="00AA5B76" w:rsidP="00AA5B76">
      <w:pPr>
        <w:pStyle w:val="FootnoteText"/>
        <w:tabs>
          <w:tab w:val="left" w:pos="284"/>
        </w:tabs>
        <w:spacing w:after="120"/>
        <w:ind w:left="284" w:hanging="284"/>
      </w:pPr>
      <w:r>
        <w:rPr>
          <w:rStyle w:val="FootnoteReference"/>
        </w:rPr>
        <w:footnoteRef/>
      </w:r>
      <w:r>
        <w:tab/>
        <w:t>Uz šīm nozarēm attiecas Eiropas Parlamenta un Padomes Regula (ES) Nr. 1379/2013 (2013. gada 11. decembris) par zvejas un akvakultūras produktu tirgu kopīgo organizāciju un ar ko groza Padomes Regulas (EK) Nr. 1184/2006 un (EK) Nr. 1224/2009 un atceļ Padomes Regulu (EK) Nr. 104/2000 (OV L 354, 28.12.2013., 1. lpp.).</w:t>
      </w:r>
    </w:p>
  </w:footnote>
  <w:footnote w:id="9">
    <w:p w14:paraId="6F85B9C5" w14:textId="77777777" w:rsidR="00AA5B76" w:rsidRPr="00DB5B5A" w:rsidRDefault="00AA5B76" w:rsidP="00AA5B76">
      <w:pPr>
        <w:pStyle w:val="FootnoteText"/>
        <w:tabs>
          <w:tab w:val="left" w:pos="284"/>
        </w:tabs>
        <w:spacing w:after="120"/>
        <w:ind w:left="284" w:hanging="284"/>
      </w:pPr>
      <w:r>
        <w:rPr>
          <w:rStyle w:val="FootnoteReference"/>
        </w:rPr>
        <w:footnoteRef/>
      </w:r>
      <w:r>
        <w:tab/>
        <w:t>Uz valsts atbalstu Līguma I pielikumā uzskaitīto lauksaimniecības produktu primārajai ražošanai, pārstrādei, kuras rezultātā tiek iegūti minētie lauksaimniecības produkti, un to tirdzniecībai un uz valsts atbalstu mežsaimniecībai attiecas noteikumi, kas paredzēti Pamatnostādnēs par valsts atbalstu lauksaimniecības nozarē (OV C 204, 1.7.2014., 1. lpp.).</w:t>
      </w:r>
    </w:p>
  </w:footnote>
  <w:footnote w:id="10">
    <w:p w14:paraId="7834A21D" w14:textId="77777777" w:rsidR="00AA5B76" w:rsidRPr="005C73FC" w:rsidRDefault="00AA5B76" w:rsidP="00AA5B76">
      <w:pPr>
        <w:pStyle w:val="FootnoteText"/>
        <w:tabs>
          <w:tab w:val="left" w:pos="284"/>
        </w:tabs>
        <w:spacing w:after="120"/>
        <w:ind w:left="284" w:hanging="284"/>
      </w:pPr>
      <w:r>
        <w:rPr>
          <w:rStyle w:val="FootnoteReference"/>
        </w:rPr>
        <w:footnoteRef/>
      </w:r>
      <w:r>
        <w:tab/>
        <w:t>RAP ir piemērojamas atbalsta shēmām, kas atbalsta Līguma 42. panta darbības jomā neietilpstošas darbības, kuras tiek līdzfinansētas no Eiropas Lauksaimniecības fonda lauku attīstībai (ELFLA) vai kurām atbalsts tiek piešķirts kā papildu valsts finansējums šādiem līdzfinansētiem pasākumiem, izņemot, ja nozares noteikumos ir paredzēts citādi.</w:t>
      </w:r>
    </w:p>
  </w:footnote>
  <w:footnote w:id="11">
    <w:p w14:paraId="163C33F0" w14:textId="77777777" w:rsidR="00AA5B76" w:rsidRPr="003F69C7" w:rsidRDefault="00AA5B76" w:rsidP="00AA5B76">
      <w:pPr>
        <w:pStyle w:val="FootnoteText"/>
        <w:tabs>
          <w:tab w:val="left" w:pos="284"/>
        </w:tabs>
        <w:spacing w:after="120"/>
        <w:ind w:left="284" w:hanging="284"/>
      </w:pPr>
      <w:r>
        <w:rPr>
          <w:rStyle w:val="FootnoteReference"/>
        </w:rPr>
        <w:footnoteRef/>
      </w:r>
      <w:r>
        <w:tab/>
        <w:t>“Transports” ir pasažieru komercpārvadājumi ar gaisa, jūras transportu, autotransportu, dzelzceļa un iekšzemes ūdensceļu transportu vai kravu komercpārvadājumi. RAP neattiecas arī uz transporta infrastruktūru, kurai ir piemērojamas speciālas pamatnostādnes, piemēram, uz lidostām (skatīt Komisijas paziņojumu “Pamatnostādnes par valsts atbalstu lidostām un aviokompānijām” (OV C 99, 4.4.2014., 3. lpp.)).</w:t>
      </w:r>
    </w:p>
  </w:footnote>
  <w:footnote w:id="12">
    <w:p w14:paraId="1EA14C57" w14:textId="77777777" w:rsidR="00AA5B76" w:rsidRPr="00DB5B5A" w:rsidRDefault="00AA5B76" w:rsidP="00AA5B76">
      <w:pPr>
        <w:pStyle w:val="FootnoteText"/>
        <w:tabs>
          <w:tab w:val="left" w:pos="284"/>
        </w:tabs>
        <w:spacing w:after="120"/>
        <w:ind w:left="284" w:hanging="284"/>
      </w:pPr>
      <w:r>
        <w:rPr>
          <w:rStyle w:val="FootnoteReference"/>
        </w:rPr>
        <w:footnoteRef/>
      </w:r>
      <w:r>
        <w:tab/>
        <w:t>Komisijas paziņojums “ES pamatnostādnes valsts atbalsta noteikumu piemērošanai attiecībā uz platjoslas tīklu ātru izvēršanu” (OV C 25, 26.1.2013., 1. lpp.).</w:t>
      </w:r>
    </w:p>
  </w:footnote>
  <w:footnote w:id="13">
    <w:p w14:paraId="2CFA6A64" w14:textId="77777777" w:rsidR="00AA5B76" w:rsidRPr="003F69C7" w:rsidRDefault="00AA5B76" w:rsidP="00AA5B76">
      <w:pPr>
        <w:pStyle w:val="FootnoteText"/>
        <w:tabs>
          <w:tab w:val="left" w:pos="284"/>
        </w:tabs>
        <w:spacing w:after="120"/>
        <w:ind w:left="284" w:hanging="284"/>
      </w:pPr>
      <w:r>
        <w:rPr>
          <w:rStyle w:val="FootnoteReference"/>
        </w:rPr>
        <w:footnoteRef/>
      </w:r>
      <w:r>
        <w:tab/>
        <w:t>Enerģētikas nozarē Komisija valsts atbalsta saderību vērtēs, pamatojoties uz Pamatnostādnēm par valsts atbalstu vides aizsardzībai un enerģētikai 2014.–2020. gadam (OV C 200, 28.6.2014., 1. lpp.).</w:t>
      </w:r>
    </w:p>
  </w:footnote>
  <w:footnote w:id="14">
    <w:p w14:paraId="1DD04E6E" w14:textId="77777777" w:rsidR="00AA5B76" w:rsidRPr="00527F99" w:rsidRDefault="00AA5B76" w:rsidP="00AA5B76">
      <w:pPr>
        <w:pStyle w:val="FootnoteText"/>
        <w:tabs>
          <w:tab w:val="left" w:pos="284"/>
        </w:tabs>
        <w:spacing w:after="120"/>
        <w:ind w:left="284" w:hanging="284"/>
      </w:pPr>
      <w:r>
        <w:rPr>
          <w:rStyle w:val="FootnoteReference"/>
        </w:rPr>
        <w:footnoteRef/>
      </w:r>
      <w:r>
        <w:tab/>
        <w:t>“MVU” ir uzņēmumi, kuri atbilst nosacījumiem, kas paredzēti Komisijas 2003. gada 6. maija Ieteikumā par mikrouzņēmumu, mazo un vidējo uzņēmumu definīciju (OV L 124, 20.5.2003., 36. lpp.).</w:t>
      </w:r>
    </w:p>
  </w:footnote>
  <w:footnote w:id="15">
    <w:p w14:paraId="5B5D8C1B" w14:textId="77777777" w:rsidR="00AA5B76" w:rsidRPr="0056721A" w:rsidRDefault="00AA5B76" w:rsidP="00AA5B76">
      <w:pPr>
        <w:pStyle w:val="FootnoteText"/>
        <w:tabs>
          <w:tab w:val="left" w:pos="284"/>
        </w:tabs>
        <w:spacing w:after="120"/>
        <w:ind w:left="284" w:hanging="284"/>
      </w:pPr>
      <w:r>
        <w:rPr>
          <w:rStyle w:val="FootnoteReference"/>
        </w:rPr>
        <w:footnoteRef/>
      </w:r>
      <w:r>
        <w:tab/>
        <w:t>Uzņēmuma kapitāldaļu parasta iegāde nekvalificējas kā sākotnējais ieguldījums.</w:t>
      </w:r>
    </w:p>
  </w:footnote>
  <w:footnote w:id="16">
    <w:p w14:paraId="2ED4BFDA" w14:textId="77777777" w:rsidR="00AA5B76" w:rsidRPr="008A59EC" w:rsidRDefault="00AA5B76" w:rsidP="00AA5B76">
      <w:pPr>
        <w:pStyle w:val="FootnoteText"/>
        <w:tabs>
          <w:tab w:val="left" w:pos="284"/>
        </w:tabs>
        <w:spacing w:after="120"/>
        <w:ind w:left="284" w:hanging="284"/>
      </w:pPr>
      <w:r>
        <w:rPr>
          <w:rStyle w:val="FootnoteReference"/>
        </w:rPr>
        <w:footnoteRef/>
      </w:r>
      <w:r>
        <w:tab/>
        <w:t xml:space="preserve">“Tā pati vai līdzīga darbība” ir darbība, kas ietilpst tajā pašā </w:t>
      </w:r>
      <w:r>
        <w:rPr>
          <w:i/>
        </w:rPr>
        <w:t>NACE</w:t>
      </w:r>
      <w:r>
        <w:t xml:space="preserve"> 2. red. saimniecisko darbību statistiskās klasifikācijas klasē (četrciparu kods).</w:t>
      </w:r>
    </w:p>
  </w:footnote>
  <w:footnote w:id="17">
    <w:p w14:paraId="32D0D215" w14:textId="77777777" w:rsidR="00AA5B76" w:rsidRPr="000D0DAA" w:rsidRDefault="00AA5B76" w:rsidP="00AA5B76">
      <w:pPr>
        <w:pStyle w:val="FootnoteText"/>
        <w:tabs>
          <w:tab w:val="left" w:pos="284"/>
        </w:tabs>
        <w:spacing w:after="120"/>
        <w:ind w:left="284" w:hanging="284"/>
      </w:pPr>
      <w:r>
        <w:rPr>
          <w:rStyle w:val="FootnoteReference"/>
        </w:rPr>
        <w:footnoteRef/>
      </w:r>
      <w:r>
        <w:tab/>
        <w:t>Uzņēmuma kapitāldaļu parasta iegāde nekvalificējas kā sākotnējais ieguldījums jaunā saimnieciskajā darbībā.</w:t>
      </w:r>
    </w:p>
  </w:footnote>
  <w:footnote w:id="18">
    <w:p w14:paraId="101838D6" w14:textId="77777777" w:rsidR="00AA5B76" w:rsidRPr="00D35343" w:rsidRDefault="00AA5B76" w:rsidP="00AA5B76">
      <w:pPr>
        <w:pStyle w:val="FootnoteText"/>
        <w:tabs>
          <w:tab w:val="left" w:pos="284"/>
        </w:tabs>
        <w:spacing w:after="120"/>
        <w:ind w:left="284" w:hanging="284"/>
      </w:pPr>
      <w:r>
        <w:rPr>
          <w:rStyle w:val="FootnoteReference"/>
        </w:rPr>
        <w:footnoteRef/>
      </w:r>
      <w:r>
        <w:tab/>
        <w:t>Šis nosacījums neattiecas uz MVU un uz uzņēmējdarbības vietas iegādes darījumiem.</w:t>
      </w:r>
    </w:p>
  </w:footnote>
  <w:footnote w:id="19">
    <w:p w14:paraId="0C492EFB" w14:textId="77777777" w:rsidR="00AA5B76" w:rsidRPr="006D6383" w:rsidRDefault="00AA5B76" w:rsidP="00AA5B76">
      <w:pPr>
        <w:pStyle w:val="FootnoteText"/>
        <w:tabs>
          <w:tab w:val="left" w:pos="284"/>
        </w:tabs>
        <w:ind w:left="284" w:hanging="284"/>
      </w:pPr>
      <w:r>
        <w:rPr>
          <w:rStyle w:val="FootnoteReference"/>
        </w:rPr>
        <w:footnoteRef/>
      </w:r>
      <w:r>
        <w:tab/>
        <w:t>RAP 34. punktā ir noteikts, ka nemateriālajiem aktīviem, kurus var ņemt vērā ieguldījumu izmaksu aprēķinā, jāpaliek piesaistītiem attiecīgajam apgabalam, un tos nevar pārnest uz citiem apgabaliem. Tālab nemateriālajiem aktīviem ir jāatbilst šādiem nosacījumiem:</w:t>
      </w:r>
    </w:p>
    <w:p w14:paraId="6E9C005D" w14:textId="77777777" w:rsidR="00AA5B76" w:rsidRDefault="00AA5B76" w:rsidP="00AA5B76">
      <w:pPr>
        <w:pStyle w:val="FootnoteText"/>
        <w:numPr>
          <w:ilvl w:val="0"/>
          <w:numId w:val="23"/>
        </w:numPr>
        <w:tabs>
          <w:tab w:val="left" w:pos="709"/>
        </w:tabs>
        <w:spacing w:before="0"/>
        <w:ind w:left="709" w:hanging="425"/>
      </w:pPr>
      <w:r>
        <w:t>tie jāizmanto vienīgi uzņēmējdarbības vietā, kas saņem atbalstu;</w:t>
      </w:r>
    </w:p>
    <w:p w14:paraId="71C6DDED" w14:textId="77777777" w:rsidR="00AA5B76" w:rsidRDefault="00AA5B76" w:rsidP="00AA5B76">
      <w:pPr>
        <w:pStyle w:val="FootnoteText"/>
        <w:numPr>
          <w:ilvl w:val="0"/>
          <w:numId w:val="23"/>
        </w:numPr>
        <w:tabs>
          <w:tab w:val="left" w:pos="709"/>
        </w:tabs>
        <w:spacing w:before="0"/>
        <w:ind w:left="709" w:hanging="425"/>
      </w:pPr>
      <w:r>
        <w:t>tiem jābūt amortizējamiem;</w:t>
      </w:r>
    </w:p>
    <w:p w14:paraId="753CCDE5" w14:textId="77777777" w:rsidR="00AA5B76" w:rsidRDefault="00AA5B76" w:rsidP="00AA5B76">
      <w:pPr>
        <w:pStyle w:val="FootnoteText"/>
        <w:numPr>
          <w:ilvl w:val="0"/>
          <w:numId w:val="23"/>
        </w:numPr>
        <w:tabs>
          <w:tab w:val="left" w:pos="709"/>
        </w:tabs>
        <w:spacing w:before="0"/>
        <w:ind w:left="709" w:hanging="425"/>
      </w:pPr>
      <w:r>
        <w:t>tiem jābūt iegādātiem no trešām personām, kas nav saistītas ar pircēju, atbilstoši tirgus nosacījumiem;</w:t>
      </w:r>
    </w:p>
    <w:p w14:paraId="38B3D3B0" w14:textId="77777777" w:rsidR="00AA5B76" w:rsidRPr="006D6383" w:rsidRDefault="00AA5B76" w:rsidP="00AA5B76">
      <w:pPr>
        <w:pStyle w:val="FootnoteText"/>
        <w:numPr>
          <w:ilvl w:val="0"/>
          <w:numId w:val="23"/>
        </w:numPr>
        <w:tabs>
          <w:tab w:val="left" w:pos="709"/>
        </w:tabs>
        <w:spacing w:before="0" w:after="120"/>
        <w:ind w:left="709" w:hanging="425"/>
      </w:pPr>
      <w:r>
        <w:t>tiem jābūt iekļautiem atbalstu saņemošā uzņēmuma aktīvos un vismaz piecus gadus (MVU gadījumā trīs gadus) jāpaliek piesaistītiem projektam, kuram tiek piešķirts atbalsts.</w:t>
      </w:r>
    </w:p>
  </w:footnote>
  <w:footnote w:id="20">
    <w:p w14:paraId="65CCC666" w14:textId="77777777" w:rsidR="00AA5B76" w:rsidRDefault="00AA5B76" w:rsidP="00AA5B76">
      <w:pPr>
        <w:pStyle w:val="FootnoteText"/>
        <w:tabs>
          <w:tab w:val="left" w:pos="284"/>
        </w:tabs>
        <w:spacing w:after="120"/>
        <w:ind w:left="284" w:hanging="284"/>
      </w:pPr>
      <w:r>
        <w:rPr>
          <w:rStyle w:val="FootnoteReference"/>
        </w:rPr>
        <w:footnoteRef/>
      </w:r>
      <w:r>
        <w:tab/>
        <w:t xml:space="preserve">Uz šo jautājumu nav jāatbild, ja runa ir par subsidētajiem aizdevumiem, publiskajiem pašu kapitāla aizdevumiem un publisko līdzdalību, kas neatbilst tirgus ieguldītāja principam, valsts garantijām ar atbalsta elementiem vai publisko atbalstu, kas tiek piešķirts atbilstoši </w:t>
      </w:r>
      <w:r>
        <w:rPr>
          <w:i/>
        </w:rPr>
        <w:t>de minimis</w:t>
      </w:r>
      <w:r>
        <w:t xml:space="preserve"> noteikumiem.</w:t>
      </w:r>
    </w:p>
  </w:footnote>
  <w:footnote w:id="21">
    <w:p w14:paraId="7BE4317C" w14:textId="77777777" w:rsidR="00AA5B76" w:rsidRDefault="00AA5B76" w:rsidP="00AA5B76">
      <w:pPr>
        <w:pStyle w:val="FootnoteText"/>
        <w:tabs>
          <w:tab w:val="left" w:pos="284"/>
        </w:tabs>
        <w:spacing w:after="120"/>
        <w:ind w:left="284" w:hanging="284"/>
      </w:pPr>
      <w:r>
        <w:rPr>
          <w:rStyle w:val="FootnoteReference"/>
        </w:rPr>
        <w:footnoteRef/>
      </w:r>
      <w:r>
        <w:tab/>
        <w:t>Hipotētiskais scenārijs ir ticams tad, ja tas ir reālistisks un atspoguļo lēmuma pieņemšanas faktorus laikā, kad saņēmējs pieņēma lēmumu par ieguldījumu.</w:t>
      </w:r>
    </w:p>
  </w:footnote>
  <w:footnote w:id="22">
    <w:p w14:paraId="7C4B5A9A" w14:textId="77777777" w:rsidR="00AA5B76" w:rsidRDefault="00AA5B76" w:rsidP="00AA5B76">
      <w:pPr>
        <w:pStyle w:val="FootnoteText"/>
        <w:tabs>
          <w:tab w:val="left" w:pos="284"/>
        </w:tabs>
        <w:spacing w:after="120"/>
        <w:ind w:left="284" w:hanging="284"/>
      </w:pPr>
      <w:r>
        <w:rPr>
          <w:rStyle w:val="FootnoteReference"/>
        </w:rPr>
        <w:footnoteRef/>
      </w:r>
      <w:r>
        <w:tab/>
        <w:t xml:space="preserve">Attiecībā uz šo var norādīt atsauces, piemēram, uz ierosinātās shēmas ietekmes novērtējumu vai līdzīgu shēmu </w:t>
      </w:r>
      <w:r>
        <w:rPr>
          <w:i/>
        </w:rPr>
        <w:t>ex post</w:t>
      </w:r>
      <w:r>
        <w:t xml:space="preserve"> izvērtējumiem.</w:t>
      </w:r>
    </w:p>
  </w:footnote>
  <w:footnote w:id="23">
    <w:p w14:paraId="71DFD02F" w14:textId="77777777" w:rsidR="00AA5B76" w:rsidRPr="00F800EA" w:rsidRDefault="00AA5B76" w:rsidP="00AA5B76">
      <w:pPr>
        <w:pStyle w:val="FootnoteText"/>
        <w:tabs>
          <w:tab w:val="left" w:pos="284"/>
        </w:tabs>
        <w:spacing w:after="120"/>
        <w:ind w:left="284" w:hanging="284"/>
      </w:pPr>
      <w:r>
        <w:rPr>
          <w:rStyle w:val="FootnoteReference"/>
        </w:rPr>
        <w:footnoteRef/>
      </w:r>
      <w:r>
        <w:tab/>
        <w:t>Piemēram, tiešās dotācijas, atbrīvojums vai samazinājums, kas piemērojams nodokļiem, sociālās apdrošināšanas iemaksām vai citiem obligātajiem maksājumiem, zemes platību, preču vai pakalpojumu nodrošināšana par izdevīgām cenām utt.</w:t>
      </w:r>
    </w:p>
  </w:footnote>
  <w:footnote w:id="24">
    <w:p w14:paraId="3242A039" w14:textId="77777777" w:rsidR="00AA5B76" w:rsidRPr="001D303A" w:rsidRDefault="00AA5B76" w:rsidP="00AA5B76">
      <w:pPr>
        <w:pStyle w:val="FootnoteText"/>
        <w:tabs>
          <w:tab w:val="left" w:pos="284"/>
        </w:tabs>
        <w:spacing w:after="120"/>
        <w:ind w:left="284" w:hanging="284"/>
      </w:pPr>
      <w:r>
        <w:rPr>
          <w:rStyle w:val="FootnoteReference"/>
        </w:rPr>
        <w:footnoteRef/>
      </w:r>
      <w:r>
        <w:tab/>
        <w:t>Piemēram, aizdevumi ar zemu procentu likmi, procentu likmes subsīdijas, valsts garantijas, kapitāldaļu iegāde vai cita veida kapitāla nodrošinājums ar izdevīgiem nosacījumiem.</w:t>
      </w:r>
    </w:p>
  </w:footnote>
  <w:footnote w:id="25">
    <w:p w14:paraId="41097C01" w14:textId="77777777" w:rsidR="00AA5B76" w:rsidRPr="004E27C0" w:rsidRDefault="00AA5B76" w:rsidP="00AA5B76">
      <w:pPr>
        <w:pStyle w:val="FootnoteText"/>
        <w:tabs>
          <w:tab w:val="left" w:pos="284"/>
        </w:tabs>
        <w:spacing w:after="120"/>
        <w:ind w:left="284" w:hanging="284"/>
      </w:pPr>
      <w:r>
        <w:rPr>
          <w:rStyle w:val="FootnoteReference"/>
        </w:rPr>
        <w:footnoteRef/>
      </w:r>
      <w:r>
        <w:tab/>
        <w:t xml:space="preserve">Lai Komisijai dotu iespēju novērtēt iespējamo negatīvo ietekmi, dalībvalsts var iesniegt tās rīcībā esošos ietekmes novērtējumus un </w:t>
      </w:r>
      <w:r>
        <w:rPr>
          <w:i/>
        </w:rPr>
        <w:t>ex post</w:t>
      </w:r>
      <w:r>
        <w:t xml:space="preserve"> izvērtējumus, kas veikti par līdzīgām iepriekšējām shēmām.</w:t>
      </w:r>
    </w:p>
  </w:footnote>
  <w:footnote w:id="26">
    <w:p w14:paraId="23E70F47" w14:textId="77777777" w:rsidR="00AA5B76" w:rsidRPr="004A0583" w:rsidRDefault="00AA5B76" w:rsidP="00AA5B76">
      <w:pPr>
        <w:pStyle w:val="FootnoteText"/>
        <w:tabs>
          <w:tab w:val="left" w:pos="284"/>
        </w:tabs>
        <w:spacing w:after="120"/>
        <w:ind w:left="284" w:hanging="284"/>
      </w:pPr>
      <w:r>
        <w:rPr>
          <w:rStyle w:val="FootnoteReference"/>
        </w:rPr>
        <w:footnoteRef/>
      </w:r>
      <w:r>
        <w:tab/>
        <w:t>Atbilstoši III pielikumam Komisijas Regulā (ES) Nr. 651/2014 (2014. gada 17. jūnijs), ar ko noteiktas atbalsta kategorijas atzīst par saderīgām ar iekšējo tirgu, piemērojot Līguma 107. un 108. pantu.</w:t>
      </w:r>
    </w:p>
  </w:footnote>
  <w:footnote w:id="27">
    <w:p w14:paraId="7241D342" w14:textId="77777777" w:rsidR="00AA5B76" w:rsidRPr="004A0583" w:rsidRDefault="00AA5B76" w:rsidP="00AA5B76">
      <w:pPr>
        <w:pStyle w:val="FootnoteText"/>
        <w:tabs>
          <w:tab w:val="left" w:pos="284"/>
        </w:tabs>
        <w:spacing w:after="120"/>
        <w:ind w:left="284" w:hanging="284"/>
      </w:pPr>
      <w:r>
        <w:rPr>
          <w:rStyle w:val="FootnoteReference"/>
        </w:rPr>
        <w:footnoteRef/>
      </w:r>
      <w:r>
        <w:tab/>
        <w:t>Atbilstoši III pielikumam Komisijas Regulā (ES) Nr. 651/2014 (2014. gada 17. jūnijs), ar ko noteiktas atbalsta kategorijas atzīst par saderīgām ar iekšējo tirgu, piemērojot Līguma 107. un 108. pantu.</w:t>
      </w:r>
    </w:p>
  </w:footnote>
  <w:footnote w:id="28">
    <w:p w14:paraId="62527B38" w14:textId="77777777" w:rsidR="00AA5B76" w:rsidRDefault="00AA5B76" w:rsidP="00AA5B76">
      <w:pPr>
        <w:pStyle w:val="FootnoteText"/>
        <w:tabs>
          <w:tab w:val="left" w:pos="284"/>
        </w:tabs>
        <w:spacing w:after="120"/>
        <w:ind w:left="284" w:hanging="284"/>
      </w:pPr>
      <w:r>
        <w:rPr>
          <w:rStyle w:val="FootnoteReference"/>
        </w:rPr>
        <w:footnoteRef/>
      </w:r>
      <w:r>
        <w:tab/>
        <w:t xml:space="preserve">Skatīt metodiskos norādījumus par valsts atbalsta izvērtēšanu, kuri pieejami vietnē </w:t>
      </w:r>
      <w:hyperlink r:id="rId3" w:history="1">
        <w:r>
          <w:rPr>
            <w:rStyle w:val="Hyperlink"/>
          </w:rPr>
          <w:t>https://competition-policy.ec.europa.eu/system/files/2021-04/modernisation_evaluation_methodology_en.pdf</w:t>
        </w:r>
      </w:hyperlink>
      <w:r>
        <w:t xml:space="preserve">.  Izvērtējuma plāns jāiesniedz, izmantojot I pielikuma III.8. daļā sniegto veidni, kas pieejama vietnē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F38E" w14:textId="77777777" w:rsidR="00AA5B76" w:rsidRDefault="00AA5B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9518" w14:textId="77777777" w:rsidR="00AA5B76" w:rsidRDefault="00AA5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4C02" w14:textId="77777777" w:rsidR="00AA5B76" w:rsidRDefault="00AA5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4435730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5123389">
    <w:abstractNumId w:val="16"/>
  </w:num>
  <w:num w:numId="24" w16cid:durableId="858589722">
    <w:abstractNumId w:val="19"/>
  </w:num>
  <w:num w:numId="25" w16cid:durableId="490826699">
    <w:abstractNumId w:val="9"/>
  </w:num>
  <w:num w:numId="26" w16cid:durableId="105348320">
    <w:abstractNumId w:val="15"/>
    <w:lvlOverride w:ilvl="0">
      <w:startOverride w:val="1"/>
    </w:lvlOverride>
  </w:num>
  <w:num w:numId="27" w16cid:durableId="44910254">
    <w:abstractNumId w:val="25"/>
    <w:lvlOverride w:ilvl="0">
      <w:startOverride w:val="1"/>
    </w:lvlOverride>
  </w:num>
  <w:num w:numId="28" w16cid:durableId="1715693620">
    <w:abstractNumId w:val="23"/>
    <w:lvlOverride w:ilvl="0">
      <w:startOverride w:val="1"/>
    </w:lvlOverride>
  </w:num>
  <w:num w:numId="29" w16cid:durableId="105120524">
    <w:abstractNumId w:val="23"/>
  </w:num>
  <w:num w:numId="30" w16cid:durableId="1379284963">
    <w:abstractNumId w:val="15"/>
  </w:num>
  <w:num w:numId="31" w16cid:durableId="693388940">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A5B7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A397A"/>
    <w:rsid w:val="001C1BEB"/>
    <w:rsid w:val="001C4DC3"/>
    <w:rsid w:val="001E264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0760"/>
    <w:rsid w:val="009A2D34"/>
    <w:rsid w:val="009B0CDA"/>
    <w:rsid w:val="009C1133"/>
    <w:rsid w:val="009E7DD4"/>
    <w:rsid w:val="009F62CB"/>
    <w:rsid w:val="00A07FC5"/>
    <w:rsid w:val="00A4098E"/>
    <w:rsid w:val="00A55890"/>
    <w:rsid w:val="00A81EB8"/>
    <w:rsid w:val="00A83BD9"/>
    <w:rsid w:val="00AA5B76"/>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C559"/>
  <w15:chartTrackingRefBased/>
  <w15:docId w15:val="{CC840702-803C-416D-883F-4B785EA3C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B76"/>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A5B7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A5B7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v-LV"/>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v-LV"/>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v-LV"/>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v-LV"/>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v-LV"/>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v-LV"/>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v-LV"/>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A5B7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A5B7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A5B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B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5B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5B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5B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A5B7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A5B76"/>
    <w:rPr>
      <w:i/>
      <w:iCs/>
      <w:color w:val="365F91" w:themeColor="accent1" w:themeShade="BF"/>
    </w:rPr>
  </w:style>
  <w:style w:type="paragraph" w:styleId="IntenseQuote">
    <w:name w:val="Intense Quote"/>
    <w:basedOn w:val="Normal"/>
    <w:next w:val="Normal"/>
    <w:link w:val="IntenseQuoteChar"/>
    <w:uiPriority w:val="30"/>
    <w:qFormat/>
    <w:rsid w:val="00AA5B7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A5B7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A5B76"/>
    <w:rPr>
      <w:b/>
      <w:bCs/>
      <w:smallCaps/>
      <w:color w:val="365F91" w:themeColor="accent1" w:themeShade="BF"/>
      <w:spacing w:val="5"/>
    </w:rPr>
  </w:style>
  <w:style w:type="paragraph" w:customStyle="1" w:styleId="Text2">
    <w:name w:val="Text 2"/>
    <w:basedOn w:val="Normal"/>
    <w:rsid w:val="00AA5B76"/>
    <w:pPr>
      <w:ind w:left="1417"/>
    </w:pPr>
  </w:style>
  <w:style w:type="paragraph" w:customStyle="1" w:styleId="Tiret0">
    <w:name w:val="Tiret 0"/>
    <w:basedOn w:val="Normal"/>
    <w:rsid w:val="00AA5B76"/>
    <w:pPr>
      <w:numPr>
        <w:numId w:val="28"/>
      </w:numPr>
    </w:pPr>
  </w:style>
  <w:style w:type="paragraph" w:customStyle="1" w:styleId="Tiret1">
    <w:name w:val="Tiret 1"/>
    <w:basedOn w:val="Normal"/>
    <w:rsid w:val="00AA5B76"/>
    <w:pPr>
      <w:numPr>
        <w:numId w:val="26"/>
      </w:numPr>
    </w:pPr>
  </w:style>
  <w:style w:type="paragraph" w:customStyle="1" w:styleId="Tiret2">
    <w:name w:val="Tiret 2"/>
    <w:basedOn w:val="Normal"/>
    <w:rsid w:val="00AA5B76"/>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E9E73-9748-4F80-8561-115C9DCD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2701</Words>
  <Characters>17858</Characters>
  <DocSecurity>0</DocSecurity>
  <Lines>396</Lines>
  <Paragraphs>223</Paragraphs>
  <ScaleCrop>false</ScaleCrop>
  <LinksUpToDate>false</LinksUpToDate>
  <CharactersWithSpaces>20336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2025-05-30T07:03:00Z</dcterms:created>
  <dcterms:modified xsi:type="dcterms:W3CDTF">2025-05-30T11:11:00Z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2025-05-30T07:05:14Z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864c3ad8-da8e-457d-9e1c-4ecf75a337ee</vt:lpwstr>
  </property>
  <property fmtid="{D5CDD505-2E9C-101B-9397-08002B2CF9AE}" pid="8" name="MSIP_Label_6bd9ddd1-4d20-43f6-abfa-fc3c07406f94_ContentBits">
    <vt:lpwstr>0</vt:lpwstr>
  </property>
</Properties>
</file>