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85AE3" w14:textId="3BF4CEC0" w:rsidR="00C258F0" w:rsidRPr="005C6D28" w:rsidRDefault="00C258F0" w:rsidP="00C258F0">
      <w:pPr>
        <w:pStyle w:val="ManualHeading2"/>
        <w:rPr>
          <w:noProof/>
          <w:color w:val="000000"/>
          <w:szCs w:val="24"/>
        </w:rPr>
      </w:pPr>
      <w:r w:rsidRPr="005C6D28">
        <w:rPr>
          <w:noProof/>
        </w:rPr>
        <w:t>DIO III.1.B</w:t>
      </w:r>
      <w:r>
        <w:rPr>
          <w:noProof/>
        </w:rPr>
        <w:t xml:space="preserve"> - </w:t>
      </w:r>
      <w:r w:rsidRPr="005C6D28">
        <w:rPr>
          <w:noProof/>
          <w:color w:val="000000"/>
        </w:rPr>
        <w:t>OBRAZAC S DODATNIM INFORMACIJAMA O PROGRAMIMA REGIONALNIH POTPORA ZA ULAGANJA</w:t>
      </w:r>
    </w:p>
    <w:p w14:paraId="00037D47" w14:textId="77777777" w:rsidR="00C258F0" w:rsidRPr="005C6D28" w:rsidRDefault="00C258F0" w:rsidP="00C258F0">
      <w:pPr>
        <w:rPr>
          <w:i/>
          <w:iCs/>
          <w:noProof/>
          <w:szCs w:val="24"/>
        </w:rPr>
      </w:pPr>
      <w:r w:rsidRPr="005C6D28">
        <w:rPr>
          <w:i/>
          <w:noProof/>
        </w:rPr>
        <w:t>Ovaj obrazac s dodatnim informacijama nije obvezan. Međutim, preporučuje se da se ispuni zajedno s obrascem s općim informacijama za prijavu pojedinačnih potpora za ulaganje obuhvaćenih Smjernicama za regionalne državne potpore koje se primjenjuju od 1. siječnja 2022. („RAG”)</w:t>
      </w:r>
      <w:r w:rsidRPr="005C6D28">
        <w:rPr>
          <w:rStyle w:val="FootnoteReference"/>
          <w:noProof/>
        </w:rPr>
        <w:footnoteReference w:id="1"/>
      </w:r>
      <w:r w:rsidRPr="005C6D28">
        <w:rPr>
          <w:i/>
          <w:noProof/>
        </w:rPr>
        <w:t xml:space="preserve">. </w:t>
      </w:r>
    </w:p>
    <w:p w14:paraId="20E9B2DC" w14:textId="03BA9CB5" w:rsidR="00C258F0" w:rsidRPr="005C6D28" w:rsidRDefault="00C258F0" w:rsidP="00C258F0">
      <w:pPr>
        <w:pStyle w:val="Heading1"/>
        <w:rPr>
          <w:noProof/>
        </w:rPr>
      </w:pPr>
      <w:r w:rsidRPr="005C6D28">
        <w:rPr>
          <w:noProof/>
        </w:rPr>
        <w:t>Područje primjene</w:t>
      </w:r>
    </w:p>
    <w:p w14:paraId="407F5FE4" w14:textId="77777777" w:rsidR="00C258F0" w:rsidRPr="005C6D28" w:rsidRDefault="00C258F0" w:rsidP="00C258F0">
      <w:pPr>
        <w:pStyle w:val="NormalKop111"/>
        <w:numPr>
          <w:ilvl w:val="1"/>
          <w:numId w:val="22"/>
        </w:numPr>
        <w:tabs>
          <w:tab w:val="clear" w:pos="720"/>
          <w:tab w:val="clear" w:pos="1440"/>
          <w:tab w:val="clear" w:pos="1797"/>
        </w:tabs>
        <w:ind w:left="709" w:hanging="709"/>
        <w:rPr>
          <w:noProof/>
        </w:rPr>
      </w:pPr>
      <w:r w:rsidRPr="005C6D28">
        <w:rPr>
          <w:noProof/>
        </w:rPr>
        <w:t>Razlozi prijavljivanja programa umjesto njegove provedbe u okviru Uredbe o općem skupnom izuzeću („GBER”)</w:t>
      </w:r>
      <w:r w:rsidRPr="005C6D28">
        <w:rPr>
          <w:rStyle w:val="FootnoteReference"/>
          <w:rFonts w:cs="Times New Roman"/>
          <w:noProof/>
        </w:rPr>
        <w:footnoteReference w:id="2"/>
      </w:r>
      <w:r w:rsidRPr="005C6D28">
        <w:rPr>
          <w:noProof/>
        </w:rPr>
        <w:t xml:space="preserve"> ili Uredbe o </w:t>
      </w:r>
      <w:r w:rsidRPr="005C6D28">
        <w:rPr>
          <w:i/>
          <w:noProof/>
        </w:rPr>
        <w:t>de minimis</w:t>
      </w:r>
      <w:r w:rsidRPr="005C6D28">
        <w:rPr>
          <w:noProof/>
        </w:rPr>
        <w:t xml:space="preserve"> potporama</w:t>
      </w:r>
      <w:r w:rsidRPr="005C6D28">
        <w:rPr>
          <w:rStyle w:val="FootnoteReference"/>
          <w:noProof/>
        </w:rPr>
        <w:footnoteReference w:id="3"/>
      </w:r>
      <w:r w:rsidRPr="005C6D28">
        <w:rPr>
          <w:noProof/>
        </w:rPr>
        <w:t>:</w:t>
      </w:r>
    </w:p>
    <w:p w14:paraId="718E7771" w14:textId="77777777" w:rsidR="00C258F0" w:rsidRPr="005C6D28" w:rsidRDefault="00C066D4" w:rsidP="00C258F0">
      <w:pPr>
        <w:pStyle w:val="Tiret2"/>
        <w:rPr>
          <w:noProof/>
        </w:rPr>
      </w:pPr>
      <w:sdt>
        <w:sdtPr>
          <w:rPr>
            <w:noProof/>
          </w:rPr>
          <w:id w:val="1152482089"/>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prijava je povezana sa sektorskim programom. U tom slučaju navedite sektor obuhvaćen programom (oznaka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C258F0" w:rsidRPr="005C6D28" w14:paraId="05F033BF" w14:textId="77777777" w:rsidTr="00D316B2">
        <w:tc>
          <w:tcPr>
            <w:tcW w:w="7672" w:type="dxa"/>
            <w:shd w:val="clear" w:color="auto" w:fill="auto"/>
          </w:tcPr>
          <w:p w14:paraId="018928D5" w14:textId="77777777" w:rsidR="00C258F0" w:rsidRPr="005C6D28" w:rsidRDefault="00C258F0" w:rsidP="00D316B2">
            <w:pPr>
              <w:rPr>
                <w:noProof/>
              </w:rPr>
            </w:pPr>
            <w:r w:rsidRPr="005C6D28">
              <w:rPr>
                <w:noProof/>
              </w:rPr>
              <w:t xml:space="preserve">… </w:t>
            </w:r>
          </w:p>
        </w:tc>
      </w:tr>
    </w:tbl>
    <w:p w14:paraId="6AFDDAFC" w14:textId="77777777" w:rsidR="00C258F0" w:rsidRPr="005C6D28" w:rsidRDefault="00C066D4" w:rsidP="00C258F0">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rFonts w:ascii="MS Gothic" w:hAnsi="MS Gothic"/>
          <w:noProof/>
        </w:rPr>
        <w:t xml:space="preserve"> </w:t>
      </w:r>
      <w:r w:rsidR="00C258F0" w:rsidRPr="005C6D28">
        <w:rPr>
          <w:noProof/>
        </w:rPr>
        <w:t xml:space="preserve">drugo. Navedite: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C258F0" w:rsidRPr="005C6D28" w14:paraId="15B90703" w14:textId="77777777" w:rsidTr="00D316B2">
        <w:tc>
          <w:tcPr>
            <w:tcW w:w="8391" w:type="dxa"/>
            <w:shd w:val="clear" w:color="auto" w:fill="auto"/>
          </w:tcPr>
          <w:p w14:paraId="27C6EE84" w14:textId="77777777" w:rsidR="00C258F0" w:rsidRPr="005C6D28" w:rsidRDefault="00C258F0" w:rsidP="00D316B2">
            <w:pPr>
              <w:rPr>
                <w:noProof/>
              </w:rPr>
            </w:pPr>
            <w:r w:rsidRPr="005C6D28">
              <w:rPr>
                <w:noProof/>
              </w:rPr>
              <w:t xml:space="preserve">… </w:t>
            </w:r>
          </w:p>
        </w:tc>
      </w:tr>
    </w:tbl>
    <w:p w14:paraId="764EB562" w14:textId="77777777" w:rsidR="00C258F0" w:rsidRPr="005C6D28" w:rsidRDefault="00C258F0" w:rsidP="00C258F0">
      <w:pPr>
        <w:pStyle w:val="NormalKop111"/>
        <w:numPr>
          <w:ilvl w:val="1"/>
          <w:numId w:val="22"/>
        </w:numPr>
        <w:tabs>
          <w:tab w:val="clear" w:pos="720"/>
          <w:tab w:val="clear" w:pos="1440"/>
          <w:tab w:val="clear" w:pos="1797"/>
        </w:tabs>
        <w:ind w:left="709" w:hanging="709"/>
        <w:rPr>
          <w:noProof/>
        </w:rPr>
      </w:pPr>
      <w:r w:rsidRPr="005C6D28">
        <w:rPr>
          <w:noProof/>
        </w:rPr>
        <w:t>Područje primjene prijavljenog programa</w:t>
      </w:r>
    </w:p>
    <w:p w14:paraId="449172C1"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Potvrdite da pravna osnova prijavljenog programa sadržava obvezu da se pojedinačna potpora dodijeljena korisniku prijavi Komisiji ako potpora iz svih izvora premašuje prag za prijavu utvrđen u Uredbi o općem skupnom izuzeću („GBER”) za regionalnu potporu za ulaganje (točka 22. RAG-a).</w:t>
      </w:r>
    </w:p>
    <w:p w14:paraId="1AEC1D39" w14:textId="77777777" w:rsidR="00C258F0" w:rsidRPr="005C6D28" w:rsidRDefault="00C258F0" w:rsidP="00C258F0">
      <w:pPr>
        <w:pStyle w:val="Text2"/>
        <w:rPr>
          <w:noProof/>
        </w:rPr>
      </w:pPr>
      <w:r w:rsidRPr="005C6D28">
        <w:rPr>
          <w:noProof/>
        </w:rPr>
        <w:t xml:space="preserve">Navedite upućivanje na odgovarajuću odredbu pravne osnove: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C258F0" w:rsidRPr="005C6D28" w14:paraId="32F5EECA" w14:textId="77777777" w:rsidTr="00D316B2">
        <w:tc>
          <w:tcPr>
            <w:tcW w:w="8391" w:type="dxa"/>
            <w:shd w:val="clear" w:color="auto" w:fill="auto"/>
          </w:tcPr>
          <w:p w14:paraId="6F29D5A4" w14:textId="77777777" w:rsidR="00C258F0" w:rsidRPr="005C6D28" w:rsidRDefault="00C258F0" w:rsidP="00D316B2">
            <w:pPr>
              <w:rPr>
                <w:noProof/>
              </w:rPr>
            </w:pPr>
            <w:r w:rsidRPr="005C6D28">
              <w:rPr>
                <w:noProof/>
              </w:rPr>
              <w:t xml:space="preserve">… </w:t>
            </w:r>
          </w:p>
        </w:tc>
      </w:tr>
    </w:tbl>
    <w:p w14:paraId="1FD678C0"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Potvrdite da pravna osnova prijavljenog programa sadržava obvezu da se pojedinačna potpora dodijeljena korisniku prijavi Komisiji osim u sljedećim slučajevima: 1. ako je korisnik potvrdio da u razdoblju od dvije godine prije podnošenja zahtjeva za potporu nije obavio premještanje u poslovnu jedinicu u kojoj će se provesti početno ulaganje za koje se dodjeljuje potpora i 2. ako se korisnik obvezao da neće obaviti takvo premještanje tijekom razdoblja od dvije godine nakon dovršetka početnog ulaganja (točka 23. RAG-a).</w:t>
      </w:r>
    </w:p>
    <w:p w14:paraId="01E32E87"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 xml:space="preserve">Navedite upućivanje na odgovarajuću odredbu pravne osnove: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C258F0" w:rsidRPr="005C6D28" w14:paraId="5EA6A0AA" w14:textId="77777777" w:rsidTr="00D316B2">
        <w:tc>
          <w:tcPr>
            <w:tcW w:w="8391" w:type="dxa"/>
            <w:shd w:val="clear" w:color="auto" w:fill="auto"/>
          </w:tcPr>
          <w:p w14:paraId="037C9D2E" w14:textId="77777777" w:rsidR="00C258F0" w:rsidRPr="005C6D28" w:rsidRDefault="00C258F0" w:rsidP="00D316B2">
            <w:pPr>
              <w:rPr>
                <w:noProof/>
              </w:rPr>
            </w:pPr>
            <w:r w:rsidRPr="005C6D28">
              <w:rPr>
                <w:noProof/>
              </w:rPr>
              <w:lastRenderedPageBreak/>
              <w:t xml:space="preserve">… </w:t>
            </w:r>
          </w:p>
        </w:tc>
      </w:tr>
    </w:tbl>
    <w:p w14:paraId="396E7802"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Potvrdite da je prijavljenim programom potpora predviđeno da se regionalne potpore za ulaganja neće dodjeljivati kategorijama trgovačkih društava i sektorima navedenima u nastavku. Za svaki pojedinačni slučaj navedite odgovarajuću odredbu pravne osnove programa potpora.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C258F0" w:rsidRPr="005C6D28" w14:paraId="7B928FD0" w14:textId="77777777" w:rsidTr="00D316B2">
        <w:tc>
          <w:tcPr>
            <w:tcW w:w="3221" w:type="pct"/>
            <w:shd w:val="clear" w:color="auto" w:fill="auto"/>
          </w:tcPr>
          <w:p w14:paraId="5DFEC29C" w14:textId="1D9D32AB" w:rsidR="00C258F0" w:rsidRPr="005C6D28" w:rsidRDefault="00C258F0" w:rsidP="00D316B2">
            <w:pPr>
              <w:pStyle w:val="ManualNumPar3"/>
              <w:rPr>
                <w:noProof/>
              </w:rPr>
            </w:pPr>
            <w:r w:rsidRPr="005C6D28">
              <w:rPr>
                <w:noProof/>
              </w:rPr>
              <w:t>Izuzete kategorije trgovačkih društava i sektora</w:t>
            </w:r>
          </w:p>
        </w:tc>
        <w:tc>
          <w:tcPr>
            <w:tcW w:w="1779" w:type="pct"/>
            <w:shd w:val="clear" w:color="auto" w:fill="auto"/>
          </w:tcPr>
          <w:p w14:paraId="117CCB5E" w14:textId="4BB9451C" w:rsidR="00C258F0" w:rsidRPr="005C6D28" w:rsidRDefault="00C258F0" w:rsidP="00992535">
            <w:pPr>
              <w:rPr>
                <w:noProof/>
              </w:rPr>
            </w:pPr>
            <w:r w:rsidRPr="005C6D28">
              <w:rPr>
                <w:noProof/>
              </w:rPr>
              <w:t>Odgovarajuća odredba pravne osnove programa potpora</w:t>
            </w:r>
          </w:p>
        </w:tc>
      </w:tr>
      <w:tr w:rsidR="00C258F0" w:rsidRPr="005C6D28" w14:paraId="134AB9EF" w14:textId="77777777" w:rsidTr="00D316B2">
        <w:tc>
          <w:tcPr>
            <w:tcW w:w="3221" w:type="pct"/>
            <w:shd w:val="clear" w:color="auto" w:fill="auto"/>
          </w:tcPr>
          <w:p w14:paraId="40A42762" w14:textId="32AD8863" w:rsidR="00C258F0" w:rsidRPr="005C6D28" w:rsidRDefault="00C258F0" w:rsidP="00D316B2">
            <w:pPr>
              <w:pStyle w:val="ManualNumPar3"/>
              <w:rPr>
                <w:noProof/>
              </w:rPr>
            </w:pPr>
            <w:r w:rsidRPr="005C6D28">
              <w:rPr>
                <w:noProof/>
              </w:rPr>
              <w:t>Poduzeća u teškoćama</w:t>
            </w:r>
            <w:r w:rsidRPr="005C6D28">
              <w:rPr>
                <w:rStyle w:val="FootnoteReference"/>
                <w:noProof/>
              </w:rPr>
              <w:footnoteReference w:id="4"/>
            </w:r>
          </w:p>
        </w:tc>
        <w:tc>
          <w:tcPr>
            <w:tcW w:w="1779" w:type="pct"/>
            <w:shd w:val="clear" w:color="auto" w:fill="auto"/>
          </w:tcPr>
          <w:p w14:paraId="7487A826" w14:textId="32927221" w:rsidR="00C258F0" w:rsidRPr="005C6D28" w:rsidRDefault="00C258F0" w:rsidP="00992535">
            <w:pPr>
              <w:rPr>
                <w:noProof/>
              </w:rPr>
            </w:pPr>
          </w:p>
        </w:tc>
      </w:tr>
      <w:tr w:rsidR="00C258F0" w:rsidRPr="005C6D28" w14:paraId="58DAF137" w14:textId="77777777" w:rsidTr="00D316B2">
        <w:tc>
          <w:tcPr>
            <w:tcW w:w="3221" w:type="pct"/>
            <w:shd w:val="clear" w:color="auto" w:fill="auto"/>
          </w:tcPr>
          <w:p w14:paraId="34CBD0AE" w14:textId="465615A2" w:rsidR="00C258F0" w:rsidRPr="005C6D28" w:rsidRDefault="00C258F0" w:rsidP="00D316B2">
            <w:pPr>
              <w:pStyle w:val="ManualNumPar3"/>
              <w:rPr>
                <w:noProof/>
              </w:rPr>
            </w:pPr>
            <w:r w:rsidRPr="005C6D28">
              <w:rPr>
                <w:noProof/>
              </w:rPr>
              <w:t>Sektor čelika</w:t>
            </w:r>
            <w:r w:rsidRPr="005C6D28">
              <w:rPr>
                <w:rStyle w:val="FootnoteReference"/>
                <w:noProof/>
              </w:rPr>
              <w:footnoteReference w:id="5"/>
            </w:r>
            <w:r w:rsidRPr="005C6D28">
              <w:rPr>
                <w:noProof/>
              </w:rPr>
              <w:t xml:space="preserve"> </w:t>
            </w:r>
          </w:p>
        </w:tc>
        <w:tc>
          <w:tcPr>
            <w:tcW w:w="1779" w:type="pct"/>
            <w:shd w:val="clear" w:color="auto" w:fill="auto"/>
          </w:tcPr>
          <w:p w14:paraId="0A11684C" w14:textId="5FBE1663" w:rsidR="00C258F0" w:rsidRPr="005C6D28" w:rsidRDefault="00C258F0" w:rsidP="00992535">
            <w:pPr>
              <w:rPr>
                <w:noProof/>
              </w:rPr>
            </w:pPr>
          </w:p>
        </w:tc>
      </w:tr>
      <w:tr w:rsidR="00C258F0" w:rsidRPr="005C6D28" w14:paraId="1602981A" w14:textId="77777777" w:rsidTr="00D316B2">
        <w:tc>
          <w:tcPr>
            <w:tcW w:w="3221" w:type="pct"/>
            <w:shd w:val="clear" w:color="auto" w:fill="auto"/>
          </w:tcPr>
          <w:p w14:paraId="6264C15E" w14:textId="6F88AF41" w:rsidR="00C258F0" w:rsidRPr="005C6D28" w:rsidRDefault="00C258F0" w:rsidP="00D316B2">
            <w:pPr>
              <w:pStyle w:val="ManualNumPar3"/>
              <w:rPr>
                <w:noProof/>
              </w:rPr>
            </w:pPr>
            <w:r w:rsidRPr="005C6D28">
              <w:rPr>
                <w:noProof/>
              </w:rPr>
              <w:t>Sektor lignita</w:t>
            </w:r>
            <w:r w:rsidRPr="005C6D28">
              <w:rPr>
                <w:rStyle w:val="FootnoteReference"/>
                <w:noProof/>
                <w:sz w:val="22"/>
              </w:rPr>
              <w:footnoteReference w:id="6"/>
            </w:r>
          </w:p>
        </w:tc>
        <w:tc>
          <w:tcPr>
            <w:tcW w:w="1779" w:type="pct"/>
            <w:shd w:val="clear" w:color="auto" w:fill="auto"/>
          </w:tcPr>
          <w:p w14:paraId="4E5B0CB0" w14:textId="1A6DBE5E" w:rsidR="00C258F0" w:rsidRPr="005C6D28" w:rsidRDefault="00C258F0" w:rsidP="00992535">
            <w:pPr>
              <w:rPr>
                <w:noProof/>
              </w:rPr>
            </w:pPr>
          </w:p>
        </w:tc>
      </w:tr>
      <w:tr w:rsidR="00C258F0" w:rsidRPr="005C6D28" w14:paraId="768056C5" w14:textId="77777777" w:rsidTr="00D316B2">
        <w:tc>
          <w:tcPr>
            <w:tcW w:w="3221" w:type="pct"/>
            <w:shd w:val="clear" w:color="auto" w:fill="auto"/>
          </w:tcPr>
          <w:p w14:paraId="7C91E0F4" w14:textId="69B854C9" w:rsidR="00C258F0" w:rsidRPr="005C6D28" w:rsidRDefault="00C258F0" w:rsidP="00D316B2">
            <w:pPr>
              <w:pStyle w:val="ManualNumPar3"/>
              <w:rPr>
                <w:noProof/>
              </w:rPr>
            </w:pPr>
            <w:r w:rsidRPr="005C6D28">
              <w:rPr>
                <w:noProof/>
              </w:rPr>
              <w:t>Sektor ugljena</w:t>
            </w:r>
            <w:r w:rsidRPr="005C6D28">
              <w:rPr>
                <w:rStyle w:val="FootnoteReference"/>
                <w:noProof/>
                <w:sz w:val="22"/>
              </w:rPr>
              <w:footnoteReference w:id="7"/>
            </w:r>
          </w:p>
        </w:tc>
        <w:tc>
          <w:tcPr>
            <w:tcW w:w="1779" w:type="pct"/>
            <w:shd w:val="clear" w:color="auto" w:fill="auto"/>
          </w:tcPr>
          <w:p w14:paraId="036FE3BC" w14:textId="7F2CCCEC" w:rsidR="00C258F0" w:rsidRPr="005C6D28" w:rsidRDefault="00C258F0" w:rsidP="00992535">
            <w:pPr>
              <w:rPr>
                <w:noProof/>
              </w:rPr>
            </w:pPr>
          </w:p>
        </w:tc>
      </w:tr>
      <w:tr w:rsidR="00C258F0" w:rsidRPr="005C6D28" w14:paraId="37B15D36" w14:textId="77777777" w:rsidTr="00D316B2">
        <w:tc>
          <w:tcPr>
            <w:tcW w:w="3221" w:type="pct"/>
            <w:shd w:val="clear" w:color="auto" w:fill="auto"/>
          </w:tcPr>
          <w:p w14:paraId="348DBB9A" w14:textId="5F998CBE" w:rsidR="00C258F0" w:rsidRPr="005C6D28" w:rsidRDefault="00C258F0" w:rsidP="00D316B2">
            <w:pPr>
              <w:pStyle w:val="ManualNumPar3"/>
              <w:rPr>
                <w:noProof/>
              </w:rPr>
            </w:pPr>
            <w:r w:rsidRPr="005C6D28">
              <w:rPr>
                <w:noProof/>
              </w:rPr>
              <w:t>Ribarstvo i akvakultura</w:t>
            </w:r>
            <w:r w:rsidRPr="005C6D28">
              <w:rPr>
                <w:rStyle w:val="FootnoteReference"/>
                <w:noProof/>
                <w:sz w:val="22"/>
              </w:rPr>
              <w:footnoteReference w:id="8"/>
            </w:r>
          </w:p>
        </w:tc>
        <w:tc>
          <w:tcPr>
            <w:tcW w:w="1779" w:type="pct"/>
            <w:shd w:val="clear" w:color="auto" w:fill="auto"/>
          </w:tcPr>
          <w:p w14:paraId="3C62DC7C" w14:textId="74BE8373" w:rsidR="00C258F0" w:rsidRPr="005C6D28" w:rsidRDefault="00C258F0" w:rsidP="00992535">
            <w:pPr>
              <w:rPr>
                <w:noProof/>
              </w:rPr>
            </w:pPr>
          </w:p>
        </w:tc>
      </w:tr>
      <w:tr w:rsidR="00C258F0" w:rsidRPr="005C6D28" w14:paraId="6EFC1051" w14:textId="77777777" w:rsidTr="00D316B2">
        <w:tc>
          <w:tcPr>
            <w:tcW w:w="3221" w:type="pct"/>
            <w:shd w:val="clear" w:color="auto" w:fill="auto"/>
          </w:tcPr>
          <w:p w14:paraId="2A51A421" w14:textId="20B93A2E" w:rsidR="00C258F0" w:rsidRPr="005C6D28" w:rsidRDefault="00C258F0" w:rsidP="00D316B2">
            <w:pPr>
              <w:pStyle w:val="ManualNumPar3"/>
              <w:rPr>
                <w:noProof/>
              </w:rPr>
            </w:pPr>
            <w:r w:rsidRPr="005C6D28">
              <w:rPr>
                <w:noProof/>
              </w:rPr>
              <w:t>Poljoprivreda</w:t>
            </w:r>
            <w:r w:rsidRPr="005C6D28">
              <w:rPr>
                <w:rStyle w:val="FootnoteReference"/>
                <w:bCs/>
                <w:noProof/>
                <w:sz w:val="22"/>
              </w:rPr>
              <w:footnoteReference w:id="9"/>
            </w:r>
          </w:p>
        </w:tc>
        <w:tc>
          <w:tcPr>
            <w:tcW w:w="1779" w:type="pct"/>
            <w:shd w:val="clear" w:color="auto" w:fill="auto"/>
          </w:tcPr>
          <w:p w14:paraId="191252B8" w14:textId="4BC5CD96" w:rsidR="00C258F0" w:rsidRPr="005C6D28" w:rsidRDefault="00C258F0" w:rsidP="00992535">
            <w:pPr>
              <w:rPr>
                <w:noProof/>
              </w:rPr>
            </w:pPr>
          </w:p>
        </w:tc>
      </w:tr>
      <w:tr w:rsidR="00C258F0" w:rsidRPr="005C6D28" w14:paraId="39755CF2" w14:textId="77777777" w:rsidTr="00D316B2">
        <w:tc>
          <w:tcPr>
            <w:tcW w:w="3221" w:type="pct"/>
            <w:shd w:val="clear" w:color="auto" w:fill="auto"/>
          </w:tcPr>
          <w:p w14:paraId="570AEB76" w14:textId="7CF9B26D" w:rsidR="00C258F0" w:rsidRPr="005C6D28" w:rsidRDefault="00C258F0" w:rsidP="00992535">
            <w:pPr>
              <w:rPr>
                <w:noProof/>
              </w:rPr>
            </w:pPr>
            <w:r w:rsidRPr="00992535">
              <w:t>Prerada i/ili stavljanje na tržište poljoprivrednih proizvoda navedenih u Prilogu I. Ugovoru</w:t>
            </w:r>
            <w:r w:rsidRPr="005C6D28">
              <w:rPr>
                <w:rStyle w:val="FootnoteReference"/>
                <w:bCs/>
                <w:noProof/>
                <w:sz w:val="22"/>
              </w:rPr>
              <w:footnoteReference w:id="10"/>
            </w:r>
            <w:r w:rsidRPr="005C6D28">
              <w:rPr>
                <w:noProof/>
              </w:rPr>
              <w:t xml:space="preserve"> u proizvode navedene u Prilogu I.</w:t>
            </w:r>
          </w:p>
        </w:tc>
        <w:tc>
          <w:tcPr>
            <w:tcW w:w="1779" w:type="pct"/>
            <w:shd w:val="clear" w:color="auto" w:fill="auto"/>
          </w:tcPr>
          <w:p w14:paraId="58F7E768" w14:textId="7E6CC23D" w:rsidR="00C258F0" w:rsidRPr="005C6D28" w:rsidRDefault="00C258F0" w:rsidP="00992535">
            <w:pPr>
              <w:rPr>
                <w:noProof/>
              </w:rPr>
            </w:pPr>
          </w:p>
        </w:tc>
      </w:tr>
      <w:tr w:rsidR="00C258F0" w:rsidRPr="005C6D28" w14:paraId="2F8EEEFE" w14:textId="77777777" w:rsidTr="00D316B2">
        <w:tc>
          <w:tcPr>
            <w:tcW w:w="3221" w:type="pct"/>
            <w:shd w:val="clear" w:color="auto" w:fill="auto"/>
          </w:tcPr>
          <w:p w14:paraId="667B736C" w14:textId="123EF6E3" w:rsidR="00C258F0" w:rsidRPr="005C6D28" w:rsidRDefault="00C258F0" w:rsidP="00D316B2">
            <w:pPr>
              <w:pStyle w:val="ManualNumPar3"/>
              <w:rPr>
                <w:noProof/>
              </w:rPr>
            </w:pPr>
            <w:r w:rsidRPr="005C6D28">
              <w:rPr>
                <w:noProof/>
              </w:rPr>
              <w:t>Prijevoz</w:t>
            </w:r>
            <w:r w:rsidRPr="005C6D28">
              <w:rPr>
                <w:rStyle w:val="FootnoteReference"/>
                <w:bCs/>
                <w:noProof/>
                <w:sz w:val="22"/>
              </w:rPr>
              <w:footnoteReference w:id="11"/>
            </w:r>
          </w:p>
        </w:tc>
        <w:tc>
          <w:tcPr>
            <w:tcW w:w="1779" w:type="pct"/>
            <w:shd w:val="clear" w:color="auto" w:fill="auto"/>
          </w:tcPr>
          <w:p w14:paraId="2907E953" w14:textId="2D649AB1" w:rsidR="00C258F0" w:rsidRPr="005C6D28" w:rsidRDefault="00C258F0" w:rsidP="00992535">
            <w:pPr>
              <w:rPr>
                <w:noProof/>
              </w:rPr>
            </w:pPr>
          </w:p>
        </w:tc>
      </w:tr>
      <w:tr w:rsidR="00C258F0" w:rsidRPr="005C6D28" w14:paraId="5208568F" w14:textId="77777777" w:rsidTr="00D316B2">
        <w:tc>
          <w:tcPr>
            <w:tcW w:w="3221" w:type="pct"/>
            <w:shd w:val="clear" w:color="auto" w:fill="auto"/>
          </w:tcPr>
          <w:p w14:paraId="197357F3" w14:textId="0BAF274C" w:rsidR="00C258F0" w:rsidRPr="005C6D28" w:rsidRDefault="00C258F0" w:rsidP="00992535">
            <w:pPr>
              <w:rPr>
                <w:noProof/>
              </w:rPr>
            </w:pPr>
            <w:r w:rsidRPr="005C6D28">
              <w:lastRenderedPageBreak/>
              <w:t>Širokopojasne</w:t>
            </w:r>
            <w:r w:rsidRPr="005C6D28">
              <w:rPr>
                <w:noProof/>
              </w:rPr>
              <w:t xml:space="preserve"> mreže</w:t>
            </w:r>
            <w:r w:rsidRPr="005C6D28">
              <w:rPr>
                <w:rStyle w:val="FootnoteReference"/>
                <w:bCs/>
                <w:noProof/>
                <w:sz w:val="22"/>
              </w:rPr>
              <w:footnoteReference w:id="12"/>
            </w:r>
          </w:p>
        </w:tc>
        <w:tc>
          <w:tcPr>
            <w:tcW w:w="1779" w:type="pct"/>
            <w:shd w:val="clear" w:color="auto" w:fill="auto"/>
          </w:tcPr>
          <w:p w14:paraId="7901B84D" w14:textId="679AC831" w:rsidR="00C258F0" w:rsidRPr="00992535" w:rsidRDefault="00C258F0" w:rsidP="00992535">
            <w:pPr>
              <w:rPr>
                <w:noProof/>
              </w:rPr>
            </w:pPr>
          </w:p>
        </w:tc>
      </w:tr>
      <w:tr w:rsidR="00C258F0" w:rsidRPr="005C6D28" w14:paraId="04ECBF0E" w14:textId="77777777" w:rsidTr="00D316B2">
        <w:tc>
          <w:tcPr>
            <w:tcW w:w="3221" w:type="pct"/>
            <w:shd w:val="clear" w:color="auto" w:fill="auto"/>
          </w:tcPr>
          <w:p w14:paraId="24ED9E11" w14:textId="46C84295" w:rsidR="00C258F0" w:rsidRPr="005C6D28" w:rsidRDefault="00C258F0" w:rsidP="00992535">
            <w:pPr>
              <w:rPr>
                <w:noProof/>
              </w:rPr>
            </w:pPr>
            <w:r w:rsidRPr="005C6D28">
              <w:t>Energetika</w:t>
            </w:r>
            <w:r w:rsidRPr="005C6D28">
              <w:rPr>
                <w:rStyle w:val="FootnoteReference"/>
                <w:noProof/>
                <w:sz w:val="22"/>
              </w:rPr>
              <w:footnoteReference w:id="13"/>
            </w:r>
          </w:p>
        </w:tc>
        <w:tc>
          <w:tcPr>
            <w:tcW w:w="1779" w:type="pct"/>
            <w:shd w:val="clear" w:color="auto" w:fill="auto"/>
          </w:tcPr>
          <w:p w14:paraId="4AD5BE27" w14:textId="37FEF67D" w:rsidR="00C258F0" w:rsidRPr="00992535" w:rsidRDefault="00C258F0" w:rsidP="00992535">
            <w:pPr>
              <w:rPr>
                <w:noProof/>
              </w:rPr>
            </w:pPr>
          </w:p>
        </w:tc>
      </w:tr>
    </w:tbl>
    <w:p w14:paraId="096A2A3F" w14:textId="3DD3DC63" w:rsidR="00C258F0" w:rsidRPr="005C6D28" w:rsidRDefault="00C258F0" w:rsidP="00C258F0">
      <w:pPr>
        <w:pStyle w:val="Heading1"/>
        <w:rPr>
          <w:noProof/>
          <w:szCs w:val="24"/>
        </w:rPr>
      </w:pPr>
      <w:r w:rsidRPr="005C6D28">
        <w:rPr>
          <w:noProof/>
        </w:rPr>
        <w:t>Početno ulaganje, prihvatljivi troškovi i potpora</w:t>
      </w:r>
    </w:p>
    <w:p w14:paraId="48E3622B"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Vrste početnih ulaganja obuhvaćenih programom potpora</w:t>
      </w:r>
    </w:p>
    <w:p w14:paraId="5639D6B3"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Ako su programom obuhvaćena ulaganja MSP-ova ili velikih poduzeća</w:t>
      </w:r>
      <w:r w:rsidRPr="005C6D28">
        <w:rPr>
          <w:rStyle w:val="FootnoteReference"/>
          <w:noProof/>
        </w:rPr>
        <w:footnoteReference w:id="14"/>
      </w:r>
      <w:r w:rsidRPr="005C6D28">
        <w:rPr>
          <w:noProof/>
        </w:rPr>
        <w:t xml:space="preserve"> na područjima „a” ili ulaganja MSP-ova na područjima „c” (točka 45. RAG-a), navedite kategoriju/kategorije početnog ulaganja na koje se odnosi prijava (točka 19. podtočka 13. RAG-a): </w:t>
      </w:r>
    </w:p>
    <w:p w14:paraId="03EE6B05" w14:textId="77777777" w:rsidR="00C258F0" w:rsidRPr="005C6D28" w:rsidRDefault="00C066D4" w:rsidP="00C258F0">
      <w:pPr>
        <w:pStyle w:val="Tiret1"/>
        <w:rPr>
          <w:noProof/>
        </w:rPr>
      </w:pPr>
      <w:sdt>
        <w:sdtPr>
          <w:rPr>
            <w:noProof/>
          </w:rPr>
          <w:id w:val="1251621376"/>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osnivanje nove poslovne jedinice</w:t>
      </w:r>
    </w:p>
    <w:p w14:paraId="6C8C580F" w14:textId="77777777" w:rsidR="00C258F0" w:rsidRPr="005C6D28" w:rsidRDefault="00C066D4" w:rsidP="00C258F0">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proširenje kapaciteta postojeće poslovne jedinice</w:t>
      </w:r>
    </w:p>
    <w:p w14:paraId="5F1B2EF5" w14:textId="77777777" w:rsidR="00C258F0" w:rsidRPr="005C6D28" w:rsidRDefault="00C066D4" w:rsidP="00C258F0">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diversifikacija proizvodnje poslovne jedinice na proizvode koje prije nije proizvodila</w:t>
      </w:r>
    </w:p>
    <w:p w14:paraId="30E5626B" w14:textId="77777777" w:rsidR="00C258F0" w:rsidRPr="005C6D28" w:rsidRDefault="00C066D4" w:rsidP="00C258F0">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temeljita promjena sveukupnog proizvodnog procesa proizvoda na koje se odnosi ulaganje u poslovnu jedinicu</w:t>
      </w:r>
    </w:p>
    <w:p w14:paraId="6AFD6E8C" w14:textId="77777777" w:rsidR="00C258F0" w:rsidRPr="005C6D28" w:rsidRDefault="00C066D4" w:rsidP="00C258F0">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stjecanje imovine koja pripada poslovnoj jedinici koja se zatvorila ili bi se zatvorila da nije kupljena</w:t>
      </w:r>
      <w:r w:rsidR="00C258F0" w:rsidRPr="005C6D28">
        <w:rPr>
          <w:rStyle w:val="FootnoteReference"/>
          <w:noProof/>
        </w:rPr>
        <w:footnoteReference w:id="15"/>
      </w:r>
      <w:r w:rsidR="00C258F0" w:rsidRPr="005C6D28">
        <w:rPr>
          <w:noProof/>
        </w:rPr>
        <w:t xml:space="preserve"> </w:t>
      </w:r>
    </w:p>
    <w:p w14:paraId="1786DC3C"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Ako su programom obuhvaćena ulaganja velikih poduzeća na područjima „c”, navedite kategoriju/kategorije početnog ulaganja na koje se odnosi prijava (točka 19. podtočka 14. i točka 14. RAG-a):</w:t>
      </w:r>
    </w:p>
    <w:p w14:paraId="2BBBA883" w14:textId="77777777" w:rsidR="00C258F0" w:rsidRPr="005C6D28" w:rsidRDefault="00C066D4" w:rsidP="00C258F0">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osnivanje nove poslovne jedinice</w:t>
      </w:r>
    </w:p>
    <w:p w14:paraId="593C84B4" w14:textId="77777777" w:rsidR="00C258F0" w:rsidRPr="005C6D28" w:rsidRDefault="00C066D4" w:rsidP="00C258F0">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diversifikacija djelatnosti poslovne jedinice pod uvjetom da nova djelatnost nije ista ili slična</w:t>
      </w:r>
      <w:r w:rsidR="00C258F0" w:rsidRPr="005C6D28">
        <w:rPr>
          <w:rStyle w:val="FootnoteReference"/>
          <w:noProof/>
        </w:rPr>
        <w:footnoteReference w:id="16"/>
      </w:r>
      <w:r w:rsidR="00C258F0" w:rsidRPr="005C6D28">
        <w:rPr>
          <w:noProof/>
        </w:rPr>
        <w:t xml:space="preserve"> djelatnosti koja se prethodno obavljala u poslovnoj jedinici</w:t>
      </w:r>
    </w:p>
    <w:p w14:paraId="01BBC270" w14:textId="77777777" w:rsidR="00C258F0" w:rsidRPr="005C6D28" w:rsidRDefault="00C066D4" w:rsidP="00C258F0">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stjecanje imovine koja pripada poslovnoj jedinici koja se zatvorila ili bi se zatvorila da nije kupljena, pod uvjetom da nova djelatnost koja će se obavljati upotrebom stečene imovine nije ista ili slična djelatnosti koja se obavljala u poslovnoj jedinici prije stjecanja</w:t>
      </w:r>
      <w:r w:rsidR="00C258F0" w:rsidRPr="005C6D28">
        <w:rPr>
          <w:rStyle w:val="FootnoteReference"/>
          <w:noProof/>
        </w:rPr>
        <w:footnoteReference w:id="17"/>
      </w:r>
    </w:p>
    <w:p w14:paraId="1B1EFC63"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lastRenderedPageBreak/>
        <w:t>Prihvatljivi troškovi izračunani na temelju troškova ulaganja</w:t>
      </w:r>
    </w:p>
    <w:p w14:paraId="0EC51034"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Ako se prihvatljivi troškovi programa odnose na materijalnu imovinu (točka 19. podtočka 31. RAG-a), navedite utvrđuje li se vrijednost ulaganja kao postotak troška zemljišta, zgrada te postrojenja, strojeva i opreme:</w:t>
      </w:r>
    </w:p>
    <w:p w14:paraId="390B41C7" w14:textId="77777777" w:rsidR="00C258F0" w:rsidRPr="005C6D28" w:rsidRDefault="00C066D4" w:rsidP="00C258F0">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zemljište</w:t>
      </w:r>
    </w:p>
    <w:p w14:paraId="7FE7538B" w14:textId="77777777" w:rsidR="00C258F0" w:rsidRPr="005C6D28" w:rsidRDefault="00C066D4" w:rsidP="00C258F0">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zgrade </w:t>
      </w:r>
    </w:p>
    <w:p w14:paraId="687CFD0C" w14:textId="77777777" w:rsidR="00C258F0" w:rsidRPr="005C6D28" w:rsidRDefault="00C066D4" w:rsidP="00C258F0">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postrojenja/strojevi/oprema</w:t>
      </w:r>
    </w:p>
    <w:p w14:paraId="1E049173" w14:textId="77777777" w:rsidR="00C258F0" w:rsidRPr="005C6D28" w:rsidRDefault="00C258F0" w:rsidP="00C258F0">
      <w:pPr>
        <w:pStyle w:val="Text2"/>
        <w:ind w:left="1843" w:hanging="425"/>
        <w:rPr>
          <w:noProof/>
        </w:rPr>
      </w:pPr>
      <w:r w:rsidRPr="005C6D28">
        <w:rPr>
          <w:noProof/>
        </w:rPr>
        <w:t xml:space="preserve">Navedite upućivanje na odgovarajuće odredbe pravne osnove: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76F0BA4" w14:textId="77777777" w:rsidTr="00D316B2">
        <w:tc>
          <w:tcPr>
            <w:tcW w:w="7682" w:type="dxa"/>
            <w:shd w:val="clear" w:color="auto" w:fill="auto"/>
          </w:tcPr>
          <w:p w14:paraId="304CA552" w14:textId="77777777" w:rsidR="00C258F0" w:rsidRPr="005C6D28" w:rsidRDefault="00C258F0" w:rsidP="00D316B2">
            <w:pPr>
              <w:rPr>
                <w:noProof/>
              </w:rPr>
            </w:pPr>
            <w:r w:rsidRPr="005C6D28">
              <w:rPr>
                <w:noProof/>
              </w:rPr>
              <w:t xml:space="preserve">… </w:t>
            </w:r>
          </w:p>
        </w:tc>
      </w:tr>
    </w:tbl>
    <w:p w14:paraId="4A1E45AE"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upućivanje</w:t>
      </w:r>
      <w:bookmarkStart w:id="0" w:name="OLE_LINK1"/>
      <w:r w:rsidRPr="005C6D28">
        <w:rPr>
          <w:noProof/>
        </w:rPr>
        <w:t xml:space="preserve"> </w:t>
      </w:r>
      <w:bookmarkStart w:id="1" w:name="OLE_LINK2"/>
      <w:r w:rsidRPr="005C6D28">
        <w:rPr>
          <w:noProof/>
        </w:rPr>
        <w:t xml:space="preserve">na odgovarajuću </w:t>
      </w:r>
      <w:bookmarkEnd w:id="0"/>
      <w:bookmarkEnd w:id="1"/>
      <w:r w:rsidRPr="005C6D28">
        <w:rPr>
          <w:noProof/>
        </w:rPr>
        <w:t>odredbu pravne osnove kojom je propisano da bi stečena imovina trebala biti nova</w:t>
      </w:r>
      <w:r w:rsidRPr="005C6D28">
        <w:rPr>
          <w:rStyle w:val="FootnoteReference"/>
          <w:noProof/>
        </w:rPr>
        <w:footnoteReference w:id="18"/>
      </w:r>
      <w:r w:rsidRPr="005C6D28">
        <w:rPr>
          <w:noProof/>
        </w:rPr>
        <w:t xml:space="preserve"> (točka 27.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4463D26A" w14:textId="77777777" w:rsidTr="00D316B2">
        <w:tc>
          <w:tcPr>
            <w:tcW w:w="7682" w:type="dxa"/>
            <w:shd w:val="clear" w:color="auto" w:fill="auto"/>
          </w:tcPr>
          <w:p w14:paraId="0663F969" w14:textId="77777777" w:rsidR="00C258F0" w:rsidRPr="005C6D28" w:rsidRDefault="00C258F0" w:rsidP="00D316B2">
            <w:pPr>
              <w:rPr>
                <w:noProof/>
              </w:rPr>
            </w:pPr>
            <w:r w:rsidRPr="005C6D28">
              <w:rPr>
                <w:noProof/>
              </w:rPr>
              <w:t xml:space="preserve">… </w:t>
            </w:r>
          </w:p>
        </w:tc>
      </w:tr>
    </w:tbl>
    <w:p w14:paraId="448BF8DC"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t xml:space="preserve">Navedite upućivanje na odgovarajuću odredbu pravne osnove kojom je propisano da se, u slučaju MSP-ova, najviše 50 % troškova pripremnih studija ili konzultantskih troškova povezanih s ulaganjem može smatrati prihvatljivim troškovima (točka 28.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7859C96E" w14:textId="77777777" w:rsidTr="00D316B2">
        <w:tc>
          <w:tcPr>
            <w:tcW w:w="7682" w:type="dxa"/>
            <w:shd w:val="clear" w:color="auto" w:fill="auto"/>
          </w:tcPr>
          <w:p w14:paraId="48D6ED48" w14:textId="77777777" w:rsidR="00C258F0" w:rsidRPr="005C6D28" w:rsidRDefault="00C258F0" w:rsidP="00D316B2">
            <w:pPr>
              <w:rPr>
                <w:noProof/>
              </w:rPr>
            </w:pPr>
            <w:r w:rsidRPr="005C6D28">
              <w:rPr>
                <w:noProof/>
              </w:rPr>
              <w:t>…</w:t>
            </w:r>
          </w:p>
        </w:tc>
      </w:tr>
    </w:tbl>
    <w:p w14:paraId="27917ED8"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t xml:space="preserve">Navedite upućivanje na odgovarajuću odredbu pravne osnove kojom je propisano da za potpore koje se dodjeljuju velikim poduzećima za temeljitu promjenu u proizvodnom procesu prihvatljivi troškovi premašuju amortizaciju imovine povezane s djelatnošću koja se modernizira tijekom tri prethodne fiskalne godine (točka 29.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293E263E" w14:textId="77777777" w:rsidTr="00D316B2">
        <w:tc>
          <w:tcPr>
            <w:tcW w:w="7682" w:type="dxa"/>
            <w:shd w:val="clear" w:color="auto" w:fill="auto"/>
          </w:tcPr>
          <w:p w14:paraId="13BBDDF1" w14:textId="77777777" w:rsidR="00C258F0" w:rsidRPr="005C6D28" w:rsidRDefault="00C258F0" w:rsidP="00D316B2">
            <w:pPr>
              <w:rPr>
                <w:noProof/>
              </w:rPr>
            </w:pPr>
            <w:r w:rsidRPr="005C6D28">
              <w:rPr>
                <w:noProof/>
              </w:rPr>
              <w:t>….</w:t>
            </w:r>
          </w:p>
        </w:tc>
      </w:tr>
    </w:tbl>
    <w:p w14:paraId="504DDB22"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t xml:space="preserve">Navedite upućivanje na odgovarajuću odredbu pravne osnove kojom je propisano da su za potpore koje se dodjeljuju za diversifikaciju postojeće poslovne jedinice prihvatljivi troškovi za najmanje 200 % viši od knjigovodstvene vrijednosti imovine koja se ponovno upotrebljava, uknjižene u fiskalnoj godini koja prethodi početku radova (točka 30.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A1546CB" w14:textId="77777777" w:rsidTr="00D316B2">
        <w:tc>
          <w:tcPr>
            <w:tcW w:w="7682" w:type="dxa"/>
            <w:shd w:val="clear" w:color="auto" w:fill="auto"/>
          </w:tcPr>
          <w:p w14:paraId="55DC938C" w14:textId="77777777" w:rsidR="00C258F0" w:rsidRPr="005C6D28" w:rsidRDefault="00C258F0" w:rsidP="00D316B2">
            <w:pPr>
              <w:rPr>
                <w:noProof/>
              </w:rPr>
            </w:pPr>
            <w:r w:rsidRPr="005C6D28">
              <w:rPr>
                <w:noProof/>
              </w:rPr>
              <w:t>…</w:t>
            </w:r>
          </w:p>
        </w:tc>
      </w:tr>
    </w:tbl>
    <w:p w14:paraId="6D49808E"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t xml:space="preserve">U slučajevima koji uključuju zakup materijalne imovine navedite upućivanje na odgovarajuće odredbe pravne osnove kojima je propisano da bi trebali biti ispunjeni sljedeći uvjeti (točka 31. RAG-a): </w:t>
      </w:r>
    </w:p>
    <w:p w14:paraId="37D5CB3C" w14:textId="77777777" w:rsidR="00C258F0" w:rsidRPr="005C6D28" w:rsidRDefault="00C258F0" w:rsidP="00C258F0">
      <w:pPr>
        <w:pStyle w:val="Normal127Bullet63"/>
        <w:spacing w:after="120"/>
        <w:rPr>
          <w:noProof/>
        </w:rPr>
      </w:pPr>
      <w:r w:rsidRPr="005C6D28">
        <w:rPr>
          <w:noProof/>
        </w:rPr>
        <w:lastRenderedPageBreak/>
        <w:t>za zemljišta i zgrade zakup se mora nastaviti barem pet godina nakon očekivanog datuma dovršetka ulaganja u slučaju velikih poduzeća i tri godine u slučaju MSP-ova,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C258F0" w:rsidRPr="005C6D28" w14:paraId="538E7351" w14:textId="77777777" w:rsidTr="00D316B2">
        <w:tc>
          <w:tcPr>
            <w:tcW w:w="7399" w:type="dxa"/>
            <w:shd w:val="clear" w:color="auto" w:fill="auto"/>
          </w:tcPr>
          <w:p w14:paraId="1FE29C2F" w14:textId="77777777" w:rsidR="00C258F0" w:rsidRPr="005C6D28" w:rsidRDefault="00C258F0" w:rsidP="00D316B2">
            <w:pPr>
              <w:rPr>
                <w:noProof/>
              </w:rPr>
            </w:pPr>
            <w:r w:rsidRPr="005C6D28">
              <w:rPr>
                <w:noProof/>
              </w:rPr>
              <w:t>…</w:t>
            </w:r>
          </w:p>
        </w:tc>
      </w:tr>
    </w:tbl>
    <w:p w14:paraId="1AEAC5C4" w14:textId="77777777" w:rsidR="00C258F0" w:rsidRPr="005C6D28" w:rsidRDefault="00C258F0" w:rsidP="00C258F0">
      <w:pPr>
        <w:pStyle w:val="Normal127Bullet63"/>
        <w:spacing w:after="120"/>
        <w:rPr>
          <w:noProof/>
        </w:rPr>
      </w:pPr>
      <w:r w:rsidRPr="005C6D28">
        <w:rPr>
          <w:noProof/>
        </w:rPr>
        <w:t xml:space="preserve">za postrojenja ili strojeve zakup mora biti u obliku financijskog </w:t>
      </w:r>
      <w:r w:rsidRPr="005C6D28">
        <w:rPr>
          <w:i/>
          <w:iCs/>
          <w:noProof/>
        </w:rPr>
        <w:t>leasinga</w:t>
      </w:r>
      <w:r w:rsidRPr="005C6D28">
        <w:rPr>
          <w:noProof/>
        </w:rPr>
        <w:t xml:space="preserve"> i korisnik potpore mora biti obvezan kupiti imovinu nakon isteka ugovora o zakupu.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C258F0" w:rsidRPr="005C6D28" w14:paraId="2B4B2014" w14:textId="77777777" w:rsidTr="00D316B2">
        <w:tc>
          <w:tcPr>
            <w:tcW w:w="7399" w:type="dxa"/>
            <w:shd w:val="clear" w:color="auto" w:fill="auto"/>
          </w:tcPr>
          <w:p w14:paraId="3BB1B3CA" w14:textId="77777777" w:rsidR="00C258F0" w:rsidRPr="005C6D28" w:rsidRDefault="00C258F0" w:rsidP="00D316B2">
            <w:pPr>
              <w:rPr>
                <w:noProof/>
              </w:rPr>
            </w:pPr>
            <w:r w:rsidRPr="005C6D28">
              <w:rPr>
                <w:noProof/>
              </w:rPr>
              <w:t>…</w:t>
            </w:r>
          </w:p>
        </w:tc>
      </w:tr>
    </w:tbl>
    <w:p w14:paraId="7C1A74FB"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t>Točkom 32. RAG-a predviđeno je da u slučaju stjecanja poslovne jedinice „načelno treba uzeti u obzir samo troškove kupnje imovine od trećih osoba koje nisu povezane s kupcem.</w:t>
      </w:r>
      <w:r w:rsidRPr="005C6D28">
        <w:rPr>
          <w:i/>
          <w:noProof/>
          <w:color w:val="000000"/>
        </w:rPr>
        <w:t xml:space="preserve"> </w:t>
      </w:r>
      <w:r w:rsidRPr="005C6D28">
        <w:rPr>
          <w:noProof/>
          <w:color w:val="000000"/>
        </w:rPr>
        <w:t>Međutim, ako malo poduzeće preuzme član obitelji prvotnog vlasnika ili zaposlenik, ne primjenjuje se uvjet kupnje imovine od treće osobe koja nije povezana s kupcem.</w:t>
      </w:r>
      <w:r w:rsidRPr="005C6D28">
        <w:rPr>
          <w:i/>
          <w:noProof/>
          <w:color w:val="000000"/>
        </w:rPr>
        <w:t xml:space="preserve"> </w:t>
      </w:r>
      <w:r w:rsidRPr="005C6D28">
        <w:rPr>
          <w:noProof/>
          <w:color w:val="000000"/>
        </w:rPr>
        <w:t>Transakcija se mora izvršiti po tržišnim uvjetima.</w:t>
      </w:r>
      <w:r w:rsidRPr="005C6D28">
        <w:rPr>
          <w:i/>
          <w:noProof/>
          <w:color w:val="000000"/>
        </w:rPr>
        <w:t xml:space="preserve"> </w:t>
      </w:r>
      <w:r w:rsidRPr="005C6D28">
        <w:rPr>
          <w:noProof/>
          <w:color w:val="000000"/>
        </w:rPr>
        <w:t xml:space="preserve">Ako je stjecanje imovine poslovne jedinice popraćeno dodatnim ulaganjem koje je prihvatljivo za regionalnu potporu, prihvatljivi troškovi tog dodatnog ulaganja trebaju se dodati troškovima stjecanja imovine poslovne jedinice.” </w:t>
      </w:r>
    </w:p>
    <w:p w14:paraId="1E06B999" w14:textId="77777777" w:rsidR="00C258F0" w:rsidRPr="005C6D28" w:rsidRDefault="00C258F0" w:rsidP="00C258F0">
      <w:pPr>
        <w:pStyle w:val="NormalKop111"/>
        <w:tabs>
          <w:tab w:val="clear" w:pos="720"/>
          <w:tab w:val="clear" w:pos="1440"/>
          <w:tab w:val="clear" w:pos="1797"/>
        </w:tabs>
        <w:ind w:left="1418"/>
        <w:rPr>
          <w:noProof/>
        </w:rPr>
      </w:pPr>
      <w:r w:rsidRPr="005C6D28">
        <w:rPr>
          <w:noProof/>
        </w:rPr>
        <w:t xml:space="preserve">Ako je to relevantno za prijavljeni program, navedite upućivanje na odredbe pravne osnove kojima je propisano da bi navedeni uvjeti trebali biti ispunjeni.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512D55D8" w14:textId="77777777" w:rsidTr="00D316B2">
        <w:tc>
          <w:tcPr>
            <w:tcW w:w="7682" w:type="dxa"/>
            <w:shd w:val="clear" w:color="auto" w:fill="auto"/>
          </w:tcPr>
          <w:p w14:paraId="030AD22A" w14:textId="77777777" w:rsidR="00C258F0" w:rsidRPr="005C6D28" w:rsidRDefault="00C258F0" w:rsidP="00D316B2">
            <w:pPr>
              <w:rPr>
                <w:noProof/>
              </w:rPr>
            </w:pPr>
            <w:r w:rsidRPr="005C6D28">
              <w:rPr>
                <w:noProof/>
              </w:rPr>
              <w:t>…</w:t>
            </w:r>
          </w:p>
        </w:tc>
      </w:tr>
    </w:tbl>
    <w:p w14:paraId="53432F57"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t>Ako se prihvatljivi troškovi programa odnose na nematerijalnu imovinu (točka 19. podtočka 15. RAG-a), navedite utvrđuje li se vrijednost ulaganja na temelju rashoda nastalih prijenosom tehnologije s pomoću stjecanja patenata, licencija, znanja i iskustva ili druge vrste intelektualnog vlasništva:</w:t>
      </w:r>
    </w:p>
    <w:p w14:paraId="537BEE5A" w14:textId="77777777" w:rsidR="00C258F0" w:rsidRPr="005C6D28" w:rsidRDefault="00C066D4" w:rsidP="00C258F0">
      <w:pPr>
        <w:pStyle w:val="Tiret2"/>
        <w:rPr>
          <w:noProof/>
        </w:rPr>
      </w:pPr>
      <w:sdt>
        <w:sdtPr>
          <w:rPr>
            <w:noProof/>
          </w:rPr>
          <w:id w:val="1828090279"/>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patenti</w:t>
      </w:r>
    </w:p>
    <w:p w14:paraId="5473D30D" w14:textId="77777777" w:rsidR="00C258F0" w:rsidRPr="005C6D28" w:rsidRDefault="00C066D4" w:rsidP="00C258F0">
      <w:pPr>
        <w:pStyle w:val="Tiret2"/>
        <w:rPr>
          <w:noProof/>
        </w:rPr>
      </w:pPr>
      <w:sdt>
        <w:sdtPr>
          <w:rPr>
            <w:noProof/>
          </w:rPr>
          <w:id w:val="-1964336262"/>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licencije</w:t>
      </w:r>
    </w:p>
    <w:p w14:paraId="7A748A30" w14:textId="77777777" w:rsidR="00C258F0" w:rsidRPr="005C6D28" w:rsidRDefault="00C066D4" w:rsidP="00C258F0">
      <w:pPr>
        <w:pStyle w:val="Tiret2"/>
        <w:rPr>
          <w:noProof/>
        </w:rPr>
      </w:pPr>
      <w:sdt>
        <w:sdtPr>
          <w:rPr>
            <w:noProof/>
          </w:rPr>
          <w:id w:val="-1608340805"/>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znanje i iskustvo</w:t>
      </w:r>
    </w:p>
    <w:p w14:paraId="63E645ED" w14:textId="77777777" w:rsidR="00C258F0" w:rsidRPr="005C6D28" w:rsidRDefault="00C066D4" w:rsidP="00C258F0">
      <w:pPr>
        <w:pStyle w:val="Tiret2"/>
        <w:rPr>
          <w:noProof/>
        </w:rPr>
      </w:pPr>
      <w:sdt>
        <w:sdtPr>
          <w:rPr>
            <w:noProof/>
          </w:rPr>
          <w:id w:val="-2080744092"/>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druga vrsta intelektualnog vlasništva</w:t>
      </w:r>
    </w:p>
    <w:p w14:paraId="141583EB" w14:textId="77777777" w:rsidR="00C258F0" w:rsidRPr="005C6D28" w:rsidRDefault="00C258F0" w:rsidP="00C258F0">
      <w:pPr>
        <w:pStyle w:val="Text2"/>
        <w:ind w:left="1418"/>
        <w:rPr>
          <w:noProof/>
        </w:rPr>
      </w:pPr>
      <w:r w:rsidRPr="005C6D28">
        <w:rPr>
          <w:noProof/>
        </w:rPr>
        <w:t>Navedite upućivanje na odgovarajuće odredbe pravne osnove: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7FA3A8B2" w14:textId="77777777" w:rsidTr="00D316B2">
        <w:tc>
          <w:tcPr>
            <w:tcW w:w="7682" w:type="dxa"/>
            <w:shd w:val="clear" w:color="auto" w:fill="auto"/>
          </w:tcPr>
          <w:p w14:paraId="18729AA7" w14:textId="77777777" w:rsidR="00C258F0" w:rsidRPr="005C6D28" w:rsidRDefault="00C258F0" w:rsidP="00D316B2">
            <w:pPr>
              <w:rPr>
                <w:noProof/>
              </w:rPr>
            </w:pPr>
            <w:r w:rsidRPr="005C6D28">
              <w:rPr>
                <w:noProof/>
              </w:rPr>
              <w:t>…</w:t>
            </w:r>
          </w:p>
        </w:tc>
      </w:tr>
    </w:tbl>
    <w:p w14:paraId="448B9F10"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t>Navedite upućivanje na odgovarajuće odredbe pravne osnove kojima je propisano da za velika poduzeća rashodi za ulaganje u nematerijalnu imovinu ne smiju premašiti 50 % ukupnih prihvatljivih troškova ulaganja projekta (točka 33.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39A516FF" w14:textId="77777777" w:rsidTr="00D316B2">
        <w:tc>
          <w:tcPr>
            <w:tcW w:w="7682" w:type="dxa"/>
            <w:shd w:val="clear" w:color="auto" w:fill="auto"/>
          </w:tcPr>
          <w:p w14:paraId="3B61FFF4" w14:textId="77777777" w:rsidR="00C258F0" w:rsidRPr="005C6D28" w:rsidRDefault="00C258F0" w:rsidP="00D316B2">
            <w:pPr>
              <w:rPr>
                <w:noProof/>
              </w:rPr>
            </w:pPr>
            <w:r w:rsidRPr="005C6D28">
              <w:rPr>
                <w:noProof/>
              </w:rPr>
              <w:t>…</w:t>
            </w:r>
          </w:p>
        </w:tc>
      </w:tr>
    </w:tbl>
    <w:p w14:paraId="0D7008EF"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color w:val="000000"/>
        </w:rPr>
      </w:pPr>
      <w:r w:rsidRPr="005C6D28">
        <w:rPr>
          <w:noProof/>
          <w:color w:val="000000"/>
        </w:rPr>
        <w:lastRenderedPageBreak/>
        <w:t>Navedite upućivanje na odgovarajuće odredbe pravne osnove kojima je propisano da bi trebali biti ispunjeni uvjeti navedeni u točki 34. RAG-a</w:t>
      </w:r>
      <w:r w:rsidRPr="005C6D28">
        <w:rPr>
          <w:rStyle w:val="FootnoteReference"/>
          <w:noProof/>
        </w:rPr>
        <w:footnoteReference w:id="19"/>
      </w:r>
      <w:r w:rsidRPr="005C6D28">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6C2B60C0" w14:textId="77777777" w:rsidTr="00D316B2">
        <w:tc>
          <w:tcPr>
            <w:tcW w:w="7682" w:type="dxa"/>
            <w:shd w:val="clear" w:color="auto" w:fill="auto"/>
          </w:tcPr>
          <w:p w14:paraId="1E137991" w14:textId="77777777" w:rsidR="00C258F0" w:rsidRPr="005C6D28" w:rsidRDefault="00C258F0" w:rsidP="00D316B2">
            <w:pPr>
              <w:rPr>
                <w:noProof/>
              </w:rPr>
            </w:pPr>
            <w:r w:rsidRPr="005C6D28">
              <w:rPr>
                <w:noProof/>
              </w:rPr>
              <w:t>…</w:t>
            </w:r>
          </w:p>
        </w:tc>
      </w:tr>
    </w:tbl>
    <w:p w14:paraId="572BA4FA"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Prihvatljivi troškovi izračunani na temelju troškova plaća</w:t>
      </w:r>
    </w:p>
    <w:p w14:paraId="4064F525"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upućivanje na odgovarajuće odredbe pravne osnove kojima je propisan način određivanja prihvatljivih troškova izračunanih na temelju troškova plaća (točka 35. RAG-a), način izračuna broja otvorenih radnih mjesta upućivanjem na točku 19. podtočku 16. RAG-a te način utvrđivanja troškova plaća zaposlenih osoba upućivanjem na točku 19. podtočku 33.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D76DA84" w14:textId="77777777" w:rsidTr="00D316B2">
        <w:tc>
          <w:tcPr>
            <w:tcW w:w="7682" w:type="dxa"/>
            <w:shd w:val="clear" w:color="auto" w:fill="auto"/>
          </w:tcPr>
          <w:p w14:paraId="7C1D5C9D" w14:textId="77777777" w:rsidR="00C258F0" w:rsidRPr="005C6D28" w:rsidRDefault="00C258F0" w:rsidP="00D316B2">
            <w:pPr>
              <w:rPr>
                <w:noProof/>
              </w:rPr>
            </w:pPr>
            <w:r w:rsidRPr="005C6D28">
              <w:rPr>
                <w:noProof/>
              </w:rPr>
              <w:t>…</w:t>
            </w:r>
          </w:p>
        </w:tc>
      </w:tr>
    </w:tbl>
    <w:p w14:paraId="23A9A796"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Izračun diskontirane vrijednosti prihvatljivih troškova</w:t>
      </w:r>
    </w:p>
    <w:p w14:paraId="3E8EF0B8"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koji su oblici potpore dopušteni u okviru programa potpora:</w:t>
      </w:r>
    </w:p>
    <w:p w14:paraId="0CB5AAC6" w14:textId="77777777" w:rsidR="00C258F0" w:rsidRPr="005C6D28" w:rsidRDefault="00C066D4" w:rsidP="00C258F0">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bespovratna sredstva. Navedite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C258F0" w:rsidRPr="005C6D28" w14:paraId="326088B9" w14:textId="77777777" w:rsidTr="00D316B2">
        <w:tc>
          <w:tcPr>
            <w:tcW w:w="7115" w:type="dxa"/>
            <w:shd w:val="clear" w:color="auto" w:fill="auto"/>
          </w:tcPr>
          <w:p w14:paraId="30651EEF" w14:textId="77777777" w:rsidR="00C258F0" w:rsidRPr="005C6D28" w:rsidRDefault="00C258F0" w:rsidP="00C066D4">
            <w:pPr>
              <w:rPr>
                <w:noProof/>
              </w:rPr>
            </w:pPr>
            <w:r w:rsidRPr="005C6D28">
              <w:rPr>
                <w:noProof/>
              </w:rPr>
              <w:t xml:space="preserve">… </w:t>
            </w:r>
          </w:p>
        </w:tc>
      </w:tr>
    </w:tbl>
    <w:p w14:paraId="3C69E924" w14:textId="77777777" w:rsidR="00C258F0" w:rsidRPr="005C6D28" w:rsidRDefault="00C066D4" w:rsidP="00C258F0">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zajmovi. Navedite način izračuna ekvivalenta bespovratnih sredstava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C258F0" w:rsidRPr="005C6D28" w14:paraId="1999A96E" w14:textId="77777777" w:rsidTr="00D316B2">
        <w:tc>
          <w:tcPr>
            <w:tcW w:w="7115" w:type="dxa"/>
            <w:shd w:val="clear" w:color="auto" w:fill="auto"/>
          </w:tcPr>
          <w:p w14:paraId="4621CBF1" w14:textId="77777777" w:rsidR="00C258F0" w:rsidRPr="005C6D28" w:rsidRDefault="00C258F0" w:rsidP="00C066D4">
            <w:pPr>
              <w:rPr>
                <w:noProof/>
              </w:rPr>
            </w:pPr>
            <w:r w:rsidRPr="005C6D28">
              <w:rPr>
                <w:noProof/>
              </w:rPr>
              <w:t xml:space="preserve">… </w:t>
            </w:r>
          </w:p>
        </w:tc>
      </w:tr>
    </w:tbl>
    <w:p w14:paraId="3705A260" w14:textId="77777777" w:rsidR="00C258F0" w:rsidRPr="005C6D28" w:rsidRDefault="00C066D4" w:rsidP="00C258F0">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jamstva. Navedite način izračuna ekvivalenta bespovratnih sredstava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C258F0" w:rsidRPr="005C6D28" w14:paraId="3685B87A" w14:textId="77777777" w:rsidTr="00D316B2">
        <w:tc>
          <w:tcPr>
            <w:tcW w:w="7115" w:type="dxa"/>
            <w:shd w:val="clear" w:color="auto" w:fill="auto"/>
          </w:tcPr>
          <w:p w14:paraId="6E33064D" w14:textId="77777777" w:rsidR="00C258F0" w:rsidRPr="005C6D28" w:rsidRDefault="00C258F0" w:rsidP="00C066D4">
            <w:pPr>
              <w:rPr>
                <w:noProof/>
              </w:rPr>
            </w:pPr>
            <w:r w:rsidRPr="005C6D28">
              <w:rPr>
                <w:noProof/>
              </w:rPr>
              <w:t>…</w:t>
            </w:r>
          </w:p>
        </w:tc>
      </w:tr>
    </w:tbl>
    <w:p w14:paraId="4302E794" w14:textId="77777777" w:rsidR="00C258F0" w:rsidRPr="005C6D28" w:rsidRDefault="00C066D4" w:rsidP="00C258F0">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porezne pogodnosti. Navedite vrstu mjera i način izračuna ekvivalenta bespovratnih sredstava. Navedite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C258F0" w:rsidRPr="005C6D28" w14:paraId="433BA72E" w14:textId="77777777" w:rsidTr="00D316B2">
        <w:tc>
          <w:tcPr>
            <w:tcW w:w="7115" w:type="dxa"/>
            <w:shd w:val="clear" w:color="auto" w:fill="auto"/>
          </w:tcPr>
          <w:p w14:paraId="617AE8A3" w14:textId="77777777" w:rsidR="00C258F0" w:rsidRPr="005C6D28" w:rsidRDefault="00C258F0" w:rsidP="00C066D4">
            <w:pPr>
              <w:rPr>
                <w:noProof/>
              </w:rPr>
            </w:pPr>
            <w:r w:rsidRPr="005C6D28">
              <w:rPr>
                <w:noProof/>
              </w:rPr>
              <w:t>…</w:t>
            </w:r>
          </w:p>
        </w:tc>
      </w:tr>
    </w:tbl>
    <w:p w14:paraId="6289741D" w14:textId="77777777" w:rsidR="00C258F0" w:rsidRPr="005C6D28" w:rsidRDefault="00C066D4" w:rsidP="00C258F0">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drugo. Navedite oblik potpore i način izračuna ekvivalenta bespovratnih sredstava. Navedite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C258F0" w:rsidRPr="005C6D28" w14:paraId="64A0D82A" w14:textId="77777777" w:rsidTr="00D316B2">
        <w:tc>
          <w:tcPr>
            <w:tcW w:w="7115" w:type="dxa"/>
            <w:shd w:val="clear" w:color="auto" w:fill="auto"/>
          </w:tcPr>
          <w:p w14:paraId="4E3865A9" w14:textId="77777777" w:rsidR="00C258F0" w:rsidRPr="005C6D28" w:rsidRDefault="00C258F0" w:rsidP="00D316B2">
            <w:pPr>
              <w:rPr>
                <w:noProof/>
              </w:rPr>
            </w:pPr>
            <w:r w:rsidRPr="005C6D28">
              <w:rPr>
                <w:noProof/>
              </w:rPr>
              <w:lastRenderedPageBreak/>
              <w:t>….</w:t>
            </w:r>
          </w:p>
        </w:tc>
      </w:tr>
    </w:tbl>
    <w:p w14:paraId="09919FF3"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je li program potpore prihvatljiv za sufinanciranje iz nekog od fondova Unije koji se provode u okviru podijeljenog upravljanja („fondovi”). Ako je odgovor potvrdan, navedite u okviru kojeg bi se programa moglo dobiti financiranje. Navedite i iznos financiranja iz fondova ako je poznat u ovoj fazi.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6B3F1258" w14:textId="77777777" w:rsidTr="00D316B2">
        <w:tc>
          <w:tcPr>
            <w:tcW w:w="7682" w:type="dxa"/>
            <w:tcBorders>
              <w:top w:val="dotted" w:sz="4" w:space="0" w:color="auto"/>
              <w:left w:val="dotted" w:sz="4" w:space="0" w:color="auto"/>
              <w:bottom w:val="dotted" w:sz="4" w:space="0" w:color="auto"/>
              <w:right w:val="dotted" w:sz="4" w:space="0" w:color="auto"/>
            </w:tcBorders>
          </w:tcPr>
          <w:p w14:paraId="32B1D4D7" w14:textId="77777777" w:rsidR="00C258F0" w:rsidRPr="005C6D28" w:rsidRDefault="00C258F0" w:rsidP="00D316B2">
            <w:pPr>
              <w:rPr>
                <w:noProof/>
              </w:rPr>
            </w:pPr>
            <w:r w:rsidRPr="005C6D28">
              <w:rPr>
                <w:noProof/>
              </w:rPr>
              <w:t>…</w:t>
            </w:r>
          </w:p>
        </w:tc>
      </w:tr>
    </w:tbl>
    <w:p w14:paraId="6DAFBCCB"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 xml:space="preserve">Navedite upućivanje na odgovarajuće odredbe pravne osnove kojima je propisano da bi davatelj potpore prije dodjele pojedinačne potpore u okviru prijavljenog programa trebao utvrditi je li korisnik (na razini grupe) primio potporu za najmanje jedno početno ulaganje započeto u istoj regiji na razini NUTS 3 u razdoblju od tri godine prije datuma početka radova na projektu ulaganja.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7BA6F6A" w14:textId="77777777" w:rsidTr="00D316B2">
        <w:tc>
          <w:tcPr>
            <w:tcW w:w="7682" w:type="dxa"/>
            <w:tcBorders>
              <w:top w:val="dotted" w:sz="4" w:space="0" w:color="auto"/>
              <w:left w:val="dotted" w:sz="4" w:space="0" w:color="auto"/>
              <w:bottom w:val="dotted" w:sz="4" w:space="0" w:color="auto"/>
              <w:right w:val="dotted" w:sz="4" w:space="0" w:color="auto"/>
            </w:tcBorders>
          </w:tcPr>
          <w:p w14:paraId="09EA9749" w14:textId="77777777" w:rsidR="00C258F0" w:rsidRPr="005C6D28" w:rsidRDefault="00C258F0" w:rsidP="00D316B2">
            <w:pPr>
              <w:rPr>
                <w:noProof/>
              </w:rPr>
            </w:pPr>
            <w:r w:rsidRPr="005C6D28">
              <w:rPr>
                <w:noProof/>
              </w:rPr>
              <w:t>…</w:t>
            </w:r>
          </w:p>
        </w:tc>
      </w:tr>
    </w:tbl>
    <w:p w14:paraId="1650E936"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upućivanje na odgovarajuće odredbe pravne osnove kojima je propisano da ukupni iznos potpora koje će se u okviru programa dodijeliti za projekte početnog ulaganja ne premašuje iznos koji proizlazi iz „maksimalnog intenziteta potpore” (kako je definirano u točki 19. podtočki 19. RAG-a), prema potrebi uzimajući u obzir povišeni intenzitet potpore za MSP-ove (kako je utvrđeno u točki 186. RAG-a) ili „prilagođeni iznos potpore” (kako je definiran u točki 19. podtočki 3.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2234C468" w14:textId="77777777" w:rsidTr="00D316B2">
        <w:tc>
          <w:tcPr>
            <w:tcW w:w="7682" w:type="dxa"/>
            <w:tcBorders>
              <w:top w:val="dotted" w:sz="4" w:space="0" w:color="auto"/>
              <w:left w:val="dotted" w:sz="4" w:space="0" w:color="auto"/>
              <w:bottom w:val="dotted" w:sz="4" w:space="0" w:color="auto"/>
              <w:right w:val="dotted" w:sz="4" w:space="0" w:color="auto"/>
            </w:tcBorders>
          </w:tcPr>
          <w:p w14:paraId="390F7CD5" w14:textId="77777777" w:rsidR="00C258F0" w:rsidRPr="005C6D28" w:rsidRDefault="00C258F0" w:rsidP="00D316B2">
            <w:pPr>
              <w:rPr>
                <w:noProof/>
              </w:rPr>
            </w:pPr>
            <w:r w:rsidRPr="005C6D28">
              <w:rPr>
                <w:noProof/>
              </w:rPr>
              <w:t>…</w:t>
            </w:r>
          </w:p>
        </w:tc>
      </w:tr>
    </w:tbl>
    <w:p w14:paraId="5D5F9921"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upućivanje na odgovarajuće odredbe pravne osnove kojima je propisano da će, ako se pojedinačne potpore dodjeljuju u okviru više programa regionalnih potpora ili se zbrajaju s jednokratnim potporama, maksimalni dopušteni intenzitet potpore koja se može dodijeliti projektu unaprijed izračunati prvi davatelj potpore (točka 99.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21D77F06" w14:textId="77777777" w:rsidTr="00D316B2">
        <w:tc>
          <w:tcPr>
            <w:tcW w:w="7682" w:type="dxa"/>
            <w:tcBorders>
              <w:top w:val="dotted" w:sz="4" w:space="0" w:color="auto"/>
              <w:left w:val="dotted" w:sz="4" w:space="0" w:color="auto"/>
              <w:bottom w:val="dotted" w:sz="4" w:space="0" w:color="auto"/>
              <w:right w:val="dotted" w:sz="4" w:space="0" w:color="auto"/>
            </w:tcBorders>
          </w:tcPr>
          <w:p w14:paraId="37826E8A" w14:textId="77777777" w:rsidR="00C258F0" w:rsidRPr="005C6D28" w:rsidRDefault="00C258F0" w:rsidP="00D316B2">
            <w:pPr>
              <w:rPr>
                <w:noProof/>
              </w:rPr>
            </w:pPr>
            <w:r w:rsidRPr="005C6D28">
              <w:rPr>
                <w:noProof/>
              </w:rPr>
              <w:t>…</w:t>
            </w:r>
          </w:p>
        </w:tc>
      </w:tr>
    </w:tbl>
    <w:p w14:paraId="6330C951"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 xml:space="preserve">Ako su u okviru programa potpora dopuštene potpore za početno ulaganje povezano s projektima u okviru europske teritorijalne suradnje (ETC), navedite upućivanje na odgovarajuće odredbe pravne osnove kojima je (upućivanjem na odredbe iz točke 100. RAG-a) propisan način utvrđivanja maksimalnog intenziteta potpore primjenjivog na projekt i na razne korisnike uključene u projekt.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8349C4E" w14:textId="77777777" w:rsidTr="00D316B2">
        <w:tc>
          <w:tcPr>
            <w:tcW w:w="7682" w:type="dxa"/>
            <w:tcBorders>
              <w:top w:val="dotted" w:sz="4" w:space="0" w:color="auto"/>
              <w:left w:val="dotted" w:sz="4" w:space="0" w:color="auto"/>
              <w:bottom w:val="dotted" w:sz="4" w:space="0" w:color="auto"/>
              <w:right w:val="dotted" w:sz="4" w:space="0" w:color="auto"/>
            </w:tcBorders>
          </w:tcPr>
          <w:p w14:paraId="61A814D8" w14:textId="77777777" w:rsidR="00C258F0" w:rsidRPr="005C6D28" w:rsidRDefault="00C258F0" w:rsidP="00D316B2">
            <w:pPr>
              <w:rPr>
                <w:noProof/>
              </w:rPr>
            </w:pPr>
            <w:r w:rsidRPr="005C6D28">
              <w:rPr>
                <w:noProof/>
              </w:rPr>
              <w:t>…</w:t>
            </w:r>
          </w:p>
        </w:tc>
      </w:tr>
    </w:tbl>
    <w:p w14:paraId="655D1D26" w14:textId="55872CF0" w:rsidR="00C258F0" w:rsidRPr="005C6D28" w:rsidRDefault="00C258F0" w:rsidP="00C258F0">
      <w:pPr>
        <w:pStyle w:val="Heading1"/>
        <w:rPr>
          <w:noProof/>
        </w:rPr>
      </w:pPr>
      <w:r w:rsidRPr="005C6D28">
        <w:rPr>
          <w:noProof/>
        </w:rPr>
        <w:lastRenderedPageBreak/>
        <w:t>Ocjena spojivosti programa potpora</w:t>
      </w:r>
    </w:p>
    <w:p w14:paraId="40341937"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Doprinos regionalnom razvoju, pozitivni učinci i potreba za državnom intervencijom</w:t>
      </w:r>
    </w:p>
    <w:p w14:paraId="29B827BA"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Objasnite kako je program usklađen sa strategijom razvoja predmetnog područja i kako doprinosi njezinoj provedbi (točka 44. RAG-a):</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C258F0" w:rsidRPr="005C6D28" w14:paraId="5080A731" w14:textId="77777777" w:rsidTr="00C066D4">
        <w:tc>
          <w:tcPr>
            <w:tcW w:w="7660" w:type="dxa"/>
            <w:tcBorders>
              <w:top w:val="dotted" w:sz="4" w:space="0" w:color="auto"/>
              <w:left w:val="dotted" w:sz="4" w:space="0" w:color="auto"/>
              <w:bottom w:val="dotted" w:sz="4" w:space="0" w:color="auto"/>
              <w:right w:val="dotted" w:sz="4" w:space="0" w:color="auto"/>
            </w:tcBorders>
          </w:tcPr>
          <w:p w14:paraId="18D8CEC2" w14:textId="77777777" w:rsidR="00C258F0" w:rsidRPr="005C6D28" w:rsidRDefault="00C258F0" w:rsidP="00D316B2">
            <w:pPr>
              <w:rPr>
                <w:noProof/>
              </w:rPr>
            </w:pPr>
            <w:r w:rsidRPr="005C6D28">
              <w:rPr>
                <w:noProof/>
              </w:rPr>
              <w:t>…</w:t>
            </w:r>
          </w:p>
        </w:tc>
      </w:tr>
    </w:tbl>
    <w:p w14:paraId="729ADDE9"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upućivanje na odgovarajuće odredbe pravne osnove u kojima je navedena obveza provođenja procjene utjecaja na okoliš za predmetna ulaganja prije dodjele potpore pojedinačnim projektima ako je tako propisano zakonom (točka 49.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4B59E5DB" w14:textId="77777777" w:rsidTr="00D316B2">
        <w:tc>
          <w:tcPr>
            <w:tcW w:w="7682" w:type="dxa"/>
            <w:tcBorders>
              <w:top w:val="dotted" w:sz="4" w:space="0" w:color="auto"/>
              <w:left w:val="dotted" w:sz="4" w:space="0" w:color="auto"/>
              <w:bottom w:val="dotted" w:sz="4" w:space="0" w:color="auto"/>
              <w:right w:val="dotted" w:sz="4" w:space="0" w:color="auto"/>
            </w:tcBorders>
          </w:tcPr>
          <w:p w14:paraId="3A402F0D" w14:textId="77777777" w:rsidR="00C258F0" w:rsidRPr="005C6D28" w:rsidRDefault="00C258F0" w:rsidP="00D316B2">
            <w:pPr>
              <w:tabs>
                <w:tab w:val="left" w:pos="720"/>
                <w:tab w:val="left" w:pos="1077"/>
                <w:tab w:val="left" w:pos="1440"/>
                <w:tab w:val="left" w:pos="1797"/>
              </w:tabs>
              <w:rPr>
                <w:noProof/>
              </w:rPr>
            </w:pPr>
            <w:r w:rsidRPr="005C6D28">
              <w:rPr>
                <w:noProof/>
              </w:rPr>
              <w:t>…</w:t>
            </w:r>
          </w:p>
        </w:tc>
      </w:tr>
    </w:tbl>
    <w:p w14:paraId="52D3DE1F"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Objasnite kako će davatelji potpore odrediti prioritete i odabrati projekte ulaganja u skladu s ciljevima programa (primjerice primjenom službenog sustava bodovanja) (točka 44. RAG-a). Navedite i upućivanje na odgovarajuće odredbe pravne osnove ili druge povezane upravne akte.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1E516A73" w14:textId="77777777" w:rsidTr="00D316B2">
        <w:tc>
          <w:tcPr>
            <w:tcW w:w="7682" w:type="dxa"/>
            <w:tcBorders>
              <w:top w:val="dotted" w:sz="4" w:space="0" w:color="auto"/>
              <w:left w:val="dotted" w:sz="4" w:space="0" w:color="auto"/>
              <w:bottom w:val="dotted" w:sz="4" w:space="0" w:color="auto"/>
              <w:right w:val="dotted" w:sz="4" w:space="0" w:color="auto"/>
            </w:tcBorders>
          </w:tcPr>
          <w:p w14:paraId="24FD23C1" w14:textId="77777777" w:rsidR="00C258F0" w:rsidRPr="005C6D28" w:rsidRDefault="00C258F0" w:rsidP="00D316B2">
            <w:pPr>
              <w:tabs>
                <w:tab w:val="left" w:pos="720"/>
                <w:tab w:val="left" w:pos="1077"/>
                <w:tab w:val="left" w:pos="1440"/>
                <w:tab w:val="left" w:pos="1797"/>
              </w:tabs>
              <w:rPr>
                <w:noProof/>
              </w:rPr>
            </w:pPr>
            <w:r w:rsidRPr="005C6D28">
              <w:rPr>
                <w:noProof/>
              </w:rPr>
              <w:t>…</w:t>
            </w:r>
          </w:p>
        </w:tc>
      </w:tr>
    </w:tbl>
    <w:p w14:paraId="346D6E42"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Objasnite kako će davatelj potpore pri dodjeli potpore pojedinačnim projektima ulaganja u okviru prijavljenog programa utvrditi doprinosi li odabrani projekt ili projekti ostvarivanju cilja programa, a time i strategiji razvoja predmetnog područja (točka 46.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55DDEA48" w14:textId="77777777" w:rsidTr="00D316B2">
        <w:tc>
          <w:tcPr>
            <w:tcW w:w="7682" w:type="dxa"/>
            <w:tcBorders>
              <w:top w:val="dotted" w:sz="4" w:space="0" w:color="auto"/>
              <w:left w:val="dotted" w:sz="4" w:space="0" w:color="auto"/>
              <w:bottom w:val="dotted" w:sz="4" w:space="0" w:color="auto"/>
              <w:right w:val="dotted" w:sz="4" w:space="0" w:color="auto"/>
            </w:tcBorders>
          </w:tcPr>
          <w:p w14:paraId="652BA175" w14:textId="77777777" w:rsidR="00C258F0" w:rsidRPr="005C6D28" w:rsidRDefault="00C258F0" w:rsidP="00D316B2">
            <w:pPr>
              <w:tabs>
                <w:tab w:val="left" w:pos="720"/>
                <w:tab w:val="left" w:pos="1077"/>
                <w:tab w:val="left" w:pos="1440"/>
                <w:tab w:val="left" w:pos="1797"/>
              </w:tabs>
              <w:rPr>
                <w:noProof/>
              </w:rPr>
            </w:pPr>
            <w:r w:rsidRPr="005C6D28">
              <w:rPr>
                <w:noProof/>
              </w:rPr>
              <w:t>…</w:t>
            </w:r>
          </w:p>
        </w:tc>
      </w:tr>
    </w:tbl>
    <w:p w14:paraId="3D71B1C2"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Objasnite kako se provodi odredba kojom se zahtijeva da se ulaganje kojem je dodijeljena potpora u okviru prijavljenog programa na predmetnom području zadrži najmanje pet godina (tri godine za MSP-ove) nakon dovršetka ulaganja (točka 47. RAG-a). Navedite upućivanje na odgovarajuće odredbe pravne osnove.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710D15EC" w14:textId="77777777" w:rsidTr="00D316B2">
        <w:tc>
          <w:tcPr>
            <w:tcW w:w="7682" w:type="dxa"/>
            <w:tcBorders>
              <w:top w:val="dotted" w:sz="4" w:space="0" w:color="auto"/>
              <w:left w:val="dotted" w:sz="4" w:space="0" w:color="auto"/>
              <w:bottom w:val="dotted" w:sz="4" w:space="0" w:color="auto"/>
              <w:right w:val="dotted" w:sz="4" w:space="0" w:color="auto"/>
            </w:tcBorders>
          </w:tcPr>
          <w:p w14:paraId="4DBD4501" w14:textId="77777777" w:rsidR="00C258F0" w:rsidRPr="005C6D28" w:rsidRDefault="00C258F0" w:rsidP="00D316B2">
            <w:pPr>
              <w:tabs>
                <w:tab w:val="left" w:pos="720"/>
                <w:tab w:val="left" w:pos="1077"/>
                <w:tab w:val="left" w:pos="1440"/>
                <w:tab w:val="left" w:pos="1797"/>
              </w:tabs>
              <w:rPr>
                <w:noProof/>
              </w:rPr>
            </w:pPr>
            <w:r w:rsidRPr="005C6D28">
              <w:rPr>
                <w:noProof/>
              </w:rPr>
              <w:t>…</w:t>
            </w:r>
          </w:p>
        </w:tc>
      </w:tr>
    </w:tbl>
    <w:p w14:paraId="1E0EE16B"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U slučajevima u kojima se potpore dodijeljene u okviru prijavljenog programa izračunavaju na temelju troškova plaća, objasnite kako će se provoditi odredba kojom je propisano da se radna mjesta otvore u roku od tri godine od dovršetka ulaganja i da se svako radno mjesto koje je otvoreno zahvaljujući predmetnom ulaganju zadrži na predmetnom području pet godina (tri godine za MSP-ove) od datuma kad je prvi put popunjeno (točka 36. RAG-a). Navedite upućivanje na odgovarajuću odredbu pravne osnove.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2E85CE43" w14:textId="77777777" w:rsidTr="00D316B2">
        <w:tc>
          <w:tcPr>
            <w:tcW w:w="7682" w:type="dxa"/>
            <w:tcBorders>
              <w:top w:val="dotted" w:sz="4" w:space="0" w:color="auto"/>
              <w:left w:val="dotted" w:sz="4" w:space="0" w:color="auto"/>
              <w:bottom w:val="dotted" w:sz="4" w:space="0" w:color="auto"/>
              <w:right w:val="dotted" w:sz="4" w:space="0" w:color="auto"/>
            </w:tcBorders>
          </w:tcPr>
          <w:p w14:paraId="3BEA81E4" w14:textId="77777777" w:rsidR="00C258F0" w:rsidRPr="005C6D28" w:rsidRDefault="00C258F0" w:rsidP="00D316B2">
            <w:pPr>
              <w:tabs>
                <w:tab w:val="left" w:pos="720"/>
                <w:tab w:val="left" w:pos="1077"/>
                <w:tab w:val="left" w:pos="1440"/>
                <w:tab w:val="left" w:pos="1797"/>
              </w:tabs>
              <w:rPr>
                <w:noProof/>
              </w:rPr>
            </w:pPr>
            <w:r w:rsidRPr="005C6D28">
              <w:rPr>
                <w:noProof/>
              </w:rPr>
              <w:t>…</w:t>
            </w:r>
          </w:p>
        </w:tc>
      </w:tr>
    </w:tbl>
    <w:p w14:paraId="5E46B049"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lastRenderedPageBreak/>
        <w:t>Navedite upućivanje na odgovarajuće odredbe pravne osnove kojima je propisano da primatelji potpore moraju osigurati financijski doprinos u iznosu od najmanje 25 % prihvatljivih troškova, bilo vlastitim sredstvima ili vanjskim financiranjem, koji ne uključuje nikakav oblik javne potpore</w:t>
      </w:r>
      <w:r w:rsidRPr="005C6D28">
        <w:rPr>
          <w:rStyle w:val="FootnoteReference"/>
          <w:noProof/>
        </w:rPr>
        <w:footnoteReference w:id="20"/>
      </w:r>
      <w:r w:rsidRPr="005C6D28">
        <w:rPr>
          <w:noProof/>
        </w:rPr>
        <w:t xml:space="preserve"> (točka 48.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4D4176D" w14:textId="77777777" w:rsidTr="00D316B2">
        <w:tc>
          <w:tcPr>
            <w:tcW w:w="7682" w:type="dxa"/>
            <w:tcBorders>
              <w:top w:val="dotted" w:sz="4" w:space="0" w:color="auto"/>
              <w:left w:val="dotted" w:sz="4" w:space="0" w:color="auto"/>
              <w:bottom w:val="dotted" w:sz="4" w:space="0" w:color="auto"/>
              <w:right w:val="dotted" w:sz="4" w:space="0" w:color="auto"/>
            </w:tcBorders>
          </w:tcPr>
          <w:p w14:paraId="58E5D974" w14:textId="77777777" w:rsidR="00C258F0" w:rsidRPr="005C6D28" w:rsidRDefault="00C258F0" w:rsidP="00D316B2">
            <w:pPr>
              <w:rPr>
                <w:noProof/>
                <w:szCs w:val="24"/>
              </w:rPr>
            </w:pPr>
            <w:r w:rsidRPr="005C6D28">
              <w:rPr>
                <w:noProof/>
              </w:rPr>
              <w:t>…</w:t>
            </w:r>
          </w:p>
        </w:tc>
      </w:tr>
    </w:tbl>
    <w:p w14:paraId="579373BB"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upućivanje na odgovarajuće odredbe pravne osnove kojima je propisano da bi se programom trebale poštovati gornje granice utvrđene na karti regionalnih potpora u trenutku dodjele potpore (točka 88. RAG-a). Navedite i upućivanje na odluku Komisije kojom je odobrena predmetna karta regionalnih potpora.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7A1999F0" w14:textId="77777777" w:rsidTr="00D316B2">
        <w:tc>
          <w:tcPr>
            <w:tcW w:w="7682" w:type="dxa"/>
            <w:tcBorders>
              <w:top w:val="dotted" w:sz="4" w:space="0" w:color="auto"/>
              <w:left w:val="dotted" w:sz="4" w:space="0" w:color="auto"/>
              <w:bottom w:val="dotted" w:sz="4" w:space="0" w:color="auto"/>
              <w:right w:val="dotted" w:sz="4" w:space="0" w:color="auto"/>
            </w:tcBorders>
          </w:tcPr>
          <w:p w14:paraId="4ECBC38B" w14:textId="77777777" w:rsidR="00C258F0" w:rsidRPr="005C6D28" w:rsidRDefault="00C258F0" w:rsidP="00D316B2">
            <w:pPr>
              <w:rPr>
                <w:noProof/>
                <w:szCs w:val="24"/>
              </w:rPr>
            </w:pPr>
            <w:r w:rsidRPr="005C6D28">
              <w:rPr>
                <w:noProof/>
              </w:rPr>
              <w:t>…</w:t>
            </w:r>
          </w:p>
        </w:tc>
      </w:tr>
    </w:tbl>
    <w:p w14:paraId="43338259"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Učinak poticaja programa</w:t>
      </w:r>
    </w:p>
    <w:p w14:paraId="2A1C7B68"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upućivanje na odgovarajuće odredbe pravne osnove kojima je propisano da zahtjev za potporu mora biti podnesen prije početka radova u okviru predmetnog projekta ulaganja (točka 62.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69D8847" w14:textId="77777777" w:rsidTr="00D316B2">
        <w:tc>
          <w:tcPr>
            <w:tcW w:w="7682" w:type="dxa"/>
            <w:shd w:val="clear" w:color="auto" w:fill="auto"/>
          </w:tcPr>
          <w:p w14:paraId="21B70DEA" w14:textId="77777777" w:rsidR="00C258F0" w:rsidRPr="005C6D28" w:rsidRDefault="00C258F0" w:rsidP="00D316B2">
            <w:pPr>
              <w:rPr>
                <w:noProof/>
              </w:rPr>
            </w:pPr>
            <w:r w:rsidRPr="005C6D28">
              <w:rPr>
                <w:noProof/>
              </w:rPr>
              <w:t>…</w:t>
            </w:r>
          </w:p>
        </w:tc>
      </w:tr>
    </w:tbl>
    <w:p w14:paraId="6481BD18"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upućivanje na odgovarajuće odredbe pravne osnove kojima je propisano da podnositelji zahtjeva za dodjelu potpora u okviru prijavljenog programa moraju podnijeti tipski obrazac zahtjeva dobiven od davatelja potpore, u kojem moraju protučinjenično objasniti što bi se dogodilo kad im se ne bi dodijelila potpora i navesti koji se scenarij primjenjuje (</w:t>
      </w:r>
      <w:r w:rsidRPr="005C6D28">
        <w:rPr>
          <w:i/>
          <w:noProof/>
        </w:rPr>
        <w:t>1. scenarij</w:t>
      </w:r>
      <w:r w:rsidRPr="005C6D28">
        <w:rPr>
          <w:noProof/>
        </w:rPr>
        <w:t xml:space="preserve"> – odluka o ulaganju ili </w:t>
      </w:r>
      <w:r w:rsidRPr="005C6D28">
        <w:rPr>
          <w:i/>
          <w:noProof/>
        </w:rPr>
        <w:t>2. scenarij</w:t>
      </w:r>
      <w:r w:rsidRPr="005C6D28">
        <w:rPr>
          <w:noProof/>
        </w:rPr>
        <w:t xml:space="preserve"> – odluka o lokaciji) (točke 64. i 59. RAG-a).</w:t>
      </w:r>
      <w:r w:rsidRPr="005C6D28">
        <w:rPr>
          <w:noProof/>
          <w:color w:val="000000"/>
        </w:rPr>
        <w:t xml:space="preserve"> Ako se taj obrazac razlikuje od primjera navedenog u Prilogu VII. RAG-u, priložite presliku tog obrasca.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196AAC39" w14:textId="77777777" w:rsidTr="00D316B2">
        <w:tc>
          <w:tcPr>
            <w:tcW w:w="7682" w:type="dxa"/>
            <w:shd w:val="clear" w:color="auto" w:fill="auto"/>
          </w:tcPr>
          <w:p w14:paraId="60402F7D" w14:textId="77777777" w:rsidR="00C258F0" w:rsidRPr="005C6D28" w:rsidRDefault="00C258F0" w:rsidP="00D316B2">
            <w:pPr>
              <w:rPr>
                <w:noProof/>
              </w:rPr>
            </w:pPr>
            <w:r w:rsidRPr="005C6D28">
              <w:rPr>
                <w:noProof/>
              </w:rPr>
              <w:t>…</w:t>
            </w:r>
          </w:p>
        </w:tc>
      </w:tr>
    </w:tbl>
    <w:p w14:paraId="2C5DCA12"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Navedite upućivanje na odgovarajuće odredbe pravne osnove kojima je propisano da velika poduzeća koja podnose zahtjev za dodjelu potpore u okviru prijavljenih programa moraju dostaviti dokumentaciju kojom potkrepljuju opisani protučinjenični scenarij (točka 65. RAG-a). Objasnite i koje će vrste dokumenata biti potrebne.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4411F9A" w14:textId="77777777" w:rsidTr="00D316B2">
        <w:tc>
          <w:tcPr>
            <w:tcW w:w="7682" w:type="dxa"/>
            <w:shd w:val="clear" w:color="auto" w:fill="auto"/>
          </w:tcPr>
          <w:p w14:paraId="251DD355" w14:textId="77777777" w:rsidR="00C258F0" w:rsidRPr="005C6D28" w:rsidRDefault="00C258F0" w:rsidP="00D316B2">
            <w:pPr>
              <w:rPr>
                <w:noProof/>
              </w:rPr>
            </w:pPr>
            <w:r w:rsidRPr="005C6D28">
              <w:rPr>
                <w:noProof/>
              </w:rPr>
              <w:t>…</w:t>
            </w:r>
          </w:p>
        </w:tc>
      </w:tr>
    </w:tbl>
    <w:p w14:paraId="51660181" w14:textId="77777777" w:rsidR="00C258F0" w:rsidRPr="005C6D28" w:rsidRDefault="00C258F0" w:rsidP="00C258F0">
      <w:pPr>
        <w:pStyle w:val="NormalKop111"/>
        <w:numPr>
          <w:ilvl w:val="2"/>
          <w:numId w:val="22"/>
        </w:numPr>
        <w:tabs>
          <w:tab w:val="clear" w:pos="720"/>
          <w:tab w:val="clear" w:pos="1440"/>
          <w:tab w:val="clear" w:pos="1797"/>
        </w:tabs>
        <w:ind w:left="1418" w:hanging="698"/>
        <w:rPr>
          <w:rFonts w:cs="Times New Roman"/>
          <w:noProof/>
        </w:rPr>
      </w:pPr>
      <w:r w:rsidRPr="005C6D28">
        <w:rPr>
          <w:noProof/>
        </w:rPr>
        <w:t xml:space="preserve">Navedite upućivanje na odgovarajuće odredbe pravne osnove kojima je propisano da pri ocjeni zahtjeva za pojedinačnu potporu davatelj potpore mora </w:t>
      </w:r>
      <w:r w:rsidRPr="005C6D28">
        <w:rPr>
          <w:noProof/>
        </w:rPr>
        <w:lastRenderedPageBreak/>
        <w:t xml:space="preserve">provesti provjeru vjerodostojnosti dostavljenog protučinjeničnog scenarija i uvjeriti se da regionalna potpora ima traženi učinak poticaja u skladu s </w:t>
      </w:r>
      <w:r w:rsidRPr="005C6D28">
        <w:rPr>
          <w:i/>
          <w:noProof/>
        </w:rPr>
        <w:t>1. scenarijem</w:t>
      </w:r>
      <w:r w:rsidRPr="005C6D28">
        <w:rPr>
          <w:noProof/>
        </w:rPr>
        <w:t xml:space="preserve"> ili </w:t>
      </w:r>
      <w:r w:rsidRPr="005C6D28">
        <w:rPr>
          <w:i/>
          <w:noProof/>
        </w:rPr>
        <w:t>2. scenarijem</w:t>
      </w:r>
      <w:r w:rsidRPr="005C6D28">
        <w:rPr>
          <w:rStyle w:val="FootnoteReference"/>
          <w:noProof/>
        </w:rPr>
        <w:footnoteReference w:id="21"/>
      </w:r>
      <w:r w:rsidRPr="005C6D28">
        <w:rPr>
          <w:noProof/>
        </w:rPr>
        <w:t xml:space="preserve"> (točka 66.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347D3EAF" w14:textId="77777777" w:rsidTr="00D316B2">
        <w:tc>
          <w:tcPr>
            <w:tcW w:w="7682" w:type="dxa"/>
            <w:shd w:val="clear" w:color="auto" w:fill="auto"/>
          </w:tcPr>
          <w:p w14:paraId="5154924C" w14:textId="77777777" w:rsidR="00C258F0" w:rsidRPr="005C6D28" w:rsidRDefault="00C258F0" w:rsidP="00D316B2">
            <w:pPr>
              <w:rPr>
                <w:noProof/>
              </w:rPr>
            </w:pPr>
            <w:r w:rsidRPr="005C6D28">
              <w:rPr>
                <w:noProof/>
              </w:rPr>
              <w:t>…</w:t>
            </w:r>
          </w:p>
        </w:tc>
      </w:tr>
    </w:tbl>
    <w:p w14:paraId="43DA8795"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Primjerenost programa potpora</w:t>
      </w:r>
    </w:p>
    <w:p w14:paraId="319027F6"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zašto je regionalna potpora primjeren instrument za poticanje razvoja predmetnog područja</w:t>
      </w:r>
      <w:r w:rsidRPr="005C6D28">
        <w:rPr>
          <w:rStyle w:val="FootnoteReference"/>
          <w:noProof/>
        </w:rPr>
        <w:footnoteReference w:id="22"/>
      </w:r>
      <w:r w:rsidRPr="005C6D28">
        <w:rPr>
          <w:noProof/>
        </w:rPr>
        <w:t xml:space="preserve"> (točka 80.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4AB87A69" w14:textId="77777777" w:rsidTr="00D316B2">
        <w:tc>
          <w:tcPr>
            <w:tcW w:w="7682" w:type="dxa"/>
            <w:tcBorders>
              <w:top w:val="dotted" w:sz="4" w:space="0" w:color="auto"/>
              <w:left w:val="dotted" w:sz="4" w:space="0" w:color="auto"/>
              <w:bottom w:val="dotted" w:sz="4" w:space="0" w:color="auto"/>
              <w:right w:val="dotted" w:sz="4" w:space="0" w:color="auto"/>
            </w:tcBorders>
          </w:tcPr>
          <w:p w14:paraId="0259D120" w14:textId="77777777" w:rsidR="00C258F0" w:rsidRPr="005C6D28" w:rsidRDefault="00C258F0" w:rsidP="00D316B2">
            <w:pPr>
              <w:rPr>
                <w:noProof/>
                <w:szCs w:val="24"/>
              </w:rPr>
            </w:pPr>
            <w:r w:rsidRPr="005C6D28">
              <w:rPr>
                <w:noProof/>
              </w:rPr>
              <w:t>…</w:t>
            </w:r>
          </w:p>
        </w:tc>
      </w:tr>
    </w:tbl>
    <w:p w14:paraId="223CFA6C"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Ako je program potpora specifičan za određeni sektor, dokažite prednosti te vrste instrumenta u usporedbi s višesektorskim programom ili drugim opcijama politike (točka 81.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2B0BF723" w14:textId="77777777" w:rsidTr="00D316B2">
        <w:tc>
          <w:tcPr>
            <w:tcW w:w="7682" w:type="dxa"/>
            <w:tcBorders>
              <w:top w:val="dotted" w:sz="4" w:space="0" w:color="auto"/>
              <w:left w:val="dotted" w:sz="4" w:space="0" w:color="auto"/>
              <w:bottom w:val="dotted" w:sz="4" w:space="0" w:color="auto"/>
              <w:right w:val="dotted" w:sz="4" w:space="0" w:color="auto"/>
            </w:tcBorders>
          </w:tcPr>
          <w:p w14:paraId="185FB769" w14:textId="77777777" w:rsidR="00C258F0" w:rsidRPr="005C6D28" w:rsidRDefault="00C258F0" w:rsidP="00D316B2">
            <w:pPr>
              <w:rPr>
                <w:noProof/>
                <w:szCs w:val="24"/>
              </w:rPr>
            </w:pPr>
            <w:r w:rsidRPr="005C6D28">
              <w:rPr>
                <w:noProof/>
              </w:rPr>
              <w:t>…</w:t>
            </w:r>
          </w:p>
        </w:tc>
      </w:tr>
    </w:tbl>
    <w:p w14:paraId="0514B1D7"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hoće li se pojedinačne potpore u okviru prijavljenog programa dodijeliti:</w:t>
      </w:r>
    </w:p>
    <w:p w14:paraId="05F73A75" w14:textId="77777777" w:rsidR="00C258F0" w:rsidRPr="005C6D28" w:rsidRDefault="00C066D4" w:rsidP="00C258F0">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automatski, pod uvjetom da su ispunjeni uvjeti programa, ili</w:t>
      </w:r>
    </w:p>
    <w:p w14:paraId="788A5A91" w14:textId="77777777" w:rsidR="00C258F0" w:rsidRPr="005C6D28" w:rsidRDefault="00C066D4" w:rsidP="00C258F0">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na diskrecijskoj osnovi, nakon odluke tijelâ</w:t>
      </w:r>
    </w:p>
    <w:p w14:paraId="6EC15220" w14:textId="77777777" w:rsidR="00C258F0" w:rsidRPr="005C6D28" w:rsidRDefault="00C258F0" w:rsidP="00C258F0">
      <w:pPr>
        <w:pStyle w:val="Text2"/>
        <w:ind w:left="1418"/>
        <w:rPr>
          <w:noProof/>
        </w:rPr>
      </w:pPr>
      <w:r w:rsidRPr="005C6D28">
        <w:rPr>
          <w:noProof/>
        </w:rPr>
        <w:t xml:space="preserve">Navedite upućivanje na odgovarajuću odredbu pravne osnove: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71C83B61" w14:textId="77777777" w:rsidTr="00D316B2">
        <w:tc>
          <w:tcPr>
            <w:tcW w:w="7682" w:type="dxa"/>
            <w:tcBorders>
              <w:top w:val="dotted" w:sz="4" w:space="0" w:color="auto"/>
              <w:left w:val="dotted" w:sz="4" w:space="0" w:color="auto"/>
              <w:bottom w:val="dotted" w:sz="4" w:space="0" w:color="auto"/>
              <w:right w:val="dotted" w:sz="4" w:space="0" w:color="auto"/>
            </w:tcBorders>
          </w:tcPr>
          <w:p w14:paraId="097893BC" w14:textId="77777777" w:rsidR="00C258F0" w:rsidRPr="005C6D28" w:rsidRDefault="00C258F0" w:rsidP="00D316B2">
            <w:pPr>
              <w:rPr>
                <w:noProof/>
                <w:szCs w:val="24"/>
              </w:rPr>
            </w:pPr>
            <w:r w:rsidRPr="005C6D28">
              <w:rPr>
                <w:noProof/>
              </w:rPr>
              <w:t>…</w:t>
            </w:r>
          </w:p>
        </w:tc>
      </w:tr>
    </w:tbl>
    <w:p w14:paraId="299AFF43" w14:textId="77777777" w:rsidR="00C258F0" w:rsidRPr="005C6D28" w:rsidRDefault="00C258F0" w:rsidP="00C258F0">
      <w:pPr>
        <w:pStyle w:val="Text2"/>
        <w:ind w:left="1418"/>
        <w:rPr>
          <w:noProof/>
        </w:rPr>
      </w:pPr>
      <w:r w:rsidRPr="005C6D28">
        <w:rPr>
          <w:noProof/>
        </w:rPr>
        <w:t>Ako se potpora dodjeljuje diskrecijski, ukratko opišite kriterije koji se primjenjuju i priložite presliku internih administrativnih odredaba davatelja potpore primjenjivih na dodjelu potpore: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2E496E64" w14:textId="77777777" w:rsidTr="00D316B2">
        <w:tc>
          <w:tcPr>
            <w:tcW w:w="7682" w:type="dxa"/>
            <w:tcBorders>
              <w:top w:val="dotted" w:sz="4" w:space="0" w:color="auto"/>
              <w:left w:val="dotted" w:sz="4" w:space="0" w:color="auto"/>
              <w:bottom w:val="dotted" w:sz="4" w:space="0" w:color="auto"/>
              <w:right w:val="dotted" w:sz="4" w:space="0" w:color="auto"/>
            </w:tcBorders>
          </w:tcPr>
          <w:p w14:paraId="3A3F6D1B" w14:textId="77777777" w:rsidR="00C258F0" w:rsidRPr="005C6D28" w:rsidRDefault="00C258F0" w:rsidP="00D316B2">
            <w:pPr>
              <w:rPr>
                <w:noProof/>
                <w:szCs w:val="24"/>
              </w:rPr>
            </w:pPr>
            <w:r w:rsidRPr="005C6D28">
              <w:rPr>
                <w:noProof/>
              </w:rPr>
              <w:t>…</w:t>
            </w:r>
          </w:p>
        </w:tc>
      </w:tr>
    </w:tbl>
    <w:p w14:paraId="521CB40A"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Ako se potpora u okviru programa dodjeljuje u oblicima koji donose izravnu financijsku prednost</w:t>
      </w:r>
      <w:r w:rsidRPr="005C6D28">
        <w:rPr>
          <w:rStyle w:val="FootnoteReference"/>
          <w:noProof/>
        </w:rPr>
        <w:footnoteReference w:id="23"/>
      </w:r>
      <w:r w:rsidRPr="005C6D28">
        <w:rPr>
          <w:noProof/>
        </w:rPr>
        <w:t>, dokažite zašto nisu primjereni drugi, potencijalno manje narušavajući oblici potpore, kao što su povratni predujmovi ili oblici potpore koji se temelje na dužničkim ili vlasničkim instrumentima</w:t>
      </w:r>
      <w:r w:rsidRPr="005C6D28">
        <w:rPr>
          <w:rStyle w:val="FootnoteReference"/>
          <w:noProof/>
        </w:rPr>
        <w:footnoteReference w:id="24"/>
      </w:r>
      <w:r w:rsidRPr="005C6D28">
        <w:rPr>
          <w:noProof/>
        </w:rPr>
        <w:t xml:space="preserve"> (točka 85.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7B068D9" w14:textId="77777777" w:rsidTr="00D316B2">
        <w:tc>
          <w:tcPr>
            <w:tcW w:w="7682" w:type="dxa"/>
            <w:shd w:val="clear" w:color="auto" w:fill="auto"/>
          </w:tcPr>
          <w:p w14:paraId="3233C8F0" w14:textId="77777777" w:rsidR="00C258F0" w:rsidRPr="005C6D28" w:rsidRDefault="00C258F0" w:rsidP="00D316B2">
            <w:pPr>
              <w:rPr>
                <w:noProof/>
              </w:rPr>
            </w:pPr>
            <w:r w:rsidRPr="005C6D28">
              <w:rPr>
                <w:noProof/>
              </w:rPr>
              <w:lastRenderedPageBreak/>
              <w:t>…</w:t>
            </w:r>
          </w:p>
        </w:tc>
      </w:tr>
    </w:tbl>
    <w:p w14:paraId="15B2EF27"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Učinak poticaja i razmjernost programa</w:t>
      </w:r>
    </w:p>
    <w:p w14:paraId="0C8D65FD"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 xml:space="preserve">Navedite upućivanje na odgovarajuće odredbe pravne osnove kojima je propisano da će pojedinačne potpore dodijeljene velikim poduzećima u okviru prijavljenog programa biti ograničene na neto dodatne troškove provedbe ulaganja na predmetnom području u usporedbi s protučinjeničnim scenarijem u kojem je opisana situacija bez potpore, primjenom metode koja je objašnjena u točkama 96. i 97. RAG-a (točka 95.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1CC336B6" w14:textId="77777777" w:rsidTr="00D316B2">
        <w:tc>
          <w:tcPr>
            <w:tcW w:w="7682" w:type="dxa"/>
            <w:shd w:val="clear" w:color="auto" w:fill="auto"/>
          </w:tcPr>
          <w:p w14:paraId="278E64F1" w14:textId="77777777" w:rsidR="00C258F0" w:rsidRPr="005C6D28" w:rsidRDefault="00C258F0" w:rsidP="00D316B2">
            <w:pPr>
              <w:rPr>
                <w:noProof/>
              </w:rPr>
            </w:pPr>
            <w:r w:rsidRPr="005C6D28">
              <w:rPr>
                <w:noProof/>
              </w:rPr>
              <w:t>…</w:t>
            </w:r>
          </w:p>
        </w:tc>
      </w:tr>
    </w:tbl>
    <w:p w14:paraId="0816B0B3"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Izbjegavanje neopravdanih negativnih učinaka na tržišno natjecanje i trgovinu</w:t>
      </w:r>
    </w:p>
    <w:p w14:paraId="69856890"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Objasnite kako će se narušavanje tržišnog natjecanja i trgovine uzrokovano prijavljenim programom potpora ograničiti na minimum (točka 120. RAG-a)</w:t>
      </w:r>
      <w:r w:rsidRPr="005C6D28">
        <w:rPr>
          <w:rStyle w:val="FootnoteReference"/>
          <w:noProof/>
        </w:rPr>
        <w:footnoteReference w:id="25"/>
      </w:r>
      <w:r w:rsidRPr="005C6D28">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0831E580" w14:textId="77777777" w:rsidTr="00D316B2">
        <w:tc>
          <w:tcPr>
            <w:tcW w:w="7682" w:type="dxa"/>
            <w:shd w:val="clear" w:color="auto" w:fill="auto"/>
          </w:tcPr>
          <w:p w14:paraId="3E095C97" w14:textId="77777777" w:rsidR="00C258F0" w:rsidRPr="005C6D28" w:rsidRDefault="00C258F0" w:rsidP="00D316B2">
            <w:pPr>
              <w:rPr>
                <w:noProof/>
              </w:rPr>
            </w:pPr>
            <w:r w:rsidRPr="005C6D28">
              <w:rPr>
                <w:noProof/>
              </w:rPr>
              <w:t>…</w:t>
            </w:r>
          </w:p>
        </w:tc>
      </w:tr>
    </w:tbl>
    <w:p w14:paraId="7D3E0E67"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upućivanje na odgovarajuće odredbe pravne osnove kojima je propisano da pri dodjeli potpora za pojedinačne projekte u okviru programa davatelj potpore mora provjeriti i potvrditi da potpora ne dovodi do očitih negativnih učinaka, kao što su stvaranje prekomjernog kapaciteta na tržištu koje je u apsolutnom padu (točke od 112. do 115. RAG-a), učinci smanjenja kohezije (točke 116. i 117. RAG-a) ili premještanje (točke 118. i 121.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258F0" w:rsidRPr="005C6D28" w14:paraId="4352C9E8" w14:textId="77777777" w:rsidTr="00D316B2">
        <w:tc>
          <w:tcPr>
            <w:tcW w:w="7682" w:type="dxa"/>
            <w:shd w:val="clear" w:color="auto" w:fill="auto"/>
          </w:tcPr>
          <w:p w14:paraId="50BB7A61" w14:textId="77777777" w:rsidR="00C258F0" w:rsidRPr="005C6D28" w:rsidRDefault="00C258F0" w:rsidP="00D316B2">
            <w:pPr>
              <w:rPr>
                <w:noProof/>
              </w:rPr>
            </w:pPr>
            <w:r w:rsidRPr="005C6D28">
              <w:rPr>
                <w:noProof/>
              </w:rPr>
              <w:t>…</w:t>
            </w:r>
          </w:p>
        </w:tc>
      </w:tr>
    </w:tbl>
    <w:p w14:paraId="5A18ADFC" w14:textId="5638A10C" w:rsidR="00C258F0" w:rsidRPr="005C6D28" w:rsidRDefault="00C258F0" w:rsidP="00C258F0">
      <w:pPr>
        <w:pStyle w:val="Heading1"/>
        <w:rPr>
          <w:noProof/>
        </w:rPr>
      </w:pPr>
      <w:r w:rsidRPr="005C6D28">
        <w:rPr>
          <w:noProof/>
        </w:rPr>
        <w:t>Transparentnost</w:t>
      </w:r>
    </w:p>
    <w:p w14:paraId="7FD77B2E" w14:textId="77777777" w:rsidR="00C258F0" w:rsidRPr="005C6D28" w:rsidRDefault="00C258F0" w:rsidP="00C258F0">
      <w:pPr>
        <w:pStyle w:val="NormalKop111"/>
        <w:numPr>
          <w:ilvl w:val="1"/>
          <w:numId w:val="22"/>
        </w:numPr>
        <w:tabs>
          <w:tab w:val="clear" w:pos="720"/>
          <w:tab w:val="clear" w:pos="1440"/>
          <w:tab w:val="clear" w:pos="1797"/>
        </w:tabs>
        <w:ind w:left="709" w:hanging="709"/>
        <w:rPr>
          <w:noProof/>
        </w:rPr>
      </w:pPr>
      <w:r w:rsidRPr="005C6D28">
        <w:rPr>
          <w:noProof/>
        </w:rPr>
        <w:t xml:space="preserve">Potvrdite da ćete cjelovit tekst odluke o dodjeli pojedinačne potpore ili odobrenog programa potpore, uključujući njegove provedbene odredbe, ili poveznicu na taj tekst, i informacije dodjeli svake pojedinačne potpore koja premašuje 100 000 EUR objaviti u formatu iz Priloga VIII. putem modula Europske komisije za transparentnu dodjelu potpora ili na sveobuhvatnom </w:t>
      </w:r>
      <w:r w:rsidRPr="005C6D28">
        <w:rPr>
          <w:i/>
          <w:iCs/>
          <w:noProof/>
        </w:rPr>
        <w:t>web</w:t>
      </w:r>
      <w:r w:rsidRPr="005C6D28">
        <w:rPr>
          <w:noProof/>
        </w:rPr>
        <w:t>-mjestu o državnim potporama, na nacionalnoj ili regionalnoj razini</w:t>
      </w:r>
      <w:r w:rsidRPr="005C6D28">
        <w:rPr>
          <w:rStyle w:val="FootnoteReference"/>
          <w:noProof/>
        </w:rPr>
        <w:footnoteReference w:id="26"/>
      </w:r>
      <w:r w:rsidRPr="005C6D28">
        <w:rPr>
          <w:noProof/>
        </w:rPr>
        <w:t>, u roku od šest mjeseci od datuma dodjele potpore ili, za potpore u obliku poreznih pogodnosti, u roku od godine dana od roka za podnošenje porezne prijave.</w:t>
      </w:r>
    </w:p>
    <w:p w14:paraId="089D7D5D" w14:textId="77777777" w:rsidR="00C258F0" w:rsidRPr="005C6D28" w:rsidRDefault="00C258F0" w:rsidP="00C258F0">
      <w:pPr>
        <w:pStyle w:val="Normal127"/>
        <w:rPr>
          <w:noProof/>
        </w:rPr>
      </w:pPr>
      <w:r w:rsidRPr="005C6D28">
        <w:rPr>
          <w:noProof/>
        </w:rPr>
        <w:tab/>
      </w:r>
      <w:sdt>
        <w:sdtPr>
          <w:rPr>
            <w:noProof/>
          </w:rPr>
          <w:id w:val="-1383553951"/>
          <w14:checkbox>
            <w14:checked w14:val="0"/>
            <w14:checkedState w14:val="2612" w14:font="MS Gothic"/>
            <w14:uncheckedState w14:val="2610" w14:font="MS Gothic"/>
          </w14:checkbox>
        </w:sdtPr>
        <w:sdtEndPr/>
        <w:sdtContent>
          <w:r w:rsidRPr="005C6D28">
            <w:rPr>
              <w:rFonts w:ascii="MS Gothic" w:eastAsia="MS Gothic" w:hAnsi="MS Gothic" w:hint="eastAsia"/>
              <w:noProof/>
            </w:rPr>
            <w:t>☐</w:t>
          </w:r>
        </w:sdtContent>
      </w:sdt>
      <w:r w:rsidRPr="005C6D28">
        <w:rPr>
          <w:noProof/>
        </w:rPr>
        <w:t xml:space="preserve"> da</w:t>
      </w:r>
    </w:p>
    <w:p w14:paraId="1CDF10C2" w14:textId="77777777" w:rsidR="00C258F0" w:rsidRPr="005C6D28" w:rsidRDefault="00C258F0" w:rsidP="00C258F0">
      <w:pPr>
        <w:pStyle w:val="NormalKop111"/>
        <w:numPr>
          <w:ilvl w:val="1"/>
          <w:numId w:val="22"/>
        </w:numPr>
        <w:tabs>
          <w:tab w:val="clear" w:pos="720"/>
          <w:tab w:val="clear" w:pos="1440"/>
          <w:tab w:val="clear" w:pos="1797"/>
        </w:tabs>
        <w:ind w:left="709" w:hanging="709"/>
        <w:rPr>
          <w:noProof/>
        </w:rPr>
      </w:pPr>
      <w:r w:rsidRPr="005C6D28">
        <w:rPr>
          <w:noProof/>
        </w:rPr>
        <w:t xml:space="preserve">Navedite upućivanja na odgovarajuće odredbe pravne osnove u kojima je propisano da davatelj potpore mora putem modula za transparentnu dodjelu potpora ili na </w:t>
      </w:r>
      <w:r w:rsidRPr="005C6D28">
        <w:rPr>
          <w:noProof/>
        </w:rPr>
        <w:lastRenderedPageBreak/>
        <w:t xml:space="preserve">sveobuhvatnom </w:t>
      </w:r>
      <w:r w:rsidRPr="005C6D28">
        <w:rPr>
          <w:i/>
          <w:iCs/>
          <w:noProof/>
        </w:rPr>
        <w:t>web</w:t>
      </w:r>
      <w:r w:rsidRPr="005C6D28">
        <w:rPr>
          <w:noProof/>
        </w:rPr>
        <w:t>-mjestu o državnim potporama, na nacionalnoj ili regionalnoj razini</w:t>
      </w:r>
      <w:r w:rsidRPr="005C6D28">
        <w:rPr>
          <w:rStyle w:val="FootnoteReference"/>
          <w:noProof/>
        </w:rPr>
        <w:footnoteReference w:id="27"/>
      </w:r>
      <w:r w:rsidRPr="005C6D28">
        <w:rPr>
          <w:noProof/>
        </w:rPr>
        <w:t>, objaviti barem sljedeće informacije o prijavljenim programima državnih potpora: tekst prijavljenog programa potpora i njegovih provedbenih odredaba, davatelja potpore, pojedinačne korisnike, iznos potpore po korisniku i intenzitet potpore (točka 136. RAG-a).</w:t>
      </w:r>
    </w:p>
    <w:p w14:paraId="3492B041" w14:textId="77777777" w:rsidR="00C258F0" w:rsidRPr="005C6D28" w:rsidRDefault="00C258F0" w:rsidP="00C258F0">
      <w:pPr>
        <w:pStyle w:val="Normal127"/>
        <w:rPr>
          <w:noProof/>
        </w:rPr>
      </w:pPr>
      <w:r w:rsidRPr="005C6D28">
        <w:rPr>
          <w:noProof/>
        </w:rPr>
        <w:t>Ako takve odredbe ne postoje, objasnite zašto. Slično tomu, navedite ako takve odredbe nisu sadržane u pravnoj osnovi za prijavljeni program, ali su sadržane u drugim zakonodavnim dokumentima.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C258F0" w:rsidRPr="005C6D28" w14:paraId="2D389D14" w14:textId="77777777" w:rsidTr="00D316B2">
        <w:tc>
          <w:tcPr>
            <w:tcW w:w="8674" w:type="dxa"/>
            <w:shd w:val="clear" w:color="auto" w:fill="auto"/>
          </w:tcPr>
          <w:p w14:paraId="7A8075EA" w14:textId="77777777" w:rsidR="00C258F0" w:rsidRPr="005C6D28" w:rsidRDefault="00C258F0" w:rsidP="00D316B2">
            <w:pPr>
              <w:rPr>
                <w:noProof/>
              </w:rPr>
            </w:pPr>
            <w:r w:rsidRPr="005C6D28">
              <w:rPr>
                <w:noProof/>
              </w:rPr>
              <w:t>…</w:t>
            </w:r>
          </w:p>
        </w:tc>
      </w:tr>
    </w:tbl>
    <w:p w14:paraId="6FEEC089" w14:textId="77777777" w:rsidR="00C258F0" w:rsidRPr="005C6D28" w:rsidRDefault="00C258F0" w:rsidP="00C258F0">
      <w:pPr>
        <w:pStyle w:val="Normal127"/>
        <w:rPr>
          <w:noProof/>
        </w:rPr>
      </w:pPr>
      <w:r w:rsidRPr="005C6D28">
        <w:rPr>
          <w:noProof/>
        </w:rPr>
        <w:t>Navedite upućivanja na odgovarajuće odredbe pravne osnove u kojima je propisano da će navedene informacije biti dostupne javnosti bez ograničenja najmanje deset godina od datuma dodjele potpore (točka 140. RAG-a).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C258F0" w:rsidRPr="005C6D28" w14:paraId="533DB434" w14:textId="77777777" w:rsidTr="00D316B2">
        <w:tc>
          <w:tcPr>
            <w:tcW w:w="8674" w:type="dxa"/>
            <w:shd w:val="clear" w:color="auto" w:fill="auto"/>
          </w:tcPr>
          <w:p w14:paraId="355D316B" w14:textId="77777777" w:rsidR="00C258F0" w:rsidRPr="005C6D28" w:rsidRDefault="00C258F0" w:rsidP="00D316B2">
            <w:pPr>
              <w:rPr>
                <w:noProof/>
              </w:rPr>
            </w:pPr>
            <w:r w:rsidRPr="005C6D28">
              <w:rPr>
                <w:noProof/>
              </w:rPr>
              <w:t>…</w:t>
            </w:r>
          </w:p>
        </w:tc>
      </w:tr>
    </w:tbl>
    <w:p w14:paraId="01372309" w14:textId="049B55D6" w:rsidR="00C258F0" w:rsidRPr="005C6D28" w:rsidRDefault="00C258F0" w:rsidP="00C258F0">
      <w:pPr>
        <w:pStyle w:val="Heading1"/>
        <w:rPr>
          <w:noProof/>
        </w:rPr>
      </w:pPr>
      <w:r w:rsidRPr="005C6D28">
        <w:rPr>
          <w:noProof/>
        </w:rPr>
        <w:t xml:space="preserve">Evaluacija, izvješćivanje i praćenje </w:t>
      </w:r>
    </w:p>
    <w:p w14:paraId="3B47B236" w14:textId="77777777" w:rsidR="00C258F0" w:rsidRPr="005C6D28" w:rsidRDefault="00C258F0" w:rsidP="00C258F0">
      <w:pPr>
        <w:pStyle w:val="NormalKop111"/>
        <w:numPr>
          <w:ilvl w:val="1"/>
          <w:numId w:val="22"/>
        </w:numPr>
        <w:tabs>
          <w:tab w:val="clear" w:pos="720"/>
          <w:tab w:val="clear" w:pos="1440"/>
          <w:tab w:val="clear" w:pos="1797"/>
        </w:tabs>
        <w:ind w:left="709" w:hanging="709"/>
        <w:rPr>
          <w:b/>
          <w:bCs/>
          <w:noProof/>
        </w:rPr>
      </w:pPr>
      <w:r w:rsidRPr="005C6D28">
        <w:rPr>
          <w:b/>
          <w:noProof/>
        </w:rPr>
        <w:t>Evaluacija</w:t>
      </w:r>
    </w:p>
    <w:p w14:paraId="488CA652"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broj državne potpore svih prethodnih i postojećih programa državnih potpora sa sličnim ciljem i zemljopisnim područjem (točka 144. RAG-a).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C258F0" w:rsidRPr="005C6D28" w14:paraId="57E4C318" w14:textId="77777777" w:rsidTr="00D316B2">
        <w:tc>
          <w:tcPr>
            <w:tcW w:w="8107" w:type="dxa"/>
            <w:tcBorders>
              <w:top w:val="dotted" w:sz="4" w:space="0" w:color="auto"/>
              <w:left w:val="dotted" w:sz="4" w:space="0" w:color="auto"/>
              <w:bottom w:val="dotted" w:sz="4" w:space="0" w:color="auto"/>
              <w:right w:val="dotted" w:sz="4" w:space="0" w:color="auto"/>
            </w:tcBorders>
            <w:hideMark/>
          </w:tcPr>
          <w:p w14:paraId="56D581E3" w14:textId="77777777" w:rsidR="00C258F0" w:rsidRPr="005C6D28" w:rsidRDefault="00C258F0" w:rsidP="00D316B2">
            <w:pPr>
              <w:rPr>
                <w:noProof/>
              </w:rPr>
            </w:pPr>
            <w:r w:rsidRPr="005C6D28">
              <w:rPr>
                <w:noProof/>
              </w:rPr>
              <w:t>…</w:t>
            </w:r>
          </w:p>
        </w:tc>
      </w:tr>
    </w:tbl>
    <w:p w14:paraId="7E1D638E" w14:textId="77777777" w:rsidR="00C258F0" w:rsidRPr="005C6D28" w:rsidRDefault="00C258F0" w:rsidP="00C258F0">
      <w:pPr>
        <w:pStyle w:val="Normal127"/>
        <w:rPr>
          <w:noProof/>
        </w:rPr>
      </w:pPr>
      <w:r w:rsidRPr="005C6D28">
        <w:rPr>
          <w:noProof/>
        </w:rPr>
        <w:t xml:space="preserve">Je li za bilo koji navedeni program državnih potpora provedena </w:t>
      </w:r>
      <w:r w:rsidRPr="005C6D28">
        <w:rPr>
          <w:i/>
          <w:noProof/>
        </w:rPr>
        <w:t>ex post</w:t>
      </w:r>
      <w:r w:rsidRPr="005C6D28">
        <w:rPr>
          <w:noProof/>
        </w:rPr>
        <w:t xml:space="preserve"> evaluacija (točka 144. RAG-a)?</w:t>
      </w:r>
    </w:p>
    <w:p w14:paraId="488137BF" w14:textId="77777777" w:rsidR="00C258F0" w:rsidRPr="005C6D28" w:rsidRDefault="00C066D4" w:rsidP="00C258F0">
      <w:pPr>
        <w:pStyle w:val="Tiret2"/>
        <w:rPr>
          <w:noProof/>
        </w:rPr>
      </w:pPr>
      <w:sdt>
        <w:sdtPr>
          <w:rPr>
            <w:noProof/>
          </w:rPr>
          <w:id w:val="-2095303102"/>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da</w:t>
      </w:r>
    </w:p>
    <w:p w14:paraId="2044694A" w14:textId="77777777" w:rsidR="00C258F0" w:rsidRPr="005C6D28" w:rsidRDefault="00C066D4" w:rsidP="00C258F0">
      <w:pPr>
        <w:pStyle w:val="Tiret2"/>
        <w:rPr>
          <w:noProof/>
        </w:rPr>
      </w:pPr>
      <w:sdt>
        <w:sdtPr>
          <w:rPr>
            <w:noProof/>
          </w:rPr>
          <w:id w:val="249157444"/>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ne</w:t>
      </w:r>
    </w:p>
    <w:p w14:paraId="7B87F99F" w14:textId="77777777" w:rsidR="00C258F0" w:rsidRPr="005C6D28" w:rsidRDefault="00C258F0" w:rsidP="00C258F0">
      <w:pPr>
        <w:pStyle w:val="Normal127"/>
        <w:rPr>
          <w:noProof/>
        </w:rPr>
      </w:pPr>
      <w:r w:rsidRPr="005C6D28">
        <w:rPr>
          <w:noProof/>
        </w:rPr>
        <w:t xml:space="preserve">Ako je odgovor potvrdan, ukratko navedite glavne rezultate </w:t>
      </w:r>
      <w:r w:rsidRPr="005C6D28">
        <w:rPr>
          <w:i/>
          <w:noProof/>
        </w:rPr>
        <w:t>ex post</w:t>
      </w:r>
      <w:r w:rsidRPr="005C6D28">
        <w:rPr>
          <w:noProof/>
        </w:rPr>
        <w:t xml:space="preserve"> evaluacije/evaluacija (prema potrebi s upućivanjem i poveznicom).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C258F0" w:rsidRPr="005C6D28" w14:paraId="14991335" w14:textId="77777777" w:rsidTr="00D316B2">
        <w:tc>
          <w:tcPr>
            <w:tcW w:w="8107" w:type="dxa"/>
            <w:tcBorders>
              <w:top w:val="dotted" w:sz="4" w:space="0" w:color="auto"/>
              <w:left w:val="dotted" w:sz="4" w:space="0" w:color="auto"/>
              <w:bottom w:val="dotted" w:sz="4" w:space="0" w:color="auto"/>
              <w:right w:val="dotted" w:sz="4" w:space="0" w:color="auto"/>
            </w:tcBorders>
            <w:hideMark/>
          </w:tcPr>
          <w:p w14:paraId="2A803C61" w14:textId="77777777" w:rsidR="00C258F0" w:rsidRPr="005C6D28" w:rsidRDefault="00C258F0" w:rsidP="00C066D4">
            <w:pPr>
              <w:rPr>
                <w:noProof/>
              </w:rPr>
            </w:pPr>
            <w:r w:rsidRPr="005C6D28">
              <w:rPr>
                <w:noProof/>
              </w:rPr>
              <w:t>…</w:t>
            </w:r>
          </w:p>
        </w:tc>
      </w:tr>
    </w:tbl>
    <w:p w14:paraId="4F82940C" w14:textId="77777777" w:rsidR="00C258F0" w:rsidRPr="005C6D28" w:rsidRDefault="00C258F0" w:rsidP="00C258F0">
      <w:pPr>
        <w:pStyle w:val="Normal127"/>
        <w:rPr>
          <w:noProof/>
        </w:rPr>
      </w:pPr>
      <w:r w:rsidRPr="005C6D28">
        <w:rPr>
          <w:noProof/>
        </w:rPr>
        <w:t>Opišite kako su rezultati tih evaluacija uzeti u obzir pri izradi novog programa.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C258F0" w:rsidRPr="005C6D28" w14:paraId="5C8A3B8F" w14:textId="77777777" w:rsidTr="00D316B2">
        <w:tc>
          <w:tcPr>
            <w:tcW w:w="8107" w:type="dxa"/>
            <w:tcBorders>
              <w:top w:val="dotted" w:sz="4" w:space="0" w:color="auto"/>
              <w:left w:val="dotted" w:sz="4" w:space="0" w:color="auto"/>
              <w:bottom w:val="dotted" w:sz="4" w:space="0" w:color="auto"/>
              <w:right w:val="dotted" w:sz="4" w:space="0" w:color="auto"/>
            </w:tcBorders>
            <w:hideMark/>
          </w:tcPr>
          <w:p w14:paraId="5F766840" w14:textId="77777777" w:rsidR="00C258F0" w:rsidRPr="005C6D28" w:rsidRDefault="00C258F0" w:rsidP="00C066D4">
            <w:pPr>
              <w:rPr>
                <w:noProof/>
              </w:rPr>
            </w:pPr>
            <w:r w:rsidRPr="005C6D28">
              <w:rPr>
                <w:noProof/>
              </w:rPr>
              <w:t>…</w:t>
            </w:r>
          </w:p>
        </w:tc>
      </w:tr>
    </w:tbl>
    <w:p w14:paraId="3E1BD4C3"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premašuje li proračun državnih potpora programa 150 milijuna EUR u bilo kojoj godini (točka 143. RAG-a):</w:t>
      </w:r>
    </w:p>
    <w:p w14:paraId="4CBE0153" w14:textId="77777777" w:rsidR="00C258F0" w:rsidRPr="005C6D28" w:rsidRDefault="00C066D4" w:rsidP="00C258F0">
      <w:pPr>
        <w:pStyle w:val="Tiret2"/>
        <w:rPr>
          <w:noProof/>
        </w:rPr>
      </w:pPr>
      <w:sdt>
        <w:sdtPr>
          <w:rPr>
            <w:noProof/>
          </w:rPr>
          <w:id w:val="943351428"/>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da</w:t>
      </w:r>
    </w:p>
    <w:p w14:paraId="3045A7BE" w14:textId="77777777" w:rsidR="00C258F0" w:rsidRPr="005C6D28" w:rsidRDefault="00C066D4" w:rsidP="00C258F0">
      <w:pPr>
        <w:pStyle w:val="Tiret2"/>
        <w:rPr>
          <w:noProof/>
        </w:rPr>
      </w:pPr>
      <w:sdt>
        <w:sdtPr>
          <w:rPr>
            <w:noProof/>
          </w:rPr>
          <w:id w:val="918982827"/>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ne</w:t>
      </w:r>
    </w:p>
    <w:p w14:paraId="7B40EEA6" w14:textId="77777777" w:rsidR="00C258F0" w:rsidRPr="005C6D28" w:rsidRDefault="00C258F0" w:rsidP="00C258F0">
      <w:pPr>
        <w:pStyle w:val="Text2"/>
        <w:rPr>
          <w:noProof/>
        </w:rPr>
      </w:pPr>
      <w:r w:rsidRPr="005C6D28">
        <w:rPr>
          <w:noProof/>
        </w:rPr>
        <w:t>Navedite premašuje li proračun državnih potpora programa 750 milijuna EUR tijekom ukupnog trajanja programa (tj. ukupnog trajanja predmetnog programa i svih prethodnih programa kojima je obuhvaćen sličan cilj i zemljopisno područje, počevši od 1. siječnja 2022.):</w:t>
      </w:r>
    </w:p>
    <w:p w14:paraId="05105337" w14:textId="77777777" w:rsidR="00C258F0" w:rsidRPr="005C6D28" w:rsidRDefault="00C066D4" w:rsidP="00C258F0">
      <w:pPr>
        <w:pStyle w:val="Tiret2"/>
        <w:rPr>
          <w:noProof/>
        </w:rPr>
      </w:pPr>
      <w:sdt>
        <w:sdtPr>
          <w:rPr>
            <w:noProof/>
          </w:rPr>
          <w:id w:val="-1616747592"/>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da</w:t>
      </w:r>
    </w:p>
    <w:p w14:paraId="5E5510AA" w14:textId="77777777" w:rsidR="00C258F0" w:rsidRPr="005C6D28" w:rsidRDefault="00C066D4" w:rsidP="00C258F0">
      <w:pPr>
        <w:pStyle w:val="Tiret2"/>
        <w:rPr>
          <w:noProof/>
        </w:rPr>
      </w:pPr>
      <w:sdt>
        <w:sdtPr>
          <w:rPr>
            <w:noProof/>
          </w:rPr>
          <w:id w:val="-719355448"/>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ne</w:t>
      </w:r>
    </w:p>
    <w:p w14:paraId="006D1FA1"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Navedite je li predmetni program nešto od sljedećega (točka 143. RAG-a):</w:t>
      </w:r>
    </w:p>
    <w:p w14:paraId="75631D1B" w14:textId="77777777" w:rsidR="00C258F0" w:rsidRPr="005C6D28" w:rsidRDefault="00C258F0" w:rsidP="00C258F0">
      <w:pPr>
        <w:ind w:left="1701" w:hanging="283"/>
        <w:rPr>
          <w:noProof/>
          <w:szCs w:val="24"/>
        </w:rPr>
      </w:pPr>
      <w:r w:rsidRPr="005C6D28">
        <w:rPr>
          <w:noProof/>
        </w:rPr>
        <w:t>program s novim obilježjima</w:t>
      </w:r>
    </w:p>
    <w:p w14:paraId="766088CC" w14:textId="77777777" w:rsidR="00C258F0" w:rsidRPr="005C6D28" w:rsidRDefault="00C066D4" w:rsidP="00C258F0">
      <w:pPr>
        <w:pStyle w:val="Tiret2"/>
        <w:rPr>
          <w:noProof/>
        </w:rPr>
      </w:pPr>
      <w:sdt>
        <w:sdtPr>
          <w:rPr>
            <w:noProof/>
          </w:rPr>
          <w:id w:val="-1332977954"/>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da</w:t>
      </w:r>
    </w:p>
    <w:p w14:paraId="706CE661" w14:textId="77777777" w:rsidR="00C258F0" w:rsidRPr="005C6D28" w:rsidRDefault="00C066D4" w:rsidP="00C258F0">
      <w:pPr>
        <w:pStyle w:val="Tiret2"/>
        <w:rPr>
          <w:noProof/>
        </w:rPr>
      </w:pPr>
      <w:sdt>
        <w:sdtPr>
          <w:rPr>
            <w:noProof/>
          </w:rPr>
          <w:id w:val="-721906136"/>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ne</w:t>
      </w:r>
    </w:p>
    <w:p w14:paraId="1CCF0336" w14:textId="77777777" w:rsidR="00C258F0" w:rsidRPr="005C6D28" w:rsidRDefault="00C258F0" w:rsidP="00C258F0">
      <w:pPr>
        <w:ind w:left="1418"/>
        <w:rPr>
          <w:noProof/>
          <w:szCs w:val="24"/>
        </w:rPr>
      </w:pPr>
      <w:r w:rsidRPr="005C6D28">
        <w:rPr>
          <w:noProof/>
        </w:rPr>
        <w:t>program kojim su predviđene znatne tržišne, tehnološke ili regulatorne promjene</w:t>
      </w:r>
    </w:p>
    <w:p w14:paraId="4CBAFEB7" w14:textId="77777777" w:rsidR="00C258F0" w:rsidRPr="005C6D28" w:rsidRDefault="00C066D4" w:rsidP="00C258F0">
      <w:pPr>
        <w:pStyle w:val="Tiret2"/>
        <w:rPr>
          <w:noProof/>
        </w:rPr>
      </w:pPr>
      <w:sdt>
        <w:sdtPr>
          <w:rPr>
            <w:noProof/>
          </w:rPr>
          <w:id w:val="1495136313"/>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da</w:t>
      </w:r>
    </w:p>
    <w:p w14:paraId="3CCA92FD" w14:textId="77777777" w:rsidR="00C258F0" w:rsidRPr="005C6D28" w:rsidRDefault="00C066D4" w:rsidP="00C258F0">
      <w:pPr>
        <w:pStyle w:val="Tiret2"/>
        <w:rPr>
          <w:noProof/>
        </w:rPr>
      </w:pPr>
      <w:sdt>
        <w:sdtPr>
          <w:rPr>
            <w:noProof/>
          </w:rPr>
          <w:id w:val="120039535"/>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ne</w:t>
      </w:r>
    </w:p>
    <w:p w14:paraId="4275CBF3" w14:textId="77777777" w:rsidR="00C258F0" w:rsidRPr="005C6D28" w:rsidRDefault="00C258F0" w:rsidP="00C258F0">
      <w:pPr>
        <w:ind w:left="1843" w:hanging="425"/>
        <w:rPr>
          <w:noProof/>
          <w:szCs w:val="24"/>
        </w:rPr>
      </w:pPr>
      <w:r w:rsidRPr="005C6D28">
        <w:rPr>
          <w:noProof/>
        </w:rPr>
        <w:t>program za koji se planira evaluacija iako ne ispunjava kriterije navedene u točkama 5.1.2. i 5.1.3.</w:t>
      </w:r>
    </w:p>
    <w:p w14:paraId="3C1E1387" w14:textId="77777777" w:rsidR="00C258F0" w:rsidRPr="005C6D28" w:rsidRDefault="00C066D4" w:rsidP="00C258F0">
      <w:pPr>
        <w:pStyle w:val="Tiret2"/>
        <w:rPr>
          <w:noProof/>
        </w:rPr>
      </w:pPr>
      <w:sdt>
        <w:sdtPr>
          <w:rPr>
            <w:noProof/>
          </w:rPr>
          <w:id w:val="2060281245"/>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da</w:t>
      </w:r>
    </w:p>
    <w:p w14:paraId="68DFEB3F" w14:textId="77777777" w:rsidR="00C258F0" w:rsidRPr="005C6D28" w:rsidRDefault="00C066D4" w:rsidP="00C258F0">
      <w:pPr>
        <w:pStyle w:val="Tiret2"/>
        <w:rPr>
          <w:noProof/>
        </w:rPr>
      </w:pPr>
      <w:sdt>
        <w:sdtPr>
          <w:rPr>
            <w:noProof/>
          </w:rPr>
          <w:id w:val="-1829899886"/>
          <w14:checkbox>
            <w14:checked w14:val="0"/>
            <w14:checkedState w14:val="2612" w14:font="MS Gothic"/>
            <w14:uncheckedState w14:val="2610" w14:font="MS Gothic"/>
          </w14:checkbox>
        </w:sdtPr>
        <w:sdtEndPr/>
        <w:sdtContent>
          <w:r w:rsidR="00C258F0" w:rsidRPr="005C6D28">
            <w:rPr>
              <w:rFonts w:ascii="MS Gothic" w:eastAsia="MS Gothic" w:hAnsi="MS Gothic" w:hint="eastAsia"/>
              <w:noProof/>
            </w:rPr>
            <w:t>☐</w:t>
          </w:r>
        </w:sdtContent>
      </w:sdt>
      <w:r w:rsidR="00C258F0" w:rsidRPr="005C6D28">
        <w:rPr>
          <w:noProof/>
        </w:rPr>
        <w:t xml:space="preserve"> ne</w:t>
      </w:r>
    </w:p>
    <w:p w14:paraId="7150BB7B" w14:textId="77777777" w:rsidR="00C258F0" w:rsidRPr="005C6D28" w:rsidRDefault="00C258F0" w:rsidP="00C258F0">
      <w:pPr>
        <w:ind w:left="1418"/>
        <w:rPr>
          <w:b/>
          <w:noProof/>
        </w:rPr>
      </w:pPr>
      <w:r w:rsidRPr="005C6D28">
        <w:rPr>
          <w:noProof/>
        </w:rPr>
        <w:t xml:space="preserve">Ako ste odgovorili „ne” na pitanje 5.1.1. i „da” na bilo koje pitanje u okviru pitanja 5.1.2. ili 5.1.3., program se mora razmotriti za </w:t>
      </w:r>
      <w:r w:rsidRPr="005C6D28">
        <w:rPr>
          <w:i/>
          <w:noProof/>
        </w:rPr>
        <w:t>ex post</w:t>
      </w:r>
      <w:r w:rsidRPr="005C6D28">
        <w:rPr>
          <w:noProof/>
        </w:rPr>
        <w:t xml:space="preserve"> evaluaciju (točka 143. RAG-a). U tom slučaju odgovorite „da” na odgovarajuće pitanje u obrascu za prijavu s općim informacijama, navedite razdoblje evaluacije i dostavite nacrt plana evaluacije u Prilogu I. – dijelu III.8.</w:t>
      </w:r>
      <w:r w:rsidRPr="005C6D28">
        <w:rPr>
          <w:rStyle w:val="FootnoteReference"/>
          <w:noProof/>
        </w:rPr>
        <w:footnoteReference w:id="28"/>
      </w:r>
      <w:r w:rsidRPr="005C6D28">
        <w:rPr>
          <w:noProof/>
          <w:color w:val="000000"/>
        </w:rPr>
        <w:t xml:space="preserve"> </w:t>
      </w:r>
    </w:p>
    <w:p w14:paraId="41355798" w14:textId="77777777" w:rsidR="00C258F0" w:rsidRPr="005C6D28" w:rsidRDefault="00C258F0" w:rsidP="00C258F0">
      <w:pPr>
        <w:pStyle w:val="NormalKop111"/>
        <w:numPr>
          <w:ilvl w:val="1"/>
          <w:numId w:val="22"/>
        </w:numPr>
        <w:tabs>
          <w:tab w:val="clear" w:pos="720"/>
          <w:tab w:val="clear" w:pos="1440"/>
          <w:tab w:val="clear" w:pos="1797"/>
        </w:tabs>
        <w:ind w:left="709" w:hanging="709"/>
        <w:rPr>
          <w:b/>
          <w:noProof/>
        </w:rPr>
      </w:pPr>
      <w:r w:rsidRPr="005C6D28">
        <w:rPr>
          <w:b/>
          <w:noProof/>
        </w:rPr>
        <w:t>Izvješćivanje i praćenje</w:t>
      </w:r>
    </w:p>
    <w:p w14:paraId="366E2A13" w14:textId="77777777" w:rsidR="00C258F0" w:rsidRPr="005C6D28" w:rsidRDefault="00C258F0" w:rsidP="00C258F0">
      <w:pPr>
        <w:pStyle w:val="NormalKop111"/>
        <w:numPr>
          <w:ilvl w:val="2"/>
          <w:numId w:val="22"/>
        </w:numPr>
        <w:tabs>
          <w:tab w:val="clear" w:pos="720"/>
          <w:tab w:val="clear" w:pos="1440"/>
          <w:tab w:val="clear" w:pos="1797"/>
        </w:tabs>
        <w:ind w:left="1418" w:hanging="698"/>
        <w:rPr>
          <w:noProof/>
        </w:rPr>
      </w:pPr>
      <w:r w:rsidRPr="005C6D28">
        <w:rPr>
          <w:noProof/>
        </w:rPr>
        <w:t>Potvrdite da ćete:</w:t>
      </w:r>
    </w:p>
    <w:p w14:paraId="3B50FC29" w14:textId="77777777" w:rsidR="00C258F0" w:rsidRPr="005C6D28" w:rsidRDefault="00C258F0" w:rsidP="00C258F0">
      <w:pPr>
        <w:pStyle w:val="Tiret0"/>
        <w:rPr>
          <w:noProof/>
        </w:rPr>
      </w:pPr>
      <w:r w:rsidRPr="005C6D28">
        <w:rPr>
          <w:noProof/>
        </w:rPr>
        <w:t>Komisiji podnositi godišnja izvješća u skladu s Uredbom (EU) 2015/1589 i Uredbom (EZ) br. 794/2004 i</w:t>
      </w:r>
    </w:p>
    <w:p w14:paraId="2CE681E5" w14:textId="77777777" w:rsidR="00C258F0" w:rsidRPr="005C6D28" w:rsidRDefault="00C258F0" w:rsidP="00C258F0">
      <w:pPr>
        <w:pStyle w:val="Normal127"/>
        <w:ind w:left="1778"/>
        <w:rPr>
          <w:noProof/>
        </w:rPr>
      </w:pPr>
      <w:r w:rsidRPr="005C6D28">
        <w:rPr>
          <w:noProof/>
        </w:rPr>
        <w:tab/>
      </w:r>
      <w:sdt>
        <w:sdtPr>
          <w:rPr>
            <w:noProof/>
          </w:rPr>
          <w:id w:val="-1014452315"/>
          <w14:checkbox>
            <w14:checked w14:val="0"/>
            <w14:checkedState w14:val="2612" w14:font="MS Gothic"/>
            <w14:uncheckedState w14:val="2610" w14:font="MS Gothic"/>
          </w14:checkbox>
        </w:sdtPr>
        <w:sdtEndPr/>
        <w:sdtContent>
          <w:r w:rsidRPr="005C6D28">
            <w:rPr>
              <w:rFonts w:ascii="MS Gothic" w:eastAsia="MS Gothic" w:hAnsi="MS Gothic" w:hint="eastAsia"/>
              <w:noProof/>
            </w:rPr>
            <w:t>☐</w:t>
          </w:r>
        </w:sdtContent>
      </w:sdt>
      <w:r w:rsidRPr="005C6D28">
        <w:rPr>
          <w:noProof/>
        </w:rPr>
        <w:t xml:space="preserve"> da</w:t>
      </w:r>
    </w:p>
    <w:p w14:paraId="2211EF3B" w14:textId="77777777" w:rsidR="00C258F0" w:rsidRPr="005C6D28" w:rsidRDefault="00C258F0" w:rsidP="00C258F0">
      <w:pPr>
        <w:pStyle w:val="Tiret0"/>
        <w:numPr>
          <w:ilvl w:val="0"/>
          <w:numId w:val="28"/>
        </w:numPr>
        <w:rPr>
          <w:noProof/>
        </w:rPr>
      </w:pPr>
      <w:r w:rsidRPr="005C6D28">
        <w:rPr>
          <w:noProof/>
        </w:rPr>
        <w:t>najmanje deset godina od datuma dodjele bilo koje potpore u okviru programa čuvati detaljnu evidenciju s informacijama i popratnom dokumentacijom koja je nužna kako bi se utvrdilo da su ispunjeni svi uvjeti za spojivost potpore i da ćete je dostaviti Komisiji na zahtjev.</w:t>
      </w:r>
    </w:p>
    <w:p w14:paraId="25137763" w14:textId="77777777" w:rsidR="00C258F0" w:rsidRPr="005C6D28" w:rsidRDefault="00C258F0" w:rsidP="00C258F0">
      <w:pPr>
        <w:pStyle w:val="Normal127"/>
        <w:ind w:left="1778"/>
        <w:rPr>
          <w:noProof/>
        </w:rPr>
      </w:pPr>
      <w:r w:rsidRPr="005C6D28">
        <w:rPr>
          <w:noProof/>
        </w:rPr>
        <w:lastRenderedPageBreak/>
        <w:tab/>
      </w:r>
      <w:sdt>
        <w:sdtPr>
          <w:rPr>
            <w:noProof/>
          </w:rPr>
          <w:id w:val="479968380"/>
          <w14:checkbox>
            <w14:checked w14:val="0"/>
            <w14:checkedState w14:val="2612" w14:font="MS Gothic"/>
            <w14:uncheckedState w14:val="2610" w14:font="MS Gothic"/>
          </w14:checkbox>
        </w:sdtPr>
        <w:sdtEndPr/>
        <w:sdtContent>
          <w:r w:rsidRPr="005C6D28">
            <w:rPr>
              <w:rFonts w:ascii="MS Gothic" w:eastAsia="MS Gothic" w:hAnsi="MS Gothic" w:hint="eastAsia"/>
              <w:noProof/>
            </w:rPr>
            <w:t>☐</w:t>
          </w:r>
        </w:sdtContent>
      </w:sdt>
      <w:r w:rsidRPr="005C6D28">
        <w:rPr>
          <w:noProof/>
        </w:rPr>
        <w:t xml:space="preserve"> da</w:t>
      </w:r>
    </w:p>
    <w:p w14:paraId="08D334F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3C9E6" w14:textId="77777777" w:rsidR="00C258F0" w:rsidRDefault="00C258F0" w:rsidP="00C258F0">
      <w:pPr>
        <w:spacing w:before="0" w:after="0"/>
      </w:pPr>
      <w:r>
        <w:separator/>
      </w:r>
    </w:p>
  </w:endnote>
  <w:endnote w:type="continuationSeparator" w:id="0">
    <w:p w14:paraId="5C81E13B" w14:textId="77777777" w:rsidR="00C258F0" w:rsidRDefault="00C258F0" w:rsidP="00C258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4224" w14:textId="77777777" w:rsidR="00C258F0" w:rsidRDefault="00C25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1F537" w14:textId="298E4646" w:rsidR="00C258F0" w:rsidRDefault="00C258F0" w:rsidP="00C258F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BEEC" w14:textId="77777777" w:rsidR="00C258F0" w:rsidRDefault="00C25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BDF72" w14:textId="77777777" w:rsidR="00C258F0" w:rsidRDefault="00C258F0" w:rsidP="00C258F0">
      <w:pPr>
        <w:spacing w:before="0" w:after="0"/>
      </w:pPr>
      <w:r>
        <w:separator/>
      </w:r>
    </w:p>
  </w:footnote>
  <w:footnote w:type="continuationSeparator" w:id="0">
    <w:p w14:paraId="61C2C630" w14:textId="77777777" w:rsidR="00C258F0" w:rsidRDefault="00C258F0" w:rsidP="00C258F0">
      <w:pPr>
        <w:spacing w:before="0" w:after="0"/>
      </w:pPr>
      <w:r>
        <w:continuationSeparator/>
      </w:r>
    </w:p>
  </w:footnote>
  <w:footnote w:id="1">
    <w:p w14:paraId="76D7D958" w14:textId="77777777" w:rsidR="00C258F0" w:rsidRPr="00AF634A" w:rsidRDefault="00C258F0" w:rsidP="00C258F0">
      <w:pPr>
        <w:pStyle w:val="FootnoteText"/>
        <w:tabs>
          <w:tab w:val="left" w:pos="284"/>
        </w:tabs>
        <w:spacing w:after="120"/>
        <w:ind w:left="284" w:hanging="284"/>
      </w:pPr>
      <w:r>
        <w:rPr>
          <w:rStyle w:val="FootnoteReference"/>
        </w:rPr>
        <w:footnoteRef/>
      </w:r>
      <w:r>
        <w:tab/>
        <w:t>Smjernice za regionalne državne potpore (SL C 153, 29.4.2021., str. 1.).</w:t>
      </w:r>
    </w:p>
  </w:footnote>
  <w:footnote w:id="2">
    <w:p w14:paraId="51B9F0A4" w14:textId="77777777" w:rsidR="00C258F0" w:rsidRPr="00DB5B5A" w:rsidRDefault="00C258F0" w:rsidP="00C258F0">
      <w:pPr>
        <w:pStyle w:val="FootnoteText"/>
        <w:tabs>
          <w:tab w:val="left" w:pos="284"/>
        </w:tabs>
        <w:spacing w:after="120"/>
        <w:ind w:left="284" w:hanging="284"/>
      </w:pPr>
      <w:r>
        <w:rPr>
          <w:rStyle w:val="FootnoteReference"/>
        </w:rPr>
        <w:footnoteRef/>
      </w:r>
      <w:r>
        <w:tab/>
        <w:t>Uredba Komisije (EU) br. 651/2014 od 17. lipnja 2014. o ocjenjivanju određenih kategorija potpora spojivima s unutarnjim tržištem u primjeni članaka 107. i 108. Ugovora (SL L 187, 26.6.2014., str. 1., ELI: </w:t>
      </w:r>
      <w:hyperlink r:id="rId1" w:tooltip="ELI URI za pristup dokumentu." w:history="1">
        <w:r>
          <w:rPr>
            <w:rStyle w:val="Hyperlink"/>
          </w:rPr>
          <w:t>http://data.europa.eu/eli/reg/2014/651/oj</w:t>
        </w:r>
      </w:hyperlink>
      <w:r>
        <w:t>).</w:t>
      </w:r>
    </w:p>
  </w:footnote>
  <w:footnote w:id="3">
    <w:p w14:paraId="65519E2A" w14:textId="77777777" w:rsidR="00C258F0" w:rsidRPr="00E4500B" w:rsidRDefault="00C258F0" w:rsidP="00C258F0">
      <w:pPr>
        <w:pStyle w:val="FootnoteText"/>
        <w:tabs>
          <w:tab w:val="left" w:pos="284"/>
        </w:tabs>
        <w:spacing w:after="120"/>
        <w:ind w:left="284" w:hanging="284"/>
      </w:pPr>
      <w:r>
        <w:rPr>
          <w:rStyle w:val="FootnoteReference"/>
        </w:rPr>
        <w:footnoteRef/>
      </w:r>
      <w:r>
        <w:tab/>
        <w:t xml:space="preserve">Uredba Komisije (EU) br. 2023/2831 od 13. prosinca 2023. o primjeni članaka 107. i 108. Ugovora o funkcioniranju Europske unije na </w:t>
      </w:r>
      <w:r>
        <w:rPr>
          <w:i/>
          <w:iCs/>
        </w:rPr>
        <w:t>de minimis</w:t>
      </w:r>
      <w:r>
        <w:t xml:space="preserve"> potpore (SL L, 2023/2831, 15.12.2023., ELI: </w:t>
      </w:r>
      <w:hyperlink r:id="rId2" w:tgtFrame="_blank" w:tooltip="ELI URI za pristup dokumentu." w:history="1">
        <w:r>
          <w:rPr>
            <w:rStyle w:val="Hyperlink"/>
          </w:rPr>
          <w:t>http://data.europa.eu/eli/reg/2023/2831/oj</w:t>
        </w:r>
      </w:hyperlink>
      <w:r>
        <w:t xml:space="preserve">). </w:t>
      </w:r>
    </w:p>
  </w:footnote>
  <w:footnote w:id="4">
    <w:p w14:paraId="072DA241" w14:textId="77777777" w:rsidR="00C258F0" w:rsidRPr="00EF64F0" w:rsidRDefault="00C258F0" w:rsidP="00C258F0">
      <w:pPr>
        <w:pStyle w:val="FootnoteText"/>
        <w:tabs>
          <w:tab w:val="left" w:pos="284"/>
        </w:tabs>
        <w:spacing w:after="120"/>
        <w:ind w:left="284" w:hanging="284"/>
        <w:rPr>
          <w:color w:val="000000"/>
        </w:rPr>
      </w:pPr>
      <w:r>
        <w:rPr>
          <w:rStyle w:val="FootnoteReference"/>
        </w:rPr>
        <w:footnoteRef/>
      </w:r>
      <w:r>
        <w:tab/>
        <w:t>Kako je definirano u Smjernicama o državnim potporama za sanaciju i restrukturiranje nefinancijskih poduzetnika u teškoćama (SL C 249, 31.7.2014., str. 1.).</w:t>
      </w:r>
    </w:p>
  </w:footnote>
  <w:footnote w:id="5">
    <w:p w14:paraId="7CB647CA" w14:textId="77777777" w:rsidR="00C258F0" w:rsidRPr="00EF64F0" w:rsidRDefault="00C258F0" w:rsidP="00C258F0">
      <w:pPr>
        <w:pStyle w:val="FootnoteText"/>
        <w:tabs>
          <w:tab w:val="left" w:pos="284"/>
        </w:tabs>
        <w:spacing w:after="120"/>
        <w:ind w:left="284" w:hanging="284"/>
        <w:rPr>
          <w:color w:val="000000"/>
        </w:rPr>
      </w:pPr>
      <w:r>
        <w:rPr>
          <w:rStyle w:val="FootnoteReference"/>
        </w:rPr>
        <w:footnoteRef/>
      </w:r>
      <w:r>
        <w:tab/>
        <w:t>Kako je definirano u Prilogu VI. RAG-u.</w:t>
      </w:r>
    </w:p>
  </w:footnote>
  <w:footnote w:id="6">
    <w:p w14:paraId="77ED08B7" w14:textId="77777777" w:rsidR="00C258F0" w:rsidRPr="00DB5B5A" w:rsidRDefault="00C258F0" w:rsidP="00C258F0">
      <w:pPr>
        <w:pStyle w:val="FootnoteText"/>
        <w:tabs>
          <w:tab w:val="left" w:pos="284"/>
        </w:tabs>
        <w:spacing w:after="120"/>
        <w:ind w:left="284" w:hanging="284"/>
      </w:pPr>
      <w:r>
        <w:rPr>
          <w:rStyle w:val="FootnoteReference"/>
        </w:rPr>
        <w:footnoteRef/>
      </w:r>
      <w:r>
        <w:tab/>
        <w:t>„Lignit” znači niskorazredni C ili ortolignit i niskorazredni B ili metalignit kako je definirano međunarodnim sustavom kodificiranja ugljena koji je utvrdila Gospodarska komisija Ujedinjenih naroda za Europu.</w:t>
      </w:r>
    </w:p>
  </w:footnote>
  <w:footnote w:id="7">
    <w:p w14:paraId="5B7449E4" w14:textId="77777777" w:rsidR="00C258F0" w:rsidRPr="00DB5B5A" w:rsidRDefault="00C258F0" w:rsidP="00C258F0">
      <w:pPr>
        <w:pStyle w:val="FootnoteText"/>
        <w:tabs>
          <w:tab w:val="left" w:pos="284"/>
        </w:tabs>
        <w:spacing w:after="120"/>
        <w:ind w:left="284" w:hanging="284"/>
      </w:pPr>
      <w:r>
        <w:rPr>
          <w:rStyle w:val="FootnoteReference"/>
        </w:rPr>
        <w:footnoteRef/>
      </w:r>
      <w:r>
        <w:tab/>
        <w:t>„Ugljen” znači visokokvalitetni, srednjekvalitetni i niskokvalitetni ugljen kategorije A i B kako je definirano međunarodnim sustavom kodificiranja ugljena koji je utvrdila Gospodarska komisija Ujedinjenih naroda za Europu i koji je objašnjen u Odluci Vijeća od 10. prosinca 2010. o državnim potporama za zatvaranje nekonkurentnih rudnika ugljena (SL L 336, 21.12.2010., str. 24.).</w:t>
      </w:r>
    </w:p>
  </w:footnote>
  <w:footnote w:id="8">
    <w:p w14:paraId="1743A1F2" w14:textId="77777777" w:rsidR="00C258F0" w:rsidRPr="00DB5B5A" w:rsidRDefault="00C258F0" w:rsidP="00C258F0">
      <w:pPr>
        <w:pStyle w:val="FootnoteText"/>
        <w:tabs>
          <w:tab w:val="left" w:pos="284"/>
        </w:tabs>
        <w:spacing w:after="120"/>
        <w:ind w:left="284" w:hanging="284"/>
      </w:pPr>
      <w:r>
        <w:rPr>
          <w:rStyle w:val="FootnoteReference"/>
        </w:rPr>
        <w:footnoteRef/>
      </w:r>
      <w:r>
        <w:tab/>
        <w:t>U skladu s Uredbom (EU) br. 1379/2013 Europskog parlamenta i Vijeća od 11. prosinca 2013. o zajedničkom uređenju tržišta proizvodima ribarstva i akvakulture, izmjeni uredbi Vijeća (EZ) br. 1184/2006 i (EZ) br. 1224/2009 i stavljanju izvan snage Uredbe Vijeća (EZ) br. 104/2000 (SL L 354, 28.12.2013., str. 1.).</w:t>
      </w:r>
    </w:p>
  </w:footnote>
  <w:footnote w:id="9">
    <w:p w14:paraId="18A88CE5" w14:textId="77777777" w:rsidR="00C258F0" w:rsidRPr="00DB5B5A" w:rsidRDefault="00C258F0" w:rsidP="00C258F0">
      <w:pPr>
        <w:pStyle w:val="FootnoteText"/>
        <w:tabs>
          <w:tab w:val="left" w:pos="284"/>
        </w:tabs>
        <w:spacing w:after="120"/>
        <w:ind w:left="284" w:hanging="284"/>
      </w:pPr>
      <w:r>
        <w:rPr>
          <w:rStyle w:val="FootnoteReference"/>
        </w:rPr>
        <w:footnoteRef/>
      </w:r>
      <w:r>
        <w:tab/>
        <w:t>Na državne potpore za primarnu proizvodnju, preradu i stavljanje na tržište poljoprivrednih proizvoda čiji su rezultat poljoprivredni proizvodi iz Priloga I. Ugovoru te za šumarstvo primjenjuju se pravila utvrđena u Smjernicama o državnim potporama u sektoru poljoprivrede (SL C 204, 1.7.2014., str. 1.).</w:t>
      </w:r>
    </w:p>
  </w:footnote>
  <w:footnote w:id="10">
    <w:p w14:paraId="1531E7B7" w14:textId="77777777" w:rsidR="00C258F0" w:rsidRPr="005C73FC" w:rsidRDefault="00C258F0" w:rsidP="00C258F0">
      <w:pPr>
        <w:pStyle w:val="FootnoteText"/>
        <w:tabs>
          <w:tab w:val="left" w:pos="284"/>
        </w:tabs>
        <w:spacing w:after="120"/>
        <w:ind w:left="284" w:hanging="284"/>
      </w:pPr>
      <w:r>
        <w:rPr>
          <w:rStyle w:val="FootnoteReference"/>
        </w:rPr>
        <w:footnoteRef/>
      </w:r>
      <w:r>
        <w:tab/>
        <w:t>RAG se primjenjuje na programe potpora kojima se potpore dodjeljuju djelatnostima izvan područja primjene članka 42. Ugovora i koji se sufinanciraju iz Europskog poljoprivrednog fonda za ruralni razvoj (EPFRR) ili se odobravaju kao dodatno nacionalno financiranje uz takve sufinancirane mjere, osim ako je sektorskim pravilima određeno drukčije.</w:t>
      </w:r>
    </w:p>
  </w:footnote>
  <w:footnote w:id="11">
    <w:p w14:paraId="369305A3" w14:textId="77777777" w:rsidR="00C258F0" w:rsidRPr="003F69C7" w:rsidRDefault="00C258F0" w:rsidP="00C258F0">
      <w:pPr>
        <w:pStyle w:val="FootnoteText"/>
        <w:tabs>
          <w:tab w:val="left" w:pos="284"/>
        </w:tabs>
        <w:spacing w:after="120"/>
        <w:ind w:left="284" w:hanging="284"/>
      </w:pPr>
      <w:r>
        <w:rPr>
          <w:rStyle w:val="FootnoteReference"/>
        </w:rPr>
        <w:footnoteRef/>
      </w:r>
      <w:r>
        <w:tab/>
        <w:t>Prijevoz znači prijevoz putnika u zrakoplovnom, pomorskom, cestovnom i željezničkom prometu ili unutarnjim plovnim putovima ili usluge prijevoza tereta za najam ili naknadu. Prijevozna infrastruktura obuhvaćena posebnim smjernicama, kao što su zračne luke, također je isključena iz ovih Smjernica (vidjeti Komunikaciju Komisije – Smjernice o državnim potporama zračnim lukama i zračnim prijevoznicima (SL C 99, 4.4.2014., str. 3.)).</w:t>
      </w:r>
    </w:p>
  </w:footnote>
  <w:footnote w:id="12">
    <w:p w14:paraId="414C13DC" w14:textId="77777777" w:rsidR="00C258F0" w:rsidRPr="00DB5B5A" w:rsidRDefault="00C258F0" w:rsidP="00C258F0">
      <w:pPr>
        <w:pStyle w:val="FootnoteText"/>
        <w:tabs>
          <w:tab w:val="left" w:pos="284"/>
        </w:tabs>
        <w:spacing w:after="120"/>
        <w:ind w:left="284" w:hanging="284"/>
      </w:pPr>
      <w:r>
        <w:rPr>
          <w:rStyle w:val="FootnoteReference"/>
        </w:rPr>
        <w:footnoteRef/>
      </w:r>
      <w:r>
        <w:tab/>
        <w:t>Komunikacija Komisije – Smjernice EU-a za primjenu pravila o državnim potporama u odnosu na brzi razvoj širokopojasnih mreža (SL C 25, 26.1.2013., str. 1.).</w:t>
      </w:r>
    </w:p>
  </w:footnote>
  <w:footnote w:id="13">
    <w:p w14:paraId="1EA2AA01" w14:textId="77777777" w:rsidR="00C258F0" w:rsidRPr="003F69C7" w:rsidRDefault="00C258F0" w:rsidP="00C258F0">
      <w:pPr>
        <w:pStyle w:val="FootnoteText"/>
        <w:tabs>
          <w:tab w:val="left" w:pos="284"/>
        </w:tabs>
        <w:spacing w:after="120"/>
        <w:ind w:left="284" w:hanging="284"/>
      </w:pPr>
      <w:r>
        <w:rPr>
          <w:rStyle w:val="FootnoteReference"/>
        </w:rPr>
        <w:footnoteRef/>
      </w:r>
      <w:r>
        <w:tab/>
        <w:t>Komisija će spojivost državnih potpora energetskom sektoru ocjenjivati na temelju Smjernica o državnim potporama za zaštitu okoliša i energiju za razdoblje 2014.–2020. (SL C 200, 28.6.2014., str. 1.).</w:t>
      </w:r>
    </w:p>
  </w:footnote>
  <w:footnote w:id="14">
    <w:p w14:paraId="61609BFD" w14:textId="77777777" w:rsidR="00C258F0" w:rsidRPr="00527F99" w:rsidRDefault="00C258F0" w:rsidP="00C258F0">
      <w:pPr>
        <w:pStyle w:val="FootnoteText"/>
        <w:tabs>
          <w:tab w:val="left" w:pos="284"/>
        </w:tabs>
        <w:spacing w:after="120"/>
        <w:ind w:left="284" w:hanging="284"/>
      </w:pPr>
      <w:r>
        <w:rPr>
          <w:rStyle w:val="FootnoteReference"/>
        </w:rPr>
        <w:footnoteRef/>
      </w:r>
      <w:r>
        <w:tab/>
        <w:t>„MSP-ovi” znači poduzetnici koji ispunjavaju uvjete propisane Preporukom Komisije od 6. svibnja 2003. o definiciji mikro, malih i srednjih poduzeća (SL L 124, 20.5.2003., str. 36.).</w:t>
      </w:r>
    </w:p>
  </w:footnote>
  <w:footnote w:id="15">
    <w:p w14:paraId="524D1885" w14:textId="77777777" w:rsidR="00C258F0" w:rsidRPr="0056721A" w:rsidRDefault="00C258F0" w:rsidP="00C258F0">
      <w:pPr>
        <w:pStyle w:val="FootnoteText"/>
        <w:tabs>
          <w:tab w:val="left" w:pos="284"/>
        </w:tabs>
        <w:spacing w:after="120"/>
        <w:ind w:left="284" w:hanging="284"/>
      </w:pPr>
      <w:r>
        <w:rPr>
          <w:rStyle w:val="FootnoteReference"/>
        </w:rPr>
        <w:footnoteRef/>
      </w:r>
      <w:r>
        <w:tab/>
        <w:t>Samo stjecanje udjela u poduzetniku ne smatra se početnim ulaganjem.</w:t>
      </w:r>
    </w:p>
  </w:footnote>
  <w:footnote w:id="16">
    <w:p w14:paraId="72B27776" w14:textId="77777777" w:rsidR="00C258F0" w:rsidRPr="008A59EC" w:rsidRDefault="00C258F0" w:rsidP="00C258F0">
      <w:pPr>
        <w:pStyle w:val="FootnoteText"/>
        <w:tabs>
          <w:tab w:val="left" w:pos="284"/>
        </w:tabs>
        <w:spacing w:after="120"/>
        <w:ind w:left="284" w:hanging="284"/>
      </w:pPr>
      <w:r>
        <w:rPr>
          <w:rStyle w:val="FootnoteReference"/>
        </w:rPr>
        <w:footnoteRef/>
      </w:r>
      <w:r>
        <w:tab/>
        <w:t>„Ista ili slična djelatnost” znači djelatnost iz istog razreda (četveroznamenkasta brojčana oznaka) statističke klasifikacije ekonomskih djelatnosti NACE Rev. 2.</w:t>
      </w:r>
    </w:p>
  </w:footnote>
  <w:footnote w:id="17">
    <w:p w14:paraId="439DDF34" w14:textId="77777777" w:rsidR="00C258F0" w:rsidRPr="000D0DAA" w:rsidRDefault="00C258F0" w:rsidP="00C258F0">
      <w:pPr>
        <w:pStyle w:val="FootnoteText"/>
        <w:tabs>
          <w:tab w:val="left" w:pos="284"/>
        </w:tabs>
        <w:spacing w:after="120"/>
        <w:ind w:left="284" w:hanging="284"/>
      </w:pPr>
      <w:r>
        <w:rPr>
          <w:rStyle w:val="FootnoteReference"/>
        </w:rPr>
        <w:footnoteRef/>
      </w:r>
      <w:r>
        <w:tab/>
        <w:t>Samo stjecanje udjela u poduzetniku ne smatra se početnim ulaganjem kojim se pokreće nova gospodarska djelatnost.</w:t>
      </w:r>
    </w:p>
  </w:footnote>
  <w:footnote w:id="18">
    <w:p w14:paraId="1A88B91E" w14:textId="77777777" w:rsidR="00C258F0" w:rsidRPr="00D35343" w:rsidRDefault="00C258F0" w:rsidP="00C258F0">
      <w:pPr>
        <w:pStyle w:val="FootnoteText"/>
        <w:tabs>
          <w:tab w:val="left" w:pos="284"/>
        </w:tabs>
        <w:spacing w:after="120"/>
        <w:ind w:left="284" w:hanging="284"/>
      </w:pPr>
      <w:r>
        <w:rPr>
          <w:rStyle w:val="FootnoteReference"/>
        </w:rPr>
        <w:footnoteRef/>
      </w:r>
      <w:r>
        <w:tab/>
        <w:t>Ta se odredba ne mora primjenjivati na MSP-ove ili u slučaju stjecanja poslovne jedinice.</w:t>
      </w:r>
    </w:p>
  </w:footnote>
  <w:footnote w:id="19">
    <w:p w14:paraId="0A32649B" w14:textId="77777777" w:rsidR="00C258F0" w:rsidRPr="006D6383" w:rsidRDefault="00C258F0" w:rsidP="00C258F0">
      <w:pPr>
        <w:pStyle w:val="FootnoteText"/>
        <w:tabs>
          <w:tab w:val="left" w:pos="284"/>
        </w:tabs>
        <w:ind w:left="284" w:hanging="284"/>
      </w:pPr>
      <w:r>
        <w:rPr>
          <w:rStyle w:val="FootnoteReference"/>
        </w:rPr>
        <w:footnoteRef/>
      </w:r>
      <w:r>
        <w:tab/>
        <w:t>Točkom 34. RAG-a predviđeno je da nematerijalna imovina koja se može uzeti u obzir za izračun troškova ulaganja mora ostati povezana s predmetnim područjem i da se ne smije prenositi na druga područja. U tu svrhu nematerijalna imovina mora ispuniti sljedeće uvjete:</w:t>
      </w:r>
    </w:p>
    <w:p w14:paraId="4A4A4455" w14:textId="77777777" w:rsidR="00C258F0" w:rsidRDefault="00C258F0" w:rsidP="00C258F0">
      <w:pPr>
        <w:pStyle w:val="FootnoteText"/>
        <w:numPr>
          <w:ilvl w:val="0"/>
          <w:numId w:val="23"/>
        </w:numPr>
        <w:tabs>
          <w:tab w:val="left" w:pos="709"/>
        </w:tabs>
        <w:spacing w:before="0"/>
        <w:ind w:left="709" w:hanging="425"/>
      </w:pPr>
      <w:r>
        <w:t>mora se koristiti isključivo u poslovnoj jedinici koja prima potporu;</w:t>
      </w:r>
    </w:p>
    <w:p w14:paraId="1E2C494C" w14:textId="77777777" w:rsidR="00C258F0" w:rsidRDefault="00C258F0" w:rsidP="00C258F0">
      <w:pPr>
        <w:pStyle w:val="FootnoteText"/>
        <w:numPr>
          <w:ilvl w:val="0"/>
          <w:numId w:val="23"/>
        </w:numPr>
        <w:tabs>
          <w:tab w:val="left" w:pos="709"/>
        </w:tabs>
        <w:spacing w:before="0"/>
        <w:ind w:left="709" w:hanging="425"/>
      </w:pPr>
      <w:r>
        <w:t>mora se moći amortizirati;</w:t>
      </w:r>
    </w:p>
    <w:p w14:paraId="2404A8FA" w14:textId="77777777" w:rsidR="00C258F0" w:rsidRDefault="00C258F0" w:rsidP="00C258F0">
      <w:pPr>
        <w:pStyle w:val="FootnoteText"/>
        <w:numPr>
          <w:ilvl w:val="0"/>
          <w:numId w:val="23"/>
        </w:numPr>
        <w:tabs>
          <w:tab w:val="left" w:pos="709"/>
        </w:tabs>
        <w:spacing w:before="0"/>
        <w:ind w:left="709" w:hanging="425"/>
      </w:pPr>
      <w:r>
        <w:t>mora biti kupljena po tržišnim uvjetima od trećih osoba koje nisu povezane s kupcem;</w:t>
      </w:r>
    </w:p>
    <w:p w14:paraId="61D3336B" w14:textId="77777777" w:rsidR="00C258F0" w:rsidRPr="006D6383" w:rsidRDefault="00C258F0" w:rsidP="00C258F0">
      <w:pPr>
        <w:pStyle w:val="FootnoteText"/>
        <w:numPr>
          <w:ilvl w:val="0"/>
          <w:numId w:val="23"/>
        </w:numPr>
        <w:tabs>
          <w:tab w:val="left" w:pos="709"/>
        </w:tabs>
        <w:spacing w:before="0" w:after="120"/>
        <w:ind w:left="709" w:hanging="425"/>
      </w:pPr>
      <w:r>
        <w:t>mora biti uključena u imovinu poduzetnika koji prima potporu i mora najmanje pet godina ostati povezana s projektom za koji se potpora dodjeljuje (tri godine za MSP-ove).</w:t>
      </w:r>
    </w:p>
  </w:footnote>
  <w:footnote w:id="20">
    <w:p w14:paraId="7E687D56" w14:textId="77777777" w:rsidR="00C258F0" w:rsidRDefault="00C258F0" w:rsidP="00C258F0">
      <w:pPr>
        <w:pStyle w:val="FootnoteText"/>
        <w:tabs>
          <w:tab w:val="left" w:pos="284"/>
        </w:tabs>
        <w:spacing w:after="120"/>
        <w:ind w:left="284" w:hanging="284"/>
      </w:pPr>
      <w:r>
        <w:rPr>
          <w:rStyle w:val="FootnoteReference"/>
        </w:rPr>
        <w:footnoteRef/>
      </w:r>
      <w:r>
        <w:tab/>
        <w:t xml:space="preserve">To se pitanje ne odnosi na subvencionirane zajmove, javne zajmove za vlasnički kapital ili javne sudjelujuće udjele koji nisu u skladu s načelom tržišnog ulagača, državna jamstva s elementima potpore ni na javnu potporu dodijeljenu u skladu s pravilom </w:t>
      </w:r>
      <w:r>
        <w:rPr>
          <w:i/>
        </w:rPr>
        <w:t>de minimis</w:t>
      </w:r>
      <w:r>
        <w:t>.</w:t>
      </w:r>
    </w:p>
  </w:footnote>
  <w:footnote w:id="21">
    <w:p w14:paraId="099D5AE9" w14:textId="77777777" w:rsidR="00C258F0" w:rsidRDefault="00C258F0" w:rsidP="00C258F0">
      <w:pPr>
        <w:pStyle w:val="FootnoteText"/>
        <w:tabs>
          <w:tab w:val="left" w:pos="284"/>
        </w:tabs>
        <w:spacing w:after="120"/>
        <w:ind w:left="284" w:hanging="284"/>
      </w:pPr>
      <w:r>
        <w:rPr>
          <w:rStyle w:val="FootnoteReference"/>
        </w:rPr>
        <w:footnoteRef/>
      </w:r>
      <w:r>
        <w:tab/>
        <w:t>Protučinjenični scenarij vjerodostojan je ako je istinit i ako se odnosi na čimbenike važne za donošenje odluke u trenutku kad korisnik donosi odluku o ulaganju.</w:t>
      </w:r>
    </w:p>
  </w:footnote>
  <w:footnote w:id="22">
    <w:p w14:paraId="74B54A20" w14:textId="77777777" w:rsidR="00C258F0" w:rsidRDefault="00C258F0" w:rsidP="00C258F0">
      <w:pPr>
        <w:pStyle w:val="FootnoteText"/>
        <w:tabs>
          <w:tab w:val="left" w:pos="284"/>
        </w:tabs>
        <w:spacing w:after="120"/>
        <w:ind w:left="284" w:hanging="284"/>
      </w:pPr>
      <w:r>
        <w:rPr>
          <w:rStyle w:val="FootnoteReference"/>
        </w:rPr>
        <w:footnoteRef/>
      </w:r>
      <w:r>
        <w:tab/>
        <w:t xml:space="preserve">U tu se svrhu može, među ostalim, navesti i upućivanje na procjene učinka predloženog programa ili </w:t>
      </w:r>
      <w:r>
        <w:rPr>
          <w:i/>
          <w:iCs/>
        </w:rPr>
        <w:t>ex post</w:t>
      </w:r>
      <w:r>
        <w:t xml:space="preserve"> evaluacije sličnih programa.</w:t>
      </w:r>
    </w:p>
  </w:footnote>
  <w:footnote w:id="23">
    <w:p w14:paraId="69E99147" w14:textId="77777777" w:rsidR="00C258F0" w:rsidRPr="00F800EA" w:rsidRDefault="00C258F0" w:rsidP="00C258F0">
      <w:pPr>
        <w:pStyle w:val="FootnoteText"/>
        <w:tabs>
          <w:tab w:val="left" w:pos="284"/>
        </w:tabs>
        <w:spacing w:after="120"/>
        <w:ind w:left="284" w:hanging="284"/>
      </w:pPr>
      <w:r>
        <w:rPr>
          <w:rStyle w:val="FootnoteReference"/>
        </w:rPr>
        <w:footnoteRef/>
      </w:r>
      <w:r>
        <w:tab/>
        <w:t>Na primjer, izravna bespovratna sredstva, oslobođenje od poreza, doprinosa za socijalno osiguranje ili drugih obveznih davanja ili njihovo smanjenje, stavljanje na raspolaganje zemljišta, robe ili usluga po povlaštenim cijenama itd.</w:t>
      </w:r>
    </w:p>
  </w:footnote>
  <w:footnote w:id="24">
    <w:p w14:paraId="4077411C" w14:textId="77777777" w:rsidR="00C258F0" w:rsidRPr="001D303A" w:rsidRDefault="00C258F0" w:rsidP="00C258F0">
      <w:pPr>
        <w:pStyle w:val="FootnoteText"/>
        <w:tabs>
          <w:tab w:val="left" w:pos="284"/>
        </w:tabs>
        <w:spacing w:after="120"/>
        <w:ind w:left="284" w:hanging="284"/>
      </w:pPr>
      <w:r>
        <w:rPr>
          <w:rStyle w:val="FootnoteReference"/>
        </w:rPr>
        <w:footnoteRef/>
      </w:r>
      <w:r>
        <w:tab/>
        <w:t>Na primjer, niskokamatni zajmovi ili popusti na kamate, državna jamstva, kupnja udjela ili drugi oblik ubrizgavanja kapitala uz povoljne uvjete.</w:t>
      </w:r>
    </w:p>
  </w:footnote>
  <w:footnote w:id="25">
    <w:p w14:paraId="3A09B3BA" w14:textId="77777777" w:rsidR="00C258F0" w:rsidRPr="004E27C0" w:rsidRDefault="00C258F0" w:rsidP="00C258F0">
      <w:pPr>
        <w:pStyle w:val="FootnoteText"/>
        <w:tabs>
          <w:tab w:val="left" w:pos="284"/>
        </w:tabs>
        <w:spacing w:after="120"/>
        <w:ind w:left="284" w:hanging="284"/>
      </w:pPr>
      <w:r>
        <w:rPr>
          <w:rStyle w:val="FootnoteReference"/>
        </w:rPr>
        <w:footnoteRef/>
      </w:r>
      <w:r>
        <w:tab/>
        <w:t xml:space="preserve">Kako bi Komisiji omogućila da ocijeni vjerojatne negativne učinke, država članica može dostaviti sve raspoložive procjene učinka i </w:t>
      </w:r>
      <w:r>
        <w:rPr>
          <w:i/>
          <w:iCs/>
        </w:rPr>
        <w:t>ex post</w:t>
      </w:r>
      <w:r>
        <w:t xml:space="preserve"> evaluacije provedene za slične prethodne programe.</w:t>
      </w:r>
    </w:p>
  </w:footnote>
  <w:footnote w:id="26">
    <w:p w14:paraId="2140B745" w14:textId="77777777" w:rsidR="00C258F0" w:rsidRPr="004A0583" w:rsidRDefault="00C258F0" w:rsidP="00C258F0">
      <w:pPr>
        <w:pStyle w:val="FootnoteText"/>
        <w:tabs>
          <w:tab w:val="left" w:pos="284"/>
        </w:tabs>
        <w:spacing w:after="120"/>
        <w:ind w:left="284" w:hanging="284"/>
      </w:pPr>
      <w:r>
        <w:rPr>
          <w:rStyle w:val="FootnoteReference"/>
        </w:rPr>
        <w:footnoteRef/>
      </w:r>
      <w:r>
        <w:tab/>
        <w:t>Kako je definirano u Prilogu III. Uredbi Komisije (EU) br. 651/2014 od 17. lipnja 2014. o ocjenjivanju određenih kategorija potpora spojivima s unutarnjim tržištem u primjeni članaka 107. i 108. Ugovora.</w:t>
      </w:r>
    </w:p>
  </w:footnote>
  <w:footnote w:id="27">
    <w:p w14:paraId="4AC39D98" w14:textId="77777777" w:rsidR="00C258F0" w:rsidRPr="004A0583" w:rsidRDefault="00C258F0" w:rsidP="00C258F0">
      <w:pPr>
        <w:pStyle w:val="FootnoteText"/>
        <w:tabs>
          <w:tab w:val="left" w:pos="284"/>
        </w:tabs>
        <w:spacing w:after="120"/>
        <w:ind w:left="284" w:hanging="284"/>
      </w:pPr>
      <w:r>
        <w:rPr>
          <w:rStyle w:val="FootnoteReference"/>
        </w:rPr>
        <w:footnoteRef/>
      </w:r>
      <w:r>
        <w:tab/>
        <w:t>Kako je definirano u Prilogu III. Uredbi Komisije (EU) br. 651/2014 od 17. lipnja 2014. o ocjenjivanju određenih kategorija potpora spojivima s unutarnjim tržištem u primjeni članaka 107. i 108. Ugovora.</w:t>
      </w:r>
    </w:p>
  </w:footnote>
  <w:footnote w:id="28">
    <w:p w14:paraId="4D81ADA7" w14:textId="77777777" w:rsidR="00C258F0" w:rsidRDefault="00C258F0" w:rsidP="00C258F0">
      <w:pPr>
        <w:pStyle w:val="FootnoteText"/>
        <w:tabs>
          <w:tab w:val="left" w:pos="284"/>
        </w:tabs>
        <w:spacing w:after="120"/>
        <w:ind w:left="284" w:hanging="284"/>
      </w:pPr>
      <w:r>
        <w:rPr>
          <w:rStyle w:val="FootnoteReference"/>
        </w:rPr>
        <w:footnoteRef/>
      </w:r>
      <w:r>
        <w:tab/>
        <w:t xml:space="preserve">Za uputu vidjeti metodološke smjernice za evaluaciju u području državnih potpora: </w:t>
      </w:r>
      <w:hyperlink r:id="rId3" w:history="1">
        <w:r>
          <w:rPr>
            <w:rStyle w:val="Hyperlink"/>
          </w:rPr>
          <w:t>https://competition-policy.ec.europa.eu/system/files/2021-04/modernisation_evaluation_methodology_en.pdf</w:t>
        </w:r>
      </w:hyperlink>
      <w:r>
        <w:t xml:space="preserve">.  Plan evaluacije (Prilog I. – dio III.8.) dostavlja se u obrascu koji je dostupan na sljedećoj poveznici: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E7C44" w14:textId="77777777" w:rsidR="00C258F0" w:rsidRDefault="00C258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CFAE" w14:textId="77777777" w:rsidR="00C258F0" w:rsidRDefault="00C258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410A2" w14:textId="77777777" w:rsidR="00C258F0" w:rsidRDefault="00C258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16625407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0131574">
    <w:abstractNumId w:val="16"/>
  </w:num>
  <w:num w:numId="24" w16cid:durableId="443841875">
    <w:abstractNumId w:val="19"/>
  </w:num>
  <w:num w:numId="25" w16cid:durableId="1329017080">
    <w:abstractNumId w:val="9"/>
  </w:num>
  <w:num w:numId="26" w16cid:durableId="1732196069">
    <w:abstractNumId w:val="15"/>
    <w:lvlOverride w:ilvl="0">
      <w:startOverride w:val="1"/>
    </w:lvlOverride>
  </w:num>
  <w:num w:numId="27" w16cid:durableId="329530260">
    <w:abstractNumId w:val="23"/>
    <w:lvlOverride w:ilvl="0">
      <w:startOverride w:val="1"/>
    </w:lvlOverride>
  </w:num>
  <w:num w:numId="28" w16cid:durableId="1925188953">
    <w:abstractNumId w:val="23"/>
  </w:num>
  <w:num w:numId="29" w16cid:durableId="673462313">
    <w:abstractNumId w:val="15"/>
  </w:num>
  <w:num w:numId="30" w16cid:durableId="1908688432">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258F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535"/>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1AE2"/>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066D4"/>
    <w:rsid w:val="00C10D6B"/>
    <w:rsid w:val="00C21EF9"/>
    <w:rsid w:val="00C24465"/>
    <w:rsid w:val="00C258F0"/>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3B795"/>
  <w15:chartTrackingRefBased/>
  <w15:docId w15:val="{A9E26CA5-3DC0-4C95-B591-761D7AA6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8F0"/>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258F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258F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258F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258F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258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58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58F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58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58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258F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258F0"/>
    <w:rPr>
      <w:i/>
      <w:iCs/>
      <w:color w:val="365F91" w:themeColor="accent1" w:themeShade="BF"/>
    </w:rPr>
  </w:style>
  <w:style w:type="paragraph" w:styleId="IntenseQuote">
    <w:name w:val="Intense Quote"/>
    <w:basedOn w:val="Normal"/>
    <w:next w:val="Normal"/>
    <w:link w:val="IntenseQuoteChar"/>
    <w:uiPriority w:val="30"/>
    <w:qFormat/>
    <w:rsid w:val="00C258F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258F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258F0"/>
    <w:rPr>
      <w:b/>
      <w:bCs/>
      <w:smallCaps/>
      <w:color w:val="365F91" w:themeColor="accent1" w:themeShade="BF"/>
      <w:spacing w:val="5"/>
    </w:rPr>
  </w:style>
  <w:style w:type="paragraph" w:customStyle="1" w:styleId="Text2">
    <w:name w:val="Text 2"/>
    <w:basedOn w:val="Normal"/>
    <w:rsid w:val="00C258F0"/>
    <w:pPr>
      <w:ind w:left="1417"/>
    </w:pPr>
  </w:style>
  <w:style w:type="paragraph" w:customStyle="1" w:styleId="Tiret0">
    <w:name w:val="Tiret 0"/>
    <w:basedOn w:val="Normal"/>
    <w:rsid w:val="00C258F0"/>
    <w:pPr>
      <w:numPr>
        <w:numId w:val="27"/>
      </w:numPr>
    </w:pPr>
  </w:style>
  <w:style w:type="paragraph" w:customStyle="1" w:styleId="Tiret1">
    <w:name w:val="Tiret 1"/>
    <w:basedOn w:val="Normal"/>
    <w:rsid w:val="00C258F0"/>
    <w:pPr>
      <w:numPr>
        <w:numId w:val="26"/>
      </w:numPr>
    </w:pPr>
  </w:style>
  <w:style w:type="paragraph" w:customStyle="1" w:styleId="Tiret2">
    <w:name w:val="Tiret 2"/>
    <w:basedOn w:val="Normal"/>
    <w:rsid w:val="00C258F0"/>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2888</Words>
  <Characters>17418</Characters>
  <DocSecurity>0</DocSecurity>
  <Lines>395</Lines>
  <Paragraphs>228</Paragraphs>
  <ScaleCrop>false</ScaleCrop>
  <LinksUpToDate>false</LinksUpToDate>
  <CharactersWithSpaces>20078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2025-05-28T15:25:00Z</dcterms:created>
  <dcterms:modified xsi:type="dcterms:W3CDTF">2025-05-30T10:56:00Z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2025-05-28T15:26:55Z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409d4011-aeae-41df-8610-b9ce5bdc112c</vt:lpwstr>
  </property>
  <property fmtid="{D5CDD505-2E9C-101B-9397-08002B2CF9AE}" pid="8" name="MSIP_Label_6bd9ddd1-4d20-43f6-abfa-fc3c07406f94_ContentBits">
    <vt:lpwstr>0</vt:lpwstr>
  </property>
</Properties>
</file>