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641C5" w14:textId="301828CE" w:rsidR="0082257B" w:rsidRPr="00373AB8" w:rsidRDefault="0082257B" w:rsidP="0082257B">
      <w:pPr>
        <w:pStyle w:val="ManualHeading2"/>
        <w:rPr>
          <w:noProof/>
          <w:color w:val="000000"/>
          <w:szCs w:val="24"/>
        </w:rPr>
      </w:pPr>
      <w:r w:rsidRPr="00373AB8">
        <w:rPr>
          <w:noProof/>
        </w:rPr>
        <w:t>OSA III.1.B</w:t>
      </w:r>
      <w:r>
        <w:rPr>
          <w:noProof/>
        </w:rPr>
        <w:t xml:space="preserve"> - </w:t>
      </w:r>
      <w:r w:rsidRPr="00373AB8">
        <w:rPr>
          <w:noProof/>
          <w:color w:val="000000"/>
        </w:rPr>
        <w:t>TÄIENDAVA TEABE LEHT INVESTEERINGUTEKS ETTENÄHTUD REGIONAALABI KAVADE KOHTA</w:t>
      </w:r>
    </w:p>
    <w:p w14:paraId="1325C6C3" w14:textId="77777777" w:rsidR="0082257B" w:rsidRPr="00373AB8" w:rsidRDefault="0082257B" w:rsidP="0082257B">
      <w:pPr>
        <w:rPr>
          <w:i/>
          <w:iCs/>
          <w:noProof/>
          <w:szCs w:val="24"/>
        </w:rPr>
      </w:pPr>
      <w:r w:rsidRPr="00373AB8">
        <w:rPr>
          <w:i/>
          <w:noProof/>
        </w:rPr>
        <w:t>See täiendava teabe leht ei ole kohustuslik, kuid selle täitmine lisaks üldteabe vormile on soovitatav, kui teatatakse investeeringuteks ettenähtud üksikabist, mis on hõlmatud 1. jaanuarist 2022 kehtivate regionaalabi suunistega (edaspidi „RAG“)</w:t>
      </w:r>
      <w:r w:rsidRPr="00373AB8">
        <w:rPr>
          <w:rStyle w:val="FootnoteReference"/>
          <w:noProof/>
        </w:rPr>
        <w:footnoteReference w:id="1"/>
      </w:r>
      <w:r w:rsidRPr="00373AB8">
        <w:rPr>
          <w:i/>
          <w:noProof/>
        </w:rPr>
        <w:t xml:space="preserve">. </w:t>
      </w:r>
    </w:p>
    <w:p w14:paraId="2B46D00D" w14:textId="3C5EC529" w:rsidR="0082257B" w:rsidRPr="00373AB8" w:rsidRDefault="0082257B" w:rsidP="0082257B">
      <w:pPr>
        <w:pStyle w:val="Heading1"/>
        <w:rPr>
          <w:noProof/>
        </w:rPr>
      </w:pPr>
      <w:r w:rsidRPr="00373AB8">
        <w:rPr>
          <w:noProof/>
        </w:rPr>
        <w:t>Kohaldamisala</w:t>
      </w:r>
    </w:p>
    <w:p w14:paraId="56A858D0" w14:textId="77777777" w:rsidR="0082257B" w:rsidRPr="00373AB8" w:rsidRDefault="0082257B" w:rsidP="0082257B">
      <w:pPr>
        <w:pStyle w:val="NormalKop111"/>
        <w:numPr>
          <w:ilvl w:val="1"/>
          <w:numId w:val="22"/>
        </w:numPr>
        <w:tabs>
          <w:tab w:val="clear" w:pos="720"/>
          <w:tab w:val="clear" w:pos="1440"/>
          <w:tab w:val="clear" w:pos="1797"/>
        </w:tabs>
        <w:ind w:left="709" w:hanging="709"/>
        <w:rPr>
          <w:noProof/>
        </w:rPr>
      </w:pPr>
      <w:r w:rsidRPr="00373AB8">
        <w:rPr>
          <w:noProof/>
        </w:rPr>
        <w:t>Põhjused, miks kavast teatatakse, mitte ei rakendata seda üldise grupierandi määruse</w:t>
      </w:r>
      <w:r w:rsidRPr="00373AB8">
        <w:rPr>
          <w:rStyle w:val="FootnoteReference"/>
          <w:rFonts w:cs="Times New Roman"/>
          <w:noProof/>
        </w:rPr>
        <w:footnoteReference w:id="2"/>
      </w:r>
      <w:r w:rsidRPr="00373AB8">
        <w:rPr>
          <w:noProof/>
        </w:rPr>
        <w:t xml:space="preserve"> või vähese tähtsusega abi määruse alusel</w:t>
      </w:r>
      <w:r w:rsidRPr="00373AB8">
        <w:rPr>
          <w:rStyle w:val="FootnoteReference"/>
          <w:noProof/>
        </w:rPr>
        <w:footnoteReference w:id="3"/>
      </w:r>
      <w:r w:rsidRPr="00373AB8">
        <w:rPr>
          <w:noProof/>
        </w:rPr>
        <w:t>:</w:t>
      </w:r>
    </w:p>
    <w:p w14:paraId="13641874" w14:textId="77777777" w:rsidR="0082257B" w:rsidRPr="00373AB8" w:rsidRDefault="007A7CA7" w:rsidP="0082257B">
      <w:pPr>
        <w:pStyle w:val="Tiret2"/>
        <w:rPr>
          <w:noProof/>
        </w:rPr>
      </w:pPr>
      <w:sdt>
        <w:sdtPr>
          <w:rPr>
            <w:noProof/>
          </w:rPr>
          <w:id w:val="1152482089"/>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Kas teatis esitatakse valdkondliku kava kohta? Kui esitatakse, siis märkige kavaga hõlmatud sektor (NACE kood):</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2257B" w:rsidRPr="00373AB8" w14:paraId="758FE045" w14:textId="77777777" w:rsidTr="003C7157">
        <w:tc>
          <w:tcPr>
            <w:tcW w:w="7672" w:type="dxa"/>
            <w:shd w:val="clear" w:color="auto" w:fill="auto"/>
          </w:tcPr>
          <w:p w14:paraId="020ADB68" w14:textId="77777777" w:rsidR="0082257B" w:rsidRPr="00373AB8" w:rsidRDefault="0082257B" w:rsidP="003C7157">
            <w:pPr>
              <w:rPr>
                <w:noProof/>
              </w:rPr>
            </w:pPr>
            <w:r w:rsidRPr="00373AB8">
              <w:rPr>
                <w:noProof/>
              </w:rPr>
              <w:t xml:space="preserve">… </w:t>
            </w:r>
          </w:p>
        </w:tc>
      </w:tr>
    </w:tbl>
    <w:p w14:paraId="2B9BBFD0" w14:textId="77777777" w:rsidR="0082257B" w:rsidRPr="00373AB8" w:rsidRDefault="007A7CA7" w:rsidP="0082257B">
      <w:pPr>
        <w:pStyle w:val="Tiret2"/>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rFonts w:ascii="MS Gothic" w:hAnsi="MS Gothic"/>
          <w:noProof/>
        </w:rPr>
        <w:t xml:space="preserve"> </w:t>
      </w:r>
      <w:r w:rsidR="0082257B" w:rsidRPr="00373AB8">
        <w:rPr>
          <w:noProof/>
        </w:rPr>
        <w:t xml:space="preserve">Muu. Täpsustage: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2257B" w:rsidRPr="00373AB8" w14:paraId="3DAE02E2" w14:textId="77777777" w:rsidTr="003C7157">
        <w:tc>
          <w:tcPr>
            <w:tcW w:w="8391" w:type="dxa"/>
            <w:shd w:val="clear" w:color="auto" w:fill="auto"/>
          </w:tcPr>
          <w:p w14:paraId="111A6C00" w14:textId="77777777" w:rsidR="0082257B" w:rsidRPr="00373AB8" w:rsidRDefault="0082257B" w:rsidP="003C7157">
            <w:pPr>
              <w:rPr>
                <w:noProof/>
              </w:rPr>
            </w:pPr>
            <w:r w:rsidRPr="00373AB8">
              <w:rPr>
                <w:noProof/>
              </w:rPr>
              <w:t xml:space="preserve">… </w:t>
            </w:r>
          </w:p>
        </w:tc>
      </w:tr>
    </w:tbl>
    <w:p w14:paraId="57B16B7F" w14:textId="77777777" w:rsidR="0082257B" w:rsidRPr="00373AB8" w:rsidRDefault="0082257B" w:rsidP="0082257B">
      <w:pPr>
        <w:pStyle w:val="NormalKop111"/>
        <w:numPr>
          <w:ilvl w:val="1"/>
          <w:numId w:val="22"/>
        </w:numPr>
        <w:tabs>
          <w:tab w:val="clear" w:pos="720"/>
          <w:tab w:val="clear" w:pos="1440"/>
          <w:tab w:val="clear" w:pos="1797"/>
        </w:tabs>
        <w:ind w:left="709" w:hanging="709"/>
        <w:rPr>
          <w:noProof/>
        </w:rPr>
      </w:pPr>
      <w:r w:rsidRPr="00373AB8">
        <w:rPr>
          <w:noProof/>
        </w:rPr>
        <w:t>Teatatud kava kohaldamisala</w:t>
      </w:r>
    </w:p>
    <w:p w14:paraId="4C75C758"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color w:val="000000"/>
        </w:rPr>
        <w:t>Kinnitage</w:t>
      </w:r>
      <w:r w:rsidRPr="00373AB8">
        <w:rPr>
          <w:noProof/>
        </w:rPr>
        <w:t>, et teatatud kava õiguslikus aluses on ette nähtud, et komisjonile tuleb teatada abisaajale antavast üksikabist, kui kõigist allikatest antud abi ületab eraldi teavitamiskünnist, mis on investeeringuteks ette nähtud regionaalabi jaoks sätestatud üldises grupierandi määruses (RAG punkt 22).</w:t>
      </w:r>
    </w:p>
    <w:p w14:paraId="5D6D5D7F" w14:textId="77777777" w:rsidR="0082257B" w:rsidRPr="00373AB8" w:rsidRDefault="0082257B" w:rsidP="0082257B">
      <w:pPr>
        <w:pStyle w:val="Text2"/>
        <w:rPr>
          <w:noProof/>
        </w:rPr>
      </w:pPr>
      <w:r w:rsidRPr="00373AB8">
        <w:rPr>
          <w:noProof/>
          <w:color w:val="000000"/>
        </w:rPr>
        <w:t>Esitage</w:t>
      </w:r>
      <w:r w:rsidRPr="00373AB8">
        <w:rPr>
          <w:noProof/>
        </w:rPr>
        <w:t xml:space="preserve"> viide õigusliku aluse vastavale sättele: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2257B" w:rsidRPr="00373AB8" w14:paraId="31A1F1B8" w14:textId="77777777" w:rsidTr="003C7157">
        <w:tc>
          <w:tcPr>
            <w:tcW w:w="8391" w:type="dxa"/>
            <w:shd w:val="clear" w:color="auto" w:fill="auto"/>
          </w:tcPr>
          <w:p w14:paraId="47A8CBDE" w14:textId="77777777" w:rsidR="0082257B" w:rsidRPr="00373AB8" w:rsidRDefault="0082257B" w:rsidP="003C7157">
            <w:pPr>
              <w:rPr>
                <w:noProof/>
              </w:rPr>
            </w:pPr>
            <w:r w:rsidRPr="00373AB8">
              <w:rPr>
                <w:noProof/>
              </w:rPr>
              <w:t xml:space="preserve">… </w:t>
            </w:r>
          </w:p>
        </w:tc>
      </w:tr>
    </w:tbl>
    <w:p w14:paraId="2CC2F32A"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color w:val="000000"/>
        </w:rPr>
        <w:t>Kinnitage</w:t>
      </w:r>
      <w:r w:rsidRPr="00373AB8">
        <w:rPr>
          <w:noProof/>
        </w:rPr>
        <w:t>, et teatatud kava õiguslikus aluses on ette nähtud, et komisjonile tuleb teatada üksikabist, välja arvatud juhul, kui abisaaja 1) on kinnitanud, et kahe aasta jooksul enne abitaotluse esitamist ei ole toimunud ümberpaigutamist ettevõttesse, kuhu tehakse taotletud abi alusel alginvesteering, ning 2) on võtnud kohustuse mitte paigutada oma tegevust ümber kuni kahe aasta jooksul pärast seda, kui alginvesteering on lõpule viidud (RAG punkt 23).</w:t>
      </w:r>
    </w:p>
    <w:p w14:paraId="4DF76B7F"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 xml:space="preserve">Esitage viide õigusliku aluse vastavale sättele: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2257B" w:rsidRPr="00373AB8" w14:paraId="695A9260" w14:textId="77777777" w:rsidTr="003C7157">
        <w:tc>
          <w:tcPr>
            <w:tcW w:w="8391" w:type="dxa"/>
            <w:shd w:val="clear" w:color="auto" w:fill="auto"/>
          </w:tcPr>
          <w:p w14:paraId="27E3CDCA" w14:textId="77777777" w:rsidR="0082257B" w:rsidRPr="00373AB8" w:rsidRDefault="0082257B" w:rsidP="003C7157">
            <w:pPr>
              <w:rPr>
                <w:noProof/>
              </w:rPr>
            </w:pPr>
            <w:r w:rsidRPr="00373AB8">
              <w:rPr>
                <w:noProof/>
              </w:rPr>
              <w:t xml:space="preserve">… </w:t>
            </w:r>
          </w:p>
        </w:tc>
      </w:tr>
    </w:tbl>
    <w:p w14:paraId="52AE5E77"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lastRenderedPageBreak/>
        <w:t>Kinnitage, et teatatud abikavas on sätestatud, et investeeringuteks ette nähtud regionaalabi ei anta allpool loetletud äriühingute ja sektorite kategooriatele. Nimetage iga kategooria juures kava õigusliku aluse vastav säte.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82257B" w:rsidRPr="00373AB8" w14:paraId="0D27E574" w14:textId="77777777" w:rsidTr="003C7157">
        <w:tc>
          <w:tcPr>
            <w:tcW w:w="3221" w:type="pct"/>
            <w:shd w:val="clear" w:color="auto" w:fill="auto"/>
          </w:tcPr>
          <w:p w14:paraId="066AE329" w14:textId="43C3D331" w:rsidR="0082257B" w:rsidRPr="00373AB8" w:rsidRDefault="0082257B" w:rsidP="003C7157">
            <w:pPr>
              <w:pStyle w:val="ManualNumPar3"/>
              <w:rPr>
                <w:noProof/>
              </w:rPr>
            </w:pPr>
            <w:r w:rsidRPr="00373AB8">
              <w:rPr>
                <w:noProof/>
              </w:rPr>
              <w:t>Äriühingute ja sektorite kategooriad, mida kava ei hõlma</w:t>
            </w:r>
          </w:p>
        </w:tc>
        <w:tc>
          <w:tcPr>
            <w:tcW w:w="1779" w:type="pct"/>
            <w:shd w:val="clear" w:color="auto" w:fill="auto"/>
          </w:tcPr>
          <w:p w14:paraId="4D994CE6" w14:textId="47FEFB3C" w:rsidR="0082257B" w:rsidRPr="00373AB8" w:rsidRDefault="0082257B" w:rsidP="003C7157">
            <w:pPr>
              <w:pStyle w:val="ManualNumPar3"/>
              <w:rPr>
                <w:noProof/>
              </w:rPr>
            </w:pPr>
            <w:r w:rsidRPr="00373AB8">
              <w:rPr>
                <w:noProof/>
              </w:rPr>
              <w:t>Kava õigusliku aluse vastav säte</w:t>
            </w:r>
          </w:p>
        </w:tc>
      </w:tr>
      <w:tr w:rsidR="0082257B" w:rsidRPr="00373AB8" w14:paraId="52119114" w14:textId="77777777" w:rsidTr="003C7157">
        <w:tc>
          <w:tcPr>
            <w:tcW w:w="3221" w:type="pct"/>
            <w:shd w:val="clear" w:color="auto" w:fill="auto"/>
          </w:tcPr>
          <w:p w14:paraId="4E9A5B12" w14:textId="4A89DF88" w:rsidR="0082257B" w:rsidRPr="00373AB8" w:rsidRDefault="0082257B" w:rsidP="003C7157">
            <w:pPr>
              <w:pStyle w:val="ManualNumPar3"/>
              <w:rPr>
                <w:noProof/>
              </w:rPr>
            </w:pPr>
            <w:r w:rsidRPr="00373AB8">
              <w:rPr>
                <w:noProof/>
              </w:rPr>
              <w:t>Raskustes olevad äriühingud</w:t>
            </w:r>
            <w:r w:rsidRPr="00373AB8">
              <w:rPr>
                <w:rStyle w:val="FootnoteReference"/>
                <w:noProof/>
              </w:rPr>
              <w:footnoteReference w:id="4"/>
            </w:r>
          </w:p>
        </w:tc>
        <w:tc>
          <w:tcPr>
            <w:tcW w:w="1779" w:type="pct"/>
            <w:shd w:val="clear" w:color="auto" w:fill="auto"/>
          </w:tcPr>
          <w:p w14:paraId="12A4A9C4" w14:textId="26D728F5" w:rsidR="0082257B" w:rsidRPr="00373AB8" w:rsidRDefault="0082257B" w:rsidP="003C7157">
            <w:pPr>
              <w:pStyle w:val="ManualNumPar3"/>
              <w:rPr>
                <w:noProof/>
                <w:sz w:val="22"/>
              </w:rPr>
            </w:pPr>
          </w:p>
        </w:tc>
      </w:tr>
      <w:tr w:rsidR="0082257B" w:rsidRPr="00373AB8" w14:paraId="407CB6BD" w14:textId="77777777" w:rsidTr="003C7157">
        <w:tc>
          <w:tcPr>
            <w:tcW w:w="3221" w:type="pct"/>
            <w:shd w:val="clear" w:color="auto" w:fill="auto"/>
          </w:tcPr>
          <w:p w14:paraId="06F7940C" w14:textId="2651515B" w:rsidR="0082257B" w:rsidRPr="00373AB8" w:rsidRDefault="0082257B" w:rsidP="003C7157">
            <w:pPr>
              <w:pStyle w:val="ManualNumPar3"/>
              <w:rPr>
                <w:noProof/>
              </w:rPr>
            </w:pPr>
            <w:r w:rsidRPr="00373AB8">
              <w:rPr>
                <w:noProof/>
              </w:rPr>
              <w:t>Terasesektor</w:t>
            </w:r>
            <w:r w:rsidRPr="00373AB8">
              <w:rPr>
                <w:rStyle w:val="FootnoteReference"/>
                <w:noProof/>
              </w:rPr>
              <w:footnoteReference w:id="5"/>
            </w:r>
            <w:r w:rsidRPr="00373AB8">
              <w:rPr>
                <w:noProof/>
              </w:rPr>
              <w:t xml:space="preserve"> </w:t>
            </w:r>
          </w:p>
        </w:tc>
        <w:tc>
          <w:tcPr>
            <w:tcW w:w="1779" w:type="pct"/>
            <w:shd w:val="clear" w:color="auto" w:fill="auto"/>
          </w:tcPr>
          <w:p w14:paraId="62F7336D" w14:textId="274AFC99" w:rsidR="0082257B" w:rsidRPr="00373AB8" w:rsidRDefault="0082257B" w:rsidP="003C7157">
            <w:pPr>
              <w:pStyle w:val="ManualNumPar3"/>
              <w:rPr>
                <w:noProof/>
                <w:sz w:val="22"/>
              </w:rPr>
            </w:pPr>
          </w:p>
        </w:tc>
      </w:tr>
      <w:tr w:rsidR="0082257B" w:rsidRPr="00373AB8" w14:paraId="32A58C9A" w14:textId="77777777" w:rsidTr="003C7157">
        <w:tc>
          <w:tcPr>
            <w:tcW w:w="3221" w:type="pct"/>
            <w:shd w:val="clear" w:color="auto" w:fill="auto"/>
          </w:tcPr>
          <w:p w14:paraId="0B7B37D8" w14:textId="18AAC795" w:rsidR="0082257B" w:rsidRPr="00373AB8" w:rsidRDefault="0082257B" w:rsidP="003C7157">
            <w:pPr>
              <w:pStyle w:val="ManualNumPar3"/>
              <w:rPr>
                <w:noProof/>
              </w:rPr>
            </w:pPr>
            <w:r w:rsidRPr="00373AB8">
              <w:rPr>
                <w:noProof/>
              </w:rPr>
              <w:t>Pruunsöe sektor</w:t>
            </w:r>
            <w:r w:rsidRPr="00373AB8">
              <w:rPr>
                <w:rStyle w:val="FootnoteReference"/>
                <w:noProof/>
                <w:sz w:val="22"/>
              </w:rPr>
              <w:footnoteReference w:id="6"/>
            </w:r>
          </w:p>
        </w:tc>
        <w:tc>
          <w:tcPr>
            <w:tcW w:w="1779" w:type="pct"/>
            <w:shd w:val="clear" w:color="auto" w:fill="auto"/>
          </w:tcPr>
          <w:p w14:paraId="111A2261" w14:textId="02C938E7" w:rsidR="0082257B" w:rsidRPr="00373AB8" w:rsidRDefault="0082257B" w:rsidP="003C7157">
            <w:pPr>
              <w:pStyle w:val="ManualNumPar3"/>
              <w:rPr>
                <w:noProof/>
                <w:sz w:val="22"/>
              </w:rPr>
            </w:pPr>
          </w:p>
        </w:tc>
      </w:tr>
      <w:tr w:rsidR="0082257B" w:rsidRPr="00373AB8" w14:paraId="40BED9CD" w14:textId="77777777" w:rsidTr="003C7157">
        <w:tc>
          <w:tcPr>
            <w:tcW w:w="3221" w:type="pct"/>
            <w:shd w:val="clear" w:color="auto" w:fill="auto"/>
          </w:tcPr>
          <w:p w14:paraId="140FAD9D" w14:textId="6AB76975" w:rsidR="0082257B" w:rsidRPr="00373AB8" w:rsidRDefault="0082257B" w:rsidP="003C7157">
            <w:pPr>
              <w:pStyle w:val="ManualNumPar3"/>
              <w:rPr>
                <w:noProof/>
              </w:rPr>
            </w:pPr>
            <w:r w:rsidRPr="00373AB8">
              <w:rPr>
                <w:noProof/>
              </w:rPr>
              <w:t>Söesektor</w:t>
            </w:r>
            <w:r w:rsidRPr="00373AB8">
              <w:rPr>
                <w:rStyle w:val="FootnoteReference"/>
                <w:noProof/>
                <w:sz w:val="22"/>
              </w:rPr>
              <w:footnoteReference w:id="7"/>
            </w:r>
          </w:p>
        </w:tc>
        <w:tc>
          <w:tcPr>
            <w:tcW w:w="1779" w:type="pct"/>
            <w:shd w:val="clear" w:color="auto" w:fill="auto"/>
          </w:tcPr>
          <w:p w14:paraId="38842652" w14:textId="7C9895AF" w:rsidR="0082257B" w:rsidRPr="00373AB8" w:rsidRDefault="0082257B" w:rsidP="003C7157">
            <w:pPr>
              <w:pStyle w:val="ManualNumPar3"/>
              <w:rPr>
                <w:noProof/>
                <w:sz w:val="22"/>
              </w:rPr>
            </w:pPr>
          </w:p>
        </w:tc>
      </w:tr>
      <w:tr w:rsidR="0082257B" w:rsidRPr="00373AB8" w14:paraId="61951B57" w14:textId="77777777" w:rsidTr="003C7157">
        <w:tc>
          <w:tcPr>
            <w:tcW w:w="3221" w:type="pct"/>
            <w:shd w:val="clear" w:color="auto" w:fill="auto"/>
          </w:tcPr>
          <w:p w14:paraId="74B66848" w14:textId="19558E8A" w:rsidR="0082257B" w:rsidRPr="00373AB8" w:rsidRDefault="0082257B" w:rsidP="003C7157">
            <w:pPr>
              <w:pStyle w:val="ManualNumPar3"/>
              <w:rPr>
                <w:noProof/>
              </w:rPr>
            </w:pPr>
            <w:r w:rsidRPr="00373AB8">
              <w:rPr>
                <w:noProof/>
              </w:rPr>
              <w:t>Kalandus ja vesiviljelus</w:t>
            </w:r>
            <w:r w:rsidRPr="00373AB8">
              <w:rPr>
                <w:rStyle w:val="FootnoteReference"/>
                <w:noProof/>
                <w:sz w:val="22"/>
              </w:rPr>
              <w:footnoteReference w:id="8"/>
            </w:r>
          </w:p>
        </w:tc>
        <w:tc>
          <w:tcPr>
            <w:tcW w:w="1779" w:type="pct"/>
            <w:shd w:val="clear" w:color="auto" w:fill="auto"/>
          </w:tcPr>
          <w:p w14:paraId="14CB980E" w14:textId="04B35B62" w:rsidR="0082257B" w:rsidRPr="00373AB8" w:rsidRDefault="0082257B" w:rsidP="003C7157">
            <w:pPr>
              <w:pStyle w:val="ManualNumPar3"/>
              <w:rPr>
                <w:noProof/>
                <w:sz w:val="22"/>
              </w:rPr>
            </w:pPr>
          </w:p>
        </w:tc>
      </w:tr>
      <w:tr w:rsidR="0082257B" w:rsidRPr="00373AB8" w14:paraId="16F6100E" w14:textId="77777777" w:rsidTr="003C7157">
        <w:tc>
          <w:tcPr>
            <w:tcW w:w="3221" w:type="pct"/>
            <w:shd w:val="clear" w:color="auto" w:fill="auto"/>
          </w:tcPr>
          <w:p w14:paraId="3046B2AC" w14:textId="024A003B" w:rsidR="0082257B" w:rsidRPr="00373AB8" w:rsidRDefault="0082257B" w:rsidP="003C7157">
            <w:pPr>
              <w:pStyle w:val="ManualNumPar3"/>
              <w:rPr>
                <w:noProof/>
              </w:rPr>
            </w:pPr>
            <w:r w:rsidRPr="00373AB8">
              <w:rPr>
                <w:noProof/>
              </w:rPr>
              <w:t>Põllumajandus</w:t>
            </w:r>
            <w:r w:rsidRPr="00373AB8">
              <w:rPr>
                <w:rStyle w:val="FootnoteReference"/>
                <w:bCs/>
                <w:noProof/>
                <w:sz w:val="22"/>
              </w:rPr>
              <w:footnoteReference w:id="9"/>
            </w:r>
          </w:p>
        </w:tc>
        <w:tc>
          <w:tcPr>
            <w:tcW w:w="1779" w:type="pct"/>
            <w:shd w:val="clear" w:color="auto" w:fill="auto"/>
          </w:tcPr>
          <w:p w14:paraId="234130B3" w14:textId="6FC56BEE" w:rsidR="0082257B" w:rsidRPr="00373AB8" w:rsidRDefault="0082257B" w:rsidP="003C7157">
            <w:pPr>
              <w:pStyle w:val="ManualNumPar3"/>
              <w:rPr>
                <w:noProof/>
                <w:sz w:val="22"/>
              </w:rPr>
            </w:pPr>
          </w:p>
        </w:tc>
      </w:tr>
      <w:tr w:rsidR="0082257B" w:rsidRPr="00373AB8" w14:paraId="0E89A96B" w14:textId="77777777" w:rsidTr="003C7157">
        <w:tc>
          <w:tcPr>
            <w:tcW w:w="3221" w:type="pct"/>
            <w:shd w:val="clear" w:color="auto" w:fill="auto"/>
          </w:tcPr>
          <w:p w14:paraId="78D2B86F" w14:textId="6BF77E78" w:rsidR="0082257B" w:rsidRPr="00373AB8" w:rsidRDefault="0082257B" w:rsidP="003C7157">
            <w:pPr>
              <w:pStyle w:val="ManualNumPar3"/>
              <w:rPr>
                <w:noProof/>
              </w:rPr>
            </w:pPr>
            <w:r w:rsidRPr="00373AB8">
              <w:rPr>
                <w:noProof/>
              </w:rPr>
              <w:t>Aluslepingu I lisas loetletud põllumajandustoodete töötlemine ja/või turustamine</w:t>
            </w:r>
            <w:r w:rsidRPr="00373AB8">
              <w:rPr>
                <w:rStyle w:val="FootnoteReference"/>
                <w:bCs/>
                <w:noProof/>
                <w:sz w:val="22"/>
              </w:rPr>
              <w:footnoteReference w:id="10"/>
            </w:r>
            <w:r w:rsidRPr="00373AB8">
              <w:rPr>
                <w:noProof/>
              </w:rPr>
              <w:t xml:space="preserve"> (et saada I lisas loetletud tooteid).</w:t>
            </w:r>
          </w:p>
        </w:tc>
        <w:tc>
          <w:tcPr>
            <w:tcW w:w="1779" w:type="pct"/>
            <w:shd w:val="clear" w:color="auto" w:fill="auto"/>
          </w:tcPr>
          <w:p w14:paraId="46FA61E0" w14:textId="03CA858C" w:rsidR="0082257B" w:rsidRPr="00373AB8" w:rsidRDefault="0082257B" w:rsidP="003C7157">
            <w:pPr>
              <w:pStyle w:val="ManualNumPar3"/>
              <w:rPr>
                <w:noProof/>
                <w:sz w:val="22"/>
              </w:rPr>
            </w:pPr>
          </w:p>
        </w:tc>
      </w:tr>
      <w:tr w:rsidR="0082257B" w:rsidRPr="00373AB8" w14:paraId="18627FEC" w14:textId="77777777" w:rsidTr="003C7157">
        <w:tc>
          <w:tcPr>
            <w:tcW w:w="3221" w:type="pct"/>
            <w:shd w:val="clear" w:color="auto" w:fill="auto"/>
          </w:tcPr>
          <w:p w14:paraId="52351595" w14:textId="10BBB3CA" w:rsidR="0082257B" w:rsidRPr="00373AB8" w:rsidRDefault="0082257B" w:rsidP="003C7157">
            <w:pPr>
              <w:pStyle w:val="ManualNumPar3"/>
              <w:rPr>
                <w:noProof/>
              </w:rPr>
            </w:pPr>
            <w:r w:rsidRPr="00373AB8">
              <w:rPr>
                <w:noProof/>
              </w:rPr>
              <w:t>Transport</w:t>
            </w:r>
            <w:r w:rsidRPr="00373AB8">
              <w:rPr>
                <w:rStyle w:val="FootnoteReference"/>
                <w:bCs/>
                <w:noProof/>
                <w:sz w:val="22"/>
              </w:rPr>
              <w:footnoteReference w:id="11"/>
            </w:r>
          </w:p>
        </w:tc>
        <w:tc>
          <w:tcPr>
            <w:tcW w:w="1779" w:type="pct"/>
            <w:shd w:val="clear" w:color="auto" w:fill="auto"/>
          </w:tcPr>
          <w:p w14:paraId="5989D94F" w14:textId="0B71F78C" w:rsidR="0082257B" w:rsidRPr="00373AB8" w:rsidRDefault="0082257B" w:rsidP="003C7157">
            <w:pPr>
              <w:pStyle w:val="ManualNumPar3"/>
              <w:rPr>
                <w:noProof/>
                <w:sz w:val="22"/>
              </w:rPr>
            </w:pPr>
          </w:p>
        </w:tc>
      </w:tr>
      <w:tr w:rsidR="0082257B" w:rsidRPr="00373AB8" w14:paraId="59D02816" w14:textId="77777777" w:rsidTr="003C7157">
        <w:tc>
          <w:tcPr>
            <w:tcW w:w="3221" w:type="pct"/>
            <w:shd w:val="clear" w:color="auto" w:fill="auto"/>
          </w:tcPr>
          <w:p w14:paraId="15D23A82" w14:textId="0BED100C" w:rsidR="0082257B" w:rsidRPr="00373AB8" w:rsidRDefault="0082257B" w:rsidP="003C7157">
            <w:pPr>
              <w:pStyle w:val="ManualNumPar3"/>
              <w:rPr>
                <w:noProof/>
              </w:rPr>
            </w:pPr>
            <w:r w:rsidRPr="00373AB8">
              <w:rPr>
                <w:noProof/>
              </w:rPr>
              <w:t>Lairiba</w:t>
            </w:r>
            <w:r w:rsidRPr="00373AB8">
              <w:rPr>
                <w:rStyle w:val="FootnoteReference"/>
                <w:bCs/>
                <w:noProof/>
                <w:sz w:val="22"/>
              </w:rPr>
              <w:footnoteReference w:id="12"/>
            </w:r>
          </w:p>
        </w:tc>
        <w:tc>
          <w:tcPr>
            <w:tcW w:w="1779" w:type="pct"/>
            <w:shd w:val="clear" w:color="auto" w:fill="auto"/>
          </w:tcPr>
          <w:p w14:paraId="3D1B426D" w14:textId="2E32655E" w:rsidR="0082257B" w:rsidRPr="00373AB8" w:rsidRDefault="0082257B" w:rsidP="003C7157">
            <w:pPr>
              <w:pStyle w:val="ManualNumPar3"/>
              <w:rPr>
                <w:noProof/>
                <w:sz w:val="22"/>
              </w:rPr>
            </w:pPr>
          </w:p>
        </w:tc>
      </w:tr>
      <w:tr w:rsidR="0082257B" w:rsidRPr="00373AB8" w14:paraId="638FE723" w14:textId="77777777" w:rsidTr="003C7157">
        <w:tc>
          <w:tcPr>
            <w:tcW w:w="3221" w:type="pct"/>
            <w:shd w:val="clear" w:color="auto" w:fill="auto"/>
          </w:tcPr>
          <w:p w14:paraId="219EC1B0" w14:textId="208D50A9" w:rsidR="0082257B" w:rsidRPr="00373AB8" w:rsidRDefault="0082257B" w:rsidP="003C7157">
            <w:pPr>
              <w:pStyle w:val="ManualNumPar3"/>
              <w:rPr>
                <w:noProof/>
              </w:rPr>
            </w:pPr>
            <w:r w:rsidRPr="00373AB8">
              <w:rPr>
                <w:noProof/>
              </w:rPr>
              <w:lastRenderedPageBreak/>
              <w:t>Energia</w:t>
            </w:r>
            <w:r w:rsidRPr="00373AB8">
              <w:rPr>
                <w:rStyle w:val="FootnoteReference"/>
                <w:noProof/>
                <w:sz w:val="22"/>
              </w:rPr>
              <w:footnoteReference w:id="13"/>
            </w:r>
          </w:p>
        </w:tc>
        <w:tc>
          <w:tcPr>
            <w:tcW w:w="1779" w:type="pct"/>
            <w:shd w:val="clear" w:color="auto" w:fill="auto"/>
          </w:tcPr>
          <w:p w14:paraId="627953C7" w14:textId="5E6780C4" w:rsidR="0082257B" w:rsidRPr="00373AB8" w:rsidRDefault="0082257B" w:rsidP="003C7157">
            <w:pPr>
              <w:pStyle w:val="ManualNumPar3"/>
              <w:rPr>
                <w:noProof/>
                <w:sz w:val="22"/>
              </w:rPr>
            </w:pPr>
          </w:p>
        </w:tc>
      </w:tr>
    </w:tbl>
    <w:p w14:paraId="22A30E7F" w14:textId="38AF6913" w:rsidR="0082257B" w:rsidRPr="00373AB8" w:rsidRDefault="0082257B" w:rsidP="0082257B">
      <w:pPr>
        <w:pStyle w:val="Heading1"/>
        <w:rPr>
          <w:noProof/>
          <w:szCs w:val="24"/>
        </w:rPr>
      </w:pPr>
      <w:r w:rsidRPr="00373AB8">
        <w:rPr>
          <w:noProof/>
        </w:rPr>
        <w:t>Alginvesteering, abikõlblikud kulud ja abi</w:t>
      </w:r>
    </w:p>
    <w:p w14:paraId="646FDD60" w14:textId="77777777" w:rsidR="0082257B" w:rsidRPr="00373AB8" w:rsidRDefault="0082257B" w:rsidP="0082257B">
      <w:pPr>
        <w:pStyle w:val="NormalKop111"/>
        <w:numPr>
          <w:ilvl w:val="1"/>
          <w:numId w:val="22"/>
        </w:numPr>
        <w:tabs>
          <w:tab w:val="clear" w:pos="720"/>
          <w:tab w:val="clear" w:pos="1440"/>
          <w:tab w:val="clear" w:pos="1797"/>
        </w:tabs>
        <w:ind w:left="709" w:hanging="709"/>
        <w:rPr>
          <w:b/>
          <w:noProof/>
        </w:rPr>
      </w:pPr>
      <w:r w:rsidRPr="00373AB8">
        <w:rPr>
          <w:b/>
          <w:noProof/>
        </w:rPr>
        <w:t>Alginvesteeringute liigid, mida kava hõlmab</w:t>
      </w:r>
    </w:p>
    <w:p w14:paraId="328C9167"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Juhul kui kava hõlmab VKEde või suurettevõtjate</w:t>
      </w:r>
      <w:r w:rsidRPr="00373AB8">
        <w:rPr>
          <w:rStyle w:val="FootnoteReference"/>
          <w:noProof/>
        </w:rPr>
        <w:footnoteReference w:id="14"/>
      </w:r>
      <w:r w:rsidRPr="00373AB8">
        <w:rPr>
          <w:noProof/>
        </w:rPr>
        <w:t xml:space="preserve"> tehtavaid investeeringuid punkti a aladel või VKEde tehtavaid investeeringuid punkti c aladel (RAG punkt 45), märkige teatatava alginvesteeringu kategooria (RAG punkti 19 alapunkt 13): </w:t>
      </w:r>
    </w:p>
    <w:p w14:paraId="55B2FAFA" w14:textId="77777777" w:rsidR="0082257B" w:rsidRPr="00373AB8" w:rsidRDefault="007A7CA7" w:rsidP="0082257B">
      <w:pPr>
        <w:pStyle w:val="Tiret1"/>
        <w:rPr>
          <w:noProof/>
        </w:rPr>
      </w:pPr>
      <w:sdt>
        <w:sdtPr>
          <w:rPr>
            <w:noProof/>
          </w:rPr>
          <w:id w:val="1251621376"/>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uue ettevõtte loomine</w:t>
      </w:r>
    </w:p>
    <w:p w14:paraId="4E532B80" w14:textId="77777777" w:rsidR="0082257B" w:rsidRPr="00373AB8" w:rsidRDefault="007A7CA7" w:rsidP="0082257B">
      <w:pPr>
        <w:pStyle w:val="Tiret1"/>
        <w:numPr>
          <w:ilvl w:val="0"/>
          <w:numId w:val="29"/>
        </w:numPr>
        <w:rPr>
          <w:noProof/>
        </w:rPr>
      </w:pPr>
      <w:sdt>
        <w:sdtPr>
          <w:rPr>
            <w:noProof/>
          </w:rPr>
          <w:id w:val="-525561730"/>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olemasoleva ettevõtte tootmisvõimsuse suurendamine</w:t>
      </w:r>
    </w:p>
    <w:p w14:paraId="67B8AFCE" w14:textId="77777777" w:rsidR="0082257B" w:rsidRPr="00373AB8" w:rsidRDefault="007A7CA7" w:rsidP="0082257B">
      <w:pPr>
        <w:pStyle w:val="Tiret1"/>
        <w:numPr>
          <w:ilvl w:val="0"/>
          <w:numId w:val="29"/>
        </w:numPr>
        <w:rPr>
          <w:noProof/>
        </w:rPr>
      </w:pPr>
      <w:sdt>
        <w:sdtPr>
          <w:rPr>
            <w:noProof/>
          </w:rPr>
          <w:id w:val="531224306"/>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ettevõtte toodangu mitmekesistamine, kui laienetakse tooteturgudele, kus ettevõte enne ei tegutsenud</w:t>
      </w:r>
    </w:p>
    <w:p w14:paraId="333D57AA" w14:textId="77777777" w:rsidR="0082257B" w:rsidRPr="00373AB8" w:rsidRDefault="007A7CA7" w:rsidP="0082257B">
      <w:pPr>
        <w:pStyle w:val="Tiret1"/>
        <w:numPr>
          <w:ilvl w:val="0"/>
          <w:numId w:val="29"/>
        </w:numPr>
        <w:rPr>
          <w:noProof/>
        </w:rPr>
      </w:pPr>
      <w:sdt>
        <w:sdtPr>
          <w:rPr>
            <w:noProof/>
          </w:rPr>
          <w:id w:val="-1322036351"/>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ettevõttesse tehtava investeeringuga seotud toote või toodete üldise tootmisprotsessi põhjalik muutmine</w:t>
      </w:r>
    </w:p>
    <w:p w14:paraId="5358E8D4" w14:textId="77777777" w:rsidR="0082257B" w:rsidRPr="00373AB8" w:rsidRDefault="007A7CA7" w:rsidP="0082257B">
      <w:pPr>
        <w:pStyle w:val="Tiret1"/>
        <w:numPr>
          <w:ilvl w:val="0"/>
          <w:numId w:val="29"/>
        </w:numPr>
        <w:rPr>
          <w:noProof/>
        </w:rPr>
      </w:pPr>
      <w:sdt>
        <w:sdtPr>
          <w:rPr>
            <w:noProof/>
          </w:rPr>
          <w:id w:val="-1695986564"/>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sellise vara omandamine, mis kuulub ettevõttele, mis on tegevuse lõpetanud või oleks tegevuse lõpetanud, kui seda ei oleks ostetud</w:t>
      </w:r>
      <w:r w:rsidR="0082257B" w:rsidRPr="00373AB8">
        <w:rPr>
          <w:rStyle w:val="FootnoteReference"/>
          <w:noProof/>
        </w:rPr>
        <w:footnoteReference w:id="15"/>
      </w:r>
      <w:r w:rsidR="0082257B" w:rsidRPr="00373AB8">
        <w:rPr>
          <w:noProof/>
        </w:rPr>
        <w:t xml:space="preserve">. </w:t>
      </w:r>
    </w:p>
    <w:p w14:paraId="14E8DF37"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Juhul kui kava hõlmab suurettevõtjate tehtavaid investeeringuid punkti c aladel, märkige teatatava alginvesteeringu kategooria (RAG punkti 19 alapunkt 14 ja punkt 14):</w:t>
      </w:r>
    </w:p>
    <w:p w14:paraId="44C7FE6C" w14:textId="77777777" w:rsidR="0082257B" w:rsidRPr="00373AB8" w:rsidRDefault="007A7CA7" w:rsidP="0082257B">
      <w:pPr>
        <w:pStyle w:val="Tiret1"/>
        <w:numPr>
          <w:ilvl w:val="0"/>
          <w:numId w:val="29"/>
        </w:numPr>
        <w:rPr>
          <w:noProof/>
        </w:rPr>
      </w:pPr>
      <w:sdt>
        <w:sdtPr>
          <w:rPr>
            <w:noProof/>
          </w:rPr>
          <w:id w:val="742147454"/>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uue ettevõtte loomine</w:t>
      </w:r>
    </w:p>
    <w:p w14:paraId="47784CFA" w14:textId="77777777" w:rsidR="0082257B" w:rsidRPr="00373AB8" w:rsidRDefault="007A7CA7" w:rsidP="0082257B">
      <w:pPr>
        <w:pStyle w:val="Tiret1"/>
        <w:numPr>
          <w:ilvl w:val="0"/>
          <w:numId w:val="29"/>
        </w:numPr>
        <w:rPr>
          <w:noProof/>
        </w:rPr>
      </w:pPr>
      <w:sdt>
        <w:sdtPr>
          <w:rPr>
            <w:noProof/>
          </w:rPr>
          <w:id w:val="-2123293770"/>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ettevõtte tegevuse mitmekesistamine tingimusel, et uus tegevusala ei ole sama mis ettevõtte varasem tegevusala ega sellega sarnane tegevusala</w:t>
      </w:r>
      <w:r w:rsidR="0082257B" w:rsidRPr="00373AB8">
        <w:rPr>
          <w:rStyle w:val="FootnoteReference"/>
          <w:noProof/>
        </w:rPr>
        <w:footnoteReference w:id="16"/>
      </w:r>
    </w:p>
    <w:p w14:paraId="6D2DE131" w14:textId="77777777" w:rsidR="0082257B" w:rsidRPr="00373AB8" w:rsidRDefault="007A7CA7" w:rsidP="0082257B">
      <w:pPr>
        <w:pStyle w:val="Tiret1"/>
        <w:numPr>
          <w:ilvl w:val="0"/>
          <w:numId w:val="29"/>
        </w:numPr>
        <w:rPr>
          <w:noProof/>
        </w:rPr>
      </w:pPr>
      <w:sdt>
        <w:sdtPr>
          <w:rPr>
            <w:noProof/>
          </w:rPr>
          <w:id w:val="1165828878"/>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sellise vara omandamine, mis kuulub ettevõttele, mis on tegevuse lõpetanud või oleks tegevuse lõpetanud, kui seda ei oleks ostetud, tingimusel et uus tegevusala, millel omandatud vara abil tegutsetakse, ei ole sama mis ettevõtte tegevusala enne omandamist ega sellega sarnane tegevusala</w:t>
      </w:r>
      <w:r w:rsidR="0082257B" w:rsidRPr="00373AB8">
        <w:rPr>
          <w:rStyle w:val="FootnoteReference"/>
          <w:noProof/>
        </w:rPr>
        <w:footnoteReference w:id="17"/>
      </w:r>
    </w:p>
    <w:p w14:paraId="142514DB" w14:textId="77777777" w:rsidR="0082257B" w:rsidRPr="00373AB8" w:rsidRDefault="0082257B" w:rsidP="0082257B">
      <w:pPr>
        <w:pStyle w:val="NormalKop111"/>
        <w:numPr>
          <w:ilvl w:val="1"/>
          <w:numId w:val="22"/>
        </w:numPr>
        <w:tabs>
          <w:tab w:val="clear" w:pos="720"/>
          <w:tab w:val="clear" w:pos="1440"/>
          <w:tab w:val="clear" w:pos="1797"/>
        </w:tabs>
        <w:ind w:left="709" w:hanging="709"/>
        <w:rPr>
          <w:b/>
          <w:noProof/>
        </w:rPr>
      </w:pPr>
      <w:r w:rsidRPr="00373AB8">
        <w:rPr>
          <w:b/>
          <w:noProof/>
        </w:rPr>
        <w:t>Investeerimiskulude alusel arvutatud abikõlblikud kulud</w:t>
      </w:r>
    </w:p>
    <w:p w14:paraId="6D9DD95E"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 xml:space="preserve">Kui kavaga hõlmatud abikõlblikud kulud on seotud materiaalse varaga (RAG punkti 19 alapunkt 31), siis märkige, kas sel juhul on investeeringute väärtus </w:t>
      </w:r>
      <w:r w:rsidRPr="00373AB8">
        <w:rPr>
          <w:noProof/>
        </w:rPr>
        <w:lastRenderedPageBreak/>
        <w:t>arvutatud protsendina maa, hoonete ning tehaste, masinate ja seadmete väärtusest:</w:t>
      </w:r>
    </w:p>
    <w:p w14:paraId="5BA8D3BF" w14:textId="77777777" w:rsidR="0082257B" w:rsidRPr="00373AB8" w:rsidRDefault="007A7CA7" w:rsidP="0082257B">
      <w:pPr>
        <w:pStyle w:val="Tiret1"/>
        <w:numPr>
          <w:ilvl w:val="0"/>
          <w:numId w:val="29"/>
        </w:numPr>
        <w:rPr>
          <w:noProof/>
        </w:rPr>
      </w:pPr>
      <w:sdt>
        <w:sdtPr>
          <w:rPr>
            <w:noProof/>
          </w:rPr>
          <w:id w:val="1990044979"/>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maa</w:t>
      </w:r>
    </w:p>
    <w:p w14:paraId="76D0361A" w14:textId="77777777" w:rsidR="0082257B" w:rsidRPr="00373AB8" w:rsidRDefault="007A7CA7" w:rsidP="0082257B">
      <w:pPr>
        <w:pStyle w:val="Tiret1"/>
        <w:numPr>
          <w:ilvl w:val="0"/>
          <w:numId w:val="29"/>
        </w:numPr>
        <w:rPr>
          <w:noProof/>
        </w:rPr>
      </w:pPr>
      <w:sdt>
        <w:sdtPr>
          <w:rPr>
            <w:noProof/>
          </w:rPr>
          <w:id w:val="-495801677"/>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hooned </w:t>
      </w:r>
    </w:p>
    <w:p w14:paraId="2CB87CFB" w14:textId="77777777" w:rsidR="0082257B" w:rsidRPr="00373AB8" w:rsidRDefault="007A7CA7" w:rsidP="0082257B">
      <w:pPr>
        <w:pStyle w:val="Tiret1"/>
        <w:numPr>
          <w:ilvl w:val="0"/>
          <w:numId w:val="29"/>
        </w:numPr>
        <w:rPr>
          <w:noProof/>
        </w:rPr>
      </w:pPr>
      <w:sdt>
        <w:sdtPr>
          <w:rPr>
            <w:noProof/>
          </w:rPr>
          <w:id w:val="-1683582321"/>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tehased/masinad/seadmed</w:t>
      </w:r>
    </w:p>
    <w:p w14:paraId="3C9F74A3" w14:textId="77777777" w:rsidR="0082257B" w:rsidRPr="00373AB8" w:rsidRDefault="0082257B" w:rsidP="0082257B">
      <w:pPr>
        <w:pStyle w:val="Text2"/>
        <w:ind w:left="1843" w:hanging="425"/>
        <w:rPr>
          <w:noProof/>
        </w:rPr>
      </w:pPr>
      <w:r w:rsidRPr="00373AB8">
        <w:rPr>
          <w:noProof/>
        </w:rPr>
        <w:t xml:space="preserve">Esitage viide õigusliku aluse vastavatele sätetele: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5D786F93" w14:textId="77777777" w:rsidTr="003C7157">
        <w:tc>
          <w:tcPr>
            <w:tcW w:w="7682" w:type="dxa"/>
            <w:shd w:val="clear" w:color="auto" w:fill="auto"/>
          </w:tcPr>
          <w:p w14:paraId="4C4A67AF" w14:textId="77777777" w:rsidR="0082257B" w:rsidRPr="00373AB8" w:rsidRDefault="0082257B" w:rsidP="003C7157">
            <w:pPr>
              <w:rPr>
                <w:noProof/>
              </w:rPr>
            </w:pPr>
            <w:r w:rsidRPr="00373AB8">
              <w:rPr>
                <w:noProof/>
              </w:rPr>
              <w:t xml:space="preserve">… </w:t>
            </w:r>
          </w:p>
        </w:tc>
      </w:tr>
    </w:tbl>
    <w:p w14:paraId="705D53C9"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color w:val="000000"/>
        </w:rPr>
        <w:t xml:space="preserve">Esitage viide </w:t>
      </w:r>
      <w:bookmarkStart w:id="0" w:name="OLE_LINK1"/>
      <w:bookmarkStart w:id="1" w:name="OLE_LINK2"/>
      <w:r w:rsidRPr="00373AB8">
        <w:rPr>
          <w:noProof/>
          <w:color w:val="000000"/>
        </w:rPr>
        <w:t>õigusliku aluse asjaomasele</w:t>
      </w:r>
      <w:bookmarkEnd w:id="0"/>
      <w:r w:rsidRPr="00373AB8">
        <w:rPr>
          <w:noProof/>
          <w:color w:val="000000"/>
        </w:rPr>
        <w:t xml:space="preserve"> </w:t>
      </w:r>
      <w:bookmarkEnd w:id="1"/>
      <w:r w:rsidRPr="00373AB8">
        <w:rPr>
          <w:noProof/>
        </w:rPr>
        <w:t>sättele, millega on ette nähtud, et omandatud vara peab olema uus</w:t>
      </w:r>
      <w:r w:rsidRPr="00373AB8">
        <w:rPr>
          <w:rStyle w:val="FootnoteReference"/>
          <w:noProof/>
        </w:rPr>
        <w:footnoteReference w:id="18"/>
      </w:r>
      <w:r w:rsidRPr="00373AB8">
        <w:rPr>
          <w:noProof/>
        </w:rPr>
        <w:t xml:space="preserve"> (RAG punkt 27).</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68A27B98" w14:textId="77777777" w:rsidTr="003C7157">
        <w:tc>
          <w:tcPr>
            <w:tcW w:w="7682" w:type="dxa"/>
            <w:shd w:val="clear" w:color="auto" w:fill="auto"/>
          </w:tcPr>
          <w:p w14:paraId="476429C0" w14:textId="77777777" w:rsidR="0082257B" w:rsidRPr="00373AB8" w:rsidRDefault="0082257B" w:rsidP="003C7157">
            <w:pPr>
              <w:rPr>
                <w:noProof/>
              </w:rPr>
            </w:pPr>
            <w:r w:rsidRPr="00373AB8">
              <w:rPr>
                <w:noProof/>
              </w:rPr>
              <w:t xml:space="preserve">… </w:t>
            </w:r>
          </w:p>
        </w:tc>
      </w:tr>
    </w:tbl>
    <w:p w14:paraId="3C6C760C"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color w:val="000000"/>
        </w:rPr>
      </w:pPr>
      <w:r w:rsidRPr="00373AB8">
        <w:rPr>
          <w:noProof/>
          <w:color w:val="000000"/>
        </w:rPr>
        <w:t xml:space="preserve">Esitage viide õigusliku aluse vastavale sättele, millega on ette nähtud, et VKEde puhul ei saa abikõlblikeks kuludeks lugeda rohkem kui 50 % investeeringuga seotud ettevalmistavate uuringute ja nõustamise kuludest (RAG punkt 28).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299F3238" w14:textId="77777777" w:rsidTr="003C7157">
        <w:tc>
          <w:tcPr>
            <w:tcW w:w="7682" w:type="dxa"/>
            <w:shd w:val="clear" w:color="auto" w:fill="auto"/>
          </w:tcPr>
          <w:p w14:paraId="27F97F8E" w14:textId="77777777" w:rsidR="0082257B" w:rsidRPr="00373AB8" w:rsidRDefault="0082257B" w:rsidP="003C7157">
            <w:pPr>
              <w:rPr>
                <w:noProof/>
              </w:rPr>
            </w:pPr>
            <w:r w:rsidRPr="00373AB8">
              <w:rPr>
                <w:noProof/>
              </w:rPr>
              <w:t>…</w:t>
            </w:r>
          </w:p>
        </w:tc>
      </w:tr>
    </w:tbl>
    <w:p w14:paraId="5B565AB2"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color w:val="000000"/>
        </w:rPr>
      </w:pPr>
      <w:r w:rsidRPr="00373AB8">
        <w:rPr>
          <w:noProof/>
          <w:color w:val="000000"/>
        </w:rPr>
        <w:t xml:space="preserve">Esitage viide õigusliku aluse vastavale sättele, millega on ette nähtud, et suurettevõtja tootmisprotsessi põhjalikuks muutmiseks antud abi korral peavad abikõlblikud kulud ületama ajakohastatava tegevusega seotud vara kulumit eelneva kolme majandusaasta jooksul (RAG punkt 29).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74259874" w14:textId="77777777" w:rsidTr="003C7157">
        <w:tc>
          <w:tcPr>
            <w:tcW w:w="7682" w:type="dxa"/>
            <w:shd w:val="clear" w:color="auto" w:fill="auto"/>
          </w:tcPr>
          <w:p w14:paraId="1AE23C07" w14:textId="77777777" w:rsidR="0082257B" w:rsidRPr="00373AB8" w:rsidRDefault="0082257B" w:rsidP="003C7157">
            <w:pPr>
              <w:rPr>
                <w:noProof/>
              </w:rPr>
            </w:pPr>
            <w:r w:rsidRPr="00373AB8">
              <w:rPr>
                <w:noProof/>
              </w:rPr>
              <w:t>…</w:t>
            </w:r>
          </w:p>
        </w:tc>
      </w:tr>
    </w:tbl>
    <w:p w14:paraId="61569805"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color w:val="000000"/>
        </w:rPr>
      </w:pPr>
      <w:r w:rsidRPr="00373AB8">
        <w:rPr>
          <w:noProof/>
          <w:color w:val="000000"/>
        </w:rPr>
        <w:t xml:space="preserve">Esitage viide õigusliku aluse vastavale sättele, millega on ette nähtud, et olemasoleva ettevõtte tegevuse mitmekesistamiseks antud abi puhul peavad abikõlblikud kulud ületama vähemalt 200 % uuesti kasutatava vara arvestuslikku väärtust, mis on registreeritud tööde algusele eelneval majandusaastal (RAG punkt 30).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37E7E15C" w14:textId="77777777" w:rsidTr="003C7157">
        <w:tc>
          <w:tcPr>
            <w:tcW w:w="7682" w:type="dxa"/>
            <w:shd w:val="clear" w:color="auto" w:fill="auto"/>
          </w:tcPr>
          <w:p w14:paraId="5212D7A6" w14:textId="77777777" w:rsidR="0082257B" w:rsidRPr="00373AB8" w:rsidRDefault="0082257B" w:rsidP="003C7157">
            <w:pPr>
              <w:rPr>
                <w:noProof/>
              </w:rPr>
            </w:pPr>
            <w:r w:rsidRPr="00373AB8">
              <w:rPr>
                <w:noProof/>
              </w:rPr>
              <w:t>…</w:t>
            </w:r>
          </w:p>
        </w:tc>
      </w:tr>
    </w:tbl>
    <w:p w14:paraId="55BD4908"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color w:val="000000"/>
        </w:rPr>
      </w:pPr>
      <w:r w:rsidRPr="00373AB8">
        <w:rPr>
          <w:noProof/>
          <w:color w:val="000000"/>
        </w:rPr>
        <w:t xml:space="preserve">Materiaalse vara rentimise korral esitage viide õigusliku aluse vastavatele sätetele, millega on ette nähtud, et arvesse tuleb võtta järgmisi tingimusi (RAG punkt 31): </w:t>
      </w:r>
    </w:p>
    <w:p w14:paraId="59A7A41A" w14:textId="77777777" w:rsidR="0082257B" w:rsidRPr="00373AB8" w:rsidRDefault="0082257B" w:rsidP="0082257B">
      <w:pPr>
        <w:pStyle w:val="Normal127Bullet63"/>
        <w:spacing w:after="120"/>
        <w:rPr>
          <w:noProof/>
        </w:rPr>
      </w:pPr>
      <w:r w:rsidRPr="00373AB8">
        <w:rPr>
          <w:noProof/>
        </w:rPr>
        <w:t>maa ja hoonete rentimise puhul peab rendileping kestma suurettevõtjate puhul vähemalt viis aastat ning VKEde puhul vähemalt kolm aastat pärast investeeringu lõpuleviimise eeldatavat kuupäeva;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2257B" w:rsidRPr="00373AB8" w14:paraId="72E4560C" w14:textId="77777777" w:rsidTr="003C7157">
        <w:tc>
          <w:tcPr>
            <w:tcW w:w="7399" w:type="dxa"/>
            <w:shd w:val="clear" w:color="auto" w:fill="auto"/>
          </w:tcPr>
          <w:p w14:paraId="0F4F5E61" w14:textId="550320D7" w:rsidR="0082257B" w:rsidRPr="00373AB8" w:rsidRDefault="007A7CA7" w:rsidP="003C7157">
            <w:pPr>
              <w:rPr>
                <w:noProof/>
              </w:rPr>
            </w:pPr>
            <w:r>
              <w:rPr>
                <w:noProof/>
              </w:rPr>
              <w:t>…</w:t>
            </w:r>
          </w:p>
        </w:tc>
      </w:tr>
    </w:tbl>
    <w:p w14:paraId="3CC60E02" w14:textId="77777777" w:rsidR="0082257B" w:rsidRPr="00373AB8" w:rsidRDefault="0082257B" w:rsidP="0082257B">
      <w:pPr>
        <w:pStyle w:val="Normal127Bullet63"/>
        <w:spacing w:after="120"/>
        <w:rPr>
          <w:noProof/>
        </w:rPr>
      </w:pPr>
      <w:r w:rsidRPr="00373AB8">
        <w:rPr>
          <w:noProof/>
        </w:rPr>
        <w:lastRenderedPageBreak/>
        <w:t xml:space="preserve">seadmete või masinate rentimise korral peab rentimine toimuma kapitalirendi vormis ning rendileping peab sisaldama abisaaja kohustust osta vara lepingu lõppedes välja.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2257B" w:rsidRPr="00373AB8" w14:paraId="45390EC7" w14:textId="77777777" w:rsidTr="003C7157">
        <w:tc>
          <w:tcPr>
            <w:tcW w:w="7399" w:type="dxa"/>
            <w:shd w:val="clear" w:color="auto" w:fill="auto"/>
          </w:tcPr>
          <w:p w14:paraId="1514421D" w14:textId="77777777" w:rsidR="0082257B" w:rsidRPr="00373AB8" w:rsidRDefault="0082257B" w:rsidP="003C7157">
            <w:pPr>
              <w:rPr>
                <w:noProof/>
              </w:rPr>
            </w:pPr>
            <w:r w:rsidRPr="00373AB8">
              <w:rPr>
                <w:noProof/>
              </w:rPr>
              <w:t>…</w:t>
            </w:r>
          </w:p>
        </w:tc>
      </w:tr>
    </w:tbl>
    <w:p w14:paraId="38F8C3A2"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color w:val="000000"/>
        </w:rPr>
      </w:pPr>
      <w:r w:rsidRPr="00373AB8">
        <w:rPr>
          <w:noProof/>
          <w:color w:val="000000"/>
        </w:rPr>
        <w:t>RAG punktis 32 on ette nähtud, et ettevõtte omandamise korral „tuleks põhimõtteliselt võtta arvesse ainult ostjaga mitteseotud kolmandatelt isikutelt vara ostmisest tulenevaid kulusid.</w:t>
      </w:r>
      <w:r w:rsidRPr="00373AB8">
        <w:rPr>
          <w:i/>
          <w:noProof/>
          <w:color w:val="000000"/>
        </w:rPr>
        <w:t xml:space="preserve"> </w:t>
      </w:r>
      <w:r w:rsidRPr="00373AB8">
        <w:rPr>
          <w:noProof/>
          <w:color w:val="000000"/>
        </w:rPr>
        <w:t>Kui väikeettevõtja äritegevuse võtab üle algse omaniku perekonnaliige või ettevõtja töötaja, siis ei kohaldata tingimust, et vara tuleb osta kolmandalt isikult, kes ei ole ostjaga seotud.</w:t>
      </w:r>
      <w:r w:rsidRPr="00373AB8">
        <w:rPr>
          <w:i/>
          <w:noProof/>
          <w:color w:val="000000"/>
        </w:rPr>
        <w:t xml:space="preserve"> </w:t>
      </w:r>
      <w:r w:rsidRPr="00373AB8">
        <w:rPr>
          <w:noProof/>
          <w:color w:val="000000"/>
        </w:rPr>
        <w:t>Tehing peab toimuma turutingimustel.</w:t>
      </w:r>
      <w:r w:rsidRPr="00373AB8">
        <w:rPr>
          <w:i/>
          <w:noProof/>
          <w:color w:val="000000"/>
        </w:rPr>
        <w:t xml:space="preserve"> </w:t>
      </w:r>
      <w:r w:rsidRPr="00373AB8">
        <w:rPr>
          <w:noProof/>
          <w:color w:val="000000"/>
        </w:rPr>
        <w:t xml:space="preserve">Kui ettevõtja vara omandamisega kaasneb täiendav regionaalabikõlblik investeering, tuleb sellise täiendava investeeringuga seotud abikõlblikud kulud liita ettevõtja vara omandamise kuludele.“ </w:t>
      </w:r>
    </w:p>
    <w:p w14:paraId="3A75E170" w14:textId="77777777" w:rsidR="0082257B" w:rsidRPr="00373AB8" w:rsidRDefault="0082257B" w:rsidP="0082257B">
      <w:pPr>
        <w:pStyle w:val="NormalKop111"/>
        <w:tabs>
          <w:tab w:val="clear" w:pos="720"/>
          <w:tab w:val="clear" w:pos="1440"/>
          <w:tab w:val="clear" w:pos="1797"/>
        </w:tabs>
        <w:ind w:left="1418"/>
        <w:rPr>
          <w:noProof/>
        </w:rPr>
      </w:pPr>
      <w:r w:rsidRPr="00373AB8">
        <w:rPr>
          <w:noProof/>
        </w:rPr>
        <w:t xml:space="preserve">Kui see </w:t>
      </w:r>
      <w:r w:rsidRPr="00373AB8">
        <w:rPr>
          <w:noProof/>
          <w:color w:val="000000"/>
        </w:rPr>
        <w:t>on</w:t>
      </w:r>
      <w:r w:rsidRPr="00373AB8">
        <w:rPr>
          <w:noProof/>
        </w:rPr>
        <w:t xml:space="preserve"> teatatava kava puhul oluline, esitage viide </w:t>
      </w:r>
      <w:r w:rsidRPr="00373AB8">
        <w:rPr>
          <w:noProof/>
          <w:color w:val="000000"/>
        </w:rPr>
        <w:t>õigusliku aluse vastavatele sätetele, millega on ette nähtud, et</w:t>
      </w:r>
      <w:r w:rsidRPr="00373AB8">
        <w:rPr>
          <w:noProof/>
        </w:rPr>
        <w:t xml:space="preserve"> selles punktis esitatud tingimusi tuleb arvesse võtta.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26AFDA52" w14:textId="77777777" w:rsidTr="003C7157">
        <w:tc>
          <w:tcPr>
            <w:tcW w:w="7682" w:type="dxa"/>
            <w:shd w:val="clear" w:color="auto" w:fill="auto"/>
          </w:tcPr>
          <w:p w14:paraId="57565962" w14:textId="77777777" w:rsidR="0082257B" w:rsidRPr="00373AB8" w:rsidRDefault="0082257B" w:rsidP="003C7157">
            <w:pPr>
              <w:rPr>
                <w:noProof/>
              </w:rPr>
            </w:pPr>
            <w:r w:rsidRPr="00373AB8">
              <w:rPr>
                <w:noProof/>
              </w:rPr>
              <w:t>…</w:t>
            </w:r>
          </w:p>
        </w:tc>
      </w:tr>
    </w:tbl>
    <w:p w14:paraId="43574DD6"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color w:val="000000"/>
        </w:rPr>
      </w:pPr>
      <w:r w:rsidRPr="00373AB8">
        <w:rPr>
          <w:noProof/>
          <w:color w:val="000000"/>
        </w:rPr>
        <w:t>Kui kavaga hõlmatud abikõlblikud kulud on seotud immateriaalse varaga (RAG punkti 19 alapunkt 15), siis märkige, kas investeeringu väärtus on arvutatud kulude põhjal, mis sisaldavad patendiõiguste, litsentside, oskusteabe või muu intellektuaalomandi omandamist tehnosiirde käigus:</w:t>
      </w:r>
    </w:p>
    <w:p w14:paraId="0751E09D" w14:textId="77777777" w:rsidR="0082257B" w:rsidRPr="00373AB8" w:rsidRDefault="007A7CA7" w:rsidP="0082257B">
      <w:pPr>
        <w:pStyle w:val="Tiret2"/>
        <w:rPr>
          <w:noProof/>
        </w:rPr>
      </w:pPr>
      <w:sdt>
        <w:sdtPr>
          <w:rPr>
            <w:noProof/>
          </w:rPr>
          <w:id w:val="1828090279"/>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patendiõigused</w:t>
      </w:r>
    </w:p>
    <w:p w14:paraId="6B22A0A7" w14:textId="77777777" w:rsidR="0082257B" w:rsidRPr="00373AB8" w:rsidRDefault="007A7CA7" w:rsidP="0082257B">
      <w:pPr>
        <w:pStyle w:val="Tiret2"/>
        <w:rPr>
          <w:noProof/>
        </w:rPr>
      </w:pPr>
      <w:sdt>
        <w:sdtPr>
          <w:rPr>
            <w:noProof/>
          </w:rPr>
          <w:id w:val="-1964336262"/>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litsentsid</w:t>
      </w:r>
    </w:p>
    <w:p w14:paraId="2A7A1AA9" w14:textId="77777777" w:rsidR="0082257B" w:rsidRPr="00373AB8" w:rsidRDefault="007A7CA7" w:rsidP="0082257B">
      <w:pPr>
        <w:pStyle w:val="Tiret2"/>
        <w:rPr>
          <w:noProof/>
        </w:rPr>
      </w:pPr>
      <w:sdt>
        <w:sdtPr>
          <w:rPr>
            <w:noProof/>
          </w:rPr>
          <w:id w:val="-1608340805"/>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oskusteave</w:t>
      </w:r>
    </w:p>
    <w:p w14:paraId="295D7FC4" w14:textId="77777777" w:rsidR="0082257B" w:rsidRPr="00373AB8" w:rsidRDefault="007A7CA7" w:rsidP="0082257B">
      <w:pPr>
        <w:pStyle w:val="Tiret2"/>
        <w:rPr>
          <w:noProof/>
        </w:rPr>
      </w:pPr>
      <w:sdt>
        <w:sdtPr>
          <w:rPr>
            <w:noProof/>
          </w:rPr>
          <w:id w:val="-2080744092"/>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muu intellektuaalomand</w:t>
      </w:r>
    </w:p>
    <w:p w14:paraId="02FB48CA" w14:textId="77777777" w:rsidR="0082257B" w:rsidRPr="00373AB8" w:rsidRDefault="0082257B" w:rsidP="0082257B">
      <w:pPr>
        <w:pStyle w:val="Text2"/>
        <w:ind w:left="1418"/>
        <w:rPr>
          <w:noProof/>
        </w:rPr>
      </w:pPr>
      <w:r w:rsidRPr="00373AB8">
        <w:rPr>
          <w:noProof/>
        </w:rPr>
        <w:t>Esitage viide õigusliku aluse vastavatele sätetele: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6EA8A29C" w14:textId="77777777" w:rsidTr="003C7157">
        <w:tc>
          <w:tcPr>
            <w:tcW w:w="7682" w:type="dxa"/>
            <w:shd w:val="clear" w:color="auto" w:fill="auto"/>
          </w:tcPr>
          <w:p w14:paraId="7D2424E7" w14:textId="77777777" w:rsidR="0082257B" w:rsidRPr="00373AB8" w:rsidRDefault="0082257B" w:rsidP="003C7157">
            <w:pPr>
              <w:rPr>
                <w:noProof/>
              </w:rPr>
            </w:pPr>
            <w:r w:rsidRPr="00373AB8">
              <w:rPr>
                <w:noProof/>
              </w:rPr>
              <w:t>…</w:t>
            </w:r>
          </w:p>
        </w:tc>
      </w:tr>
    </w:tbl>
    <w:p w14:paraId="567332C8"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color w:val="000000"/>
        </w:rPr>
      </w:pPr>
      <w:r w:rsidRPr="00373AB8">
        <w:rPr>
          <w:noProof/>
          <w:color w:val="000000"/>
        </w:rPr>
        <w:t>Esitage viide õigusliku aluse vastavatele sätetele, millega on ette nähtud, et suurettevõtjate puhul on immateriaalse vara kulud abikõlblikud ainult kuni 50 % ulatuses projekti kõigist abikõlblikest investeerimiskuludest (RAG punkt 33).</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10335A6E" w14:textId="77777777" w:rsidTr="003C7157">
        <w:tc>
          <w:tcPr>
            <w:tcW w:w="7682" w:type="dxa"/>
            <w:shd w:val="clear" w:color="auto" w:fill="auto"/>
          </w:tcPr>
          <w:p w14:paraId="1C700317" w14:textId="77777777" w:rsidR="0082257B" w:rsidRPr="00373AB8" w:rsidRDefault="0082257B" w:rsidP="003C7157">
            <w:pPr>
              <w:rPr>
                <w:noProof/>
              </w:rPr>
            </w:pPr>
            <w:r w:rsidRPr="00373AB8">
              <w:rPr>
                <w:noProof/>
              </w:rPr>
              <w:t>…</w:t>
            </w:r>
          </w:p>
        </w:tc>
      </w:tr>
    </w:tbl>
    <w:p w14:paraId="1D20F5F8"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color w:val="000000"/>
        </w:rPr>
      </w:pPr>
      <w:r w:rsidRPr="00373AB8">
        <w:rPr>
          <w:noProof/>
          <w:color w:val="000000"/>
        </w:rPr>
        <w:t>Esitage viide õigusliku aluse vastavatele sätetele, millega on ette nähtud, et regionaalabi suuniste punktis 34</w:t>
      </w:r>
      <w:r w:rsidRPr="00373AB8">
        <w:rPr>
          <w:rStyle w:val="FootnoteReference"/>
          <w:noProof/>
        </w:rPr>
        <w:footnoteReference w:id="19"/>
      </w:r>
      <w:r w:rsidRPr="00373AB8">
        <w:rPr>
          <w:noProof/>
          <w:color w:val="000000"/>
        </w:rPr>
        <w:t xml:space="preserve"> sätestatud tingimusi tuleb arvesse võtta.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650293DA" w14:textId="77777777" w:rsidTr="003C7157">
        <w:tc>
          <w:tcPr>
            <w:tcW w:w="7682" w:type="dxa"/>
            <w:shd w:val="clear" w:color="auto" w:fill="auto"/>
          </w:tcPr>
          <w:p w14:paraId="1488F3ED" w14:textId="77777777" w:rsidR="0082257B" w:rsidRPr="00373AB8" w:rsidRDefault="0082257B" w:rsidP="003C7157">
            <w:pPr>
              <w:rPr>
                <w:noProof/>
              </w:rPr>
            </w:pPr>
            <w:r w:rsidRPr="00373AB8">
              <w:rPr>
                <w:noProof/>
              </w:rPr>
              <w:lastRenderedPageBreak/>
              <w:t>…</w:t>
            </w:r>
          </w:p>
        </w:tc>
      </w:tr>
    </w:tbl>
    <w:p w14:paraId="2EEEFA59" w14:textId="77777777" w:rsidR="0082257B" w:rsidRPr="00373AB8" w:rsidRDefault="0082257B" w:rsidP="0082257B">
      <w:pPr>
        <w:pStyle w:val="NormalKop111"/>
        <w:numPr>
          <w:ilvl w:val="1"/>
          <w:numId w:val="22"/>
        </w:numPr>
        <w:tabs>
          <w:tab w:val="clear" w:pos="720"/>
          <w:tab w:val="clear" w:pos="1440"/>
          <w:tab w:val="clear" w:pos="1797"/>
        </w:tabs>
        <w:ind w:left="709" w:hanging="709"/>
        <w:rPr>
          <w:b/>
          <w:noProof/>
        </w:rPr>
      </w:pPr>
      <w:r w:rsidRPr="00373AB8">
        <w:rPr>
          <w:b/>
          <w:noProof/>
        </w:rPr>
        <w:t>Palgakulude alusel arvutatud abikõlblikud kulud</w:t>
      </w:r>
    </w:p>
    <w:p w14:paraId="2106EE3E"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Esitage viide õigusliku aluse vastavatele sätetele, milles on kindlaks määratud, kuidas arvutada abikõlblikke kulusid palgakulude alusel (RAG punkt 35), kuidas arvutada loodud töökohtade arvu (RAG punkti 19 alapunkt 16) ja kuidas määrata tööle võetud isikute palgakulusid (RAG punkti 19 alapunkt 33).</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5699B681" w14:textId="77777777" w:rsidTr="003C7157">
        <w:tc>
          <w:tcPr>
            <w:tcW w:w="7682" w:type="dxa"/>
            <w:shd w:val="clear" w:color="auto" w:fill="auto"/>
          </w:tcPr>
          <w:p w14:paraId="21EE860F" w14:textId="77777777" w:rsidR="0082257B" w:rsidRPr="00373AB8" w:rsidRDefault="0082257B" w:rsidP="003C7157">
            <w:pPr>
              <w:rPr>
                <w:noProof/>
              </w:rPr>
            </w:pPr>
            <w:r w:rsidRPr="00373AB8">
              <w:rPr>
                <w:noProof/>
              </w:rPr>
              <w:t>…</w:t>
            </w:r>
          </w:p>
        </w:tc>
      </w:tr>
    </w:tbl>
    <w:p w14:paraId="61FB5086" w14:textId="77777777" w:rsidR="0082257B" w:rsidRPr="00373AB8" w:rsidRDefault="0082257B" w:rsidP="0082257B">
      <w:pPr>
        <w:pStyle w:val="NormalKop111"/>
        <w:numPr>
          <w:ilvl w:val="1"/>
          <w:numId w:val="22"/>
        </w:numPr>
        <w:tabs>
          <w:tab w:val="clear" w:pos="720"/>
          <w:tab w:val="clear" w:pos="1440"/>
          <w:tab w:val="clear" w:pos="1797"/>
        </w:tabs>
        <w:ind w:left="709" w:hanging="709"/>
        <w:rPr>
          <w:b/>
          <w:noProof/>
        </w:rPr>
      </w:pPr>
      <w:r w:rsidRPr="00373AB8">
        <w:rPr>
          <w:b/>
          <w:noProof/>
        </w:rPr>
        <w:t>Abikõlblike kulude diskonteeritud väärtuse arvutamine</w:t>
      </w:r>
    </w:p>
    <w:p w14:paraId="014D0079"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Märkige, millist liiki abi on kava alusel lubatud:</w:t>
      </w:r>
    </w:p>
    <w:p w14:paraId="0217C2A1" w14:textId="77777777" w:rsidR="0082257B" w:rsidRPr="00373AB8" w:rsidRDefault="007A7CA7" w:rsidP="0082257B">
      <w:pPr>
        <w:pStyle w:val="Tiret1"/>
        <w:numPr>
          <w:ilvl w:val="0"/>
          <w:numId w:val="29"/>
        </w:numPr>
        <w:rPr>
          <w:noProof/>
        </w:rPr>
      </w:pPr>
      <w:sdt>
        <w:sdtPr>
          <w:rPr>
            <w:noProof/>
          </w:rPr>
          <w:id w:val="-146204902"/>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toetused. Esitage viide õigusliku aluse vastavatele sätetele: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2257B" w:rsidRPr="00373AB8" w14:paraId="5CE54CF8" w14:textId="77777777" w:rsidTr="003C7157">
        <w:tc>
          <w:tcPr>
            <w:tcW w:w="7115" w:type="dxa"/>
            <w:shd w:val="clear" w:color="auto" w:fill="auto"/>
          </w:tcPr>
          <w:p w14:paraId="64925575" w14:textId="77777777" w:rsidR="0082257B" w:rsidRPr="00373AB8" w:rsidRDefault="0082257B" w:rsidP="007A7CA7">
            <w:pPr>
              <w:rPr>
                <w:noProof/>
              </w:rPr>
            </w:pPr>
            <w:r w:rsidRPr="00373AB8">
              <w:rPr>
                <w:noProof/>
              </w:rPr>
              <w:t xml:space="preserve">… </w:t>
            </w:r>
          </w:p>
        </w:tc>
      </w:tr>
    </w:tbl>
    <w:p w14:paraId="63C6A10E" w14:textId="77777777" w:rsidR="0082257B" w:rsidRPr="00373AB8" w:rsidRDefault="007A7CA7" w:rsidP="0082257B">
      <w:pPr>
        <w:pStyle w:val="Tiret1"/>
        <w:numPr>
          <w:ilvl w:val="0"/>
          <w:numId w:val="29"/>
        </w:numPr>
        <w:rPr>
          <w:noProof/>
        </w:rPr>
      </w:pPr>
      <w:sdt>
        <w:sdtPr>
          <w:rPr>
            <w:noProof/>
          </w:rPr>
          <w:id w:val="2023813044"/>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laenud. Märkige, kuidas arvutatakse toetuse ekvivalent ja esitage viide õigusliku aluse vastavatele sätetele: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2257B" w:rsidRPr="00373AB8" w14:paraId="454CC6E3" w14:textId="77777777" w:rsidTr="003C7157">
        <w:tc>
          <w:tcPr>
            <w:tcW w:w="7115" w:type="dxa"/>
            <w:shd w:val="clear" w:color="auto" w:fill="auto"/>
          </w:tcPr>
          <w:p w14:paraId="561D838E" w14:textId="77777777" w:rsidR="0082257B" w:rsidRPr="00373AB8" w:rsidRDefault="0082257B" w:rsidP="007A7CA7">
            <w:pPr>
              <w:rPr>
                <w:noProof/>
              </w:rPr>
            </w:pPr>
            <w:r w:rsidRPr="00373AB8">
              <w:rPr>
                <w:noProof/>
              </w:rPr>
              <w:t xml:space="preserve">… </w:t>
            </w:r>
          </w:p>
        </w:tc>
      </w:tr>
    </w:tbl>
    <w:p w14:paraId="2D76C650" w14:textId="77777777" w:rsidR="0082257B" w:rsidRPr="00373AB8" w:rsidRDefault="007A7CA7" w:rsidP="0082257B">
      <w:pPr>
        <w:pStyle w:val="Tiret1"/>
        <w:numPr>
          <w:ilvl w:val="0"/>
          <w:numId w:val="29"/>
        </w:numPr>
        <w:rPr>
          <w:noProof/>
        </w:rPr>
      </w:pPr>
      <w:sdt>
        <w:sdtPr>
          <w:rPr>
            <w:noProof/>
          </w:rPr>
          <w:id w:val="228507642"/>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garantiid. Märkige, kuidas arvutatakse toetuse ekvivalent ja esitage viide õigusliku aluse vastavatele sätetele: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2257B" w:rsidRPr="00373AB8" w14:paraId="3B2174DD" w14:textId="77777777" w:rsidTr="003C7157">
        <w:tc>
          <w:tcPr>
            <w:tcW w:w="7115" w:type="dxa"/>
            <w:shd w:val="clear" w:color="auto" w:fill="auto"/>
          </w:tcPr>
          <w:p w14:paraId="40A2A85B" w14:textId="77777777" w:rsidR="0082257B" w:rsidRPr="00373AB8" w:rsidRDefault="0082257B" w:rsidP="007A7CA7">
            <w:pPr>
              <w:rPr>
                <w:noProof/>
              </w:rPr>
            </w:pPr>
            <w:r w:rsidRPr="00373AB8">
              <w:rPr>
                <w:noProof/>
              </w:rPr>
              <w:t>…</w:t>
            </w:r>
          </w:p>
        </w:tc>
      </w:tr>
    </w:tbl>
    <w:p w14:paraId="0D8D18E8" w14:textId="77777777" w:rsidR="0082257B" w:rsidRPr="00373AB8" w:rsidRDefault="007A7CA7" w:rsidP="0082257B">
      <w:pPr>
        <w:pStyle w:val="Tiret1"/>
        <w:numPr>
          <w:ilvl w:val="0"/>
          <w:numId w:val="29"/>
        </w:numPr>
        <w:rPr>
          <w:noProof/>
        </w:rPr>
      </w:pPr>
      <w:sdt>
        <w:sdtPr>
          <w:rPr>
            <w:noProof/>
          </w:rPr>
          <w:id w:val="-1028026645"/>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maksusoodustused. Märkige, mis liiki maksusoodustusi kasutatakse ja kuidas arvutatakse toetuse ekvivalent. Esitage ka viide õigusliku aluse vastavatele sätetele: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2257B" w:rsidRPr="00373AB8" w14:paraId="3D6F78B3" w14:textId="77777777" w:rsidTr="003C7157">
        <w:tc>
          <w:tcPr>
            <w:tcW w:w="7115" w:type="dxa"/>
            <w:shd w:val="clear" w:color="auto" w:fill="auto"/>
          </w:tcPr>
          <w:p w14:paraId="79012EDB" w14:textId="77777777" w:rsidR="0082257B" w:rsidRPr="00373AB8" w:rsidRDefault="0082257B" w:rsidP="007A7CA7">
            <w:pPr>
              <w:rPr>
                <w:noProof/>
              </w:rPr>
            </w:pPr>
            <w:r w:rsidRPr="00373AB8">
              <w:rPr>
                <w:noProof/>
              </w:rPr>
              <w:t>…</w:t>
            </w:r>
          </w:p>
        </w:tc>
      </w:tr>
    </w:tbl>
    <w:p w14:paraId="78764FA7" w14:textId="77777777" w:rsidR="0082257B" w:rsidRPr="00373AB8" w:rsidRDefault="007A7CA7" w:rsidP="0082257B">
      <w:pPr>
        <w:pStyle w:val="Tiret1"/>
        <w:numPr>
          <w:ilvl w:val="0"/>
          <w:numId w:val="29"/>
        </w:numPr>
        <w:rPr>
          <w:noProof/>
        </w:rPr>
      </w:pPr>
      <w:sdt>
        <w:sdtPr>
          <w:rPr>
            <w:noProof/>
          </w:rPr>
          <w:id w:val="-1467264708"/>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muu. Täpsustage ja märkige, kuidas arvutatakse toetuse ekvivalent. Esitage ka viide õigusliku aluse vastavatele sätetele: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2257B" w:rsidRPr="00373AB8" w14:paraId="7AC61595" w14:textId="77777777" w:rsidTr="003C7157">
        <w:tc>
          <w:tcPr>
            <w:tcW w:w="7115" w:type="dxa"/>
            <w:shd w:val="clear" w:color="auto" w:fill="auto"/>
          </w:tcPr>
          <w:p w14:paraId="6DDAB7B2" w14:textId="77777777" w:rsidR="0082257B" w:rsidRPr="00373AB8" w:rsidRDefault="0082257B" w:rsidP="003C7157">
            <w:pPr>
              <w:rPr>
                <w:noProof/>
              </w:rPr>
            </w:pPr>
            <w:r w:rsidRPr="00373AB8">
              <w:rPr>
                <w:noProof/>
              </w:rPr>
              <w:t>…</w:t>
            </w:r>
          </w:p>
        </w:tc>
      </w:tr>
    </w:tbl>
    <w:p w14:paraId="1C36E0F4"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 xml:space="preserve">Märkige, kas abikava kaasrahastatakse </w:t>
      </w:r>
      <w:r w:rsidRPr="00373AB8">
        <w:rPr>
          <w:noProof/>
          <w:color w:val="000000"/>
        </w:rPr>
        <w:t>eelarve jagatud täitmise korras mõnest liidu fondist (edaspidi „fondid“).</w:t>
      </w:r>
      <w:r w:rsidRPr="00373AB8">
        <w:rPr>
          <w:noProof/>
        </w:rPr>
        <w:t xml:space="preserve"> Kui jah, siis märkige, millise programmi alusel võib selliseid vahendeid saada. Märkige ka fondidelt saadavad summad, kui need on juba teada.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18B84B3A" w14:textId="77777777" w:rsidTr="003C7157">
        <w:tc>
          <w:tcPr>
            <w:tcW w:w="7682" w:type="dxa"/>
            <w:tcBorders>
              <w:top w:val="dotted" w:sz="4" w:space="0" w:color="auto"/>
              <w:left w:val="dotted" w:sz="4" w:space="0" w:color="auto"/>
              <w:bottom w:val="dotted" w:sz="4" w:space="0" w:color="auto"/>
              <w:right w:val="dotted" w:sz="4" w:space="0" w:color="auto"/>
            </w:tcBorders>
          </w:tcPr>
          <w:p w14:paraId="0060B2CE" w14:textId="77777777" w:rsidR="0082257B" w:rsidRPr="00373AB8" w:rsidRDefault="0082257B" w:rsidP="003C7157">
            <w:pPr>
              <w:rPr>
                <w:noProof/>
              </w:rPr>
            </w:pPr>
            <w:r w:rsidRPr="00373AB8">
              <w:rPr>
                <w:noProof/>
              </w:rPr>
              <w:lastRenderedPageBreak/>
              <w:t>…</w:t>
            </w:r>
          </w:p>
        </w:tc>
      </w:tr>
    </w:tbl>
    <w:p w14:paraId="712AA0FF"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 xml:space="preserve">Esitage viide õigusliku aluse vastavatele sätetele, millega on ette nähtud, et riigiabi andev asutus peab enne teatatud kava raames üksikabi andmist kindlaks tegema, kas abisaaja (kontserni tasandil) on saanud abi ühe (või mitme) alginvesteeringu raames, mida ta alustas kolm aastat enne investeerimisprojekti tööde alustamist samas NUTS 3 piirkonnas.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494E70CF" w14:textId="77777777" w:rsidTr="003C7157">
        <w:tc>
          <w:tcPr>
            <w:tcW w:w="7682" w:type="dxa"/>
            <w:tcBorders>
              <w:top w:val="dotted" w:sz="4" w:space="0" w:color="auto"/>
              <w:left w:val="dotted" w:sz="4" w:space="0" w:color="auto"/>
              <w:bottom w:val="dotted" w:sz="4" w:space="0" w:color="auto"/>
              <w:right w:val="dotted" w:sz="4" w:space="0" w:color="auto"/>
            </w:tcBorders>
          </w:tcPr>
          <w:p w14:paraId="0B6F564D" w14:textId="77777777" w:rsidR="0082257B" w:rsidRPr="00373AB8" w:rsidRDefault="0082257B" w:rsidP="003C7157">
            <w:pPr>
              <w:rPr>
                <w:noProof/>
              </w:rPr>
            </w:pPr>
            <w:r w:rsidRPr="00373AB8">
              <w:rPr>
                <w:noProof/>
              </w:rPr>
              <w:t>…</w:t>
            </w:r>
          </w:p>
        </w:tc>
      </w:tr>
    </w:tbl>
    <w:p w14:paraId="614A8ED0"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Esitage viide õigusliku aluse vastavatele sätetele, millega on ette nähtud, et kava raames antava abi kogusumma mis tahes alginvesteeringuprojekti puhul ei ületa summat, mis tuleneb abi ülemmäärast (nagu see on määratletud RAG punkti 19 alapunktis 19) ja et vajaduse korral on arvesse võetud abi osakaalu suurendamist VKEde puhul (kindlaks määratud RAG punktis 186) või on kasutatud kohandatud abisumma valemit (RAG punkti 19 alapunkt 3).</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649C000D" w14:textId="77777777" w:rsidTr="003C7157">
        <w:tc>
          <w:tcPr>
            <w:tcW w:w="7682" w:type="dxa"/>
            <w:tcBorders>
              <w:top w:val="dotted" w:sz="4" w:space="0" w:color="auto"/>
              <w:left w:val="dotted" w:sz="4" w:space="0" w:color="auto"/>
              <w:bottom w:val="dotted" w:sz="4" w:space="0" w:color="auto"/>
              <w:right w:val="dotted" w:sz="4" w:space="0" w:color="auto"/>
            </w:tcBorders>
          </w:tcPr>
          <w:p w14:paraId="0455A4B2" w14:textId="77777777" w:rsidR="0082257B" w:rsidRPr="00373AB8" w:rsidRDefault="0082257B" w:rsidP="003C7157">
            <w:pPr>
              <w:rPr>
                <w:noProof/>
              </w:rPr>
            </w:pPr>
            <w:r w:rsidRPr="00373AB8">
              <w:rPr>
                <w:noProof/>
              </w:rPr>
              <w:t>…</w:t>
            </w:r>
          </w:p>
        </w:tc>
      </w:tr>
    </w:tbl>
    <w:p w14:paraId="4FBAE630"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Esitage viide õigusliku aluse vastavatele sätetele, millega on ette nähtud, et juhul, kui üksikabi antakse mitme regionaalabi kava alusel või kui abi kumuleeritakse sihtotstarbelise üksikabi andmisega, ei ületa abi lubatud ülemmäär projekti kohta summat, mille on esimene abi andev ametiasutus eelnevalt välja arvutanud (RAG punkt 99).</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1A06F08C" w14:textId="77777777" w:rsidTr="003C7157">
        <w:tc>
          <w:tcPr>
            <w:tcW w:w="7682" w:type="dxa"/>
            <w:tcBorders>
              <w:top w:val="dotted" w:sz="4" w:space="0" w:color="auto"/>
              <w:left w:val="dotted" w:sz="4" w:space="0" w:color="auto"/>
              <w:bottom w:val="dotted" w:sz="4" w:space="0" w:color="auto"/>
              <w:right w:val="dotted" w:sz="4" w:space="0" w:color="auto"/>
            </w:tcBorders>
          </w:tcPr>
          <w:p w14:paraId="501D95C1" w14:textId="77777777" w:rsidR="0082257B" w:rsidRPr="00373AB8" w:rsidRDefault="0082257B" w:rsidP="003C7157">
            <w:pPr>
              <w:rPr>
                <w:noProof/>
              </w:rPr>
            </w:pPr>
            <w:r w:rsidRPr="00373AB8">
              <w:rPr>
                <w:noProof/>
              </w:rPr>
              <w:t>…</w:t>
            </w:r>
          </w:p>
        </w:tc>
      </w:tr>
    </w:tbl>
    <w:p w14:paraId="1746DFC3"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 xml:space="preserve">Kui abikava raames antakse abi alginvesteeringuteks, mis on seotud Euroopa territoriaalse koostöö projektidega, siis esitage viide õigusliku aluse vastavatele sätetele (viidates regionaalabi suuniste punktile 100), millega on ette nähtud, kuidas määratakse kindlaks projekti ja eri abisaajate puhul kohaldatava abi ülemmäär.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2E027852" w14:textId="77777777" w:rsidTr="003C7157">
        <w:tc>
          <w:tcPr>
            <w:tcW w:w="7682" w:type="dxa"/>
            <w:tcBorders>
              <w:top w:val="dotted" w:sz="4" w:space="0" w:color="auto"/>
              <w:left w:val="dotted" w:sz="4" w:space="0" w:color="auto"/>
              <w:bottom w:val="dotted" w:sz="4" w:space="0" w:color="auto"/>
              <w:right w:val="dotted" w:sz="4" w:space="0" w:color="auto"/>
            </w:tcBorders>
          </w:tcPr>
          <w:p w14:paraId="1502F876" w14:textId="77777777" w:rsidR="0082257B" w:rsidRPr="00373AB8" w:rsidRDefault="0082257B" w:rsidP="003C7157">
            <w:pPr>
              <w:rPr>
                <w:noProof/>
              </w:rPr>
            </w:pPr>
            <w:r w:rsidRPr="00373AB8">
              <w:rPr>
                <w:noProof/>
              </w:rPr>
              <w:t>…</w:t>
            </w:r>
          </w:p>
        </w:tc>
      </w:tr>
    </w:tbl>
    <w:p w14:paraId="2FCEB722" w14:textId="72300EA9" w:rsidR="0082257B" w:rsidRPr="00373AB8" w:rsidRDefault="0082257B" w:rsidP="0082257B">
      <w:pPr>
        <w:pStyle w:val="Heading1"/>
        <w:rPr>
          <w:noProof/>
        </w:rPr>
      </w:pPr>
      <w:r w:rsidRPr="00373AB8">
        <w:rPr>
          <w:noProof/>
        </w:rPr>
        <w:t>Regionaalabi kava kokkusobivuse hindamine</w:t>
      </w:r>
    </w:p>
    <w:p w14:paraId="285468EC" w14:textId="77777777" w:rsidR="0082257B" w:rsidRPr="00373AB8" w:rsidRDefault="0082257B" w:rsidP="0082257B">
      <w:pPr>
        <w:pStyle w:val="NormalKop111"/>
        <w:numPr>
          <w:ilvl w:val="1"/>
          <w:numId w:val="22"/>
        </w:numPr>
        <w:tabs>
          <w:tab w:val="clear" w:pos="720"/>
          <w:tab w:val="clear" w:pos="1440"/>
          <w:tab w:val="clear" w:pos="1797"/>
        </w:tabs>
        <w:ind w:left="709" w:hanging="709"/>
        <w:rPr>
          <w:b/>
          <w:noProof/>
        </w:rPr>
      </w:pPr>
      <w:r w:rsidRPr="00373AB8">
        <w:rPr>
          <w:b/>
          <w:noProof/>
        </w:rPr>
        <w:t>Panus piirkondlikusse arengusse, positiivne mõju ja riigi sekkumise vajadus</w:t>
      </w:r>
    </w:p>
    <w:p w14:paraId="4949E9D8"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Selgitage, kuidas sobib abikava kokku asjaomase piirkonna arengustrateegiaga ning aitab saavutada selle eesmärke (RAG punkt 44):</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2257B" w:rsidRPr="00373AB8" w14:paraId="2486CA00" w14:textId="77777777" w:rsidTr="003C7157">
        <w:tc>
          <w:tcPr>
            <w:tcW w:w="7399" w:type="dxa"/>
            <w:tcBorders>
              <w:top w:val="dotted" w:sz="4" w:space="0" w:color="auto"/>
              <w:left w:val="dotted" w:sz="4" w:space="0" w:color="auto"/>
              <w:bottom w:val="dotted" w:sz="4" w:space="0" w:color="auto"/>
              <w:right w:val="dotted" w:sz="4" w:space="0" w:color="auto"/>
            </w:tcBorders>
          </w:tcPr>
          <w:p w14:paraId="339CE194" w14:textId="77777777" w:rsidR="0082257B" w:rsidRPr="00373AB8" w:rsidRDefault="0082257B" w:rsidP="003C7157">
            <w:pPr>
              <w:rPr>
                <w:noProof/>
              </w:rPr>
            </w:pPr>
            <w:r w:rsidRPr="00373AB8">
              <w:rPr>
                <w:noProof/>
              </w:rPr>
              <w:t>…</w:t>
            </w:r>
          </w:p>
        </w:tc>
      </w:tr>
    </w:tbl>
    <w:p w14:paraId="620036AB"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Esitage viide õigusliku aluse vastavatele sätetele, milles on nõutud, et enne projektile abi andmist tuleb hinnata asjaomase investeeringu keskkonnamõju, kui nii on õigusaktidega ette nähtud (RAG punkt 49).</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139FB93B" w14:textId="77777777" w:rsidTr="003C7157">
        <w:tc>
          <w:tcPr>
            <w:tcW w:w="7682" w:type="dxa"/>
            <w:tcBorders>
              <w:top w:val="dotted" w:sz="4" w:space="0" w:color="auto"/>
              <w:left w:val="dotted" w:sz="4" w:space="0" w:color="auto"/>
              <w:bottom w:val="dotted" w:sz="4" w:space="0" w:color="auto"/>
              <w:right w:val="dotted" w:sz="4" w:space="0" w:color="auto"/>
            </w:tcBorders>
          </w:tcPr>
          <w:p w14:paraId="3D3E21B4" w14:textId="77777777" w:rsidR="0082257B" w:rsidRPr="00373AB8" w:rsidRDefault="0082257B" w:rsidP="003C7157">
            <w:pPr>
              <w:tabs>
                <w:tab w:val="left" w:pos="720"/>
                <w:tab w:val="left" w:pos="1077"/>
                <w:tab w:val="left" w:pos="1440"/>
                <w:tab w:val="left" w:pos="1797"/>
              </w:tabs>
              <w:rPr>
                <w:noProof/>
              </w:rPr>
            </w:pPr>
            <w:r w:rsidRPr="00373AB8">
              <w:rPr>
                <w:noProof/>
              </w:rPr>
              <w:lastRenderedPageBreak/>
              <w:t>…</w:t>
            </w:r>
          </w:p>
        </w:tc>
      </w:tr>
    </w:tbl>
    <w:p w14:paraId="7191C0CE"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Selgitage, kuidas abi andvad ametiasutused abikava eesmärkidest lähtudes (nt ametlikku hindamist kasutava lähenemise alusel) investeerimisprojektide prioriteetsust määravad ja neid valivad (RAG punkt 44). Esitage ka viide õigusliku aluse vastavatele sätetele või muudele asjakohastele haldusaktidele.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031736A8" w14:textId="77777777" w:rsidTr="003C7157">
        <w:tc>
          <w:tcPr>
            <w:tcW w:w="7682" w:type="dxa"/>
            <w:tcBorders>
              <w:top w:val="dotted" w:sz="4" w:space="0" w:color="auto"/>
              <w:left w:val="dotted" w:sz="4" w:space="0" w:color="auto"/>
              <w:bottom w:val="dotted" w:sz="4" w:space="0" w:color="auto"/>
              <w:right w:val="dotted" w:sz="4" w:space="0" w:color="auto"/>
            </w:tcBorders>
          </w:tcPr>
          <w:p w14:paraId="7F9E9DC3" w14:textId="77777777" w:rsidR="0082257B" w:rsidRPr="00373AB8" w:rsidRDefault="0082257B" w:rsidP="003C7157">
            <w:pPr>
              <w:tabs>
                <w:tab w:val="left" w:pos="720"/>
                <w:tab w:val="left" w:pos="1077"/>
                <w:tab w:val="left" w:pos="1440"/>
                <w:tab w:val="left" w:pos="1797"/>
              </w:tabs>
              <w:rPr>
                <w:noProof/>
              </w:rPr>
            </w:pPr>
            <w:r w:rsidRPr="00373AB8">
              <w:rPr>
                <w:noProof/>
              </w:rPr>
              <w:t>…</w:t>
            </w:r>
          </w:p>
        </w:tc>
      </w:tr>
    </w:tbl>
    <w:p w14:paraId="2C988567"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Selgitage, kuidas peab teatatud kava alusel individuaalsetele investeerimisprojektidele abi andev asutus välja selgitama, kas valitud projekt toetab kava eesmärkide saavutamist ning seega asjaomase piirkonna arengustrateegiat (RAG punkt 46).</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7D41FFE2" w14:textId="77777777" w:rsidTr="003C7157">
        <w:tc>
          <w:tcPr>
            <w:tcW w:w="7682" w:type="dxa"/>
            <w:tcBorders>
              <w:top w:val="dotted" w:sz="4" w:space="0" w:color="auto"/>
              <w:left w:val="dotted" w:sz="4" w:space="0" w:color="auto"/>
              <w:bottom w:val="dotted" w:sz="4" w:space="0" w:color="auto"/>
              <w:right w:val="dotted" w:sz="4" w:space="0" w:color="auto"/>
            </w:tcBorders>
          </w:tcPr>
          <w:p w14:paraId="72428700" w14:textId="77777777" w:rsidR="0082257B" w:rsidRPr="00373AB8" w:rsidRDefault="0082257B" w:rsidP="003C7157">
            <w:pPr>
              <w:tabs>
                <w:tab w:val="left" w:pos="720"/>
                <w:tab w:val="left" w:pos="1077"/>
                <w:tab w:val="left" w:pos="1440"/>
                <w:tab w:val="left" w:pos="1797"/>
              </w:tabs>
              <w:rPr>
                <w:noProof/>
              </w:rPr>
            </w:pPr>
            <w:r w:rsidRPr="00373AB8">
              <w:rPr>
                <w:noProof/>
              </w:rPr>
              <w:t>…</w:t>
            </w:r>
          </w:p>
        </w:tc>
      </w:tr>
    </w:tbl>
    <w:p w14:paraId="68028F17"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Selgitage, kuidas rakendatakse sätet, mille kohaselt tuleb teatatud kava raames toetatud investeeringut asjaomasel alal säilitada vähemalt viis või VKEde puhul kolm aastat pärast investeeringu lõpuleviimist (RAG punkt 47). Esitage viide õigusliku aluse vastavatele sätetele.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1B13A4DF" w14:textId="77777777" w:rsidTr="003C7157">
        <w:tc>
          <w:tcPr>
            <w:tcW w:w="7682" w:type="dxa"/>
            <w:tcBorders>
              <w:top w:val="dotted" w:sz="4" w:space="0" w:color="auto"/>
              <w:left w:val="dotted" w:sz="4" w:space="0" w:color="auto"/>
              <w:bottom w:val="dotted" w:sz="4" w:space="0" w:color="auto"/>
              <w:right w:val="dotted" w:sz="4" w:space="0" w:color="auto"/>
            </w:tcBorders>
          </w:tcPr>
          <w:p w14:paraId="45384749" w14:textId="77777777" w:rsidR="0082257B" w:rsidRPr="00373AB8" w:rsidRDefault="0082257B" w:rsidP="003C7157">
            <w:pPr>
              <w:tabs>
                <w:tab w:val="left" w:pos="720"/>
                <w:tab w:val="left" w:pos="1077"/>
                <w:tab w:val="left" w:pos="1440"/>
                <w:tab w:val="left" w:pos="1797"/>
              </w:tabs>
              <w:rPr>
                <w:noProof/>
              </w:rPr>
            </w:pPr>
            <w:r w:rsidRPr="00373AB8">
              <w:rPr>
                <w:noProof/>
              </w:rPr>
              <w:t>…</w:t>
            </w:r>
          </w:p>
        </w:tc>
      </w:tr>
    </w:tbl>
    <w:p w14:paraId="5BA8C152"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Kui teatatud kava raames antavat abi arvutatakse palgakulude alusel, siis selgitage, kuidas rakendatakse sätet, milles on nõutud, et kolme aasta jooksul pärast tööde lõpetamist tuleb luua uusi ametikohti ja et kõiki selle investeeringuga loodud töökohti tuleb asjaomases piirkonnas säilitada viis aastat (VKEde puhul kolm aastat) pärast ametikoha esmakordset täitmist (RAG punkt 36). Esitage viide õigusliku aluse vastavale sättele.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3FC7E05F" w14:textId="77777777" w:rsidTr="003C7157">
        <w:tc>
          <w:tcPr>
            <w:tcW w:w="7682" w:type="dxa"/>
            <w:tcBorders>
              <w:top w:val="dotted" w:sz="4" w:space="0" w:color="auto"/>
              <w:left w:val="dotted" w:sz="4" w:space="0" w:color="auto"/>
              <w:bottom w:val="dotted" w:sz="4" w:space="0" w:color="auto"/>
              <w:right w:val="dotted" w:sz="4" w:space="0" w:color="auto"/>
            </w:tcBorders>
          </w:tcPr>
          <w:p w14:paraId="740D5D79" w14:textId="77777777" w:rsidR="0082257B" w:rsidRPr="00373AB8" w:rsidRDefault="0082257B" w:rsidP="003C7157">
            <w:pPr>
              <w:tabs>
                <w:tab w:val="left" w:pos="720"/>
                <w:tab w:val="left" w:pos="1077"/>
                <w:tab w:val="left" w:pos="1440"/>
                <w:tab w:val="left" w:pos="1797"/>
              </w:tabs>
              <w:rPr>
                <w:noProof/>
              </w:rPr>
            </w:pPr>
            <w:r w:rsidRPr="00373AB8">
              <w:rPr>
                <w:noProof/>
              </w:rPr>
              <w:t>…</w:t>
            </w:r>
          </w:p>
        </w:tc>
      </w:tr>
    </w:tbl>
    <w:p w14:paraId="71F76843"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Esitage viide õigusliku aluse sätetele, millega on ette nähtud, et abisaajad peavad omavahenditest või välisrahastuse abil rahastama vähemalt 25 % abikõlblikest kuludest ning tegema seda vormis, mille puhul on välistatud igasugune avalik finantstoetus</w:t>
      </w:r>
      <w:r w:rsidRPr="00373AB8">
        <w:rPr>
          <w:rStyle w:val="FootnoteReference"/>
          <w:noProof/>
        </w:rPr>
        <w:footnoteReference w:id="20"/>
      </w:r>
      <w:r w:rsidRPr="00373AB8">
        <w:rPr>
          <w:noProof/>
        </w:rPr>
        <w:t xml:space="preserve"> (RAG punkt 48).</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16F1283F" w14:textId="77777777" w:rsidTr="003C7157">
        <w:tc>
          <w:tcPr>
            <w:tcW w:w="7682" w:type="dxa"/>
            <w:tcBorders>
              <w:top w:val="dotted" w:sz="4" w:space="0" w:color="auto"/>
              <w:left w:val="dotted" w:sz="4" w:space="0" w:color="auto"/>
              <w:bottom w:val="dotted" w:sz="4" w:space="0" w:color="auto"/>
              <w:right w:val="dotted" w:sz="4" w:space="0" w:color="auto"/>
            </w:tcBorders>
          </w:tcPr>
          <w:p w14:paraId="3B67C4AE" w14:textId="77777777" w:rsidR="0082257B" w:rsidRPr="00373AB8" w:rsidRDefault="0082257B" w:rsidP="003C7157">
            <w:pPr>
              <w:rPr>
                <w:noProof/>
                <w:szCs w:val="24"/>
              </w:rPr>
            </w:pPr>
            <w:r w:rsidRPr="00373AB8">
              <w:rPr>
                <w:noProof/>
              </w:rPr>
              <w:t>…</w:t>
            </w:r>
          </w:p>
        </w:tc>
      </w:tr>
    </w:tbl>
    <w:p w14:paraId="3CA1B4FB"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Esitage viide õigusliku aluse sätetele, milles on näidatud, et kava peaks järgima abi andmise ajal kehtiva regionaalabi kaardi kohaseid abi ülemmäärasid (RAG punkt 88). Esitage viide ka komisjoni otsusele, millega asjaomane regionaalabi kaart heaks kiideti.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410A1C52" w14:textId="77777777" w:rsidTr="003C7157">
        <w:tc>
          <w:tcPr>
            <w:tcW w:w="7682" w:type="dxa"/>
            <w:tcBorders>
              <w:top w:val="dotted" w:sz="4" w:space="0" w:color="auto"/>
              <w:left w:val="dotted" w:sz="4" w:space="0" w:color="auto"/>
              <w:bottom w:val="dotted" w:sz="4" w:space="0" w:color="auto"/>
              <w:right w:val="dotted" w:sz="4" w:space="0" w:color="auto"/>
            </w:tcBorders>
          </w:tcPr>
          <w:p w14:paraId="22A8CE96" w14:textId="77777777" w:rsidR="0082257B" w:rsidRPr="00373AB8" w:rsidRDefault="0082257B" w:rsidP="003C7157">
            <w:pPr>
              <w:rPr>
                <w:noProof/>
                <w:szCs w:val="24"/>
              </w:rPr>
            </w:pPr>
            <w:r w:rsidRPr="00373AB8">
              <w:rPr>
                <w:noProof/>
              </w:rPr>
              <w:lastRenderedPageBreak/>
              <w:t>…</w:t>
            </w:r>
          </w:p>
        </w:tc>
      </w:tr>
    </w:tbl>
    <w:p w14:paraId="3BED48BC" w14:textId="77777777" w:rsidR="0082257B" w:rsidRPr="00373AB8" w:rsidRDefault="0082257B" w:rsidP="0082257B">
      <w:pPr>
        <w:pStyle w:val="NormalKop111"/>
        <w:numPr>
          <w:ilvl w:val="1"/>
          <w:numId w:val="22"/>
        </w:numPr>
        <w:tabs>
          <w:tab w:val="clear" w:pos="720"/>
          <w:tab w:val="clear" w:pos="1440"/>
          <w:tab w:val="clear" w:pos="1797"/>
        </w:tabs>
        <w:ind w:left="709" w:hanging="709"/>
        <w:rPr>
          <w:b/>
          <w:noProof/>
        </w:rPr>
      </w:pPr>
      <w:r w:rsidRPr="00373AB8">
        <w:rPr>
          <w:b/>
          <w:noProof/>
        </w:rPr>
        <w:t>Kava ergutav mõju</w:t>
      </w:r>
    </w:p>
    <w:p w14:paraId="190C3110"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Esitage viide õigusliku aluse sätetele, mille kohaselt tuleb abitaotlus alati esitada enne, kui konkreetse investeerimisprojekti raames töid alustatakse (RAG punkt 62).</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664BBF17" w14:textId="77777777" w:rsidTr="003C7157">
        <w:tc>
          <w:tcPr>
            <w:tcW w:w="7682" w:type="dxa"/>
            <w:shd w:val="clear" w:color="auto" w:fill="auto"/>
          </w:tcPr>
          <w:p w14:paraId="03C2E159" w14:textId="77777777" w:rsidR="0082257B" w:rsidRPr="00373AB8" w:rsidRDefault="0082257B" w:rsidP="003C7157">
            <w:pPr>
              <w:rPr>
                <w:noProof/>
              </w:rPr>
            </w:pPr>
            <w:r w:rsidRPr="00373AB8">
              <w:rPr>
                <w:noProof/>
              </w:rPr>
              <w:t>…</w:t>
            </w:r>
          </w:p>
        </w:tc>
      </w:tr>
    </w:tbl>
    <w:p w14:paraId="02EEB232"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 xml:space="preserve">Esitage viide õigusliku aluse sätetele, millega on ette nähtud, et need, kes teatatud kava raames abi taotlevad, peavad esitama standardse abitaotluse vormi, mille nad saavad abi andva ametiasutuse käest ja milles nad </w:t>
      </w:r>
      <w:r w:rsidRPr="00373AB8">
        <w:rPr>
          <w:noProof/>
          <w:color w:val="000000"/>
        </w:rPr>
        <w:t>peavad vastupidise stsenaariumi abil selgitama, mis juhtuks juhul, kui nad abi ei saa, ja märkima, kumba stsenaariumi (</w:t>
      </w:r>
      <w:r w:rsidRPr="00373AB8">
        <w:rPr>
          <w:i/>
          <w:noProof/>
          <w:color w:val="000000"/>
        </w:rPr>
        <w:t>1. stsenaarium</w:t>
      </w:r>
      <w:r w:rsidRPr="00373AB8">
        <w:rPr>
          <w:noProof/>
          <w:color w:val="000000"/>
        </w:rPr>
        <w:t xml:space="preserve"> – investeerimisotsus või </w:t>
      </w:r>
      <w:r w:rsidRPr="00373AB8">
        <w:rPr>
          <w:i/>
          <w:noProof/>
          <w:color w:val="000000"/>
        </w:rPr>
        <w:t>2. stsenaarium</w:t>
      </w:r>
      <w:r w:rsidRPr="00373AB8">
        <w:rPr>
          <w:noProof/>
          <w:color w:val="000000"/>
        </w:rPr>
        <w:t xml:space="preserve"> – asukoha valik) nad kohaldavad (RAG punktid 64 ja 59). Kui kasutatav abitaotluse vorm erineb regionaalabi suuniste VII lisas esitatud näidisest, siis esitage vormi koopia.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45E290C3" w14:textId="77777777" w:rsidTr="003C7157">
        <w:tc>
          <w:tcPr>
            <w:tcW w:w="7682" w:type="dxa"/>
            <w:shd w:val="clear" w:color="auto" w:fill="auto"/>
          </w:tcPr>
          <w:p w14:paraId="1A36DDAA" w14:textId="77777777" w:rsidR="0082257B" w:rsidRPr="00373AB8" w:rsidRDefault="0082257B" w:rsidP="003C7157">
            <w:pPr>
              <w:rPr>
                <w:noProof/>
              </w:rPr>
            </w:pPr>
            <w:r w:rsidRPr="00373AB8">
              <w:rPr>
                <w:noProof/>
              </w:rPr>
              <w:t>…</w:t>
            </w:r>
          </w:p>
        </w:tc>
      </w:tr>
    </w:tbl>
    <w:p w14:paraId="1FD856B1"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Esitage viide õigusliku aluse sätetele, millega on ette nähtud, et teatatud kava raames abi taotlevad suurettevõtjad peavad esitama dokumentaalsed tõendid taotlusvormil kirjeldatud vastupidise stsenaariumi kohta (RAG punkt 65). Selgitage, mis liiki dokumente nõutakse.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31644EFC" w14:textId="77777777" w:rsidTr="003C7157">
        <w:tc>
          <w:tcPr>
            <w:tcW w:w="7682" w:type="dxa"/>
            <w:shd w:val="clear" w:color="auto" w:fill="auto"/>
          </w:tcPr>
          <w:p w14:paraId="49829393" w14:textId="77777777" w:rsidR="0082257B" w:rsidRPr="00373AB8" w:rsidRDefault="0082257B" w:rsidP="003C7157">
            <w:pPr>
              <w:rPr>
                <w:noProof/>
              </w:rPr>
            </w:pPr>
            <w:r w:rsidRPr="00373AB8">
              <w:rPr>
                <w:noProof/>
              </w:rPr>
              <w:t>…</w:t>
            </w:r>
          </w:p>
        </w:tc>
      </w:tr>
    </w:tbl>
    <w:p w14:paraId="7036F88E" w14:textId="77777777" w:rsidR="0082257B" w:rsidRPr="00373AB8" w:rsidRDefault="0082257B" w:rsidP="0082257B">
      <w:pPr>
        <w:pStyle w:val="NormalKop111"/>
        <w:numPr>
          <w:ilvl w:val="2"/>
          <w:numId w:val="22"/>
        </w:numPr>
        <w:tabs>
          <w:tab w:val="clear" w:pos="720"/>
          <w:tab w:val="clear" w:pos="1440"/>
          <w:tab w:val="clear" w:pos="1797"/>
        </w:tabs>
        <w:ind w:left="1418" w:hanging="698"/>
        <w:rPr>
          <w:rFonts w:cs="Times New Roman"/>
          <w:noProof/>
        </w:rPr>
      </w:pPr>
      <w:r w:rsidRPr="00373AB8">
        <w:rPr>
          <w:noProof/>
        </w:rPr>
        <w:t xml:space="preserve">Esitage viide õigusliku aluse sätetele, millega on ette nähtud, et abi andev ametiasutus peab üksikabi taotluste hindamisel kontrollima vastupidise stsenaariumi usaldusväärsust ning seda, et regionaalabil on nõutav ergutav mõju, mis vastab </w:t>
      </w:r>
      <w:r w:rsidRPr="00373AB8">
        <w:rPr>
          <w:i/>
          <w:noProof/>
        </w:rPr>
        <w:t>1. stsenaariumile</w:t>
      </w:r>
      <w:r w:rsidRPr="00373AB8">
        <w:rPr>
          <w:noProof/>
        </w:rPr>
        <w:t xml:space="preserve"> või </w:t>
      </w:r>
      <w:r w:rsidRPr="00373AB8">
        <w:rPr>
          <w:i/>
          <w:noProof/>
        </w:rPr>
        <w:t>2. stsenaariumile</w:t>
      </w:r>
      <w:r w:rsidRPr="00373AB8">
        <w:rPr>
          <w:rStyle w:val="FootnoteReference"/>
          <w:noProof/>
        </w:rPr>
        <w:footnoteReference w:id="21"/>
      </w:r>
      <w:r w:rsidRPr="00373AB8">
        <w:rPr>
          <w:noProof/>
        </w:rPr>
        <w:t xml:space="preserve"> (RAG punkt 66).</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41814723" w14:textId="77777777" w:rsidTr="003C7157">
        <w:tc>
          <w:tcPr>
            <w:tcW w:w="7682" w:type="dxa"/>
            <w:shd w:val="clear" w:color="auto" w:fill="auto"/>
          </w:tcPr>
          <w:p w14:paraId="07EA45B8" w14:textId="77777777" w:rsidR="0082257B" w:rsidRPr="00373AB8" w:rsidRDefault="0082257B" w:rsidP="003C7157">
            <w:pPr>
              <w:rPr>
                <w:noProof/>
              </w:rPr>
            </w:pPr>
            <w:r w:rsidRPr="00373AB8">
              <w:rPr>
                <w:noProof/>
              </w:rPr>
              <w:t>…</w:t>
            </w:r>
          </w:p>
        </w:tc>
      </w:tr>
    </w:tbl>
    <w:p w14:paraId="1792D266" w14:textId="77777777" w:rsidR="0082257B" w:rsidRPr="00373AB8" w:rsidRDefault="0082257B" w:rsidP="0082257B">
      <w:pPr>
        <w:pStyle w:val="NormalKop111"/>
        <w:numPr>
          <w:ilvl w:val="1"/>
          <w:numId w:val="22"/>
        </w:numPr>
        <w:tabs>
          <w:tab w:val="clear" w:pos="720"/>
          <w:tab w:val="clear" w:pos="1440"/>
          <w:tab w:val="clear" w:pos="1797"/>
        </w:tabs>
        <w:ind w:left="709" w:hanging="709"/>
        <w:rPr>
          <w:b/>
          <w:noProof/>
        </w:rPr>
      </w:pPr>
      <w:r w:rsidRPr="00373AB8">
        <w:rPr>
          <w:b/>
          <w:noProof/>
        </w:rPr>
        <w:t>Kava asjakohasus</w:t>
      </w:r>
    </w:p>
    <w:p w14:paraId="769E4DDF"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Selgitage, miks on regionaalabi asjakohane vahend piirkonna arengu toetamiseks</w:t>
      </w:r>
      <w:r w:rsidRPr="00373AB8">
        <w:rPr>
          <w:rStyle w:val="FootnoteReference"/>
          <w:noProof/>
        </w:rPr>
        <w:footnoteReference w:id="22"/>
      </w:r>
      <w:r w:rsidRPr="00373AB8">
        <w:rPr>
          <w:noProof/>
        </w:rPr>
        <w:t xml:space="preserve"> (RAG punkt 80):</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5098DEF0" w14:textId="77777777" w:rsidTr="003C7157">
        <w:tc>
          <w:tcPr>
            <w:tcW w:w="7682" w:type="dxa"/>
            <w:tcBorders>
              <w:top w:val="dotted" w:sz="4" w:space="0" w:color="auto"/>
              <w:left w:val="dotted" w:sz="4" w:space="0" w:color="auto"/>
              <w:bottom w:val="dotted" w:sz="4" w:space="0" w:color="auto"/>
              <w:right w:val="dotted" w:sz="4" w:space="0" w:color="auto"/>
            </w:tcBorders>
          </w:tcPr>
          <w:p w14:paraId="321E5468" w14:textId="77777777" w:rsidR="0082257B" w:rsidRPr="00373AB8" w:rsidRDefault="0082257B" w:rsidP="003C7157">
            <w:pPr>
              <w:rPr>
                <w:noProof/>
                <w:szCs w:val="24"/>
              </w:rPr>
            </w:pPr>
            <w:r w:rsidRPr="00373AB8">
              <w:rPr>
                <w:noProof/>
              </w:rPr>
              <w:t>…</w:t>
            </w:r>
          </w:p>
        </w:tc>
      </w:tr>
    </w:tbl>
    <w:p w14:paraId="13AD9021"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lastRenderedPageBreak/>
        <w:t>Kui kava puhul on tegemist valdkondliku abikavaga, siis näidake, millised eelised on sellisel vahendil võrreldes mitut valdkonda hõlmava kava või muude poliitikavalikutega (RAG punkt 81).</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1944BDBF" w14:textId="77777777" w:rsidTr="003C7157">
        <w:tc>
          <w:tcPr>
            <w:tcW w:w="7682" w:type="dxa"/>
            <w:tcBorders>
              <w:top w:val="dotted" w:sz="4" w:space="0" w:color="auto"/>
              <w:left w:val="dotted" w:sz="4" w:space="0" w:color="auto"/>
              <w:bottom w:val="dotted" w:sz="4" w:space="0" w:color="auto"/>
              <w:right w:val="dotted" w:sz="4" w:space="0" w:color="auto"/>
            </w:tcBorders>
          </w:tcPr>
          <w:p w14:paraId="047F0DE5" w14:textId="77777777" w:rsidR="0082257B" w:rsidRPr="00373AB8" w:rsidRDefault="0082257B" w:rsidP="003C7157">
            <w:pPr>
              <w:rPr>
                <w:noProof/>
                <w:szCs w:val="24"/>
              </w:rPr>
            </w:pPr>
            <w:r w:rsidRPr="00373AB8">
              <w:rPr>
                <w:noProof/>
              </w:rPr>
              <w:t>…</w:t>
            </w:r>
          </w:p>
        </w:tc>
      </w:tr>
    </w:tbl>
    <w:p w14:paraId="7D2FFAA9"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Täpsustage, kas teatatud abikava raames antakse üksikabi:</w:t>
      </w:r>
    </w:p>
    <w:p w14:paraId="34B02107" w14:textId="77777777" w:rsidR="0082257B" w:rsidRPr="00373AB8" w:rsidRDefault="007A7CA7" w:rsidP="0082257B">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automaatselt, kui kavale esitatud tingimused on täidetud, või</w:t>
      </w:r>
    </w:p>
    <w:p w14:paraId="63EFD84A" w14:textId="77777777" w:rsidR="0082257B" w:rsidRPr="00373AB8" w:rsidRDefault="007A7CA7" w:rsidP="0082257B">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ametiasutuste kaalutletud otsuse põhjal.</w:t>
      </w:r>
    </w:p>
    <w:p w14:paraId="03498B6B" w14:textId="77777777" w:rsidR="0082257B" w:rsidRPr="00373AB8" w:rsidRDefault="0082257B" w:rsidP="0082257B">
      <w:pPr>
        <w:pStyle w:val="Text2"/>
        <w:ind w:left="1418"/>
        <w:rPr>
          <w:noProof/>
        </w:rPr>
      </w:pPr>
      <w:r w:rsidRPr="00373AB8">
        <w:rPr>
          <w:noProof/>
        </w:rPr>
        <w:t xml:space="preserve">Esitage viide õigusliku aluse vastavale sättele: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4D28DE82" w14:textId="77777777" w:rsidTr="003C7157">
        <w:tc>
          <w:tcPr>
            <w:tcW w:w="7682" w:type="dxa"/>
            <w:tcBorders>
              <w:top w:val="dotted" w:sz="4" w:space="0" w:color="auto"/>
              <w:left w:val="dotted" w:sz="4" w:space="0" w:color="auto"/>
              <w:bottom w:val="dotted" w:sz="4" w:space="0" w:color="auto"/>
              <w:right w:val="dotted" w:sz="4" w:space="0" w:color="auto"/>
            </w:tcBorders>
          </w:tcPr>
          <w:p w14:paraId="37763700" w14:textId="77777777" w:rsidR="0082257B" w:rsidRPr="00373AB8" w:rsidRDefault="0082257B" w:rsidP="003C7157">
            <w:pPr>
              <w:rPr>
                <w:noProof/>
                <w:szCs w:val="24"/>
              </w:rPr>
            </w:pPr>
            <w:r w:rsidRPr="00373AB8">
              <w:rPr>
                <w:noProof/>
              </w:rPr>
              <w:t>…</w:t>
            </w:r>
          </w:p>
        </w:tc>
      </w:tr>
    </w:tbl>
    <w:p w14:paraId="33ECF419" w14:textId="77777777" w:rsidR="0082257B" w:rsidRPr="00373AB8" w:rsidRDefault="0082257B" w:rsidP="0082257B">
      <w:pPr>
        <w:pStyle w:val="Text2"/>
        <w:ind w:left="1418"/>
        <w:rPr>
          <w:noProof/>
        </w:rPr>
      </w:pPr>
      <w:r w:rsidRPr="00373AB8">
        <w:rPr>
          <w:noProof/>
        </w:rPr>
        <w:t>Kui abi antakse ametiasutuste kaalutletud otsuse põhjal, esitage järgitud kriteeriumide lühikirjeldus ja lisage koopia abi andvas ametiasutuses kehtivatest haldusnormidest, mida abi andmisel kohaldatakse: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275BC264" w14:textId="77777777" w:rsidTr="003C7157">
        <w:tc>
          <w:tcPr>
            <w:tcW w:w="7682" w:type="dxa"/>
            <w:tcBorders>
              <w:top w:val="dotted" w:sz="4" w:space="0" w:color="auto"/>
              <w:left w:val="dotted" w:sz="4" w:space="0" w:color="auto"/>
              <w:bottom w:val="dotted" w:sz="4" w:space="0" w:color="auto"/>
              <w:right w:val="dotted" w:sz="4" w:space="0" w:color="auto"/>
            </w:tcBorders>
          </w:tcPr>
          <w:p w14:paraId="245D38E0" w14:textId="77777777" w:rsidR="0082257B" w:rsidRPr="00373AB8" w:rsidRDefault="0082257B" w:rsidP="003C7157">
            <w:pPr>
              <w:rPr>
                <w:noProof/>
                <w:szCs w:val="24"/>
              </w:rPr>
            </w:pPr>
            <w:r w:rsidRPr="00373AB8">
              <w:rPr>
                <w:noProof/>
              </w:rPr>
              <w:t>…</w:t>
            </w:r>
          </w:p>
        </w:tc>
      </w:tr>
    </w:tbl>
    <w:p w14:paraId="063D4814"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Juhul kui abi antakse vormis, mis annab otsese varalise kasu,</w:t>
      </w:r>
      <w:r w:rsidRPr="00373AB8">
        <w:rPr>
          <w:rStyle w:val="FootnoteReference"/>
          <w:noProof/>
        </w:rPr>
        <w:footnoteReference w:id="23"/>
      </w:r>
      <w:r w:rsidRPr="00373AB8">
        <w:rPr>
          <w:noProof/>
        </w:rPr>
        <w:t xml:space="preserve"> siis tõendage, miks ei peeta asjakohaseks muid, potentsiaalselt vähem moonutavaid abivorme, nagu tagasimakstavad ettemaksed, või abivormid, mis põhinevad võla- või omakapitaliinstrumentidel</w:t>
      </w:r>
      <w:r w:rsidRPr="00373AB8">
        <w:rPr>
          <w:rStyle w:val="FootnoteReference"/>
          <w:noProof/>
        </w:rPr>
        <w:footnoteReference w:id="24"/>
      </w:r>
      <w:r w:rsidRPr="00373AB8">
        <w:rPr>
          <w:noProof/>
        </w:rPr>
        <w:t xml:space="preserve"> (RAG punkt 85):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21889172" w14:textId="77777777" w:rsidTr="003C7157">
        <w:tc>
          <w:tcPr>
            <w:tcW w:w="7682" w:type="dxa"/>
            <w:shd w:val="clear" w:color="auto" w:fill="auto"/>
          </w:tcPr>
          <w:p w14:paraId="7802E142" w14:textId="77777777" w:rsidR="0082257B" w:rsidRPr="00373AB8" w:rsidRDefault="0082257B" w:rsidP="003C7157">
            <w:pPr>
              <w:rPr>
                <w:noProof/>
              </w:rPr>
            </w:pPr>
            <w:r w:rsidRPr="00373AB8">
              <w:rPr>
                <w:noProof/>
              </w:rPr>
              <w:t>…</w:t>
            </w:r>
          </w:p>
        </w:tc>
      </w:tr>
    </w:tbl>
    <w:p w14:paraId="0F408E9F" w14:textId="77777777" w:rsidR="0082257B" w:rsidRPr="00373AB8" w:rsidRDefault="0082257B" w:rsidP="0082257B">
      <w:pPr>
        <w:pStyle w:val="NormalKop111"/>
        <w:numPr>
          <w:ilvl w:val="1"/>
          <w:numId w:val="22"/>
        </w:numPr>
        <w:tabs>
          <w:tab w:val="clear" w:pos="720"/>
          <w:tab w:val="clear" w:pos="1440"/>
          <w:tab w:val="clear" w:pos="1797"/>
        </w:tabs>
        <w:ind w:left="709" w:hanging="709"/>
        <w:rPr>
          <w:b/>
          <w:noProof/>
        </w:rPr>
      </w:pPr>
      <w:r w:rsidRPr="00373AB8">
        <w:rPr>
          <w:b/>
          <w:noProof/>
        </w:rPr>
        <w:t>Ergutav mõju ja kava proportsionaalsus</w:t>
      </w:r>
    </w:p>
    <w:p w14:paraId="3AAC12D3"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 xml:space="preserve">Esitage viide õigusliku aluse sätetele, millega on ette nähtud, et teatatud kava raames suurettevõtjatele antava üksikabi abisumma ei tohi olla suurem kui oleksid olnud investeeringu rakendamise täiendavad netokulud asjaomases piirkonnas olukorras, kus abi ei antaks (abisumma arvutamisel kasutatakse punktides 96 ja 97 selgitatud meetodeid) (RAG punkt 95).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19D50BF8" w14:textId="77777777" w:rsidTr="003C7157">
        <w:tc>
          <w:tcPr>
            <w:tcW w:w="7682" w:type="dxa"/>
            <w:shd w:val="clear" w:color="auto" w:fill="auto"/>
          </w:tcPr>
          <w:p w14:paraId="765AF0CE" w14:textId="77777777" w:rsidR="0082257B" w:rsidRPr="00373AB8" w:rsidRDefault="0082257B" w:rsidP="003C7157">
            <w:pPr>
              <w:rPr>
                <w:noProof/>
              </w:rPr>
            </w:pPr>
            <w:r w:rsidRPr="00373AB8">
              <w:rPr>
                <w:noProof/>
              </w:rPr>
              <w:t>…</w:t>
            </w:r>
          </w:p>
        </w:tc>
      </w:tr>
    </w:tbl>
    <w:p w14:paraId="1D38E9C2" w14:textId="77777777" w:rsidR="0082257B" w:rsidRPr="00373AB8" w:rsidRDefault="0082257B" w:rsidP="0082257B">
      <w:pPr>
        <w:pStyle w:val="NormalKop111"/>
        <w:numPr>
          <w:ilvl w:val="1"/>
          <w:numId w:val="22"/>
        </w:numPr>
        <w:tabs>
          <w:tab w:val="clear" w:pos="720"/>
          <w:tab w:val="clear" w:pos="1440"/>
          <w:tab w:val="clear" w:pos="1797"/>
        </w:tabs>
        <w:ind w:left="709" w:hanging="709"/>
        <w:rPr>
          <w:b/>
          <w:noProof/>
        </w:rPr>
      </w:pPr>
      <w:r w:rsidRPr="00373AB8">
        <w:rPr>
          <w:b/>
          <w:noProof/>
        </w:rPr>
        <w:t>Konkurentsile ja kaubandusele avalduva põhjendamatu negatiivse mõju vältimine</w:t>
      </w:r>
    </w:p>
    <w:p w14:paraId="2B6C87F3"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Selgitage, kuidas piiratakse miinimumini teatatud abikava põhjustatavaid konkurentsi- ja kaubandusmoonutusi (RAG punkt 120)</w:t>
      </w:r>
      <w:r w:rsidRPr="00373AB8">
        <w:rPr>
          <w:rStyle w:val="FootnoteReference"/>
          <w:noProof/>
        </w:rPr>
        <w:footnoteReference w:id="25"/>
      </w:r>
      <w:r w:rsidRPr="00373AB8">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3D68BE24" w14:textId="77777777" w:rsidTr="003C7157">
        <w:tc>
          <w:tcPr>
            <w:tcW w:w="7682" w:type="dxa"/>
            <w:shd w:val="clear" w:color="auto" w:fill="auto"/>
          </w:tcPr>
          <w:p w14:paraId="7DA85243" w14:textId="77777777" w:rsidR="0082257B" w:rsidRPr="00373AB8" w:rsidRDefault="0082257B" w:rsidP="003C7157">
            <w:pPr>
              <w:rPr>
                <w:noProof/>
              </w:rPr>
            </w:pPr>
            <w:r w:rsidRPr="00373AB8">
              <w:rPr>
                <w:noProof/>
              </w:rPr>
              <w:lastRenderedPageBreak/>
              <w:t>…</w:t>
            </w:r>
          </w:p>
        </w:tc>
      </w:tr>
    </w:tbl>
    <w:p w14:paraId="765330D5"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Esitage viited õigusliku aluse sätetele, millega on ette nähtud, et kava alusel üksikprojektidele abi andmisel kontrollib ja kinnitab abi andev asutus, et abi tulemusel ei teki selget negatiivset mõju, nagu liigse tootmisvõimsuse loomine absoluutses languses oleval turul (RAG punktid 112–115), ühtekuuluvuse kahjustamine (RAG punktid 116 ja 117) või tegevuse ümberpaigutamine (RAG punktid 118 ja 121).</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2257B" w:rsidRPr="00373AB8" w14:paraId="47B54DD6" w14:textId="77777777" w:rsidTr="003C7157">
        <w:tc>
          <w:tcPr>
            <w:tcW w:w="7682" w:type="dxa"/>
            <w:shd w:val="clear" w:color="auto" w:fill="auto"/>
          </w:tcPr>
          <w:p w14:paraId="70855FB3" w14:textId="77777777" w:rsidR="0082257B" w:rsidRPr="00373AB8" w:rsidRDefault="0082257B" w:rsidP="003C7157">
            <w:pPr>
              <w:rPr>
                <w:noProof/>
              </w:rPr>
            </w:pPr>
            <w:r w:rsidRPr="00373AB8">
              <w:rPr>
                <w:noProof/>
              </w:rPr>
              <w:t>…</w:t>
            </w:r>
          </w:p>
        </w:tc>
      </w:tr>
    </w:tbl>
    <w:p w14:paraId="1177F5AB" w14:textId="2274B427" w:rsidR="0082257B" w:rsidRPr="00373AB8" w:rsidRDefault="0082257B" w:rsidP="0082257B">
      <w:pPr>
        <w:pStyle w:val="Heading1"/>
        <w:rPr>
          <w:noProof/>
        </w:rPr>
      </w:pPr>
      <w:r w:rsidRPr="00373AB8">
        <w:rPr>
          <w:noProof/>
        </w:rPr>
        <w:t>Läbipaistvus</w:t>
      </w:r>
    </w:p>
    <w:p w14:paraId="42185C51" w14:textId="77777777" w:rsidR="0082257B" w:rsidRPr="00373AB8" w:rsidRDefault="0082257B" w:rsidP="0082257B">
      <w:pPr>
        <w:pStyle w:val="NormalKop111"/>
        <w:numPr>
          <w:ilvl w:val="1"/>
          <w:numId w:val="22"/>
        </w:numPr>
        <w:tabs>
          <w:tab w:val="clear" w:pos="720"/>
          <w:tab w:val="clear" w:pos="1440"/>
          <w:tab w:val="clear" w:pos="1797"/>
        </w:tabs>
        <w:ind w:left="709" w:hanging="709"/>
        <w:rPr>
          <w:noProof/>
        </w:rPr>
      </w:pPr>
      <w:r w:rsidRPr="00373AB8">
        <w:rPr>
          <w:noProof/>
        </w:rPr>
        <w:t xml:space="preserve">Kinnitage, et üksikabi andmiseks vastu võetud otsuse või heakskiidetud </w:t>
      </w:r>
      <w:r w:rsidRPr="00373AB8">
        <w:rPr>
          <w:noProof/>
          <w:color w:val="000000"/>
        </w:rPr>
        <w:t>abikava</w:t>
      </w:r>
      <w:r w:rsidRPr="00373AB8">
        <w:rPr>
          <w:noProof/>
        </w:rPr>
        <w:t xml:space="preserve"> ja selle rakendussätete täistekst või link sellele ning teave iga üle 100 000 euro suuruse üksikabi kohta avaldatakse VIII lisa struktuuri kasutades Euroopa Komisjoni läbipaistvusmoodulis või ülevaatlikul riigiabi veebisaidil riiklikul või piirkondlikul tasandil</w:t>
      </w:r>
      <w:r w:rsidRPr="00373AB8">
        <w:rPr>
          <w:rStyle w:val="FootnoteReference"/>
          <w:noProof/>
        </w:rPr>
        <w:footnoteReference w:id="26"/>
      </w:r>
      <w:r w:rsidRPr="00373AB8">
        <w:rPr>
          <w:noProof/>
        </w:rPr>
        <w:t xml:space="preserve"> kuue kuu jooksul alates abi andmise kuupäevast või maksusoodustuste vormis antava abi puhul ühe aasta jooksul alates maksudeklaratsiooni esitamise tähtpäevast.</w:t>
      </w:r>
    </w:p>
    <w:p w14:paraId="3B9A55EF" w14:textId="77777777" w:rsidR="0082257B" w:rsidRPr="00373AB8" w:rsidRDefault="0082257B" w:rsidP="0082257B">
      <w:pPr>
        <w:pStyle w:val="Normal127"/>
        <w:rPr>
          <w:noProof/>
        </w:rPr>
      </w:pPr>
      <w:r w:rsidRPr="00373AB8">
        <w:rPr>
          <w:noProof/>
        </w:rPr>
        <w:tab/>
      </w:r>
      <w:sdt>
        <w:sdtPr>
          <w:rPr>
            <w:noProof/>
          </w:rPr>
          <w:id w:val="-1383553951"/>
          <w14:checkbox>
            <w14:checked w14:val="0"/>
            <w14:checkedState w14:val="2612" w14:font="MS Gothic"/>
            <w14:uncheckedState w14:val="2610" w14:font="MS Gothic"/>
          </w14:checkbox>
        </w:sdtPr>
        <w:sdtEndPr/>
        <w:sdtContent>
          <w:r w:rsidRPr="00373AB8">
            <w:rPr>
              <w:rFonts w:ascii="MS Gothic" w:eastAsia="MS Gothic" w:hAnsi="MS Gothic"/>
              <w:noProof/>
            </w:rPr>
            <w:t>☐</w:t>
          </w:r>
        </w:sdtContent>
      </w:sdt>
      <w:r w:rsidRPr="00373AB8">
        <w:rPr>
          <w:noProof/>
        </w:rPr>
        <w:t xml:space="preserve"> Jah</w:t>
      </w:r>
    </w:p>
    <w:p w14:paraId="2ADF88BE" w14:textId="77777777" w:rsidR="0082257B" w:rsidRPr="00373AB8" w:rsidRDefault="0082257B" w:rsidP="0082257B">
      <w:pPr>
        <w:pStyle w:val="NormalKop111"/>
        <w:numPr>
          <w:ilvl w:val="1"/>
          <w:numId w:val="22"/>
        </w:numPr>
        <w:tabs>
          <w:tab w:val="clear" w:pos="720"/>
          <w:tab w:val="clear" w:pos="1440"/>
          <w:tab w:val="clear" w:pos="1797"/>
        </w:tabs>
        <w:ind w:left="709" w:hanging="709"/>
        <w:rPr>
          <w:noProof/>
        </w:rPr>
      </w:pPr>
      <w:r w:rsidRPr="00373AB8">
        <w:rPr>
          <w:noProof/>
        </w:rPr>
        <w:t xml:space="preserve">Esitage </w:t>
      </w:r>
      <w:r w:rsidRPr="00373AB8">
        <w:rPr>
          <w:noProof/>
          <w:color w:val="000000"/>
        </w:rPr>
        <w:t>viide</w:t>
      </w:r>
      <w:r w:rsidRPr="00373AB8">
        <w:rPr>
          <w:noProof/>
        </w:rPr>
        <w:t xml:space="preserve"> õigusliku aluse sätetele, millega on ette nähtud, et abi andev asutus peab avaldama Euroopa Komisjoni läbipaistvusmoodulis või </w:t>
      </w:r>
      <w:r w:rsidRPr="00373AB8">
        <w:rPr>
          <w:noProof/>
          <w:color w:val="000000"/>
        </w:rPr>
        <w:t>ülevaatlikul</w:t>
      </w:r>
      <w:r w:rsidRPr="00373AB8">
        <w:rPr>
          <w:noProof/>
        </w:rPr>
        <w:t xml:space="preserve"> riigiabi veebisaidil riiklikul või piirkondlikul tasandil</w:t>
      </w:r>
      <w:r w:rsidRPr="00373AB8">
        <w:rPr>
          <w:rStyle w:val="FootnoteReference"/>
          <w:noProof/>
        </w:rPr>
        <w:footnoteReference w:id="27"/>
      </w:r>
      <w:r w:rsidRPr="00373AB8">
        <w:rPr>
          <w:noProof/>
        </w:rPr>
        <w:t xml:space="preserve"> teatamisele kuuluvate riigiabikavade kohta vähemalt järgmise teabe: teatatud abikava tekst ja selle rakendussätted, abi andev asutus, konkreetsed abisaajad, abisumma abisaaja kohta ning abi osakaal (RAG punkt 136).</w:t>
      </w:r>
    </w:p>
    <w:p w14:paraId="5C8DAF79" w14:textId="77777777" w:rsidR="0082257B" w:rsidRPr="00373AB8" w:rsidRDefault="0082257B" w:rsidP="0082257B">
      <w:pPr>
        <w:pStyle w:val="Normal127"/>
        <w:rPr>
          <w:noProof/>
        </w:rPr>
      </w:pPr>
      <w:r w:rsidRPr="00373AB8">
        <w:rPr>
          <w:noProof/>
        </w:rPr>
        <w:t>Kui sellised sätted puuduvad, siis selgitage, miks. Juhul kui teatatud kava õiguslik alus selliseid sätteid ei sisalda, kuid need on teistes seadusandlusega seotud dokumentides, siis märkige need.</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2257B" w:rsidRPr="00373AB8" w14:paraId="66258E03" w14:textId="77777777" w:rsidTr="003C7157">
        <w:tc>
          <w:tcPr>
            <w:tcW w:w="8674" w:type="dxa"/>
            <w:shd w:val="clear" w:color="auto" w:fill="auto"/>
          </w:tcPr>
          <w:p w14:paraId="4291959D" w14:textId="77777777" w:rsidR="0082257B" w:rsidRPr="00373AB8" w:rsidRDefault="0082257B" w:rsidP="003C7157">
            <w:pPr>
              <w:rPr>
                <w:noProof/>
              </w:rPr>
            </w:pPr>
            <w:r w:rsidRPr="00373AB8">
              <w:rPr>
                <w:noProof/>
              </w:rPr>
              <w:t>…</w:t>
            </w:r>
          </w:p>
        </w:tc>
      </w:tr>
    </w:tbl>
    <w:p w14:paraId="49C5EB19" w14:textId="77777777" w:rsidR="0082257B" w:rsidRPr="00373AB8" w:rsidRDefault="0082257B" w:rsidP="0082257B">
      <w:pPr>
        <w:pStyle w:val="Normal127"/>
        <w:rPr>
          <w:noProof/>
        </w:rPr>
      </w:pPr>
      <w:r w:rsidRPr="00373AB8">
        <w:rPr>
          <w:noProof/>
        </w:rPr>
        <w:t>Esitage viited õigusliku aluse sätetele, millega on ette nähtud, et eespool esitatud teave tehakse üldsusele piiranguteta kättesaadavaks vähemalt kümneks aastaks alates abi andmise kuupäevast (RAG punkt 140).</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2257B" w:rsidRPr="00373AB8" w14:paraId="444A85D3" w14:textId="77777777" w:rsidTr="003C7157">
        <w:tc>
          <w:tcPr>
            <w:tcW w:w="8674" w:type="dxa"/>
            <w:shd w:val="clear" w:color="auto" w:fill="auto"/>
          </w:tcPr>
          <w:p w14:paraId="48D8E809" w14:textId="77777777" w:rsidR="0082257B" w:rsidRPr="00373AB8" w:rsidRDefault="0082257B" w:rsidP="003C7157">
            <w:pPr>
              <w:rPr>
                <w:noProof/>
              </w:rPr>
            </w:pPr>
            <w:r w:rsidRPr="00373AB8">
              <w:rPr>
                <w:noProof/>
              </w:rPr>
              <w:t>…</w:t>
            </w:r>
          </w:p>
        </w:tc>
      </w:tr>
    </w:tbl>
    <w:p w14:paraId="79FCC059" w14:textId="6DCE67E5" w:rsidR="0082257B" w:rsidRPr="00373AB8" w:rsidRDefault="0082257B" w:rsidP="0082257B">
      <w:pPr>
        <w:pStyle w:val="Heading1"/>
        <w:rPr>
          <w:noProof/>
        </w:rPr>
      </w:pPr>
      <w:r w:rsidRPr="00373AB8">
        <w:rPr>
          <w:noProof/>
        </w:rPr>
        <w:lastRenderedPageBreak/>
        <w:t xml:space="preserve">Hindamine, aruandlus ja järelevalve </w:t>
      </w:r>
    </w:p>
    <w:p w14:paraId="706C0838" w14:textId="77777777" w:rsidR="0082257B" w:rsidRPr="00373AB8" w:rsidRDefault="0082257B" w:rsidP="0082257B">
      <w:pPr>
        <w:pStyle w:val="NormalKop111"/>
        <w:numPr>
          <w:ilvl w:val="1"/>
          <w:numId w:val="22"/>
        </w:numPr>
        <w:tabs>
          <w:tab w:val="clear" w:pos="720"/>
          <w:tab w:val="clear" w:pos="1440"/>
          <w:tab w:val="clear" w:pos="1797"/>
        </w:tabs>
        <w:ind w:left="709" w:hanging="709"/>
        <w:rPr>
          <w:b/>
          <w:bCs/>
          <w:noProof/>
        </w:rPr>
      </w:pPr>
      <w:r w:rsidRPr="00373AB8">
        <w:rPr>
          <w:b/>
          <w:noProof/>
        </w:rPr>
        <w:t>Hindamine</w:t>
      </w:r>
    </w:p>
    <w:p w14:paraId="7B845024"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Märkige kõigi sarnast eesmärki ja geograafilist piirkonda hõlmavate eelmiste ja praegu elluviidavate riigiabikavade riigiabi viitenumber. (RAG punkt 144).</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2257B" w:rsidRPr="00373AB8" w14:paraId="02E2BD7F" w14:textId="77777777" w:rsidTr="003C7157">
        <w:tc>
          <w:tcPr>
            <w:tcW w:w="8107" w:type="dxa"/>
            <w:tcBorders>
              <w:top w:val="dotted" w:sz="4" w:space="0" w:color="auto"/>
              <w:left w:val="dotted" w:sz="4" w:space="0" w:color="auto"/>
              <w:bottom w:val="dotted" w:sz="4" w:space="0" w:color="auto"/>
              <w:right w:val="dotted" w:sz="4" w:space="0" w:color="auto"/>
            </w:tcBorders>
            <w:hideMark/>
          </w:tcPr>
          <w:p w14:paraId="1E036267" w14:textId="77777777" w:rsidR="0082257B" w:rsidRPr="00373AB8" w:rsidRDefault="0082257B" w:rsidP="003C7157">
            <w:pPr>
              <w:rPr>
                <w:noProof/>
              </w:rPr>
            </w:pPr>
            <w:r w:rsidRPr="00373AB8">
              <w:rPr>
                <w:noProof/>
              </w:rPr>
              <w:t>…</w:t>
            </w:r>
          </w:p>
        </w:tc>
      </w:tr>
    </w:tbl>
    <w:p w14:paraId="4F8C6DD4" w14:textId="77777777" w:rsidR="0082257B" w:rsidRPr="00373AB8" w:rsidRDefault="0082257B" w:rsidP="0082257B">
      <w:pPr>
        <w:pStyle w:val="Normal127"/>
        <w:rPr>
          <w:noProof/>
        </w:rPr>
      </w:pPr>
      <w:r w:rsidRPr="00373AB8">
        <w:rPr>
          <w:noProof/>
        </w:rPr>
        <w:t>Kas mõnda eespool nimetatud riigiabikava on järelhinnatud? (RAG punkt 144).</w:t>
      </w:r>
    </w:p>
    <w:p w14:paraId="595E3CCD" w14:textId="77777777" w:rsidR="0082257B" w:rsidRPr="00373AB8" w:rsidRDefault="007A7CA7" w:rsidP="0082257B">
      <w:pPr>
        <w:pStyle w:val="Tiret2"/>
        <w:rPr>
          <w:noProof/>
        </w:rPr>
      </w:pPr>
      <w:sdt>
        <w:sdtPr>
          <w:rPr>
            <w:noProof/>
          </w:rPr>
          <w:id w:val="-2095303102"/>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Jah</w:t>
      </w:r>
    </w:p>
    <w:p w14:paraId="0F4F6CB4" w14:textId="77777777" w:rsidR="0082257B" w:rsidRPr="00373AB8" w:rsidRDefault="007A7CA7" w:rsidP="0082257B">
      <w:pPr>
        <w:pStyle w:val="Tiret2"/>
        <w:rPr>
          <w:noProof/>
        </w:rPr>
      </w:pPr>
      <w:sdt>
        <w:sdtPr>
          <w:rPr>
            <w:noProof/>
          </w:rPr>
          <w:id w:val="249157444"/>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Ei</w:t>
      </w:r>
    </w:p>
    <w:p w14:paraId="7509DBE7" w14:textId="77777777" w:rsidR="0082257B" w:rsidRPr="00373AB8" w:rsidRDefault="0082257B" w:rsidP="0082257B">
      <w:pPr>
        <w:pStyle w:val="Normal127"/>
        <w:rPr>
          <w:noProof/>
        </w:rPr>
      </w:pPr>
      <w:r w:rsidRPr="00373AB8">
        <w:rPr>
          <w:noProof/>
        </w:rPr>
        <w:t>Jaatava vastuse korral esitage järelhindamise põhitulemuste lühike kokkuvõte (vajaduse korral koos viite ja lingiga).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2257B" w:rsidRPr="00373AB8" w14:paraId="1994BA2C" w14:textId="77777777" w:rsidTr="003C7157">
        <w:tc>
          <w:tcPr>
            <w:tcW w:w="8107" w:type="dxa"/>
            <w:tcBorders>
              <w:top w:val="dotted" w:sz="4" w:space="0" w:color="auto"/>
              <w:left w:val="dotted" w:sz="4" w:space="0" w:color="auto"/>
              <w:bottom w:val="dotted" w:sz="4" w:space="0" w:color="auto"/>
              <w:right w:val="dotted" w:sz="4" w:space="0" w:color="auto"/>
            </w:tcBorders>
            <w:hideMark/>
          </w:tcPr>
          <w:p w14:paraId="164614B2" w14:textId="77777777" w:rsidR="0082257B" w:rsidRPr="00373AB8" w:rsidRDefault="0082257B" w:rsidP="003C7157">
            <w:pPr>
              <w:ind w:left="709"/>
              <w:rPr>
                <w:noProof/>
              </w:rPr>
            </w:pPr>
            <w:r w:rsidRPr="00373AB8">
              <w:rPr>
                <w:noProof/>
              </w:rPr>
              <w:t>…</w:t>
            </w:r>
          </w:p>
        </w:tc>
      </w:tr>
    </w:tbl>
    <w:p w14:paraId="79B6E4BA" w14:textId="77777777" w:rsidR="0082257B" w:rsidRPr="00373AB8" w:rsidRDefault="0082257B" w:rsidP="0082257B">
      <w:pPr>
        <w:pStyle w:val="Normal127"/>
        <w:rPr>
          <w:noProof/>
        </w:rPr>
      </w:pPr>
      <w:r w:rsidRPr="00373AB8">
        <w:rPr>
          <w:noProof/>
        </w:rPr>
        <w:t>Kirjeldage, kuidas on hindamise tulemusi uue kava kujundamisel arvesse võetud.</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2257B" w:rsidRPr="00373AB8" w14:paraId="39A0ABFE" w14:textId="77777777" w:rsidTr="003C7157">
        <w:tc>
          <w:tcPr>
            <w:tcW w:w="8107" w:type="dxa"/>
            <w:tcBorders>
              <w:top w:val="dotted" w:sz="4" w:space="0" w:color="auto"/>
              <w:left w:val="dotted" w:sz="4" w:space="0" w:color="auto"/>
              <w:bottom w:val="dotted" w:sz="4" w:space="0" w:color="auto"/>
              <w:right w:val="dotted" w:sz="4" w:space="0" w:color="auto"/>
            </w:tcBorders>
            <w:hideMark/>
          </w:tcPr>
          <w:p w14:paraId="78719CFE" w14:textId="77777777" w:rsidR="0082257B" w:rsidRPr="00373AB8" w:rsidRDefault="0082257B" w:rsidP="003C7157">
            <w:pPr>
              <w:ind w:left="709"/>
              <w:rPr>
                <w:noProof/>
              </w:rPr>
            </w:pPr>
            <w:r w:rsidRPr="00373AB8">
              <w:rPr>
                <w:noProof/>
              </w:rPr>
              <w:t>…</w:t>
            </w:r>
          </w:p>
        </w:tc>
      </w:tr>
    </w:tbl>
    <w:p w14:paraId="63F30284"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Märkige, kas kava riigiabi eelarve ületab ükskõik millisel konkreetsel aastal 150 miljonit eurot (RAG punkt 143):</w:t>
      </w:r>
    </w:p>
    <w:p w14:paraId="7CB47A96" w14:textId="77777777" w:rsidR="0082257B" w:rsidRPr="00373AB8" w:rsidRDefault="007A7CA7" w:rsidP="0082257B">
      <w:pPr>
        <w:pStyle w:val="Tiret2"/>
        <w:rPr>
          <w:noProof/>
        </w:rPr>
      </w:pPr>
      <w:sdt>
        <w:sdtPr>
          <w:rPr>
            <w:noProof/>
          </w:rPr>
          <w:id w:val="943351428"/>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Jah</w:t>
      </w:r>
    </w:p>
    <w:p w14:paraId="32CFB744" w14:textId="77777777" w:rsidR="0082257B" w:rsidRPr="00373AB8" w:rsidRDefault="007A7CA7" w:rsidP="0082257B">
      <w:pPr>
        <w:pStyle w:val="Tiret2"/>
        <w:rPr>
          <w:noProof/>
        </w:rPr>
      </w:pPr>
      <w:sdt>
        <w:sdtPr>
          <w:rPr>
            <w:noProof/>
          </w:rPr>
          <w:id w:val="918982827"/>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Ei</w:t>
      </w:r>
    </w:p>
    <w:p w14:paraId="65B67F65" w14:textId="77777777" w:rsidR="0082257B" w:rsidRPr="00373AB8" w:rsidRDefault="0082257B" w:rsidP="0082257B">
      <w:pPr>
        <w:pStyle w:val="Text2"/>
        <w:rPr>
          <w:noProof/>
        </w:rPr>
      </w:pPr>
      <w:r w:rsidRPr="00373AB8">
        <w:rPr>
          <w:noProof/>
        </w:rPr>
        <w:t>Märkige, kas kava riigiabi eelarve ületab kogukestuse jooksul (s.o kava ning sarnast eesmärki ja geograafilist ala käsitlevate võimalike varasemate kavade kombineeritud kestuse jooksul alates 1. jaanuarist 2022) 750 miljonit eurot:</w:t>
      </w:r>
    </w:p>
    <w:p w14:paraId="254241C6" w14:textId="77777777" w:rsidR="0082257B" w:rsidRPr="00373AB8" w:rsidRDefault="007A7CA7" w:rsidP="0082257B">
      <w:pPr>
        <w:pStyle w:val="Tiret2"/>
        <w:rPr>
          <w:noProof/>
        </w:rPr>
      </w:pPr>
      <w:sdt>
        <w:sdtPr>
          <w:rPr>
            <w:noProof/>
          </w:rPr>
          <w:id w:val="-1616747592"/>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Jah</w:t>
      </w:r>
    </w:p>
    <w:p w14:paraId="79E21AF9" w14:textId="77777777" w:rsidR="0082257B" w:rsidRPr="00373AB8" w:rsidRDefault="007A7CA7" w:rsidP="0082257B">
      <w:pPr>
        <w:pStyle w:val="Tiret2"/>
        <w:rPr>
          <w:noProof/>
        </w:rPr>
      </w:pPr>
      <w:sdt>
        <w:sdtPr>
          <w:rPr>
            <w:noProof/>
          </w:rPr>
          <w:id w:val="-719355448"/>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Ei</w:t>
      </w:r>
    </w:p>
    <w:p w14:paraId="7231BEAF"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Märkige, kas kava on (RAG punkt 143):</w:t>
      </w:r>
    </w:p>
    <w:p w14:paraId="796D4611" w14:textId="77777777" w:rsidR="0082257B" w:rsidRPr="00373AB8" w:rsidRDefault="0082257B" w:rsidP="0082257B">
      <w:pPr>
        <w:ind w:left="1701" w:hanging="283"/>
        <w:rPr>
          <w:noProof/>
          <w:szCs w:val="24"/>
        </w:rPr>
      </w:pPr>
      <w:r w:rsidRPr="00373AB8">
        <w:rPr>
          <w:noProof/>
        </w:rPr>
        <w:t>uudseid omadusi sisaldav abikava?</w:t>
      </w:r>
    </w:p>
    <w:p w14:paraId="7025FC2C" w14:textId="77777777" w:rsidR="0082257B" w:rsidRPr="00373AB8" w:rsidRDefault="007A7CA7" w:rsidP="0082257B">
      <w:pPr>
        <w:pStyle w:val="Tiret2"/>
        <w:rPr>
          <w:noProof/>
        </w:rPr>
      </w:pPr>
      <w:sdt>
        <w:sdtPr>
          <w:rPr>
            <w:noProof/>
          </w:rPr>
          <w:id w:val="-1332977954"/>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Jah</w:t>
      </w:r>
    </w:p>
    <w:p w14:paraId="7C4829E1" w14:textId="77777777" w:rsidR="0082257B" w:rsidRPr="00373AB8" w:rsidRDefault="007A7CA7" w:rsidP="0082257B">
      <w:pPr>
        <w:pStyle w:val="Tiret2"/>
        <w:rPr>
          <w:noProof/>
        </w:rPr>
      </w:pPr>
      <w:sdt>
        <w:sdtPr>
          <w:rPr>
            <w:noProof/>
          </w:rPr>
          <w:id w:val="-721906136"/>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Ei</w:t>
      </w:r>
    </w:p>
    <w:p w14:paraId="777B8D5A" w14:textId="77777777" w:rsidR="0082257B" w:rsidRPr="00373AB8" w:rsidRDefault="0082257B" w:rsidP="0082257B">
      <w:pPr>
        <w:ind w:left="1418"/>
        <w:rPr>
          <w:noProof/>
          <w:szCs w:val="24"/>
        </w:rPr>
      </w:pPr>
      <w:r w:rsidRPr="00373AB8">
        <w:rPr>
          <w:noProof/>
        </w:rPr>
        <w:t>abikava, mis võib kaasa tuua märkimisväärseid muutusi turul, tehnoloogias või õiguslikus raamistikus?</w:t>
      </w:r>
    </w:p>
    <w:p w14:paraId="59EAB632" w14:textId="77777777" w:rsidR="0082257B" w:rsidRPr="00373AB8" w:rsidRDefault="007A7CA7" w:rsidP="0082257B">
      <w:pPr>
        <w:pStyle w:val="Tiret2"/>
        <w:rPr>
          <w:noProof/>
        </w:rPr>
      </w:pPr>
      <w:sdt>
        <w:sdtPr>
          <w:rPr>
            <w:noProof/>
          </w:rPr>
          <w:id w:val="1495136313"/>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Jah</w:t>
      </w:r>
    </w:p>
    <w:p w14:paraId="1C5C89C9" w14:textId="77777777" w:rsidR="0082257B" w:rsidRPr="00373AB8" w:rsidRDefault="007A7CA7" w:rsidP="0082257B">
      <w:pPr>
        <w:pStyle w:val="Tiret2"/>
        <w:rPr>
          <w:noProof/>
        </w:rPr>
      </w:pPr>
      <w:sdt>
        <w:sdtPr>
          <w:rPr>
            <w:noProof/>
          </w:rPr>
          <w:id w:val="120039535"/>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Ei</w:t>
      </w:r>
    </w:p>
    <w:p w14:paraId="251EB3E5" w14:textId="77777777" w:rsidR="0082257B" w:rsidRPr="00373AB8" w:rsidRDefault="0082257B" w:rsidP="0082257B">
      <w:pPr>
        <w:ind w:left="1843" w:hanging="425"/>
        <w:rPr>
          <w:noProof/>
          <w:szCs w:val="24"/>
        </w:rPr>
      </w:pPr>
      <w:r w:rsidRPr="00373AB8">
        <w:rPr>
          <w:noProof/>
        </w:rPr>
        <w:t>abikava, mida on kavas hinnata isegi juhul, kui muid punktis 5.1.2 ja 5.1.3 nimetatud kriteeriume ei kohaldata?</w:t>
      </w:r>
    </w:p>
    <w:p w14:paraId="25E823CC" w14:textId="77777777" w:rsidR="0082257B" w:rsidRPr="00373AB8" w:rsidRDefault="007A7CA7" w:rsidP="0082257B">
      <w:pPr>
        <w:pStyle w:val="Tiret2"/>
        <w:rPr>
          <w:noProof/>
        </w:rPr>
      </w:pPr>
      <w:sdt>
        <w:sdtPr>
          <w:rPr>
            <w:noProof/>
          </w:rPr>
          <w:id w:val="2060281245"/>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Jah</w:t>
      </w:r>
    </w:p>
    <w:p w14:paraId="55B20726" w14:textId="77777777" w:rsidR="0082257B" w:rsidRPr="00373AB8" w:rsidRDefault="007A7CA7" w:rsidP="0082257B">
      <w:pPr>
        <w:pStyle w:val="Tiret2"/>
        <w:rPr>
          <w:noProof/>
        </w:rPr>
      </w:pPr>
      <w:sdt>
        <w:sdtPr>
          <w:rPr>
            <w:noProof/>
          </w:rPr>
          <w:id w:val="-1829899886"/>
          <w14:checkbox>
            <w14:checked w14:val="0"/>
            <w14:checkedState w14:val="2612" w14:font="MS Gothic"/>
            <w14:uncheckedState w14:val="2610" w14:font="MS Gothic"/>
          </w14:checkbox>
        </w:sdtPr>
        <w:sdtEndPr/>
        <w:sdtContent>
          <w:r w:rsidR="0082257B" w:rsidRPr="00373AB8">
            <w:rPr>
              <w:rFonts w:ascii="MS Gothic" w:eastAsia="MS Gothic" w:hAnsi="MS Gothic"/>
              <w:noProof/>
            </w:rPr>
            <w:t>☐</w:t>
          </w:r>
        </w:sdtContent>
      </w:sdt>
      <w:r w:rsidR="0082257B" w:rsidRPr="00373AB8">
        <w:rPr>
          <w:noProof/>
        </w:rPr>
        <w:t xml:space="preserve"> Ei</w:t>
      </w:r>
    </w:p>
    <w:p w14:paraId="29C925EE" w14:textId="77777777" w:rsidR="0082257B" w:rsidRPr="00373AB8" w:rsidRDefault="0082257B" w:rsidP="0082257B">
      <w:pPr>
        <w:ind w:left="1418"/>
        <w:rPr>
          <w:b/>
          <w:noProof/>
        </w:rPr>
      </w:pPr>
      <w:r w:rsidRPr="00373AB8">
        <w:rPr>
          <w:noProof/>
          <w:color w:val="000000"/>
        </w:rPr>
        <w:t>Kui</w:t>
      </w:r>
      <w:r w:rsidRPr="00373AB8">
        <w:rPr>
          <w:noProof/>
        </w:rPr>
        <w:t xml:space="preserve"> küsimusele 5.1.1 on vastatud eitavalt, kuid mõnele punktides </w:t>
      </w:r>
      <w:r w:rsidRPr="00373AB8">
        <w:rPr>
          <w:noProof/>
          <w:color w:val="000000"/>
        </w:rPr>
        <w:t>5.1.2 või 5.1.3 esitatud küsimusele jaatavalt,</w:t>
      </w:r>
      <w:r w:rsidRPr="00373AB8">
        <w:rPr>
          <w:noProof/>
        </w:rPr>
        <w:t xml:space="preserve"> kaalutakse kava puhul järelhindamist (RAG punkt 143). Sellisel juhul vastake jaatavalt vastavale küsimusele üldises teate esitamise vormis, märkige hindamisperiood ja esitage I lisa osas III.8 hindamiskava projekt</w:t>
      </w:r>
      <w:r w:rsidRPr="00373AB8">
        <w:rPr>
          <w:rStyle w:val="FootnoteReference"/>
          <w:noProof/>
        </w:rPr>
        <w:footnoteReference w:id="28"/>
      </w:r>
      <w:r w:rsidRPr="00373AB8">
        <w:rPr>
          <w:noProof/>
        </w:rPr>
        <w:t>.</w:t>
      </w:r>
      <w:r w:rsidRPr="00373AB8">
        <w:rPr>
          <w:noProof/>
          <w:color w:val="000000"/>
        </w:rPr>
        <w:t xml:space="preserve"> </w:t>
      </w:r>
    </w:p>
    <w:p w14:paraId="24C0EF3C" w14:textId="77777777" w:rsidR="0082257B" w:rsidRPr="00373AB8" w:rsidRDefault="0082257B" w:rsidP="0082257B">
      <w:pPr>
        <w:pStyle w:val="NormalKop111"/>
        <w:numPr>
          <w:ilvl w:val="1"/>
          <w:numId w:val="22"/>
        </w:numPr>
        <w:tabs>
          <w:tab w:val="clear" w:pos="720"/>
          <w:tab w:val="clear" w:pos="1440"/>
          <w:tab w:val="clear" w:pos="1797"/>
        </w:tabs>
        <w:ind w:left="709" w:hanging="709"/>
        <w:rPr>
          <w:b/>
          <w:noProof/>
        </w:rPr>
      </w:pPr>
      <w:r w:rsidRPr="00373AB8">
        <w:rPr>
          <w:b/>
          <w:noProof/>
        </w:rPr>
        <w:t>Aruandlus ja järelevalve</w:t>
      </w:r>
    </w:p>
    <w:p w14:paraId="18A6871F" w14:textId="77777777" w:rsidR="0082257B" w:rsidRPr="00373AB8" w:rsidRDefault="0082257B" w:rsidP="0082257B">
      <w:pPr>
        <w:pStyle w:val="NormalKop111"/>
        <w:numPr>
          <w:ilvl w:val="2"/>
          <w:numId w:val="22"/>
        </w:numPr>
        <w:tabs>
          <w:tab w:val="clear" w:pos="720"/>
          <w:tab w:val="clear" w:pos="1440"/>
          <w:tab w:val="clear" w:pos="1797"/>
        </w:tabs>
        <w:ind w:left="1418" w:hanging="698"/>
        <w:rPr>
          <w:noProof/>
        </w:rPr>
      </w:pPr>
      <w:r w:rsidRPr="00373AB8">
        <w:rPr>
          <w:noProof/>
        </w:rPr>
        <w:t>Kinnitage, et</w:t>
      </w:r>
    </w:p>
    <w:p w14:paraId="479A7E30" w14:textId="77777777" w:rsidR="0082257B" w:rsidRPr="00373AB8" w:rsidRDefault="0082257B" w:rsidP="0082257B">
      <w:pPr>
        <w:pStyle w:val="Tiret0"/>
        <w:rPr>
          <w:noProof/>
        </w:rPr>
      </w:pPr>
      <w:r w:rsidRPr="00373AB8">
        <w:rPr>
          <w:noProof/>
        </w:rPr>
        <w:t>esitate kooskõlas määrusega (EL) 2015/1589 ja määrusega (EÜ) nr 794/2004 komisjonile aastaaruanded ning</w:t>
      </w:r>
    </w:p>
    <w:p w14:paraId="0CE7CDAF" w14:textId="77777777" w:rsidR="0082257B" w:rsidRPr="00373AB8" w:rsidRDefault="0082257B" w:rsidP="0082257B">
      <w:pPr>
        <w:pStyle w:val="Normal127"/>
        <w:ind w:left="1778"/>
        <w:rPr>
          <w:noProof/>
        </w:rPr>
      </w:pPr>
      <w:r w:rsidRPr="00373AB8">
        <w:rPr>
          <w:noProof/>
        </w:rPr>
        <w:tab/>
      </w:r>
      <w:sdt>
        <w:sdtPr>
          <w:rPr>
            <w:noProof/>
          </w:rPr>
          <w:id w:val="-1014452315"/>
          <w14:checkbox>
            <w14:checked w14:val="0"/>
            <w14:checkedState w14:val="2612" w14:font="MS Gothic"/>
            <w14:uncheckedState w14:val="2610" w14:font="MS Gothic"/>
          </w14:checkbox>
        </w:sdtPr>
        <w:sdtEndPr/>
        <w:sdtContent>
          <w:r w:rsidRPr="00373AB8">
            <w:rPr>
              <w:rFonts w:ascii="MS Gothic" w:eastAsia="MS Gothic" w:hAnsi="MS Gothic"/>
              <w:noProof/>
            </w:rPr>
            <w:t>☐</w:t>
          </w:r>
        </w:sdtContent>
      </w:sdt>
      <w:r w:rsidRPr="00373AB8">
        <w:rPr>
          <w:noProof/>
        </w:rPr>
        <w:t xml:space="preserve"> Jah</w:t>
      </w:r>
    </w:p>
    <w:p w14:paraId="33CA68AC" w14:textId="77777777" w:rsidR="0082257B" w:rsidRPr="00373AB8" w:rsidRDefault="0082257B" w:rsidP="0082257B">
      <w:pPr>
        <w:pStyle w:val="Tiret0"/>
        <w:numPr>
          <w:ilvl w:val="0"/>
          <w:numId w:val="28"/>
        </w:numPr>
        <w:rPr>
          <w:noProof/>
        </w:rPr>
      </w:pPr>
      <w:r w:rsidRPr="00373AB8">
        <w:rPr>
          <w:noProof/>
        </w:rPr>
        <w:t>säilitate vähemalt kümme aastat alates abi andmise kuupäevast üksikasjalikud andmed, mis sisaldavad vajalikku teavet ja tõendavaid dokumente selleks, et näidata kõigi kokkusobivuse tingimuste täitmist, ja esitate need vastava taotluse korral Euroopa Komisjonile.</w:t>
      </w:r>
    </w:p>
    <w:p w14:paraId="771E6DDD" w14:textId="77777777" w:rsidR="0082257B" w:rsidRPr="00373AB8" w:rsidRDefault="0082257B" w:rsidP="0082257B">
      <w:pPr>
        <w:pStyle w:val="Normal127"/>
        <w:ind w:left="1778"/>
        <w:rPr>
          <w:noProof/>
        </w:rPr>
      </w:pPr>
      <w:r w:rsidRPr="00373AB8">
        <w:rPr>
          <w:noProof/>
        </w:rPr>
        <w:tab/>
      </w:r>
      <w:sdt>
        <w:sdtPr>
          <w:rPr>
            <w:noProof/>
          </w:rPr>
          <w:id w:val="479968380"/>
          <w14:checkbox>
            <w14:checked w14:val="0"/>
            <w14:checkedState w14:val="2612" w14:font="MS Gothic"/>
            <w14:uncheckedState w14:val="2610" w14:font="MS Gothic"/>
          </w14:checkbox>
        </w:sdtPr>
        <w:sdtEndPr/>
        <w:sdtContent>
          <w:r w:rsidRPr="00373AB8">
            <w:rPr>
              <w:rFonts w:ascii="MS Gothic" w:eastAsia="MS Gothic" w:hAnsi="MS Gothic"/>
              <w:noProof/>
            </w:rPr>
            <w:t>☐</w:t>
          </w:r>
        </w:sdtContent>
      </w:sdt>
      <w:r w:rsidRPr="00373AB8">
        <w:rPr>
          <w:noProof/>
        </w:rPr>
        <w:t xml:space="preserve"> Jah</w:t>
      </w:r>
    </w:p>
    <w:p w14:paraId="42A86BF8" w14:textId="77777777" w:rsidR="00E6658B" w:rsidRDefault="00E6658B"/>
    <w:sectPr w:rsidR="00E665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E38F8" w14:textId="77777777" w:rsidR="0082257B" w:rsidRDefault="0082257B" w:rsidP="0082257B">
      <w:pPr>
        <w:spacing w:before="0" w:after="0"/>
      </w:pPr>
      <w:r>
        <w:separator/>
      </w:r>
    </w:p>
  </w:endnote>
  <w:endnote w:type="continuationSeparator" w:id="0">
    <w:p w14:paraId="692A9C22" w14:textId="77777777" w:rsidR="0082257B" w:rsidRDefault="0082257B" w:rsidP="008225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A99CC" w14:textId="77777777" w:rsidR="0082257B" w:rsidRDefault="0082257B" w:rsidP="0082257B">
      <w:pPr>
        <w:spacing w:before="0" w:after="0"/>
      </w:pPr>
      <w:r>
        <w:separator/>
      </w:r>
    </w:p>
  </w:footnote>
  <w:footnote w:type="continuationSeparator" w:id="0">
    <w:p w14:paraId="3B1B41C5" w14:textId="77777777" w:rsidR="0082257B" w:rsidRDefault="0082257B" w:rsidP="0082257B">
      <w:pPr>
        <w:spacing w:before="0" w:after="0"/>
      </w:pPr>
      <w:r>
        <w:continuationSeparator/>
      </w:r>
    </w:p>
  </w:footnote>
  <w:footnote w:id="1">
    <w:p w14:paraId="6569C041"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 xml:space="preserve">Regionaalabi suunised (ELT C </w:t>
      </w:r>
      <w:r w:rsidRPr="000922D4">
        <w:rPr>
          <w:rStyle w:val="Emphasis"/>
          <w:i w:val="0"/>
          <w:iCs w:val="0"/>
        </w:rPr>
        <w:t>153, 29.4.2021, lk 1)</w:t>
      </w:r>
      <w:r w:rsidRPr="00373AB8">
        <w:rPr>
          <w:i/>
        </w:rPr>
        <w:t>.</w:t>
      </w:r>
    </w:p>
  </w:footnote>
  <w:footnote w:id="2">
    <w:p w14:paraId="250158F4" w14:textId="77777777" w:rsidR="0082257B" w:rsidRPr="000922D4" w:rsidRDefault="0082257B" w:rsidP="0082257B">
      <w:pPr>
        <w:pStyle w:val="FootnoteText"/>
        <w:tabs>
          <w:tab w:val="left" w:pos="284"/>
        </w:tabs>
        <w:spacing w:after="120"/>
        <w:ind w:left="284" w:hanging="284"/>
        <w:rPr>
          <w:i/>
        </w:rPr>
      </w:pPr>
      <w:r w:rsidRPr="00E32169">
        <w:rPr>
          <w:rStyle w:val="FootnoteReference"/>
        </w:rPr>
        <w:footnoteRef/>
      </w:r>
      <w:r>
        <w:tab/>
      </w:r>
      <w:r w:rsidRPr="00373AB8">
        <w:t xml:space="preserve">Komisjoni 17. juuni 2014. aasta määrus (EL) nr 651/2014 ELi aluslepingu artiklite 107 ja 108 kohaldamise kohta, millega teatavat liiki abi tunnistatakse siseturuga kokkusobivaks </w:t>
      </w:r>
      <w:r w:rsidRPr="000922D4">
        <w:rPr>
          <w:i/>
        </w:rPr>
        <w:t>(</w:t>
      </w:r>
      <w:r w:rsidRPr="000922D4">
        <w:rPr>
          <w:rStyle w:val="Emphasis"/>
          <w:i w:val="0"/>
        </w:rPr>
        <w:t>ELT L 187, 26.6.2014, lk 1</w:t>
      </w:r>
      <w:r w:rsidRPr="000922D4">
        <w:rPr>
          <w:i/>
        </w:rPr>
        <w:t xml:space="preserve">, </w:t>
      </w:r>
      <w:r w:rsidRPr="000922D4">
        <w:rPr>
          <w:iCs/>
        </w:rPr>
        <w:t>ELI: </w:t>
      </w:r>
      <w:hyperlink r:id="rId1" w:tooltip="Juurdepääs dokumendile ELI URI kaudu." w:history="1">
        <w:r w:rsidRPr="000922D4">
          <w:rPr>
            <w:rStyle w:val="Hyperlink"/>
            <w:iCs/>
          </w:rPr>
          <w:t>http://data.europa.eu/eli/reg/2014/651/oj</w:t>
        </w:r>
      </w:hyperlink>
      <w:r w:rsidRPr="000922D4">
        <w:rPr>
          <w:iCs/>
        </w:rPr>
        <w:t>)</w:t>
      </w:r>
      <w:r w:rsidRPr="000922D4">
        <w:rPr>
          <w:i/>
        </w:rPr>
        <w:t>.</w:t>
      </w:r>
    </w:p>
  </w:footnote>
  <w:footnote w:id="3">
    <w:p w14:paraId="3FBE4C3A"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Komisjoni 13. detsembri 2023. aasta määrus (EL) 2023/2831, milles käsitletakse Euroopa Liidu toimimise lepingu artiklite 107 ja 108 kohaldamist vähese tähtsusega abi suhtes (ELT L, 2023/2831, 15.12.2023, ELI: </w:t>
      </w:r>
      <w:hyperlink r:id="rId2" w:tgtFrame="_blank" w:tooltip="Juurdepääs dokumendile ELI URI kaudu." w:history="1">
        <w:r w:rsidRPr="00373AB8">
          <w:rPr>
            <w:rStyle w:val="Hyperlink"/>
          </w:rPr>
          <w:t>http://data.europa.eu/eli/reg/2023/2831/oj</w:t>
        </w:r>
      </w:hyperlink>
      <w:r w:rsidRPr="00373AB8">
        <w:t xml:space="preserve">). </w:t>
      </w:r>
    </w:p>
  </w:footnote>
  <w:footnote w:id="4">
    <w:p w14:paraId="027F20C5" w14:textId="77777777" w:rsidR="0082257B" w:rsidRPr="00373AB8" w:rsidRDefault="0082257B" w:rsidP="0082257B">
      <w:pPr>
        <w:pStyle w:val="FootnoteText"/>
        <w:tabs>
          <w:tab w:val="left" w:pos="284"/>
        </w:tabs>
        <w:spacing w:after="120"/>
        <w:ind w:left="284" w:hanging="284"/>
        <w:rPr>
          <w:color w:val="000000"/>
        </w:rPr>
      </w:pPr>
      <w:r w:rsidRPr="00373AB8">
        <w:rPr>
          <w:rStyle w:val="FootnoteReference"/>
        </w:rPr>
        <w:footnoteRef/>
      </w:r>
      <w:r w:rsidRPr="00373AB8">
        <w:tab/>
      </w:r>
      <w:r w:rsidRPr="00373AB8">
        <w:rPr>
          <w:color w:val="000000"/>
        </w:rPr>
        <w:t>Nagu on määratletud suunistes raskustes olevate mittefinantsettevõtjate päästmiseks ja ümberkorraldamiseks antava riigiabi kohta (ELT C 249, 31.7.2014, lk 1).</w:t>
      </w:r>
    </w:p>
  </w:footnote>
  <w:footnote w:id="5">
    <w:p w14:paraId="6218D4EB" w14:textId="77777777" w:rsidR="0082257B" w:rsidRPr="00373AB8" w:rsidRDefault="0082257B" w:rsidP="0082257B">
      <w:pPr>
        <w:pStyle w:val="FootnoteText"/>
        <w:tabs>
          <w:tab w:val="left" w:pos="284"/>
        </w:tabs>
        <w:spacing w:after="120"/>
        <w:ind w:left="284" w:hanging="284"/>
        <w:rPr>
          <w:color w:val="000000"/>
        </w:rPr>
      </w:pPr>
      <w:r w:rsidRPr="00373AB8">
        <w:rPr>
          <w:rStyle w:val="FootnoteReference"/>
        </w:rPr>
        <w:footnoteRef/>
      </w:r>
      <w:r w:rsidRPr="00373AB8">
        <w:tab/>
      </w:r>
      <w:r w:rsidRPr="00373AB8">
        <w:rPr>
          <w:color w:val="000000"/>
        </w:rPr>
        <w:t>Nagu on määratletud RAG VI lisas.</w:t>
      </w:r>
    </w:p>
  </w:footnote>
  <w:footnote w:id="6">
    <w:p w14:paraId="6DAD33C8"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„Pruunsüsi“ – madala kvaliteediklassi C-kategooria pruunsüsi ehk ortoligniit ning madala kvaliteediklassi B-kategooria pruunsüsi ehk metaligniit, nagu need on määratletud ÜRO Euroopa Majanduskomisjoni koostatud rahvusvahelises söekodifitseerimissüsteemis.</w:t>
      </w:r>
    </w:p>
  </w:footnote>
  <w:footnote w:id="7">
    <w:p w14:paraId="28A86C87"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„Süsi“ – kõrge kvaliteediklassi, keskmise kvaliteediklassi ja madala kvaliteediklassi A ja B kategooria süsi ÜRO Euroopa Majanduskomisjoni koostatud rahvusvahelise söekodifitseerimissüsteemi tähenduses; mõistet on selgitatud ka nõukogu 10. detsembri 2010. aasta otsuses konkurentsivõimetute söekaevanduste sulgemise soodustamiseks antava riigiabi kohta (ELT L 336, 21.12.2010, lk 24).</w:t>
      </w:r>
    </w:p>
  </w:footnote>
  <w:footnote w:id="8">
    <w:p w14:paraId="60584E08"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Vastavalt Euroopa Parlamendi ja nõukogu 11. detsembri 2013. aasta määrusele (EL) nr 1379/2013 kalapüügi- ja vesiviljelustoodete turu ühise korralduse kohta, millega muudetakse nõukogu määruseid (EÜ) nr 1184/2006 ja (EÜ) nr 1224/2009 ning tunnistatakse kehtetuks nõukogu määrus (EÜ) nr 104/2000 (ELT L 354, 28.12.2013, lk 1).</w:t>
      </w:r>
    </w:p>
  </w:footnote>
  <w:footnote w:id="9">
    <w:p w14:paraId="36B684B0"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Riigiabi suhtes, mida antakse põllumajandustoodete esmaseks tootmiseks, töötlemiseks ja turustamiseks, kui selle tulemuseks on aluslepingu I lisas loetletud põllumajandustooted, ning metsandusele antava riigiabi suhtes kohaldatakse põllumajandussektori riigiabi suunistes (ELT C 204, 1.7.2014, lk 1) sätestatud eeskirju.</w:t>
      </w:r>
    </w:p>
  </w:footnote>
  <w:footnote w:id="10">
    <w:p w14:paraId="130D307A"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Regionaalabi suuniseid kohaldatakse abikavade suhtes, millega toetatakse tegevust, mis jääb aluslepingu artikli 42 kohaldamisalast välja, mida aga kas kaasrahastatakse Euroopa Maaelu Arengu Põllumajandusfondist (EAFRD) või millega tagatakse kõnealuste kaasrahastatud meetmete täiendav riiklik rahastamine, välja arvatud juhul, kui sektoripõhistes eeskirjades on sätestatud teisiti.</w:t>
      </w:r>
    </w:p>
  </w:footnote>
  <w:footnote w:id="11">
    <w:p w14:paraId="7C09784E"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Transpordi all mõistetakse reisijate vedu õhusõidukiga, meritsi või maanteed, raudteed ja siseveeteed pidi või kaubaveoteenuseid rendi või tasu eest. Erisuunistega hõlmatud transporditaristu, näiteks lennujaamad, arvatakse samuti käesolevate suuniste kohaldamisalast välja (vt komisjoni teatis „Suunised lennujaamadele ja -ettevõtjatele antava riigiabi kohta“ (ELT C 99, 4.4.2014, lk 3)).</w:t>
      </w:r>
    </w:p>
  </w:footnote>
  <w:footnote w:id="12">
    <w:p w14:paraId="12594D30"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Komisjoni teatis „ELi suunised riigiabieeskirjade kohaldamiseks seoses lairibavõrkude kiire kasutuselevõtuga“ (ELT C 25, 26.1.2013, lk 1).</w:t>
      </w:r>
    </w:p>
  </w:footnote>
  <w:footnote w:id="13">
    <w:p w14:paraId="06F2DFDD"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Komisjon hindab riigiabi kokkusobivust energeetikasektoriga lähtuvalt keskkonna- ja energiaalase riigiabi suunistest aastateks 2014–2020 (ELT C 200, 28.6.2014, lk 1).</w:t>
      </w:r>
    </w:p>
  </w:footnote>
  <w:footnote w:id="14">
    <w:p w14:paraId="2E82E852"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VKEd on ettevõtjad, kes vastavad komisjoni 6. mai 2003. aasta soovituses (mikro-, väike- ja keskmise suurusega ettevõtjate määratluse kohta, ELT L 124, 20.5.2003, lk 36) sätestatud tingimustele.</w:t>
      </w:r>
    </w:p>
  </w:footnote>
  <w:footnote w:id="15">
    <w:p w14:paraId="6F174CC1"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Üksnes ettevõtte aktsiate omandamine alginvesteeringuks ei kvalifitseeru.</w:t>
      </w:r>
    </w:p>
  </w:footnote>
  <w:footnote w:id="16">
    <w:p w14:paraId="6BE88671" w14:textId="77777777" w:rsidR="0082257B" w:rsidRPr="00373AB8" w:rsidRDefault="0082257B" w:rsidP="0082257B">
      <w:pPr>
        <w:pStyle w:val="FootnoteText"/>
        <w:tabs>
          <w:tab w:val="left" w:pos="284"/>
        </w:tabs>
        <w:spacing w:after="120"/>
        <w:ind w:left="284" w:hanging="284"/>
      </w:pPr>
      <w:r w:rsidRPr="00E32169">
        <w:rPr>
          <w:rStyle w:val="FootnoteReference"/>
        </w:rPr>
        <w:footnoteRef/>
      </w:r>
      <w:r>
        <w:tab/>
      </w:r>
      <w:r w:rsidRPr="00373AB8">
        <w:t>„Sama või sarnane tegevusala“ – Euroopa Liidu majanduse tegevusalade statistilise klassifikaatori (NACE Rev. 2) samasse klassi (neljakohaline arvkood) kuuluv tegevusala.</w:t>
      </w:r>
    </w:p>
  </w:footnote>
  <w:footnote w:id="17">
    <w:p w14:paraId="527A807B"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Üksnes ettevõtte aktsiate omandamine ei kvalifitseeru uut majandustegevust tekitavaks alginvesteeringuks.</w:t>
      </w:r>
    </w:p>
  </w:footnote>
  <w:footnote w:id="18">
    <w:p w14:paraId="409FCA05"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Seda sätet ei pea kohaldama VKEde puhul ja ettevõtte omandamise korral.</w:t>
      </w:r>
    </w:p>
  </w:footnote>
  <w:footnote w:id="19">
    <w:p w14:paraId="4D160BC4" w14:textId="77777777" w:rsidR="0082257B" w:rsidRPr="00373AB8" w:rsidRDefault="0082257B" w:rsidP="0082257B">
      <w:pPr>
        <w:pStyle w:val="FootnoteText"/>
        <w:tabs>
          <w:tab w:val="left" w:pos="284"/>
        </w:tabs>
        <w:ind w:left="284" w:hanging="284"/>
      </w:pPr>
      <w:r w:rsidRPr="00373AB8">
        <w:rPr>
          <w:rStyle w:val="FootnoteReference"/>
        </w:rPr>
        <w:footnoteRef/>
      </w:r>
      <w:r w:rsidRPr="00373AB8">
        <w:tab/>
        <w:t>RAG punkti 34 kohaselt peab investeerimiskulude arvutamisel arvesse võetav immateriaalne vara jääma seotuks asjaomase piirkonnaga ning seda ei tohi üle viia teistesse piirkondadesse. Selleks peab immateriaalne vara vastama järgmistele tingimustele:</w:t>
      </w:r>
    </w:p>
    <w:p w14:paraId="61CE31E5" w14:textId="77777777" w:rsidR="0082257B" w:rsidRPr="00373AB8" w:rsidRDefault="0082257B" w:rsidP="0082257B">
      <w:pPr>
        <w:pStyle w:val="FootnoteText"/>
        <w:numPr>
          <w:ilvl w:val="0"/>
          <w:numId w:val="23"/>
        </w:numPr>
        <w:tabs>
          <w:tab w:val="left" w:pos="709"/>
        </w:tabs>
        <w:spacing w:before="0"/>
        <w:ind w:left="709" w:hanging="425"/>
      </w:pPr>
      <w:r w:rsidRPr="00373AB8">
        <w:t>seda tuleb kasutada üksnes abi saavas ettevõttes;</w:t>
      </w:r>
    </w:p>
    <w:p w14:paraId="3E5D1A46" w14:textId="77777777" w:rsidR="0082257B" w:rsidRPr="00373AB8" w:rsidRDefault="0082257B" w:rsidP="0082257B">
      <w:pPr>
        <w:pStyle w:val="FootnoteText"/>
        <w:numPr>
          <w:ilvl w:val="0"/>
          <w:numId w:val="23"/>
        </w:numPr>
        <w:tabs>
          <w:tab w:val="left" w:pos="709"/>
        </w:tabs>
        <w:spacing w:before="0"/>
        <w:ind w:left="709" w:hanging="425"/>
      </w:pPr>
      <w:r w:rsidRPr="00373AB8">
        <w:t>see peab olema amortiseeritav;</w:t>
      </w:r>
    </w:p>
    <w:p w14:paraId="14C5C17B" w14:textId="77777777" w:rsidR="0082257B" w:rsidRPr="00373AB8" w:rsidRDefault="0082257B" w:rsidP="0082257B">
      <w:pPr>
        <w:pStyle w:val="FootnoteText"/>
        <w:numPr>
          <w:ilvl w:val="0"/>
          <w:numId w:val="23"/>
        </w:numPr>
        <w:tabs>
          <w:tab w:val="left" w:pos="709"/>
        </w:tabs>
        <w:spacing w:before="0"/>
        <w:ind w:left="709" w:hanging="425"/>
      </w:pPr>
      <w:r w:rsidRPr="00373AB8">
        <w:t>see peab olema ostetud turutingimustel ostjaga mitteseotud kolmandatelt isikutelt;</w:t>
      </w:r>
    </w:p>
    <w:p w14:paraId="019C3B31" w14:textId="77777777" w:rsidR="0082257B" w:rsidRPr="00373AB8" w:rsidRDefault="0082257B" w:rsidP="0082257B">
      <w:pPr>
        <w:pStyle w:val="FootnoteText"/>
        <w:numPr>
          <w:ilvl w:val="0"/>
          <w:numId w:val="23"/>
        </w:numPr>
        <w:tabs>
          <w:tab w:val="left" w:pos="709"/>
        </w:tabs>
        <w:spacing w:before="0" w:after="120"/>
        <w:ind w:left="709" w:hanging="425"/>
      </w:pPr>
      <w:r w:rsidRPr="00373AB8">
        <w:t>see peab olema arvatud abi saava ettevõtja vara hulka ja peab jääma vähemalt viieks aastaks (VKEde puhul kolmeks aastaks) seotuks projektiga, mille jaoks abi antakse.</w:t>
      </w:r>
    </w:p>
  </w:footnote>
  <w:footnote w:id="20">
    <w:p w14:paraId="6197806B"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Seda punkti ei kohaldata subsideeritud laenude, avaliku sektori omakapitalilaenude või riigiosaluse korral, mis ei vasta turumajandusliku investori põhimõttele, abi elemente sisaldavate riigigarantiide või vähese tähtsusega abi eeskirja alusel antud riikliku toetuse korral.</w:t>
      </w:r>
    </w:p>
  </w:footnote>
  <w:footnote w:id="21">
    <w:p w14:paraId="0C267CDD"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Vastupidine stsenaarium on usaldusväärne, kui see on ehtne ja seotud otsuse tegemise tingimustega ajal, mil abisaaja teeb investeeringu kohta otsuse.</w:t>
      </w:r>
    </w:p>
  </w:footnote>
  <w:footnote w:id="22">
    <w:p w14:paraId="3B90F01E"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Siin võib viidata muu hulgas kavandatud abikava mõjuhindamistele või sarnaste abikavade järelhindamistele.</w:t>
      </w:r>
    </w:p>
  </w:footnote>
  <w:footnote w:id="23">
    <w:p w14:paraId="425893D4"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Näiteks otsetoetused, vabastused või soodustused seoses maksude, sotsiaalkindlustusmaksete või muude kohustuslike tasudega või maa, kauba või teenuste pakkumine soodsate hindadega jms.</w:t>
      </w:r>
    </w:p>
  </w:footnote>
  <w:footnote w:id="24">
    <w:p w14:paraId="5B2BF931"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Näiteks madala intressiga laenud või intressisoodustused, riigigarantiid, aktsiate ostmine või alternatiivne kapitalisüst soodsatel tingimustel.</w:t>
      </w:r>
    </w:p>
  </w:footnote>
  <w:footnote w:id="25">
    <w:p w14:paraId="4103AA16"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Selleks et võimaldada komisjonil hinnata tõenäolist negatiivset mõju, võib liikmesriik esitada temale kättesaadava mõjuhindamise ning sarnaste varasemate kavade järelhindamised.</w:t>
      </w:r>
    </w:p>
  </w:footnote>
  <w:footnote w:id="26">
    <w:p w14:paraId="44A0ED4D"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Nagu on määratletud komisjoni 17. juuni 2014. aasta määruse (EL) nr 651/2014 (ELi aluslepingu artiklite 107 ja 108 kohaldamise kohta, millega teatavat liiki abi tunnistatakse siseturuga kokkusobivaks) III lisas.</w:t>
      </w:r>
    </w:p>
  </w:footnote>
  <w:footnote w:id="27">
    <w:p w14:paraId="6CBC7E9C"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Nagu on määratletud komisjoni 17. juuni 2014. aasta määruse (EL) nr 651/2014 (ELi aluslepingu artiklite 107 ja 108 kohaldamise kohta, millega teatavat liiki abi tunnistatakse siseturuga kokkusobivaks) III lisas.</w:t>
      </w:r>
    </w:p>
  </w:footnote>
  <w:footnote w:id="28">
    <w:p w14:paraId="16520622" w14:textId="77777777" w:rsidR="0082257B" w:rsidRPr="00373AB8" w:rsidRDefault="0082257B" w:rsidP="0082257B">
      <w:pPr>
        <w:pStyle w:val="FootnoteText"/>
        <w:tabs>
          <w:tab w:val="left" w:pos="284"/>
        </w:tabs>
        <w:spacing w:after="120"/>
        <w:ind w:left="284" w:hanging="284"/>
      </w:pPr>
      <w:r w:rsidRPr="00373AB8">
        <w:rPr>
          <w:rStyle w:val="FootnoteReference"/>
        </w:rPr>
        <w:footnoteRef/>
      </w:r>
      <w:r w:rsidRPr="00373AB8">
        <w:tab/>
        <w:t xml:space="preserve">Juhised on riigiabi hindamise metoodika juhendis: </w:t>
      </w:r>
      <w:hyperlink r:id="rId3" w:history="1">
        <w:r w:rsidRPr="00373AB8">
          <w:rPr>
            <w:rStyle w:val="Hyperlink"/>
          </w:rPr>
          <w:t>https://competition-policy.ec.europa.eu/system/files/2021-04/modernisation_evaluation_methodology_en.pdf</w:t>
        </w:r>
      </w:hyperlink>
      <w:r w:rsidRPr="00373AB8">
        <w:t xml:space="preserve">. Hindamiskava (I lisa osa III.8) tuleks esitada vormil, mis on kättesaadav aadressil </w:t>
      </w:r>
      <w:hyperlink r:id="rId4" w:history="1">
        <w:r w:rsidRPr="00373AB8">
          <w:rPr>
            <w:rStyle w:val="Hyperlink"/>
          </w:rPr>
          <w:t>https://competition-policy.ec.europa.eu/state-aid/legislation/forms-notifications-and-reporting_en</w:t>
        </w:r>
      </w:hyperlink>
      <w:r w:rsidRPr="00373AB8">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7294978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15828085">
    <w:abstractNumId w:val="16"/>
  </w:num>
  <w:num w:numId="24" w16cid:durableId="1980106293">
    <w:abstractNumId w:val="19"/>
  </w:num>
  <w:num w:numId="25" w16cid:durableId="257450320">
    <w:abstractNumId w:val="9"/>
  </w:num>
  <w:num w:numId="26" w16cid:durableId="1467507949">
    <w:abstractNumId w:val="15"/>
    <w:lvlOverride w:ilvl="0">
      <w:startOverride w:val="1"/>
    </w:lvlOverride>
  </w:num>
  <w:num w:numId="27" w16cid:durableId="1793015395">
    <w:abstractNumId w:val="23"/>
    <w:lvlOverride w:ilvl="0">
      <w:startOverride w:val="1"/>
    </w:lvlOverride>
  </w:num>
  <w:num w:numId="28" w16cid:durableId="792797134">
    <w:abstractNumId w:val="23"/>
  </w:num>
  <w:num w:numId="29" w16cid:durableId="807358937">
    <w:abstractNumId w:val="15"/>
  </w:num>
  <w:num w:numId="30" w16cid:durableId="1804233044">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2257B"/>
    <w:rsid w:val="000216FC"/>
    <w:rsid w:val="00023793"/>
    <w:rsid w:val="0002601F"/>
    <w:rsid w:val="000530AA"/>
    <w:rsid w:val="00053A8E"/>
    <w:rsid w:val="00055092"/>
    <w:rsid w:val="00061517"/>
    <w:rsid w:val="00061AD8"/>
    <w:rsid w:val="00073E1D"/>
    <w:rsid w:val="000922D4"/>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7E5A"/>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1D8A"/>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A7CA7"/>
    <w:rsid w:val="007C35B3"/>
    <w:rsid w:val="007D74F9"/>
    <w:rsid w:val="007D7B5B"/>
    <w:rsid w:val="007E6226"/>
    <w:rsid w:val="007F1484"/>
    <w:rsid w:val="007F2DDC"/>
    <w:rsid w:val="007F33F5"/>
    <w:rsid w:val="0080432F"/>
    <w:rsid w:val="008140B8"/>
    <w:rsid w:val="0082257B"/>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9B9D9"/>
  <w15:chartTrackingRefBased/>
  <w15:docId w15:val="{50BE00DC-9574-43DC-A078-B6FC805A3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57B"/>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2257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2257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t-E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t-E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t-E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t-E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t-E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t-E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t-E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2257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2257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2257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25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257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25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257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2257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2257B"/>
    <w:rPr>
      <w:i/>
      <w:iCs/>
      <w:color w:val="365F91" w:themeColor="accent1" w:themeShade="BF"/>
    </w:rPr>
  </w:style>
  <w:style w:type="paragraph" w:styleId="IntenseQuote">
    <w:name w:val="Intense Quote"/>
    <w:basedOn w:val="Normal"/>
    <w:next w:val="Normal"/>
    <w:link w:val="IntenseQuoteChar"/>
    <w:uiPriority w:val="30"/>
    <w:qFormat/>
    <w:rsid w:val="0082257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2257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2257B"/>
    <w:rPr>
      <w:b/>
      <w:bCs/>
      <w:smallCaps/>
      <w:color w:val="365F91" w:themeColor="accent1" w:themeShade="BF"/>
      <w:spacing w:val="5"/>
    </w:rPr>
  </w:style>
  <w:style w:type="paragraph" w:customStyle="1" w:styleId="Text2">
    <w:name w:val="Text 2"/>
    <w:basedOn w:val="Normal"/>
    <w:rsid w:val="0082257B"/>
    <w:pPr>
      <w:ind w:left="1417"/>
    </w:pPr>
  </w:style>
  <w:style w:type="paragraph" w:customStyle="1" w:styleId="Tiret0">
    <w:name w:val="Tiret 0"/>
    <w:basedOn w:val="Normal"/>
    <w:rsid w:val="0082257B"/>
    <w:pPr>
      <w:numPr>
        <w:numId w:val="27"/>
      </w:numPr>
    </w:pPr>
  </w:style>
  <w:style w:type="paragraph" w:customStyle="1" w:styleId="Tiret1">
    <w:name w:val="Tiret 1"/>
    <w:basedOn w:val="Normal"/>
    <w:rsid w:val="0082257B"/>
    <w:pPr>
      <w:numPr>
        <w:numId w:val="26"/>
      </w:numPr>
    </w:pPr>
  </w:style>
  <w:style w:type="paragraph" w:customStyle="1" w:styleId="Tiret2">
    <w:name w:val="Tiret 2"/>
    <w:basedOn w:val="Normal"/>
    <w:rsid w:val="0082257B"/>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2478</Words>
  <Characters>16238</Characters>
  <DocSecurity>0</DocSecurity>
  <Lines>377</Lines>
  <Paragraphs>222</Paragraphs>
  <ScaleCrop>false</ScaleCrop>
  <LinksUpToDate>false</LinksUpToDate>
  <CharactersWithSpaces>18494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2025-05-28T14:43:00Z</dcterms:created>
  <dcterms:modified xsi:type="dcterms:W3CDTF">2025-05-30T10:22:00Z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2025-05-28T14:44:17Z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5d579529-2bdc-42c4-a13b-28ab8ac17171</vt:lpwstr>
  </property>
  <property fmtid="{D5CDD505-2E9C-101B-9397-08002B2CF9AE}" pid="8" name="MSIP_Label_6bd9ddd1-4d20-43f6-abfa-fc3c07406f94_ContentBits">
    <vt:lpwstr>0</vt:lpwstr>
  </property>
</Properties>
</file>