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C3367" w14:textId="0613C944" w:rsidR="003E533A" w:rsidRPr="008C7F66" w:rsidRDefault="003E533A" w:rsidP="003E533A">
      <w:pPr>
        <w:pStyle w:val="ManualHeading2"/>
        <w:rPr>
          <w:noProof/>
          <w:color w:val="000000"/>
          <w:szCs w:val="24"/>
        </w:rPr>
      </w:pPr>
      <w:r w:rsidRPr="008C7F66">
        <w:rPr>
          <w:noProof/>
        </w:rPr>
        <w:t>ΜΕΡΟΣ III.1.Β</w:t>
      </w:r>
      <w:r>
        <w:rPr>
          <w:noProof/>
          <w:lang w:val="fr-BE"/>
        </w:rPr>
        <w:t xml:space="preserve"> - </w:t>
      </w:r>
      <w:r w:rsidRPr="008C7F66">
        <w:rPr>
          <w:noProof/>
          <w:color w:val="000000"/>
        </w:rPr>
        <w:t>ΣΥΜΠΛΗΡΩΜΑΤΙΚΟ ΔΕΛΤΙΟ ΠΛΗΡΟΦΟΡΙΩΝ ΣΧΕΤΙΚΑ ΜΕ ΤΑ ΚΑΘΕΣΤΩΤΑ ΕΠΕΝΔΥΤΙΚΩΝ ΕΝΙΣΧΥΣΕΩΝ ΠΕΡΙΦΕΡΕΙΑΚΟΥ ΧΑΡΑΚΤΗΡΑ</w:t>
      </w:r>
    </w:p>
    <w:p w14:paraId="73DCD2BA" w14:textId="77777777" w:rsidR="003E533A" w:rsidRPr="008C7F66" w:rsidRDefault="003E533A" w:rsidP="003E533A">
      <w:pPr>
        <w:rPr>
          <w:i/>
          <w:iCs/>
          <w:noProof/>
          <w:szCs w:val="24"/>
        </w:rPr>
      </w:pPr>
      <w:r w:rsidRPr="008C7F66">
        <w:rPr>
          <w:i/>
          <w:noProof/>
        </w:rPr>
        <w:t>Το παρόν συμπληρωματικό δελτίο πληροφοριών δεν είναι υποχρεωτικό. Συνιστάται, ωστόσο, η συμπλήρωσή του, επιπλέον του εντύπου “Γενικές πληροφορίες”, για την κοινοποίηση όλων των μεμονωμένων επενδυτικών ενισχύσεων που καλύπτονται από τις κατευθυντήριες γραμμές για τις κρατικές ενισχύσεις περιφερειακού χαρακτήρα που εφαρμόζονται από την 1η Ιανουαρίου 2022 (στο εξής: ΚΓΠΕ)</w:t>
      </w:r>
      <w:r w:rsidRPr="008C7F66">
        <w:rPr>
          <w:rStyle w:val="FootnoteReference"/>
          <w:noProof/>
        </w:rPr>
        <w:footnoteReference w:id="1"/>
      </w:r>
      <w:r w:rsidRPr="008C7F66">
        <w:rPr>
          <w:noProof/>
        </w:rPr>
        <w:t>.</w:t>
      </w:r>
      <w:r w:rsidRPr="008C7F66">
        <w:rPr>
          <w:i/>
          <w:noProof/>
        </w:rPr>
        <w:t xml:space="preserve"> </w:t>
      </w:r>
    </w:p>
    <w:p w14:paraId="798D2161" w14:textId="791FCE86" w:rsidR="003E533A" w:rsidRPr="008C7F66" w:rsidRDefault="003E533A" w:rsidP="003E533A">
      <w:pPr>
        <w:pStyle w:val="Heading1"/>
        <w:rPr>
          <w:noProof/>
        </w:rPr>
      </w:pPr>
      <w:r w:rsidRPr="008C7F66">
        <w:rPr>
          <w:noProof/>
        </w:rPr>
        <w:t>Πεδίο εφαρμογής</w:t>
      </w:r>
    </w:p>
    <w:p w14:paraId="36467129" w14:textId="77777777" w:rsidR="003E533A" w:rsidRPr="008C7F66" w:rsidRDefault="003E533A" w:rsidP="003E533A">
      <w:pPr>
        <w:pStyle w:val="NormalKop111"/>
        <w:numPr>
          <w:ilvl w:val="1"/>
          <w:numId w:val="22"/>
        </w:numPr>
        <w:tabs>
          <w:tab w:val="clear" w:pos="720"/>
          <w:tab w:val="clear" w:pos="1440"/>
          <w:tab w:val="clear" w:pos="1797"/>
        </w:tabs>
        <w:ind w:left="709" w:hanging="709"/>
        <w:rPr>
          <w:noProof/>
        </w:rPr>
      </w:pPr>
      <w:r w:rsidRPr="008C7F66">
        <w:rPr>
          <w:noProof/>
        </w:rPr>
        <w:t>Λόγοι για την κοινοποίηση του καθεστώτος αντί της εφαρμογής του βάσει του γενικού κανονισμού απαλλαγής κατά κατηγορία (ΓΚΑΚ)</w:t>
      </w:r>
      <w:r w:rsidRPr="008C7F66">
        <w:rPr>
          <w:rStyle w:val="FootnoteReference"/>
          <w:rFonts w:cs="Times New Roman"/>
          <w:noProof/>
        </w:rPr>
        <w:footnoteReference w:id="2"/>
      </w:r>
      <w:r w:rsidRPr="008C7F66">
        <w:rPr>
          <w:noProof/>
        </w:rPr>
        <w:t xml:space="preserve"> ή του κανονισμού για τις ενισχύσεις ήσσονος σημασίας</w:t>
      </w:r>
      <w:r w:rsidRPr="008C7F66">
        <w:rPr>
          <w:rStyle w:val="FootnoteReference"/>
          <w:noProof/>
        </w:rPr>
        <w:footnoteReference w:id="3"/>
      </w:r>
      <w:r w:rsidRPr="008C7F66">
        <w:rPr>
          <w:noProof/>
        </w:rPr>
        <w:t xml:space="preserve"> (de minimis):</w:t>
      </w:r>
    </w:p>
    <w:p w14:paraId="47701387" w14:textId="77777777" w:rsidR="003E533A" w:rsidRPr="008C7F66" w:rsidRDefault="00453FF5" w:rsidP="003E533A">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Η κοινοποίηση αφορά τομεακό καθεστώς. Στην περίπτωση αυτή, αναφέρετε τον τομέα που καλύπτεται από το καθεστώς (κωδικός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3E533A" w:rsidRPr="008C7F66" w14:paraId="5F56941C" w14:textId="77777777" w:rsidTr="00E06E8E">
        <w:tc>
          <w:tcPr>
            <w:tcW w:w="7672" w:type="dxa"/>
            <w:shd w:val="clear" w:color="auto" w:fill="auto"/>
          </w:tcPr>
          <w:p w14:paraId="31A9EF85" w14:textId="77777777" w:rsidR="003E533A" w:rsidRPr="008C7F66" w:rsidRDefault="003E533A" w:rsidP="00E06E8E">
            <w:pPr>
              <w:rPr>
                <w:noProof/>
              </w:rPr>
            </w:pPr>
            <w:r w:rsidRPr="008C7F66">
              <w:rPr>
                <w:noProof/>
              </w:rPr>
              <w:t xml:space="preserve">… </w:t>
            </w:r>
          </w:p>
        </w:tc>
      </w:tr>
    </w:tbl>
    <w:p w14:paraId="177CEB5D" w14:textId="77777777" w:rsidR="003E533A" w:rsidRPr="008C7F66" w:rsidRDefault="00453FF5" w:rsidP="003E533A">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rFonts w:ascii="MS Gothic" w:hAnsi="MS Gothic"/>
          <w:noProof/>
        </w:rPr>
        <w:t xml:space="preserve"> </w:t>
      </w:r>
      <w:r w:rsidR="003E533A" w:rsidRPr="008C7F66">
        <w:rPr>
          <w:noProof/>
        </w:rPr>
        <w:t xml:space="preserve">Άλλος. Να διευκρινιστεί: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3E533A" w:rsidRPr="008C7F66" w14:paraId="68081052" w14:textId="77777777" w:rsidTr="00E06E8E">
        <w:tc>
          <w:tcPr>
            <w:tcW w:w="8391" w:type="dxa"/>
            <w:shd w:val="clear" w:color="auto" w:fill="auto"/>
          </w:tcPr>
          <w:p w14:paraId="2E5E058F" w14:textId="77777777" w:rsidR="003E533A" w:rsidRPr="008C7F66" w:rsidRDefault="003E533A" w:rsidP="00E06E8E">
            <w:pPr>
              <w:rPr>
                <w:noProof/>
              </w:rPr>
            </w:pPr>
            <w:r w:rsidRPr="008C7F66">
              <w:rPr>
                <w:noProof/>
              </w:rPr>
              <w:t xml:space="preserve">… </w:t>
            </w:r>
          </w:p>
        </w:tc>
      </w:tr>
    </w:tbl>
    <w:p w14:paraId="1866FDAC" w14:textId="77777777" w:rsidR="003E533A" w:rsidRPr="008C7F66" w:rsidRDefault="003E533A" w:rsidP="003E533A">
      <w:pPr>
        <w:pStyle w:val="NormalKop111"/>
        <w:numPr>
          <w:ilvl w:val="1"/>
          <w:numId w:val="22"/>
        </w:numPr>
        <w:tabs>
          <w:tab w:val="clear" w:pos="720"/>
          <w:tab w:val="clear" w:pos="1440"/>
          <w:tab w:val="clear" w:pos="1797"/>
        </w:tabs>
        <w:ind w:left="709" w:hanging="709"/>
        <w:rPr>
          <w:noProof/>
        </w:rPr>
      </w:pPr>
      <w:r w:rsidRPr="008C7F66">
        <w:rPr>
          <w:noProof/>
        </w:rPr>
        <w:t>Πεδίο εφαρμογής του κοινοποιηθέντος καθεστώτος</w:t>
      </w:r>
    </w:p>
    <w:p w14:paraId="421E67D5"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Επιβεβαιώστε ότι η νομική βάση για το κοινοποιηθέν καθεστώς προβλέπει την υποχρέωση να κοινοποιούνται στην Επιτροπή οι μεμονωμένες ενισχύσεις σε δικαιούχο σε περίπτωση που η ενίσχυση από όλες τις πηγές υπερβαίνει το όριο κοινοποίησης μεμονωμένων ενισχύσεων που προβλέπεται στον γενικό κανονισμό απαλλαγής κατά κατηγορία (ΓΚΑΚ) για τις περιφερειακές επενδυτικές ενισχύσεις (παράγραφος 22 των ΚΓΠΕ)</w:t>
      </w:r>
    </w:p>
    <w:p w14:paraId="238220A3" w14:textId="77777777" w:rsidR="003E533A" w:rsidRPr="008C7F66" w:rsidRDefault="003E533A" w:rsidP="003E533A">
      <w:pPr>
        <w:pStyle w:val="Text2"/>
        <w:rPr>
          <w:noProof/>
        </w:rPr>
      </w:pPr>
      <w:r w:rsidRPr="008C7F66">
        <w:rPr>
          <w:noProof/>
        </w:rPr>
        <w:t xml:space="preserve">Αναφέρετε τις σχετικές διατάξεις της νομικής βάσης: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3E533A" w:rsidRPr="008C7F66" w14:paraId="4D37B796" w14:textId="77777777" w:rsidTr="00E06E8E">
        <w:tc>
          <w:tcPr>
            <w:tcW w:w="8391" w:type="dxa"/>
            <w:shd w:val="clear" w:color="auto" w:fill="auto"/>
          </w:tcPr>
          <w:p w14:paraId="522AC0EA" w14:textId="77777777" w:rsidR="003E533A" w:rsidRPr="008C7F66" w:rsidRDefault="003E533A" w:rsidP="00E06E8E">
            <w:pPr>
              <w:rPr>
                <w:noProof/>
              </w:rPr>
            </w:pPr>
            <w:r w:rsidRPr="008C7F66">
              <w:rPr>
                <w:noProof/>
              </w:rPr>
              <w:t xml:space="preserve">… </w:t>
            </w:r>
          </w:p>
        </w:tc>
      </w:tr>
    </w:tbl>
    <w:p w14:paraId="6D8AC284"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 xml:space="preserve">Επιβεβαιώστε ότι η νομική βάση για το κοινοποιηθέν καθεστώς προβλέπει την υποχρέωση να κοινοποιούνται στην Επιτροπή μεμονωμένες ενισχύσεις σε δικαιούχο, εκτός εάν 1) έχει επιβεβαιώσει ότι, κατά τη διετία που προηγείται </w:t>
      </w:r>
      <w:r w:rsidRPr="008C7F66">
        <w:rPr>
          <w:noProof/>
        </w:rPr>
        <w:lastRenderedPageBreak/>
        <w:t>της αίτησης ενίσχυσης, δεν έχει πραγματοποιήσει μετεγκατάσταση στην εγκατάσταση στην οποία πρόκειται να πραγματοποιηθεί η ενισχυόμενη αρχική επένδυση και 2) έχει δεσμευτεί ότι δεν θα προβεί σε τέτοια μετεγκατάσταση κατά τη διετία που έπεται της ολοκλήρωσης της αρχικής επένδυσης. (παράγραφος 23 των ΚΓΠΕ)</w:t>
      </w:r>
    </w:p>
    <w:p w14:paraId="7F5537A9"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 xml:space="preserve">Αναφέρετε τις σχετικές διατάξεις της νομικής βάσης: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3E533A" w:rsidRPr="008C7F66" w14:paraId="16F5FD89" w14:textId="77777777" w:rsidTr="00E06E8E">
        <w:tc>
          <w:tcPr>
            <w:tcW w:w="8391" w:type="dxa"/>
            <w:shd w:val="clear" w:color="auto" w:fill="auto"/>
          </w:tcPr>
          <w:p w14:paraId="03455C63" w14:textId="77777777" w:rsidR="003E533A" w:rsidRPr="008C7F66" w:rsidRDefault="003E533A" w:rsidP="00E06E8E">
            <w:pPr>
              <w:rPr>
                <w:noProof/>
              </w:rPr>
            </w:pPr>
            <w:r w:rsidRPr="008C7F66">
              <w:rPr>
                <w:noProof/>
              </w:rPr>
              <w:t xml:space="preserve">… </w:t>
            </w:r>
          </w:p>
        </w:tc>
      </w:tr>
    </w:tbl>
    <w:p w14:paraId="760C33C1"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Επιβεβαιώστε ότι το κοινοποιηθέν καθεστώς ενισχύσεων προβλέπει ότι δεν θα χορηγηθεί καμία περιφερειακή επενδυτική ενίσχυση σε ορισμένες κατηγορίες εταιρειών και τομείς που απαριθμούνται κατωτέρω. Σε κάθε περίπτωση, αναφέρετε τη σχετική διάταξη της νομικής βάσης του καθεστώτος.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3E533A" w:rsidRPr="008C7F66" w14:paraId="5DCDFF3C" w14:textId="77777777" w:rsidTr="00E06E8E">
        <w:tc>
          <w:tcPr>
            <w:tcW w:w="3221" w:type="pct"/>
            <w:shd w:val="clear" w:color="auto" w:fill="auto"/>
          </w:tcPr>
          <w:p w14:paraId="4D2A72CA" w14:textId="192514EB" w:rsidR="003E533A" w:rsidRPr="008C7F66" w:rsidRDefault="003E533A" w:rsidP="00453FF5">
            <w:pPr>
              <w:rPr>
                <w:noProof/>
              </w:rPr>
            </w:pPr>
            <w:r w:rsidRPr="008C7F66">
              <w:rPr>
                <w:noProof/>
              </w:rPr>
              <w:t>Εξαιρούμενες κατηγορίες εταιρειών και τομέων</w:t>
            </w:r>
          </w:p>
        </w:tc>
        <w:tc>
          <w:tcPr>
            <w:tcW w:w="1779" w:type="pct"/>
            <w:shd w:val="clear" w:color="auto" w:fill="auto"/>
          </w:tcPr>
          <w:p w14:paraId="70829D00" w14:textId="0132D0DF" w:rsidR="003E533A" w:rsidRPr="008C7F66" w:rsidRDefault="003E533A" w:rsidP="00453FF5">
            <w:pPr>
              <w:rPr>
                <w:noProof/>
              </w:rPr>
            </w:pPr>
            <w:r w:rsidRPr="008C7F66">
              <w:rPr>
                <w:noProof/>
              </w:rPr>
              <w:t>Σχετική διάταξη της νομικής βάσης του καθεστώτος</w:t>
            </w:r>
          </w:p>
        </w:tc>
      </w:tr>
      <w:tr w:rsidR="003E533A" w:rsidRPr="008C7F66" w14:paraId="4E27326E" w14:textId="77777777" w:rsidTr="00E06E8E">
        <w:tc>
          <w:tcPr>
            <w:tcW w:w="3221" w:type="pct"/>
            <w:shd w:val="clear" w:color="auto" w:fill="auto"/>
          </w:tcPr>
          <w:p w14:paraId="42C592EA" w14:textId="3EA0318B" w:rsidR="003E533A" w:rsidRPr="008C7F66" w:rsidRDefault="003E533A" w:rsidP="00453FF5">
            <w:pPr>
              <w:rPr>
                <w:noProof/>
              </w:rPr>
            </w:pPr>
            <w:r w:rsidRPr="008C7F66">
              <w:rPr>
                <w:noProof/>
              </w:rPr>
              <w:t>Προβληματικές επιχειρήσεις</w:t>
            </w:r>
            <w:r w:rsidRPr="008C7F66">
              <w:rPr>
                <w:rStyle w:val="FootnoteReference"/>
                <w:noProof/>
              </w:rPr>
              <w:footnoteReference w:id="4"/>
            </w:r>
          </w:p>
        </w:tc>
        <w:tc>
          <w:tcPr>
            <w:tcW w:w="1779" w:type="pct"/>
            <w:shd w:val="clear" w:color="auto" w:fill="auto"/>
          </w:tcPr>
          <w:p w14:paraId="30A1E6FD" w14:textId="300C1368" w:rsidR="003E533A" w:rsidRPr="00613016" w:rsidRDefault="003E533A" w:rsidP="00453FF5">
            <w:pPr>
              <w:rPr>
                <w:noProof/>
                <w:sz w:val="22"/>
                <w:lang w:val="fr-BE"/>
              </w:rPr>
            </w:pPr>
          </w:p>
        </w:tc>
      </w:tr>
      <w:tr w:rsidR="003E533A" w:rsidRPr="008C7F66" w14:paraId="1374DF99" w14:textId="77777777" w:rsidTr="00E06E8E">
        <w:tc>
          <w:tcPr>
            <w:tcW w:w="3221" w:type="pct"/>
            <w:shd w:val="clear" w:color="auto" w:fill="auto"/>
          </w:tcPr>
          <w:p w14:paraId="50C67A7B" w14:textId="229987DA" w:rsidR="003E533A" w:rsidRPr="008C7F66" w:rsidRDefault="003E533A" w:rsidP="00453FF5">
            <w:pPr>
              <w:rPr>
                <w:noProof/>
              </w:rPr>
            </w:pPr>
            <w:r w:rsidRPr="008C7F66">
              <w:rPr>
                <w:noProof/>
              </w:rPr>
              <w:t>Τομέας του χάλυβα</w:t>
            </w:r>
            <w:r w:rsidRPr="008C7F66">
              <w:rPr>
                <w:rStyle w:val="FootnoteReference"/>
                <w:noProof/>
              </w:rPr>
              <w:footnoteReference w:id="5"/>
            </w:r>
            <w:r w:rsidRPr="008C7F66">
              <w:rPr>
                <w:noProof/>
              </w:rPr>
              <w:t xml:space="preserve"> </w:t>
            </w:r>
          </w:p>
        </w:tc>
        <w:tc>
          <w:tcPr>
            <w:tcW w:w="1779" w:type="pct"/>
            <w:shd w:val="clear" w:color="auto" w:fill="auto"/>
          </w:tcPr>
          <w:p w14:paraId="69559653" w14:textId="791CF3D2" w:rsidR="003E533A" w:rsidRPr="008C7F66" w:rsidRDefault="003E533A" w:rsidP="00453FF5">
            <w:pPr>
              <w:rPr>
                <w:noProof/>
                <w:sz w:val="22"/>
              </w:rPr>
            </w:pPr>
          </w:p>
        </w:tc>
      </w:tr>
      <w:tr w:rsidR="003E533A" w:rsidRPr="008C7F66" w14:paraId="40F4436F" w14:textId="77777777" w:rsidTr="00E06E8E">
        <w:tc>
          <w:tcPr>
            <w:tcW w:w="3221" w:type="pct"/>
            <w:shd w:val="clear" w:color="auto" w:fill="auto"/>
          </w:tcPr>
          <w:p w14:paraId="05B2A436" w14:textId="76FD6E50" w:rsidR="003E533A" w:rsidRPr="008C7F66" w:rsidRDefault="003E533A" w:rsidP="00453FF5">
            <w:pPr>
              <w:rPr>
                <w:noProof/>
              </w:rPr>
            </w:pPr>
            <w:r w:rsidRPr="008C7F66">
              <w:rPr>
                <w:noProof/>
              </w:rPr>
              <w:t>Τομέας του λιγνίτη</w:t>
            </w:r>
            <w:r w:rsidRPr="008C7F66">
              <w:rPr>
                <w:rStyle w:val="FootnoteReference"/>
                <w:noProof/>
                <w:sz w:val="22"/>
              </w:rPr>
              <w:footnoteReference w:id="6"/>
            </w:r>
          </w:p>
        </w:tc>
        <w:tc>
          <w:tcPr>
            <w:tcW w:w="1779" w:type="pct"/>
            <w:shd w:val="clear" w:color="auto" w:fill="auto"/>
          </w:tcPr>
          <w:p w14:paraId="315264DD" w14:textId="66C2B09E" w:rsidR="003E533A" w:rsidRPr="008C7F66" w:rsidRDefault="003E533A" w:rsidP="00453FF5">
            <w:pPr>
              <w:rPr>
                <w:noProof/>
                <w:sz w:val="22"/>
              </w:rPr>
            </w:pPr>
          </w:p>
        </w:tc>
      </w:tr>
      <w:tr w:rsidR="003E533A" w:rsidRPr="008C7F66" w14:paraId="363760C8" w14:textId="77777777" w:rsidTr="00E06E8E">
        <w:tc>
          <w:tcPr>
            <w:tcW w:w="3221" w:type="pct"/>
            <w:shd w:val="clear" w:color="auto" w:fill="auto"/>
          </w:tcPr>
          <w:p w14:paraId="75CBC84C" w14:textId="737DF523" w:rsidR="003E533A" w:rsidRPr="008C7F66" w:rsidRDefault="003E533A" w:rsidP="00453FF5">
            <w:pPr>
              <w:rPr>
                <w:noProof/>
              </w:rPr>
            </w:pPr>
            <w:r w:rsidRPr="008C7F66">
              <w:rPr>
                <w:noProof/>
              </w:rPr>
              <w:t>Τομέας του άνθρακα</w:t>
            </w:r>
            <w:r w:rsidRPr="008C7F66">
              <w:rPr>
                <w:rStyle w:val="FootnoteReference"/>
                <w:noProof/>
                <w:sz w:val="22"/>
              </w:rPr>
              <w:footnoteReference w:id="7"/>
            </w:r>
          </w:p>
        </w:tc>
        <w:tc>
          <w:tcPr>
            <w:tcW w:w="1779" w:type="pct"/>
            <w:shd w:val="clear" w:color="auto" w:fill="auto"/>
          </w:tcPr>
          <w:p w14:paraId="25CFF6AF" w14:textId="55FE803A" w:rsidR="003E533A" w:rsidRPr="008C7F66" w:rsidRDefault="003E533A" w:rsidP="00453FF5">
            <w:pPr>
              <w:rPr>
                <w:noProof/>
                <w:sz w:val="22"/>
              </w:rPr>
            </w:pPr>
          </w:p>
        </w:tc>
      </w:tr>
      <w:tr w:rsidR="003E533A" w:rsidRPr="008C7F66" w14:paraId="4C0DB5A8" w14:textId="77777777" w:rsidTr="00E06E8E">
        <w:tc>
          <w:tcPr>
            <w:tcW w:w="3221" w:type="pct"/>
            <w:shd w:val="clear" w:color="auto" w:fill="auto"/>
          </w:tcPr>
          <w:p w14:paraId="05889DE5" w14:textId="42322624" w:rsidR="003E533A" w:rsidRPr="008C7F66" w:rsidRDefault="003E533A" w:rsidP="00453FF5">
            <w:pPr>
              <w:rPr>
                <w:noProof/>
              </w:rPr>
            </w:pPr>
            <w:r w:rsidRPr="008C7F66">
              <w:rPr>
                <w:noProof/>
              </w:rPr>
              <w:t>Αλιεία και υδατοκαλλιέργεια</w:t>
            </w:r>
            <w:r w:rsidRPr="008C7F66">
              <w:rPr>
                <w:rStyle w:val="FootnoteReference"/>
                <w:noProof/>
                <w:sz w:val="22"/>
              </w:rPr>
              <w:footnoteReference w:id="8"/>
            </w:r>
          </w:p>
        </w:tc>
        <w:tc>
          <w:tcPr>
            <w:tcW w:w="1779" w:type="pct"/>
            <w:shd w:val="clear" w:color="auto" w:fill="auto"/>
          </w:tcPr>
          <w:p w14:paraId="651E075F" w14:textId="1F8A2151" w:rsidR="003E533A" w:rsidRPr="008C7F66" w:rsidRDefault="003E533A" w:rsidP="00453FF5">
            <w:pPr>
              <w:rPr>
                <w:noProof/>
                <w:sz w:val="22"/>
              </w:rPr>
            </w:pPr>
          </w:p>
        </w:tc>
      </w:tr>
      <w:tr w:rsidR="003E533A" w:rsidRPr="008C7F66" w14:paraId="2B76994F" w14:textId="77777777" w:rsidTr="00E06E8E">
        <w:tc>
          <w:tcPr>
            <w:tcW w:w="3221" w:type="pct"/>
            <w:shd w:val="clear" w:color="auto" w:fill="auto"/>
          </w:tcPr>
          <w:p w14:paraId="44FEC852" w14:textId="18EE189C" w:rsidR="003E533A" w:rsidRPr="008C7F66" w:rsidRDefault="003E533A" w:rsidP="00453FF5">
            <w:pPr>
              <w:rPr>
                <w:noProof/>
              </w:rPr>
            </w:pPr>
            <w:r w:rsidRPr="008C7F66">
              <w:rPr>
                <w:noProof/>
              </w:rPr>
              <w:t>Γεωργία</w:t>
            </w:r>
            <w:r w:rsidRPr="008C7F66">
              <w:rPr>
                <w:rStyle w:val="FootnoteReference"/>
                <w:bCs/>
                <w:noProof/>
                <w:sz w:val="22"/>
              </w:rPr>
              <w:footnoteReference w:id="9"/>
            </w:r>
          </w:p>
        </w:tc>
        <w:tc>
          <w:tcPr>
            <w:tcW w:w="1779" w:type="pct"/>
            <w:shd w:val="clear" w:color="auto" w:fill="auto"/>
          </w:tcPr>
          <w:p w14:paraId="7D57C6E7" w14:textId="112CD7A7" w:rsidR="003E533A" w:rsidRPr="008C7F66" w:rsidRDefault="003E533A" w:rsidP="00453FF5">
            <w:pPr>
              <w:rPr>
                <w:noProof/>
                <w:sz w:val="22"/>
              </w:rPr>
            </w:pPr>
          </w:p>
        </w:tc>
      </w:tr>
      <w:tr w:rsidR="003E533A" w:rsidRPr="008C7F66" w14:paraId="7140BDEE" w14:textId="77777777" w:rsidTr="00E06E8E">
        <w:tc>
          <w:tcPr>
            <w:tcW w:w="3221" w:type="pct"/>
            <w:shd w:val="clear" w:color="auto" w:fill="auto"/>
          </w:tcPr>
          <w:p w14:paraId="7FE43C3E" w14:textId="039C0668" w:rsidR="003E533A" w:rsidRPr="008C7F66" w:rsidRDefault="003E533A" w:rsidP="00453FF5">
            <w:pPr>
              <w:rPr>
                <w:noProof/>
              </w:rPr>
            </w:pPr>
            <w:r w:rsidRPr="008C7F66">
              <w:rPr>
                <w:noProof/>
              </w:rPr>
              <w:lastRenderedPageBreak/>
              <w:t>Μεταποίηση και/ή εμπορία των γεωργικών προϊόντων που απαριθμούνται στο παράρτημα Ι της Συνθήκης</w:t>
            </w:r>
            <w:r w:rsidRPr="008C7F66">
              <w:rPr>
                <w:rStyle w:val="FootnoteReference"/>
                <w:bCs/>
                <w:noProof/>
                <w:sz w:val="22"/>
              </w:rPr>
              <w:footnoteReference w:id="10"/>
            </w:r>
            <w:r w:rsidRPr="008C7F66">
              <w:rPr>
                <w:noProof/>
              </w:rPr>
              <w:t xml:space="preserve"> σε προϊόντα που απαριθμούνται στο παράρτημα I</w:t>
            </w:r>
          </w:p>
        </w:tc>
        <w:tc>
          <w:tcPr>
            <w:tcW w:w="1779" w:type="pct"/>
            <w:shd w:val="clear" w:color="auto" w:fill="auto"/>
          </w:tcPr>
          <w:p w14:paraId="71E820D7" w14:textId="0059D021" w:rsidR="003E533A" w:rsidRPr="008C7F66" w:rsidRDefault="003E533A" w:rsidP="00453FF5">
            <w:pPr>
              <w:rPr>
                <w:noProof/>
                <w:sz w:val="22"/>
              </w:rPr>
            </w:pPr>
          </w:p>
        </w:tc>
      </w:tr>
      <w:tr w:rsidR="003E533A" w:rsidRPr="008C7F66" w14:paraId="17E72F89" w14:textId="77777777" w:rsidTr="00E06E8E">
        <w:tc>
          <w:tcPr>
            <w:tcW w:w="3221" w:type="pct"/>
            <w:shd w:val="clear" w:color="auto" w:fill="auto"/>
          </w:tcPr>
          <w:p w14:paraId="5BC34DF8" w14:textId="13AE7A08" w:rsidR="003E533A" w:rsidRPr="008C7F66" w:rsidRDefault="003E533A" w:rsidP="00453FF5">
            <w:pPr>
              <w:rPr>
                <w:noProof/>
              </w:rPr>
            </w:pPr>
            <w:r w:rsidRPr="008C7F66">
              <w:rPr>
                <w:noProof/>
              </w:rPr>
              <w:t>Μεταφορές</w:t>
            </w:r>
            <w:r w:rsidRPr="008C7F66">
              <w:rPr>
                <w:rStyle w:val="FootnoteReference"/>
                <w:bCs/>
                <w:noProof/>
                <w:sz w:val="22"/>
              </w:rPr>
              <w:footnoteReference w:id="11"/>
            </w:r>
          </w:p>
        </w:tc>
        <w:tc>
          <w:tcPr>
            <w:tcW w:w="1779" w:type="pct"/>
            <w:shd w:val="clear" w:color="auto" w:fill="auto"/>
          </w:tcPr>
          <w:p w14:paraId="6E92FC55" w14:textId="109226C8" w:rsidR="003E533A" w:rsidRPr="008C7F66" w:rsidRDefault="003E533A" w:rsidP="00453FF5">
            <w:pPr>
              <w:rPr>
                <w:noProof/>
                <w:sz w:val="22"/>
              </w:rPr>
            </w:pPr>
          </w:p>
        </w:tc>
      </w:tr>
      <w:tr w:rsidR="003E533A" w:rsidRPr="008C7F66" w14:paraId="2EFF0FA6" w14:textId="77777777" w:rsidTr="00E06E8E">
        <w:tc>
          <w:tcPr>
            <w:tcW w:w="3221" w:type="pct"/>
            <w:shd w:val="clear" w:color="auto" w:fill="auto"/>
          </w:tcPr>
          <w:p w14:paraId="1B17488E" w14:textId="278C4BDD" w:rsidR="003E533A" w:rsidRPr="008C7F66" w:rsidRDefault="003E533A" w:rsidP="00453FF5">
            <w:pPr>
              <w:rPr>
                <w:noProof/>
              </w:rPr>
            </w:pPr>
            <w:r w:rsidRPr="008C7F66">
              <w:rPr>
                <w:noProof/>
              </w:rPr>
              <w:t>Ευρυζωνικά δίκτυα</w:t>
            </w:r>
            <w:r w:rsidRPr="008C7F66">
              <w:rPr>
                <w:rStyle w:val="FootnoteReference"/>
                <w:bCs/>
                <w:noProof/>
                <w:sz w:val="22"/>
              </w:rPr>
              <w:footnoteReference w:id="12"/>
            </w:r>
          </w:p>
        </w:tc>
        <w:tc>
          <w:tcPr>
            <w:tcW w:w="1779" w:type="pct"/>
            <w:shd w:val="clear" w:color="auto" w:fill="auto"/>
          </w:tcPr>
          <w:p w14:paraId="67472263" w14:textId="51E68140" w:rsidR="003E533A" w:rsidRPr="008C7F66" w:rsidRDefault="003E533A" w:rsidP="00453FF5">
            <w:pPr>
              <w:rPr>
                <w:noProof/>
                <w:sz w:val="22"/>
              </w:rPr>
            </w:pPr>
          </w:p>
        </w:tc>
      </w:tr>
      <w:tr w:rsidR="003E533A" w:rsidRPr="008C7F66" w14:paraId="3EDBCC71" w14:textId="77777777" w:rsidTr="00E06E8E">
        <w:tc>
          <w:tcPr>
            <w:tcW w:w="3221" w:type="pct"/>
            <w:shd w:val="clear" w:color="auto" w:fill="auto"/>
          </w:tcPr>
          <w:p w14:paraId="0A082B6D" w14:textId="4C4737A6" w:rsidR="003E533A" w:rsidRPr="008C7F66" w:rsidRDefault="003E533A" w:rsidP="00453FF5">
            <w:pPr>
              <w:rPr>
                <w:noProof/>
              </w:rPr>
            </w:pPr>
            <w:r w:rsidRPr="008C7F66">
              <w:rPr>
                <w:noProof/>
              </w:rPr>
              <w:t>Ενέργεια</w:t>
            </w:r>
            <w:r w:rsidRPr="008C7F66">
              <w:rPr>
                <w:rStyle w:val="FootnoteReference"/>
                <w:noProof/>
                <w:sz w:val="22"/>
              </w:rPr>
              <w:footnoteReference w:id="13"/>
            </w:r>
          </w:p>
        </w:tc>
        <w:tc>
          <w:tcPr>
            <w:tcW w:w="1779" w:type="pct"/>
            <w:shd w:val="clear" w:color="auto" w:fill="auto"/>
          </w:tcPr>
          <w:p w14:paraId="76769916" w14:textId="12F95E1C" w:rsidR="003E533A" w:rsidRPr="008C7F66" w:rsidRDefault="003E533A" w:rsidP="00453FF5">
            <w:pPr>
              <w:rPr>
                <w:noProof/>
                <w:sz w:val="22"/>
              </w:rPr>
            </w:pPr>
          </w:p>
        </w:tc>
      </w:tr>
    </w:tbl>
    <w:p w14:paraId="113ED0D0" w14:textId="5FA286F2" w:rsidR="003E533A" w:rsidRPr="008C7F66" w:rsidRDefault="003E533A" w:rsidP="003E533A">
      <w:pPr>
        <w:pStyle w:val="Heading1"/>
        <w:rPr>
          <w:noProof/>
          <w:szCs w:val="24"/>
        </w:rPr>
      </w:pPr>
      <w:r w:rsidRPr="008C7F66">
        <w:rPr>
          <w:noProof/>
        </w:rPr>
        <w:t>Αρχική επένδυση, επιλέξιμες δαπάνες και ενισχύσεις</w:t>
      </w:r>
    </w:p>
    <w:p w14:paraId="31DD7329"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Είδη αρχικών επενδύσεων που καλύπτονται από το καθεστώς</w:t>
      </w:r>
    </w:p>
    <w:p w14:paraId="1797BD32"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Σε περίπτωση που το καθεστώς καλύπτει επενδύσεις σε περιοχές «α» από ΜΜΕ ή μεγάλες επιχειρήσεις</w:t>
      </w:r>
      <w:r w:rsidRPr="008C7F66">
        <w:rPr>
          <w:rStyle w:val="FootnoteReference"/>
          <w:noProof/>
        </w:rPr>
        <w:footnoteReference w:id="14"/>
      </w:r>
      <w:r w:rsidRPr="008C7F66">
        <w:rPr>
          <w:noProof/>
        </w:rPr>
        <w:t xml:space="preserve"> ή επενδύσεις από ΜΜΕ σε περιοχές «γ» (παράγραφος 45 των ΚΓΠΕ), να αναφέρετε την κατηγορία/κατηγορίες της αρχικής επένδυσης που αφορά η κοινοποίηση [παράγραφος 19 σημείο 13) των ΚΓΠΕ]: </w:t>
      </w:r>
    </w:p>
    <w:p w14:paraId="3341DDB7" w14:textId="77777777" w:rsidR="003E533A" w:rsidRPr="008C7F66" w:rsidRDefault="00453FF5" w:rsidP="003E533A">
      <w:pPr>
        <w:pStyle w:val="Tiret1"/>
        <w:rPr>
          <w:noProof/>
        </w:rPr>
      </w:pPr>
      <w:sdt>
        <w:sdtPr>
          <w:rPr>
            <w:noProof/>
          </w:rPr>
          <w:id w:val="1251621376"/>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δημιουργία νέας εγκατάστασης</w:t>
      </w:r>
    </w:p>
    <w:p w14:paraId="00E371F4" w14:textId="77777777" w:rsidR="003E533A" w:rsidRPr="008C7F66" w:rsidRDefault="00453FF5" w:rsidP="003E533A">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επέκταση της παραγωγικής ικανότητας υφιστάμενης εγκατάστασης</w:t>
      </w:r>
    </w:p>
    <w:p w14:paraId="30974128" w14:textId="77777777" w:rsidR="003E533A" w:rsidRPr="008C7F66" w:rsidRDefault="00453FF5" w:rsidP="003E533A">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διαφοροποίηση της παραγωγής υφιστάμενης εγκατάστασης σε προϊόντα που δεν παρήγε προηγουμένως η εγκατάσταση</w:t>
      </w:r>
    </w:p>
    <w:p w14:paraId="35AB791E" w14:textId="77777777" w:rsidR="003E533A" w:rsidRPr="008C7F66" w:rsidRDefault="00453FF5" w:rsidP="003E533A">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θεμελιώδη αλλαγή στη συνολική παραγωγική διαδικασία των προϊόντων που αφορά η επένδυση στην εγκατάσταση</w:t>
      </w:r>
    </w:p>
    <w:p w14:paraId="0E525439" w14:textId="77777777" w:rsidR="003E533A" w:rsidRPr="008C7F66" w:rsidRDefault="00453FF5" w:rsidP="003E533A">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απόκτηση περιουσιακών στοιχείων που ανήκουν σε εγκατάσταση που είχε κλείσει ή θα είχε κλείσει εάν δεν είχε αγοραστεί</w:t>
      </w:r>
      <w:r w:rsidR="003E533A" w:rsidRPr="008C7F66">
        <w:rPr>
          <w:rStyle w:val="FootnoteReference"/>
          <w:noProof/>
        </w:rPr>
        <w:footnoteReference w:id="15"/>
      </w:r>
      <w:r w:rsidR="003E533A" w:rsidRPr="008C7F66">
        <w:rPr>
          <w:noProof/>
        </w:rPr>
        <w:t xml:space="preserve">. </w:t>
      </w:r>
    </w:p>
    <w:p w14:paraId="0775C21D"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lastRenderedPageBreak/>
        <w:t>Σε περίπτωση που το καθεστώς καλύπτει επενδύσεις σε περιοχές «γ» από μεγάλες επιχειρήσεις, να αναφέρετε την κατηγορία/κατηγορίες της αρχικής επένδυσης που αφορά η κοινοποίηση [παράγραφος 19 σημείο 14) και παράγραφος 14 των ΚΓΠΕ]:</w:t>
      </w:r>
    </w:p>
    <w:p w14:paraId="4BA476E0" w14:textId="77777777" w:rsidR="003E533A" w:rsidRPr="008C7F66" w:rsidRDefault="00453FF5" w:rsidP="003E533A">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δημιουργία νέας εγκατάστασης</w:t>
      </w:r>
    </w:p>
    <w:p w14:paraId="7F714CE2" w14:textId="77777777" w:rsidR="003E533A" w:rsidRPr="008C7F66" w:rsidRDefault="00453FF5" w:rsidP="003E533A">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διαφοροποίηση της δραστηριότητας μιας εγκατάστασης, υπό την προϋπόθεση ότι η νέα δραστηριότητα δεν είναι ίδια ή παρόμοια</w:t>
      </w:r>
      <w:r w:rsidR="003E533A" w:rsidRPr="008C7F66">
        <w:rPr>
          <w:rStyle w:val="FootnoteReference"/>
          <w:noProof/>
        </w:rPr>
        <w:footnoteReference w:id="16"/>
      </w:r>
      <w:r w:rsidR="003E533A" w:rsidRPr="008C7F66">
        <w:rPr>
          <w:noProof/>
        </w:rPr>
        <w:t xml:space="preserve"> με τη δραστηριότητα που ασκούνταν προηγουμένως στην εγκατάσταση</w:t>
      </w:r>
    </w:p>
    <w:p w14:paraId="389F6E51" w14:textId="77777777" w:rsidR="003E533A" w:rsidRPr="008C7F66" w:rsidRDefault="00453FF5" w:rsidP="003E533A">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απόκτηση περιουσιακών στοιχείων που ανήκουν σε εγκατάσταση που έχει κλείσει ή θα είχε κλείσει εάν δεν είχε αγοραστεί, υπό την προϋπόθεση ότι η νέα δραστηριότητα που θα ασκείται με χρήση των αποκτηθέντων περιουσιακών στοιχείων δεν είναι η ίδια ή παρόμοια δραστηριότητα με τη δραστηριότητα που ασκείτο στην εγκατάσταση πριν από την απόκτηση</w:t>
      </w:r>
      <w:r w:rsidR="003E533A" w:rsidRPr="008C7F66">
        <w:rPr>
          <w:rStyle w:val="FootnoteReference"/>
          <w:noProof/>
        </w:rPr>
        <w:footnoteReference w:id="17"/>
      </w:r>
    </w:p>
    <w:p w14:paraId="5757E8C6"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Επιλέξιμες δαπάνες που υπολογίζονται με βάση τις επενδυτικές δαπάνες</w:t>
      </w:r>
    </w:p>
    <w:p w14:paraId="6289DB7B"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Όταν οι επιλέξιμες δαπάνες στο πλαίσιο του καθεστώτος αφορούν υλικά περιουσιακά στοιχεία [παράγραφος 19 σημείο 31) των ΚΓΠΕ], αναφέρετε αν η αξία της επένδυσης καθορίζεται ως ποσοστό με βάση τις δαπάνες για τη γη, τα κτίρια και τη μονάδα παραγωγής, τα μηχανήματα και τον εξοπλισμό:</w:t>
      </w:r>
    </w:p>
    <w:p w14:paraId="5DB5D892" w14:textId="77777777" w:rsidR="003E533A" w:rsidRPr="008C7F66" w:rsidRDefault="00453FF5" w:rsidP="003E533A">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γη</w:t>
      </w:r>
    </w:p>
    <w:p w14:paraId="24423F8B" w14:textId="77777777" w:rsidR="003E533A" w:rsidRPr="008C7F66" w:rsidRDefault="00453FF5" w:rsidP="003E533A">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κτίρια </w:t>
      </w:r>
    </w:p>
    <w:p w14:paraId="1C8C7D8E" w14:textId="77777777" w:rsidR="003E533A" w:rsidRPr="008C7F66" w:rsidRDefault="00453FF5" w:rsidP="003E533A">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μονάδα παραγωγής/μηχανήματα/εξοπλισμό</w:t>
      </w:r>
    </w:p>
    <w:p w14:paraId="54B9840E" w14:textId="77777777" w:rsidR="003E533A" w:rsidRPr="008C7F66" w:rsidRDefault="003E533A" w:rsidP="003E533A">
      <w:pPr>
        <w:pStyle w:val="Text2"/>
        <w:ind w:left="1843" w:hanging="425"/>
        <w:rPr>
          <w:noProof/>
        </w:rPr>
      </w:pPr>
      <w:r w:rsidRPr="008C7F66">
        <w:rPr>
          <w:noProof/>
        </w:rPr>
        <w:t xml:space="preserve">Αναφέρετε τις σχετικές διατάξεις της νομικής βάσης: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1A68CC0" w14:textId="77777777" w:rsidTr="00E06E8E">
        <w:tc>
          <w:tcPr>
            <w:tcW w:w="7682" w:type="dxa"/>
            <w:shd w:val="clear" w:color="auto" w:fill="auto"/>
          </w:tcPr>
          <w:p w14:paraId="6C0BF443" w14:textId="77777777" w:rsidR="003E533A" w:rsidRPr="008C7F66" w:rsidRDefault="003E533A" w:rsidP="00E06E8E">
            <w:pPr>
              <w:rPr>
                <w:noProof/>
              </w:rPr>
            </w:pPr>
            <w:r w:rsidRPr="008C7F66">
              <w:rPr>
                <w:noProof/>
              </w:rPr>
              <w:t xml:space="preserve">… </w:t>
            </w:r>
          </w:p>
        </w:tc>
      </w:tr>
    </w:tbl>
    <w:p w14:paraId="0D72767F"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color w:val="000000"/>
        </w:rPr>
        <w:t xml:space="preserve">Αναφέρετε τη </w:t>
      </w:r>
      <w:bookmarkStart w:id="0" w:name="OLE_LINK1"/>
      <w:bookmarkStart w:id="1" w:name="OLE_LINK2"/>
      <w:r w:rsidRPr="008C7F66">
        <w:rPr>
          <w:noProof/>
          <w:color w:val="000000"/>
        </w:rPr>
        <w:t xml:space="preserve">σχετική </w:t>
      </w:r>
      <w:bookmarkEnd w:id="0"/>
      <w:bookmarkEnd w:id="1"/>
      <w:r w:rsidRPr="008C7F66">
        <w:rPr>
          <w:noProof/>
          <w:color w:val="000000"/>
        </w:rPr>
        <w:t>διάταξη της νομικής βάσης όπου προβλέπεται ότι τα αποκτηθέντα περιουσιακά στοιχεία πρέπει να είναι νέα</w:t>
      </w:r>
      <w:r w:rsidRPr="008C7F66">
        <w:rPr>
          <w:rStyle w:val="FootnoteReference"/>
          <w:noProof/>
        </w:rPr>
        <w:footnoteReference w:id="18"/>
      </w:r>
      <w:r w:rsidRPr="008C7F66">
        <w:rPr>
          <w:noProof/>
        </w:rPr>
        <w:t>. (παράγραφος 27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7EAF0DE" w14:textId="77777777" w:rsidTr="00E06E8E">
        <w:tc>
          <w:tcPr>
            <w:tcW w:w="7682" w:type="dxa"/>
            <w:shd w:val="clear" w:color="auto" w:fill="auto"/>
          </w:tcPr>
          <w:p w14:paraId="7B38AA51" w14:textId="77777777" w:rsidR="003E533A" w:rsidRPr="008C7F66" w:rsidRDefault="003E533A" w:rsidP="00E06E8E">
            <w:pPr>
              <w:rPr>
                <w:noProof/>
              </w:rPr>
            </w:pPr>
            <w:r w:rsidRPr="008C7F66">
              <w:rPr>
                <w:noProof/>
              </w:rPr>
              <w:t xml:space="preserve">… </w:t>
            </w:r>
          </w:p>
        </w:tc>
      </w:tr>
    </w:tbl>
    <w:p w14:paraId="1B274FD7"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 xml:space="preserve">Αναφέρετε τη σχετική διάταξη της νομικής βάσης όπου προβλέπεται ότι, στην περίπτωση των ΜΜΕ, δεν μπορούν να θεωρηθούν επιλέξιμες δαπάνες άνω του 50 % των δαπανών για προκαταρκτικές μελέτες ή συμβουλές οι οποίες συνδέονται με την επένδυση (παράγραφος 28 των ΚΓΠΕ).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6DD9E80C" w14:textId="77777777" w:rsidTr="00E06E8E">
        <w:tc>
          <w:tcPr>
            <w:tcW w:w="7682" w:type="dxa"/>
            <w:shd w:val="clear" w:color="auto" w:fill="auto"/>
          </w:tcPr>
          <w:p w14:paraId="4E2EA0C1" w14:textId="77777777" w:rsidR="003E533A" w:rsidRPr="008C7F66" w:rsidRDefault="003E533A" w:rsidP="00E06E8E">
            <w:pPr>
              <w:rPr>
                <w:noProof/>
              </w:rPr>
            </w:pPr>
            <w:r w:rsidRPr="008C7F66">
              <w:rPr>
                <w:noProof/>
              </w:rPr>
              <w:lastRenderedPageBreak/>
              <w:t>…</w:t>
            </w:r>
          </w:p>
        </w:tc>
      </w:tr>
    </w:tbl>
    <w:p w14:paraId="5BA80FB1"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 xml:space="preserve">Αναφέρετε τη σχετική διάταξη της νομικής βάσης όπου προβλέπεται ότι, όσον αφορά ενισχύσεις που χορηγούνται σε μεγάλες επιχειρήσεις για την υλοποίηση μιας ριζικής αλλαγής στην παραγωγική διαδικασία, οι επιλέξιμες δαπάνες υπερβαίνουν τις αποσβέσεις των περιουσιακών στοιχείων που συνδέονται με τη δραστηριότητα που πρόκειται να εκσυγχρονιστεί κατά τη διάρκεια των τριών προηγούμενων οικονομικών ετών (παράγραφος 29 των ΚΓΠΕ).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0B8FDECA" w14:textId="77777777" w:rsidTr="00E06E8E">
        <w:tc>
          <w:tcPr>
            <w:tcW w:w="7682" w:type="dxa"/>
            <w:shd w:val="clear" w:color="auto" w:fill="auto"/>
          </w:tcPr>
          <w:p w14:paraId="596ED28A" w14:textId="77777777" w:rsidR="003E533A" w:rsidRPr="008C7F66" w:rsidRDefault="003E533A" w:rsidP="00E06E8E">
            <w:pPr>
              <w:rPr>
                <w:noProof/>
              </w:rPr>
            </w:pPr>
            <w:r w:rsidRPr="008C7F66">
              <w:rPr>
                <w:noProof/>
              </w:rPr>
              <w:t>….</w:t>
            </w:r>
          </w:p>
        </w:tc>
      </w:tr>
    </w:tbl>
    <w:p w14:paraId="29629904"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 xml:space="preserve">Αναφέρετε τη σχετική διάταξη της νομικής βάσης όπου προβλέπεται ότι, όσον αφορά ενισχύσεις που χορηγούνται για τη διαφοροποίηση υφιστάμενης εγκατάστασης, οι επιλέξιμες δαπάνες υπερβαίνουν κατά τουλάχιστον 200 % τη λογιστική αξία των περιουσιακών στοιχείων που επαναχρησιμοποιούνται, όπως έχει καταγραφεί στο οικονομικό έτος που προηγείται της έναρξης των εργασιών (παράγραφος 30 των ΚΓΠΕ).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5C3B7023" w14:textId="77777777" w:rsidTr="00E06E8E">
        <w:tc>
          <w:tcPr>
            <w:tcW w:w="7682" w:type="dxa"/>
            <w:shd w:val="clear" w:color="auto" w:fill="auto"/>
          </w:tcPr>
          <w:p w14:paraId="4694F9AE" w14:textId="77777777" w:rsidR="003E533A" w:rsidRPr="008C7F66" w:rsidRDefault="003E533A" w:rsidP="00E06E8E">
            <w:pPr>
              <w:rPr>
                <w:noProof/>
              </w:rPr>
            </w:pPr>
            <w:r w:rsidRPr="008C7F66">
              <w:rPr>
                <w:noProof/>
              </w:rPr>
              <w:t>…</w:t>
            </w:r>
          </w:p>
        </w:tc>
      </w:tr>
    </w:tbl>
    <w:p w14:paraId="6F49C614"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 xml:space="preserve">Σε περιπτώσεις που αφορούν τη μίσθωση υλικών περιουσιακών στοιχείων, αναφέρετε τις σχετικές διατάξεις της νομικής βάσης όπου προβλέπεται ότι θα πρέπει να πληρούνται οι ακόλουθες προϋποθέσεις (παράγραφος 31 των ΚΓΠΕ). </w:t>
      </w:r>
    </w:p>
    <w:p w14:paraId="7C40E586" w14:textId="77777777" w:rsidR="003E533A" w:rsidRPr="008C7F66" w:rsidRDefault="003E533A" w:rsidP="003E533A">
      <w:pPr>
        <w:pStyle w:val="Normal127Bullet63"/>
        <w:spacing w:after="120"/>
        <w:rPr>
          <w:noProof/>
        </w:rPr>
      </w:pPr>
      <w:r w:rsidRPr="008C7F66">
        <w:rPr>
          <w:noProof/>
        </w:rPr>
        <w:t>Για τη γη και τα κτίρια, η μίσθωση πρέπει να συνεχίζεται για τουλάχιστον πέντε έτη μετά την αναμενόμενη ημερομηνία ολοκλήρωσης της επένδυσης για μεγάλες επιχειρήσεις ή τρία έτη στην περίπτωση των ΜΜΕ·</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3E533A" w:rsidRPr="008C7F66" w14:paraId="2F839FA1" w14:textId="77777777" w:rsidTr="00E06E8E">
        <w:tc>
          <w:tcPr>
            <w:tcW w:w="7399" w:type="dxa"/>
            <w:shd w:val="clear" w:color="auto" w:fill="auto"/>
          </w:tcPr>
          <w:p w14:paraId="60B2340C" w14:textId="77777777" w:rsidR="003E533A" w:rsidRPr="008C7F66" w:rsidRDefault="003E533A" w:rsidP="00E06E8E">
            <w:pPr>
              <w:rPr>
                <w:noProof/>
              </w:rPr>
            </w:pPr>
            <w:r w:rsidRPr="008C7F66">
              <w:rPr>
                <w:noProof/>
              </w:rPr>
              <w:t>...</w:t>
            </w:r>
          </w:p>
        </w:tc>
      </w:tr>
    </w:tbl>
    <w:p w14:paraId="678FB336" w14:textId="77777777" w:rsidR="003E533A" w:rsidRPr="008C7F66" w:rsidRDefault="003E533A" w:rsidP="003E533A">
      <w:pPr>
        <w:pStyle w:val="Normal127Bullet63"/>
        <w:spacing w:after="120"/>
        <w:rPr>
          <w:noProof/>
        </w:rPr>
      </w:pPr>
      <w:r w:rsidRPr="008C7F66">
        <w:rPr>
          <w:noProof/>
        </w:rPr>
        <w:t xml:space="preserve">Για τις μονάδες παραγωγής ή τα μηχανήματα, η μίσθωση πρέπει να λαμβάνει τη μορφή χρηματοδοτικής μίσθωσης και να περιλαμβάνει υποχρέωση αγοράς των περιουσιακών στοιχείων κατά τη λήξη της διάρκειας της μίσθωσης για τον δικαιούχο της ενίσχυσης.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3E533A" w:rsidRPr="008C7F66" w14:paraId="03016097" w14:textId="77777777" w:rsidTr="00E06E8E">
        <w:tc>
          <w:tcPr>
            <w:tcW w:w="7399" w:type="dxa"/>
            <w:shd w:val="clear" w:color="auto" w:fill="auto"/>
          </w:tcPr>
          <w:p w14:paraId="0EDB02A6" w14:textId="77777777" w:rsidR="003E533A" w:rsidRPr="008C7F66" w:rsidRDefault="003E533A" w:rsidP="00E06E8E">
            <w:pPr>
              <w:rPr>
                <w:noProof/>
              </w:rPr>
            </w:pPr>
            <w:r w:rsidRPr="008C7F66">
              <w:rPr>
                <w:noProof/>
              </w:rPr>
              <w:t>…</w:t>
            </w:r>
          </w:p>
        </w:tc>
      </w:tr>
    </w:tbl>
    <w:p w14:paraId="66E342DE"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Η παράγραφος 32 των ΚΓΠΕ προβλέπει ότι στην περίπτωση απόκτησης εγκατάστασης «</w:t>
      </w:r>
      <w:r w:rsidRPr="008C7F66">
        <w:rPr>
          <w:i/>
          <w:noProof/>
          <w:color w:val="000000"/>
        </w:rPr>
        <w:t xml:space="preserve">θα πρέπει, καταρχήν, να λαμβάνονται υπόψη μόνον οι δαπάνες αγοράς των περιουσιακών στοιχείων από τρίτους που δεν σχετίζονται με τον αγοραστή. Ωστόσο, σε περίπτωση που ένα μέλος της οικογένειας ή ένας υπάλληλος του αρχικού ιδιοκτήτη αναλαμβάνει μια μικρή επιχείρηση, δεν ισχύει ο όρος ότι τα περιουσιακά στοιχεία πρέπει να αγοράζονται από τρίτους που δεν σχετίζονται με τον αγοραστή. Οι σχετικές συναλλαγές πρέπει να πραγματοποιούνται υπό τους όρους της αγοράς. Εάν η απόκτηση των περιουσιακών στοιχείων μιας εγκατάστασης συνοδεύεται από πρόσθετη επένδυση η οποία είναι επιλέξιμη για περιφερειακή ενίσχυση, οι επιλέξιμες </w:t>
      </w:r>
      <w:r w:rsidRPr="008C7F66">
        <w:rPr>
          <w:i/>
          <w:noProof/>
          <w:color w:val="000000"/>
        </w:rPr>
        <w:lastRenderedPageBreak/>
        <w:t>δαπάνες της πρόσθετης αυτής ενίσχυσης θα πρέπει να προστεθούν στο κόστος απόκτησης των περιουσιακών στοιχείων της εγκατάστασης</w:t>
      </w:r>
      <w:r w:rsidRPr="008C7F66">
        <w:rPr>
          <w:noProof/>
          <w:color w:val="000000"/>
        </w:rPr>
        <w:t xml:space="preserve">». </w:t>
      </w:r>
    </w:p>
    <w:p w14:paraId="37891977" w14:textId="77777777" w:rsidR="003E533A" w:rsidRPr="008C7F66" w:rsidRDefault="003E533A" w:rsidP="003E533A">
      <w:pPr>
        <w:pStyle w:val="NormalKop111"/>
        <w:tabs>
          <w:tab w:val="clear" w:pos="720"/>
          <w:tab w:val="clear" w:pos="1440"/>
          <w:tab w:val="clear" w:pos="1797"/>
        </w:tabs>
        <w:ind w:left="1418"/>
        <w:rPr>
          <w:noProof/>
        </w:rPr>
      </w:pPr>
      <w:r w:rsidRPr="008C7F66">
        <w:rPr>
          <w:noProof/>
        </w:rPr>
        <w:t xml:space="preserve">Εάν τα ανωτέρω αφορούν το κοινοποιηθέν καθεστώς, αναφέρετε τη σχετική διάταξη της νομικής βάσης όπου προβλέπεται ότι θα πρέπει να πληρούνται οι ως άνω προϋποθέσεις.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7AD5E8E4" w14:textId="77777777" w:rsidTr="00E06E8E">
        <w:tc>
          <w:tcPr>
            <w:tcW w:w="7682" w:type="dxa"/>
            <w:shd w:val="clear" w:color="auto" w:fill="auto"/>
          </w:tcPr>
          <w:p w14:paraId="21A2BA68" w14:textId="77777777" w:rsidR="003E533A" w:rsidRPr="008C7F66" w:rsidRDefault="003E533A" w:rsidP="00E06E8E">
            <w:pPr>
              <w:rPr>
                <w:noProof/>
              </w:rPr>
            </w:pPr>
            <w:r w:rsidRPr="008C7F66">
              <w:rPr>
                <w:noProof/>
              </w:rPr>
              <w:t>…</w:t>
            </w:r>
          </w:p>
        </w:tc>
      </w:tr>
    </w:tbl>
    <w:p w14:paraId="7B546D1C"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Όταν οι επιλέξιμες δαπάνες στο πλαίσιο του καθεστώτος αφορούν άυλα στοιχεία ενεργητικού [παράγραφος 19 σημείο 15) των ΚΓΠΕ], να διευκρινίσετε αν η αξία της επένδυσης καθορίζεται βάσει των δαπανών που προκύπτουν από τη μεταφορά τεχνολογίας μέσω της απόκτησης δικαιωμάτων ευρεσιτεχνίας, αδειών εκμετάλλευσης, τεχνογνωσίας ή άλλη μορφή διανοητικής ιδιοκτησίας:</w:t>
      </w:r>
    </w:p>
    <w:p w14:paraId="70EAB5CB" w14:textId="77777777" w:rsidR="003E533A" w:rsidRPr="008C7F66" w:rsidRDefault="00453FF5" w:rsidP="003E533A">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δικαιώματα ευρεσιτεχνίας</w:t>
      </w:r>
    </w:p>
    <w:p w14:paraId="774D18DD" w14:textId="77777777" w:rsidR="003E533A" w:rsidRPr="008C7F66" w:rsidRDefault="00453FF5" w:rsidP="003E533A">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άδειες</w:t>
      </w:r>
    </w:p>
    <w:p w14:paraId="63BFDAAE" w14:textId="77777777" w:rsidR="003E533A" w:rsidRPr="008C7F66" w:rsidRDefault="00453FF5" w:rsidP="003E533A">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τεχνογνωσία</w:t>
      </w:r>
    </w:p>
    <w:p w14:paraId="523543EA" w14:textId="77777777" w:rsidR="003E533A" w:rsidRPr="008C7F66" w:rsidRDefault="00453FF5" w:rsidP="003E533A">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άλλη μορφή διανοητικής ιδιοκτησίας</w:t>
      </w:r>
    </w:p>
    <w:p w14:paraId="607B47C4" w14:textId="77777777" w:rsidR="003E533A" w:rsidRPr="008C7F66" w:rsidRDefault="003E533A" w:rsidP="003E533A">
      <w:pPr>
        <w:pStyle w:val="Text2"/>
        <w:ind w:left="1418"/>
        <w:rPr>
          <w:noProof/>
        </w:rPr>
      </w:pPr>
      <w:r w:rsidRPr="008C7F66">
        <w:rPr>
          <w:noProof/>
        </w:rPr>
        <w:t>Αναφέρετε τις σχετικές διατάξεις της νομικής βάσης: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7BDA229D" w14:textId="77777777" w:rsidTr="00E06E8E">
        <w:tc>
          <w:tcPr>
            <w:tcW w:w="7682" w:type="dxa"/>
            <w:shd w:val="clear" w:color="auto" w:fill="auto"/>
          </w:tcPr>
          <w:p w14:paraId="747D0949" w14:textId="77777777" w:rsidR="003E533A" w:rsidRPr="008C7F66" w:rsidRDefault="003E533A" w:rsidP="00E06E8E">
            <w:pPr>
              <w:rPr>
                <w:noProof/>
              </w:rPr>
            </w:pPr>
            <w:r w:rsidRPr="008C7F66">
              <w:rPr>
                <w:noProof/>
              </w:rPr>
              <w:t>…</w:t>
            </w:r>
          </w:p>
        </w:tc>
      </w:tr>
    </w:tbl>
    <w:p w14:paraId="7A6ECCDB"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Αναφέρετε τις σχετικές διατάξεις της νομικής βάσης όπου προβλέπεται ότι, για τις μεγάλες επιχειρήσεις, οι δαπάνες για επενδύσεις σε άυλα στοιχεία ενεργητικού δεν πρέπει να υπερβαίνουν το 50 % των συνολικών επιλέξιμων επενδυτικών δαπανών του σχεδίου (παράγραφος 33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65E2CC74" w14:textId="77777777" w:rsidTr="00E06E8E">
        <w:tc>
          <w:tcPr>
            <w:tcW w:w="7682" w:type="dxa"/>
            <w:shd w:val="clear" w:color="auto" w:fill="auto"/>
          </w:tcPr>
          <w:p w14:paraId="07B5D616" w14:textId="77777777" w:rsidR="003E533A" w:rsidRPr="008C7F66" w:rsidRDefault="003E533A" w:rsidP="00E06E8E">
            <w:pPr>
              <w:rPr>
                <w:noProof/>
              </w:rPr>
            </w:pPr>
            <w:r w:rsidRPr="008C7F66">
              <w:rPr>
                <w:noProof/>
              </w:rPr>
              <w:t>…</w:t>
            </w:r>
          </w:p>
        </w:tc>
      </w:tr>
    </w:tbl>
    <w:p w14:paraId="48CA5C66"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color w:val="000000"/>
        </w:rPr>
      </w:pPr>
      <w:r w:rsidRPr="008C7F66">
        <w:rPr>
          <w:noProof/>
          <w:color w:val="000000"/>
        </w:rPr>
        <w:t>Αναφέρετε τις σχετικές διατάξεις της νομικής βάσης όπου προβλέπεται ότι πρέπει να πληρούνται οι προϋποθέσεις της παραγράφου 34</w:t>
      </w:r>
      <w:r w:rsidRPr="008C7F66">
        <w:rPr>
          <w:rStyle w:val="FootnoteReference"/>
          <w:noProof/>
        </w:rPr>
        <w:footnoteReference w:id="19"/>
      </w:r>
      <w:r w:rsidRPr="008C7F66">
        <w:rPr>
          <w:noProof/>
          <w:color w:val="000000"/>
        </w:rPr>
        <w:t xml:space="preserve"> των ΚΓΠΕ.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5527577F" w14:textId="77777777" w:rsidTr="00E06E8E">
        <w:tc>
          <w:tcPr>
            <w:tcW w:w="7682" w:type="dxa"/>
            <w:shd w:val="clear" w:color="auto" w:fill="auto"/>
          </w:tcPr>
          <w:p w14:paraId="1647A23A" w14:textId="77777777" w:rsidR="003E533A" w:rsidRPr="008C7F66" w:rsidRDefault="003E533A" w:rsidP="00E06E8E">
            <w:pPr>
              <w:rPr>
                <w:noProof/>
              </w:rPr>
            </w:pPr>
            <w:r w:rsidRPr="008C7F66">
              <w:rPr>
                <w:noProof/>
              </w:rPr>
              <w:t>…</w:t>
            </w:r>
          </w:p>
        </w:tc>
      </w:tr>
    </w:tbl>
    <w:p w14:paraId="61548777"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lastRenderedPageBreak/>
        <w:t>Επιλέξιμες δαπάνες που υπολογίζονται με βάση το μισθολογικό κόστος</w:t>
      </w:r>
    </w:p>
    <w:p w14:paraId="02DDC264"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Αναφέρετε τις σχετικές διατάξεις της νομικής βάσης όπου προβλέπεται πώς θα πρέπει να καθορίζονται οι επιλέξιμες δαπάνες που υπολογίζονται με βάση το μισθολογικό κόστος (παράγραφος 35 των ΚΓΠΕ), πώς θα πρέπει να υπολογίζεται ο αριθμός των δημιουργούμενων θέσεων απασχόλησης, με αναφορά στην παράγραφο 19 σημείο 16) των ΚΓΠΕ, και πώς θα πρέπει να καθορίζονται οι μισθολογικές δαπάνες του προσλαμβανόμενου προσωπικού, με αναφορά στην παράγραφο 19 σημείο 33)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640D8DF" w14:textId="77777777" w:rsidTr="00E06E8E">
        <w:tc>
          <w:tcPr>
            <w:tcW w:w="7682" w:type="dxa"/>
            <w:shd w:val="clear" w:color="auto" w:fill="auto"/>
          </w:tcPr>
          <w:p w14:paraId="107727DC" w14:textId="77777777" w:rsidR="003E533A" w:rsidRPr="008C7F66" w:rsidRDefault="003E533A" w:rsidP="00E06E8E">
            <w:pPr>
              <w:rPr>
                <w:noProof/>
              </w:rPr>
            </w:pPr>
            <w:r w:rsidRPr="008C7F66">
              <w:rPr>
                <w:noProof/>
              </w:rPr>
              <w:t>…</w:t>
            </w:r>
          </w:p>
        </w:tc>
      </w:tr>
    </w:tbl>
    <w:p w14:paraId="40CCCB76"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Υπολογισμός των προεξοφλημένων επιλέξιμων δαπανών</w:t>
      </w:r>
    </w:p>
    <w:p w14:paraId="0BA64FA7"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Αναφέρετε ποιες μορφές ενισχύσεων επιτρέπονται βάσει του καθεστώτος:</w:t>
      </w:r>
    </w:p>
    <w:p w14:paraId="064A6EB9" w14:textId="77777777" w:rsidR="003E533A" w:rsidRPr="008C7F66" w:rsidRDefault="00453FF5" w:rsidP="003E533A">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επιχορηγήσεις. Αναφέρετε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3E533A" w:rsidRPr="008C7F66" w14:paraId="6C3A3FA0" w14:textId="77777777" w:rsidTr="00E06E8E">
        <w:tc>
          <w:tcPr>
            <w:tcW w:w="7115" w:type="dxa"/>
            <w:shd w:val="clear" w:color="auto" w:fill="auto"/>
          </w:tcPr>
          <w:p w14:paraId="70865365" w14:textId="77777777" w:rsidR="003E533A" w:rsidRPr="008C7F66" w:rsidRDefault="003E533A" w:rsidP="00991446">
            <w:pPr>
              <w:rPr>
                <w:noProof/>
              </w:rPr>
            </w:pPr>
            <w:r w:rsidRPr="008C7F66">
              <w:rPr>
                <w:noProof/>
              </w:rPr>
              <w:t xml:space="preserve">… </w:t>
            </w:r>
          </w:p>
        </w:tc>
      </w:tr>
    </w:tbl>
    <w:p w14:paraId="11A7D9BC" w14:textId="77777777" w:rsidR="003E533A" w:rsidRPr="008C7F66" w:rsidRDefault="00453FF5" w:rsidP="003E533A">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δάνεια. Αναφέρετε πώς θα υπολογίζεται το ισοδύναμο επιχορήγησης και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3E533A" w:rsidRPr="008C7F66" w14:paraId="39835CF2" w14:textId="77777777" w:rsidTr="00E06E8E">
        <w:tc>
          <w:tcPr>
            <w:tcW w:w="7115" w:type="dxa"/>
            <w:shd w:val="clear" w:color="auto" w:fill="auto"/>
          </w:tcPr>
          <w:p w14:paraId="6F58B778" w14:textId="77777777" w:rsidR="003E533A" w:rsidRPr="008C7F66" w:rsidRDefault="003E533A" w:rsidP="00991446">
            <w:pPr>
              <w:rPr>
                <w:noProof/>
              </w:rPr>
            </w:pPr>
            <w:r w:rsidRPr="008C7F66">
              <w:rPr>
                <w:noProof/>
              </w:rPr>
              <w:t xml:space="preserve">… </w:t>
            </w:r>
          </w:p>
        </w:tc>
      </w:tr>
    </w:tbl>
    <w:p w14:paraId="7F918E8C" w14:textId="77777777" w:rsidR="003E533A" w:rsidRPr="008C7F66" w:rsidRDefault="00453FF5" w:rsidP="003E533A">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εγγυήσεις. Αναφέρετε πώς θα υπολογίζεται το ισοδύναμο επιχορήγησης και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3E533A" w:rsidRPr="008C7F66" w14:paraId="0F66AB91" w14:textId="77777777" w:rsidTr="00E06E8E">
        <w:tc>
          <w:tcPr>
            <w:tcW w:w="7115" w:type="dxa"/>
            <w:shd w:val="clear" w:color="auto" w:fill="auto"/>
          </w:tcPr>
          <w:p w14:paraId="0E167A83" w14:textId="77777777" w:rsidR="003E533A" w:rsidRPr="008C7F66" w:rsidRDefault="003E533A" w:rsidP="00991446">
            <w:pPr>
              <w:rPr>
                <w:noProof/>
              </w:rPr>
            </w:pPr>
            <w:r w:rsidRPr="008C7F66">
              <w:rPr>
                <w:noProof/>
              </w:rPr>
              <w:t>…</w:t>
            </w:r>
          </w:p>
        </w:tc>
      </w:tr>
    </w:tbl>
    <w:p w14:paraId="70D08116" w14:textId="77777777" w:rsidR="003E533A" w:rsidRPr="008C7F66" w:rsidRDefault="00453FF5" w:rsidP="003E533A">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φορολογικά πλεονεκτήματα. Διευκρινίστε το είδος των μέτρων και αναφέρετε πώς θα υπολογίζεται το ισοδύναμο επιχορήγησης. Αναφέρετε επίσης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3E533A" w:rsidRPr="008C7F66" w14:paraId="1A99932D" w14:textId="77777777" w:rsidTr="00E06E8E">
        <w:tc>
          <w:tcPr>
            <w:tcW w:w="7115" w:type="dxa"/>
            <w:shd w:val="clear" w:color="auto" w:fill="auto"/>
          </w:tcPr>
          <w:p w14:paraId="09F517AA" w14:textId="77777777" w:rsidR="003E533A" w:rsidRPr="008C7F66" w:rsidRDefault="003E533A" w:rsidP="00991446">
            <w:pPr>
              <w:rPr>
                <w:noProof/>
              </w:rPr>
            </w:pPr>
            <w:r w:rsidRPr="008C7F66">
              <w:rPr>
                <w:noProof/>
              </w:rPr>
              <w:t>…</w:t>
            </w:r>
          </w:p>
        </w:tc>
      </w:tr>
    </w:tbl>
    <w:p w14:paraId="10AFE497" w14:textId="77777777" w:rsidR="003E533A" w:rsidRPr="008C7F66" w:rsidRDefault="00453FF5" w:rsidP="003E533A">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άλλο. Διευκρινίστε και αναφέρετε πώς θα υπολογίζεται το ισοδύναμο επιχορήγησης. Αναφέρετε επίσης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3E533A" w:rsidRPr="008C7F66" w14:paraId="48958260" w14:textId="77777777" w:rsidTr="00E06E8E">
        <w:tc>
          <w:tcPr>
            <w:tcW w:w="7115" w:type="dxa"/>
            <w:shd w:val="clear" w:color="auto" w:fill="auto"/>
          </w:tcPr>
          <w:p w14:paraId="46E13405" w14:textId="77777777" w:rsidR="003E533A" w:rsidRPr="008C7F66" w:rsidRDefault="003E533A" w:rsidP="00E06E8E">
            <w:pPr>
              <w:rPr>
                <w:noProof/>
              </w:rPr>
            </w:pPr>
            <w:r w:rsidRPr="008C7F66">
              <w:rPr>
                <w:noProof/>
              </w:rPr>
              <w:t>….</w:t>
            </w:r>
          </w:p>
        </w:tc>
      </w:tr>
    </w:tbl>
    <w:p w14:paraId="2AB77F8F"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 xml:space="preserve">Διευκρινίστε αν το καθεστώς ενισχύσεων είναι επιλέξιμο για συγχρηματοδότηση </w:t>
      </w:r>
      <w:r w:rsidRPr="008C7F66">
        <w:rPr>
          <w:noProof/>
          <w:color w:val="000000"/>
        </w:rPr>
        <w:t>από οποιοδήποτε από τα ταμεία της Ένωσης που υλοποιούνται στο πλαίσιο της επιμερισμένης διαχείρισης (στο εξής: ταμεία).</w:t>
      </w:r>
      <w:r w:rsidRPr="008C7F66">
        <w:rPr>
          <w:noProof/>
        </w:rPr>
        <w:t xml:space="preserve"> Εάν ναι, αναφέρετε στο πλαίσιο ποιων προγραμμάτων θα μπορούσε να ληφθεί χρηματοδότηση. Αναφέρετε επίσης το ποσό χρηματοδότησης με το οποίο θα συμμετάσχουν τα ταμεία, εάν είναι γνωστό σε αυτό το στάδιο.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C83ACA8" w14:textId="77777777" w:rsidTr="00E06E8E">
        <w:tc>
          <w:tcPr>
            <w:tcW w:w="7682" w:type="dxa"/>
            <w:tcBorders>
              <w:top w:val="dotted" w:sz="4" w:space="0" w:color="auto"/>
              <w:left w:val="dotted" w:sz="4" w:space="0" w:color="auto"/>
              <w:bottom w:val="dotted" w:sz="4" w:space="0" w:color="auto"/>
              <w:right w:val="dotted" w:sz="4" w:space="0" w:color="auto"/>
            </w:tcBorders>
          </w:tcPr>
          <w:p w14:paraId="5CA54CE4" w14:textId="77777777" w:rsidR="003E533A" w:rsidRPr="008C7F66" w:rsidRDefault="003E533A" w:rsidP="00E06E8E">
            <w:pPr>
              <w:rPr>
                <w:noProof/>
              </w:rPr>
            </w:pPr>
            <w:r w:rsidRPr="008C7F66">
              <w:rPr>
                <w:noProof/>
              </w:rPr>
              <w:t>…</w:t>
            </w:r>
          </w:p>
        </w:tc>
      </w:tr>
    </w:tbl>
    <w:p w14:paraId="72837D19"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lastRenderedPageBreak/>
        <w:t xml:space="preserve">Αναφέρετε τις σχετικές διατάξεις της νομικής βάσης όπου προβλέπεται ότι </w:t>
      </w:r>
      <w:r w:rsidRPr="008C7F66">
        <w:rPr>
          <w:noProof/>
          <w:color w:val="000000"/>
        </w:rPr>
        <w:t>η αρχή που χορηγεί την ενίσχυση πρέπει να διαπιστώνει, πριν από τη χορήγηση μεμονωμένης ενίσχυσης στο πλαίσιο του κοινοποιηθέντος καθεστώτος, κατά πόσον</w:t>
      </w:r>
      <w:r w:rsidRPr="008C7F66">
        <w:rPr>
          <w:noProof/>
        </w:rPr>
        <w:t xml:space="preserve"> ο δικαιούχος (σε επίπεδο ομίλου) έλαβε ενίσχυση για μία ή περισσότερες αρχικές επενδύσεις που άρχισαν στην ίδια περιφέρεια NUTS-3 σε περίοδο τριών ετών πριν από την ημερομηνία έναρξης των εργασιών του επενδυτικού σχεδίου.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AE81776" w14:textId="77777777" w:rsidTr="00E06E8E">
        <w:tc>
          <w:tcPr>
            <w:tcW w:w="7682" w:type="dxa"/>
            <w:tcBorders>
              <w:top w:val="dotted" w:sz="4" w:space="0" w:color="auto"/>
              <w:left w:val="dotted" w:sz="4" w:space="0" w:color="auto"/>
              <w:bottom w:val="dotted" w:sz="4" w:space="0" w:color="auto"/>
              <w:right w:val="dotted" w:sz="4" w:space="0" w:color="auto"/>
            </w:tcBorders>
          </w:tcPr>
          <w:p w14:paraId="396320A4" w14:textId="77777777" w:rsidR="003E533A" w:rsidRPr="008C7F66" w:rsidRDefault="003E533A" w:rsidP="00E06E8E">
            <w:pPr>
              <w:rPr>
                <w:noProof/>
              </w:rPr>
            </w:pPr>
            <w:r w:rsidRPr="008C7F66">
              <w:rPr>
                <w:noProof/>
              </w:rPr>
              <w:t>…</w:t>
            </w:r>
          </w:p>
        </w:tc>
      </w:tr>
    </w:tbl>
    <w:p w14:paraId="24D8C237"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Αναφέρετε τις σχετικές διατάξεις της νομικής βάσης όπου προβλέπεται ότι το συνολικό ποσό της ενίσχυσης που θα χορηγηθεί στο πλαίσιο του καθεστώτος σε κάθε αρχικό επενδυτικό σχέδιο δεν υπερβαίνει το ποσό που προκύπτει από τη «μέγιστη ένταση ενίσχυσης» [όπως ορίζεται στην παράγραφο 19 σημείο 19) των ΚΓΠΕ], λαμβανομένης υπόψη της αυξημένης έντασης ενίσχυσης για τις ΜΜΕ (όπως προσδιορίζεται στην παράγραφο 186 των ΚΓΠΕ) ή του «προσαρμοσμένου ποσού ενίσχυσης» [όπως ορίζεται στην παράγραφο 19 σημείο 3) των ΚΓΠΕ], αναλόγως με την περίπτωση.</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45411DC" w14:textId="77777777" w:rsidTr="00E06E8E">
        <w:tc>
          <w:tcPr>
            <w:tcW w:w="7682" w:type="dxa"/>
            <w:tcBorders>
              <w:top w:val="dotted" w:sz="4" w:space="0" w:color="auto"/>
              <w:left w:val="dotted" w:sz="4" w:space="0" w:color="auto"/>
              <w:bottom w:val="dotted" w:sz="4" w:space="0" w:color="auto"/>
              <w:right w:val="dotted" w:sz="4" w:space="0" w:color="auto"/>
            </w:tcBorders>
          </w:tcPr>
          <w:p w14:paraId="2A9F823C" w14:textId="77777777" w:rsidR="003E533A" w:rsidRPr="008C7F66" w:rsidRDefault="003E533A" w:rsidP="00E06E8E">
            <w:pPr>
              <w:rPr>
                <w:noProof/>
              </w:rPr>
            </w:pPr>
            <w:r w:rsidRPr="008C7F66">
              <w:rPr>
                <w:noProof/>
              </w:rPr>
              <w:t>…</w:t>
            </w:r>
          </w:p>
        </w:tc>
      </w:tr>
    </w:tbl>
    <w:p w14:paraId="683E0B7F"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Αναφέρετε τις σχετικές διατάξεις της νομικής βάσης, όπου προβλέπεται ότι, όταν χορηγείται μεμονωμένη ενίσχυση στο πλαίσιο περισσότερων καθεστώτων περιφερειακών ενισχύσεων ή σωρεύεται με ενισχύσεις ad hoc, η μέγιστη επιτρεπόμενη ένταση ενίσχυσης που μπορεί να χορηγηθεί στο σχέδιο θα υπολογίζεται εκ των προτέρων από την πρώτη χορηγούσα αρχή (παράγραφος 99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10D6DC65" w14:textId="77777777" w:rsidTr="00E06E8E">
        <w:tc>
          <w:tcPr>
            <w:tcW w:w="7682" w:type="dxa"/>
            <w:tcBorders>
              <w:top w:val="dotted" w:sz="4" w:space="0" w:color="auto"/>
              <w:left w:val="dotted" w:sz="4" w:space="0" w:color="auto"/>
              <w:bottom w:val="dotted" w:sz="4" w:space="0" w:color="auto"/>
              <w:right w:val="dotted" w:sz="4" w:space="0" w:color="auto"/>
            </w:tcBorders>
          </w:tcPr>
          <w:p w14:paraId="2F4BFA87" w14:textId="77777777" w:rsidR="003E533A" w:rsidRPr="008C7F66" w:rsidRDefault="003E533A" w:rsidP="00E06E8E">
            <w:pPr>
              <w:rPr>
                <w:noProof/>
              </w:rPr>
            </w:pPr>
            <w:r w:rsidRPr="008C7F66">
              <w:rPr>
                <w:noProof/>
              </w:rPr>
              <w:t>…</w:t>
            </w:r>
          </w:p>
        </w:tc>
      </w:tr>
    </w:tbl>
    <w:p w14:paraId="1DD1CFE2"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 xml:space="preserve">Όταν το καθεστώς ενισχύσεων επιτρέπει τη χορήγηση ενίσχυσης για αρχική επένδυση που συνδέεται με σχέδια ευρωπαϊκής εδαφικής συνεργασίας (ΕΕΣ), αναφέρετε τις σχετικές διατάξεις της νομικής βάσης όπου προβλέπεται (με αναφορά στις διατάξεις της παραγράφου 100 των ΚΓΠΕ) πώς θα προσδιοριστεί η μέγιστη ένταση ενίσχυσης που εφαρμόζεται για το σχέδιο, καθώς και οι διάφοροι δικαιούχοι που συμμετέχουν.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54A71A1" w14:textId="77777777" w:rsidTr="00E06E8E">
        <w:tc>
          <w:tcPr>
            <w:tcW w:w="7682" w:type="dxa"/>
            <w:tcBorders>
              <w:top w:val="dotted" w:sz="4" w:space="0" w:color="auto"/>
              <w:left w:val="dotted" w:sz="4" w:space="0" w:color="auto"/>
              <w:bottom w:val="dotted" w:sz="4" w:space="0" w:color="auto"/>
              <w:right w:val="dotted" w:sz="4" w:space="0" w:color="auto"/>
            </w:tcBorders>
          </w:tcPr>
          <w:p w14:paraId="1520C5A1" w14:textId="77777777" w:rsidR="003E533A" w:rsidRPr="008C7F66" w:rsidRDefault="003E533A" w:rsidP="00E06E8E">
            <w:pPr>
              <w:rPr>
                <w:noProof/>
              </w:rPr>
            </w:pPr>
            <w:r w:rsidRPr="008C7F66">
              <w:rPr>
                <w:noProof/>
              </w:rPr>
              <w:t>…</w:t>
            </w:r>
          </w:p>
        </w:tc>
      </w:tr>
    </w:tbl>
    <w:p w14:paraId="33F5F38C" w14:textId="4D556222" w:rsidR="003E533A" w:rsidRPr="008C7F66" w:rsidRDefault="003E533A" w:rsidP="003E533A">
      <w:pPr>
        <w:pStyle w:val="Heading1"/>
        <w:rPr>
          <w:noProof/>
        </w:rPr>
      </w:pPr>
      <w:r w:rsidRPr="008C7F66">
        <w:rPr>
          <w:noProof/>
        </w:rPr>
        <w:t>Εκτίμηση του συμβιβάσιμου του καθεστώτος ενισχύσεων</w:t>
      </w:r>
    </w:p>
    <w:p w14:paraId="7D8D1553"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Συμβολή στην περιφερειακή ανάπτυξη, θετικές συνέπειες και ανάγκη κρατικής παρέμβασης</w:t>
      </w:r>
    </w:p>
    <w:p w14:paraId="28781EB2"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Εξηγήστε με ποιον τρόπο είναι συναφές το καθεστώς και συμβάλλει στη στρατηγική ανάπτυξης της οικείας περιοχής (παράγραφος 44 των ΚΓΠΕ):</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3E533A" w:rsidRPr="008C7F66" w14:paraId="27C7DCBC" w14:textId="77777777" w:rsidTr="00E06E8E">
        <w:tc>
          <w:tcPr>
            <w:tcW w:w="7399" w:type="dxa"/>
            <w:tcBorders>
              <w:top w:val="dotted" w:sz="4" w:space="0" w:color="auto"/>
              <w:left w:val="dotted" w:sz="4" w:space="0" w:color="auto"/>
              <w:bottom w:val="dotted" w:sz="4" w:space="0" w:color="auto"/>
              <w:right w:val="dotted" w:sz="4" w:space="0" w:color="auto"/>
            </w:tcBorders>
          </w:tcPr>
          <w:p w14:paraId="233E4ACA" w14:textId="77777777" w:rsidR="003E533A" w:rsidRPr="008C7F66" w:rsidRDefault="003E533A" w:rsidP="00E06E8E">
            <w:pPr>
              <w:rPr>
                <w:noProof/>
              </w:rPr>
            </w:pPr>
            <w:r w:rsidRPr="008C7F66">
              <w:rPr>
                <w:noProof/>
              </w:rPr>
              <w:t>…</w:t>
            </w:r>
          </w:p>
        </w:tc>
      </w:tr>
    </w:tbl>
    <w:p w14:paraId="396BD85C"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lastRenderedPageBreak/>
        <w:t>Αναφέρετε τις σχετικές διατάξεις της νομικής βάσης όπου προβλέπεται η απαίτηση να διενεργείται εκτίμηση περιβαλλοντικών επιπτώσεων (ΕΠΕ) για τις σχετικές επενδύσεις, πριν από τη χορήγηση ενίσχυσης σε μεμονωμένα σχέδια, όταν αυτό απαιτείται από τη νομοθεσία (παράγραφος 49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5D836F7" w14:textId="77777777" w:rsidTr="00E06E8E">
        <w:tc>
          <w:tcPr>
            <w:tcW w:w="7682" w:type="dxa"/>
            <w:tcBorders>
              <w:top w:val="dotted" w:sz="4" w:space="0" w:color="auto"/>
              <w:left w:val="dotted" w:sz="4" w:space="0" w:color="auto"/>
              <w:bottom w:val="dotted" w:sz="4" w:space="0" w:color="auto"/>
              <w:right w:val="dotted" w:sz="4" w:space="0" w:color="auto"/>
            </w:tcBorders>
          </w:tcPr>
          <w:p w14:paraId="795826DF" w14:textId="77777777" w:rsidR="003E533A" w:rsidRPr="008C7F66" w:rsidRDefault="003E533A" w:rsidP="00E06E8E">
            <w:pPr>
              <w:tabs>
                <w:tab w:val="left" w:pos="720"/>
                <w:tab w:val="left" w:pos="1077"/>
                <w:tab w:val="left" w:pos="1440"/>
                <w:tab w:val="left" w:pos="1797"/>
              </w:tabs>
              <w:rPr>
                <w:noProof/>
              </w:rPr>
            </w:pPr>
            <w:r w:rsidRPr="008C7F66">
              <w:rPr>
                <w:noProof/>
              </w:rPr>
              <w:t>…</w:t>
            </w:r>
          </w:p>
        </w:tc>
      </w:tr>
    </w:tbl>
    <w:p w14:paraId="12C1889C"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Εξηγήστε με ποιον τρόπο οι χορηγούσες αρχές θα καθορίζουν τα επενδυτικά σχέδια προτεραιότητας και θα τα επιλέγουν ανάλογα με τους στόχους του καθεστώτος (π.χ. με βάση την προσέγγιση της επίσημης βαθμολόγησης) (παράγραφος 44 των ΚΓΠΕ). Αναφέρετε επίσης τις σχετικές διατάξεις της νομικής βάσης ή άλλων σχετικών διοικητικών πράξεων.</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67C3557B" w14:textId="77777777" w:rsidTr="00E06E8E">
        <w:tc>
          <w:tcPr>
            <w:tcW w:w="7682" w:type="dxa"/>
            <w:tcBorders>
              <w:top w:val="dotted" w:sz="4" w:space="0" w:color="auto"/>
              <w:left w:val="dotted" w:sz="4" w:space="0" w:color="auto"/>
              <w:bottom w:val="dotted" w:sz="4" w:space="0" w:color="auto"/>
              <w:right w:val="dotted" w:sz="4" w:space="0" w:color="auto"/>
            </w:tcBorders>
          </w:tcPr>
          <w:p w14:paraId="25A28B36" w14:textId="77777777" w:rsidR="003E533A" w:rsidRPr="008C7F66" w:rsidRDefault="003E533A" w:rsidP="00E06E8E">
            <w:pPr>
              <w:tabs>
                <w:tab w:val="left" w:pos="720"/>
                <w:tab w:val="left" w:pos="1077"/>
                <w:tab w:val="left" w:pos="1440"/>
                <w:tab w:val="left" w:pos="1797"/>
              </w:tabs>
              <w:rPr>
                <w:noProof/>
              </w:rPr>
            </w:pPr>
            <w:r w:rsidRPr="008C7F66">
              <w:rPr>
                <w:noProof/>
              </w:rPr>
              <w:t>…</w:t>
            </w:r>
          </w:p>
        </w:tc>
      </w:tr>
    </w:tbl>
    <w:p w14:paraId="4BB338BC"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Εξηγήστε με ποιον τρόπο, κατά τη χορήγηση ενίσχυσης σε μεμονωμένα επενδυτικά σχέδια στο πλαίσιο του κοινοποιηθέντος καθεστώτος, θα διαπιστώνει η αρχή που χορηγεί την ενίσχυση ότι το επιλεγέν σχέδιο ή σχέδια συμβάλλουν στην επίτευξη του στόχου του καθεστώτος και, κατά συνέπεια, στην αναπτυξιακή στρατηγική της οικείας περιοχής. (παράγραφος 46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15F80CE4" w14:textId="77777777" w:rsidTr="00E06E8E">
        <w:tc>
          <w:tcPr>
            <w:tcW w:w="7682" w:type="dxa"/>
            <w:tcBorders>
              <w:top w:val="dotted" w:sz="4" w:space="0" w:color="auto"/>
              <w:left w:val="dotted" w:sz="4" w:space="0" w:color="auto"/>
              <w:bottom w:val="dotted" w:sz="4" w:space="0" w:color="auto"/>
              <w:right w:val="dotted" w:sz="4" w:space="0" w:color="auto"/>
            </w:tcBorders>
          </w:tcPr>
          <w:p w14:paraId="35945119" w14:textId="77777777" w:rsidR="003E533A" w:rsidRPr="008C7F66" w:rsidRDefault="003E533A" w:rsidP="00E06E8E">
            <w:pPr>
              <w:tabs>
                <w:tab w:val="left" w:pos="720"/>
                <w:tab w:val="left" w:pos="1077"/>
                <w:tab w:val="left" w:pos="1440"/>
                <w:tab w:val="left" w:pos="1797"/>
              </w:tabs>
              <w:rPr>
                <w:noProof/>
              </w:rPr>
            </w:pPr>
            <w:r w:rsidRPr="008C7F66">
              <w:rPr>
                <w:noProof/>
              </w:rPr>
              <w:t>…</w:t>
            </w:r>
          </w:p>
        </w:tc>
      </w:tr>
    </w:tbl>
    <w:p w14:paraId="68135460"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Εξηγήστε πώς εφαρμόζεται η διάταξη που επιβάλλει να διατηρείται κάθε επένδυση, η οποία λαμβάνει στήριξη βάσει του κοινοποιηθέντος καθεστώτος, στην εν λόγω περιοχή για τουλάχιστον πέντε έτη (τρία έτη για τις ΜΜΕ) μετά την ολοκλήρωσή της (παράγραφος 47 των ΚΓΠΕ). Αναφέρετε τις σχετικές διατάξεις της νομικής βάσης.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CE2DC11" w14:textId="77777777" w:rsidTr="00E06E8E">
        <w:tc>
          <w:tcPr>
            <w:tcW w:w="7682" w:type="dxa"/>
            <w:tcBorders>
              <w:top w:val="dotted" w:sz="4" w:space="0" w:color="auto"/>
              <w:left w:val="dotted" w:sz="4" w:space="0" w:color="auto"/>
              <w:bottom w:val="dotted" w:sz="4" w:space="0" w:color="auto"/>
              <w:right w:val="dotted" w:sz="4" w:space="0" w:color="auto"/>
            </w:tcBorders>
          </w:tcPr>
          <w:p w14:paraId="4898E701" w14:textId="77777777" w:rsidR="003E533A" w:rsidRPr="008C7F66" w:rsidRDefault="003E533A" w:rsidP="00E06E8E">
            <w:pPr>
              <w:tabs>
                <w:tab w:val="left" w:pos="720"/>
                <w:tab w:val="left" w:pos="1077"/>
                <w:tab w:val="left" w:pos="1440"/>
                <w:tab w:val="left" w:pos="1797"/>
              </w:tabs>
              <w:rPr>
                <w:noProof/>
              </w:rPr>
            </w:pPr>
            <w:r w:rsidRPr="008C7F66">
              <w:rPr>
                <w:noProof/>
              </w:rPr>
              <w:t>…</w:t>
            </w:r>
          </w:p>
        </w:tc>
      </w:tr>
    </w:tbl>
    <w:p w14:paraId="162155B0"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Σε περιπτώσεις που η ενίσχυση που χορηγείται στο πλαίσιο του κοινοποιηθέντος καθεστώτος υπολογίζεται βάσει των μισθολογικών δαπανών, εξηγήστε πώς εφαρμόζεται η διάταξη που προβλέπει ότι οι θέσεις απασχόλησης δημιουργούνται εντός τριών ετών από την ολοκλήρωση της επένδυσης και ότι κάθε θέση εργασίας που δημιουργείται μέσω της εν λόγω επένδυσης διατηρείται στην οικεία περιοχή για περίοδο πέντε ετών (τριών ετών για τις ΜΜΕ) από την ημερομηνία κατά την οποία η θέση καλύπτεται για πρώτη φορά (παράγραφος 36 των ΚΓΠΕ). Αναφέρετε τις σχετικές διατάξεις της νομικής βάσης.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30012AA9" w14:textId="77777777" w:rsidTr="00E06E8E">
        <w:tc>
          <w:tcPr>
            <w:tcW w:w="7682" w:type="dxa"/>
            <w:tcBorders>
              <w:top w:val="dotted" w:sz="4" w:space="0" w:color="auto"/>
              <w:left w:val="dotted" w:sz="4" w:space="0" w:color="auto"/>
              <w:bottom w:val="dotted" w:sz="4" w:space="0" w:color="auto"/>
              <w:right w:val="dotted" w:sz="4" w:space="0" w:color="auto"/>
            </w:tcBorders>
          </w:tcPr>
          <w:p w14:paraId="17E10ECA" w14:textId="77777777" w:rsidR="003E533A" w:rsidRPr="008C7F66" w:rsidRDefault="003E533A" w:rsidP="00E06E8E">
            <w:pPr>
              <w:tabs>
                <w:tab w:val="left" w:pos="720"/>
                <w:tab w:val="left" w:pos="1077"/>
                <w:tab w:val="left" w:pos="1440"/>
                <w:tab w:val="left" w:pos="1797"/>
              </w:tabs>
              <w:rPr>
                <w:noProof/>
              </w:rPr>
            </w:pPr>
            <w:r w:rsidRPr="008C7F66">
              <w:rPr>
                <w:noProof/>
              </w:rPr>
              <w:t>…</w:t>
            </w:r>
          </w:p>
        </w:tc>
      </w:tr>
    </w:tbl>
    <w:p w14:paraId="37CE4F9D"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 xml:space="preserve">Αναφέρετε τη σχετική διάταξη της νομικής βάσης, όπου προβλέπεται ότι οι αποδέκτες οφείλουν να συνεισφέρουν τουλάχιστον το 25 % των επιλέξιμων δαπανών, είτε μέσω ιδίων πόρων τους είτε μέσω εξωτερικής χρηματοδότησης, </w:t>
      </w:r>
      <w:r w:rsidRPr="008C7F66">
        <w:rPr>
          <w:noProof/>
        </w:rPr>
        <w:lastRenderedPageBreak/>
        <w:t>με μορφή που δεν περιέχει στοιχεία δημόσιας χρηματοδοτικής ενίσχυσης</w:t>
      </w:r>
      <w:r w:rsidRPr="008C7F66">
        <w:rPr>
          <w:rStyle w:val="FootnoteReference"/>
          <w:noProof/>
        </w:rPr>
        <w:footnoteReference w:id="20"/>
      </w:r>
      <w:r w:rsidRPr="008C7F66">
        <w:rPr>
          <w:noProof/>
        </w:rPr>
        <w:t>. (παράγραφος 48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70BAA11F" w14:textId="77777777" w:rsidTr="00E06E8E">
        <w:tc>
          <w:tcPr>
            <w:tcW w:w="7682" w:type="dxa"/>
            <w:tcBorders>
              <w:top w:val="dotted" w:sz="4" w:space="0" w:color="auto"/>
              <w:left w:val="dotted" w:sz="4" w:space="0" w:color="auto"/>
              <w:bottom w:val="dotted" w:sz="4" w:space="0" w:color="auto"/>
              <w:right w:val="dotted" w:sz="4" w:space="0" w:color="auto"/>
            </w:tcBorders>
          </w:tcPr>
          <w:p w14:paraId="00D1190C" w14:textId="77777777" w:rsidR="003E533A" w:rsidRPr="008C7F66" w:rsidRDefault="003E533A" w:rsidP="00E06E8E">
            <w:pPr>
              <w:rPr>
                <w:noProof/>
                <w:szCs w:val="24"/>
              </w:rPr>
            </w:pPr>
            <w:r w:rsidRPr="008C7F66">
              <w:rPr>
                <w:noProof/>
              </w:rPr>
              <w:t>…</w:t>
            </w:r>
          </w:p>
        </w:tc>
      </w:tr>
    </w:tbl>
    <w:p w14:paraId="42C41235"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Αναφέρετε τη σχετική διάταξη της νομικής βάσης όπου προβλέπεται ότι το καθεστώς πρέπει να τηρεί τα ανώτατα όρια του χάρτη περιφερειακών ενισχύσεων που ισχύει κατά τη στιγμή της χορήγησης της ενίσχυσης (παράγραφος 88 των ΚΓΠΕ). Αναφέρετε επίσης παραπομπή στην απόφαση της Επιτροπής για την έγκριση του εν λόγω χάρτη περιφερειακών ενισχύσεων.</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119611F" w14:textId="77777777" w:rsidTr="00E06E8E">
        <w:tc>
          <w:tcPr>
            <w:tcW w:w="7682" w:type="dxa"/>
            <w:tcBorders>
              <w:top w:val="dotted" w:sz="4" w:space="0" w:color="auto"/>
              <w:left w:val="dotted" w:sz="4" w:space="0" w:color="auto"/>
              <w:bottom w:val="dotted" w:sz="4" w:space="0" w:color="auto"/>
              <w:right w:val="dotted" w:sz="4" w:space="0" w:color="auto"/>
            </w:tcBorders>
          </w:tcPr>
          <w:p w14:paraId="76FB4880" w14:textId="77777777" w:rsidR="003E533A" w:rsidRPr="008C7F66" w:rsidRDefault="003E533A" w:rsidP="00E06E8E">
            <w:pPr>
              <w:rPr>
                <w:noProof/>
                <w:szCs w:val="24"/>
              </w:rPr>
            </w:pPr>
            <w:r w:rsidRPr="008C7F66">
              <w:rPr>
                <w:noProof/>
              </w:rPr>
              <w:t>…</w:t>
            </w:r>
          </w:p>
        </w:tc>
      </w:tr>
    </w:tbl>
    <w:p w14:paraId="65AF973C"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Ικανότητα του καθεστώτος να λειτουργήσει ως κίνητρο</w:t>
      </w:r>
    </w:p>
    <w:p w14:paraId="1C49C2BF"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Αναφέρετε τις σχετικές διατάξεις της νομικής βάσης όπου προβλέπεται ότι κάθε αίτηση ενίσχυσης πρέπει να υποβάλλεται πριν από την έναρξη των εργασιών του σχετικού επενδυτικού σχεδίου (παράγραφος 62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0854145A" w14:textId="77777777" w:rsidTr="00E06E8E">
        <w:tc>
          <w:tcPr>
            <w:tcW w:w="7682" w:type="dxa"/>
            <w:shd w:val="clear" w:color="auto" w:fill="auto"/>
          </w:tcPr>
          <w:p w14:paraId="54C0ED15" w14:textId="77777777" w:rsidR="003E533A" w:rsidRPr="008C7F66" w:rsidRDefault="003E533A" w:rsidP="00E06E8E">
            <w:pPr>
              <w:rPr>
                <w:noProof/>
              </w:rPr>
            </w:pPr>
            <w:r w:rsidRPr="008C7F66">
              <w:rPr>
                <w:noProof/>
              </w:rPr>
              <w:t>…</w:t>
            </w:r>
          </w:p>
        </w:tc>
      </w:tr>
    </w:tbl>
    <w:p w14:paraId="1C9D6C62"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Αναφέρετε τις σχετικές διατάξεις της νομικής βάσης όπου προβλέπεται ότι όσοι υποβάλλουν αίτηση για ενίσχυση στο πλαίσιο του κοινοποιηθέντος καθεστώτος θα είναι υποχρεωμένοι να υποβάλουν τυποποιημένο έντυπο αίτησης που παρέχεται από την αρχή που χορηγεί την ενίσχυση, στο οποίο πρέπει να εξηγούν, με την παράθεση αντιπαραδειγμάτων, τι θα συμβεί σε περίπτωση που δεν λάβουν την ενίσχυση, και να αναφέρουν ποιο από τα σενάρια ισχύει (</w:t>
      </w:r>
      <w:r w:rsidRPr="008C7F66">
        <w:rPr>
          <w:i/>
          <w:noProof/>
        </w:rPr>
        <w:t>σενάριο 1</w:t>
      </w:r>
      <w:r w:rsidRPr="008C7F66">
        <w:rPr>
          <w:noProof/>
        </w:rPr>
        <w:t xml:space="preserve"> – απόφαση σχετικά με την πραγματοποίηση της επένδυσης ή </w:t>
      </w:r>
      <w:r w:rsidRPr="008C7F66">
        <w:rPr>
          <w:i/>
          <w:noProof/>
        </w:rPr>
        <w:t>σενάριο 2</w:t>
      </w:r>
      <w:r w:rsidRPr="008C7F66">
        <w:rPr>
          <w:noProof/>
        </w:rPr>
        <w:t xml:space="preserve"> – απόφαση σχετικά με την τοποθεσία) (παράγραφοι 64 και 59 των ΚΓΠΕ).</w:t>
      </w:r>
      <w:r w:rsidRPr="008C7F66">
        <w:rPr>
          <w:noProof/>
          <w:color w:val="000000"/>
        </w:rPr>
        <w:t xml:space="preserve"> Εάν το εν λόγω έντυπο αίτησης διαφέρει από το παράδειγμα που παρέχεται στο παράρτημα VII των ΚΓΠΕ, υποβάλετε αντίγραφο του εντύπου αυτού.</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8723ACB" w14:textId="77777777" w:rsidTr="00E06E8E">
        <w:tc>
          <w:tcPr>
            <w:tcW w:w="7682" w:type="dxa"/>
            <w:shd w:val="clear" w:color="auto" w:fill="auto"/>
          </w:tcPr>
          <w:p w14:paraId="5E539B1B" w14:textId="77777777" w:rsidR="003E533A" w:rsidRPr="008C7F66" w:rsidRDefault="003E533A" w:rsidP="00E06E8E">
            <w:pPr>
              <w:rPr>
                <w:noProof/>
              </w:rPr>
            </w:pPr>
            <w:r w:rsidRPr="008C7F66">
              <w:rPr>
                <w:noProof/>
              </w:rPr>
              <w:t>…</w:t>
            </w:r>
          </w:p>
        </w:tc>
      </w:tr>
    </w:tbl>
    <w:p w14:paraId="61464B5F"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Αναφέρετε τις σχετικές διατάξεις της νομικής βάσης, όπου προβλέπεται ότι οι μεγάλες επιχειρήσεις που υποβάλλουν αίτηση ενίσχυσης στο πλαίσιο του κοινοποιηθέντος καθεστώτος υποχρεούνται να υποβάλουν αποδεικτικά στοιχεία προς στήριξη του αντιπαραδείγματος που περιγράφεται. (παράγραφος 65 των ΚΓΠΕ) Εξηγήστε επίσης τι είδους έγγραφα θα απαιτηθούν.</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34CDA378" w14:textId="77777777" w:rsidTr="00E06E8E">
        <w:tc>
          <w:tcPr>
            <w:tcW w:w="7682" w:type="dxa"/>
            <w:shd w:val="clear" w:color="auto" w:fill="auto"/>
          </w:tcPr>
          <w:p w14:paraId="60C65C3E" w14:textId="77777777" w:rsidR="003E533A" w:rsidRPr="008C7F66" w:rsidRDefault="003E533A" w:rsidP="00E06E8E">
            <w:pPr>
              <w:rPr>
                <w:noProof/>
              </w:rPr>
            </w:pPr>
            <w:r w:rsidRPr="008C7F66">
              <w:rPr>
                <w:noProof/>
              </w:rPr>
              <w:t>…</w:t>
            </w:r>
          </w:p>
        </w:tc>
      </w:tr>
    </w:tbl>
    <w:p w14:paraId="5005107A" w14:textId="77777777" w:rsidR="003E533A" w:rsidRPr="008C7F66" w:rsidRDefault="003E533A" w:rsidP="003E533A">
      <w:pPr>
        <w:pStyle w:val="NormalKop111"/>
        <w:numPr>
          <w:ilvl w:val="2"/>
          <w:numId w:val="22"/>
        </w:numPr>
        <w:tabs>
          <w:tab w:val="clear" w:pos="720"/>
          <w:tab w:val="clear" w:pos="1440"/>
          <w:tab w:val="clear" w:pos="1797"/>
        </w:tabs>
        <w:ind w:left="1418" w:hanging="698"/>
        <w:rPr>
          <w:rFonts w:cs="Times New Roman"/>
          <w:noProof/>
        </w:rPr>
      </w:pPr>
      <w:r w:rsidRPr="008C7F66">
        <w:rPr>
          <w:noProof/>
        </w:rPr>
        <w:t xml:space="preserve">Αναφέρετε τις σχετικές διατάξεις της νομικής βάσης όπου προβλέπεται ότι, κατά την αξιολόγηση των αιτήσεων για μεμονωμένες ενισχύσεις, η αρχή που </w:t>
      </w:r>
      <w:r w:rsidRPr="008C7F66">
        <w:rPr>
          <w:noProof/>
        </w:rPr>
        <w:lastRenderedPageBreak/>
        <w:t xml:space="preserve">χορηγεί την ενίσχυση υποχρεούται να διενεργεί έλεγχο αξιοπιστίας των υποβληθέντων αντιπαραδειγμάτων και να εξακριβώνει ότι η περιφερειακή ενίσχυση μπορεί να δημιουργήσει κίνητρα που να αντιστοιχούν στο </w:t>
      </w:r>
      <w:r w:rsidRPr="008C7F66">
        <w:rPr>
          <w:i/>
          <w:noProof/>
        </w:rPr>
        <w:t>σενάριο 1</w:t>
      </w:r>
      <w:r w:rsidRPr="008C7F66">
        <w:rPr>
          <w:noProof/>
        </w:rPr>
        <w:t xml:space="preserve"> ή στο </w:t>
      </w:r>
      <w:r w:rsidRPr="008C7F66">
        <w:rPr>
          <w:i/>
          <w:noProof/>
        </w:rPr>
        <w:t>σενάριο 2</w:t>
      </w:r>
      <w:r w:rsidRPr="008C7F66">
        <w:rPr>
          <w:rStyle w:val="FootnoteReference"/>
          <w:noProof/>
        </w:rPr>
        <w:footnoteReference w:id="21"/>
      </w:r>
      <w:r w:rsidRPr="008C7F66">
        <w:rPr>
          <w:noProof/>
        </w:rPr>
        <w:t xml:space="preserve"> (παράγραφος 66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18A49920" w14:textId="77777777" w:rsidTr="00E06E8E">
        <w:tc>
          <w:tcPr>
            <w:tcW w:w="7682" w:type="dxa"/>
            <w:shd w:val="clear" w:color="auto" w:fill="auto"/>
          </w:tcPr>
          <w:p w14:paraId="6D560903" w14:textId="77777777" w:rsidR="003E533A" w:rsidRPr="008C7F66" w:rsidRDefault="003E533A" w:rsidP="00E06E8E">
            <w:pPr>
              <w:rPr>
                <w:noProof/>
              </w:rPr>
            </w:pPr>
            <w:r w:rsidRPr="008C7F66">
              <w:rPr>
                <w:noProof/>
              </w:rPr>
              <w:t>…</w:t>
            </w:r>
          </w:p>
        </w:tc>
      </w:tr>
    </w:tbl>
    <w:p w14:paraId="7D931CCA"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Καταλληλότητα του καθεστώτος</w:t>
      </w:r>
    </w:p>
    <w:p w14:paraId="0FC46C1E"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Εξηγήστε για ποιον λόγο η περιφερειακή ενίσχυση αποτελεί κατάλληλο μέσο για την ανάπτυξη της περιοχής</w:t>
      </w:r>
      <w:r w:rsidRPr="008C7F66">
        <w:rPr>
          <w:rStyle w:val="FootnoteReference"/>
          <w:noProof/>
        </w:rPr>
        <w:footnoteReference w:id="22"/>
      </w:r>
      <w:r w:rsidRPr="008C7F66">
        <w:rPr>
          <w:noProof/>
        </w:rPr>
        <w:t xml:space="preserve"> (παράγραφος 80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79C9075E" w14:textId="77777777" w:rsidTr="00E06E8E">
        <w:tc>
          <w:tcPr>
            <w:tcW w:w="7682" w:type="dxa"/>
            <w:tcBorders>
              <w:top w:val="dotted" w:sz="4" w:space="0" w:color="auto"/>
              <w:left w:val="dotted" w:sz="4" w:space="0" w:color="auto"/>
              <w:bottom w:val="dotted" w:sz="4" w:space="0" w:color="auto"/>
              <w:right w:val="dotted" w:sz="4" w:space="0" w:color="auto"/>
            </w:tcBorders>
          </w:tcPr>
          <w:p w14:paraId="7D7482C0" w14:textId="77777777" w:rsidR="003E533A" w:rsidRPr="008C7F66" w:rsidRDefault="003E533A" w:rsidP="00E06E8E">
            <w:pPr>
              <w:rPr>
                <w:noProof/>
                <w:szCs w:val="24"/>
              </w:rPr>
            </w:pPr>
            <w:r w:rsidRPr="008C7F66">
              <w:rPr>
                <w:noProof/>
              </w:rPr>
              <w:t>…</w:t>
            </w:r>
          </w:p>
        </w:tc>
      </w:tr>
    </w:tbl>
    <w:p w14:paraId="302C98A9"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Εάν το καθεστώς αφορά συγκεκριμένο τομέα, αποδείξτε τα πλεονεκτήματα ενός τέτοιου μέσου σε σύγκριση με ένα πολυτομεακό καθεστώς ή άλλες επιλογές πολιτικής (παράγραφος 81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483F9317" w14:textId="77777777" w:rsidTr="00E06E8E">
        <w:tc>
          <w:tcPr>
            <w:tcW w:w="7682" w:type="dxa"/>
            <w:tcBorders>
              <w:top w:val="dotted" w:sz="4" w:space="0" w:color="auto"/>
              <w:left w:val="dotted" w:sz="4" w:space="0" w:color="auto"/>
              <w:bottom w:val="dotted" w:sz="4" w:space="0" w:color="auto"/>
              <w:right w:val="dotted" w:sz="4" w:space="0" w:color="auto"/>
            </w:tcBorders>
          </w:tcPr>
          <w:p w14:paraId="39E95A72" w14:textId="77777777" w:rsidR="003E533A" w:rsidRPr="008C7F66" w:rsidRDefault="003E533A" w:rsidP="00E06E8E">
            <w:pPr>
              <w:rPr>
                <w:noProof/>
                <w:szCs w:val="24"/>
              </w:rPr>
            </w:pPr>
            <w:r w:rsidRPr="008C7F66">
              <w:rPr>
                <w:noProof/>
              </w:rPr>
              <w:t>…</w:t>
            </w:r>
          </w:p>
        </w:tc>
      </w:tr>
    </w:tbl>
    <w:p w14:paraId="49FAC4BA"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Διευκρινίστε αν οι μεμονωμένες ενισχύσεις στο πλαίσιο του κοινοποιηθέντος καθεστώτος θα χορηγούνται:</w:t>
      </w:r>
    </w:p>
    <w:p w14:paraId="3459F893" w14:textId="77777777" w:rsidR="003E533A" w:rsidRPr="008C7F66" w:rsidRDefault="00453FF5" w:rsidP="003E533A">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Αυτομάτως, εφόσον πληρούνται οι όροι του καθεστώτος ή</w:t>
      </w:r>
    </w:p>
    <w:p w14:paraId="7AA1F38B" w14:textId="77777777" w:rsidR="003E533A" w:rsidRPr="008C7F66" w:rsidRDefault="00453FF5" w:rsidP="003E533A">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Βάσει διακριτικής ευχέρειας, κατόπιν απόφασης των αρμόδιων αρχών</w:t>
      </w:r>
    </w:p>
    <w:p w14:paraId="32091B06" w14:textId="77777777" w:rsidR="003E533A" w:rsidRPr="008C7F66" w:rsidRDefault="003E533A" w:rsidP="003E533A">
      <w:pPr>
        <w:pStyle w:val="Text2"/>
        <w:ind w:left="1418"/>
        <w:rPr>
          <w:noProof/>
        </w:rPr>
      </w:pPr>
      <w:r w:rsidRPr="008C7F66">
        <w:rPr>
          <w:noProof/>
        </w:rPr>
        <w:t xml:space="preserve">Αναφέρετε τις σχετικές διατάξεις της νομικής βάσης: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1877A25" w14:textId="77777777" w:rsidTr="00E06E8E">
        <w:tc>
          <w:tcPr>
            <w:tcW w:w="7682" w:type="dxa"/>
            <w:tcBorders>
              <w:top w:val="dotted" w:sz="4" w:space="0" w:color="auto"/>
              <w:left w:val="dotted" w:sz="4" w:space="0" w:color="auto"/>
              <w:bottom w:val="dotted" w:sz="4" w:space="0" w:color="auto"/>
              <w:right w:val="dotted" w:sz="4" w:space="0" w:color="auto"/>
            </w:tcBorders>
          </w:tcPr>
          <w:p w14:paraId="225E9504" w14:textId="77777777" w:rsidR="003E533A" w:rsidRPr="008C7F66" w:rsidRDefault="003E533A" w:rsidP="00E06E8E">
            <w:pPr>
              <w:rPr>
                <w:noProof/>
                <w:szCs w:val="24"/>
              </w:rPr>
            </w:pPr>
            <w:r w:rsidRPr="008C7F66">
              <w:rPr>
                <w:noProof/>
              </w:rPr>
              <w:t>…</w:t>
            </w:r>
          </w:p>
        </w:tc>
      </w:tr>
    </w:tbl>
    <w:p w14:paraId="6565A00D" w14:textId="77777777" w:rsidR="003E533A" w:rsidRPr="008C7F66" w:rsidRDefault="003E533A" w:rsidP="003E533A">
      <w:pPr>
        <w:pStyle w:val="Text2"/>
        <w:ind w:left="1418"/>
        <w:rPr>
          <w:noProof/>
        </w:rPr>
      </w:pPr>
      <w:r w:rsidRPr="008C7F66">
        <w:rPr>
          <w:noProof/>
        </w:rPr>
        <w:t>Εάν οι ενισχύσεις πρόκειται να χορηγούνται βάσει διακριτικής ευχέρειας, περιγράψτε εν συντομία τα κριτήρια που χρησιμοποιούνται και επισυνάψτε αντίγραφο των εσωτερικών διοικητικών διατάξεων της χορηγούσας αρχής που εφαρμόζονται για τη χορήγηση της ενίσχυσης: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2875624D" w14:textId="77777777" w:rsidTr="00E06E8E">
        <w:tc>
          <w:tcPr>
            <w:tcW w:w="7682" w:type="dxa"/>
            <w:tcBorders>
              <w:top w:val="dotted" w:sz="4" w:space="0" w:color="auto"/>
              <w:left w:val="dotted" w:sz="4" w:space="0" w:color="auto"/>
              <w:bottom w:val="dotted" w:sz="4" w:space="0" w:color="auto"/>
              <w:right w:val="dotted" w:sz="4" w:space="0" w:color="auto"/>
            </w:tcBorders>
          </w:tcPr>
          <w:p w14:paraId="06B9FEEC" w14:textId="77777777" w:rsidR="003E533A" w:rsidRPr="008C7F66" w:rsidRDefault="003E533A" w:rsidP="00E06E8E">
            <w:pPr>
              <w:rPr>
                <w:noProof/>
                <w:szCs w:val="24"/>
              </w:rPr>
            </w:pPr>
            <w:r w:rsidRPr="008C7F66">
              <w:rPr>
                <w:noProof/>
              </w:rPr>
              <w:t>…</w:t>
            </w:r>
          </w:p>
        </w:tc>
      </w:tr>
    </w:tbl>
    <w:p w14:paraId="3A48F126"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Εάν οι ενισχύσεις στο πλαίσιο του καθεστώτος χορηγούνται σε μορφές που παρέχουν άμεσο περιουσιακό όφελος</w:t>
      </w:r>
      <w:r w:rsidRPr="008C7F66">
        <w:rPr>
          <w:rStyle w:val="FootnoteReference"/>
          <w:noProof/>
        </w:rPr>
        <w:footnoteReference w:id="23"/>
      </w:r>
      <w:r w:rsidRPr="008C7F66">
        <w:rPr>
          <w:noProof/>
        </w:rPr>
        <w:t xml:space="preserve">, αποδείξτε τον λόγο για τον οποίο δεν είναι κατάλληλες άλλες δυνητικά λιγότερο στρεβλωτικές μορφές ενισχύσεων, </w:t>
      </w:r>
      <w:r w:rsidRPr="008C7F66">
        <w:rPr>
          <w:noProof/>
        </w:rPr>
        <w:lastRenderedPageBreak/>
        <w:t>όπως επιστρεπτέες προκαταβολές ή μορφές ενίσχυσης που βασίζονται σε χρεωστικούς ή συμμετοχικούς τίτλους</w:t>
      </w:r>
      <w:r w:rsidRPr="008C7F66">
        <w:rPr>
          <w:rStyle w:val="FootnoteReference"/>
          <w:noProof/>
        </w:rPr>
        <w:footnoteReference w:id="24"/>
      </w:r>
      <w:r w:rsidRPr="008C7F66">
        <w:rPr>
          <w:noProof/>
        </w:rPr>
        <w:t xml:space="preserve"> (παράγραφος 85 των ΚΓΠΕ):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1E3A7DAB" w14:textId="77777777" w:rsidTr="00E06E8E">
        <w:tc>
          <w:tcPr>
            <w:tcW w:w="7682" w:type="dxa"/>
            <w:shd w:val="clear" w:color="auto" w:fill="auto"/>
          </w:tcPr>
          <w:p w14:paraId="1B581C18" w14:textId="77777777" w:rsidR="003E533A" w:rsidRPr="008C7F66" w:rsidRDefault="003E533A" w:rsidP="00E06E8E">
            <w:pPr>
              <w:rPr>
                <w:noProof/>
              </w:rPr>
            </w:pPr>
            <w:r w:rsidRPr="008C7F66">
              <w:rPr>
                <w:noProof/>
              </w:rPr>
              <w:t>…</w:t>
            </w:r>
          </w:p>
        </w:tc>
      </w:tr>
    </w:tbl>
    <w:p w14:paraId="44F3BE65"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Δημιουργία κινήτρων και αναλογικότητα του καθεστώτος</w:t>
      </w:r>
    </w:p>
    <w:p w14:paraId="55DC0826"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 xml:space="preserve">Αναφέρετε τις σχετικές διατάξεις της νομικής βάσης όπου προβλέπεται ότι οι μεμονωμένες ενισχύσεις που χορηγούνται σε μεγάλες επιχειρήσεις, στο πλαίσιο του κοινοποιηθέντος καθεστώτος, θα περιορίζονται στο καθαρό πρόσθετο κόστος πραγματοποίησης της επένδυσης στην οικεία περιοχή, σε σύγκριση με το αντιπαράδειγμα στην περίπτωση απουσίας της ενίσχυσης, χρησιμοποιώντας τη μέθοδο που αναλύεται στις παραγράφους 96 και 97 των ΚΓΠΕ (παράγραφος 95 των ΚΓΠΕ).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0789F775" w14:textId="77777777" w:rsidTr="00E06E8E">
        <w:tc>
          <w:tcPr>
            <w:tcW w:w="7682" w:type="dxa"/>
            <w:shd w:val="clear" w:color="auto" w:fill="auto"/>
          </w:tcPr>
          <w:p w14:paraId="75318360" w14:textId="77777777" w:rsidR="003E533A" w:rsidRPr="008C7F66" w:rsidRDefault="003E533A" w:rsidP="00E06E8E">
            <w:pPr>
              <w:rPr>
                <w:noProof/>
              </w:rPr>
            </w:pPr>
            <w:r w:rsidRPr="008C7F66">
              <w:rPr>
                <w:noProof/>
              </w:rPr>
              <w:t>…</w:t>
            </w:r>
          </w:p>
        </w:tc>
      </w:tr>
    </w:tbl>
    <w:p w14:paraId="52E70777"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Αποφυγή αθέμιτων αρνητικών επιπτώσεων στον ανταγωνισμό και τις συναλλαγές</w:t>
      </w:r>
    </w:p>
    <w:p w14:paraId="04163068"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Εξηγήστε πώς θα περιοριστούν στο ελάχιστο οι στρεβλώσεις του ανταγωνισμού και των συναλλαγών που προκαλούνται από το κοινοποιηθέν καθεστώς ενισχύσεων (παράγραφος 120 των ΚΓΠΕ)</w:t>
      </w:r>
      <w:r w:rsidRPr="008C7F66">
        <w:rPr>
          <w:rStyle w:val="FootnoteReference"/>
          <w:noProof/>
        </w:rPr>
        <w:footnoteReference w:id="25"/>
      </w:r>
      <w:r w:rsidRPr="008C7F66">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101A131D" w14:textId="77777777" w:rsidTr="00E06E8E">
        <w:tc>
          <w:tcPr>
            <w:tcW w:w="7682" w:type="dxa"/>
            <w:shd w:val="clear" w:color="auto" w:fill="auto"/>
          </w:tcPr>
          <w:p w14:paraId="624BC6E4" w14:textId="77777777" w:rsidR="003E533A" w:rsidRPr="008C7F66" w:rsidRDefault="003E533A" w:rsidP="00E06E8E">
            <w:pPr>
              <w:rPr>
                <w:noProof/>
              </w:rPr>
            </w:pPr>
            <w:r w:rsidRPr="008C7F66">
              <w:rPr>
                <w:noProof/>
              </w:rPr>
              <w:t>…</w:t>
            </w:r>
          </w:p>
        </w:tc>
      </w:tr>
    </w:tbl>
    <w:p w14:paraId="535C03CB"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Αναφέρετε τις σχετικές διατάξεις της νομικής βάσης όπου προβλέπεται ότι κατά τη χορήγηση ενίσχυσης σε μεμονωμένα σχέδια βάσει καθεστώτος, η χορηγούσα αρχή επαληθεύει και επιβεβαιώνει ότι η ενίσχυση δεν συνεπάγεται προφανείς αρνητικές επιπτώσεις, όπως δημιουργία πλεονάζουσας παραγωγικής ικανότητας σε μια αγορά που βρίσκεται σε απόλυτη παρακμή (παράγραφοι 112 έως 115 των ΚΓΠΕ), αρνητικές επιπτώσεις στη συνοχή (παράγραφοι 116 και 117 των ΚΓΠΕ) ή μετεγκατάσταση (παράγραφοι 118 και 121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E533A" w:rsidRPr="008C7F66" w14:paraId="074938BE" w14:textId="77777777" w:rsidTr="00E06E8E">
        <w:tc>
          <w:tcPr>
            <w:tcW w:w="7682" w:type="dxa"/>
            <w:shd w:val="clear" w:color="auto" w:fill="auto"/>
          </w:tcPr>
          <w:p w14:paraId="0C0A6ECC" w14:textId="77777777" w:rsidR="003E533A" w:rsidRPr="008C7F66" w:rsidRDefault="003E533A" w:rsidP="00E06E8E">
            <w:pPr>
              <w:rPr>
                <w:noProof/>
              </w:rPr>
            </w:pPr>
            <w:r w:rsidRPr="008C7F66">
              <w:rPr>
                <w:noProof/>
              </w:rPr>
              <w:t>…</w:t>
            </w:r>
          </w:p>
        </w:tc>
      </w:tr>
    </w:tbl>
    <w:p w14:paraId="1F128015" w14:textId="3361E32F" w:rsidR="003E533A" w:rsidRPr="008C7F66" w:rsidRDefault="003E533A" w:rsidP="003E533A">
      <w:pPr>
        <w:pStyle w:val="Heading1"/>
        <w:rPr>
          <w:noProof/>
        </w:rPr>
      </w:pPr>
      <w:r w:rsidRPr="008C7F66">
        <w:rPr>
          <w:noProof/>
        </w:rPr>
        <w:t>Διαφάνεια</w:t>
      </w:r>
    </w:p>
    <w:p w14:paraId="23C85BCE" w14:textId="77777777" w:rsidR="003E533A" w:rsidRPr="008C7F66" w:rsidRDefault="003E533A" w:rsidP="003E533A">
      <w:pPr>
        <w:pStyle w:val="NormalKop111"/>
        <w:numPr>
          <w:ilvl w:val="1"/>
          <w:numId w:val="22"/>
        </w:numPr>
        <w:tabs>
          <w:tab w:val="clear" w:pos="720"/>
          <w:tab w:val="clear" w:pos="1440"/>
          <w:tab w:val="clear" w:pos="1797"/>
        </w:tabs>
        <w:ind w:left="709" w:hanging="709"/>
        <w:rPr>
          <w:noProof/>
        </w:rPr>
      </w:pPr>
      <w:r w:rsidRPr="008C7F66">
        <w:rPr>
          <w:noProof/>
        </w:rPr>
        <w:t xml:space="preserve">Επιβεβαιώστε ότι το πλήρες κείμενο της απόφασης χορήγησης μεμονωμένης ενίσχυσης ή του εγκεκριμένου καθεστώτος ενισχύσεων και οι διατάξεις εφαρμογής της, ή ένας σύνδεσμος προς αυτό </w:t>
      </w:r>
      <w:r w:rsidRPr="008C7F66">
        <w:rPr>
          <w:noProof/>
          <w:color w:val="000000"/>
        </w:rPr>
        <w:t>και πληροφορίες για κάθε μεμονωμένη ενίσχυση που υπερβαίνει τα 100 000 EUR, θα δημοσιευτούν χρησιμοποιώντας τη δομή του παραρτήματος VIII</w:t>
      </w:r>
      <w:r w:rsidRPr="008C7F66">
        <w:rPr>
          <w:noProof/>
        </w:rPr>
        <w:t xml:space="preserve"> στην εφαρμογή Transparency Award Module (TAM) της Ευρωπαϊκής Επιτροπής, ή σε εμπεριστατωμένο δικτυακό τόπο για τις κρατικές </w:t>
      </w:r>
      <w:r w:rsidRPr="008C7F66">
        <w:rPr>
          <w:noProof/>
        </w:rPr>
        <w:lastRenderedPageBreak/>
        <w:t>ενισχύσεις, σε εθνικό ή περιφερειακό επίπεδο</w:t>
      </w:r>
      <w:r w:rsidRPr="008C7F66">
        <w:rPr>
          <w:rStyle w:val="FootnoteReference"/>
          <w:noProof/>
        </w:rPr>
        <w:footnoteReference w:id="26"/>
      </w:r>
      <w:r w:rsidRPr="008C7F66">
        <w:rPr>
          <w:noProof/>
        </w:rPr>
        <w:t>, εντός έξι μηνών από την ημερομηνία χορήγησης της ενίσχυσης, ή, όσον αφορά τις ενισχύσεις υπό μορφή φορολογικών πλεονεκτημάτων, εντός ενός έτους από την ημερομηνία υποβολής της φορολογικής δήλωσης.</w:t>
      </w:r>
    </w:p>
    <w:p w14:paraId="5876ADD3" w14:textId="77777777" w:rsidR="003E533A" w:rsidRPr="008C7F66" w:rsidRDefault="003E533A" w:rsidP="003E533A">
      <w:pPr>
        <w:pStyle w:val="Normal127"/>
        <w:rPr>
          <w:noProof/>
        </w:rPr>
      </w:pPr>
      <w:r w:rsidRPr="008C7F66">
        <w:rPr>
          <w:noProof/>
        </w:rPr>
        <w:tab/>
      </w:r>
      <w:sdt>
        <w:sdtPr>
          <w:rPr>
            <w:noProof/>
          </w:rPr>
          <w:id w:val="-1383553951"/>
          <w14:checkbox>
            <w14:checked w14:val="0"/>
            <w14:checkedState w14:val="2612" w14:font="MS Gothic"/>
            <w14:uncheckedState w14:val="2610" w14:font="MS Gothic"/>
          </w14:checkbox>
        </w:sdtPr>
        <w:sdtEndPr/>
        <w:sdtContent>
          <w:r w:rsidRPr="008C7F66">
            <w:rPr>
              <w:rFonts w:ascii="MS Gothic" w:eastAsia="MS Gothic" w:hAnsi="MS Gothic" w:hint="eastAsia"/>
              <w:noProof/>
            </w:rPr>
            <w:t>☐</w:t>
          </w:r>
        </w:sdtContent>
      </w:sdt>
      <w:r w:rsidRPr="008C7F66">
        <w:rPr>
          <w:noProof/>
        </w:rPr>
        <w:t xml:space="preserve"> Ναι</w:t>
      </w:r>
    </w:p>
    <w:p w14:paraId="5BF75623" w14:textId="77777777" w:rsidR="003E533A" w:rsidRPr="008C7F66" w:rsidRDefault="003E533A" w:rsidP="003E533A">
      <w:pPr>
        <w:pStyle w:val="NormalKop111"/>
        <w:numPr>
          <w:ilvl w:val="1"/>
          <w:numId w:val="22"/>
        </w:numPr>
        <w:tabs>
          <w:tab w:val="clear" w:pos="720"/>
          <w:tab w:val="clear" w:pos="1440"/>
          <w:tab w:val="clear" w:pos="1797"/>
        </w:tabs>
        <w:ind w:left="709" w:hanging="709"/>
        <w:rPr>
          <w:noProof/>
        </w:rPr>
      </w:pPr>
      <w:r w:rsidRPr="008C7F66">
        <w:rPr>
          <w:noProof/>
        </w:rPr>
        <w:t>Αναφέρετε τις σχετικές διατάξεις της νομικής βάσης, όπου προβλέπεται ότι η χορηγούσα αρχή πρέπει να δημοσιεύει στην εφαρμογή Transparency Award Module (TAM) ή σε εμπεριστατωμένο ιστότοπο για τις κρατικές ενισχύσεις, σε εθνικό ή σε περιφερειακό επίπεδο</w:t>
      </w:r>
      <w:r w:rsidRPr="008C7F66">
        <w:rPr>
          <w:rStyle w:val="FootnoteReference"/>
          <w:noProof/>
        </w:rPr>
        <w:footnoteReference w:id="27"/>
      </w:r>
      <w:r w:rsidRPr="008C7F66">
        <w:rPr>
          <w:noProof/>
        </w:rPr>
        <w:t>, τουλάχιστον τις ακόλουθες πληροφορίες σχετικά με τα κοινοποιηθέντα καθεστώτα κρατικών ενισχύσεων: το κείμενο του κοινοποιηθέντος καθεστώτος ενισχύσεων, και τις διατάξεις σχετικά με την εφαρμογή του, τη χορηγούσα αρχή, τους μεμονωμένους δικαιούχους, το ποσό της ενίσχυσης ανά δικαιούχο και την ένταση της ενίσχυσης. (παράγραφος 136 των ΚΓΠΕ)</w:t>
      </w:r>
    </w:p>
    <w:p w14:paraId="3AB0586D" w14:textId="77777777" w:rsidR="003E533A" w:rsidRPr="008C7F66" w:rsidRDefault="003E533A" w:rsidP="003E533A">
      <w:pPr>
        <w:pStyle w:val="Normal127"/>
        <w:rPr>
          <w:noProof/>
        </w:rPr>
      </w:pPr>
      <w:r w:rsidRPr="008C7F66">
        <w:rPr>
          <w:noProof/>
        </w:rPr>
        <w:t>Εάν δεν υπάρχουν ανάλογες διατάξεις, διευκρινίστε τους λόγους. Ομοίως, εάν οι διατάξεις αυτές δεν περιλαμβάνονται στη νομική βάση για το κοινοποιηθέν καθεστώς, αλλά περιέχονται σε άλλα νομοθετικά έγγραφα, παρακαλείστε να το αναφέρετε.</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3E533A" w:rsidRPr="008C7F66" w14:paraId="3901AFA2" w14:textId="77777777" w:rsidTr="00E06E8E">
        <w:tc>
          <w:tcPr>
            <w:tcW w:w="8674" w:type="dxa"/>
            <w:shd w:val="clear" w:color="auto" w:fill="auto"/>
          </w:tcPr>
          <w:p w14:paraId="1A3D3407" w14:textId="77777777" w:rsidR="003E533A" w:rsidRPr="008C7F66" w:rsidRDefault="003E533A" w:rsidP="00E06E8E">
            <w:pPr>
              <w:rPr>
                <w:noProof/>
              </w:rPr>
            </w:pPr>
            <w:r w:rsidRPr="008C7F66">
              <w:rPr>
                <w:noProof/>
              </w:rPr>
              <w:t>…</w:t>
            </w:r>
          </w:p>
        </w:tc>
      </w:tr>
    </w:tbl>
    <w:p w14:paraId="10BBB172" w14:textId="77777777" w:rsidR="003E533A" w:rsidRPr="008C7F66" w:rsidRDefault="003E533A" w:rsidP="003E533A">
      <w:pPr>
        <w:pStyle w:val="Normal127"/>
        <w:rPr>
          <w:noProof/>
        </w:rPr>
      </w:pPr>
      <w:r w:rsidRPr="008C7F66">
        <w:rPr>
          <w:noProof/>
        </w:rPr>
        <w:t>Αναφέρετε τις σχετικές διατάξεις της νομικής βάσης, όπου προβλέπεται ότι οι ως άνω πληροφορίες θα είναι διαθέσιμες για το ευρύ κοινό, χωρίς περιορισμούς, επί τουλάχιστον 10 έτη από την ημερομηνία χορήγησης της ενίσχυσης. (παράγραφος 140 των ΚΓΠΕ)</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3E533A" w:rsidRPr="008C7F66" w14:paraId="26ACE721" w14:textId="77777777" w:rsidTr="00E06E8E">
        <w:tc>
          <w:tcPr>
            <w:tcW w:w="8674" w:type="dxa"/>
            <w:shd w:val="clear" w:color="auto" w:fill="auto"/>
          </w:tcPr>
          <w:p w14:paraId="0B9322DB" w14:textId="77777777" w:rsidR="003E533A" w:rsidRPr="008C7F66" w:rsidRDefault="003E533A" w:rsidP="00E06E8E">
            <w:pPr>
              <w:rPr>
                <w:noProof/>
              </w:rPr>
            </w:pPr>
            <w:r w:rsidRPr="008C7F66">
              <w:rPr>
                <w:noProof/>
              </w:rPr>
              <w:t>…</w:t>
            </w:r>
          </w:p>
        </w:tc>
      </w:tr>
    </w:tbl>
    <w:p w14:paraId="522B9FF9" w14:textId="503F9C74" w:rsidR="003E533A" w:rsidRPr="008C7F66" w:rsidRDefault="003E533A" w:rsidP="003E533A">
      <w:pPr>
        <w:pStyle w:val="Heading1"/>
        <w:rPr>
          <w:noProof/>
        </w:rPr>
      </w:pPr>
      <w:r w:rsidRPr="008C7F66">
        <w:rPr>
          <w:noProof/>
        </w:rPr>
        <w:t xml:space="preserve">Αξιολόγηση, υποβολή εκθέσεων και παρακολούθηση </w:t>
      </w:r>
    </w:p>
    <w:p w14:paraId="6EA4FC21" w14:textId="77777777" w:rsidR="003E533A" w:rsidRPr="008C7F66" w:rsidRDefault="003E533A" w:rsidP="003E533A">
      <w:pPr>
        <w:pStyle w:val="NormalKop111"/>
        <w:numPr>
          <w:ilvl w:val="1"/>
          <w:numId w:val="22"/>
        </w:numPr>
        <w:tabs>
          <w:tab w:val="clear" w:pos="720"/>
          <w:tab w:val="clear" w:pos="1440"/>
          <w:tab w:val="clear" w:pos="1797"/>
        </w:tabs>
        <w:ind w:left="709" w:hanging="709"/>
        <w:rPr>
          <w:b/>
          <w:bCs/>
          <w:noProof/>
        </w:rPr>
      </w:pPr>
      <w:r w:rsidRPr="008C7F66">
        <w:rPr>
          <w:b/>
          <w:noProof/>
        </w:rPr>
        <w:t>Αξιολόγηση</w:t>
      </w:r>
    </w:p>
    <w:p w14:paraId="4A6974AD"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Αναφέρετε τον αριθμό SA όλων των προηγούμενων και εν εξελίξει καθεστώτων κρατικών ενισχύσεων με παρόμοιο στόχο και παρόμοια γεωγραφική περιοχή. (παράγραφος 144 των ΚΓΠΕ)</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3E533A" w:rsidRPr="008C7F66" w14:paraId="0B73463C" w14:textId="77777777" w:rsidTr="00E06E8E">
        <w:tc>
          <w:tcPr>
            <w:tcW w:w="8107" w:type="dxa"/>
            <w:tcBorders>
              <w:top w:val="dotted" w:sz="4" w:space="0" w:color="auto"/>
              <w:left w:val="dotted" w:sz="4" w:space="0" w:color="auto"/>
              <w:bottom w:val="dotted" w:sz="4" w:space="0" w:color="auto"/>
              <w:right w:val="dotted" w:sz="4" w:space="0" w:color="auto"/>
            </w:tcBorders>
            <w:hideMark/>
          </w:tcPr>
          <w:p w14:paraId="4AADDFE6" w14:textId="77777777" w:rsidR="003E533A" w:rsidRPr="008C7F66" w:rsidRDefault="003E533A" w:rsidP="00E06E8E">
            <w:pPr>
              <w:rPr>
                <w:noProof/>
              </w:rPr>
            </w:pPr>
            <w:r w:rsidRPr="008C7F66">
              <w:rPr>
                <w:noProof/>
              </w:rPr>
              <w:t>…</w:t>
            </w:r>
          </w:p>
        </w:tc>
      </w:tr>
    </w:tbl>
    <w:p w14:paraId="605A30CE" w14:textId="77777777" w:rsidR="003E533A" w:rsidRPr="008C7F66" w:rsidRDefault="003E533A" w:rsidP="003E533A">
      <w:pPr>
        <w:pStyle w:val="Normal127"/>
        <w:rPr>
          <w:noProof/>
        </w:rPr>
      </w:pPr>
      <w:r w:rsidRPr="008C7F66">
        <w:rPr>
          <w:noProof/>
        </w:rPr>
        <w:t>Έχει αξιολογηθεί εκ των υστέρων κάποιο από τα προαναφερόμενα καθεστώτα κρατικών ενισχύσεων; (παράγραφος 144 των ΚΓΠΕ)</w:t>
      </w:r>
    </w:p>
    <w:p w14:paraId="7F0F33D6" w14:textId="77777777" w:rsidR="003E533A" w:rsidRPr="008C7F66" w:rsidRDefault="00453FF5" w:rsidP="003E533A">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Ναι</w:t>
      </w:r>
    </w:p>
    <w:p w14:paraId="05449341" w14:textId="77777777" w:rsidR="003E533A" w:rsidRPr="008C7F66" w:rsidRDefault="00453FF5" w:rsidP="003E533A">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Όχι</w:t>
      </w:r>
    </w:p>
    <w:p w14:paraId="32D1D77E" w14:textId="77777777" w:rsidR="003E533A" w:rsidRPr="008C7F66" w:rsidRDefault="003E533A" w:rsidP="003E533A">
      <w:pPr>
        <w:pStyle w:val="Normal127"/>
        <w:rPr>
          <w:noProof/>
        </w:rPr>
      </w:pPr>
      <w:r w:rsidRPr="008C7F66">
        <w:rPr>
          <w:noProof/>
        </w:rPr>
        <w:t>Εάν ναι, παραθέστε σύντομη περίληψη των κύριων αποτελεσμάτων της εκ των υστέρων αξιολόγησης (κατά περίπτωση, με παραπομπή και σύνδεσμο).</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3E533A" w:rsidRPr="008C7F66" w14:paraId="6315E2CE" w14:textId="77777777" w:rsidTr="00E06E8E">
        <w:tc>
          <w:tcPr>
            <w:tcW w:w="8107" w:type="dxa"/>
            <w:tcBorders>
              <w:top w:val="dotted" w:sz="4" w:space="0" w:color="auto"/>
              <w:left w:val="dotted" w:sz="4" w:space="0" w:color="auto"/>
              <w:bottom w:val="dotted" w:sz="4" w:space="0" w:color="auto"/>
              <w:right w:val="dotted" w:sz="4" w:space="0" w:color="auto"/>
            </w:tcBorders>
            <w:hideMark/>
          </w:tcPr>
          <w:p w14:paraId="3744BD10" w14:textId="77777777" w:rsidR="003E533A" w:rsidRPr="008C7F66" w:rsidRDefault="003E533A" w:rsidP="00E06E8E">
            <w:pPr>
              <w:ind w:left="709"/>
              <w:rPr>
                <w:noProof/>
              </w:rPr>
            </w:pPr>
            <w:r w:rsidRPr="008C7F66">
              <w:rPr>
                <w:noProof/>
              </w:rPr>
              <w:t>…</w:t>
            </w:r>
          </w:p>
        </w:tc>
      </w:tr>
    </w:tbl>
    <w:p w14:paraId="59AAEA6D" w14:textId="77777777" w:rsidR="003E533A" w:rsidRPr="008C7F66" w:rsidRDefault="003E533A" w:rsidP="003E533A">
      <w:pPr>
        <w:pStyle w:val="Normal127"/>
        <w:rPr>
          <w:noProof/>
        </w:rPr>
      </w:pPr>
      <w:r w:rsidRPr="008C7F66">
        <w:rPr>
          <w:noProof/>
        </w:rPr>
        <w:t>Περιγράψτε τον τρόπο με τον οποίο ελήφθησαν υπόψη τα αποτελέσματα αυτών των αξιολογήσεων κατά τον σχεδιασμό του νέου καθεστώτος.</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3E533A" w:rsidRPr="008C7F66" w14:paraId="77C1CF0B" w14:textId="77777777" w:rsidTr="00E06E8E">
        <w:tc>
          <w:tcPr>
            <w:tcW w:w="8107" w:type="dxa"/>
            <w:tcBorders>
              <w:top w:val="dotted" w:sz="4" w:space="0" w:color="auto"/>
              <w:left w:val="dotted" w:sz="4" w:space="0" w:color="auto"/>
              <w:bottom w:val="dotted" w:sz="4" w:space="0" w:color="auto"/>
              <w:right w:val="dotted" w:sz="4" w:space="0" w:color="auto"/>
            </w:tcBorders>
            <w:hideMark/>
          </w:tcPr>
          <w:p w14:paraId="0CF03F87" w14:textId="77777777" w:rsidR="003E533A" w:rsidRPr="008C7F66" w:rsidRDefault="003E533A" w:rsidP="00E06E8E">
            <w:pPr>
              <w:ind w:left="709"/>
              <w:rPr>
                <w:noProof/>
              </w:rPr>
            </w:pPr>
            <w:r w:rsidRPr="008C7F66">
              <w:rPr>
                <w:noProof/>
              </w:rPr>
              <w:t>…</w:t>
            </w:r>
          </w:p>
        </w:tc>
      </w:tr>
    </w:tbl>
    <w:p w14:paraId="6130D141"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Αναφέρετε αν ο προϋπολογισμός κρατικών ενισχύσεων του καθεστώτος υπερβαίνει τα 150 εκατ. EUR σε ένα δεδομένο έτος (παράγραφος 143 των ΚΓΠΕ):</w:t>
      </w:r>
    </w:p>
    <w:p w14:paraId="28D898FC" w14:textId="77777777" w:rsidR="003E533A" w:rsidRPr="008C7F66" w:rsidRDefault="00453FF5" w:rsidP="003E533A">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Ναι</w:t>
      </w:r>
    </w:p>
    <w:p w14:paraId="1871C461" w14:textId="77777777" w:rsidR="003E533A" w:rsidRPr="008C7F66" w:rsidRDefault="00453FF5" w:rsidP="003E533A">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Όχι</w:t>
      </w:r>
    </w:p>
    <w:p w14:paraId="5F8785FE" w14:textId="77777777" w:rsidR="003E533A" w:rsidRPr="008C7F66" w:rsidRDefault="003E533A" w:rsidP="003E533A">
      <w:pPr>
        <w:pStyle w:val="Text2"/>
        <w:rPr>
          <w:noProof/>
        </w:rPr>
      </w:pPr>
      <w:r w:rsidRPr="008C7F66">
        <w:rPr>
          <w:noProof/>
        </w:rPr>
        <w:t>Αναφέρετε αν ο προϋπολογισμός κρατικών ενισχύσεων του καθεστώτος υπερβαίνει τα 750 εκατ. EUR κατά τη συνολική διάρκεια του καθεστώτος (δηλαδή τη συνδυασμένη διάρκεια του καθεστώτος και κάθε προγενέστερου καθεστώτος που κάλυπτε παρόμοιο στόχο και γεωγραφική περιοχή, αρχής γενομένης από την 1η Ιανουαρίου 2022):</w:t>
      </w:r>
    </w:p>
    <w:p w14:paraId="6D2C496C" w14:textId="77777777" w:rsidR="003E533A" w:rsidRPr="008C7F66" w:rsidRDefault="00453FF5" w:rsidP="003E533A">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Ναι</w:t>
      </w:r>
    </w:p>
    <w:p w14:paraId="5709A081" w14:textId="77777777" w:rsidR="003E533A" w:rsidRPr="008C7F66" w:rsidRDefault="00453FF5" w:rsidP="003E533A">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Όχι</w:t>
      </w:r>
    </w:p>
    <w:p w14:paraId="275F60D6"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Αναφέρετε αν το καθεστώς είναι (παράγραφος 143 των ΚΓΠΕ):</w:t>
      </w:r>
    </w:p>
    <w:p w14:paraId="1112C1C5" w14:textId="77777777" w:rsidR="003E533A" w:rsidRPr="008C7F66" w:rsidRDefault="003E533A" w:rsidP="003E533A">
      <w:pPr>
        <w:ind w:left="1701" w:hanging="283"/>
        <w:rPr>
          <w:noProof/>
          <w:szCs w:val="24"/>
        </w:rPr>
      </w:pPr>
      <w:r w:rsidRPr="008C7F66">
        <w:rPr>
          <w:noProof/>
        </w:rPr>
        <w:t>Καθεστώς που περιλαμβάνει καινοτόμα χαρακτηριστικά·</w:t>
      </w:r>
    </w:p>
    <w:p w14:paraId="17A055BF" w14:textId="77777777" w:rsidR="003E533A" w:rsidRPr="008C7F66" w:rsidRDefault="00453FF5" w:rsidP="003E533A">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Ναι</w:t>
      </w:r>
    </w:p>
    <w:p w14:paraId="7D06362F" w14:textId="77777777" w:rsidR="003E533A" w:rsidRPr="008C7F66" w:rsidRDefault="00453FF5" w:rsidP="003E533A">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Όχι</w:t>
      </w:r>
    </w:p>
    <w:p w14:paraId="725992F2" w14:textId="77777777" w:rsidR="003E533A" w:rsidRPr="008C7F66" w:rsidRDefault="003E533A" w:rsidP="003E533A">
      <w:pPr>
        <w:ind w:left="1418"/>
        <w:rPr>
          <w:noProof/>
          <w:szCs w:val="24"/>
        </w:rPr>
      </w:pPr>
      <w:r w:rsidRPr="008C7F66">
        <w:rPr>
          <w:noProof/>
        </w:rPr>
        <w:t>Καθεστώς όπου προβλέπονται σημαντικές αλλαγές όσον αφορά την αγορά, την τεχνολογία ή τις κανονιστικές ρυθμίσεις·</w:t>
      </w:r>
    </w:p>
    <w:p w14:paraId="71674113" w14:textId="77777777" w:rsidR="003E533A" w:rsidRPr="008C7F66" w:rsidRDefault="00453FF5" w:rsidP="003E533A">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Ναι</w:t>
      </w:r>
    </w:p>
    <w:p w14:paraId="21387D26" w14:textId="77777777" w:rsidR="003E533A" w:rsidRPr="008C7F66" w:rsidRDefault="00453FF5" w:rsidP="003E533A">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Όχι</w:t>
      </w:r>
    </w:p>
    <w:p w14:paraId="0F25EF67" w14:textId="77777777" w:rsidR="003E533A" w:rsidRPr="008C7F66" w:rsidRDefault="003E533A" w:rsidP="003E533A">
      <w:pPr>
        <w:ind w:left="1843" w:hanging="425"/>
        <w:rPr>
          <w:noProof/>
          <w:szCs w:val="24"/>
        </w:rPr>
      </w:pPr>
      <w:r w:rsidRPr="008C7F66">
        <w:rPr>
          <w:noProof/>
        </w:rPr>
        <w:t>Καθεστώς που έχετε προγραμματίσει να αξιολογηθεί, ακόμη και αν δεν ισχύουν τα ως άνω κριτήρια που αναφέρονται στα σημεία 5.1.2. και 5.1.3.</w:t>
      </w:r>
    </w:p>
    <w:p w14:paraId="3D5DF8AB" w14:textId="77777777" w:rsidR="003E533A" w:rsidRPr="008C7F66" w:rsidRDefault="00453FF5" w:rsidP="003E533A">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Ναι</w:t>
      </w:r>
    </w:p>
    <w:p w14:paraId="59197F14" w14:textId="77777777" w:rsidR="003E533A" w:rsidRPr="008C7F66" w:rsidRDefault="00453FF5" w:rsidP="003E533A">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3E533A" w:rsidRPr="008C7F66">
            <w:rPr>
              <w:rFonts w:ascii="MS Gothic" w:eastAsia="MS Gothic" w:hAnsi="MS Gothic" w:hint="eastAsia"/>
              <w:noProof/>
            </w:rPr>
            <w:t>☐</w:t>
          </w:r>
        </w:sdtContent>
      </w:sdt>
      <w:r w:rsidR="003E533A" w:rsidRPr="008C7F66">
        <w:rPr>
          <w:noProof/>
        </w:rPr>
        <w:t xml:space="preserve"> Όχι</w:t>
      </w:r>
    </w:p>
    <w:p w14:paraId="422CFCA1" w14:textId="77777777" w:rsidR="003E533A" w:rsidRPr="008C7F66" w:rsidRDefault="003E533A" w:rsidP="003E533A">
      <w:pPr>
        <w:ind w:left="1418"/>
        <w:rPr>
          <w:b/>
          <w:noProof/>
        </w:rPr>
      </w:pPr>
      <w:r w:rsidRPr="008C7F66">
        <w:rPr>
          <w:noProof/>
          <w:color w:val="000000"/>
        </w:rPr>
        <w:t>Εάν η απάντηση είναι «όχι» στο ερώτημα του σημείου 5.1.1. και «ναι» σε οποιοδήποτε από τα ερωτήματα των σημείων 5.1.2 ή 5.1.3, θα εξεταστεί η εκ των υστέρων αξιολόγηση του καθεστώτος</w:t>
      </w:r>
      <w:r w:rsidRPr="008C7F66">
        <w:rPr>
          <w:noProof/>
        </w:rPr>
        <w:t xml:space="preserve"> (παράγραφος 143 των ΚΓΠΕ). Σε αυτή την περίπτωση, </w:t>
      </w:r>
      <w:r w:rsidRPr="008C7F66">
        <w:rPr>
          <w:noProof/>
          <w:color w:val="000000"/>
        </w:rPr>
        <w:t xml:space="preserve">απαντήστε «ναι» στο σχετικό ερώτημα στο έντυπο </w:t>
      </w:r>
      <w:r w:rsidRPr="008C7F66">
        <w:rPr>
          <w:noProof/>
          <w:color w:val="000000"/>
        </w:rPr>
        <w:lastRenderedPageBreak/>
        <w:t>«Γενικές πληροφορίες», αναφέρετε την περίοδο της αξιολόγησης, και κοινοποιήστε το προσχέδιο αξιολόγησης στο παράρτημα Ι - μέρος III.8</w:t>
      </w:r>
      <w:r w:rsidRPr="008C7F66">
        <w:rPr>
          <w:rStyle w:val="FootnoteReference"/>
          <w:noProof/>
        </w:rPr>
        <w:footnoteReference w:id="28"/>
      </w:r>
      <w:r w:rsidRPr="008C7F66">
        <w:rPr>
          <w:noProof/>
          <w:color w:val="000000"/>
        </w:rPr>
        <w:t xml:space="preserve">. </w:t>
      </w:r>
    </w:p>
    <w:p w14:paraId="52E48893" w14:textId="77777777" w:rsidR="003E533A" w:rsidRPr="008C7F66" w:rsidRDefault="003E533A" w:rsidP="003E533A">
      <w:pPr>
        <w:pStyle w:val="NormalKop111"/>
        <w:numPr>
          <w:ilvl w:val="1"/>
          <w:numId w:val="22"/>
        </w:numPr>
        <w:tabs>
          <w:tab w:val="clear" w:pos="720"/>
          <w:tab w:val="clear" w:pos="1440"/>
          <w:tab w:val="clear" w:pos="1797"/>
        </w:tabs>
        <w:ind w:left="709" w:hanging="709"/>
        <w:rPr>
          <w:b/>
          <w:noProof/>
        </w:rPr>
      </w:pPr>
      <w:r w:rsidRPr="008C7F66">
        <w:rPr>
          <w:b/>
          <w:noProof/>
        </w:rPr>
        <w:t>Υποβολή εκθέσεων και παρακολούθηση</w:t>
      </w:r>
    </w:p>
    <w:p w14:paraId="2458524F" w14:textId="77777777" w:rsidR="003E533A" w:rsidRPr="008C7F66" w:rsidRDefault="003E533A" w:rsidP="003E533A">
      <w:pPr>
        <w:pStyle w:val="NormalKop111"/>
        <w:numPr>
          <w:ilvl w:val="2"/>
          <w:numId w:val="22"/>
        </w:numPr>
        <w:tabs>
          <w:tab w:val="clear" w:pos="720"/>
          <w:tab w:val="clear" w:pos="1440"/>
          <w:tab w:val="clear" w:pos="1797"/>
        </w:tabs>
        <w:ind w:left="1418" w:hanging="698"/>
        <w:rPr>
          <w:noProof/>
        </w:rPr>
      </w:pPr>
      <w:r w:rsidRPr="008C7F66">
        <w:rPr>
          <w:noProof/>
        </w:rPr>
        <w:t>Επιβεβαιώστε ότι:</w:t>
      </w:r>
    </w:p>
    <w:p w14:paraId="6B5A718B" w14:textId="77777777" w:rsidR="003E533A" w:rsidRPr="008C7F66" w:rsidRDefault="003E533A" w:rsidP="003E533A">
      <w:pPr>
        <w:pStyle w:val="Tiret0"/>
        <w:rPr>
          <w:noProof/>
        </w:rPr>
      </w:pPr>
      <w:r w:rsidRPr="008C7F66">
        <w:rPr>
          <w:noProof/>
        </w:rPr>
        <w:t>θα υποβάλλετε ετήσιες εκθέσεις στην Επιτροπή σύμφωνα με τον κανονισμό (ΕΕ) 2015/1589 και τον κανονισμό (ΕΚ) αριθ. 794/2004· και</w:t>
      </w:r>
    </w:p>
    <w:p w14:paraId="07C2E154" w14:textId="77777777" w:rsidR="003E533A" w:rsidRPr="008C7F66" w:rsidRDefault="003E533A" w:rsidP="003E533A">
      <w:pPr>
        <w:pStyle w:val="Normal127"/>
        <w:ind w:left="1778"/>
        <w:rPr>
          <w:noProof/>
        </w:rPr>
      </w:pPr>
      <w:r w:rsidRPr="008C7F66">
        <w:rPr>
          <w:noProof/>
        </w:rPr>
        <w:tab/>
      </w:r>
      <w:sdt>
        <w:sdtPr>
          <w:rPr>
            <w:noProof/>
          </w:rPr>
          <w:id w:val="-1014452315"/>
          <w14:checkbox>
            <w14:checked w14:val="0"/>
            <w14:checkedState w14:val="2612" w14:font="MS Gothic"/>
            <w14:uncheckedState w14:val="2610" w14:font="MS Gothic"/>
          </w14:checkbox>
        </w:sdtPr>
        <w:sdtEndPr/>
        <w:sdtContent>
          <w:r w:rsidRPr="008C7F66">
            <w:rPr>
              <w:rFonts w:ascii="MS Gothic" w:eastAsia="MS Gothic" w:hAnsi="MS Gothic" w:hint="eastAsia"/>
              <w:noProof/>
            </w:rPr>
            <w:t>☐</w:t>
          </w:r>
        </w:sdtContent>
      </w:sdt>
      <w:r w:rsidRPr="008C7F66">
        <w:rPr>
          <w:noProof/>
        </w:rPr>
        <w:t xml:space="preserve"> Ναι</w:t>
      </w:r>
    </w:p>
    <w:p w14:paraId="5A4B027F" w14:textId="77777777" w:rsidR="003E533A" w:rsidRPr="008C7F66" w:rsidRDefault="003E533A" w:rsidP="003E533A">
      <w:pPr>
        <w:pStyle w:val="Tiret0"/>
        <w:numPr>
          <w:ilvl w:val="0"/>
          <w:numId w:val="29"/>
        </w:numPr>
        <w:rPr>
          <w:noProof/>
        </w:rPr>
      </w:pPr>
      <w:r w:rsidRPr="008C7F66">
        <w:rPr>
          <w:noProof/>
        </w:rPr>
        <w:t>θα τηρήσετε επί τουλάχιστον 10 έτη, από την ημερομηνία χορήγησης της ενίσχυσης, λεπτομερή αρχεία με τις πληροφορίες και τα δικαιολογητικά που απαιτούνται για να διαπιστωθεί ότι πληρούνται όλες οι προϋποθέσεις συμβατότητας, και ότι τα αρχεία αυτά θα υποβληθούν στην Επιτροπή εάν το ζητήσει.</w:t>
      </w:r>
    </w:p>
    <w:p w14:paraId="0AAB97B5" w14:textId="77777777" w:rsidR="003E533A" w:rsidRPr="008C7F66" w:rsidRDefault="003E533A" w:rsidP="003E533A">
      <w:pPr>
        <w:pStyle w:val="Normal127"/>
        <w:ind w:left="1778"/>
        <w:rPr>
          <w:noProof/>
        </w:rPr>
      </w:pPr>
      <w:r w:rsidRPr="008C7F66">
        <w:rPr>
          <w:noProof/>
        </w:rPr>
        <w:tab/>
      </w:r>
      <w:sdt>
        <w:sdtPr>
          <w:rPr>
            <w:noProof/>
          </w:rPr>
          <w:id w:val="479968380"/>
          <w14:checkbox>
            <w14:checked w14:val="0"/>
            <w14:checkedState w14:val="2612" w14:font="MS Gothic"/>
            <w14:uncheckedState w14:val="2610" w14:font="MS Gothic"/>
          </w14:checkbox>
        </w:sdtPr>
        <w:sdtEndPr/>
        <w:sdtContent>
          <w:r w:rsidRPr="008C7F66">
            <w:rPr>
              <w:rFonts w:ascii="MS Gothic" w:eastAsia="MS Gothic" w:hAnsi="MS Gothic" w:hint="eastAsia"/>
              <w:noProof/>
            </w:rPr>
            <w:t>☐</w:t>
          </w:r>
        </w:sdtContent>
      </w:sdt>
      <w:r w:rsidRPr="008C7F66">
        <w:rPr>
          <w:noProof/>
        </w:rPr>
        <w:t xml:space="preserve"> Ναι</w:t>
      </w:r>
    </w:p>
    <w:p w14:paraId="0AFF148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235E0" w14:textId="77777777" w:rsidR="003E533A" w:rsidRDefault="003E533A" w:rsidP="003E533A">
      <w:pPr>
        <w:spacing w:before="0" w:after="0"/>
      </w:pPr>
      <w:r>
        <w:separator/>
      </w:r>
    </w:p>
  </w:endnote>
  <w:endnote w:type="continuationSeparator" w:id="0">
    <w:p w14:paraId="53640CA3" w14:textId="77777777" w:rsidR="003E533A" w:rsidRDefault="003E533A" w:rsidP="003E533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48D3" w14:textId="77777777" w:rsidR="003E533A" w:rsidRDefault="003E5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E2AC8" w14:textId="0342F886" w:rsidR="003E533A" w:rsidRDefault="003E533A" w:rsidP="003E533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6B880" w14:textId="77777777" w:rsidR="003E533A" w:rsidRDefault="003E5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9BFCB" w14:textId="77777777" w:rsidR="003E533A" w:rsidRDefault="003E533A" w:rsidP="003E533A">
      <w:pPr>
        <w:spacing w:before="0" w:after="0"/>
      </w:pPr>
      <w:r>
        <w:separator/>
      </w:r>
    </w:p>
  </w:footnote>
  <w:footnote w:type="continuationSeparator" w:id="0">
    <w:p w14:paraId="6F14CF89" w14:textId="77777777" w:rsidR="003E533A" w:rsidRDefault="003E533A" w:rsidP="003E533A">
      <w:pPr>
        <w:spacing w:before="0" w:after="0"/>
      </w:pPr>
      <w:r>
        <w:continuationSeparator/>
      </w:r>
    </w:p>
  </w:footnote>
  <w:footnote w:id="1">
    <w:p w14:paraId="73E7BEDC" w14:textId="77777777" w:rsidR="003E533A" w:rsidRPr="00AF634A" w:rsidRDefault="003E533A" w:rsidP="003E533A">
      <w:pPr>
        <w:pStyle w:val="FootnoteText"/>
        <w:tabs>
          <w:tab w:val="left" w:pos="284"/>
        </w:tabs>
        <w:spacing w:after="120"/>
        <w:ind w:left="284" w:hanging="284"/>
      </w:pPr>
      <w:r>
        <w:rPr>
          <w:rStyle w:val="FootnoteReference"/>
        </w:rPr>
        <w:footnoteRef/>
      </w:r>
      <w:r>
        <w:tab/>
        <w:t>Κατευθυντήριες γραμμές για τις κρατικές ενισχύσεις περιφερειακού χαρακτήρα (ΕΕ C </w:t>
      </w:r>
      <w:r>
        <w:rPr>
          <w:rStyle w:val="Emphasis"/>
        </w:rPr>
        <w:t>153 της 29.4.2021, σ. 1)</w:t>
      </w:r>
      <w:r>
        <w:rPr>
          <w:i/>
        </w:rPr>
        <w:t>.</w:t>
      </w:r>
    </w:p>
  </w:footnote>
  <w:footnote w:id="2">
    <w:p w14:paraId="1C920266" w14:textId="77777777" w:rsidR="003E533A" w:rsidRPr="00DB5B5A" w:rsidRDefault="003E533A" w:rsidP="003E533A">
      <w:pPr>
        <w:pStyle w:val="FootnoteText"/>
        <w:tabs>
          <w:tab w:val="left" w:pos="284"/>
        </w:tabs>
        <w:spacing w:after="120"/>
        <w:ind w:left="284" w:hanging="284"/>
      </w:pPr>
      <w:r>
        <w:rPr>
          <w:rStyle w:val="FootnoteReference"/>
        </w:rPr>
        <w:footnoteRef/>
      </w:r>
      <w:r>
        <w:tab/>
        <w:t>Κανονισμός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w:t>
      </w:r>
      <w:r>
        <w:rPr>
          <w:rStyle w:val="Emphasis"/>
        </w:rPr>
        <w:t xml:space="preserve">ΕΕ L 187 της 26.6.2014, σ. 1, </w:t>
      </w:r>
      <w:r>
        <w:t>ELI: </w:t>
      </w:r>
      <w:hyperlink r:id="rId1" w:tooltip="Παρέχει πρόσβαση στο έγγραφο μέσω του URI του ELI." w:history="1">
        <w:r>
          <w:rPr>
            <w:rStyle w:val="Hyperlink"/>
          </w:rPr>
          <w:t>http://data.europa.eu/eli/reg/2014/651/oj</w:t>
        </w:r>
      </w:hyperlink>
      <w:r>
        <w:rPr>
          <w:i/>
        </w:rPr>
        <w:t>)</w:t>
      </w:r>
      <w:r>
        <w:t>.</w:t>
      </w:r>
    </w:p>
  </w:footnote>
  <w:footnote w:id="3">
    <w:p w14:paraId="2872BBED" w14:textId="77777777" w:rsidR="003E533A" w:rsidRPr="00E4500B" w:rsidRDefault="003E533A" w:rsidP="003E533A">
      <w:pPr>
        <w:pStyle w:val="FootnoteText"/>
        <w:tabs>
          <w:tab w:val="left" w:pos="284"/>
        </w:tabs>
        <w:spacing w:after="120"/>
        <w:ind w:left="284" w:hanging="284"/>
      </w:pPr>
      <w:r>
        <w:rPr>
          <w:rStyle w:val="FootnoteReference"/>
        </w:rPr>
        <w:footnoteRef/>
      </w:r>
      <w:r>
        <w:tab/>
        <w:t>Κανονισμός (ΕΕ) 2023/2831 της Επιτροπής, της 13ης Δεκεμβρίου 2023, σχετικά με την εφαρμογή των άρθρων 107 και 108 της Συνθήκης για τη λειτουργία της Ευρωπαϊκής Ένωσης στις ενισχύσεις ήσσονος σημασίας (ΕΕ L, 2023/2831, 15.12.2023, ELI: </w:t>
      </w:r>
      <w:hyperlink r:id="rId2" w:tgtFrame="_blank" w:tooltip="Παρέχει πρόσβαση στο έγγραφο μέσω του URI του ELI." w:history="1">
        <w:r>
          <w:rPr>
            <w:rStyle w:val="Hyperlink"/>
          </w:rPr>
          <w:t>http://data.europa.eu/eli/reg/2023/2831/oj</w:t>
        </w:r>
      </w:hyperlink>
      <w:r>
        <w:t xml:space="preserve">). </w:t>
      </w:r>
    </w:p>
  </w:footnote>
  <w:footnote w:id="4">
    <w:p w14:paraId="54A047C4" w14:textId="77777777" w:rsidR="003E533A" w:rsidRPr="00EF64F0" w:rsidRDefault="003E533A" w:rsidP="003E533A">
      <w:pPr>
        <w:pStyle w:val="FootnoteText"/>
        <w:tabs>
          <w:tab w:val="left" w:pos="284"/>
        </w:tabs>
        <w:spacing w:after="120"/>
        <w:ind w:left="284" w:hanging="284"/>
        <w:rPr>
          <w:color w:val="000000"/>
        </w:rPr>
      </w:pPr>
      <w:r>
        <w:rPr>
          <w:rStyle w:val="FootnoteReference"/>
        </w:rPr>
        <w:footnoteRef/>
      </w:r>
      <w:r>
        <w:tab/>
      </w:r>
      <w:r>
        <w:rPr>
          <w:color w:val="000000"/>
        </w:rPr>
        <w:t>Όπως ορίζεται στις κατευθυντήριες γραμμές σχετικά με τις κρατικές ενισχύσεις για τη διάσωση και αναδιάρθρωση μη χρηματοπιστωτικών προβληματικών επιχειρήσεων (ΕΕ C 249 της 31.7.2014, σ. 1).</w:t>
      </w:r>
    </w:p>
  </w:footnote>
  <w:footnote w:id="5">
    <w:p w14:paraId="23EE0DC9" w14:textId="77777777" w:rsidR="003E533A" w:rsidRPr="00EF64F0" w:rsidRDefault="003E533A" w:rsidP="003E533A">
      <w:pPr>
        <w:pStyle w:val="FootnoteText"/>
        <w:tabs>
          <w:tab w:val="left" w:pos="284"/>
        </w:tabs>
        <w:spacing w:after="120"/>
        <w:ind w:left="284" w:hanging="284"/>
        <w:rPr>
          <w:color w:val="000000"/>
        </w:rPr>
      </w:pPr>
      <w:r>
        <w:rPr>
          <w:rStyle w:val="FootnoteReference"/>
        </w:rPr>
        <w:footnoteRef/>
      </w:r>
      <w:r>
        <w:tab/>
      </w:r>
      <w:r>
        <w:rPr>
          <w:color w:val="000000"/>
        </w:rPr>
        <w:t>Όπως ορίζεται στο παράρτημα VI των ΚΓΠΕ.</w:t>
      </w:r>
    </w:p>
  </w:footnote>
  <w:footnote w:id="6">
    <w:p w14:paraId="7E939ADA" w14:textId="77777777" w:rsidR="003E533A" w:rsidRPr="00DB5B5A" w:rsidRDefault="003E533A" w:rsidP="003E533A">
      <w:pPr>
        <w:pStyle w:val="FootnoteText"/>
        <w:tabs>
          <w:tab w:val="left" w:pos="284"/>
        </w:tabs>
        <w:spacing w:after="120"/>
        <w:ind w:left="284" w:hanging="284"/>
      </w:pPr>
      <w:r>
        <w:rPr>
          <w:rStyle w:val="FootnoteReference"/>
        </w:rPr>
        <w:footnoteRef/>
      </w:r>
      <w:r>
        <w:tab/>
        <w:t>«Λιγνίτης»: χαμηλής ποιότητας «Γ» ή ορθο-λιγνίτης και χαμηλής ποιότητας «B» ή μετα-λιγνίτης, όπως ορίζονται από το διεθνές σύστημα κωδικοποίησης ανθράκων της Οικονομικής Επιτροπής των Ηνωμένων Εθνών για την Ευρώπη.</w:t>
      </w:r>
    </w:p>
  </w:footnote>
  <w:footnote w:id="7">
    <w:p w14:paraId="7FA89E4B" w14:textId="77777777" w:rsidR="003E533A" w:rsidRPr="00DB5B5A" w:rsidRDefault="003E533A" w:rsidP="003E533A">
      <w:pPr>
        <w:pStyle w:val="FootnoteText"/>
        <w:tabs>
          <w:tab w:val="left" w:pos="284"/>
        </w:tabs>
        <w:spacing w:after="120"/>
        <w:ind w:left="284" w:hanging="284"/>
      </w:pPr>
      <w:r>
        <w:rPr>
          <w:rStyle w:val="FootnoteReference"/>
        </w:rPr>
        <w:footnoteRef/>
      </w:r>
      <w:r>
        <w:tab/>
        <w:t>«Λιθάνθρακας» ή «άνθρακας»: ο άνθρακας υψηλής, μέσης και χαμηλής ποιότητας της κατηγορίας «Α» και «Β», όπως ορίζεται από το διεθνές σύστημα κωδικοποίησης ανθράκων της Οικονομικής Επιτροπής των Ηνωμένων Εθνών για την Ευρώπη και όπως διευκρινίζεται στην απόφαση του Συμβουλίου, της 10ης Δεκεμβρίου 2010, σχετικά με τις κρατικές ενισχύσεις που διευκολύνουν την παύση λειτουργίας μη ανταγωνιστικών ανθρακωρυχείων (ΕΕ L 336 της 21.12.2010, σ. 24).</w:t>
      </w:r>
    </w:p>
  </w:footnote>
  <w:footnote w:id="8">
    <w:p w14:paraId="02CDA241" w14:textId="77777777" w:rsidR="003E533A" w:rsidRPr="00DB5B5A" w:rsidRDefault="003E533A" w:rsidP="003E533A">
      <w:pPr>
        <w:pStyle w:val="FootnoteText"/>
        <w:tabs>
          <w:tab w:val="left" w:pos="284"/>
        </w:tabs>
        <w:spacing w:after="120"/>
        <w:ind w:left="284" w:hanging="284"/>
      </w:pPr>
      <w:r>
        <w:rPr>
          <w:rStyle w:val="FootnoteReference"/>
        </w:rPr>
        <w:footnoteRef/>
      </w:r>
      <w:r>
        <w:tab/>
        <w:t>Όπως καλύπτονται από τον κανονισμό (ΕΕ) αριθ. 1379/2013 του Ευρωπαϊκού Κοινοβουλίου και του Συμβουλίου, της 11ης Δεκεμβρίου 2013, για την κοινή οργάνωση των αγορών των προϊόντων αλιείας και υδατοκαλλιέργειας, την τροποποίηση των κανονισμών του Συμβουλίου (ΕΚ) αριθ. 1184/2006 και (ΕΚ) αριθ. 1224/2009 και την κατάργηση του κανονισμού (ΕΚ) αριθ. 104/2000 του Συμβουλίου (ΕΕ L 354 της 28.12.2013, σ. 1).</w:t>
      </w:r>
    </w:p>
  </w:footnote>
  <w:footnote w:id="9">
    <w:p w14:paraId="25D64698" w14:textId="77777777" w:rsidR="003E533A" w:rsidRPr="00DB5B5A" w:rsidRDefault="003E533A" w:rsidP="003E533A">
      <w:pPr>
        <w:pStyle w:val="FootnoteText"/>
        <w:tabs>
          <w:tab w:val="left" w:pos="284"/>
        </w:tabs>
        <w:spacing w:after="120"/>
        <w:ind w:left="284" w:hanging="284"/>
      </w:pPr>
      <w:r>
        <w:rPr>
          <w:rStyle w:val="FootnoteReference"/>
        </w:rPr>
        <w:footnoteRef/>
      </w:r>
      <w:r>
        <w:tab/>
        <w:t>Οι κρατικές ενισχύσεις για την πρωτογενή παραγωγή, τη μεταποίηση και την εμπορία γεωργικών προϊόντων με αποτέλεσμα τα γεωργικά προϊόντα που παρατίθενται στο παράρτημα I της Συνθήκης και τη δασοκομία υπόκεινται στους κανόνες που καθορίζονται στις κατευθυντήριες γραμμές για τις κρατικές ενισχύσεις στον τομέα της γεωργίας (ΕΕ C 204 της 1.7.2014, σ. 1).</w:t>
      </w:r>
    </w:p>
  </w:footnote>
  <w:footnote w:id="10">
    <w:p w14:paraId="285F0ACA" w14:textId="77777777" w:rsidR="003E533A" w:rsidRPr="005C73FC" w:rsidRDefault="003E533A" w:rsidP="003E533A">
      <w:pPr>
        <w:pStyle w:val="FootnoteText"/>
        <w:tabs>
          <w:tab w:val="left" w:pos="284"/>
        </w:tabs>
        <w:spacing w:after="120"/>
        <w:ind w:left="284" w:hanging="284"/>
      </w:pPr>
      <w:r>
        <w:rPr>
          <w:rStyle w:val="FootnoteReference"/>
        </w:rPr>
        <w:footnoteRef/>
      </w:r>
      <w:r>
        <w:tab/>
        <w:t>Οι ΚΓΠΕ εφαρμόζονται σε καθεστώτα ενισχύσεων για την υποστήριξη δραστηριοτήτων οι οποίες δεν εμπίπτουν στο πεδίο εφαρμογής του άρθρου 42 της Συνθήκης και οι οποίες συγχρηματοδοτούνται από το Ευρωπαϊκό Γεωργικό Ταμείο Αγροτικής Ανάπτυξης (ΕΓΤΑΑ) ή χορηγούνται ως πρόσθετη εθνική χρηματοδότηση για συγχρηματοδοτούμενα μέτρα αυτού του είδους, εκτός εάν προβλέπεται διαφορετικά από τομεακούς κανόνες.</w:t>
      </w:r>
    </w:p>
  </w:footnote>
  <w:footnote w:id="11">
    <w:p w14:paraId="612DC27E" w14:textId="77777777" w:rsidR="003E533A" w:rsidRPr="003F69C7" w:rsidRDefault="003E533A" w:rsidP="003E533A">
      <w:pPr>
        <w:pStyle w:val="FootnoteText"/>
        <w:tabs>
          <w:tab w:val="left" w:pos="284"/>
        </w:tabs>
        <w:spacing w:after="120"/>
        <w:ind w:left="284" w:hanging="284"/>
      </w:pPr>
      <w:r>
        <w:rPr>
          <w:rStyle w:val="FootnoteReference"/>
        </w:rPr>
        <w:footnoteRef/>
      </w:r>
      <w:r>
        <w:tab/>
        <w:t>Ως μεταφορές νοούνται οι εναέριες, θαλάσσιες, οδικές και σιδηροδρομικές μεταφορές επιβατών, καθώς και οι υπηρεσίες εσωτερικών πλωτών μεταφορών ή οι εμπορευματικές μεταφορές για λογαριασμό τρίτου. Από τις παρούσες κατευθυντήριες γραμμές εξαιρούνται επίσης οι υποδομές μεταφορών, όπως οι αερολιμένες, που καλύπτονται από ειδικές κατευθυντήριες γραμμές [βλ. ανακοίνωση της Επιτροπής — Κατευθυντήριες γραμμές για τις κρατικές ενισχύσεις σε αερολιμένες και αεροπορικές εταιρείες (ΕΕ C 99 της 4.4.2014, σ. 3)].</w:t>
      </w:r>
    </w:p>
  </w:footnote>
  <w:footnote w:id="12">
    <w:p w14:paraId="338B572E" w14:textId="77777777" w:rsidR="003E533A" w:rsidRPr="00DB5B5A" w:rsidRDefault="003E533A" w:rsidP="003E533A">
      <w:pPr>
        <w:pStyle w:val="FootnoteText"/>
        <w:tabs>
          <w:tab w:val="left" w:pos="284"/>
        </w:tabs>
        <w:spacing w:after="120"/>
        <w:ind w:left="284" w:hanging="284"/>
      </w:pPr>
      <w:r>
        <w:rPr>
          <w:rStyle w:val="FootnoteReference"/>
        </w:rPr>
        <w:footnoteRef/>
      </w:r>
      <w:r>
        <w:tab/>
        <w:t>Ανακοίνωση της Επιτροπής — Κατευθυντήριες γραμμές της ΕΕ για την εφαρμογή των κανόνων στον τομέα των κρατικών ενισχύσεων όσον αφορά την ταχεία ανάπτυξη των ευρυζωνικών δικτύων (ΕΕ C 25 της 26.1.2013, σ. 1).</w:t>
      </w:r>
    </w:p>
  </w:footnote>
  <w:footnote w:id="13">
    <w:p w14:paraId="039C5FC6" w14:textId="77777777" w:rsidR="003E533A" w:rsidRPr="003F69C7" w:rsidRDefault="003E533A" w:rsidP="003E533A">
      <w:pPr>
        <w:pStyle w:val="FootnoteText"/>
        <w:tabs>
          <w:tab w:val="left" w:pos="284"/>
        </w:tabs>
        <w:spacing w:after="120"/>
        <w:ind w:left="284" w:hanging="284"/>
      </w:pPr>
      <w:r>
        <w:rPr>
          <w:rStyle w:val="FootnoteReference"/>
        </w:rPr>
        <w:footnoteRef/>
      </w:r>
      <w:r>
        <w:tab/>
        <w:t>Η Επιτροπή θα αξιολογεί τη συμβατότητα των κρατικών ενισχύσεων στον τομέα της ενέργειας με βάση τις κατευθυντήριες γραμμές για τις κρατικές ενισχύσεις στους τομείς του περιβάλλοντος και της ενέργειας (2014-2020) (ΕΕ C 200 της 28.6.2014, σ. 1).</w:t>
      </w:r>
    </w:p>
  </w:footnote>
  <w:footnote w:id="14">
    <w:p w14:paraId="2112DD2A" w14:textId="77777777" w:rsidR="003E533A" w:rsidRPr="00527F99" w:rsidRDefault="003E533A" w:rsidP="003E533A">
      <w:pPr>
        <w:pStyle w:val="FootnoteText"/>
        <w:tabs>
          <w:tab w:val="left" w:pos="284"/>
        </w:tabs>
        <w:spacing w:after="120"/>
        <w:ind w:left="284" w:hanging="284"/>
      </w:pPr>
      <w:r>
        <w:rPr>
          <w:rStyle w:val="FootnoteReference"/>
        </w:rPr>
        <w:footnoteRef/>
      </w:r>
      <w:r>
        <w:tab/>
        <w:t>Ως «ΜΜΕ» νοούνται οι επιχειρήσεις που πληρούν τις προϋποθέσεις που ορίζονται στη σύσταση της Επιτροπής, της 6ης Μαΐου 2003, σχετικά με τον ορισμό των πολύ μικρών, των μικρών και των μεσαίων επιχειρήσεων (ΕΕ L 124 της 20.5.2003, σ. 36).</w:t>
      </w:r>
    </w:p>
  </w:footnote>
  <w:footnote w:id="15">
    <w:p w14:paraId="6BBB4A81" w14:textId="77777777" w:rsidR="003E533A" w:rsidRPr="0056721A" w:rsidRDefault="003E533A" w:rsidP="003E533A">
      <w:pPr>
        <w:pStyle w:val="FootnoteText"/>
        <w:tabs>
          <w:tab w:val="left" w:pos="284"/>
        </w:tabs>
        <w:spacing w:after="120"/>
        <w:ind w:left="284" w:hanging="284"/>
      </w:pPr>
      <w:r>
        <w:rPr>
          <w:rStyle w:val="FootnoteReference"/>
        </w:rPr>
        <w:footnoteRef/>
      </w:r>
      <w:r>
        <w:tab/>
        <w:t>Η απλή εξαγορά των μετοχών μιας επιχείρησης δεν χαρακτηρίζεται αρχική επένδυση.</w:t>
      </w:r>
    </w:p>
  </w:footnote>
  <w:footnote w:id="16">
    <w:p w14:paraId="0B262430" w14:textId="77777777" w:rsidR="003E533A" w:rsidRPr="008A59EC" w:rsidRDefault="003E533A" w:rsidP="003E533A">
      <w:pPr>
        <w:pStyle w:val="FootnoteText"/>
        <w:tabs>
          <w:tab w:val="left" w:pos="284"/>
        </w:tabs>
        <w:spacing w:after="120"/>
        <w:ind w:left="284" w:hanging="284"/>
      </w:pPr>
      <w:r>
        <w:rPr>
          <w:rStyle w:val="FootnoteReference"/>
        </w:rPr>
        <w:footnoteRef/>
      </w:r>
      <w:r>
        <w:tab/>
        <w:t>Ως «η ίδια ή παρόμοια δραστηριότητα» νοείται δραστηριότητα που υπάγεται στην ίδια κατηγορία (τετραψήφιος αριθμητικός κωδικός) της στατιστικής ταξινόμησης των οικονομικών δραστηριοτήτων NACE Αναθ. 2.</w:t>
      </w:r>
    </w:p>
  </w:footnote>
  <w:footnote w:id="17">
    <w:p w14:paraId="5146F983" w14:textId="77777777" w:rsidR="003E533A" w:rsidRPr="000D0DAA" w:rsidRDefault="003E533A" w:rsidP="003E533A">
      <w:pPr>
        <w:pStyle w:val="FootnoteText"/>
        <w:tabs>
          <w:tab w:val="left" w:pos="284"/>
        </w:tabs>
        <w:spacing w:after="120"/>
        <w:ind w:left="284" w:hanging="284"/>
      </w:pPr>
      <w:r>
        <w:rPr>
          <w:rStyle w:val="FootnoteReference"/>
        </w:rPr>
        <w:footnoteRef/>
      </w:r>
      <w:r>
        <w:tab/>
        <w:t>Η απλή απόκτηση των μετοχών μιας επιχείρησης δεν χαρακτηρίζεται ως αρχική επένδυση που δημιουργεί νέα οικονομική δραστηριότητα.</w:t>
      </w:r>
    </w:p>
  </w:footnote>
  <w:footnote w:id="18">
    <w:p w14:paraId="2ADEF9A6" w14:textId="77777777" w:rsidR="003E533A" w:rsidRPr="00D35343" w:rsidRDefault="003E533A" w:rsidP="003E533A">
      <w:pPr>
        <w:pStyle w:val="FootnoteText"/>
        <w:tabs>
          <w:tab w:val="left" w:pos="284"/>
        </w:tabs>
        <w:spacing w:after="120"/>
        <w:ind w:left="284" w:hanging="284"/>
      </w:pPr>
      <w:r>
        <w:rPr>
          <w:rStyle w:val="FootnoteReference"/>
        </w:rPr>
        <w:footnoteRef/>
      </w:r>
      <w:r>
        <w:tab/>
        <w:t>Αυτή η διάταξη δεν είναι υποχρεωτικό να εφαρμόζεται για τις ΜΜΕ ή στην περίπτωση απόκτησης εγκατάστασης.</w:t>
      </w:r>
    </w:p>
  </w:footnote>
  <w:footnote w:id="19">
    <w:p w14:paraId="471C0DBA" w14:textId="77777777" w:rsidR="003E533A" w:rsidRPr="006D6383" w:rsidRDefault="003E533A" w:rsidP="003E533A">
      <w:pPr>
        <w:pStyle w:val="FootnoteText"/>
        <w:tabs>
          <w:tab w:val="left" w:pos="284"/>
        </w:tabs>
        <w:ind w:left="284" w:hanging="284"/>
      </w:pPr>
      <w:r>
        <w:rPr>
          <w:rStyle w:val="FootnoteReference"/>
        </w:rPr>
        <w:footnoteRef/>
      </w:r>
      <w:r>
        <w:tab/>
        <w:t>Η παράγραφος 34 των ΚΓΠΕ προβλέπει ότι τα άυλα περιουσιακά στοιχεία, τα οποία μπορούν να λαμβάνονται υπόψη για τον υπολογισμό των επενδυτικών δαπανών, πρέπει να παραμένουν συνδεδεμένα με την οικεία περιοχή και να μην μεταφέρονται σε άλλες περιοχές. Για τον σκοπό αυτό, τα άυλα περιουσιακά στοιχεία πρέπει να πληρούν τις ακόλουθες προϋποθέσεις:</w:t>
      </w:r>
    </w:p>
    <w:p w14:paraId="1A4769CC" w14:textId="77777777" w:rsidR="003E533A" w:rsidRDefault="003E533A" w:rsidP="003E533A">
      <w:pPr>
        <w:pStyle w:val="FootnoteText"/>
        <w:numPr>
          <w:ilvl w:val="0"/>
          <w:numId w:val="23"/>
        </w:numPr>
        <w:tabs>
          <w:tab w:val="left" w:pos="709"/>
        </w:tabs>
        <w:spacing w:before="0"/>
        <w:ind w:left="709" w:hanging="425"/>
      </w:pPr>
      <w:r>
        <w:t>πρέπει να χρησιμοποιούνται αποκλειστικά στην επιχειρηματική εγκατάσταση που λαμβάνει την ενίσχυση·</w:t>
      </w:r>
    </w:p>
    <w:p w14:paraId="40B266B0" w14:textId="77777777" w:rsidR="003E533A" w:rsidRDefault="003E533A" w:rsidP="003E533A">
      <w:pPr>
        <w:pStyle w:val="FootnoteText"/>
        <w:numPr>
          <w:ilvl w:val="0"/>
          <w:numId w:val="23"/>
        </w:numPr>
        <w:tabs>
          <w:tab w:val="left" w:pos="709"/>
        </w:tabs>
        <w:spacing w:before="0"/>
        <w:ind w:left="709" w:hanging="425"/>
      </w:pPr>
      <w:r>
        <w:t>πρέπει να είναι αποσβέσιμα·</w:t>
      </w:r>
    </w:p>
    <w:p w14:paraId="171A54E4" w14:textId="77777777" w:rsidR="003E533A" w:rsidRDefault="003E533A" w:rsidP="003E533A">
      <w:pPr>
        <w:pStyle w:val="FootnoteText"/>
        <w:numPr>
          <w:ilvl w:val="0"/>
          <w:numId w:val="23"/>
        </w:numPr>
        <w:tabs>
          <w:tab w:val="left" w:pos="709"/>
        </w:tabs>
        <w:spacing w:before="0"/>
        <w:ind w:left="709" w:hanging="425"/>
      </w:pPr>
      <w:r>
        <w:t>πρέπει να αγοράζονται σύμφωνα με τους όρους της αγοράς από τρίτους που δεν έχουν σχέση με τον αγοραστή·</w:t>
      </w:r>
    </w:p>
    <w:p w14:paraId="68377855" w14:textId="77777777" w:rsidR="003E533A" w:rsidRPr="006D6383" w:rsidRDefault="003E533A" w:rsidP="003E533A">
      <w:pPr>
        <w:pStyle w:val="FootnoteText"/>
        <w:numPr>
          <w:ilvl w:val="0"/>
          <w:numId w:val="23"/>
        </w:numPr>
        <w:tabs>
          <w:tab w:val="left" w:pos="709"/>
        </w:tabs>
        <w:spacing w:before="0" w:after="120"/>
        <w:ind w:left="709" w:hanging="425"/>
      </w:pPr>
      <w:r>
        <w:t>πρέπει να περιλαμβάνονται στο ενεργητικό της επιχείρησης που λαμβάνει την ενίσχυση και να παραμένουν συνδεδεμένα με το σχέδιο για το οποίο χορηγείται η ενίσχυση επί τουλάχιστον πέντε έτη (τρία έτη για τις ΜΜΕ).</w:t>
      </w:r>
    </w:p>
  </w:footnote>
  <w:footnote w:id="20">
    <w:p w14:paraId="331035FD" w14:textId="77777777" w:rsidR="003E533A" w:rsidRDefault="003E533A" w:rsidP="003E533A">
      <w:pPr>
        <w:pStyle w:val="FootnoteText"/>
        <w:tabs>
          <w:tab w:val="left" w:pos="284"/>
        </w:tabs>
        <w:spacing w:after="120"/>
        <w:ind w:left="284" w:hanging="284"/>
      </w:pPr>
      <w:r>
        <w:rPr>
          <w:rStyle w:val="FootnoteReference"/>
        </w:rPr>
        <w:footnoteRef/>
      </w:r>
      <w:r>
        <w:tab/>
        <w:t>Αυτό δεν ισχύει για τα επιδοτούμενα δάνεια, τα κρατικά δάνεια μετοχικού κεφαλαίου ή τις κρατικές συμμετοχές που δεν πληρούν τις αρχές της οικονομίας της αγοράς, για τις εγγυήσεις που περιέχουν στοιχεία κρατικής ενίσχυσης, καθώς και για τις κρατικές ενισχύσεις που χορηγούνται βάσει του κανόνα de minimis.</w:t>
      </w:r>
    </w:p>
  </w:footnote>
  <w:footnote w:id="21">
    <w:p w14:paraId="0FF3EDF9" w14:textId="77777777" w:rsidR="003E533A" w:rsidRDefault="003E533A" w:rsidP="003E533A">
      <w:pPr>
        <w:pStyle w:val="FootnoteText"/>
        <w:tabs>
          <w:tab w:val="left" w:pos="284"/>
        </w:tabs>
        <w:spacing w:after="120"/>
        <w:ind w:left="284" w:hanging="284"/>
      </w:pPr>
      <w:r>
        <w:rPr>
          <w:rStyle w:val="FootnoteReference"/>
        </w:rPr>
        <w:footnoteRef/>
      </w:r>
      <w:r>
        <w:tab/>
        <w:t>Ένα αντιπαράδειγμα είναι αξιόπιστο εφόσον είναι αληθινό και σχετίζεται με τους παράγοντες λήψης αποφάσεων που επικρατούν κατά τον χρόνο λήψης απόφασης από τον δικαιούχο σχετικά με την επένδυση.</w:t>
      </w:r>
    </w:p>
  </w:footnote>
  <w:footnote w:id="22">
    <w:p w14:paraId="1BFD32BD" w14:textId="77777777" w:rsidR="003E533A" w:rsidRDefault="003E533A" w:rsidP="003E533A">
      <w:pPr>
        <w:pStyle w:val="FootnoteText"/>
        <w:tabs>
          <w:tab w:val="left" w:pos="284"/>
        </w:tabs>
        <w:spacing w:after="120"/>
        <w:ind w:left="284" w:hanging="284"/>
      </w:pPr>
      <w:r>
        <w:rPr>
          <w:rStyle w:val="FootnoteReference"/>
        </w:rPr>
        <w:footnoteRef/>
      </w:r>
      <w:r>
        <w:tab/>
        <w:t>Για τον σκοπό αυτό, μπορεί να γίνει παραπομπή, μεταξύ άλλων, σε εκτιμήσεις επιπτώσεων του προτεινόμενου καθεστώτος ή εκ των υστέρων αξιολογήσεις παρόμοιων καθεστώτων.</w:t>
      </w:r>
    </w:p>
  </w:footnote>
  <w:footnote w:id="23">
    <w:p w14:paraId="5B9048DC" w14:textId="77777777" w:rsidR="003E533A" w:rsidRPr="00F800EA" w:rsidRDefault="003E533A" w:rsidP="003E533A">
      <w:pPr>
        <w:pStyle w:val="FootnoteText"/>
        <w:tabs>
          <w:tab w:val="left" w:pos="284"/>
        </w:tabs>
        <w:spacing w:after="120"/>
        <w:ind w:left="284" w:hanging="284"/>
      </w:pPr>
      <w:r>
        <w:rPr>
          <w:rStyle w:val="FootnoteReference"/>
        </w:rPr>
        <w:footnoteRef/>
      </w:r>
      <w:r>
        <w:tab/>
        <w:t>Για παράδειγμα, άμεσες επιχορηγήσεις, απαλλαγές ή μειώσεις φόρων, εισφορών κοινωνικής ασφάλισης ή άλλων υποχρεωτικών επιβαρύνσεων, ή παροχή γης, αγαθών ή υπηρεσιών σε ευνοϊκές τιμές κ.λπ.</w:t>
      </w:r>
    </w:p>
  </w:footnote>
  <w:footnote w:id="24">
    <w:p w14:paraId="494815B5" w14:textId="77777777" w:rsidR="003E533A" w:rsidRPr="001D303A" w:rsidRDefault="003E533A" w:rsidP="003E533A">
      <w:pPr>
        <w:pStyle w:val="FootnoteText"/>
        <w:tabs>
          <w:tab w:val="left" w:pos="284"/>
        </w:tabs>
        <w:spacing w:after="120"/>
        <w:ind w:left="284" w:hanging="284"/>
      </w:pPr>
      <w:r>
        <w:rPr>
          <w:rStyle w:val="FootnoteReference"/>
        </w:rPr>
        <w:footnoteRef/>
      </w:r>
      <w:r>
        <w:tab/>
        <w:t>Για παράδειγμα, δάνεια με χαμηλό επιτόκιο ή επιδοτήσεις επιτοκίου, κρατικές εγγυήσεις, αγορά μετοχών ή εναλλακτική εισφορά κεφαλαίων υπό ευνοϊκούς όρους.</w:t>
      </w:r>
    </w:p>
  </w:footnote>
  <w:footnote w:id="25">
    <w:p w14:paraId="6D75AF45" w14:textId="77777777" w:rsidR="003E533A" w:rsidRPr="004E27C0" w:rsidRDefault="003E533A" w:rsidP="003E533A">
      <w:pPr>
        <w:pStyle w:val="FootnoteText"/>
        <w:tabs>
          <w:tab w:val="left" w:pos="284"/>
        </w:tabs>
        <w:spacing w:after="120"/>
        <w:ind w:left="284" w:hanging="284"/>
      </w:pPr>
      <w:r>
        <w:rPr>
          <w:rStyle w:val="FootnoteReference"/>
        </w:rPr>
        <w:footnoteRef/>
      </w:r>
      <w:r>
        <w:tab/>
        <w:t>Για να είναι σε θέση η Επιτροπή να αξιολογήσει τις πιθανές αρνητικές επιπτώσεις, το κράτος μέλος θα μπορούσε να υποβάλει οποιαδήποτε εκτίμηση επιπτώσεων έχει στη διάθεσή του, καθώς και εκ των υστέρων αξιολογήσεις που διενεργήθηκαν για παρόμοια προγενέστερα καθεστώτα.</w:t>
      </w:r>
    </w:p>
  </w:footnote>
  <w:footnote w:id="26">
    <w:p w14:paraId="56D1E732" w14:textId="77777777" w:rsidR="003E533A" w:rsidRPr="004A0583" w:rsidRDefault="003E533A" w:rsidP="003E533A">
      <w:pPr>
        <w:pStyle w:val="FootnoteText"/>
        <w:tabs>
          <w:tab w:val="left" w:pos="284"/>
        </w:tabs>
        <w:spacing w:after="120"/>
        <w:ind w:left="284" w:hanging="284"/>
      </w:pPr>
      <w:r>
        <w:rPr>
          <w:rStyle w:val="FootnoteReference"/>
        </w:rPr>
        <w:footnoteRef/>
      </w:r>
      <w:r>
        <w:tab/>
        <w:t>Όπως ορίζεται στο παράρτημα III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footnote>
  <w:footnote w:id="27">
    <w:p w14:paraId="4D9F5031" w14:textId="77777777" w:rsidR="003E533A" w:rsidRPr="004A0583" w:rsidRDefault="003E533A" w:rsidP="003E533A">
      <w:pPr>
        <w:pStyle w:val="FootnoteText"/>
        <w:tabs>
          <w:tab w:val="left" w:pos="284"/>
        </w:tabs>
        <w:spacing w:after="120"/>
        <w:ind w:left="284" w:hanging="284"/>
      </w:pPr>
      <w:r>
        <w:rPr>
          <w:rStyle w:val="FootnoteReference"/>
        </w:rPr>
        <w:footnoteRef/>
      </w:r>
      <w:r>
        <w:tab/>
        <w:t>Όπως ορίζεται στο παράρτημα III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footnote>
  <w:footnote w:id="28">
    <w:p w14:paraId="73D43845" w14:textId="77777777" w:rsidR="003E533A" w:rsidRDefault="003E533A" w:rsidP="003E533A">
      <w:pPr>
        <w:pStyle w:val="FootnoteText"/>
        <w:tabs>
          <w:tab w:val="left" w:pos="284"/>
        </w:tabs>
        <w:spacing w:after="120"/>
        <w:ind w:left="284" w:hanging="284"/>
      </w:pPr>
      <w:r>
        <w:rPr>
          <w:rStyle w:val="FootnoteReference"/>
        </w:rPr>
        <w:footnoteRef/>
      </w:r>
      <w:r>
        <w:tab/>
        <w:t xml:space="preserve">Για περισσότερες οδηγίες, βλ. το έγγραφο μεθοδολογικής καθοδήγησης για την αξιολόγηση στον τομέα των κρατικών ενισχύσεων: </w:t>
      </w:r>
      <w:hyperlink r:id="rId3" w:history="1">
        <w:r>
          <w:rPr>
            <w:rStyle w:val="Hyperlink"/>
          </w:rPr>
          <w:t>https://competition-policy.ec.europa.eu/system/files/2021-04/modernisation_evaluation_methodology_en.pdf</w:t>
        </w:r>
      </w:hyperlink>
      <w:r>
        <w:t xml:space="preserve">.  Το σχέδιο αξιολόγησης (παράρτημα I – μέρος III.8) πρέπει να υποβληθεί μέσω του εντύπου που διατίθεται στη διεύθυνση: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D8BE" w14:textId="77777777" w:rsidR="003E533A" w:rsidRDefault="003E5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9B79" w14:textId="77777777" w:rsidR="003E533A" w:rsidRDefault="003E53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00426" w14:textId="77777777" w:rsidR="003E533A" w:rsidRDefault="003E5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4801244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8036348">
    <w:abstractNumId w:val="16"/>
  </w:num>
  <w:num w:numId="24" w16cid:durableId="1510680801">
    <w:abstractNumId w:val="19"/>
  </w:num>
  <w:num w:numId="25" w16cid:durableId="2049523690">
    <w:abstractNumId w:val="9"/>
  </w:num>
  <w:num w:numId="26" w16cid:durableId="1511679640">
    <w:abstractNumId w:val="15"/>
    <w:lvlOverride w:ilvl="0">
      <w:startOverride w:val="1"/>
    </w:lvlOverride>
  </w:num>
  <w:num w:numId="27" w16cid:durableId="1768311616">
    <w:abstractNumId w:val="25"/>
    <w:lvlOverride w:ilvl="0">
      <w:startOverride w:val="1"/>
    </w:lvlOverride>
  </w:num>
  <w:num w:numId="28" w16cid:durableId="2020542379">
    <w:abstractNumId w:val="23"/>
    <w:lvlOverride w:ilvl="0">
      <w:startOverride w:val="1"/>
    </w:lvlOverride>
  </w:num>
  <w:num w:numId="29" w16cid:durableId="402417330">
    <w:abstractNumId w:val="23"/>
  </w:num>
  <w:num w:numId="30" w16cid:durableId="1439061231">
    <w:abstractNumId w:val="15"/>
  </w:num>
  <w:num w:numId="31" w16cid:durableId="172545066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E533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533A"/>
    <w:rsid w:val="003F772A"/>
    <w:rsid w:val="00400024"/>
    <w:rsid w:val="00407127"/>
    <w:rsid w:val="0041673B"/>
    <w:rsid w:val="004210FB"/>
    <w:rsid w:val="004425B3"/>
    <w:rsid w:val="00447E5A"/>
    <w:rsid w:val="00453FF5"/>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3016"/>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1446"/>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4AA9"/>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78336"/>
  <w15:chartTrackingRefBased/>
  <w15:docId w15:val="{892448A3-88D8-4CD5-BA2D-AC20CE10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33A"/>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3E533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E533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l-G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l-G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l-G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l-G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l-G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l-G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l-G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E533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E533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E53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53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533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53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53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533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E533A"/>
    <w:rPr>
      <w:i/>
      <w:iCs/>
      <w:color w:val="365F91" w:themeColor="accent1" w:themeShade="BF"/>
    </w:rPr>
  </w:style>
  <w:style w:type="paragraph" w:styleId="IntenseQuote">
    <w:name w:val="Intense Quote"/>
    <w:basedOn w:val="Normal"/>
    <w:next w:val="Normal"/>
    <w:link w:val="IntenseQuoteChar"/>
    <w:uiPriority w:val="30"/>
    <w:qFormat/>
    <w:rsid w:val="003E533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E533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E533A"/>
    <w:rPr>
      <w:b/>
      <w:bCs/>
      <w:smallCaps/>
      <w:color w:val="365F91" w:themeColor="accent1" w:themeShade="BF"/>
      <w:spacing w:val="5"/>
    </w:rPr>
  </w:style>
  <w:style w:type="paragraph" w:customStyle="1" w:styleId="Text2">
    <w:name w:val="Text 2"/>
    <w:basedOn w:val="Normal"/>
    <w:rsid w:val="003E533A"/>
    <w:pPr>
      <w:ind w:left="1417"/>
    </w:pPr>
  </w:style>
  <w:style w:type="paragraph" w:customStyle="1" w:styleId="Tiret0">
    <w:name w:val="Tiret 0"/>
    <w:basedOn w:val="Normal"/>
    <w:rsid w:val="003E533A"/>
    <w:pPr>
      <w:numPr>
        <w:numId w:val="28"/>
      </w:numPr>
    </w:pPr>
  </w:style>
  <w:style w:type="paragraph" w:customStyle="1" w:styleId="Tiret1">
    <w:name w:val="Tiret 1"/>
    <w:basedOn w:val="Normal"/>
    <w:rsid w:val="003E533A"/>
    <w:pPr>
      <w:numPr>
        <w:numId w:val="26"/>
      </w:numPr>
    </w:pPr>
  </w:style>
  <w:style w:type="paragraph" w:customStyle="1" w:styleId="Tiret2">
    <w:name w:val="Tiret 2"/>
    <w:basedOn w:val="Normal"/>
    <w:rsid w:val="003E533A"/>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3356</Words>
  <Characters>19969</Characters>
  <DocSecurity>0</DocSecurity>
  <Lines>453</Lines>
  <Paragraphs>217</Paragraphs>
  <ScaleCrop>false</ScaleCrop>
  <LinksUpToDate>false</LinksUpToDate>
  <CharactersWithSpaces>23108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2025-05-28T13:56:00Z</dcterms:created>
  <dcterms:modified xsi:type="dcterms:W3CDTF">2025-05-30T11:30:00Z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2025-05-28T13:59:43Z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99d5995e-cc22-4ecd-8888-d8aaa4ceb703</vt:lpwstr>
  </property>
  <property fmtid="{D5CDD505-2E9C-101B-9397-08002B2CF9AE}" pid="8" name="MSIP_Label_6bd9ddd1-4d20-43f6-abfa-fc3c07406f94_ContentBits">
    <vt:lpwstr>0</vt:lpwstr>
  </property>
</Properties>
</file>