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B4895" w14:textId="33520C9A" w:rsidR="00E203E6" w:rsidRPr="00E0175A" w:rsidRDefault="00E203E6" w:rsidP="00E203E6">
      <w:pPr>
        <w:pStyle w:val="ManualHeading2"/>
        <w:rPr>
          <w:noProof/>
          <w:color w:val="000000"/>
          <w:szCs w:val="24"/>
        </w:rPr>
      </w:pPr>
      <w:r w:rsidRPr="00E0175A">
        <w:rPr>
          <w:noProof/>
        </w:rPr>
        <w:t>DEL III.1.B</w:t>
      </w:r>
      <w:r>
        <w:rPr>
          <w:noProof/>
        </w:rPr>
        <w:t xml:space="preserve"> - </w:t>
      </w:r>
      <w:r w:rsidRPr="00E0175A">
        <w:rPr>
          <w:noProof/>
          <w:color w:val="000000"/>
        </w:rPr>
        <w:t>SUPPLERENDE INFORMATIONSSKEMA OM REGIONALE INVESTERINGSSTØTTEORDNINGER</w:t>
      </w:r>
    </w:p>
    <w:p w14:paraId="544C77C2" w14:textId="77777777" w:rsidR="00E203E6" w:rsidRPr="00E0175A" w:rsidRDefault="00E203E6" w:rsidP="00E203E6">
      <w:pPr>
        <w:rPr>
          <w:i/>
          <w:iCs/>
          <w:noProof/>
          <w:szCs w:val="24"/>
        </w:rPr>
      </w:pPr>
      <w:r w:rsidRPr="00E0175A">
        <w:rPr>
          <w:i/>
          <w:noProof/>
        </w:rPr>
        <w:t>Dette supplerende informationsskema er ikke obligatorisk. Det anbefales dog, at det foruden den generelle anmeldelsesformular udfyldes ved anmeldelse af individuel investeringsstøtte, der er omfattet af retningslinjerne for statsstøtte med regionalt sigte som gældende fra den 1. januar 2022 ("retningslinjerne")</w:t>
      </w:r>
      <w:r w:rsidRPr="00E0175A">
        <w:rPr>
          <w:rStyle w:val="FootnoteReference"/>
          <w:noProof/>
        </w:rPr>
        <w:footnoteReference w:id="1"/>
      </w:r>
      <w:r w:rsidRPr="00E0175A">
        <w:rPr>
          <w:i/>
          <w:noProof/>
        </w:rPr>
        <w:t xml:space="preserve">. </w:t>
      </w:r>
    </w:p>
    <w:p w14:paraId="149B4271" w14:textId="365F6EA5" w:rsidR="00E203E6" w:rsidRPr="00E0175A" w:rsidRDefault="00E203E6" w:rsidP="00E203E6">
      <w:pPr>
        <w:pStyle w:val="Heading1"/>
        <w:rPr>
          <w:noProof/>
        </w:rPr>
      </w:pPr>
      <w:r w:rsidRPr="00E0175A">
        <w:rPr>
          <w:noProof/>
        </w:rPr>
        <w:t>Anvendelsesområde</w:t>
      </w:r>
    </w:p>
    <w:p w14:paraId="2350B149" w14:textId="77777777" w:rsidR="00E203E6" w:rsidRPr="00E0175A" w:rsidRDefault="00E203E6" w:rsidP="00E203E6">
      <w:pPr>
        <w:pStyle w:val="NormalKop111"/>
        <w:numPr>
          <w:ilvl w:val="1"/>
          <w:numId w:val="22"/>
        </w:numPr>
        <w:tabs>
          <w:tab w:val="clear" w:pos="720"/>
          <w:tab w:val="clear" w:pos="1440"/>
          <w:tab w:val="clear" w:pos="1797"/>
        </w:tabs>
        <w:ind w:left="709" w:hanging="709"/>
        <w:rPr>
          <w:noProof/>
        </w:rPr>
      </w:pPr>
      <w:r w:rsidRPr="00E0175A">
        <w:rPr>
          <w:noProof/>
        </w:rPr>
        <w:t>Begrundelser for at anmelde ordningen i stedet for at indføre den i henhold til den generelle gruppefritagelsesforordning</w:t>
      </w:r>
      <w:r w:rsidRPr="00E0175A">
        <w:rPr>
          <w:rStyle w:val="FootnoteReference"/>
          <w:rFonts w:cs="Times New Roman"/>
          <w:noProof/>
        </w:rPr>
        <w:footnoteReference w:id="2"/>
      </w:r>
      <w:r w:rsidRPr="00E0175A">
        <w:rPr>
          <w:noProof/>
        </w:rPr>
        <w:t xml:space="preserve"> eller de minimis-forordningen</w:t>
      </w:r>
      <w:r w:rsidRPr="00E0175A">
        <w:rPr>
          <w:rStyle w:val="FootnoteReference"/>
          <w:noProof/>
        </w:rPr>
        <w:footnoteReference w:id="3"/>
      </w:r>
      <w:r w:rsidRPr="00E0175A">
        <w:rPr>
          <w:noProof/>
        </w:rPr>
        <w:t>:</w:t>
      </w:r>
    </w:p>
    <w:p w14:paraId="69ADF4E4" w14:textId="77777777" w:rsidR="00E203E6" w:rsidRPr="00E0175A" w:rsidRDefault="00DB7913" w:rsidP="00E203E6">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Anmeldelsen vedrører en sektorordning. Angiv i så fald den sektor, der er omfattet af ordningen (NACE-kode):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E203E6" w:rsidRPr="00E0175A" w14:paraId="69E18A67" w14:textId="77777777" w:rsidTr="005350C0">
        <w:tc>
          <w:tcPr>
            <w:tcW w:w="7672" w:type="dxa"/>
            <w:shd w:val="clear" w:color="auto" w:fill="auto"/>
          </w:tcPr>
          <w:p w14:paraId="5198B195" w14:textId="77777777" w:rsidR="00E203E6" w:rsidRPr="00E0175A" w:rsidRDefault="00E203E6" w:rsidP="005350C0">
            <w:pPr>
              <w:rPr>
                <w:noProof/>
              </w:rPr>
            </w:pPr>
            <w:r w:rsidRPr="00E0175A">
              <w:rPr>
                <w:noProof/>
              </w:rPr>
              <w:t xml:space="preserve">… </w:t>
            </w:r>
          </w:p>
        </w:tc>
      </w:tr>
    </w:tbl>
    <w:p w14:paraId="0C877321" w14:textId="77777777" w:rsidR="00E203E6" w:rsidRPr="00E0175A" w:rsidRDefault="00DB7913" w:rsidP="00E203E6">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rFonts w:ascii="MS Gothic" w:hAnsi="MS Gothic"/>
          <w:noProof/>
        </w:rPr>
        <w:t xml:space="preserve"> </w:t>
      </w:r>
      <w:r w:rsidR="00E203E6" w:rsidRPr="00E0175A">
        <w:rPr>
          <w:noProof/>
        </w:rPr>
        <w:t xml:space="preserve">Andet. Angiv nærmere: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E203E6" w:rsidRPr="00E0175A" w14:paraId="3176EC37" w14:textId="77777777" w:rsidTr="005350C0">
        <w:tc>
          <w:tcPr>
            <w:tcW w:w="8391" w:type="dxa"/>
            <w:shd w:val="clear" w:color="auto" w:fill="auto"/>
          </w:tcPr>
          <w:p w14:paraId="43586712" w14:textId="77777777" w:rsidR="00E203E6" w:rsidRPr="00E0175A" w:rsidRDefault="00E203E6" w:rsidP="005350C0">
            <w:pPr>
              <w:rPr>
                <w:noProof/>
              </w:rPr>
            </w:pPr>
            <w:r w:rsidRPr="00E0175A">
              <w:rPr>
                <w:noProof/>
              </w:rPr>
              <w:t xml:space="preserve">… </w:t>
            </w:r>
          </w:p>
        </w:tc>
      </w:tr>
    </w:tbl>
    <w:p w14:paraId="3A50C92E" w14:textId="77777777" w:rsidR="00E203E6" w:rsidRPr="00E0175A" w:rsidRDefault="00E203E6" w:rsidP="00E203E6">
      <w:pPr>
        <w:pStyle w:val="NormalKop111"/>
        <w:numPr>
          <w:ilvl w:val="1"/>
          <w:numId w:val="22"/>
        </w:numPr>
        <w:tabs>
          <w:tab w:val="clear" w:pos="720"/>
          <w:tab w:val="clear" w:pos="1440"/>
          <w:tab w:val="clear" w:pos="1797"/>
        </w:tabs>
        <w:ind w:left="709" w:hanging="709"/>
        <w:rPr>
          <w:noProof/>
        </w:rPr>
      </w:pPr>
      <w:r w:rsidRPr="00E0175A">
        <w:rPr>
          <w:noProof/>
        </w:rPr>
        <w:t>Anvendelsesområde for den anmeldte ordning</w:t>
      </w:r>
    </w:p>
    <w:p w14:paraId="4842C353"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Bekræft, at der ifølge retsgrundlaget for den anmeldte ordning er en forpligtelse til, at Kommissionen skal modtage anmeldelse af individuel støtte til en modtager, hvis den samlede støtte fra alle kilderne overstiger den individuelle anmeldelsestærskel som fastsat i gruppefritagelsesforordningen for regional investeringsstøtte (punkt 22 i retningslinjerne).</w:t>
      </w:r>
    </w:p>
    <w:p w14:paraId="444C2A48" w14:textId="77777777" w:rsidR="00E203E6" w:rsidRPr="00E0175A" w:rsidRDefault="00E203E6" w:rsidP="00E203E6">
      <w:pPr>
        <w:pStyle w:val="Text2"/>
        <w:rPr>
          <w:noProof/>
        </w:rPr>
      </w:pPr>
      <w:r w:rsidRPr="00E0175A">
        <w:rPr>
          <w:noProof/>
        </w:rPr>
        <w:t xml:space="preserve">Henvis til den relevante bestemmelse i retsgrundlaget: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E203E6" w:rsidRPr="00E0175A" w14:paraId="279344BF" w14:textId="77777777" w:rsidTr="005350C0">
        <w:tc>
          <w:tcPr>
            <w:tcW w:w="8391" w:type="dxa"/>
            <w:shd w:val="clear" w:color="auto" w:fill="auto"/>
          </w:tcPr>
          <w:p w14:paraId="38FEF1E9" w14:textId="77777777" w:rsidR="00E203E6" w:rsidRPr="00E0175A" w:rsidRDefault="00E203E6" w:rsidP="005350C0">
            <w:pPr>
              <w:rPr>
                <w:noProof/>
              </w:rPr>
            </w:pPr>
            <w:r w:rsidRPr="00E0175A">
              <w:rPr>
                <w:noProof/>
              </w:rPr>
              <w:t xml:space="preserve">… </w:t>
            </w:r>
          </w:p>
        </w:tc>
      </w:tr>
    </w:tbl>
    <w:p w14:paraId="57C129B4"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Bekræft, at der ifølge retsgrundlaget for den anmeldte ordning er en forpligtelse til, at Kommissionen skal modtage anmeldelse af individuel støtte til en modtager, medmindre støttemodtageren 1) har bekræftet, at denne inden for en toårig periode forud for sin ansøgning om støtte ikke har gennemført en flytning til den virksomhedsenhed, hvori den støttede initialinvestering skal foretages, og 2) har forpligtet sig til ikke at foretage en sådan flytning i op til to år efter afslutningen af initialinvesteringen (punkt 23 i retningslinjerne)</w:t>
      </w:r>
    </w:p>
    <w:p w14:paraId="2869C1D2"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 xml:space="preserve">Henvis til den relevante bestemmelse i retsgrundlaget: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E203E6" w:rsidRPr="00E0175A" w14:paraId="5C13B434" w14:textId="77777777" w:rsidTr="005350C0">
        <w:tc>
          <w:tcPr>
            <w:tcW w:w="8391" w:type="dxa"/>
            <w:shd w:val="clear" w:color="auto" w:fill="auto"/>
          </w:tcPr>
          <w:p w14:paraId="7C3D708C" w14:textId="77777777" w:rsidR="00E203E6" w:rsidRPr="00E0175A" w:rsidRDefault="00E203E6" w:rsidP="005350C0">
            <w:pPr>
              <w:rPr>
                <w:noProof/>
              </w:rPr>
            </w:pPr>
            <w:r w:rsidRPr="00E0175A">
              <w:rPr>
                <w:noProof/>
              </w:rPr>
              <w:lastRenderedPageBreak/>
              <w:t xml:space="preserve">… </w:t>
            </w:r>
          </w:p>
        </w:tc>
      </w:tr>
    </w:tbl>
    <w:p w14:paraId="7AF506C7"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Bekræft, at der i henhold til den anmeldte støtteordning ikke ydes regional investeringsstøtte til de nedennævnte kategorier af virksomheder og sektorer. Angiv i hvert tilfælde den relevante bestemmelse i retsgrundlaget for ordningen: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E203E6" w:rsidRPr="00E0175A" w14:paraId="4C2959FB" w14:textId="77777777" w:rsidTr="005350C0">
        <w:tc>
          <w:tcPr>
            <w:tcW w:w="3221" w:type="pct"/>
            <w:shd w:val="clear" w:color="auto" w:fill="auto"/>
          </w:tcPr>
          <w:p w14:paraId="251202F8" w14:textId="69979042" w:rsidR="00E203E6" w:rsidRPr="00D64015" w:rsidRDefault="00E203E6" w:rsidP="00DB7913">
            <w:r w:rsidRPr="00D64015">
              <w:t>Udelukkede kategorier af virksomheder og sektorer</w:t>
            </w:r>
          </w:p>
        </w:tc>
        <w:tc>
          <w:tcPr>
            <w:tcW w:w="1779" w:type="pct"/>
            <w:shd w:val="clear" w:color="auto" w:fill="auto"/>
          </w:tcPr>
          <w:p w14:paraId="3F08B58B" w14:textId="2CBCFF36" w:rsidR="00E203E6" w:rsidRPr="00D64015" w:rsidRDefault="00E203E6" w:rsidP="00DB7913">
            <w:r w:rsidRPr="00D64015">
              <w:t>Relevant bestemmelse i retsgrundlaget for ordningen</w:t>
            </w:r>
          </w:p>
        </w:tc>
      </w:tr>
      <w:tr w:rsidR="00E203E6" w:rsidRPr="00E0175A" w14:paraId="51E44E7E" w14:textId="77777777" w:rsidTr="005350C0">
        <w:tc>
          <w:tcPr>
            <w:tcW w:w="3221" w:type="pct"/>
            <w:shd w:val="clear" w:color="auto" w:fill="auto"/>
          </w:tcPr>
          <w:p w14:paraId="696DCCC5" w14:textId="7686256A" w:rsidR="00E203E6" w:rsidRPr="00D64015" w:rsidRDefault="00E203E6" w:rsidP="00DB7913">
            <w:r w:rsidRPr="00D64015">
              <w:t>Kriseramte virksomheder</w:t>
            </w:r>
            <w:r w:rsidRPr="00D64015">
              <w:rPr>
                <w:rStyle w:val="FootnoteReference"/>
                <w:rFonts w:eastAsia="Times New Roman" w:cs="Arial Unicode MS"/>
                <w:noProof/>
                <w:szCs w:val="24"/>
                <w:lang w:eastAsia="en-GB" w:bidi="si-LK"/>
              </w:rPr>
              <w:footnoteReference w:id="4"/>
            </w:r>
          </w:p>
        </w:tc>
        <w:tc>
          <w:tcPr>
            <w:tcW w:w="1779" w:type="pct"/>
            <w:shd w:val="clear" w:color="auto" w:fill="auto"/>
          </w:tcPr>
          <w:p w14:paraId="3455928F" w14:textId="775FB660" w:rsidR="00E203E6" w:rsidRPr="00D64015" w:rsidRDefault="00E203E6" w:rsidP="00DB7913"/>
        </w:tc>
      </w:tr>
      <w:tr w:rsidR="00E203E6" w:rsidRPr="00E0175A" w14:paraId="1FE8DBA0" w14:textId="77777777" w:rsidTr="005350C0">
        <w:tc>
          <w:tcPr>
            <w:tcW w:w="3221" w:type="pct"/>
            <w:shd w:val="clear" w:color="auto" w:fill="auto"/>
          </w:tcPr>
          <w:p w14:paraId="3EA409BF" w14:textId="135653DD" w:rsidR="00E203E6" w:rsidRPr="00D64015" w:rsidRDefault="00E203E6" w:rsidP="00DB7913">
            <w:r w:rsidRPr="00D64015">
              <w:t>Stålsektoren</w:t>
            </w:r>
            <w:r w:rsidRPr="00D64015">
              <w:rPr>
                <w:rStyle w:val="FootnoteReference"/>
                <w:rFonts w:eastAsia="Times New Roman" w:cs="Arial Unicode MS"/>
                <w:noProof/>
                <w:szCs w:val="24"/>
                <w:lang w:eastAsia="en-GB" w:bidi="si-LK"/>
              </w:rPr>
              <w:footnoteReference w:id="5"/>
            </w:r>
            <w:r w:rsidRPr="00D64015">
              <w:rPr>
                <w:rStyle w:val="FootnoteReference"/>
                <w:rFonts w:eastAsia="Times New Roman" w:cs="Arial Unicode MS"/>
                <w:noProof/>
                <w:szCs w:val="24"/>
                <w:lang w:eastAsia="en-GB" w:bidi="si-LK"/>
              </w:rPr>
              <w:t xml:space="preserve"> </w:t>
            </w:r>
          </w:p>
        </w:tc>
        <w:tc>
          <w:tcPr>
            <w:tcW w:w="1779" w:type="pct"/>
            <w:shd w:val="clear" w:color="auto" w:fill="auto"/>
          </w:tcPr>
          <w:p w14:paraId="3616B34A" w14:textId="2DE466DB" w:rsidR="00E203E6" w:rsidRPr="00D64015" w:rsidRDefault="00E203E6" w:rsidP="00DB7913"/>
        </w:tc>
      </w:tr>
      <w:tr w:rsidR="00E203E6" w:rsidRPr="00E0175A" w14:paraId="7BF41E2C" w14:textId="77777777" w:rsidTr="005350C0">
        <w:tc>
          <w:tcPr>
            <w:tcW w:w="3221" w:type="pct"/>
            <w:shd w:val="clear" w:color="auto" w:fill="auto"/>
          </w:tcPr>
          <w:p w14:paraId="433E5660" w14:textId="71DBFE9A" w:rsidR="00E203E6" w:rsidRPr="00D64015" w:rsidRDefault="00E203E6" w:rsidP="00DB7913">
            <w:r w:rsidRPr="00D64015">
              <w:t>Brunkulssektoren</w:t>
            </w:r>
            <w:r w:rsidRPr="00D64015">
              <w:rPr>
                <w:rStyle w:val="FootnoteReference"/>
                <w:rFonts w:eastAsia="Times New Roman" w:cs="Arial Unicode MS"/>
                <w:noProof/>
                <w:szCs w:val="24"/>
                <w:lang w:eastAsia="en-GB" w:bidi="si-LK"/>
              </w:rPr>
              <w:footnoteReference w:id="6"/>
            </w:r>
          </w:p>
        </w:tc>
        <w:tc>
          <w:tcPr>
            <w:tcW w:w="1779" w:type="pct"/>
            <w:shd w:val="clear" w:color="auto" w:fill="auto"/>
          </w:tcPr>
          <w:p w14:paraId="49848521" w14:textId="2E4A9B47" w:rsidR="00E203E6" w:rsidRPr="00D64015" w:rsidRDefault="00E203E6" w:rsidP="00DB7913"/>
        </w:tc>
      </w:tr>
      <w:tr w:rsidR="00E203E6" w:rsidRPr="00E0175A" w14:paraId="66910F63" w14:textId="77777777" w:rsidTr="005350C0">
        <w:tc>
          <w:tcPr>
            <w:tcW w:w="3221" w:type="pct"/>
            <w:shd w:val="clear" w:color="auto" w:fill="auto"/>
          </w:tcPr>
          <w:p w14:paraId="5F36805C" w14:textId="1FC3586D" w:rsidR="00E203E6" w:rsidRPr="00D64015" w:rsidRDefault="00E203E6" w:rsidP="00DB7913">
            <w:r w:rsidRPr="00D64015">
              <w:t>Kulsektoren</w:t>
            </w:r>
            <w:r w:rsidRPr="00D64015">
              <w:rPr>
                <w:rStyle w:val="FootnoteReference"/>
                <w:rFonts w:eastAsia="Times New Roman" w:cs="Arial Unicode MS"/>
                <w:noProof/>
                <w:szCs w:val="24"/>
                <w:lang w:eastAsia="en-GB" w:bidi="si-LK"/>
              </w:rPr>
              <w:footnoteReference w:id="7"/>
            </w:r>
          </w:p>
        </w:tc>
        <w:tc>
          <w:tcPr>
            <w:tcW w:w="1779" w:type="pct"/>
            <w:shd w:val="clear" w:color="auto" w:fill="auto"/>
          </w:tcPr>
          <w:p w14:paraId="48E7255C" w14:textId="7F33C3B6" w:rsidR="00E203E6" w:rsidRPr="00D64015" w:rsidRDefault="00E203E6" w:rsidP="00DB7913"/>
        </w:tc>
      </w:tr>
      <w:tr w:rsidR="00E203E6" w:rsidRPr="00E0175A" w14:paraId="2FAF9BBB" w14:textId="77777777" w:rsidTr="005350C0">
        <w:tc>
          <w:tcPr>
            <w:tcW w:w="3221" w:type="pct"/>
            <w:shd w:val="clear" w:color="auto" w:fill="auto"/>
          </w:tcPr>
          <w:p w14:paraId="6608486A" w14:textId="24241874" w:rsidR="00E203E6" w:rsidRPr="00D64015" w:rsidRDefault="00E203E6" w:rsidP="00DB7913">
            <w:r w:rsidRPr="00D64015">
              <w:t>Fiskeri og akvakultur</w:t>
            </w:r>
            <w:r w:rsidRPr="00D64015">
              <w:rPr>
                <w:rStyle w:val="FootnoteReference"/>
                <w:rFonts w:eastAsia="Times New Roman" w:cs="Arial Unicode MS"/>
                <w:noProof/>
                <w:szCs w:val="24"/>
                <w:lang w:eastAsia="en-GB" w:bidi="si-LK"/>
              </w:rPr>
              <w:footnoteReference w:id="8"/>
            </w:r>
          </w:p>
        </w:tc>
        <w:tc>
          <w:tcPr>
            <w:tcW w:w="1779" w:type="pct"/>
            <w:shd w:val="clear" w:color="auto" w:fill="auto"/>
          </w:tcPr>
          <w:p w14:paraId="66CF0996" w14:textId="7FE823E9" w:rsidR="00E203E6" w:rsidRPr="00D64015" w:rsidRDefault="00E203E6" w:rsidP="00DB7913"/>
        </w:tc>
      </w:tr>
      <w:tr w:rsidR="00E203E6" w:rsidRPr="00E0175A" w14:paraId="3AFEA8D3" w14:textId="77777777" w:rsidTr="005350C0">
        <w:tc>
          <w:tcPr>
            <w:tcW w:w="3221" w:type="pct"/>
            <w:shd w:val="clear" w:color="auto" w:fill="auto"/>
          </w:tcPr>
          <w:p w14:paraId="7EF61F69" w14:textId="17CADF3A" w:rsidR="00E203E6" w:rsidRPr="00D64015" w:rsidRDefault="00E203E6" w:rsidP="00DB7913">
            <w:r w:rsidRPr="00D64015">
              <w:t>Landbrug</w:t>
            </w:r>
            <w:r w:rsidRPr="00D64015">
              <w:rPr>
                <w:rStyle w:val="FootnoteReference"/>
                <w:rFonts w:eastAsia="Times New Roman" w:cs="Arial Unicode MS"/>
                <w:noProof/>
                <w:szCs w:val="24"/>
                <w:lang w:eastAsia="en-GB" w:bidi="si-LK"/>
              </w:rPr>
              <w:footnoteReference w:id="9"/>
            </w:r>
          </w:p>
        </w:tc>
        <w:tc>
          <w:tcPr>
            <w:tcW w:w="1779" w:type="pct"/>
            <w:shd w:val="clear" w:color="auto" w:fill="auto"/>
          </w:tcPr>
          <w:p w14:paraId="431FEE1D" w14:textId="07B69929" w:rsidR="00E203E6" w:rsidRPr="00D64015" w:rsidRDefault="00E203E6" w:rsidP="00DB7913"/>
        </w:tc>
      </w:tr>
      <w:tr w:rsidR="00E203E6" w:rsidRPr="00E0175A" w14:paraId="4B9B66B1" w14:textId="77777777" w:rsidTr="005350C0">
        <w:tc>
          <w:tcPr>
            <w:tcW w:w="3221" w:type="pct"/>
            <w:shd w:val="clear" w:color="auto" w:fill="auto"/>
          </w:tcPr>
          <w:p w14:paraId="569F7BC5" w14:textId="5CE279AD" w:rsidR="00E203E6" w:rsidRPr="00D64015" w:rsidRDefault="00E203E6" w:rsidP="00DB7913">
            <w:r w:rsidRPr="00D64015">
              <w:t>Forarbejdning og/eller afsætning af de landbrugsprodukter, der er opført på listen i bilag I til traktaten</w:t>
            </w:r>
            <w:r w:rsidRPr="00D64015">
              <w:rPr>
                <w:rStyle w:val="FootnoteReference"/>
                <w:rFonts w:eastAsia="Times New Roman" w:cs="Arial Unicode MS"/>
                <w:noProof/>
                <w:szCs w:val="24"/>
                <w:lang w:eastAsia="en-GB" w:bidi="si-LK"/>
              </w:rPr>
              <w:footnoteReference w:id="10"/>
            </w:r>
            <w:r w:rsidRPr="00D64015">
              <w:t>, til produkter, der er opført på listen i bilag I</w:t>
            </w:r>
          </w:p>
        </w:tc>
        <w:tc>
          <w:tcPr>
            <w:tcW w:w="1779" w:type="pct"/>
            <w:shd w:val="clear" w:color="auto" w:fill="auto"/>
          </w:tcPr>
          <w:p w14:paraId="3F5C1B98" w14:textId="031E6296" w:rsidR="00E203E6" w:rsidRPr="00D64015" w:rsidRDefault="00E203E6" w:rsidP="00DB7913"/>
        </w:tc>
      </w:tr>
      <w:tr w:rsidR="00E203E6" w:rsidRPr="00E0175A" w14:paraId="33DBFA8C" w14:textId="77777777" w:rsidTr="005350C0">
        <w:tc>
          <w:tcPr>
            <w:tcW w:w="3221" w:type="pct"/>
            <w:shd w:val="clear" w:color="auto" w:fill="auto"/>
          </w:tcPr>
          <w:p w14:paraId="23BF714A" w14:textId="260E4F57" w:rsidR="00E203E6" w:rsidRPr="00D64015" w:rsidRDefault="00E203E6" w:rsidP="00DB7913">
            <w:r w:rsidRPr="00D64015">
              <w:t>Transport</w:t>
            </w:r>
            <w:r w:rsidRPr="00D64015">
              <w:rPr>
                <w:rStyle w:val="FootnoteReference"/>
                <w:rFonts w:eastAsia="Times New Roman" w:cs="Arial Unicode MS"/>
                <w:noProof/>
                <w:szCs w:val="24"/>
                <w:lang w:eastAsia="en-GB" w:bidi="si-LK"/>
              </w:rPr>
              <w:footnoteReference w:id="11"/>
            </w:r>
          </w:p>
        </w:tc>
        <w:tc>
          <w:tcPr>
            <w:tcW w:w="1779" w:type="pct"/>
            <w:shd w:val="clear" w:color="auto" w:fill="auto"/>
          </w:tcPr>
          <w:p w14:paraId="0269E753" w14:textId="3FB8B9CF" w:rsidR="00E203E6" w:rsidRPr="00D64015" w:rsidRDefault="00E203E6" w:rsidP="00DB7913"/>
        </w:tc>
      </w:tr>
      <w:tr w:rsidR="00E203E6" w:rsidRPr="00E0175A" w14:paraId="6F28CEB3" w14:textId="77777777" w:rsidTr="005350C0">
        <w:tc>
          <w:tcPr>
            <w:tcW w:w="3221" w:type="pct"/>
            <w:shd w:val="clear" w:color="auto" w:fill="auto"/>
          </w:tcPr>
          <w:p w14:paraId="1927AAD3" w14:textId="74EEFC37" w:rsidR="00E203E6" w:rsidRPr="00D64015" w:rsidRDefault="00E203E6" w:rsidP="00DB7913">
            <w:r w:rsidRPr="00D64015">
              <w:lastRenderedPageBreak/>
              <w:t>Bredbånd</w:t>
            </w:r>
            <w:r w:rsidRPr="00D64015">
              <w:rPr>
                <w:rStyle w:val="FootnoteReference"/>
                <w:rFonts w:eastAsia="Times New Roman" w:cs="Arial Unicode MS"/>
                <w:noProof/>
                <w:szCs w:val="24"/>
                <w:lang w:eastAsia="en-GB" w:bidi="si-LK"/>
              </w:rPr>
              <w:footnoteReference w:id="12"/>
            </w:r>
          </w:p>
        </w:tc>
        <w:tc>
          <w:tcPr>
            <w:tcW w:w="1779" w:type="pct"/>
            <w:shd w:val="clear" w:color="auto" w:fill="auto"/>
          </w:tcPr>
          <w:p w14:paraId="21D12297" w14:textId="0F4EC8EA" w:rsidR="00E203E6" w:rsidRPr="00D64015" w:rsidRDefault="00E203E6" w:rsidP="00DB7913"/>
        </w:tc>
      </w:tr>
      <w:tr w:rsidR="00E203E6" w:rsidRPr="00E0175A" w14:paraId="0707229A" w14:textId="77777777" w:rsidTr="005350C0">
        <w:tc>
          <w:tcPr>
            <w:tcW w:w="3221" w:type="pct"/>
            <w:shd w:val="clear" w:color="auto" w:fill="auto"/>
          </w:tcPr>
          <w:p w14:paraId="0B8E8CAF" w14:textId="0A6C39B8" w:rsidR="00E203E6" w:rsidRPr="00D64015" w:rsidRDefault="00E203E6" w:rsidP="00DB7913">
            <w:r w:rsidRPr="00D64015">
              <w:t>Energi</w:t>
            </w:r>
            <w:r w:rsidRPr="00D64015">
              <w:rPr>
                <w:rStyle w:val="FootnoteReference"/>
                <w:rFonts w:eastAsia="Times New Roman" w:cs="Arial Unicode MS"/>
                <w:noProof/>
                <w:szCs w:val="24"/>
                <w:lang w:eastAsia="en-GB" w:bidi="si-LK"/>
              </w:rPr>
              <w:footnoteReference w:id="13"/>
            </w:r>
          </w:p>
        </w:tc>
        <w:tc>
          <w:tcPr>
            <w:tcW w:w="1779" w:type="pct"/>
            <w:shd w:val="clear" w:color="auto" w:fill="auto"/>
          </w:tcPr>
          <w:p w14:paraId="76B7DF87" w14:textId="5C7E6118" w:rsidR="00E203E6" w:rsidRPr="00D64015" w:rsidRDefault="00E203E6" w:rsidP="00DB7913"/>
        </w:tc>
      </w:tr>
    </w:tbl>
    <w:p w14:paraId="37C7186E" w14:textId="29838A5A" w:rsidR="00E203E6" w:rsidRPr="00E0175A" w:rsidRDefault="00E203E6" w:rsidP="00E203E6">
      <w:pPr>
        <w:pStyle w:val="Heading1"/>
        <w:rPr>
          <w:noProof/>
          <w:szCs w:val="24"/>
        </w:rPr>
      </w:pPr>
      <w:r w:rsidRPr="00E0175A">
        <w:rPr>
          <w:noProof/>
        </w:rPr>
        <w:t>Initialinvestering, støtteberettigede omkostninger og støtte</w:t>
      </w:r>
    </w:p>
    <w:p w14:paraId="6C010D6C"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Typer af initialinvesteringer, der er omfattet af ordningen</w:t>
      </w:r>
    </w:p>
    <w:p w14:paraId="7F6CE3CA"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Hvis ordningen omfatter SMV'ers eller store virksomheders</w:t>
      </w:r>
      <w:r w:rsidRPr="00E0175A">
        <w:rPr>
          <w:rStyle w:val="FootnoteReference"/>
          <w:noProof/>
        </w:rPr>
        <w:footnoteReference w:id="14"/>
      </w:r>
      <w:r w:rsidRPr="00E0175A">
        <w:rPr>
          <w:noProof/>
        </w:rPr>
        <w:t xml:space="preserve"> investeringer i a)-områder eller SMV'ers investeringer i c)-områder (punkt 45 i retningslinjerne), angives den eller de kategorier af initialinvestering, som anmeldelsen omhandler (punkt 19, nr. 13), i retningslinjerne): </w:t>
      </w:r>
    </w:p>
    <w:p w14:paraId="0F6BAA75" w14:textId="77777777" w:rsidR="00E203E6" w:rsidRPr="00E0175A" w:rsidRDefault="00DB7913" w:rsidP="00E203E6">
      <w:pPr>
        <w:pStyle w:val="Tiret1"/>
        <w:rPr>
          <w:noProof/>
        </w:rPr>
      </w:pPr>
      <w:sdt>
        <w:sdtPr>
          <w:rPr>
            <w:noProof/>
          </w:rPr>
          <w:id w:val="1251621376"/>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etablering af en ny virksomhed</w:t>
      </w:r>
    </w:p>
    <w:p w14:paraId="3076F789" w14:textId="77777777" w:rsidR="00E203E6" w:rsidRPr="00E0175A" w:rsidRDefault="00DB7913" w:rsidP="00E203E6">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udvidelse af kapaciteten i en eksisterende virksomhed</w:t>
      </w:r>
    </w:p>
    <w:p w14:paraId="5F0322FA" w14:textId="77777777" w:rsidR="00E203E6" w:rsidRPr="00E0175A" w:rsidRDefault="00DB7913" w:rsidP="00E203E6">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diversificering af en virksomheds produktion til produkter, som virksomheden ikke tidligere har fremstillet</w:t>
      </w:r>
    </w:p>
    <w:p w14:paraId="1661B35B" w14:textId="77777777" w:rsidR="00E203E6" w:rsidRPr="00E0175A" w:rsidRDefault="00DB7913" w:rsidP="00E203E6">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en grundlæggende ændring af den samlede produktionsproces for produkter berørt af investeringerne i virksomheden</w:t>
      </w:r>
    </w:p>
    <w:p w14:paraId="3D2A5811" w14:textId="77777777" w:rsidR="00E203E6" w:rsidRPr="00E0175A" w:rsidRDefault="00DB7913" w:rsidP="00E203E6">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overtagelse af aktiver, der tilhører en virksomhed, som var lukket eller ville være blevet lukket, hvis den ikke var blevet købt</w:t>
      </w:r>
      <w:r w:rsidR="00E203E6" w:rsidRPr="00E0175A">
        <w:rPr>
          <w:rStyle w:val="FootnoteReference"/>
          <w:noProof/>
        </w:rPr>
        <w:footnoteReference w:id="15"/>
      </w:r>
      <w:r w:rsidR="00E203E6" w:rsidRPr="00E0175A">
        <w:rPr>
          <w:noProof/>
        </w:rPr>
        <w:t xml:space="preserve"> </w:t>
      </w:r>
    </w:p>
    <w:p w14:paraId="1C814BE2"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Hvis ordningen omfatter store virksomheders investeringer i c)-områder, angives den eller de kategorier af initialinvestering, som anmeldelsen omhandler (punkt 19, nr. 14), og punkt 14 i retningslinjerne):</w:t>
      </w:r>
    </w:p>
    <w:p w14:paraId="2748F06C" w14:textId="77777777" w:rsidR="00E203E6" w:rsidRPr="00E0175A" w:rsidRDefault="00DB7913" w:rsidP="00E203E6">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etablering af en ny virksomhed</w:t>
      </w:r>
    </w:p>
    <w:p w14:paraId="343C387A" w14:textId="77777777" w:rsidR="00E203E6" w:rsidRPr="00E0175A" w:rsidRDefault="00DB7913" w:rsidP="00E203E6">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diversificering af en virksomheds aktiviteter, under forudsætning af at den nye aktivitet ikke er den samme eller lignende aktivitet</w:t>
      </w:r>
      <w:r w:rsidR="00E203E6" w:rsidRPr="00E0175A">
        <w:rPr>
          <w:rStyle w:val="FootnoteReference"/>
          <w:noProof/>
        </w:rPr>
        <w:footnoteReference w:id="16"/>
      </w:r>
      <w:r w:rsidR="00E203E6" w:rsidRPr="00E0175A">
        <w:rPr>
          <w:noProof/>
        </w:rPr>
        <w:t xml:space="preserve"> som den, der tidligere er blevet udført i virksomheden</w:t>
      </w:r>
    </w:p>
    <w:p w14:paraId="054F609D" w14:textId="77777777" w:rsidR="00E203E6" w:rsidRPr="00E0175A" w:rsidRDefault="00DB7913" w:rsidP="00E203E6">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erhvervelse af aktiver tilhørende en virksomhedsenhed, som er lukket, eller som ville være blevet lukket, hvis den ikke var blevet erhvervet, på betingelse af at den nye aktivitet, der skal udøves ved hjælp af de erhvervede aktiver, ikke </w:t>
      </w:r>
      <w:r w:rsidR="00E203E6" w:rsidRPr="00E0175A">
        <w:rPr>
          <w:noProof/>
        </w:rPr>
        <w:lastRenderedPageBreak/>
        <w:t>er den samme som eller svarer til den aktivitet, der blev udøvet i virksomhedsenheden forud for erhvervelsen</w:t>
      </w:r>
      <w:r w:rsidR="00E203E6" w:rsidRPr="00E0175A">
        <w:rPr>
          <w:rStyle w:val="FootnoteReference"/>
          <w:noProof/>
        </w:rPr>
        <w:footnoteReference w:id="17"/>
      </w:r>
    </w:p>
    <w:p w14:paraId="513A14AA"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Støtteberettigede omkostninger beregnet på basis af investeringsomkostninger</w:t>
      </w:r>
    </w:p>
    <w:p w14:paraId="3C37AF5A"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Hvis de støtteberettigede omkostninger i ordningen vedrører materielle aktiver (punkt 19, nr. 31), i retningslinjerne): Angiv, om værdien af investeringen beregnes som en procentdel af udgifterne til jord, bygninger og anlæg, maskiner og udstyr:</w:t>
      </w:r>
    </w:p>
    <w:p w14:paraId="3F4ED142" w14:textId="77777777" w:rsidR="00E203E6" w:rsidRPr="00E0175A" w:rsidRDefault="00DB7913" w:rsidP="00E203E6">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jord</w:t>
      </w:r>
    </w:p>
    <w:p w14:paraId="4DBEA858" w14:textId="77777777" w:rsidR="00E203E6" w:rsidRPr="00E0175A" w:rsidRDefault="00DB7913" w:rsidP="00E203E6">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bygninger </w:t>
      </w:r>
    </w:p>
    <w:p w14:paraId="264D09DE" w14:textId="77777777" w:rsidR="00E203E6" w:rsidRPr="00E0175A" w:rsidRDefault="00DB7913" w:rsidP="00E203E6">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anlæg/maskiner/udstyr</w:t>
      </w:r>
    </w:p>
    <w:p w14:paraId="74805194" w14:textId="77777777" w:rsidR="00E203E6" w:rsidRPr="00E0175A" w:rsidRDefault="00E203E6" w:rsidP="00E203E6">
      <w:pPr>
        <w:pStyle w:val="Text2"/>
        <w:ind w:left="1843" w:hanging="425"/>
        <w:rPr>
          <w:noProof/>
        </w:rPr>
      </w:pPr>
      <w:r w:rsidRPr="00E0175A">
        <w:rPr>
          <w:noProof/>
        </w:rPr>
        <w:t xml:space="preserve">Henvis til de relevante bestemmelser i retsgrundlaget: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F9C1739" w14:textId="77777777" w:rsidTr="005350C0">
        <w:tc>
          <w:tcPr>
            <w:tcW w:w="7682" w:type="dxa"/>
            <w:shd w:val="clear" w:color="auto" w:fill="auto"/>
          </w:tcPr>
          <w:p w14:paraId="79C682FD" w14:textId="77777777" w:rsidR="00E203E6" w:rsidRPr="00E0175A" w:rsidRDefault="00E203E6" w:rsidP="005350C0">
            <w:pPr>
              <w:rPr>
                <w:noProof/>
              </w:rPr>
            </w:pPr>
            <w:r w:rsidRPr="00E0175A">
              <w:rPr>
                <w:noProof/>
              </w:rPr>
              <w:t xml:space="preserve">… </w:t>
            </w:r>
          </w:p>
        </w:tc>
      </w:tr>
    </w:tbl>
    <w:p w14:paraId="3233D487"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color w:val="000000"/>
        </w:rPr>
        <w:t xml:space="preserve">Henvis til </w:t>
      </w:r>
      <w:bookmarkStart w:id="0" w:name="OLE_LINK1"/>
      <w:bookmarkStart w:id="1" w:name="OLE_LINK2"/>
      <w:r w:rsidRPr="00E0175A">
        <w:rPr>
          <w:noProof/>
          <w:color w:val="000000"/>
        </w:rPr>
        <w:t xml:space="preserve">den relevante </w:t>
      </w:r>
      <w:bookmarkEnd w:id="0"/>
      <w:bookmarkEnd w:id="1"/>
      <w:r w:rsidRPr="00E0175A">
        <w:rPr>
          <w:noProof/>
          <w:color w:val="000000"/>
        </w:rPr>
        <w:t>bestemmelse i retsgrundlaget, hvori det fastsættes, at det erhvervede aktiv skal være nyt</w:t>
      </w:r>
      <w:r w:rsidRPr="00E0175A">
        <w:rPr>
          <w:rStyle w:val="FootnoteReference"/>
          <w:noProof/>
        </w:rPr>
        <w:footnoteReference w:id="18"/>
      </w:r>
      <w:r w:rsidRPr="00E0175A">
        <w:rPr>
          <w:noProof/>
        </w:rPr>
        <w:t xml:space="preserve"> (punkt 27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37581F2F" w14:textId="77777777" w:rsidTr="005350C0">
        <w:tc>
          <w:tcPr>
            <w:tcW w:w="7682" w:type="dxa"/>
            <w:shd w:val="clear" w:color="auto" w:fill="auto"/>
          </w:tcPr>
          <w:p w14:paraId="096D0B53" w14:textId="77777777" w:rsidR="00E203E6" w:rsidRPr="00E0175A" w:rsidRDefault="00E203E6" w:rsidP="005350C0">
            <w:pPr>
              <w:rPr>
                <w:noProof/>
              </w:rPr>
            </w:pPr>
            <w:r w:rsidRPr="00E0175A">
              <w:rPr>
                <w:noProof/>
              </w:rPr>
              <w:t xml:space="preserve">… </w:t>
            </w:r>
          </w:p>
        </w:tc>
      </w:tr>
    </w:tbl>
    <w:p w14:paraId="4AB1121C"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 xml:space="preserve">Henvis til den relevante bestemmelse i retsgrundlaget, hvori det fastsættes, at højst 50 % af SMV'ers udgifter til forundersøgelser eller konsulentbistand i tilknytning til investeringen kan anses for støtteberettigede omkostninger (punkt 28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4F0476B" w14:textId="77777777" w:rsidTr="005350C0">
        <w:tc>
          <w:tcPr>
            <w:tcW w:w="7682" w:type="dxa"/>
            <w:shd w:val="clear" w:color="auto" w:fill="auto"/>
          </w:tcPr>
          <w:p w14:paraId="06109351" w14:textId="77777777" w:rsidR="00E203E6" w:rsidRPr="00E0175A" w:rsidRDefault="00E203E6" w:rsidP="005350C0">
            <w:pPr>
              <w:rPr>
                <w:noProof/>
              </w:rPr>
            </w:pPr>
            <w:r w:rsidRPr="00E0175A">
              <w:rPr>
                <w:noProof/>
              </w:rPr>
              <w:t>…</w:t>
            </w:r>
          </w:p>
        </w:tc>
      </w:tr>
    </w:tbl>
    <w:p w14:paraId="50F0A82A"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 xml:space="preserve">Henvis til den relevante bestemmelse i retsgrundlaget, hvori det fastsættes, at det for støtte ydet til store virksomheder til en gennemgribende ændring i produktionsprocessen gælder, at de støtteberettigede omkostninger skal overstige de tre forudgående regnskabsårs afskrivning på de aktiver, som er knyttet til den aktivitet, der skal moderniseres (punkt 29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B7BB2DD" w14:textId="77777777" w:rsidTr="005350C0">
        <w:tc>
          <w:tcPr>
            <w:tcW w:w="7682" w:type="dxa"/>
            <w:shd w:val="clear" w:color="auto" w:fill="auto"/>
          </w:tcPr>
          <w:p w14:paraId="3B703A5C" w14:textId="77777777" w:rsidR="00E203E6" w:rsidRPr="00E0175A" w:rsidRDefault="00E203E6" w:rsidP="005350C0">
            <w:pPr>
              <w:rPr>
                <w:noProof/>
              </w:rPr>
            </w:pPr>
            <w:r w:rsidRPr="00E0175A">
              <w:rPr>
                <w:noProof/>
              </w:rPr>
              <w:t>….</w:t>
            </w:r>
          </w:p>
        </w:tc>
      </w:tr>
    </w:tbl>
    <w:p w14:paraId="3389A127"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 xml:space="preserve">Henvis til den relevante bestemmelse i retsgrundlaget, hvori det fastsættes, at det for støtte ydet til diversificering af en eksisterende virksomhed gælder, at de støtteberettigede omkostninger overstiger den bogførte værdi af de aktiver, der genbruges, med mindst 200 % i det regnskabsår, der gik forud for projektets påbegyndelse (punkt 30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65E3176B" w14:textId="77777777" w:rsidTr="005350C0">
        <w:tc>
          <w:tcPr>
            <w:tcW w:w="7682" w:type="dxa"/>
            <w:shd w:val="clear" w:color="auto" w:fill="auto"/>
          </w:tcPr>
          <w:p w14:paraId="41F818FA" w14:textId="77777777" w:rsidR="00E203E6" w:rsidRPr="00E0175A" w:rsidRDefault="00E203E6" w:rsidP="005350C0">
            <w:pPr>
              <w:rPr>
                <w:noProof/>
              </w:rPr>
            </w:pPr>
            <w:r w:rsidRPr="00E0175A">
              <w:rPr>
                <w:noProof/>
              </w:rPr>
              <w:t>…</w:t>
            </w:r>
          </w:p>
        </w:tc>
      </w:tr>
    </w:tbl>
    <w:p w14:paraId="54065397"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lastRenderedPageBreak/>
        <w:t xml:space="preserve">Ved leje af materielle aktiver: Henvis til de relevante bestemmelser i retsgrundlaget, hvori det fastsættes, at følgende betingelser skal være opfyldt (punkt 31 i retningslinjerne). </w:t>
      </w:r>
    </w:p>
    <w:p w14:paraId="11C19B07" w14:textId="77777777" w:rsidR="00E203E6" w:rsidRPr="00E0175A" w:rsidRDefault="00E203E6" w:rsidP="00E203E6">
      <w:pPr>
        <w:pStyle w:val="Normal127Bullet63"/>
        <w:spacing w:after="120"/>
        <w:rPr>
          <w:noProof/>
        </w:rPr>
      </w:pPr>
      <w:r w:rsidRPr="00E0175A">
        <w:rPr>
          <w:noProof/>
        </w:rPr>
        <w:t>Ved leje af jord og bygninger skal lejeaftalen have en løbetid på mindst fem år efter det tidspunkt, hvor investeringsprojektet forventes afsluttet, når det gælder store virksomheder, og tre år for SMV'er.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E203E6" w:rsidRPr="00E0175A" w14:paraId="02901B5E" w14:textId="77777777" w:rsidTr="005350C0">
        <w:tc>
          <w:tcPr>
            <w:tcW w:w="7399" w:type="dxa"/>
            <w:shd w:val="clear" w:color="auto" w:fill="auto"/>
          </w:tcPr>
          <w:p w14:paraId="4B6526D8" w14:textId="77777777" w:rsidR="00E203E6" w:rsidRPr="00E0175A" w:rsidRDefault="00E203E6" w:rsidP="005350C0">
            <w:pPr>
              <w:rPr>
                <w:noProof/>
              </w:rPr>
            </w:pPr>
            <w:r w:rsidRPr="00E0175A">
              <w:rPr>
                <w:noProof/>
              </w:rPr>
              <w:t>..</w:t>
            </w:r>
          </w:p>
        </w:tc>
      </w:tr>
    </w:tbl>
    <w:p w14:paraId="6D769207" w14:textId="77777777" w:rsidR="00E203E6" w:rsidRPr="00E0175A" w:rsidRDefault="00E203E6" w:rsidP="00E203E6">
      <w:pPr>
        <w:pStyle w:val="Normal127Bullet63"/>
        <w:spacing w:after="120"/>
        <w:rPr>
          <w:noProof/>
        </w:rPr>
      </w:pPr>
      <w:r w:rsidRPr="00E0175A">
        <w:rPr>
          <w:noProof/>
        </w:rPr>
        <w:t xml:space="preserve">Hvad angår udstyr eller maskiner, skal der være tale om finansiel leasing, hvor støttemodtageren er forpligtet til at købe det pågældende aktiv efter leasingperiodens udløb.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E203E6" w:rsidRPr="00E0175A" w14:paraId="6DCC3332" w14:textId="77777777" w:rsidTr="005350C0">
        <w:tc>
          <w:tcPr>
            <w:tcW w:w="7399" w:type="dxa"/>
            <w:shd w:val="clear" w:color="auto" w:fill="auto"/>
          </w:tcPr>
          <w:p w14:paraId="78CD0F2D" w14:textId="77777777" w:rsidR="00E203E6" w:rsidRPr="00E0175A" w:rsidRDefault="00E203E6" w:rsidP="005350C0">
            <w:pPr>
              <w:rPr>
                <w:noProof/>
              </w:rPr>
            </w:pPr>
            <w:r w:rsidRPr="00E0175A">
              <w:rPr>
                <w:noProof/>
              </w:rPr>
              <w:t>…</w:t>
            </w:r>
          </w:p>
        </w:tc>
      </w:tr>
    </w:tbl>
    <w:p w14:paraId="4DD4FD20"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Ifølge punkt 32 i retningslinjerne bør det i tilfælde af overtagelser af en virksomhed "</w:t>
      </w:r>
      <w:r w:rsidRPr="00E0175A">
        <w:rPr>
          <w:i/>
          <w:noProof/>
          <w:color w:val="000000"/>
        </w:rPr>
        <w:t>i princippet kun være udgifterne til køb af aktiverne fra en tredjepart uden tilknytning til køberen, som medregnes. Hvis den oprindelige ejers familie eller en medarbejder overtager en lille virksomhed, gælder betingelsen om, at aktiverne skal købes af en tredjepart uden tilknytning til køberen, imidlertid ikke. Transaktionen skal gennemføres på markedsvilkår. Hvis overtagelsen af en virksomheds aktiver ledsages af en supplerende investering, der er berettiget til regionalstøtte, skal de støtteberettigede omkostninger, der er knyttet til denne supplerende investering, lægges til omkostningerne ved erhvervelse af virksomhedens aktiver.</w:t>
      </w:r>
      <w:r w:rsidRPr="00E0175A">
        <w:rPr>
          <w:noProof/>
          <w:color w:val="000000"/>
        </w:rPr>
        <w:t xml:space="preserve">" </w:t>
      </w:r>
    </w:p>
    <w:p w14:paraId="7EFF871E" w14:textId="77777777" w:rsidR="00E203E6" w:rsidRPr="00E0175A" w:rsidRDefault="00E203E6" w:rsidP="00E203E6">
      <w:pPr>
        <w:pStyle w:val="NormalKop111"/>
        <w:tabs>
          <w:tab w:val="clear" w:pos="720"/>
          <w:tab w:val="clear" w:pos="1440"/>
          <w:tab w:val="clear" w:pos="1797"/>
        </w:tabs>
        <w:ind w:left="1418"/>
        <w:rPr>
          <w:noProof/>
        </w:rPr>
      </w:pPr>
      <w:r w:rsidRPr="00E0175A">
        <w:rPr>
          <w:noProof/>
        </w:rPr>
        <w:t xml:space="preserve">Hvis det er relevant i den anmeldte ordning, henvis da til </w:t>
      </w:r>
      <w:r w:rsidRPr="00E0175A">
        <w:rPr>
          <w:noProof/>
          <w:color w:val="000000"/>
        </w:rPr>
        <w:t>de bestemmelser i retsgrundlaget, hvori det fastsættes, at</w:t>
      </w:r>
      <w:r w:rsidRPr="00E0175A">
        <w:rPr>
          <w:noProof/>
        </w:rPr>
        <w:t xml:space="preserve"> ovennævnte betingelser skal være opfyldt: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1F7DBA06" w14:textId="77777777" w:rsidTr="005350C0">
        <w:tc>
          <w:tcPr>
            <w:tcW w:w="7682" w:type="dxa"/>
            <w:shd w:val="clear" w:color="auto" w:fill="auto"/>
          </w:tcPr>
          <w:p w14:paraId="2BEF8994" w14:textId="77777777" w:rsidR="00E203E6" w:rsidRPr="00E0175A" w:rsidRDefault="00E203E6" w:rsidP="005350C0">
            <w:pPr>
              <w:rPr>
                <w:noProof/>
              </w:rPr>
            </w:pPr>
            <w:r w:rsidRPr="00E0175A">
              <w:rPr>
                <w:noProof/>
              </w:rPr>
              <w:t>…</w:t>
            </w:r>
          </w:p>
        </w:tc>
      </w:tr>
    </w:tbl>
    <w:p w14:paraId="3556480E"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Hvis de støtteberettigede omkostninger i ordningen vedrører immaterielle aktiver (punkt 19, nr. 15), i retningslinjerne): Angiv, om værdien af investeringen beregnes på grundlag af udgifterne til teknologioverførsel gennem erhvervelse af patentrettigheder, licenser, knowhow eller anden intellektuel ejendom:</w:t>
      </w:r>
    </w:p>
    <w:p w14:paraId="4A170CB0" w14:textId="77777777" w:rsidR="00E203E6" w:rsidRPr="00E0175A" w:rsidRDefault="00DB7913" w:rsidP="00E203E6">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patentrettigheder</w:t>
      </w:r>
    </w:p>
    <w:p w14:paraId="714EA057" w14:textId="77777777" w:rsidR="00E203E6" w:rsidRPr="00E0175A" w:rsidRDefault="00DB7913" w:rsidP="00E203E6">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licenser</w:t>
      </w:r>
    </w:p>
    <w:p w14:paraId="706A12BA" w14:textId="77777777" w:rsidR="00E203E6" w:rsidRPr="00E0175A" w:rsidRDefault="00DB7913" w:rsidP="00E203E6">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knowhow</w:t>
      </w:r>
    </w:p>
    <w:p w14:paraId="305D63C8" w14:textId="77777777" w:rsidR="00E203E6" w:rsidRPr="00E0175A" w:rsidRDefault="00DB7913" w:rsidP="00E203E6">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anden intellektuel ejendom</w:t>
      </w:r>
    </w:p>
    <w:p w14:paraId="09C9AD07" w14:textId="77777777" w:rsidR="00E203E6" w:rsidRPr="00E0175A" w:rsidRDefault="00E203E6" w:rsidP="00E203E6">
      <w:pPr>
        <w:pStyle w:val="Text2"/>
        <w:ind w:left="1418"/>
        <w:rPr>
          <w:noProof/>
        </w:rPr>
      </w:pPr>
      <w:r w:rsidRPr="00E0175A">
        <w:rPr>
          <w:noProof/>
        </w:rPr>
        <w:t>Henvis til de relevante bestemmelser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1F425624" w14:textId="77777777" w:rsidTr="005350C0">
        <w:tc>
          <w:tcPr>
            <w:tcW w:w="7682" w:type="dxa"/>
            <w:shd w:val="clear" w:color="auto" w:fill="auto"/>
          </w:tcPr>
          <w:p w14:paraId="18FF8FF5" w14:textId="77777777" w:rsidR="00E203E6" w:rsidRPr="00E0175A" w:rsidRDefault="00E203E6" w:rsidP="005350C0">
            <w:pPr>
              <w:rPr>
                <w:noProof/>
              </w:rPr>
            </w:pPr>
            <w:r w:rsidRPr="00E0175A">
              <w:rPr>
                <w:noProof/>
              </w:rPr>
              <w:t>…</w:t>
            </w:r>
          </w:p>
        </w:tc>
      </w:tr>
    </w:tbl>
    <w:p w14:paraId="4EEF5607"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 xml:space="preserve">Henvis til de relevante bestemmelser i retsgrundlaget, hvori det fastsættes, at det for store virksomheder gælder, at udgifterne til støtteberettigede </w:t>
      </w:r>
      <w:r w:rsidRPr="00E0175A">
        <w:rPr>
          <w:noProof/>
          <w:color w:val="000000"/>
        </w:rPr>
        <w:lastRenderedPageBreak/>
        <w:t>immaterielle investeringer ikke må overstige 50 % af projektets samlede støtteberettigede omkostninger (punkt 33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8AB7321" w14:textId="77777777" w:rsidTr="005350C0">
        <w:tc>
          <w:tcPr>
            <w:tcW w:w="7682" w:type="dxa"/>
            <w:shd w:val="clear" w:color="auto" w:fill="auto"/>
          </w:tcPr>
          <w:p w14:paraId="4EC4382A" w14:textId="77777777" w:rsidR="00E203E6" w:rsidRPr="00E0175A" w:rsidRDefault="00E203E6" w:rsidP="005350C0">
            <w:pPr>
              <w:rPr>
                <w:noProof/>
              </w:rPr>
            </w:pPr>
            <w:r w:rsidRPr="00E0175A">
              <w:rPr>
                <w:noProof/>
              </w:rPr>
              <w:t>…</w:t>
            </w:r>
          </w:p>
        </w:tc>
      </w:tr>
    </w:tbl>
    <w:p w14:paraId="446CAAF4"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color w:val="000000"/>
        </w:rPr>
      </w:pPr>
      <w:r w:rsidRPr="00E0175A">
        <w:rPr>
          <w:noProof/>
          <w:color w:val="000000"/>
        </w:rPr>
        <w:t>Henvis til de relevante bestemmelser i retsgrundlaget, hvori det fastsættes, at betingelserne i punkt 34 i retningslinjerne</w:t>
      </w:r>
      <w:r w:rsidRPr="00E0175A">
        <w:rPr>
          <w:rStyle w:val="FootnoteReference"/>
          <w:noProof/>
        </w:rPr>
        <w:footnoteReference w:id="19"/>
      </w:r>
      <w:r w:rsidRPr="00E0175A">
        <w:rPr>
          <w:noProof/>
          <w:color w:val="000000"/>
        </w:rPr>
        <w:t xml:space="preserve"> skal være opfyldt: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1C378A1F" w14:textId="77777777" w:rsidTr="005350C0">
        <w:tc>
          <w:tcPr>
            <w:tcW w:w="7682" w:type="dxa"/>
            <w:shd w:val="clear" w:color="auto" w:fill="auto"/>
          </w:tcPr>
          <w:p w14:paraId="17E7370C" w14:textId="77777777" w:rsidR="00E203E6" w:rsidRPr="00E0175A" w:rsidRDefault="00E203E6" w:rsidP="005350C0">
            <w:pPr>
              <w:rPr>
                <w:noProof/>
              </w:rPr>
            </w:pPr>
            <w:r w:rsidRPr="00E0175A">
              <w:rPr>
                <w:noProof/>
              </w:rPr>
              <w:t>…</w:t>
            </w:r>
          </w:p>
        </w:tc>
      </w:tr>
    </w:tbl>
    <w:p w14:paraId="19BA9B09"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Støtteberettigede omkostninger beregnet på basis af lønomkostninger</w:t>
      </w:r>
    </w:p>
    <w:p w14:paraId="26DA5E98"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Henvis til de relevante bestemmelser i retsgrundlaget, hvori det fastsættes, hvordan støtteberettigede omkostninger beregnet på basis af lønomkostninger skal fastlægges (punkt 35 i retningslinjerne), hvordan antallet af skabte arbejdspladser skal beregnes under henvisning til punkt 19, nr. 16), i retningslinjerne, og hvordan lønomkostningerne til nyansatte skal fastlægges under henvisning til punkt 19, nr. 33),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19F750B0" w14:textId="77777777" w:rsidTr="005350C0">
        <w:tc>
          <w:tcPr>
            <w:tcW w:w="7682" w:type="dxa"/>
            <w:shd w:val="clear" w:color="auto" w:fill="auto"/>
          </w:tcPr>
          <w:p w14:paraId="226BBB25" w14:textId="77777777" w:rsidR="00E203E6" w:rsidRPr="00E0175A" w:rsidRDefault="00E203E6" w:rsidP="005350C0">
            <w:pPr>
              <w:rPr>
                <w:noProof/>
              </w:rPr>
            </w:pPr>
            <w:r w:rsidRPr="00E0175A">
              <w:rPr>
                <w:noProof/>
              </w:rPr>
              <w:t>…</w:t>
            </w:r>
          </w:p>
        </w:tc>
      </w:tr>
    </w:tbl>
    <w:p w14:paraId="3FDF2609"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Beregning af tilbagediskonterede støtteberettigede omkostninger</w:t>
      </w:r>
    </w:p>
    <w:p w14:paraId="6EC306A7"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Oplys, hvilke former for støtte der kan ydes under ordningen:</w:t>
      </w:r>
    </w:p>
    <w:p w14:paraId="4AE31746" w14:textId="77777777" w:rsidR="00E203E6" w:rsidRPr="00E0175A" w:rsidRDefault="00DB7913" w:rsidP="00E203E6">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Tilskud –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203E6" w:rsidRPr="00E0175A" w14:paraId="06FD5028" w14:textId="77777777" w:rsidTr="005350C0">
        <w:tc>
          <w:tcPr>
            <w:tcW w:w="7115" w:type="dxa"/>
            <w:shd w:val="clear" w:color="auto" w:fill="auto"/>
          </w:tcPr>
          <w:p w14:paraId="0500B3C5" w14:textId="77777777" w:rsidR="00E203E6" w:rsidRPr="00E0175A" w:rsidRDefault="00E203E6" w:rsidP="00D64015">
            <w:pPr>
              <w:rPr>
                <w:noProof/>
              </w:rPr>
            </w:pPr>
            <w:r w:rsidRPr="00E0175A">
              <w:rPr>
                <w:noProof/>
              </w:rPr>
              <w:t xml:space="preserve">… </w:t>
            </w:r>
          </w:p>
        </w:tc>
      </w:tr>
    </w:tbl>
    <w:p w14:paraId="3EF8BBDD" w14:textId="77777777" w:rsidR="00E203E6" w:rsidRPr="00E0175A" w:rsidRDefault="00DB7913" w:rsidP="00E203E6">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Lån – oplys, hvordan subventionsækvivalenten beregnes, og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203E6" w:rsidRPr="00E0175A" w14:paraId="65506F68" w14:textId="77777777" w:rsidTr="005350C0">
        <w:tc>
          <w:tcPr>
            <w:tcW w:w="7115" w:type="dxa"/>
            <w:shd w:val="clear" w:color="auto" w:fill="auto"/>
          </w:tcPr>
          <w:p w14:paraId="674BE300" w14:textId="77777777" w:rsidR="00E203E6" w:rsidRPr="00E0175A" w:rsidRDefault="00E203E6" w:rsidP="00D64015">
            <w:pPr>
              <w:rPr>
                <w:noProof/>
              </w:rPr>
            </w:pPr>
            <w:r w:rsidRPr="00E0175A">
              <w:rPr>
                <w:noProof/>
              </w:rPr>
              <w:t xml:space="preserve">… </w:t>
            </w:r>
          </w:p>
        </w:tc>
      </w:tr>
    </w:tbl>
    <w:p w14:paraId="59CEE503" w14:textId="77777777" w:rsidR="00E203E6" w:rsidRPr="00E0175A" w:rsidRDefault="00DB7913" w:rsidP="00E203E6">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Sikkerhedsstillelse – oplys, hvordan subventionsækvivalenten beregnes, og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203E6" w:rsidRPr="00E0175A" w14:paraId="06BB9A88" w14:textId="77777777" w:rsidTr="005350C0">
        <w:tc>
          <w:tcPr>
            <w:tcW w:w="7115" w:type="dxa"/>
            <w:shd w:val="clear" w:color="auto" w:fill="auto"/>
          </w:tcPr>
          <w:p w14:paraId="71348412" w14:textId="77777777" w:rsidR="00E203E6" w:rsidRPr="00E0175A" w:rsidRDefault="00E203E6" w:rsidP="00D64015">
            <w:pPr>
              <w:rPr>
                <w:noProof/>
              </w:rPr>
            </w:pPr>
            <w:r w:rsidRPr="00E0175A">
              <w:rPr>
                <w:noProof/>
              </w:rPr>
              <w:t>…</w:t>
            </w:r>
          </w:p>
        </w:tc>
      </w:tr>
    </w:tbl>
    <w:p w14:paraId="66240DC6" w14:textId="77777777" w:rsidR="00E203E6" w:rsidRPr="00E0175A" w:rsidRDefault="00DB7913" w:rsidP="00E203E6">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Skattefordele – oplys, hvilken type foranstaltninger der er tale om, og hvordan subventionsækvivalenten beregnes. Henvis også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203E6" w:rsidRPr="00E0175A" w14:paraId="4F1EDC42" w14:textId="77777777" w:rsidTr="005350C0">
        <w:tc>
          <w:tcPr>
            <w:tcW w:w="7115" w:type="dxa"/>
            <w:shd w:val="clear" w:color="auto" w:fill="auto"/>
          </w:tcPr>
          <w:p w14:paraId="103151E1" w14:textId="77777777" w:rsidR="00E203E6" w:rsidRPr="00E0175A" w:rsidRDefault="00E203E6" w:rsidP="00D64015">
            <w:pPr>
              <w:rPr>
                <w:noProof/>
              </w:rPr>
            </w:pPr>
            <w:r w:rsidRPr="00E0175A">
              <w:rPr>
                <w:noProof/>
              </w:rPr>
              <w:lastRenderedPageBreak/>
              <w:t>…</w:t>
            </w:r>
          </w:p>
        </w:tc>
      </w:tr>
    </w:tbl>
    <w:p w14:paraId="6DF4C0AB" w14:textId="77777777" w:rsidR="00E203E6" w:rsidRPr="00E0175A" w:rsidRDefault="00DB7913" w:rsidP="00E203E6">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Andet – angiv nærmere og oplys, hvordan subventionsækvivalenten beregnes. Henvis også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203E6" w:rsidRPr="00E0175A" w14:paraId="762057B2" w14:textId="77777777" w:rsidTr="005350C0">
        <w:tc>
          <w:tcPr>
            <w:tcW w:w="7115" w:type="dxa"/>
            <w:shd w:val="clear" w:color="auto" w:fill="auto"/>
          </w:tcPr>
          <w:p w14:paraId="61904127" w14:textId="77777777" w:rsidR="00E203E6" w:rsidRPr="00E0175A" w:rsidRDefault="00E203E6" w:rsidP="005350C0">
            <w:pPr>
              <w:rPr>
                <w:noProof/>
              </w:rPr>
            </w:pPr>
            <w:r w:rsidRPr="00E0175A">
              <w:rPr>
                <w:noProof/>
              </w:rPr>
              <w:t>….</w:t>
            </w:r>
          </w:p>
        </w:tc>
      </w:tr>
    </w:tbl>
    <w:p w14:paraId="51D14265"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Angiv, om støtteordningen er berettiget til medfinansiering fra nogen af de EU-fonde, der gennemføres under delt forvaltning ("fondene"). Angiv i så fald det program, fra hvilket der kan bevilges midler. Angiv også beløbet på den pågældende bevilling fra fondene, hvis det kendes på nuværende tidspunkt: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17C86DE7" w14:textId="77777777" w:rsidTr="005350C0">
        <w:tc>
          <w:tcPr>
            <w:tcW w:w="7682" w:type="dxa"/>
            <w:tcBorders>
              <w:top w:val="dotted" w:sz="4" w:space="0" w:color="auto"/>
              <w:left w:val="dotted" w:sz="4" w:space="0" w:color="auto"/>
              <w:bottom w:val="dotted" w:sz="4" w:space="0" w:color="auto"/>
              <w:right w:val="dotted" w:sz="4" w:space="0" w:color="auto"/>
            </w:tcBorders>
          </w:tcPr>
          <w:p w14:paraId="63ED0AE9" w14:textId="77777777" w:rsidR="00E203E6" w:rsidRPr="00E0175A" w:rsidRDefault="00E203E6" w:rsidP="005350C0">
            <w:pPr>
              <w:rPr>
                <w:noProof/>
              </w:rPr>
            </w:pPr>
            <w:r w:rsidRPr="00E0175A">
              <w:rPr>
                <w:noProof/>
              </w:rPr>
              <w:t>…</w:t>
            </w:r>
          </w:p>
        </w:tc>
      </w:tr>
    </w:tbl>
    <w:p w14:paraId="7F2D07E9"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 xml:space="preserve">Henvis til de relevante bestemmelser i retsgrundlaget, hvori det fastsættes, at den støtteydende myndighed før ydelse af individuel støtte under den anmeldte støtteordning skal fastslå, om modtageren (på koncernniveau) modtog støtte til en (eller flere) initialinvestering(er) påbegyndt i samme NUTS 3-region inden for tre år før investeringsprojektets påbegyndelse: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6BDF2018" w14:textId="77777777" w:rsidTr="005350C0">
        <w:tc>
          <w:tcPr>
            <w:tcW w:w="7682" w:type="dxa"/>
            <w:tcBorders>
              <w:top w:val="dotted" w:sz="4" w:space="0" w:color="auto"/>
              <w:left w:val="dotted" w:sz="4" w:space="0" w:color="auto"/>
              <w:bottom w:val="dotted" w:sz="4" w:space="0" w:color="auto"/>
              <w:right w:val="dotted" w:sz="4" w:space="0" w:color="auto"/>
            </w:tcBorders>
          </w:tcPr>
          <w:p w14:paraId="7D958368" w14:textId="77777777" w:rsidR="00E203E6" w:rsidRPr="00E0175A" w:rsidRDefault="00E203E6" w:rsidP="005350C0">
            <w:pPr>
              <w:rPr>
                <w:noProof/>
              </w:rPr>
            </w:pPr>
            <w:r w:rsidRPr="00E0175A">
              <w:rPr>
                <w:noProof/>
              </w:rPr>
              <w:t>…</w:t>
            </w:r>
          </w:p>
        </w:tc>
      </w:tr>
    </w:tbl>
    <w:p w14:paraId="69DF2789"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fastsættes, at det samlede støttebeløb, der vil blive ydet i henhold til ordningen til et initialinvesteringsprojekt, ikke overstiger det beløb, der følger af den "maksimale støtteintensitet" (som defineret i punkt 19, nr. 19), i retningslinjerne), idet der tages hensyn til den øgede støtteintensitet for SMV'er (som fastlagt i punkt 186 i retningslinjerne) eller det "justerede støttebeløb" (som defineret i punkt 19, nr. 3), i retningslinjerne), hvor det er relevant: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67656368" w14:textId="77777777" w:rsidTr="005350C0">
        <w:tc>
          <w:tcPr>
            <w:tcW w:w="7682" w:type="dxa"/>
            <w:tcBorders>
              <w:top w:val="dotted" w:sz="4" w:space="0" w:color="auto"/>
              <w:left w:val="dotted" w:sz="4" w:space="0" w:color="auto"/>
              <w:bottom w:val="dotted" w:sz="4" w:space="0" w:color="auto"/>
              <w:right w:val="dotted" w:sz="4" w:space="0" w:color="auto"/>
            </w:tcBorders>
          </w:tcPr>
          <w:p w14:paraId="30FCA57C" w14:textId="77777777" w:rsidR="00E203E6" w:rsidRPr="00E0175A" w:rsidRDefault="00E203E6" w:rsidP="005350C0">
            <w:pPr>
              <w:rPr>
                <w:noProof/>
              </w:rPr>
            </w:pPr>
            <w:r w:rsidRPr="00E0175A">
              <w:rPr>
                <w:noProof/>
              </w:rPr>
              <w:t>…</w:t>
            </w:r>
          </w:p>
        </w:tc>
      </w:tr>
    </w:tbl>
    <w:p w14:paraId="37A3730F"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fastsættes, at når der ydes individuel støtte i henhold til flere regionalstøtteordninger eller i kumulation med ad hoc-støtte, beregnes den maksimalt tilladte støtteintensitet, der kan ydes til projektet, på forhånd af den første støtteydende myndighed (punkt 99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52D2C90" w14:textId="77777777" w:rsidTr="005350C0">
        <w:tc>
          <w:tcPr>
            <w:tcW w:w="7682" w:type="dxa"/>
            <w:tcBorders>
              <w:top w:val="dotted" w:sz="4" w:space="0" w:color="auto"/>
              <w:left w:val="dotted" w:sz="4" w:space="0" w:color="auto"/>
              <w:bottom w:val="dotted" w:sz="4" w:space="0" w:color="auto"/>
              <w:right w:val="dotted" w:sz="4" w:space="0" w:color="auto"/>
            </w:tcBorders>
          </w:tcPr>
          <w:p w14:paraId="1481DDF8" w14:textId="77777777" w:rsidR="00E203E6" w:rsidRPr="00E0175A" w:rsidRDefault="00E203E6" w:rsidP="005350C0">
            <w:pPr>
              <w:rPr>
                <w:noProof/>
              </w:rPr>
            </w:pPr>
            <w:r w:rsidRPr="00E0175A">
              <w:rPr>
                <w:noProof/>
              </w:rPr>
              <w:t>…</w:t>
            </w:r>
          </w:p>
        </w:tc>
      </w:tr>
    </w:tbl>
    <w:p w14:paraId="4113765D"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 xml:space="preserve">Hvis støtteordningen muliggør støtte til initialinvesteringer knyttet til projekter under det europæiske territoriale samarbejde (ETS-projekter): Henvis til de relevante bestemmelser i retsgrundlaget, hvori det fastsættes (med henvisning til bestemmelserne i punkt 100 i retningslinjerne), hvordan den maksimalt tilladte støtteintensitet for projektet og de forskellige involverede støttemodtagere beregnes: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0601CAC" w14:textId="77777777" w:rsidTr="005350C0">
        <w:tc>
          <w:tcPr>
            <w:tcW w:w="7682" w:type="dxa"/>
            <w:tcBorders>
              <w:top w:val="dotted" w:sz="4" w:space="0" w:color="auto"/>
              <w:left w:val="dotted" w:sz="4" w:space="0" w:color="auto"/>
              <w:bottom w:val="dotted" w:sz="4" w:space="0" w:color="auto"/>
              <w:right w:val="dotted" w:sz="4" w:space="0" w:color="auto"/>
            </w:tcBorders>
          </w:tcPr>
          <w:p w14:paraId="22B0B6C3" w14:textId="77777777" w:rsidR="00E203E6" w:rsidRPr="00E0175A" w:rsidRDefault="00E203E6" w:rsidP="005350C0">
            <w:pPr>
              <w:rPr>
                <w:noProof/>
              </w:rPr>
            </w:pPr>
            <w:r w:rsidRPr="00E0175A">
              <w:rPr>
                <w:noProof/>
              </w:rPr>
              <w:t>…</w:t>
            </w:r>
          </w:p>
        </w:tc>
      </w:tr>
    </w:tbl>
    <w:p w14:paraId="3238D76A" w14:textId="5B0D5505" w:rsidR="00E203E6" w:rsidRPr="00E0175A" w:rsidRDefault="00E203E6" w:rsidP="00E203E6">
      <w:pPr>
        <w:pStyle w:val="Heading1"/>
        <w:rPr>
          <w:noProof/>
        </w:rPr>
      </w:pPr>
      <w:r w:rsidRPr="00E0175A">
        <w:rPr>
          <w:noProof/>
        </w:rPr>
        <w:lastRenderedPageBreak/>
        <w:t>Forenelighedsvurdering af støtteordningen</w:t>
      </w:r>
    </w:p>
    <w:p w14:paraId="49ACCAC2"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Bidrag til regionaludvikling, positive virkninger og behov for statslig indgriben</w:t>
      </w:r>
    </w:p>
    <w:p w14:paraId="04EB58BC"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Redegør for, hvordan ordningen stemmer overens med og bidrager til udviklingsstrategien for det pågældende område (punkt 44 i retningslinjerne):</w:t>
      </w:r>
    </w:p>
    <w:tbl>
      <w:tblPr>
        <w:tblW w:w="0" w:type="auto"/>
        <w:tblInd w:w="1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780"/>
      </w:tblGrid>
      <w:tr w:rsidR="00E203E6" w:rsidRPr="00E0175A" w14:paraId="4F115646" w14:textId="77777777" w:rsidTr="00D64015">
        <w:tc>
          <w:tcPr>
            <w:tcW w:w="7780" w:type="dxa"/>
            <w:tcBorders>
              <w:top w:val="dotted" w:sz="4" w:space="0" w:color="auto"/>
              <w:left w:val="dotted" w:sz="4" w:space="0" w:color="auto"/>
              <w:bottom w:val="dotted" w:sz="4" w:space="0" w:color="auto"/>
              <w:right w:val="dotted" w:sz="4" w:space="0" w:color="auto"/>
            </w:tcBorders>
          </w:tcPr>
          <w:p w14:paraId="53B7D91F" w14:textId="77777777" w:rsidR="00E203E6" w:rsidRPr="00E0175A" w:rsidRDefault="00E203E6" w:rsidP="005350C0">
            <w:pPr>
              <w:rPr>
                <w:noProof/>
              </w:rPr>
            </w:pPr>
            <w:r w:rsidRPr="00E0175A">
              <w:rPr>
                <w:noProof/>
              </w:rPr>
              <w:t>…</w:t>
            </w:r>
          </w:p>
        </w:tc>
      </w:tr>
    </w:tbl>
    <w:p w14:paraId="6727975D"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kræves, at der udføres en miljøvirkningsvurdering (VVM) af de pågældende investeringer før ydelsen af støtte til individuelle projekter, når det kræves ifølge loven (punkt 49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44B45FD" w14:textId="77777777" w:rsidTr="005350C0">
        <w:tc>
          <w:tcPr>
            <w:tcW w:w="7682" w:type="dxa"/>
            <w:tcBorders>
              <w:top w:val="dotted" w:sz="4" w:space="0" w:color="auto"/>
              <w:left w:val="dotted" w:sz="4" w:space="0" w:color="auto"/>
              <w:bottom w:val="dotted" w:sz="4" w:space="0" w:color="auto"/>
              <w:right w:val="dotted" w:sz="4" w:space="0" w:color="auto"/>
            </w:tcBorders>
          </w:tcPr>
          <w:p w14:paraId="74E6C61D" w14:textId="77777777" w:rsidR="00E203E6" w:rsidRPr="00E0175A" w:rsidRDefault="00E203E6" w:rsidP="005350C0">
            <w:pPr>
              <w:tabs>
                <w:tab w:val="left" w:pos="720"/>
                <w:tab w:val="left" w:pos="1077"/>
                <w:tab w:val="left" w:pos="1440"/>
                <w:tab w:val="left" w:pos="1797"/>
              </w:tabs>
              <w:rPr>
                <w:noProof/>
              </w:rPr>
            </w:pPr>
            <w:r w:rsidRPr="00E0175A">
              <w:rPr>
                <w:noProof/>
              </w:rPr>
              <w:t>…</w:t>
            </w:r>
          </w:p>
        </w:tc>
      </w:tr>
    </w:tbl>
    <w:p w14:paraId="66C8D3B3"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Redegør for, hvordan de støtteydende myndigheder prioriterer og udvælger investeringsprojekterne ifølge ordningens målsætninger (f.eks. med et formelt karaktergivningssystem) (punkt 44 i retningslinjerne). Henvis også til de relevante bestemmelser i retsgrundlaget eller andre relaterede administrative akter: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1FB8D28" w14:textId="77777777" w:rsidTr="005350C0">
        <w:tc>
          <w:tcPr>
            <w:tcW w:w="7682" w:type="dxa"/>
            <w:tcBorders>
              <w:top w:val="dotted" w:sz="4" w:space="0" w:color="auto"/>
              <w:left w:val="dotted" w:sz="4" w:space="0" w:color="auto"/>
              <w:bottom w:val="dotted" w:sz="4" w:space="0" w:color="auto"/>
              <w:right w:val="dotted" w:sz="4" w:space="0" w:color="auto"/>
            </w:tcBorders>
          </w:tcPr>
          <w:p w14:paraId="416E5D3C" w14:textId="77777777" w:rsidR="00E203E6" w:rsidRPr="00E0175A" w:rsidRDefault="00E203E6" w:rsidP="005350C0">
            <w:pPr>
              <w:tabs>
                <w:tab w:val="left" w:pos="720"/>
                <w:tab w:val="left" w:pos="1077"/>
                <w:tab w:val="left" w:pos="1440"/>
                <w:tab w:val="left" w:pos="1797"/>
              </w:tabs>
              <w:rPr>
                <w:noProof/>
              </w:rPr>
            </w:pPr>
            <w:r w:rsidRPr="00E0175A">
              <w:rPr>
                <w:noProof/>
              </w:rPr>
              <w:t>…</w:t>
            </w:r>
          </w:p>
        </w:tc>
      </w:tr>
    </w:tbl>
    <w:p w14:paraId="6A630082"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Redegør for, hvordan den støtteydende myndighed ved ydelsen af støtte til individuelle investeringsprojekter inden for rammerne af den anmeldte støtteordning vil fastslå, at det udvalgte projekt bidrager til realisering af ordningens mål og dermed fremmer udviklingsstrategien for det pågældende område (punkt 46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666E4210" w14:textId="77777777" w:rsidTr="005350C0">
        <w:tc>
          <w:tcPr>
            <w:tcW w:w="7682" w:type="dxa"/>
            <w:tcBorders>
              <w:top w:val="dotted" w:sz="4" w:space="0" w:color="auto"/>
              <w:left w:val="dotted" w:sz="4" w:space="0" w:color="auto"/>
              <w:bottom w:val="dotted" w:sz="4" w:space="0" w:color="auto"/>
              <w:right w:val="dotted" w:sz="4" w:space="0" w:color="auto"/>
            </w:tcBorders>
          </w:tcPr>
          <w:p w14:paraId="73177847" w14:textId="77777777" w:rsidR="00E203E6" w:rsidRPr="00E0175A" w:rsidRDefault="00E203E6" w:rsidP="005350C0">
            <w:pPr>
              <w:tabs>
                <w:tab w:val="left" w:pos="720"/>
                <w:tab w:val="left" w:pos="1077"/>
                <w:tab w:val="left" w:pos="1440"/>
                <w:tab w:val="left" w:pos="1797"/>
              </w:tabs>
              <w:rPr>
                <w:noProof/>
              </w:rPr>
            </w:pPr>
            <w:r w:rsidRPr="00E0175A">
              <w:rPr>
                <w:noProof/>
              </w:rPr>
              <w:t>…</w:t>
            </w:r>
          </w:p>
        </w:tc>
      </w:tr>
    </w:tbl>
    <w:p w14:paraId="2EE94CD6"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Redegør for, hvordan bestemmelsen om, at enhver investering, der støttes under den anmeldte støtteordning, skal opretholdes i det pågældende område i mindst fem år (tre år for SMV'er) efter dens afslutning, gennemføres (punkt 47 i retningslinjerne). Henvis til de relevante bestemmelser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67860001" w14:textId="77777777" w:rsidTr="005350C0">
        <w:tc>
          <w:tcPr>
            <w:tcW w:w="7682" w:type="dxa"/>
            <w:tcBorders>
              <w:top w:val="dotted" w:sz="4" w:space="0" w:color="auto"/>
              <w:left w:val="dotted" w:sz="4" w:space="0" w:color="auto"/>
              <w:bottom w:val="dotted" w:sz="4" w:space="0" w:color="auto"/>
              <w:right w:val="dotted" w:sz="4" w:space="0" w:color="auto"/>
            </w:tcBorders>
          </w:tcPr>
          <w:p w14:paraId="47356C3B" w14:textId="77777777" w:rsidR="00E203E6" w:rsidRPr="00E0175A" w:rsidRDefault="00E203E6" w:rsidP="005350C0">
            <w:pPr>
              <w:tabs>
                <w:tab w:val="left" w:pos="720"/>
                <w:tab w:val="left" w:pos="1077"/>
                <w:tab w:val="left" w:pos="1440"/>
                <w:tab w:val="left" w:pos="1797"/>
              </w:tabs>
              <w:rPr>
                <w:noProof/>
              </w:rPr>
            </w:pPr>
            <w:r w:rsidRPr="00E0175A">
              <w:rPr>
                <w:noProof/>
              </w:rPr>
              <w:t>…</w:t>
            </w:r>
          </w:p>
        </w:tc>
      </w:tr>
    </w:tbl>
    <w:p w14:paraId="1ABB07C6"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Hvis støtten under den anmeldte støtteordning beregnes på grundlag af lønomkostninger: Redegør for, hvordan bestemmelsen om, at der skal oprettes arbejdspladser inden tre år efter investeringens afslutning, og at hver arbejdsplads, der er oprettet i kraft af den pågældende investering, skal opretholdes i området i fem år (tre år for SMV'er) fra besættelsen af den første stilling, bliver overholdt (punkt 36 i retningslinjerne). Henvis til den relevante bestemmelse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0E61E0AA" w14:textId="77777777" w:rsidTr="005350C0">
        <w:tc>
          <w:tcPr>
            <w:tcW w:w="7682" w:type="dxa"/>
            <w:tcBorders>
              <w:top w:val="dotted" w:sz="4" w:space="0" w:color="auto"/>
              <w:left w:val="dotted" w:sz="4" w:space="0" w:color="auto"/>
              <w:bottom w:val="dotted" w:sz="4" w:space="0" w:color="auto"/>
              <w:right w:val="dotted" w:sz="4" w:space="0" w:color="auto"/>
            </w:tcBorders>
          </w:tcPr>
          <w:p w14:paraId="1425EF81" w14:textId="77777777" w:rsidR="00E203E6" w:rsidRPr="00E0175A" w:rsidRDefault="00E203E6" w:rsidP="005350C0">
            <w:pPr>
              <w:tabs>
                <w:tab w:val="left" w:pos="720"/>
                <w:tab w:val="left" w:pos="1077"/>
                <w:tab w:val="left" w:pos="1440"/>
                <w:tab w:val="left" w:pos="1797"/>
              </w:tabs>
              <w:rPr>
                <w:noProof/>
              </w:rPr>
            </w:pPr>
            <w:r w:rsidRPr="00E0175A">
              <w:rPr>
                <w:noProof/>
              </w:rPr>
              <w:t>…</w:t>
            </w:r>
          </w:p>
        </w:tc>
      </w:tr>
    </w:tbl>
    <w:p w14:paraId="5BF48118"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lastRenderedPageBreak/>
        <w:t>Henvis til de relevante bestemmelser i retsgrundlaget, hvori det fastsættes, at støttemodtageren skal yde et finansielt bidrag på mindst 25 % af de støtteberettigede omkostninger med egne midler eller via fremmedfinansiering i en form, der ikke omfatter nogen offentlig støtte</w:t>
      </w:r>
      <w:r w:rsidRPr="00E0175A">
        <w:rPr>
          <w:rStyle w:val="FootnoteReference"/>
          <w:noProof/>
        </w:rPr>
        <w:footnoteReference w:id="20"/>
      </w:r>
      <w:r w:rsidRPr="00E0175A">
        <w:rPr>
          <w:noProof/>
        </w:rPr>
        <w:t>. (punkt 48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851BAB2" w14:textId="77777777" w:rsidTr="005350C0">
        <w:tc>
          <w:tcPr>
            <w:tcW w:w="7682" w:type="dxa"/>
            <w:tcBorders>
              <w:top w:val="dotted" w:sz="4" w:space="0" w:color="auto"/>
              <w:left w:val="dotted" w:sz="4" w:space="0" w:color="auto"/>
              <w:bottom w:val="dotted" w:sz="4" w:space="0" w:color="auto"/>
              <w:right w:val="dotted" w:sz="4" w:space="0" w:color="auto"/>
            </w:tcBorders>
          </w:tcPr>
          <w:p w14:paraId="4E095D6B" w14:textId="77777777" w:rsidR="00E203E6" w:rsidRPr="00E0175A" w:rsidRDefault="00E203E6" w:rsidP="005350C0">
            <w:pPr>
              <w:rPr>
                <w:noProof/>
                <w:szCs w:val="24"/>
              </w:rPr>
            </w:pPr>
            <w:r w:rsidRPr="00E0175A">
              <w:rPr>
                <w:noProof/>
              </w:rPr>
              <w:t>…</w:t>
            </w:r>
          </w:p>
        </w:tc>
      </w:tr>
    </w:tbl>
    <w:p w14:paraId="52741CEC"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Henvis til de relevante bestemmelser i retsgrundlaget om, at støtteordningen skal overholde regionalstøttekortets støttelofter, som er gældende på støttetildelingstidspunktet (punkt 88 i retningslinjerne). Henvis også til Kommissionens afgørelse om godkendelse af det pågældende regionalstøttekort: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008C6EB6" w14:textId="77777777" w:rsidTr="005350C0">
        <w:tc>
          <w:tcPr>
            <w:tcW w:w="7682" w:type="dxa"/>
            <w:tcBorders>
              <w:top w:val="dotted" w:sz="4" w:space="0" w:color="auto"/>
              <w:left w:val="dotted" w:sz="4" w:space="0" w:color="auto"/>
              <w:bottom w:val="dotted" w:sz="4" w:space="0" w:color="auto"/>
              <w:right w:val="dotted" w:sz="4" w:space="0" w:color="auto"/>
            </w:tcBorders>
          </w:tcPr>
          <w:p w14:paraId="4B8676E8" w14:textId="77777777" w:rsidR="00E203E6" w:rsidRPr="00E0175A" w:rsidRDefault="00E203E6" w:rsidP="005350C0">
            <w:pPr>
              <w:rPr>
                <w:noProof/>
                <w:szCs w:val="24"/>
              </w:rPr>
            </w:pPr>
            <w:r w:rsidRPr="00E0175A">
              <w:rPr>
                <w:noProof/>
              </w:rPr>
              <w:t>…</w:t>
            </w:r>
          </w:p>
        </w:tc>
      </w:tr>
    </w:tbl>
    <w:p w14:paraId="267FFA16"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Ordningens tilskyndelsesvirkning</w:t>
      </w:r>
    </w:p>
    <w:p w14:paraId="16A9D9CA"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fastsættes, at enhver støtteansøgning skal indsendes, før arbejdet påbegyndes på det pågældende investeringsprojekt (punkt 62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398C21A" w14:textId="77777777" w:rsidTr="005350C0">
        <w:tc>
          <w:tcPr>
            <w:tcW w:w="7682" w:type="dxa"/>
            <w:shd w:val="clear" w:color="auto" w:fill="auto"/>
          </w:tcPr>
          <w:p w14:paraId="0D14D76A" w14:textId="77777777" w:rsidR="00E203E6" w:rsidRPr="00E0175A" w:rsidRDefault="00E203E6" w:rsidP="005350C0">
            <w:pPr>
              <w:rPr>
                <w:noProof/>
              </w:rPr>
            </w:pPr>
            <w:r w:rsidRPr="00E0175A">
              <w:rPr>
                <w:noProof/>
              </w:rPr>
              <w:t>…</w:t>
            </w:r>
          </w:p>
        </w:tc>
      </w:tr>
    </w:tbl>
    <w:p w14:paraId="465B57AB"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fastsættes, at de, der søger om støtte i henhold til den anmeldte støtteordning, er forpligtet til at indsende en standardansøgningsformular, som fås hos den støtteydende myndighed, og at de i den skal give en kontrafaktisk redegørelse for, hvad der vil ske, hvis de ikke modtager støtten, og oplyse, hvilket af scenarioerne (scenario 1 – investeringsbeslutning eller scenario 2 – placeringsbeslutning) der er gældende (punkt 64 og 59 i retningslinjerne).</w:t>
      </w:r>
      <w:r w:rsidRPr="00E0175A">
        <w:rPr>
          <w:noProof/>
          <w:color w:val="000000"/>
        </w:rPr>
        <w:t xml:space="preserve"> Hvis denne ansøgningsformular adskiller sig fra eksemplet i bilag VII til retningslinjerne, fremsendes en kopi af denne formular.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3C376A9" w14:textId="77777777" w:rsidTr="005350C0">
        <w:tc>
          <w:tcPr>
            <w:tcW w:w="7682" w:type="dxa"/>
            <w:shd w:val="clear" w:color="auto" w:fill="auto"/>
          </w:tcPr>
          <w:p w14:paraId="393F12DD" w14:textId="77777777" w:rsidR="00E203E6" w:rsidRPr="00E0175A" w:rsidRDefault="00E203E6" w:rsidP="005350C0">
            <w:pPr>
              <w:rPr>
                <w:noProof/>
              </w:rPr>
            </w:pPr>
            <w:r w:rsidRPr="00E0175A">
              <w:rPr>
                <w:noProof/>
              </w:rPr>
              <w:t>…</w:t>
            </w:r>
          </w:p>
        </w:tc>
      </w:tr>
    </w:tbl>
    <w:p w14:paraId="3CAC0B16"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Henvis til de relevante bestemmelser i retsgrundlaget, hvori det fastsættes, at store virksomheder, der ansøger om støtte under den anmeldte støtteordning, har pligt til at dokumentere den kontrafaktiske situation (punkt 65 i retningslinjerne). Forklar også, hvilke typer dokumentation der stilles krav om: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2E6BD734" w14:textId="77777777" w:rsidTr="005350C0">
        <w:tc>
          <w:tcPr>
            <w:tcW w:w="7682" w:type="dxa"/>
            <w:shd w:val="clear" w:color="auto" w:fill="auto"/>
          </w:tcPr>
          <w:p w14:paraId="2F320EBB" w14:textId="77777777" w:rsidR="00E203E6" w:rsidRPr="00E0175A" w:rsidRDefault="00E203E6" w:rsidP="005350C0">
            <w:pPr>
              <w:rPr>
                <w:noProof/>
              </w:rPr>
            </w:pPr>
            <w:r w:rsidRPr="00E0175A">
              <w:rPr>
                <w:noProof/>
              </w:rPr>
              <w:t>…</w:t>
            </w:r>
          </w:p>
        </w:tc>
      </w:tr>
    </w:tbl>
    <w:p w14:paraId="7A2BB35D" w14:textId="77777777" w:rsidR="00E203E6" w:rsidRPr="00E0175A" w:rsidRDefault="00E203E6" w:rsidP="00E203E6">
      <w:pPr>
        <w:pStyle w:val="NormalKop111"/>
        <w:numPr>
          <w:ilvl w:val="2"/>
          <w:numId w:val="22"/>
        </w:numPr>
        <w:tabs>
          <w:tab w:val="clear" w:pos="720"/>
          <w:tab w:val="clear" w:pos="1440"/>
          <w:tab w:val="clear" w:pos="1797"/>
        </w:tabs>
        <w:ind w:left="1418" w:hanging="698"/>
        <w:rPr>
          <w:rFonts w:cs="Times New Roman"/>
          <w:noProof/>
        </w:rPr>
      </w:pPr>
      <w:r w:rsidRPr="00E0175A">
        <w:rPr>
          <w:noProof/>
        </w:rPr>
        <w:t xml:space="preserve">Henvis til de relevante bestemmelser i retsgrundlaget, hvori det fastsættes, at den støtteydende myndighed ved vurderingen af ansøgningerne om individuel </w:t>
      </w:r>
      <w:r w:rsidRPr="00E0175A">
        <w:rPr>
          <w:noProof/>
        </w:rPr>
        <w:lastRenderedPageBreak/>
        <w:t>støtte har pligt til at udføre en kontrol af troværdigheden af den kontrafaktiske situation og af, om regionalstøtten har den krævede tilskyndelsesvirkning i overensstemmelse med scenario 1 eller scenario 2</w:t>
      </w:r>
      <w:r w:rsidRPr="00E0175A">
        <w:rPr>
          <w:rStyle w:val="FootnoteReference"/>
          <w:noProof/>
        </w:rPr>
        <w:footnoteReference w:id="21"/>
      </w:r>
      <w:r w:rsidRPr="00E0175A">
        <w:rPr>
          <w:noProof/>
        </w:rPr>
        <w:t xml:space="preserve"> (punkt 66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2EDDE5D1" w14:textId="77777777" w:rsidTr="005350C0">
        <w:tc>
          <w:tcPr>
            <w:tcW w:w="7682" w:type="dxa"/>
            <w:shd w:val="clear" w:color="auto" w:fill="auto"/>
          </w:tcPr>
          <w:p w14:paraId="798CEFF1" w14:textId="77777777" w:rsidR="00E203E6" w:rsidRPr="00E0175A" w:rsidRDefault="00E203E6" w:rsidP="005350C0">
            <w:pPr>
              <w:rPr>
                <w:noProof/>
              </w:rPr>
            </w:pPr>
            <w:r w:rsidRPr="00E0175A">
              <w:rPr>
                <w:noProof/>
              </w:rPr>
              <w:t>…</w:t>
            </w:r>
          </w:p>
        </w:tc>
      </w:tr>
    </w:tbl>
    <w:p w14:paraId="11C640BF"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Ordningens egnethed</w:t>
      </w:r>
    </w:p>
    <w:p w14:paraId="7DAE8D3D"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Forklar, hvorfor regionalstøtte er et velegnet instrument til at udvikle området</w:t>
      </w:r>
      <w:r w:rsidRPr="00E0175A">
        <w:rPr>
          <w:rStyle w:val="FootnoteReference"/>
          <w:noProof/>
        </w:rPr>
        <w:footnoteReference w:id="22"/>
      </w:r>
      <w:r w:rsidRPr="00E0175A">
        <w:rPr>
          <w:noProof/>
        </w:rPr>
        <w:t xml:space="preserve"> (punkt 80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B94FFAA" w14:textId="77777777" w:rsidTr="005350C0">
        <w:tc>
          <w:tcPr>
            <w:tcW w:w="7682" w:type="dxa"/>
            <w:tcBorders>
              <w:top w:val="dotted" w:sz="4" w:space="0" w:color="auto"/>
              <w:left w:val="dotted" w:sz="4" w:space="0" w:color="auto"/>
              <w:bottom w:val="dotted" w:sz="4" w:space="0" w:color="auto"/>
              <w:right w:val="dotted" w:sz="4" w:space="0" w:color="auto"/>
            </w:tcBorders>
          </w:tcPr>
          <w:p w14:paraId="2C6D63A8" w14:textId="77777777" w:rsidR="00E203E6" w:rsidRPr="00E0175A" w:rsidRDefault="00E203E6" w:rsidP="005350C0">
            <w:pPr>
              <w:rPr>
                <w:noProof/>
                <w:szCs w:val="24"/>
              </w:rPr>
            </w:pPr>
            <w:r w:rsidRPr="00E0175A">
              <w:rPr>
                <w:noProof/>
              </w:rPr>
              <w:t>…</w:t>
            </w:r>
          </w:p>
        </w:tc>
      </w:tr>
    </w:tbl>
    <w:p w14:paraId="1E212295"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Hvis ordningen er sektorspecifik: Redegør for, hvilke fordele denne ordning giver sammenlignet med en tværgående ordning for flere sektorer eller andre virkemidler (punkt 81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2866AD91" w14:textId="77777777" w:rsidTr="005350C0">
        <w:tc>
          <w:tcPr>
            <w:tcW w:w="7682" w:type="dxa"/>
            <w:tcBorders>
              <w:top w:val="dotted" w:sz="4" w:space="0" w:color="auto"/>
              <w:left w:val="dotted" w:sz="4" w:space="0" w:color="auto"/>
              <w:bottom w:val="dotted" w:sz="4" w:space="0" w:color="auto"/>
              <w:right w:val="dotted" w:sz="4" w:space="0" w:color="auto"/>
            </w:tcBorders>
          </w:tcPr>
          <w:p w14:paraId="7838717D" w14:textId="77777777" w:rsidR="00E203E6" w:rsidRPr="00E0175A" w:rsidRDefault="00E203E6" w:rsidP="005350C0">
            <w:pPr>
              <w:rPr>
                <w:noProof/>
                <w:szCs w:val="24"/>
              </w:rPr>
            </w:pPr>
            <w:r w:rsidRPr="00E0175A">
              <w:rPr>
                <w:noProof/>
              </w:rPr>
              <w:t>…</w:t>
            </w:r>
          </w:p>
        </w:tc>
      </w:tr>
    </w:tbl>
    <w:p w14:paraId="061D4F8C"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Angiv, om den individuelle støtte under den anmeldte støtteordning ydes:</w:t>
      </w:r>
    </w:p>
    <w:p w14:paraId="2D81665B" w14:textId="77777777" w:rsidR="00E203E6" w:rsidRPr="00E0175A" w:rsidRDefault="00DB7913" w:rsidP="00E203E6">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automatisk, hvis ordningens betingelser er opfyldt, eller</w:t>
      </w:r>
    </w:p>
    <w:p w14:paraId="5840893F" w14:textId="77777777" w:rsidR="00E203E6" w:rsidRPr="00E0175A" w:rsidRDefault="00DB7913" w:rsidP="00E203E6">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efter et skøn foretaget af myndighederne.</w:t>
      </w:r>
    </w:p>
    <w:p w14:paraId="3EDE2E12" w14:textId="77777777" w:rsidR="00E203E6" w:rsidRPr="00E0175A" w:rsidRDefault="00E203E6" w:rsidP="00E203E6">
      <w:pPr>
        <w:pStyle w:val="Text2"/>
        <w:ind w:left="1418"/>
        <w:rPr>
          <w:noProof/>
        </w:rPr>
      </w:pPr>
      <w:r w:rsidRPr="00E0175A">
        <w:rPr>
          <w:noProof/>
        </w:rPr>
        <w:t xml:space="preserve">Henvis til den relevante bestemmelse i retsgrundlaget: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6F6BDA1" w14:textId="77777777" w:rsidTr="005350C0">
        <w:tc>
          <w:tcPr>
            <w:tcW w:w="7682" w:type="dxa"/>
            <w:tcBorders>
              <w:top w:val="dotted" w:sz="4" w:space="0" w:color="auto"/>
              <w:left w:val="dotted" w:sz="4" w:space="0" w:color="auto"/>
              <w:bottom w:val="dotted" w:sz="4" w:space="0" w:color="auto"/>
              <w:right w:val="dotted" w:sz="4" w:space="0" w:color="auto"/>
            </w:tcBorders>
          </w:tcPr>
          <w:p w14:paraId="6C9A4FDD" w14:textId="77777777" w:rsidR="00E203E6" w:rsidRPr="00E0175A" w:rsidRDefault="00E203E6" w:rsidP="005350C0">
            <w:pPr>
              <w:rPr>
                <w:noProof/>
                <w:szCs w:val="24"/>
              </w:rPr>
            </w:pPr>
            <w:r w:rsidRPr="00E0175A">
              <w:rPr>
                <w:noProof/>
              </w:rPr>
              <w:t>…</w:t>
            </w:r>
          </w:p>
        </w:tc>
      </w:tr>
    </w:tbl>
    <w:p w14:paraId="72D5BC80" w14:textId="77777777" w:rsidR="00E203E6" w:rsidRPr="00E0175A" w:rsidRDefault="00E203E6" w:rsidP="00E203E6">
      <w:pPr>
        <w:pStyle w:val="Text2"/>
        <w:ind w:left="1418"/>
        <w:rPr>
          <w:noProof/>
        </w:rPr>
      </w:pPr>
      <w:r w:rsidRPr="00E0175A">
        <w:rPr>
          <w:noProof/>
        </w:rPr>
        <w:t>For skønsmæssigt ydet støtte gives en kort beskrivelse af de anvendte kriterier, og der vedlægges en kopi af den støtteydende myndigheds interne administrative bestemmelser for støttetildelingen: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540A908" w14:textId="77777777" w:rsidTr="005350C0">
        <w:tc>
          <w:tcPr>
            <w:tcW w:w="7682" w:type="dxa"/>
            <w:tcBorders>
              <w:top w:val="dotted" w:sz="4" w:space="0" w:color="auto"/>
              <w:left w:val="dotted" w:sz="4" w:space="0" w:color="auto"/>
              <w:bottom w:val="dotted" w:sz="4" w:space="0" w:color="auto"/>
              <w:right w:val="dotted" w:sz="4" w:space="0" w:color="auto"/>
            </w:tcBorders>
          </w:tcPr>
          <w:p w14:paraId="0CAD73D0" w14:textId="77777777" w:rsidR="00E203E6" w:rsidRPr="00E0175A" w:rsidRDefault="00E203E6" w:rsidP="005350C0">
            <w:pPr>
              <w:rPr>
                <w:noProof/>
                <w:szCs w:val="24"/>
              </w:rPr>
            </w:pPr>
            <w:r w:rsidRPr="00E0175A">
              <w:rPr>
                <w:noProof/>
              </w:rPr>
              <w:t>…</w:t>
            </w:r>
          </w:p>
        </w:tc>
      </w:tr>
    </w:tbl>
    <w:p w14:paraId="4CA19A22"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Hvis støtten under ordningen ydes i en form, hvor der er tale om en direkte økonomisk fordel</w:t>
      </w:r>
      <w:r w:rsidRPr="00E0175A">
        <w:rPr>
          <w:rStyle w:val="FootnoteReference"/>
          <w:noProof/>
        </w:rPr>
        <w:footnoteReference w:id="23"/>
      </w:r>
      <w:r w:rsidRPr="00E0175A">
        <w:rPr>
          <w:noProof/>
        </w:rPr>
        <w:t>: Redegør for, hvorfor andre, potentielt mindre fordrejende former for støtte, såsom tilbagebetalingspligtige tilskud eller støtteformer baseret på lån eller kapitalinstrumenter</w:t>
      </w:r>
      <w:r w:rsidRPr="00E0175A">
        <w:rPr>
          <w:rStyle w:val="FootnoteReference"/>
          <w:noProof/>
        </w:rPr>
        <w:footnoteReference w:id="24"/>
      </w:r>
      <w:r w:rsidRPr="00E0175A">
        <w:rPr>
          <w:noProof/>
        </w:rPr>
        <w:t xml:space="preserve">, ikke er egnede (punkt 85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785891A5" w14:textId="77777777" w:rsidTr="005350C0">
        <w:tc>
          <w:tcPr>
            <w:tcW w:w="7682" w:type="dxa"/>
            <w:shd w:val="clear" w:color="auto" w:fill="auto"/>
          </w:tcPr>
          <w:p w14:paraId="6EA2D880" w14:textId="77777777" w:rsidR="00E203E6" w:rsidRPr="00E0175A" w:rsidRDefault="00E203E6" w:rsidP="005350C0">
            <w:pPr>
              <w:rPr>
                <w:noProof/>
              </w:rPr>
            </w:pPr>
            <w:r w:rsidRPr="00E0175A">
              <w:rPr>
                <w:noProof/>
              </w:rPr>
              <w:lastRenderedPageBreak/>
              <w:t>…</w:t>
            </w:r>
          </w:p>
        </w:tc>
      </w:tr>
    </w:tbl>
    <w:p w14:paraId="78D85D8D"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Tilskyndelsesvirkning og ordningens proportionalitet</w:t>
      </w:r>
    </w:p>
    <w:p w14:paraId="1F89D8BF"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 xml:space="preserve">Henvis til de relevante bestemmelser i retsgrundlaget, hvori det fastsættes, at individuel støtte ydet til store virksomheder under den anmeldte støtteordning skal begrænses til de nettomeromkostninger, der er forbundet med at gennemføre investeringen i det pågældende område, i forhold til den kontrafaktiske situation uden støtten, ved hjælp af metoden beskrevet i punkt 96 og 97 i retningslinjerne (punkt 95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A9C5721" w14:textId="77777777" w:rsidTr="005350C0">
        <w:tc>
          <w:tcPr>
            <w:tcW w:w="7682" w:type="dxa"/>
            <w:shd w:val="clear" w:color="auto" w:fill="auto"/>
          </w:tcPr>
          <w:p w14:paraId="064CC7DF" w14:textId="77777777" w:rsidR="00E203E6" w:rsidRPr="00E0175A" w:rsidRDefault="00E203E6" w:rsidP="005350C0">
            <w:pPr>
              <w:rPr>
                <w:noProof/>
              </w:rPr>
            </w:pPr>
            <w:r w:rsidRPr="00E0175A">
              <w:rPr>
                <w:noProof/>
              </w:rPr>
              <w:t>…</w:t>
            </w:r>
          </w:p>
        </w:tc>
      </w:tr>
    </w:tbl>
    <w:p w14:paraId="6AC771C4"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Undgåelse af en uforholdsmæssigt negativ påvirkning af konkurrencen og samhandelen</w:t>
      </w:r>
    </w:p>
    <w:p w14:paraId="006451CF"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Forklar, hvordan fordrejninger af konkurrencen og samhandelen som følge af den anmeldte støtteordning begrænses til et minimum (punkt 120 i retningslinjerne)</w:t>
      </w:r>
      <w:r w:rsidRPr="00E0175A">
        <w:rPr>
          <w:rStyle w:val="FootnoteReference"/>
          <w:noProof/>
        </w:rPr>
        <w:footnoteReference w:id="25"/>
      </w:r>
      <w:r w:rsidRPr="00E0175A">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46A99B59" w14:textId="77777777" w:rsidTr="005350C0">
        <w:tc>
          <w:tcPr>
            <w:tcW w:w="7682" w:type="dxa"/>
            <w:shd w:val="clear" w:color="auto" w:fill="auto"/>
          </w:tcPr>
          <w:p w14:paraId="23A3315E" w14:textId="77777777" w:rsidR="00E203E6" w:rsidRPr="00E0175A" w:rsidRDefault="00E203E6" w:rsidP="005350C0">
            <w:pPr>
              <w:rPr>
                <w:noProof/>
              </w:rPr>
            </w:pPr>
            <w:r w:rsidRPr="00E0175A">
              <w:rPr>
                <w:noProof/>
              </w:rPr>
              <w:t>…</w:t>
            </w:r>
          </w:p>
        </w:tc>
      </w:tr>
    </w:tbl>
    <w:p w14:paraId="73B97008"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Henvis til de relevante bestemmelser i retsgrundlaget, hvori det fastsættes, at den støtteydende myndighed, hvor der er tale om støtte ydet til individuelle investeringsprojekter inden for rammerne af en støtteordning, skal påse og bekræfte, at støtten ikke får åbenlyst negative konsekvenser såsom skabelse af overkapacitet på et marked i absolut tilbagegang (punkt 112-115 i retningslinjerne), virkninger, der strider mod samhørigheden (punkt 116-117 i retningslinjerne), eller flytning (punkt 118 i retningslinjerne) (punkt 121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E203E6" w:rsidRPr="00E0175A" w14:paraId="5FA15481" w14:textId="77777777" w:rsidTr="005350C0">
        <w:tc>
          <w:tcPr>
            <w:tcW w:w="7682" w:type="dxa"/>
            <w:shd w:val="clear" w:color="auto" w:fill="auto"/>
          </w:tcPr>
          <w:p w14:paraId="2C0BE6C8" w14:textId="77777777" w:rsidR="00E203E6" w:rsidRPr="00E0175A" w:rsidRDefault="00E203E6" w:rsidP="005350C0">
            <w:pPr>
              <w:rPr>
                <w:noProof/>
              </w:rPr>
            </w:pPr>
            <w:r w:rsidRPr="00E0175A">
              <w:rPr>
                <w:noProof/>
              </w:rPr>
              <w:t>…</w:t>
            </w:r>
          </w:p>
        </w:tc>
      </w:tr>
    </w:tbl>
    <w:p w14:paraId="4B33CE80" w14:textId="0242E30F" w:rsidR="00E203E6" w:rsidRPr="00E0175A" w:rsidRDefault="00E203E6" w:rsidP="00E203E6">
      <w:pPr>
        <w:pStyle w:val="Heading1"/>
        <w:rPr>
          <w:noProof/>
        </w:rPr>
      </w:pPr>
      <w:r w:rsidRPr="00E0175A">
        <w:rPr>
          <w:noProof/>
        </w:rPr>
        <w:t>Gennemsigtighed</w:t>
      </w:r>
    </w:p>
    <w:p w14:paraId="1D85E516" w14:textId="77777777" w:rsidR="00E203E6" w:rsidRPr="00E0175A" w:rsidRDefault="00E203E6" w:rsidP="00E203E6">
      <w:pPr>
        <w:pStyle w:val="NormalKop111"/>
        <w:numPr>
          <w:ilvl w:val="1"/>
          <w:numId w:val="22"/>
        </w:numPr>
        <w:tabs>
          <w:tab w:val="clear" w:pos="720"/>
          <w:tab w:val="clear" w:pos="1440"/>
          <w:tab w:val="clear" w:pos="1797"/>
        </w:tabs>
        <w:ind w:left="709" w:hanging="709"/>
        <w:rPr>
          <w:noProof/>
        </w:rPr>
      </w:pPr>
      <w:r w:rsidRPr="00E0175A">
        <w:rPr>
          <w:noProof/>
        </w:rPr>
        <w:t xml:space="preserve">Bekræft, at den fulde ordlyd i afgørelsen om at yde individuel støtte eller den godkendte støtteordning og dens gennemførelsesbestemmelser eller et link hertil </w:t>
      </w:r>
      <w:r w:rsidRPr="00E0175A">
        <w:rPr>
          <w:noProof/>
          <w:color w:val="000000"/>
        </w:rPr>
        <w:t>og oplysninger om hver individuel støttetildeling på over 100 000 EUR vil blive offentliggjort efter strukturen i bilag VIII</w:t>
      </w:r>
      <w:r w:rsidRPr="00E0175A">
        <w:rPr>
          <w:noProof/>
        </w:rPr>
        <w:t xml:space="preserve"> i Europa-Kommissionens modul for gennemsigtighed i statsstøtte ("TAM") eller på et omfattende statsstøttewebsted på nationalt eller regionalt plan</w:t>
      </w:r>
      <w:r w:rsidRPr="00E0175A">
        <w:rPr>
          <w:rStyle w:val="FootnoteReference"/>
          <w:noProof/>
        </w:rPr>
        <w:footnoteReference w:id="26"/>
      </w:r>
      <w:r w:rsidRPr="00E0175A">
        <w:rPr>
          <w:noProof/>
        </w:rPr>
        <w:t xml:space="preserve"> senest seks måneder efter den dato, hvor støtten blev tildelt, eller, hvis det drejer sig om støtte i form af skattefordele, senest et år efter udløbet af fristen for indgivelse af skatteangivelsen.</w:t>
      </w:r>
    </w:p>
    <w:p w14:paraId="34B235A4" w14:textId="77777777" w:rsidR="00E203E6" w:rsidRPr="00E0175A" w:rsidRDefault="00E203E6" w:rsidP="00E203E6">
      <w:pPr>
        <w:pStyle w:val="Normal127"/>
        <w:rPr>
          <w:noProof/>
        </w:rPr>
      </w:pPr>
      <w:r w:rsidRPr="00E0175A">
        <w:rPr>
          <w:noProof/>
        </w:rPr>
        <w:lastRenderedPageBreak/>
        <w:tab/>
      </w:r>
      <w:sdt>
        <w:sdtPr>
          <w:rPr>
            <w:noProof/>
          </w:rPr>
          <w:id w:val="-1383553951"/>
          <w14:checkbox>
            <w14:checked w14:val="0"/>
            <w14:checkedState w14:val="2612" w14:font="MS Gothic"/>
            <w14:uncheckedState w14:val="2610" w14:font="MS Gothic"/>
          </w14:checkbox>
        </w:sdtPr>
        <w:sdtEndPr/>
        <w:sdtContent>
          <w:r w:rsidRPr="00E0175A">
            <w:rPr>
              <w:rFonts w:ascii="MS Gothic" w:eastAsia="MS Gothic" w:hAnsi="MS Gothic" w:hint="eastAsia"/>
              <w:noProof/>
            </w:rPr>
            <w:t>☐</w:t>
          </w:r>
        </w:sdtContent>
      </w:sdt>
      <w:r w:rsidRPr="00E0175A">
        <w:rPr>
          <w:noProof/>
        </w:rPr>
        <w:t xml:space="preserve"> Ja</w:t>
      </w:r>
    </w:p>
    <w:p w14:paraId="33C09458" w14:textId="77777777" w:rsidR="00E203E6" w:rsidRPr="00E0175A" w:rsidRDefault="00E203E6" w:rsidP="00E203E6">
      <w:pPr>
        <w:pStyle w:val="NormalKop111"/>
        <w:numPr>
          <w:ilvl w:val="1"/>
          <w:numId w:val="22"/>
        </w:numPr>
        <w:tabs>
          <w:tab w:val="clear" w:pos="720"/>
          <w:tab w:val="clear" w:pos="1440"/>
          <w:tab w:val="clear" w:pos="1797"/>
        </w:tabs>
        <w:ind w:left="709" w:hanging="709"/>
        <w:rPr>
          <w:noProof/>
        </w:rPr>
      </w:pPr>
      <w:r w:rsidRPr="00E0175A">
        <w:rPr>
          <w:noProof/>
        </w:rPr>
        <w:t>Henvis til de relevante bestemmelser i retsgrundlaget, hvor det fastsættes, at den støtteydende myndighed som minimum skal offentliggøre følgende oplysninger om de anmeldte statsstøtteordninger i modulet for gennemsigtighed i statsstøtte ("TAM") eller på et omfattende statsstøttewebsted på nationalt eller regionalt plan</w:t>
      </w:r>
      <w:r w:rsidRPr="00E0175A">
        <w:rPr>
          <w:rStyle w:val="FootnoteReference"/>
          <w:noProof/>
        </w:rPr>
        <w:footnoteReference w:id="27"/>
      </w:r>
      <w:r w:rsidRPr="00E0175A">
        <w:rPr>
          <w:noProof/>
        </w:rPr>
        <w:t>: teksten til den anmeldte støtteordning og dens gennemførelsesbestemmelser, den støttende myndighed, de enkelte støttemodtagere, støttebeløbet pr. modtager og støtteintensiteten (punkt 136 i retningslinjerne)</w:t>
      </w:r>
    </w:p>
    <w:p w14:paraId="7E07BD8B" w14:textId="77777777" w:rsidR="00E203E6" w:rsidRPr="00E0175A" w:rsidRDefault="00E203E6" w:rsidP="00E203E6">
      <w:pPr>
        <w:pStyle w:val="Normal127"/>
        <w:rPr>
          <w:noProof/>
        </w:rPr>
      </w:pPr>
      <w:r w:rsidRPr="00E0175A">
        <w:rPr>
          <w:noProof/>
        </w:rPr>
        <w:t>Hvis der ikke er indført sådanne bestemmelser, forklar i så fald, hvorfor det ikke er tilfældet. Hvis sådanne bestemmelser ikke er indeholdt i retsgrundlaget for den anmeldte støtteordning, men i andre lovgivningsmæssige dokumenter, angives dette ligeledes.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E203E6" w:rsidRPr="00E0175A" w14:paraId="2BA83534" w14:textId="77777777" w:rsidTr="005350C0">
        <w:tc>
          <w:tcPr>
            <w:tcW w:w="8674" w:type="dxa"/>
            <w:shd w:val="clear" w:color="auto" w:fill="auto"/>
          </w:tcPr>
          <w:p w14:paraId="09FF8BF0" w14:textId="77777777" w:rsidR="00E203E6" w:rsidRPr="00E0175A" w:rsidRDefault="00E203E6" w:rsidP="005350C0">
            <w:pPr>
              <w:rPr>
                <w:noProof/>
              </w:rPr>
            </w:pPr>
            <w:r w:rsidRPr="00E0175A">
              <w:rPr>
                <w:noProof/>
              </w:rPr>
              <w:t>…</w:t>
            </w:r>
          </w:p>
        </w:tc>
      </w:tr>
    </w:tbl>
    <w:p w14:paraId="6F0DDC83" w14:textId="77777777" w:rsidR="00E203E6" w:rsidRPr="00E0175A" w:rsidRDefault="00E203E6" w:rsidP="00E203E6">
      <w:pPr>
        <w:pStyle w:val="Normal127"/>
        <w:rPr>
          <w:noProof/>
        </w:rPr>
      </w:pPr>
      <w:r w:rsidRPr="00E0175A">
        <w:rPr>
          <w:noProof/>
        </w:rPr>
        <w:t>Henvis til de relevante bestemmelser i retsgrundlaget, hvori det fastsættes, at ovennævnte oplysninger vil være frit tilgængelige for den almindelige offentlighed i mindst 10 år fra støttetildelingstidspunktet (punkt 140 i retningslinjerne)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E203E6" w:rsidRPr="00E0175A" w14:paraId="5C091B38" w14:textId="77777777" w:rsidTr="005350C0">
        <w:tc>
          <w:tcPr>
            <w:tcW w:w="8674" w:type="dxa"/>
            <w:shd w:val="clear" w:color="auto" w:fill="auto"/>
          </w:tcPr>
          <w:p w14:paraId="01D17884" w14:textId="77777777" w:rsidR="00E203E6" w:rsidRPr="00E0175A" w:rsidRDefault="00E203E6" w:rsidP="005350C0">
            <w:pPr>
              <w:rPr>
                <w:noProof/>
              </w:rPr>
            </w:pPr>
            <w:r w:rsidRPr="00E0175A">
              <w:rPr>
                <w:noProof/>
              </w:rPr>
              <w:t>…</w:t>
            </w:r>
          </w:p>
        </w:tc>
      </w:tr>
    </w:tbl>
    <w:p w14:paraId="6466272F" w14:textId="01284DF2" w:rsidR="00E203E6" w:rsidRPr="00E0175A" w:rsidRDefault="00E203E6" w:rsidP="00E203E6">
      <w:pPr>
        <w:pStyle w:val="Heading1"/>
        <w:rPr>
          <w:noProof/>
        </w:rPr>
      </w:pPr>
      <w:r w:rsidRPr="00E0175A">
        <w:rPr>
          <w:noProof/>
        </w:rPr>
        <w:t xml:space="preserve">Evaluering, rapportering og overvågning </w:t>
      </w:r>
    </w:p>
    <w:p w14:paraId="3DFA1FE0" w14:textId="77777777" w:rsidR="00E203E6" w:rsidRPr="00E0175A" w:rsidRDefault="00E203E6" w:rsidP="00E203E6">
      <w:pPr>
        <w:pStyle w:val="NormalKop111"/>
        <w:numPr>
          <w:ilvl w:val="1"/>
          <w:numId w:val="22"/>
        </w:numPr>
        <w:tabs>
          <w:tab w:val="clear" w:pos="720"/>
          <w:tab w:val="clear" w:pos="1440"/>
          <w:tab w:val="clear" w:pos="1797"/>
        </w:tabs>
        <w:ind w:left="709" w:hanging="709"/>
        <w:rPr>
          <w:b/>
          <w:bCs/>
          <w:noProof/>
        </w:rPr>
      </w:pPr>
      <w:r w:rsidRPr="00E0175A">
        <w:rPr>
          <w:b/>
          <w:noProof/>
        </w:rPr>
        <w:t>Evaluering</w:t>
      </w:r>
    </w:p>
    <w:p w14:paraId="3FA59A22"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Angiv SA-nummeret for alle tidligere og igangværende statsstøtteordninger med et lignende mål og det samme geografiske område (punkt 144 i retningslinjerne)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E203E6" w:rsidRPr="00E0175A" w14:paraId="3CDB165C" w14:textId="77777777" w:rsidTr="005350C0">
        <w:tc>
          <w:tcPr>
            <w:tcW w:w="8107" w:type="dxa"/>
            <w:tcBorders>
              <w:top w:val="dotted" w:sz="4" w:space="0" w:color="auto"/>
              <w:left w:val="dotted" w:sz="4" w:space="0" w:color="auto"/>
              <w:bottom w:val="dotted" w:sz="4" w:space="0" w:color="auto"/>
              <w:right w:val="dotted" w:sz="4" w:space="0" w:color="auto"/>
            </w:tcBorders>
            <w:hideMark/>
          </w:tcPr>
          <w:p w14:paraId="4F16E850" w14:textId="77777777" w:rsidR="00E203E6" w:rsidRPr="00E0175A" w:rsidRDefault="00E203E6" w:rsidP="005350C0">
            <w:pPr>
              <w:rPr>
                <w:noProof/>
              </w:rPr>
            </w:pPr>
            <w:r w:rsidRPr="00E0175A">
              <w:rPr>
                <w:noProof/>
              </w:rPr>
              <w:t>…</w:t>
            </w:r>
          </w:p>
        </w:tc>
      </w:tr>
    </w:tbl>
    <w:p w14:paraId="3BF5A455" w14:textId="77777777" w:rsidR="00E203E6" w:rsidRPr="00E0175A" w:rsidRDefault="00E203E6" w:rsidP="00E203E6">
      <w:pPr>
        <w:pStyle w:val="Normal127"/>
        <w:rPr>
          <w:noProof/>
        </w:rPr>
      </w:pPr>
      <w:r w:rsidRPr="00E0175A">
        <w:rPr>
          <w:noProof/>
        </w:rPr>
        <w:t>Har nogen af ovennævnte statsstøtteordninger været genstand for en efterfølgende evaluering (punkt 144 i retningslinjerne)?</w:t>
      </w:r>
    </w:p>
    <w:p w14:paraId="59AE33B5" w14:textId="77777777" w:rsidR="00E203E6" w:rsidRPr="00E0175A" w:rsidRDefault="00DB7913" w:rsidP="00E203E6">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0B029700" w14:textId="77777777" w:rsidR="00E203E6" w:rsidRPr="00E0175A" w:rsidRDefault="00DB7913" w:rsidP="00E203E6">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7D679238" w14:textId="77777777" w:rsidR="00E203E6" w:rsidRPr="00E0175A" w:rsidRDefault="00E203E6" w:rsidP="00E203E6">
      <w:pPr>
        <w:pStyle w:val="Normal127"/>
        <w:rPr>
          <w:noProof/>
        </w:rPr>
      </w:pPr>
      <w:r w:rsidRPr="00E0175A">
        <w:rPr>
          <w:noProof/>
        </w:rPr>
        <w:t>Hvis ja, giv da et kort resumé af de vigtigste resultater af den/de efterfølgende evaluering(er) (med en henvisning og et link, hvor det er relevant):</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E203E6" w:rsidRPr="00E0175A" w14:paraId="791A2B31" w14:textId="77777777" w:rsidTr="005350C0">
        <w:tc>
          <w:tcPr>
            <w:tcW w:w="8107" w:type="dxa"/>
            <w:tcBorders>
              <w:top w:val="dotted" w:sz="4" w:space="0" w:color="auto"/>
              <w:left w:val="dotted" w:sz="4" w:space="0" w:color="auto"/>
              <w:bottom w:val="dotted" w:sz="4" w:space="0" w:color="auto"/>
              <w:right w:val="dotted" w:sz="4" w:space="0" w:color="auto"/>
            </w:tcBorders>
            <w:hideMark/>
          </w:tcPr>
          <w:p w14:paraId="09616988" w14:textId="77777777" w:rsidR="00E203E6" w:rsidRPr="00E0175A" w:rsidRDefault="00E203E6" w:rsidP="00D64015">
            <w:pPr>
              <w:rPr>
                <w:noProof/>
              </w:rPr>
            </w:pPr>
            <w:r w:rsidRPr="00E0175A">
              <w:rPr>
                <w:noProof/>
              </w:rPr>
              <w:t>…</w:t>
            </w:r>
          </w:p>
        </w:tc>
      </w:tr>
    </w:tbl>
    <w:p w14:paraId="7BF7FE1E" w14:textId="77777777" w:rsidR="00E203E6" w:rsidRPr="00E0175A" w:rsidRDefault="00E203E6" w:rsidP="00E203E6">
      <w:pPr>
        <w:pStyle w:val="Normal127"/>
        <w:rPr>
          <w:noProof/>
        </w:rPr>
      </w:pPr>
      <w:r w:rsidRPr="00E0175A">
        <w:rPr>
          <w:noProof/>
        </w:rPr>
        <w:t>Beskriv, hvordan der er taget hensyn til resultaterne af disse evalueringer ved udformningen af den nye ordning: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E203E6" w:rsidRPr="00E0175A" w14:paraId="77C74516" w14:textId="77777777" w:rsidTr="005350C0">
        <w:tc>
          <w:tcPr>
            <w:tcW w:w="8107" w:type="dxa"/>
            <w:tcBorders>
              <w:top w:val="dotted" w:sz="4" w:space="0" w:color="auto"/>
              <w:left w:val="dotted" w:sz="4" w:space="0" w:color="auto"/>
              <w:bottom w:val="dotted" w:sz="4" w:space="0" w:color="auto"/>
              <w:right w:val="dotted" w:sz="4" w:space="0" w:color="auto"/>
            </w:tcBorders>
            <w:hideMark/>
          </w:tcPr>
          <w:p w14:paraId="73DCC6E5" w14:textId="77777777" w:rsidR="00E203E6" w:rsidRPr="00E0175A" w:rsidRDefault="00E203E6" w:rsidP="00D64015">
            <w:pPr>
              <w:rPr>
                <w:noProof/>
              </w:rPr>
            </w:pPr>
            <w:r w:rsidRPr="00E0175A">
              <w:rPr>
                <w:noProof/>
              </w:rPr>
              <w:lastRenderedPageBreak/>
              <w:t>…</w:t>
            </w:r>
          </w:p>
        </w:tc>
      </w:tr>
    </w:tbl>
    <w:p w14:paraId="32B24D9C"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Angiv, om statsstøttebudgettet for ordningen overstiger 150 mio. EUR i et givet år (punkt 143 i retningslinjerne):</w:t>
      </w:r>
    </w:p>
    <w:p w14:paraId="7D5833CF" w14:textId="77777777" w:rsidR="00E203E6" w:rsidRPr="00E0175A" w:rsidRDefault="00DB7913" w:rsidP="00E203E6">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3BC879BF" w14:textId="77777777" w:rsidR="00E203E6" w:rsidRPr="00E0175A" w:rsidRDefault="00DB7913" w:rsidP="00E203E6">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14F35D72" w14:textId="77777777" w:rsidR="00E203E6" w:rsidRPr="00E0175A" w:rsidRDefault="00E203E6" w:rsidP="00E203E6">
      <w:pPr>
        <w:pStyle w:val="Text2"/>
        <w:rPr>
          <w:noProof/>
        </w:rPr>
      </w:pPr>
      <w:r w:rsidRPr="00E0175A">
        <w:rPr>
          <w:noProof/>
        </w:rPr>
        <w:t>Angiv, om statsstøttebudgettet for ordningen overstiger 750 mio. EUR i hele ordningens løbetid (dvs. den samlede varighed af ordningen og eventuelle tidligere ordninger, der dækker et lignende mål og det samme geografiske område, fra den 1. januar 2022):</w:t>
      </w:r>
    </w:p>
    <w:p w14:paraId="575495B6" w14:textId="77777777" w:rsidR="00E203E6" w:rsidRPr="00E0175A" w:rsidRDefault="00DB7913" w:rsidP="00E203E6">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630042E7" w14:textId="77777777" w:rsidR="00E203E6" w:rsidRPr="00E0175A" w:rsidRDefault="00DB7913" w:rsidP="00E203E6">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1C138551"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Angiv, om ordningen er (punkt 143 i retningslinjerne):</w:t>
      </w:r>
    </w:p>
    <w:p w14:paraId="33EE2F65" w14:textId="77777777" w:rsidR="00E203E6" w:rsidRPr="00E0175A" w:rsidRDefault="00E203E6" w:rsidP="00E203E6">
      <w:pPr>
        <w:ind w:left="1701" w:hanging="283"/>
        <w:rPr>
          <w:noProof/>
          <w:szCs w:val="24"/>
        </w:rPr>
      </w:pPr>
      <w:r w:rsidRPr="00E0175A">
        <w:rPr>
          <w:noProof/>
        </w:rPr>
        <w:t>en ordning, der indeholder nye karakteristika?</w:t>
      </w:r>
    </w:p>
    <w:p w14:paraId="539D0DA8" w14:textId="77777777" w:rsidR="00E203E6" w:rsidRPr="00E0175A" w:rsidRDefault="00DB7913" w:rsidP="00E203E6">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4B21C950" w14:textId="77777777" w:rsidR="00E203E6" w:rsidRPr="00E0175A" w:rsidRDefault="00DB7913" w:rsidP="00E203E6">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6A34CF63" w14:textId="77777777" w:rsidR="00E203E6" w:rsidRPr="00E0175A" w:rsidRDefault="00E203E6" w:rsidP="00E203E6">
      <w:pPr>
        <w:ind w:left="1418"/>
        <w:rPr>
          <w:noProof/>
          <w:szCs w:val="24"/>
        </w:rPr>
      </w:pPr>
      <w:r w:rsidRPr="00E0175A">
        <w:rPr>
          <w:noProof/>
        </w:rPr>
        <w:t>en ordning, hvor der ventes betydelige ændringer på markeder, i teknologi eller lovgivning?</w:t>
      </w:r>
    </w:p>
    <w:p w14:paraId="0704F431" w14:textId="77777777" w:rsidR="00E203E6" w:rsidRPr="00E0175A" w:rsidRDefault="00DB7913" w:rsidP="00E203E6">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6418AC81" w14:textId="77777777" w:rsidR="00E203E6" w:rsidRPr="00E0175A" w:rsidRDefault="00DB7913" w:rsidP="00E203E6">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219EAD41" w14:textId="77777777" w:rsidR="00E203E6" w:rsidRPr="00E0175A" w:rsidRDefault="00E203E6" w:rsidP="00E203E6">
      <w:pPr>
        <w:ind w:left="1843" w:hanging="425"/>
        <w:rPr>
          <w:noProof/>
          <w:szCs w:val="24"/>
        </w:rPr>
      </w:pPr>
      <w:r w:rsidRPr="00E0175A">
        <w:rPr>
          <w:noProof/>
        </w:rPr>
        <w:t>en ordning, der planlægges evalueret, selv om de ovennævnte kriterier i 5.1.2. og 5.1.3. ikke er opfyldt?</w:t>
      </w:r>
    </w:p>
    <w:p w14:paraId="5F6948AA" w14:textId="77777777" w:rsidR="00E203E6" w:rsidRPr="00E0175A" w:rsidRDefault="00DB7913" w:rsidP="00E203E6">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Ja</w:t>
      </w:r>
    </w:p>
    <w:p w14:paraId="6515887C" w14:textId="77777777" w:rsidR="00E203E6" w:rsidRPr="00E0175A" w:rsidRDefault="00DB7913" w:rsidP="00E203E6">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E203E6" w:rsidRPr="00E0175A">
            <w:rPr>
              <w:rFonts w:ascii="MS Gothic" w:eastAsia="MS Gothic" w:hAnsi="MS Gothic" w:hint="eastAsia"/>
              <w:noProof/>
            </w:rPr>
            <w:t>☐</w:t>
          </w:r>
        </w:sdtContent>
      </w:sdt>
      <w:r w:rsidR="00E203E6" w:rsidRPr="00E0175A">
        <w:rPr>
          <w:noProof/>
        </w:rPr>
        <w:t xml:space="preserve"> Nej</w:t>
      </w:r>
    </w:p>
    <w:p w14:paraId="0621D804" w14:textId="77777777" w:rsidR="00E203E6" w:rsidRPr="00E0175A" w:rsidRDefault="00E203E6" w:rsidP="00E203E6">
      <w:pPr>
        <w:ind w:left="1418"/>
        <w:rPr>
          <w:b/>
          <w:noProof/>
        </w:rPr>
      </w:pPr>
      <w:r w:rsidRPr="00E0175A">
        <w:rPr>
          <w:noProof/>
        </w:rPr>
        <w:t>Hvis der svares "Nej" på spørgsmålet i 5.1.1. og "Ja" på et af spørgsmålene i 5.1.2. eller 5.1.3., skal ordningen underkastes en efterfølgende evaluering (punkt 143 i retningslinjerne). Besvar i så fald det relevante spørgsmål i den generelle anmeldelsesformular med "Ja", angiv evalueringsperioden, og fremsend udkastet til evalueringsplan i bilag I – del III.8</w:t>
      </w:r>
      <w:r w:rsidRPr="00E0175A">
        <w:rPr>
          <w:rStyle w:val="FootnoteReference"/>
          <w:noProof/>
        </w:rPr>
        <w:footnoteReference w:id="28"/>
      </w:r>
      <w:r w:rsidRPr="00E0175A">
        <w:rPr>
          <w:noProof/>
        </w:rPr>
        <w:t>.</w:t>
      </w:r>
      <w:r w:rsidRPr="00E0175A">
        <w:rPr>
          <w:noProof/>
          <w:color w:val="000000"/>
        </w:rPr>
        <w:t xml:space="preserve"> </w:t>
      </w:r>
    </w:p>
    <w:p w14:paraId="5B68B232" w14:textId="77777777" w:rsidR="00E203E6" w:rsidRPr="00E0175A" w:rsidRDefault="00E203E6" w:rsidP="00E203E6">
      <w:pPr>
        <w:pStyle w:val="NormalKop111"/>
        <w:numPr>
          <w:ilvl w:val="1"/>
          <w:numId w:val="22"/>
        </w:numPr>
        <w:tabs>
          <w:tab w:val="clear" w:pos="720"/>
          <w:tab w:val="clear" w:pos="1440"/>
          <w:tab w:val="clear" w:pos="1797"/>
        </w:tabs>
        <w:ind w:left="709" w:hanging="709"/>
        <w:rPr>
          <w:b/>
          <w:noProof/>
        </w:rPr>
      </w:pPr>
      <w:r w:rsidRPr="00E0175A">
        <w:rPr>
          <w:b/>
          <w:noProof/>
        </w:rPr>
        <w:t>Rapportering og overvågning</w:t>
      </w:r>
    </w:p>
    <w:p w14:paraId="5A891077" w14:textId="77777777" w:rsidR="00E203E6" w:rsidRPr="00E0175A" w:rsidRDefault="00E203E6" w:rsidP="00E203E6">
      <w:pPr>
        <w:pStyle w:val="NormalKop111"/>
        <w:numPr>
          <w:ilvl w:val="2"/>
          <w:numId w:val="22"/>
        </w:numPr>
        <w:tabs>
          <w:tab w:val="clear" w:pos="720"/>
          <w:tab w:val="clear" w:pos="1440"/>
          <w:tab w:val="clear" w:pos="1797"/>
        </w:tabs>
        <w:ind w:left="1418" w:hanging="698"/>
        <w:rPr>
          <w:noProof/>
        </w:rPr>
      </w:pPr>
      <w:r w:rsidRPr="00E0175A">
        <w:rPr>
          <w:noProof/>
        </w:rPr>
        <w:t>Bekræft, at du vil:</w:t>
      </w:r>
    </w:p>
    <w:p w14:paraId="57497913" w14:textId="64F429F7" w:rsidR="00E203E6" w:rsidRPr="00E0175A" w:rsidRDefault="00E203E6" w:rsidP="00E203E6">
      <w:pPr>
        <w:pStyle w:val="Tiret0"/>
        <w:rPr>
          <w:noProof/>
        </w:rPr>
      </w:pPr>
      <w:r w:rsidRPr="00E0175A">
        <w:rPr>
          <w:noProof/>
        </w:rPr>
        <w:t>forelægge Kommissionen årlige rapporter i overensstemmelse med forordning (EU)</w:t>
      </w:r>
      <w:r w:rsidR="00D64015">
        <w:rPr>
          <w:noProof/>
        </w:rPr>
        <w:t> </w:t>
      </w:r>
      <w:r w:rsidRPr="00E0175A">
        <w:rPr>
          <w:noProof/>
        </w:rPr>
        <w:t>2015/1589 og forordning (EF) nr. 794/2004. og</w:t>
      </w:r>
    </w:p>
    <w:p w14:paraId="38B6B18F" w14:textId="77777777" w:rsidR="00E203E6" w:rsidRPr="00E0175A" w:rsidRDefault="00E203E6" w:rsidP="00E203E6">
      <w:pPr>
        <w:pStyle w:val="Normal127"/>
        <w:ind w:left="1778"/>
        <w:rPr>
          <w:noProof/>
        </w:rPr>
      </w:pPr>
      <w:r w:rsidRPr="00E0175A">
        <w:rPr>
          <w:noProof/>
        </w:rPr>
        <w:lastRenderedPageBreak/>
        <w:tab/>
      </w:r>
      <w:sdt>
        <w:sdtPr>
          <w:rPr>
            <w:noProof/>
          </w:rPr>
          <w:id w:val="-1014452315"/>
          <w14:checkbox>
            <w14:checked w14:val="0"/>
            <w14:checkedState w14:val="2612" w14:font="MS Gothic"/>
            <w14:uncheckedState w14:val="2610" w14:font="MS Gothic"/>
          </w14:checkbox>
        </w:sdtPr>
        <w:sdtEndPr/>
        <w:sdtContent>
          <w:r w:rsidRPr="00E0175A">
            <w:rPr>
              <w:rFonts w:ascii="MS Gothic" w:eastAsia="MS Gothic" w:hAnsi="MS Gothic" w:hint="eastAsia"/>
              <w:noProof/>
            </w:rPr>
            <w:t>☐</w:t>
          </w:r>
        </w:sdtContent>
      </w:sdt>
      <w:r w:rsidRPr="00E0175A">
        <w:rPr>
          <w:noProof/>
        </w:rPr>
        <w:t xml:space="preserve"> Ja</w:t>
      </w:r>
    </w:p>
    <w:p w14:paraId="53C684C1" w14:textId="77777777" w:rsidR="00E203E6" w:rsidRPr="00E0175A" w:rsidRDefault="00E203E6" w:rsidP="00E203E6">
      <w:pPr>
        <w:pStyle w:val="Tiret0"/>
        <w:numPr>
          <w:ilvl w:val="0"/>
          <w:numId w:val="29"/>
        </w:numPr>
        <w:rPr>
          <w:noProof/>
        </w:rPr>
      </w:pPr>
      <w:r w:rsidRPr="00E0175A">
        <w:rPr>
          <w:noProof/>
        </w:rPr>
        <w:t>opbevare detaljerede fortegnelser, som indeholder de oplysninger og bilag, der er nødvendige for at fastslå, om alle forenelighedsbetingelser er opfyldt, i mindst 10 år fra datoen for tildeling af enhver støtte inden for rammerne af ordningen, og at disse fortegnelser vil blive udleveret til Kommissionen efter anmodning.</w:t>
      </w:r>
    </w:p>
    <w:p w14:paraId="01DFB6BC" w14:textId="77777777" w:rsidR="00E203E6" w:rsidRPr="00E0175A" w:rsidRDefault="00E203E6" w:rsidP="00E203E6">
      <w:pPr>
        <w:pStyle w:val="Normal127"/>
        <w:ind w:left="1778"/>
        <w:rPr>
          <w:noProof/>
        </w:rPr>
      </w:pPr>
      <w:r w:rsidRPr="00E0175A">
        <w:rPr>
          <w:noProof/>
        </w:rPr>
        <w:tab/>
      </w:r>
      <w:sdt>
        <w:sdtPr>
          <w:rPr>
            <w:noProof/>
          </w:rPr>
          <w:id w:val="479968380"/>
          <w14:checkbox>
            <w14:checked w14:val="0"/>
            <w14:checkedState w14:val="2612" w14:font="MS Gothic"/>
            <w14:uncheckedState w14:val="2610" w14:font="MS Gothic"/>
          </w14:checkbox>
        </w:sdtPr>
        <w:sdtEndPr/>
        <w:sdtContent>
          <w:r w:rsidRPr="00E0175A">
            <w:rPr>
              <w:rFonts w:ascii="MS Gothic" w:eastAsia="MS Gothic" w:hAnsi="MS Gothic" w:hint="eastAsia"/>
              <w:noProof/>
            </w:rPr>
            <w:t>☐</w:t>
          </w:r>
        </w:sdtContent>
      </w:sdt>
      <w:r w:rsidRPr="00E0175A">
        <w:rPr>
          <w:noProof/>
        </w:rPr>
        <w:t xml:space="preserve"> Ja</w:t>
      </w:r>
    </w:p>
    <w:p w14:paraId="555E027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54E8" w14:textId="77777777" w:rsidR="00E203E6" w:rsidRDefault="00E203E6" w:rsidP="00E203E6">
      <w:pPr>
        <w:spacing w:before="0" w:after="0"/>
      </w:pPr>
      <w:r>
        <w:separator/>
      </w:r>
    </w:p>
  </w:endnote>
  <w:endnote w:type="continuationSeparator" w:id="0">
    <w:p w14:paraId="1CD47271" w14:textId="77777777" w:rsidR="00E203E6" w:rsidRDefault="00E203E6" w:rsidP="00E203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093C" w14:textId="77777777" w:rsidR="00E203E6" w:rsidRDefault="00E20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3AD46" w14:textId="0F36D2CC" w:rsidR="00E203E6" w:rsidRDefault="00E203E6" w:rsidP="00E203E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1C7D" w14:textId="77777777" w:rsidR="00E203E6" w:rsidRDefault="00E20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72F65" w14:textId="77777777" w:rsidR="00E203E6" w:rsidRDefault="00E203E6" w:rsidP="00E203E6">
      <w:pPr>
        <w:spacing w:before="0" w:after="0"/>
      </w:pPr>
      <w:r>
        <w:separator/>
      </w:r>
    </w:p>
  </w:footnote>
  <w:footnote w:type="continuationSeparator" w:id="0">
    <w:p w14:paraId="0431A7FD" w14:textId="77777777" w:rsidR="00E203E6" w:rsidRDefault="00E203E6" w:rsidP="00E203E6">
      <w:pPr>
        <w:spacing w:before="0" w:after="0"/>
      </w:pPr>
      <w:r>
        <w:continuationSeparator/>
      </w:r>
    </w:p>
  </w:footnote>
  <w:footnote w:id="1">
    <w:p w14:paraId="7E71FCDF"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 xml:space="preserve">Retningslinjer for statsstøtte med regionalt sigte (EUT C </w:t>
      </w:r>
      <w:r w:rsidRPr="00E0175A">
        <w:rPr>
          <w:rStyle w:val="Emphasis"/>
        </w:rPr>
        <w:t>153 af 29.4.2021, s. 1</w:t>
      </w:r>
      <w:r w:rsidRPr="00E0175A">
        <w:t>).</w:t>
      </w:r>
    </w:p>
  </w:footnote>
  <w:footnote w:id="2">
    <w:p w14:paraId="75FEE827"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Kommissionens forordning (EU) nr. 651/2014 af 17. juni 2014 om visse kategorier af støttes forenelighed med det indre marked i henhold til traktatens artikel 107 og 108 (</w:t>
      </w:r>
      <w:r w:rsidRPr="00E0175A">
        <w:rPr>
          <w:rStyle w:val="Emphasis"/>
        </w:rPr>
        <w:t>EUT L 187 af 26.6.2014, s. 1</w:t>
      </w:r>
      <w:r w:rsidRPr="00E0175A">
        <w:t>, ELI: </w:t>
      </w:r>
      <w:hyperlink r:id="rId1" w:tooltip="Giver adgang til dokumentet via dets ELI-URI." w:history="1">
        <w:r w:rsidRPr="00E0175A">
          <w:rPr>
            <w:rStyle w:val="Hyperlink"/>
          </w:rPr>
          <w:t>http://data.europa.eu/eli/reg/2014/651/oj</w:t>
        </w:r>
      </w:hyperlink>
      <w:r w:rsidRPr="00E0175A">
        <w:t>).</w:t>
      </w:r>
    </w:p>
  </w:footnote>
  <w:footnote w:id="3">
    <w:p w14:paraId="4F1D1BB9"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Kommissionens forordning (EU) 2023/2831 af 13. december 2023 om anvendelse af artikel 107 og 108 i traktaten om Den Europæiske Unions funktionsmåde på de minimis-støtte (EUT L, 2023/2831, 15.12.2023, ELI: </w:t>
      </w:r>
      <w:hyperlink r:id="rId2" w:tgtFrame="_blank" w:tooltip="Giver adgang til dokumentet via dets ELI-URI." w:history="1">
        <w:r w:rsidRPr="00E0175A">
          <w:rPr>
            <w:rStyle w:val="Hyperlink"/>
          </w:rPr>
          <w:t>http://data.europa.eu/eli/reg/2023/2831/oj</w:t>
        </w:r>
      </w:hyperlink>
      <w:r w:rsidRPr="00E0175A">
        <w:t xml:space="preserve"> ). </w:t>
      </w:r>
    </w:p>
  </w:footnote>
  <w:footnote w:id="4">
    <w:p w14:paraId="2ABD7647" w14:textId="77777777" w:rsidR="00E203E6" w:rsidRPr="00E0175A" w:rsidRDefault="00E203E6" w:rsidP="00E203E6">
      <w:pPr>
        <w:pStyle w:val="FootnoteText"/>
        <w:tabs>
          <w:tab w:val="left" w:pos="284"/>
        </w:tabs>
        <w:spacing w:after="120"/>
        <w:ind w:left="284" w:hanging="284"/>
        <w:rPr>
          <w:color w:val="000000"/>
        </w:rPr>
      </w:pPr>
      <w:r>
        <w:rPr>
          <w:rStyle w:val="FootnoteReference"/>
        </w:rPr>
        <w:footnoteRef/>
      </w:r>
      <w:r w:rsidRPr="00E0175A">
        <w:tab/>
      </w:r>
      <w:r w:rsidRPr="00E0175A">
        <w:rPr>
          <w:color w:val="000000"/>
        </w:rPr>
        <w:t>Som defineret i rammebestemmelserne for statsstøtte til redning og omstrukturering af kriseramte ikke-finansielle virksomheder (EUT C 249 af 31.7.2014, s. 1).</w:t>
      </w:r>
    </w:p>
  </w:footnote>
  <w:footnote w:id="5">
    <w:p w14:paraId="416F551D" w14:textId="77777777" w:rsidR="00E203E6" w:rsidRPr="00E0175A" w:rsidRDefault="00E203E6" w:rsidP="00E203E6">
      <w:pPr>
        <w:pStyle w:val="FootnoteText"/>
        <w:tabs>
          <w:tab w:val="left" w:pos="284"/>
        </w:tabs>
        <w:spacing w:after="120"/>
        <w:ind w:left="284" w:hanging="284"/>
        <w:rPr>
          <w:color w:val="000000"/>
        </w:rPr>
      </w:pPr>
      <w:r>
        <w:rPr>
          <w:rStyle w:val="FootnoteReference"/>
        </w:rPr>
        <w:footnoteRef/>
      </w:r>
      <w:r w:rsidRPr="00E0175A">
        <w:tab/>
      </w:r>
      <w:r w:rsidRPr="00E0175A">
        <w:rPr>
          <w:color w:val="000000"/>
        </w:rPr>
        <w:t>Som defineret i bilag VI til retningslinjerne.</w:t>
      </w:r>
    </w:p>
  </w:footnote>
  <w:footnote w:id="6">
    <w:p w14:paraId="672112C6"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"Brunkul": lavkvalitets-C eller ortho-brunkul og lavkvalitets-B eller meta-lignit som defineret i det internationale kulklassificeringssystem, som er fastlagt af FN's Økonomiske Kommission for Europa.</w:t>
      </w:r>
    </w:p>
  </w:footnote>
  <w:footnote w:id="7">
    <w:p w14:paraId="7ADA1C94"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"Kul": højkvalitets-, middelkvalitets- og lavkvalitetskul af kategori A og B som defineret i det internationale kulklassificeringssystem, som er fastlagt af FN's Økonomiske Kommission for Europa og præciseret i Rådets afgørelse af 10. december 2010 om statsstøtte til fremme af lukning af miner, der ikke er konkurrencedygtige (EUT L 336 af 21.12.2010, s. 24).</w:t>
      </w:r>
    </w:p>
  </w:footnote>
  <w:footnote w:id="8">
    <w:p w14:paraId="1C875420"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Som omfattet af Europa-Parlamentets og Rådets forordning (EU) nr. 1379/2013 af 11. december 2013 om den fælles markedsordning for fiskevarer og akvakulturprodukter, om ændring af Rådets forordning (EF) nr. 1184/2006 og (EF) nr. 1224/2009 og om ophævelse af Rådets forordning (EF) nr. 104/2000 (EUT L 354 af 28.12.2013, s. 1).</w:t>
      </w:r>
    </w:p>
  </w:footnote>
  <w:footnote w:id="9">
    <w:p w14:paraId="0EB31AEE"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Statsstøtte til primærproduktion, forarbejdning og afsætning af landbrugsprodukter, som resulterer i landbrugsprodukter, der er anført i bilag I til traktaten, og til skovbrug er underlagt retningslinjerne for statsstøtte i landbrugs- og skovbrugssektoren (EUT C 204 af 1.7.2014, s. 1).</w:t>
      </w:r>
    </w:p>
  </w:footnote>
  <w:footnote w:id="10">
    <w:p w14:paraId="081CE4FF"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Retningslinjerne gælder støtteforanstaltninger, der understøtter aktiviteter, som ikke er omfattet af traktatens artikel 42, men enten medfinansieres af Den Europæiske Landbrugsfond for Udvikling af Landdistrikterne (ELFUL) eller ydes som supplerende national finansiering til sådanne samfinansierede foranstaltninger, medmindre andet er fastsat i sektorreglerne.</w:t>
      </w:r>
    </w:p>
  </w:footnote>
  <w:footnote w:id="11">
    <w:p w14:paraId="5789B785"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"Transport": transport af passagerer med fly, søtransport, ad vej eller jernbane eller indre vandveje eller godstransport for fremmed regning. Transportinfrastruktur, der er omfattet af specifikke retningslinjer, f.eks. lufthavne, er også udelukket fra disse retningslinjer (se meddelelse fra Kommissionen – Retningslinjer for statsstøtte til lufthavne og luftfartsselskaber (EUT C 99 af 4.4.2014, s. 3)).</w:t>
      </w:r>
    </w:p>
  </w:footnote>
  <w:footnote w:id="12">
    <w:p w14:paraId="59523B96"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Meddelelse fra Kommissionen – EU-retningslinjer for statsstøttereglernes anvendelse i forbindelse med hurtig etablering af bredbåndsnet (EUT C 25 af 26.1.2013, s. 1.)</w:t>
      </w:r>
    </w:p>
  </w:footnote>
  <w:footnote w:id="13">
    <w:p w14:paraId="42C4D444"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Kommissionen vil vurdere foreneligheden af statsstøtte til energisektoren på grundlag af retningslinjerne for statsstøtte til miljøbeskyttelse og energi 2014-2020 (EUT C 200 af 28.6.2014, s. 1).</w:t>
      </w:r>
    </w:p>
  </w:footnote>
  <w:footnote w:id="14">
    <w:p w14:paraId="14100853"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"SMV'er": virksomheder, som opfylder kriterierne i Kommissionens henstilling af 6. maj 2003 om definitionen af mikrovirksomheder og små og mellemstore virksomheder (EUT L 124 af 20.5.2003, s. 36).</w:t>
      </w:r>
    </w:p>
  </w:footnote>
  <w:footnote w:id="15">
    <w:p w14:paraId="461C26E7"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Køb af en virksomheds aktier betragtes ikke i sig selv som en initialinvestering.</w:t>
      </w:r>
    </w:p>
  </w:footnote>
  <w:footnote w:id="16">
    <w:p w14:paraId="410D4216"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"Samme eller lignende aktivitet": aktiviteter, der hører under den samme klassifikation (firecifret talkode) i den statistiske nomenklatur for økonomiske aktiviteter, NACE rev. 2.</w:t>
      </w:r>
    </w:p>
  </w:footnote>
  <w:footnote w:id="17">
    <w:p w14:paraId="34AD1B7D"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Køb af en virksomheds aktier betragtes ikke i sig selv som en initialinvestering, der skaber en ny økonomisk aktivitet.</w:t>
      </w:r>
    </w:p>
  </w:footnote>
  <w:footnote w:id="18">
    <w:p w14:paraId="7004478D"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Denne bestemmelse behøver ikke finde anvendelse på SMV'er eller på erhvervelse af en virksomhed.</w:t>
      </w:r>
    </w:p>
  </w:footnote>
  <w:footnote w:id="19">
    <w:p w14:paraId="6F39CE73" w14:textId="77777777" w:rsidR="00E203E6" w:rsidRPr="00E0175A" w:rsidRDefault="00E203E6" w:rsidP="00E203E6">
      <w:pPr>
        <w:pStyle w:val="FootnoteText"/>
        <w:tabs>
          <w:tab w:val="left" w:pos="284"/>
        </w:tabs>
        <w:ind w:left="284" w:hanging="284"/>
      </w:pPr>
      <w:r>
        <w:rPr>
          <w:rStyle w:val="FootnoteReference"/>
        </w:rPr>
        <w:footnoteRef/>
      </w:r>
      <w:r w:rsidRPr="00E0175A">
        <w:tab/>
        <w:t>Ifølge punkt 34 i retningslinjerne skal de støtteberettigede immaterielle aktiver, der kan medregnes med henblik på beregning af investeringsomkostningerne, fortsat være tilknyttet det berørte område og må ikke overføres til andre områder. I den forbindelse skal de immaterielle aktiver opfylde følgende betingelser:</w:t>
      </w:r>
    </w:p>
    <w:p w14:paraId="17B21714" w14:textId="77777777" w:rsidR="00E203E6" w:rsidRPr="00E0175A" w:rsidRDefault="00E203E6" w:rsidP="00E203E6">
      <w:pPr>
        <w:pStyle w:val="FootnoteText"/>
        <w:numPr>
          <w:ilvl w:val="0"/>
          <w:numId w:val="23"/>
        </w:numPr>
        <w:tabs>
          <w:tab w:val="left" w:pos="709"/>
        </w:tabs>
        <w:spacing w:before="0"/>
        <w:ind w:left="709" w:hanging="425"/>
      </w:pPr>
      <w:r w:rsidRPr="00E0175A">
        <w:t>De skal udelukkende anvendes i den virksomhed, der modtager støtten.</w:t>
      </w:r>
    </w:p>
    <w:p w14:paraId="262C1323" w14:textId="77777777" w:rsidR="00E203E6" w:rsidRDefault="00E203E6" w:rsidP="00E203E6">
      <w:pPr>
        <w:pStyle w:val="FootnoteText"/>
        <w:numPr>
          <w:ilvl w:val="0"/>
          <w:numId w:val="23"/>
        </w:numPr>
        <w:tabs>
          <w:tab w:val="left" w:pos="709"/>
        </w:tabs>
        <w:spacing w:before="0"/>
        <w:ind w:left="709" w:hanging="425"/>
      </w:pPr>
      <w:r>
        <w:t>De skal kunne afskrives.</w:t>
      </w:r>
    </w:p>
    <w:p w14:paraId="03E6FA63" w14:textId="77777777" w:rsidR="00E203E6" w:rsidRPr="00E0175A" w:rsidRDefault="00E203E6" w:rsidP="00E203E6">
      <w:pPr>
        <w:pStyle w:val="FootnoteText"/>
        <w:numPr>
          <w:ilvl w:val="0"/>
          <w:numId w:val="23"/>
        </w:numPr>
        <w:tabs>
          <w:tab w:val="left" w:pos="709"/>
        </w:tabs>
        <w:spacing w:before="0"/>
        <w:ind w:left="709" w:hanging="425"/>
      </w:pPr>
      <w:r w:rsidRPr="00E0175A">
        <w:t>De skal erhverves fra tredjeparter uden tilknytning til køberen og på markedsvilkår.</w:t>
      </w:r>
    </w:p>
    <w:p w14:paraId="4F20652E" w14:textId="77777777" w:rsidR="00E203E6" w:rsidRPr="00E0175A" w:rsidRDefault="00E203E6" w:rsidP="00E203E6">
      <w:pPr>
        <w:pStyle w:val="FootnoteText"/>
        <w:numPr>
          <w:ilvl w:val="0"/>
          <w:numId w:val="23"/>
        </w:numPr>
        <w:tabs>
          <w:tab w:val="left" w:pos="709"/>
        </w:tabs>
        <w:spacing w:before="0" w:after="120"/>
        <w:ind w:left="709" w:hanging="425"/>
      </w:pPr>
      <w:r w:rsidRPr="00E0175A">
        <w:t>De skal indgå i den støttemodtagende virksomheds aktiver og forblive i det projekt, hvortil støtten ydes, i mindst fem år (tre år for SMV'er).</w:t>
      </w:r>
    </w:p>
  </w:footnote>
  <w:footnote w:id="20">
    <w:p w14:paraId="28D67EE9"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Dette spørgsmål gælder ikke rentelettede lån, offentlige egenkapitallån eller offentlige kapitalindskud, som ikke stemmer overens med det markedsøkonomiske investorprincip, statsgarantier med elementer af støtte eller offentlig støtte ydet inden for rammerne af de minimis-reglen.</w:t>
      </w:r>
    </w:p>
  </w:footnote>
  <w:footnote w:id="21">
    <w:p w14:paraId="47CF8B62"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Beskrivelsen af den kontrafaktiske situation er troværdig, hvis den er realistisk og baseret på de beslutningsparametre, der var gældende på det tidspunkt, hvor støttemodtageren traf sin investeringsbeslutning.</w:t>
      </w:r>
    </w:p>
  </w:footnote>
  <w:footnote w:id="22">
    <w:p w14:paraId="0023072C"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Her kan der henvises til bl.a. konsekvensanalyser af den foreslåede ordning eller efterfølgende evalueringer af lignende ordninger.</w:t>
      </w:r>
    </w:p>
  </w:footnote>
  <w:footnote w:id="23">
    <w:p w14:paraId="5AD6CAEB"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F.eks. direkte tilskud, fritagelser for eller nedsættelser af afgifter, socialsikringsbidrag eller andre obligatoriske bidrag eller salg af fast ejendom, varer eller tjenester til gunstige priser.</w:t>
      </w:r>
    </w:p>
  </w:footnote>
  <w:footnote w:id="24">
    <w:p w14:paraId="7D339274"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F.eks. rentelettede lån eller rentetilskud, statsgarantier, erhvervelse af kapitalinteresser eller alternative kapitalindsprøjtninger på gunstige vilkår.</w:t>
      </w:r>
    </w:p>
  </w:footnote>
  <w:footnote w:id="25">
    <w:p w14:paraId="3E8668BF"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For at sætte Kommissionen i stand til at vurdere de sandsynlige negative virkninger kan medlemsstaterne eventuelt indsende en konsekvensanalyse sammen med efterfølgende evalueringer, der er foretaget for lignende ordninger.</w:t>
      </w:r>
    </w:p>
  </w:footnote>
  <w:footnote w:id="26">
    <w:p w14:paraId="456D43EC"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Som defineret i bilag III til Kommissionens forordning (EU) nr. 651/2014 af 17. juni 2014 om visse kategorier af støttes forenelighed med det indre marked i henhold til traktatens artikel 107 og 108.</w:t>
      </w:r>
    </w:p>
  </w:footnote>
  <w:footnote w:id="27">
    <w:p w14:paraId="0BD39B17" w14:textId="77777777" w:rsidR="00E203E6" w:rsidRPr="00E0175A" w:rsidRDefault="00E203E6" w:rsidP="00E203E6">
      <w:pPr>
        <w:pStyle w:val="FootnoteText"/>
        <w:tabs>
          <w:tab w:val="left" w:pos="284"/>
        </w:tabs>
        <w:spacing w:after="120"/>
        <w:ind w:left="284" w:hanging="284"/>
      </w:pPr>
      <w:r>
        <w:rPr>
          <w:rStyle w:val="FootnoteReference"/>
        </w:rPr>
        <w:footnoteRef/>
      </w:r>
      <w:r w:rsidRPr="00E0175A">
        <w:tab/>
        <w:t>Som defineret i bilag III til Kommissionens forordning (EU) nr. 651/2014 af 17. juni 2014 om visse kategorier af støttes forenelighed med det indre marked i henhold til traktatens artikel 107 og 108.</w:t>
      </w:r>
    </w:p>
  </w:footnote>
  <w:footnote w:id="28">
    <w:p w14:paraId="4FF1797A" w14:textId="77777777" w:rsidR="00E203E6" w:rsidRPr="00E0175A" w:rsidRDefault="00E203E6" w:rsidP="00E203E6">
      <w:pPr>
        <w:pStyle w:val="FootnoteText"/>
        <w:tabs>
          <w:tab w:val="left" w:pos="284"/>
        </w:tabs>
        <w:spacing w:after="120"/>
        <w:ind w:left="284" w:hanging="284"/>
      </w:pPr>
      <w:r>
        <w:rPr>
          <w:rStyle w:val="FootnoteReference"/>
        </w:rPr>
        <w:footnoteRef/>
      </w:r>
      <w:r>
        <w:tab/>
        <w:t xml:space="preserve">Vejledning findes i "Methodological guidance paper for evaluation in the field of State aid": </w:t>
      </w:r>
      <w:hyperlink r:id="rId3" w:history="1">
        <w:r>
          <w:rPr>
            <w:rStyle w:val="Hyperlink"/>
          </w:rPr>
          <w:t>https://competition-policy.ec.europa.eu/system/files/2021-04/modernisation_evaluation_methodology_en.pdf</w:t>
        </w:r>
      </w:hyperlink>
      <w:r>
        <w:t xml:space="preserve">.  </w:t>
      </w:r>
      <w:r w:rsidRPr="00E0175A">
        <w:t xml:space="preserve">Evalueringsplanen (bilag I — del III.8) indsendes ved brug af den formular, der findes på: </w:t>
      </w:r>
      <w:hyperlink r:id="rId4" w:history="1">
        <w:r w:rsidRPr="00E0175A">
          <w:rPr>
            <w:rStyle w:val="Hyperlink"/>
          </w:rPr>
          <w:t>https://competition-policy.ec.europa.eu/state-aid/legislation/forms-notifications-and-reporting_en</w:t>
        </w:r>
      </w:hyperlink>
      <w:r w:rsidRPr="00E0175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FBBDF" w14:textId="77777777" w:rsidR="00E203E6" w:rsidRDefault="00E20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C8D7" w14:textId="77777777" w:rsidR="00E203E6" w:rsidRDefault="00E20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E138" w14:textId="77777777" w:rsidR="00E203E6" w:rsidRDefault="00E203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6251638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1726929">
    <w:abstractNumId w:val="16"/>
  </w:num>
  <w:num w:numId="24" w16cid:durableId="1833182774">
    <w:abstractNumId w:val="19"/>
  </w:num>
  <w:num w:numId="25" w16cid:durableId="2104565009">
    <w:abstractNumId w:val="9"/>
  </w:num>
  <w:num w:numId="26" w16cid:durableId="1898589806">
    <w:abstractNumId w:val="15"/>
    <w:lvlOverride w:ilvl="0">
      <w:startOverride w:val="1"/>
    </w:lvlOverride>
  </w:num>
  <w:num w:numId="27" w16cid:durableId="53893878">
    <w:abstractNumId w:val="25"/>
    <w:lvlOverride w:ilvl="0">
      <w:startOverride w:val="1"/>
    </w:lvlOverride>
  </w:num>
  <w:num w:numId="28" w16cid:durableId="19430177">
    <w:abstractNumId w:val="23"/>
    <w:lvlOverride w:ilvl="0">
      <w:startOverride w:val="1"/>
    </w:lvlOverride>
  </w:num>
  <w:num w:numId="29" w16cid:durableId="1521895540">
    <w:abstractNumId w:val="23"/>
  </w:num>
  <w:num w:numId="30" w16cid:durableId="712269272">
    <w:abstractNumId w:val="15"/>
  </w:num>
  <w:num w:numId="31" w16cid:durableId="105034665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203E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65836"/>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CE6BE2"/>
    <w:rsid w:val="00D0591E"/>
    <w:rsid w:val="00D42133"/>
    <w:rsid w:val="00D533D3"/>
    <w:rsid w:val="00D64015"/>
    <w:rsid w:val="00D67EFF"/>
    <w:rsid w:val="00D73A08"/>
    <w:rsid w:val="00D76358"/>
    <w:rsid w:val="00D81D03"/>
    <w:rsid w:val="00D865A5"/>
    <w:rsid w:val="00D973F4"/>
    <w:rsid w:val="00DA5E4B"/>
    <w:rsid w:val="00DB22C1"/>
    <w:rsid w:val="00DB7913"/>
    <w:rsid w:val="00DF53A3"/>
    <w:rsid w:val="00DF64E6"/>
    <w:rsid w:val="00E043EC"/>
    <w:rsid w:val="00E04515"/>
    <w:rsid w:val="00E119E0"/>
    <w:rsid w:val="00E11FFF"/>
    <w:rsid w:val="00E17BF3"/>
    <w:rsid w:val="00E203E6"/>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4600"/>
  <w15:chartTrackingRefBased/>
  <w15:docId w15:val="{FFB01C91-58B0-4A40-8C1E-D1F716799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3E6"/>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E203E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203E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a-DK"/>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a-DK"/>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a-DK"/>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a-DK"/>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a-DK"/>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a-DK"/>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a-DK"/>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203E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203E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203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03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03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03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03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203E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203E6"/>
    <w:rPr>
      <w:i/>
      <w:iCs/>
      <w:color w:val="365F91" w:themeColor="accent1" w:themeShade="BF"/>
    </w:rPr>
  </w:style>
  <w:style w:type="paragraph" w:styleId="IntenseQuote">
    <w:name w:val="Intense Quote"/>
    <w:basedOn w:val="Normal"/>
    <w:next w:val="Normal"/>
    <w:link w:val="IntenseQuoteChar"/>
    <w:uiPriority w:val="30"/>
    <w:qFormat/>
    <w:rsid w:val="00E203E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203E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203E6"/>
    <w:rPr>
      <w:b/>
      <w:bCs/>
      <w:smallCaps/>
      <w:color w:val="365F91" w:themeColor="accent1" w:themeShade="BF"/>
      <w:spacing w:val="5"/>
    </w:rPr>
  </w:style>
  <w:style w:type="paragraph" w:customStyle="1" w:styleId="Text2">
    <w:name w:val="Text 2"/>
    <w:basedOn w:val="Normal"/>
    <w:rsid w:val="00E203E6"/>
    <w:pPr>
      <w:ind w:left="1417"/>
    </w:pPr>
  </w:style>
  <w:style w:type="paragraph" w:customStyle="1" w:styleId="Tiret0">
    <w:name w:val="Tiret 0"/>
    <w:basedOn w:val="Normal"/>
    <w:rsid w:val="00E203E6"/>
    <w:pPr>
      <w:numPr>
        <w:numId w:val="28"/>
      </w:numPr>
    </w:pPr>
  </w:style>
  <w:style w:type="paragraph" w:customStyle="1" w:styleId="Tiret1">
    <w:name w:val="Tiret 1"/>
    <w:basedOn w:val="Normal"/>
    <w:rsid w:val="00E203E6"/>
    <w:pPr>
      <w:numPr>
        <w:numId w:val="26"/>
      </w:numPr>
    </w:pPr>
  </w:style>
  <w:style w:type="paragraph" w:customStyle="1" w:styleId="Tiret2">
    <w:name w:val="Tiret 2"/>
    <w:basedOn w:val="Normal"/>
    <w:rsid w:val="00E203E6"/>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3020</Words>
  <Characters>18815</Characters>
  <DocSecurity>0</DocSecurity>
  <Lines>418</Lines>
  <Paragraphs>216</Paragraphs>
  <ScaleCrop>false</ScaleCrop>
  <LinksUpToDate>false</LinksUpToDate>
  <CharactersWithSpaces>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2025-05-28T13:42:00Z</dcterms:created>
  <dcterms:modified xsi:type="dcterms:W3CDTF">2025-05-30T11:29:00Z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2025-05-28T13:43:57Z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fd8c78fd-1c2c-4200-91fb-2729252be7c4</vt:lpwstr>
  </property>
  <property fmtid="{D5CDD505-2E9C-101B-9397-08002B2CF9AE}" pid="8" name="MSIP_Label_6bd9ddd1-4d20-43f6-abfa-fc3c07406f94_ContentBits">
    <vt:lpwstr>0</vt:lpwstr>
  </property>
</Properties>
</file>