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«ΜΕΡΟΣ ΙΙΙ. Συμπληρωματικά δελτία πληροφοριών</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Μέρος III.1.Β</w:t>
            </w:r>
          </w:p>
          <w:p w14:paraId="6A102D4B" w14:textId="77777777" w:rsidR="00EF0533" w:rsidRDefault="009C772B" w:rsidP="003740E7">
            <w:pPr>
              <w:pStyle w:val="ChapterTitle"/>
              <w:spacing w:before="0" w:after="240"/>
            </w:pPr>
            <w:r>
              <w:t xml:space="preserve">Επικαιροποιημένο* Συμπληρωματικό δελτίο πληροφοριών σχετικά με τα καθεστώτα επενδυτικών ενισχύσεων περιφερειακού χαρακτήρα</w:t>
            </w:r>
          </w:p>
          <w:p w14:paraId="09A68465" w14:textId="77777777" w:rsidR="00380753" w:rsidRPr="00380753" w:rsidRDefault="009C772B" w:rsidP="003740E7">
            <w:pPr>
              <w:jc w:val="left"/>
            </w:pPr>
            <w:r>
              <w:t xml:space="preserve">* χωρίς επίσημη έγκριση</w:t>
            </w:r>
          </w:p>
        </w:tc>
      </w:tr>
    </w:tbl>
    <w:p w14:paraId="1536E485" w14:textId="77777777" w:rsidR="00923AD6" w:rsidRDefault="00923AD6" w:rsidP="001B2B78"/>
    <w:p w14:paraId="75E982FA" w14:textId="77777777" w:rsidR="00EF0533" w:rsidRPr="00003889" w:rsidRDefault="00003889" w:rsidP="001B2B78">
      <w:r>
        <w:t xml:space="preserve">Το παρόν συμπληρωματικό δελτίο πληροφοριών δεν είναι υποχρεωτικό.</w:t>
      </w:r>
      <w:r>
        <w:t xml:space="preserve"> </w:t>
      </w:r>
      <w:r>
        <w:t xml:space="preserve">Συνιστάται η συμπλήρωσή του, επιπλέον του εντύπου «Γενικές πληροφορίες», για την κοινοποίηση όλων των επενδυτικών ενισχύσεων που καλύπτονται από τις κατευθυντήριες γραμμές για τις κρατικές ενισχύσεις περιφερειακού χαρακτήρα που εφαρμόζονται από την 1η Ιανουαρίου 2022 (ΚΓΠΕ)</w:t>
      </w:r>
      <w:r>
        <w:rPr>
          <w:rStyle w:val="FootnoteReference"/>
          <w:iCs/>
          <w:szCs w:val="24"/>
        </w:rPr>
        <w:footnoteReference w:id="1"/>
      </w:r>
      <w:r>
        <w:t xml:space="preserve">.</w:t>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Πεδίο εφαρμογής</w:t>
            </w:r>
          </w:p>
        </w:tc>
      </w:tr>
    </w:tbl>
    <w:p w14:paraId="64530B4D" w14:textId="77777777" w:rsidR="00EF0533" w:rsidRPr="00D070D1" w:rsidRDefault="00EF0533" w:rsidP="00095A91">
      <w:pPr>
        <w:pStyle w:val="NormalKop11"/>
      </w:pPr>
      <w:r>
        <w:t xml:space="preserve">Λόγοι για την κοινοποίηση του καθεστώτος αντί της εφαρμογής του βάσει του γενικού κανονισμού απαλλαγής κατά κατηγορία (ΓΚΑΚ)</w:t>
      </w:r>
      <w:r>
        <w:rPr>
          <w:rStyle w:val="FootnoteReference"/>
          <w:color w:val="000000"/>
        </w:rPr>
        <w:footnoteReference w:id="2"/>
      </w:r>
      <w:r>
        <w:t xml:space="preserve"> ή του κανονισμού για τις ενισχύσεις ήσσονος σημασίας</w:t>
      </w:r>
      <w:r>
        <w:rPr>
          <w:rStyle w:val="FootnoteReference"/>
        </w:rPr>
        <w:footnoteReference w:id="3"/>
      </w:r>
      <w:r>
        <w:t xml:space="preserve"> (de minimis):</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Η κοινοποίηση αφορά τομεακό καθεστώς.</w:t>
      </w:r>
      <w:r>
        <w:t xml:space="preserve"> </w:t>
      </w:r>
      <w:r>
        <w:t xml:space="preserve">Στην περίπτωση αυτή, αναφέρετε τον τομέα που καλύπτεται από το καθεστώς (κωδικός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Άλλο.</w:t>
      </w:r>
      <w:r>
        <w:t xml:space="preserve"> </w:t>
      </w:r>
      <w:r>
        <w:t xml:space="preserve">Να διευκρινιστεί:</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Πεδίο εφαρμογής του κοινοποιηθέντος καθεστώτος</w:t>
      </w:r>
    </w:p>
    <w:p w14:paraId="669E042A" w14:textId="77777777" w:rsidR="000956BB" w:rsidRPr="005C5DFC" w:rsidRDefault="000956BB" w:rsidP="000956BB">
      <w:pPr>
        <w:pStyle w:val="NumPar3"/>
        <w:numPr>
          <w:ilvl w:val="2"/>
          <w:numId w:val="2"/>
        </w:numPr>
        <w:ind w:left="1418" w:hanging="698"/>
      </w:pPr>
      <w:r>
        <w:t xml:space="preserve">Επιβεβαιώστε ότι η νομική βάση για το κοινοποιηθέν καθεστώς προβλέπει την υποχρέωση να κοινοποιούνται στην Επιτροπή οι μεμονωμένες ενισχύσεις σε δικαιούχο σε περίπτωση που η ενίσχυση από όλες τις πηγές υπερβαίνει το όριο κοινοποίησης μεμονωμένων ενισχύσεων που προβλέπεται στον γενικό κανονισμό απαλλαγής κατά κατηγορία (ΓΚΑΚ) για τις περιφερειακές επενδυτικές ενισχύσεις (παρ. 22 των ΚΓΠΕ)</w:t>
      </w:r>
    </w:p>
    <w:p w14:paraId="5712B87E" w14:textId="77777777" w:rsidR="000956BB" w:rsidRDefault="000956BB" w:rsidP="000956BB">
      <w:pPr>
        <w:pStyle w:val="NumPar3"/>
        <w:ind w:left="1418"/>
      </w:pPr>
      <w:r>
        <w:t xml:space="preserve">Αναφέρετε τις σχετικές διατάξεις της νομικής βάσης:</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Επιβεβαιώστε ότι η νομική βάση για το κοινοποιηθέν καθεστώς προβλέπει την υποχρέωση να κοινοποιούνται στην Επιτροπή μεμονωμένες ενισχύσεις σε δικαιούχο, εκτός εάν (1) έχει επιβεβαιώσει ότι, κατά τη διετία που προηγείται της αίτησης ενίσχυσης, δεν έχει πραγματοποιήσει μετεγκατάσταση στην εγκατάσταση στην οποία πρόκειται να πραγματοποιηθεί η ενισχυόμενη αρχική επένδυση και (2) έχει δεσμευτεί ότι δεν θα προβεί σε τέτοια μετεγκατάσταση κατά τη διετία που έπεται της ολοκλήρωσης της αρχικής επένδυσης.</w:t>
      </w:r>
      <w:r>
        <w:t xml:space="preserve"> </w:t>
      </w:r>
      <w:r>
        <w:t xml:space="preserve">(παράγραφος 23 των ΚΓΠΕ)</w:t>
      </w:r>
    </w:p>
    <w:p w14:paraId="095F8EF4" w14:textId="77777777" w:rsidR="00071A7F" w:rsidRDefault="00EF0533" w:rsidP="00EF0533">
      <w:pPr>
        <w:pStyle w:val="NumPar3"/>
        <w:ind w:left="1418"/>
      </w:pPr>
      <w:r>
        <w:t xml:space="preserve">Αναφέρετε τις σχετικές διατάξεις της νομικής βάσης:</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Επιβεβαιώστε ότι το κοινοποιηθέν καθεστώς ενισχύσεων προβλέπει ότι δεν θα χορηγηθεί καμία περιφερειακή επενδυτική ενίσχυση σε ορισμένες κατηγορίες εταιρειών και τομείς που απαριθμούνται κατωτέρω.</w:t>
      </w:r>
      <w:r>
        <w:t xml:space="preserve"> </w:t>
      </w:r>
      <w:r>
        <w:t xml:space="preserve">Σε κάθε περίπτωση, αναφέρετε τη σχετική διάταξη της νομικής βάσης του καθεστώτος.</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Εξαιρούμενες κατηγορίες εταιρειών και τομέων</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Σχετική διάταξη της νομικής βάσης του καθεστώτος</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Προβληματικές επιχειρήσεις</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Τομέας του χάλυβα</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Τομέας του λιγνίτη</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Τομέας του άνθρακα</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Αλιεία και υδατοκαλλιέργεια</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Γεωργία</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Μεταποίηση και/ή εμπορία των γεωργικών προϊόντων που απαριθμούνται στο παράρτημα Ι της ΣΛΕΕ</w:t>
            </w:r>
            <w:r>
              <w:rPr>
                <w:bCs/>
                <w:sz w:val="22"/>
                <w:szCs w:val="22"/>
                <w:vertAlign w:val="superscript"/>
              </w:rPr>
              <w:footnoteReference w:id="10"/>
            </w:r>
            <w:r>
              <w:rPr>
                <w:sz w:val="22"/>
              </w:rPr>
              <w:t xml:space="preserve"> σε προϊόντα που απαριθμούνται στο παράρτημα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Μεταφορές</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Ευρυζωνικά δίκτυα</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Ενέργεια</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Αρχική επένδυση, επιλέξιμες δαπάνες και ενισχύσεις</w:t>
            </w:r>
          </w:p>
        </w:tc>
      </w:tr>
    </w:tbl>
    <w:p w14:paraId="0568836A" w14:textId="77777777" w:rsidR="005936C8" w:rsidRPr="00D278EA" w:rsidRDefault="00BB1994" w:rsidP="00D278EA">
      <w:pPr>
        <w:pStyle w:val="NormalKop11"/>
        <w:rPr>
          <w:b/>
        </w:rPr>
      </w:pPr>
      <w:r>
        <w:rPr>
          <w:b/>
        </w:rPr>
        <w:t xml:space="preserve">Είδη αρχικών επενδύσεων που καλύπτονται από το καθεστώς</w:t>
      </w:r>
    </w:p>
    <w:p w14:paraId="15863B73" w14:textId="77777777" w:rsidR="00801CFE" w:rsidRPr="005C5DFC" w:rsidRDefault="00801CFE" w:rsidP="001D303A">
      <w:pPr>
        <w:pStyle w:val="NumPar3"/>
        <w:numPr>
          <w:ilvl w:val="2"/>
          <w:numId w:val="2"/>
        </w:numPr>
        <w:spacing w:before="240"/>
        <w:ind w:left="1440" w:hanging="720"/>
      </w:pPr>
      <w:r>
        <w:t xml:space="preserve">Σε περίπτωση που το καθεστώς καλύπτει επενδύσεις σε περιοχές «α» από ΜΜΕ ή μεγάλες επιχειρήσεις</w:t>
      </w:r>
      <w:r>
        <w:rPr>
          <w:rStyle w:val="FootnoteReference"/>
        </w:rPr>
        <w:footnoteReference w:id="14"/>
      </w:r>
      <w:r>
        <w:t xml:space="preserve"> ή επενδύσεις από ΜΜΕ σε περιοχές «γ» (παράγραφος 45 των ΚΓΠΕ), να αναφέρετε την κατηγορία/κατηγορίες της αρχικής επένδυσης που αφορά η κοινοποίηση [παράγραφος 19 σημείο 13) των ΚΓΠΕ]:</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δημιουργία νέας εγκατάστασης</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επέκταση της παραγωγικής ικανότητας υφιστάμενης εγκατάστασης</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διαφοροποίηση της παραγωγής υφιστάμενης εγκατάστασης σε προϊόντα που δεν παρήγε προηγουμένως η εγκατάσταση</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θεμελιώδη αλλαγή στη συνολική παραγωγική διαδικασία των προϊόντων που αφορά η επένδυση στην εγκατάσταση</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απόκτηση περιουσιακών στοιχείων που ανήκουν σε εγκατάσταση που είχε κλείσει ή θα είχε κλείσει εάν δεν είχε αγοραστεί</w:t>
      </w:r>
      <w:r>
        <w:rPr>
          <w:rStyle w:val="FootnoteReference"/>
        </w:rPr>
        <w:footnoteReference w:id="15"/>
      </w:r>
      <w:r>
        <w:t xml:space="preserve">.</w:t>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Σε περίπτωση που το καθεστώς καλύπτει επενδύσεις σε περιοχές «γ» από μεγάλες επιχειρήσεις, να αναφέρετε την κατηγορία/κατηγορίες της αρχικής επένδυσης που αφορά η κοινοποίηση (παράγραφος 19 σημείο 14) και παράγραφος 14 των ΚΓΠΕ):</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δημιουργία νέας εγκατάστασης</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διαφοροποίηση της δραστηριότητας μιας εγκατάστασης, υπό την προϋπόθεση ότι η νέα δραστηριότητα δεν είναι ίδια ή παρόμοια με τη δραστηριότητα</w:t>
      </w:r>
      <w:r>
        <w:rPr>
          <w:rStyle w:val="FootnoteReference"/>
        </w:rPr>
        <w:footnoteReference w:id="16"/>
      </w:r>
      <w:r>
        <w:t xml:space="preserve"> που ασκούνταν προηγουμένως στην εγκατάσταση</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απόκτηση περιουσιακών στοιχείων που ανήκουν σε εγκατάσταση που έχει κλείσει ή θα είχε κλείσει εάν δεν είχε αγοραστεί, υπό την προϋπόθεση ότι η νέα δραστηριότητα που θα ασκείται με χρήση των αποκτηθέντων περιουσιακών στοιχείων δεν είναι η ίδια ή μια παρόμοια δραστηριότητα με εκείνη που ασκούνταν στην εγκατάσταση πριν από την απόκτηση</w:t>
      </w:r>
      <w:r>
        <w:rPr>
          <w:rStyle w:val="FootnoteReference"/>
        </w:rPr>
        <w:footnoteReference w:id="17"/>
      </w:r>
    </w:p>
    <w:p w14:paraId="123A6FE9" w14:textId="77777777" w:rsidR="005936C8" w:rsidRPr="00D23668" w:rsidRDefault="005936C8" w:rsidP="00D23668">
      <w:pPr>
        <w:pStyle w:val="NormalKop11"/>
        <w:rPr>
          <w:b/>
        </w:rPr>
      </w:pPr>
      <w:r>
        <w:rPr>
          <w:b/>
        </w:rPr>
        <w:t xml:space="preserve">Επιλέξιμες δαπάνες που υπολογίζονται με βάση τις επενδυτικές δαπάνες</w:t>
      </w:r>
    </w:p>
    <w:p w14:paraId="66E3E5CE" w14:textId="1EEAD7A8" w:rsidR="0096475D" w:rsidRPr="0096475D" w:rsidRDefault="000C7C9C" w:rsidP="00B209F9">
      <w:pPr>
        <w:pStyle w:val="NumPar3"/>
        <w:numPr>
          <w:ilvl w:val="2"/>
          <w:numId w:val="2"/>
        </w:numPr>
        <w:spacing w:before="240"/>
      </w:pPr>
      <w:r>
        <w:t xml:space="preserve">Όταν οι επιλέξιμες δαπάνες στο πλαίσιο του καθεστώτος αφορούν υλικά περιουσιακά στοιχεία [παράγραφος 19 σημείο 31) των ΚΓΠΕ], αναφέρετε εάν η αξία της επένδυσης καθορίζεται ως ποσοστό με βάση τις δαπάνες για τη γη, τα κτίρια και τη μονάδα παραγωγής, τα μηχανήματα και τον εξοπλισμό:</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γη</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κτίρια</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μονάδα παραγωγής/μηχανήματα/εξοπλισμό</w:t>
      </w:r>
    </w:p>
    <w:p w14:paraId="08F0994B" w14:textId="325FF7E9" w:rsidR="0096475D" w:rsidRPr="00540AF1" w:rsidRDefault="0096475D" w:rsidP="001E018C">
      <w:pPr>
        <w:pStyle w:val="Text2"/>
        <w:ind w:left="1843" w:hanging="425"/>
        <w:rPr>
          <w:rFonts w:cs="Times New Roman"/>
        </w:rPr>
      </w:pPr>
      <w:r>
        <w:t xml:space="preserve">Αναφέρετε τις σχετικές διατάξεις της νομικής βάσης:</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Αναφέρετε τη </w:t>
      </w:r>
      <w:bookmarkStart w:id="0" w:name="OLE_LINK1"/>
      <w:bookmarkStart w:id="1" w:name="OLE_LINK2"/>
      <w:r>
        <w:rPr>
          <w:color w:val="000000"/>
        </w:rPr>
        <w:t xml:space="preserve">σχετική </w:t>
      </w:r>
      <w:bookmarkEnd w:id="0"/>
      <w:bookmarkEnd w:id="1"/>
      <w:r>
        <w:rPr>
          <w:color w:val="000000"/>
        </w:rPr>
        <w:t xml:space="preserve">διάταξη της νομικής βάσης όπου προβλέπεται ότι τα αποκτηθέντα περιουσιακά στοιχεία πρέπει να είναι νέα</w:t>
      </w:r>
      <w:r>
        <w:rPr>
          <w:rStyle w:val="FootnoteReference"/>
        </w:rPr>
        <w:footnoteReference w:id="18"/>
      </w:r>
      <w:r>
        <w:t xml:space="preserve">.</w:t>
      </w:r>
      <w:r>
        <w:t xml:space="preserve"> </w:t>
      </w:r>
      <w:r>
        <w:t xml:space="preserve">(παράγραφος 27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Αναφέρετε τη σχετική διάταξη της νομικής βάσης όπου προβλέπεται ότι, στην περίπτωση των ΜΜΕ, δεν μπορούν να θεωρηθούν επιλέξιμες δαπάνες άνω του 50 % των δαπανών για προκαταρκτικές μελέτες ή συμβουλές οι οποίες συνδέονται με την επένδυση (παράγραφος 28 των ΚΓΠΕ).</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Αναφέρετε τη σχετική διάταξη της νομικής βάσης όπου προβλέπεται ότι, όσον αφορά ενισχύσεις που χορηγούνται σε μεγάλες επιχειρήσεις για την υλοποίηση μιας ριζικής αλλαγής στην παραγωγική διαδικασία, οι επιλέξιμες δαπάνες υπερβαίνουν τις αποσβέσεις των περιουσιακών στοιχείων που συνδέονται με τη δραστηριότητα που πρόκειται να εκσυγχρονιστεί κατά τη διάρκεια των τριών προηγούμενων οικονομικών ετών (παράγραφος 29 των ΚΓΠΕ).</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Αναφέρετε τη σχετική διάταξη της νομικής βάσης όπου προβλέπεται ότι, όσον αφορά ενισχύσεις που χορηγούνται για τη διαφοροποίηση υφιστάμενης εγκατάστασης, οι επιλέξιμες δαπάνες υπερβαίνουν κατά τουλάχιστον 200 % τη λογιστική αξία των περιουσιακών στοιχείων που επαναχρησιμοποιούνται, όπως έχει καταγραφεί στο οικονομικό έτος που προηγείται της έναρξης των εργασιών (παράγραφος 30 των ΚΓΠΕ).</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Σε περιπτώσεις που αφορούν τη μίσθωση υλικών περιουσιακών στοιχείων, αναφέρετε τις σχετικές διατάξεις της νομικής βάσης όπου προβλέπεται ότι θα πρέπει να πληρούνται οι ακόλουθες προϋποθέσεις (παράγραφος 31 των ΚΓΠΕ).</w:t>
      </w:r>
      <w:r>
        <w:rPr>
          <w:color w:val="000000"/>
        </w:rPr>
        <w:t xml:space="preserve"> </w:t>
      </w:r>
    </w:p>
    <w:p w14:paraId="3CC0A357" w14:textId="77777777" w:rsidR="00216490" w:rsidRDefault="00216490" w:rsidP="00CB4B02">
      <w:pPr>
        <w:pStyle w:val="NumPar3"/>
        <w:ind w:left="1701" w:hanging="283"/>
      </w:pPr>
      <w:r>
        <w:t xml:space="preserve">•</w:t>
      </w:r>
      <w:r>
        <w:tab/>
      </w:r>
      <w:r>
        <w:t xml:space="preserve">Για τη γη και τα κτίρια, η μίσθωση πρέπει να συνεχίζεται για τουλάχιστον πέντε έτη μετά την αναμενόμενη ημερομηνία ολοκλήρωσης της επένδυσης για μεγάλες επιχειρήσεις ή τρία έτη στην περίπτωση των ΜΜΕ·</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Για τις μονάδες παραγωγής ή τα μηχανήματα, η μίσθωση πρέπει να λαμβάνει τη μορφή χρηματοδοτικής μίσθωσης και να περιλαμβάνει υποχρέωση αγοράς των περιουσιακών στοιχείων κατά τη λήξη της διάρκειας της μίσθωσης για τον δικαιούχο της ενίσχυσης.</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Η παράγραφος 32 των ΚΓΠΕ προβλέπει ότι </w:t>
      </w:r>
      <w:r>
        <w:rPr>
          <w:color w:val="000000"/>
          <w:i/>
        </w:rPr>
        <w:t xml:space="preserve">σ</w:t>
      </w:r>
      <w:r>
        <w:rPr>
          <w:color w:val="000000"/>
          <w:i/>
          <w:i/>
          <w:i/>
        </w:rPr>
        <w:t xml:space="preserve">την περίπτωση απόκτησης εγκατάστασης,</w:t>
      </w:r>
      <w:r>
        <w:rPr>
          <w:color w:val="000000"/>
          <w:i/>
        </w:rPr>
        <w:t xml:space="preserve"> «θα πρέπει, καταρχήν, να λαμβάνονται υπόψη μόνον οι δαπάνες αγοράς των περιουσιακών στοιχείων από τρίτους που δεν σχετίζονται με τον αγοραστή.</w:t>
      </w:r>
      <w:r>
        <w:rPr>
          <w:color w:val="000000"/>
          <w:i/>
        </w:rPr>
        <w:t xml:space="preserve"> </w:t>
      </w:r>
      <w:r>
        <w:rPr>
          <w:color w:val="000000"/>
          <w:i/>
        </w:rPr>
        <w:t xml:space="preserve">Ωστόσο, σε περίπτωση που ένα μέλος της οικογένειας ή ένας υπάλληλος του αρχικού ιδιοκτήτη αναλαμβάνει μια μικρή επιχείρηση, δεν ισχύει ο όρος ότι τα περιουσιακά στοιχεία πρέπει να αγοράζονται από τρίτους που δεν σχετίζονται με τον αγοραστή.</w:t>
      </w:r>
      <w:r>
        <w:rPr>
          <w:color w:val="000000"/>
          <w:i/>
        </w:rPr>
        <w:t xml:space="preserve"> </w:t>
      </w:r>
      <w:r>
        <w:rPr>
          <w:color w:val="000000"/>
          <w:i/>
        </w:rPr>
        <w:t xml:space="preserve">Οι σχετικές συναλλαγές πρέπει να πραγματοποιούνται υπό τους όρους της αγοράς.</w:t>
      </w:r>
      <w:r>
        <w:rPr>
          <w:color w:val="000000"/>
          <w:i/>
        </w:rPr>
        <w:t xml:space="preserve"> </w:t>
      </w:r>
      <w:r>
        <w:rPr>
          <w:color w:val="000000"/>
          <w:i/>
        </w:rPr>
        <w:t xml:space="preserve">Εάν η απόκτηση των περιουσιακών στοιχείων μιας εγκατάστασης συνοδεύεται από πρόσθετη επένδυση η οποία είναι επιλέξιμη για περιφερειακή ενίσχυση, οι επιλέξιμες δαπάνες της πρόσθετης αυτής ενίσχυσης θα πρέπει να προστεθούν στο κόστος απόκτησης των περιουσιακών στοιχείων της εγκατάστασης</w:t>
      </w:r>
      <w:r>
        <w:rPr>
          <w:color w:val="000000"/>
        </w:rPr>
        <w:t xml:space="preserve">».</w:t>
      </w:r>
      <w:r>
        <w:rPr>
          <w:color w:val="000000"/>
        </w:rPr>
        <w:t xml:space="preserve"> </w:t>
      </w:r>
    </w:p>
    <w:p w14:paraId="70A68FF7" w14:textId="77777777" w:rsidR="00CB4B02" w:rsidRDefault="00561589" w:rsidP="00D23668">
      <w:pPr>
        <w:pStyle w:val="NumPar3"/>
        <w:ind w:left="1418"/>
      </w:pPr>
      <w:r>
        <w:t xml:space="preserve">Εάν τα ανωτέρω αφορούν το κοινοποιηθέν καθεστώς, αναφέρετε τη σχετική διάταξη της νομικής βάσης όπου προβλέπεται ότι θα πρέπει να πληρούνται οι ως άνω προϋποθέσεις.</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Όταν οι επιλέξιμες δαπάνες στο πλαίσιο του καθεστώτος αφορούν άυλα στοιχεία ενεργητικού [παράγραφος 19 σημείο 15) των ΚΓΠΕ], να διευκρινίσετε εάν η αξία της επένδυσης καθορίζεται βάσει των δαπανών που προκύπτουν από τη μεταφορά τεχνολογίας μέσω της απόκτησης δικαιωμάτων ευρεσιτεχνίας, αδειών εκμετάλλευσης, τεχνογνωσίας ή άλλη μορφή διανοητικής ιδιοκτησίας:</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δικαιώματα ευρεσιτεχνίας</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άδειες</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τεχνογνωσία</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άλλη μορφή διανοητικής ιδιοκτησίας</w:t>
      </w:r>
    </w:p>
    <w:p w14:paraId="78A2921B" w14:textId="5E1AB8D8" w:rsidR="005936C8" w:rsidRDefault="005936C8" w:rsidP="00D23668">
      <w:pPr>
        <w:pStyle w:val="Text2"/>
        <w:spacing w:before="120" w:after="120"/>
        <w:ind w:left="1418"/>
        <w:rPr>
          <w:rFonts w:cs="Times New Roman"/>
        </w:rPr>
      </w:pPr>
      <w:r>
        <w:t xml:space="preserve">Αναφέρετε τις σχετικές διατάξεις της νομικής βάσης: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Αναφέρετε τις σχετικές διατάξεις της νομικής βάσης όπου προβλέπεται ότι, για τις μεγάλες επιχειρήσεις, οι δαπάνες για επενδύσεις σε άυλα στοιχεία ενεργητικού δεν πρέπει να υπερβαίνουν το 50% των συνολικών επιλέξιμων επενδυτικών δαπανών του σχεδίου (παράγραφος 33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Αναφέρετε τις σχετικές διατάξεις της νομικής βάσης όπου προβλέπεται ότι πρέπει να πληρούνται οι προϋποθέσεις της παραγράφου 34</w:t>
      </w:r>
      <w:r>
        <w:rPr>
          <w:rFonts w:cs="Times New Roman"/>
          <w:color w:val="000000"/>
          <w:vertAlign w:val="superscript"/>
        </w:rPr>
        <w:footnoteReference w:id="19"/>
      </w:r>
      <w:r>
        <w:rPr>
          <w:color w:val="000000"/>
        </w:rPr>
        <w:t xml:space="preserve"> των ΚΓΠΕ.</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Επιλέξιμες δαπάνες που υπολογίζονται με βάση το μισθολογικό κόστος</w:t>
      </w:r>
    </w:p>
    <w:p w14:paraId="13E0BDA7" w14:textId="77777777" w:rsidR="00F330CB" w:rsidRPr="008C2DA8" w:rsidRDefault="009E28B0" w:rsidP="001452D1">
      <w:pPr>
        <w:pStyle w:val="NumPar3"/>
        <w:numPr>
          <w:ilvl w:val="2"/>
          <w:numId w:val="2"/>
        </w:numPr>
        <w:spacing w:before="240"/>
        <w:ind w:left="1418" w:hanging="698"/>
      </w:pPr>
      <w:r>
        <w:t xml:space="preserve">Αναφέρετε τις σχετικές διατάξεις της νομικής βάσης όπου προβλέπεται πώς θα πρέπει να καθορίζονται οι επιλέξιμες δαπάνες που υπολογίζονται με βάση το μισθολογικό κόστος (παράγραφος 35 των ΚΓΠΕ), πώς θα πρέπει να υπολογίζεται ο αριθμός των δημιουργούμενων θέσεων απασχόλησης, με αναφορά στην παράγραφο 19 σημείο 16) των ΚΓΠΕ, και πώς θα πρέπει να καθορίζονται οι μισθολογικές δαπάνες του προσλαμβανόμενου προσωπικού, με αναφορά στην παράγραφο 19 σημείο 33)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Υπολογισμός των προεξοφλημένων επιλέξιμων δαπανών</w:t>
      </w:r>
    </w:p>
    <w:p w14:paraId="647EE464" w14:textId="77777777" w:rsidR="00E538B5" w:rsidRPr="00CB4B02" w:rsidRDefault="00E538B5" w:rsidP="00B209F9">
      <w:pPr>
        <w:pStyle w:val="NumPar3"/>
        <w:numPr>
          <w:ilvl w:val="2"/>
          <w:numId w:val="2"/>
        </w:numPr>
        <w:spacing w:before="240"/>
        <w:rPr>
          <w:rFonts w:cs="Times New Roman"/>
        </w:rPr>
      </w:pPr>
      <w:r>
        <w:t xml:space="preserve">Αναφέρετε ποιες μορφές ενισχύσεων επιτρέπονται βάσει του καθεστώτος:</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επιχορηγήσεις.</w:t>
      </w:r>
      <w:r>
        <w:t xml:space="preserve"> </w:t>
      </w:r>
      <w:r>
        <w:t xml:space="preserve">Αναφέρετε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δάνεια.</w:t>
      </w:r>
      <w:r>
        <w:t xml:space="preserve"> </w:t>
      </w:r>
      <w:r>
        <w:t xml:space="preserve">Αναφέρετε πώς θα υπολογίζεται το ισοδύναμο επιχορήγησης και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εγγυήσεις.</w:t>
      </w:r>
      <w:r>
        <w:t xml:space="preserve"> </w:t>
      </w:r>
      <w:r>
        <w:t xml:space="preserve">Αναφέρετε πώς θα υπολογίζεται το ισοδύναμο επιχορήγησης και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φορολογικά πλεονεκτήματα.</w:t>
      </w:r>
      <w:r>
        <w:t xml:space="preserve"> </w:t>
      </w:r>
      <w:r>
        <w:t xml:space="preserve">Διευκρινίστε το είδος των μέτρων και αναφέρετε πώς θα υπολογίζεται το ισοδύναμο επιχορήγησης.</w:t>
      </w:r>
      <w:r>
        <w:t xml:space="preserve"> </w:t>
      </w:r>
      <w:r>
        <w:t xml:space="preserve">Αναφέρετε επίσης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άλλο.</w:t>
      </w:r>
      <w:r>
        <w:t xml:space="preserve"> </w:t>
      </w:r>
      <w:r>
        <w:t xml:space="preserve">Διευκρινίστε και αναφέρετε πώς θα υπολογίζεται το ισοδύναμο επιχορήγησης.</w:t>
      </w:r>
      <w:r>
        <w:t xml:space="preserve"> </w:t>
      </w:r>
      <w:r>
        <w:t xml:space="preserve">Αναφέρετε επίσης τις σχετικές διατάξεις της νομικής βάσης:</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Διευκρινίστε εάν το καθεστώς ενισχύσεων είναι επιλέξιμο για συγχρηματοδότηση </w:t>
      </w:r>
      <w:r>
        <w:rPr>
          <w:color w:val="000000"/>
        </w:rPr>
        <w:t xml:space="preserve">από οποιοδήποτε από τα ταμεία της ΕΕ που υλοποιούνται στο πλαίσιο της επιμερισμένης διαχείρισης (στο εξής: ταμεία).</w:t>
      </w:r>
      <w:r>
        <w:t xml:space="preserve"> </w:t>
      </w:r>
      <w:r>
        <w:t xml:space="preserve">Εάν ναι, αναφέρετε στο πλαίσιο ποιων προγραμμάτων θα μπορούσε να ληφθεί χρηματοδότηση.</w:t>
      </w:r>
      <w:r>
        <w:t xml:space="preserve"> </w:t>
      </w:r>
      <w:r>
        <w:t xml:space="preserve">Αναφέρετε επίσης το ποσό χρηματοδότησης με το οποίο θα συμμετάσχουν τα ταμεία, εάν είναι γνωστό σε αυτό το στάδιο.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Αναφέρετε τις σχετικές διατάξεις της νομικής βάσης όπου προβλέπεται ότι </w:t>
      </w:r>
      <w:r>
        <w:rPr>
          <w:color w:val="000000"/>
        </w:rPr>
        <w:t xml:space="preserve">η αρχή που χορηγεί την ενίσχυση πρέπει να διαπιστώνει, πριν από τη χορήγηση μεμονωμένης ενίσχυσης στο πλαίσιο του κοινοποιηθέντος καθεστώτος, κατά πόσον</w:t>
      </w:r>
      <w:r>
        <w:t xml:space="preserve"> ο δικαιούχος (σε επίπεδο ομίλου) έλαβε ενίσχυση για μία ή περισσότερες αρχικές επενδύσεις που άρχισαν στην ίδια περιφέρεια NUTS-3 σε περίοδο τριών ετών πριν από την ημερομηνία έναρξης των εργασιών του επενδυτικού σχεδίου.</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ότι το συνολικό ποσό της ενίσχυσης που θα χορηγηθεί στο πλαίσιο του καθεστώτος σε κάθε αρχικό επενδυτικό σχέδιο δεν υπερβαίνει το ποσό που προκύπτει από τη «μέγιστη ένταση ενίσχυσης» [όπως ορίζεται στην παράγραφο 19 σημείο 19) των ΚΓΠΕ], λαμβανομένης υπόψη της αυξημένης έντασης ενίσχυσης για τις ΜΜΕ (όπως προσδιορίζεται στην παράγραφο 186 των ΚΓΠΕ) ή του «προσαρμοσμένου ποσού ενίσχυσης» [όπως ορίζεται στην παράγραφο 19 σημείο 3) των ΚΓΠΕ], αναλόγως με την περίπτωση.</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ότι, όταν χορηγείται μεμονωμένη ενίσχυση στο πλαίσιο περισσότερων καθεστώτων περιφερειακών ενισχύσεων ή σωρεύεται με ενισχύσεις ad hoc, η μέγιστη επιτρεπόμενη ένταση ενίσχυσης που μπορεί να χορηγηθεί στο σχέδιο θα υπολογίζεται εκ των προτέρων από την πρώτη χορηγούσα αρχή. (παράγραφος 99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Όταν το καθεστώς ενισχύσεων επιτρέπει τη χορήγηση ενίσχυσης για αρχική επένδυση που συνδέεται με σχέδια ευρωπαϊκής εδαφικής συνεργασίας (ΕΕΣ), αναφέρετε τις σχετικές διατάξεις της νομικής βάσης όπου προβλέπεται (με αναφορά στις διατάξεις της παραγράφου 100 των ΚΓΠΕ) πώς θα προσδιοριστεί η μέγιστη ένταση ενίσχυσης που εφαρμόζεται για το σχέδιο, καθώς και οι διάφοροι δικαιούχοι που συμμετέχουν.</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Εκτίμηση του συμβιβάσιμου του καθεστώτος ενισχύσεων</w:t>
            </w:r>
          </w:p>
        </w:tc>
      </w:tr>
    </w:tbl>
    <w:p w14:paraId="2C690D30" w14:textId="77777777" w:rsidR="006D4360" w:rsidRPr="007965FE" w:rsidRDefault="006D4360" w:rsidP="007965FE">
      <w:pPr>
        <w:pStyle w:val="NormalKop11"/>
        <w:rPr>
          <w:b/>
        </w:rPr>
      </w:pPr>
      <w:r>
        <w:rPr>
          <w:b/>
        </w:rPr>
        <w:t xml:space="preserve">Συμβολή στην περιφερειακή ανάπτυξη, θετικές συνέπειες και ανάγκη κρατικής παρέμβασης</w:t>
      </w:r>
    </w:p>
    <w:p w14:paraId="552BABED" w14:textId="77777777" w:rsidR="006D4360" w:rsidRDefault="006D4360" w:rsidP="00B209F9">
      <w:pPr>
        <w:pStyle w:val="NumPar3"/>
        <w:numPr>
          <w:ilvl w:val="2"/>
          <w:numId w:val="2"/>
        </w:numPr>
        <w:spacing w:before="240"/>
        <w:ind w:left="1440" w:hanging="720"/>
      </w:pPr>
      <w:r>
        <w:t xml:space="preserve">Εξηγήστε με ποιον τρόπο είναι συναφές το καθεστώς και συμβάλλει στη στρατηγική ανάπτυξης της οικείας περιοχής (παράγραφος 44 των ΚΓΠΕ):</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η απαίτηση να διενεργείται εκτίμηση περιβαλλοντικών επιπτώσεων («ΕΠΕ») για τις σχετικές επενδύσεις, πριν από τη χορήγηση ενίσχυσης σε μεμονωμένα σχέδια, όταν αυτό απαιτείται από τη νομοθεσία (παράγραφος 49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Εξηγήστε με ποιον τρόπο οι χορηγούσες αρχές θα καθορίζουν τα επενδυτικά σχέδια προτεραιότητας και θα τα επιλέγουν ανάλογα με τους στόχους του καθεστώτος (π.χ. με βάση την προσέγγιση της επίσημης βαθμολόγησης) (παράγραφος 44 των ΚΓΠΕ).</w:t>
      </w:r>
      <w:r>
        <w:t xml:space="preserve"> </w:t>
      </w:r>
      <w:r>
        <w:t xml:space="preserve">Αναφέρετε επίσης τις σχετικές διατάξεις της νομικής βάσης ή άλλων σχετικών διοικητικών πράξεων.</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Εξηγήστε με ποιον τρόπο, κατά τη χορήγηση ενίσχυσης σε μεμονωμένα επενδυτικά σχέδια στο πλαίσιο του κοινοποιηθέντος καθεστώτος, θα διαπιστώνει η αρχή που χορηγεί την ενίσχυση ότι το επιλεγέν σχέδιο ή σχέδια συμβάλλουν στην επίτευξη του στόχου του καθεστώτος και, κατά συνέπεια, στην αναπτυξιακή στρατηγική της οικείας περιοχής.</w:t>
      </w:r>
      <w:r>
        <w:t xml:space="preserve"> </w:t>
      </w:r>
      <w:r>
        <w:t xml:space="preserve">(παράγραφος 46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Εξηγήστε πώς εφαρμόζεται η διάταξη που επιβάλλει να διατηρείται κάθε επένδυση, η οποία λαμβάνει στήριξη βάσει του κοινοποιηθέντος καθεστώτος, στην εν λόγω περιοχή για τουλάχιστον πέντε έτη (τρία έτη για τις ΜΜΕ) μετά την ολοκλήρωσή της (παράγραφος 47 των ΚΓΠΕ).</w:t>
      </w:r>
      <w:r>
        <w:t xml:space="preserve"> </w:t>
      </w:r>
      <w:r>
        <w:t xml:space="preserve">Αναφέρετε τις σχετικές διατάξεις της νομικής βάσης.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Σε περιπτώσεις που η ενίσχυση που χορηγείται στο πλαίσιο του κοινοποιηθέντος καθεστώτος υπολογίζεται βάσει των μισθολογικών δαπανών, εξηγήστε πώς εφαρμόζεται η διάταξη που προβλέπει ότι οι θέσεις απασχόλησης δημιουργούνται εντός τριών ετών από την ολοκλήρωση της επένδυσης και ότι κάθε θέση εργασίας που δημιουργείται μέσω της εν λόγω επένδυσης διατηρείται στην οικεία περιοχή για περίοδο πέντε ετών (τριών ετών για τις ΜΜΕ) από την ημερομηνία κατά την οποία η θέση καλύπτεται για πρώτη φορά (παράγραφος 36 των ΚΓΠΕ).</w:t>
      </w:r>
      <w:r>
        <w:t xml:space="preserve"> </w:t>
      </w:r>
      <w:r>
        <w:t xml:space="preserve">Αναφέρετε τις σχετικές διατάξεις της νομικής βάσης.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Αναφέρετε τη σχετική διάταξη της νομικής βάσης, όπου προβλέπεται ότι οι αποδέκτες οφείλουν να συνεισφέρουν τουλάχιστον το 25% των επιλέξιμων δαπανών, είτε μέσω ιδίων πόρων τους είτε μέσω εξωτερικής χρηματοδότησης, με μορφή που δεν περιέχει στοιχεία δημόσιας χρηματοδοτικής ενίσχυσης.</w:t>
      </w:r>
      <w:r>
        <w:rPr>
          <w:vertAlign w:val="superscript"/>
        </w:rPr>
        <w:footnoteReference w:id="20"/>
      </w:r>
      <w:r>
        <w:t xml:space="preserve"> </w:t>
      </w:r>
      <w:r>
        <w:t xml:space="preserve">(παράγραφος 48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Αναφέρετε τη σχετική διάταξη της νομικής βάσης όπου προβλέπεται ότι το καθεστώς πρέπει να τηρεί τα ανώτατα όρια του χάρτη περιφερειακών ενισχύσεων που ισχύει κατά τη στιγμή της χορήγησης της ενίσχυσης (παράγραφος 88 των ΚΓΠΕ).</w:t>
      </w:r>
      <w:r>
        <w:t xml:space="preserve"> </w:t>
      </w:r>
      <w:r>
        <w:t xml:space="preserve">Αναφέρετε επίσης παραπομπή στην απόφαση της Επιτροπής για την έγκριση του εν λόγω χάρτη περιφερειακών ενισχύσεων.</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Ικανότητα του καθεστώτος να λειτουργήσει ως κίνητρο</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ότι κάθε αίτηση ενίσχυσης πρέπει να υποβάλλεται πριν από την έναρξη των εργασιών του σχετικού επενδυτικού σχεδίου (παράγραφος 62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ότι όσοι υποβάλλουν αίτηση για ενίσχυση στο πλαίσιο του κοινοποιηθέντος καθεστώτος θα είναι υποχρεωμένοι να υποβάλουν τυποποιημένο έντυπο αίτησης που παρέχεται από την αρχή που χορηγεί την ενίσχυση, στο οποίο πρέπει να εξηγούν, με την παράθεση αντιπαραδειγμάτων, τι θα συμβεί σε περίπτωση που δεν λάβουν την ενίσχυση, και να αναφέρουν ποιο από τα σενάρια ισχύει (</w:t>
      </w:r>
      <w:r>
        <w:rPr>
          <w:i/>
        </w:rPr>
        <w:t xml:space="preserve">σενάριο 1</w:t>
      </w:r>
      <w:r>
        <w:t xml:space="preserve"> – απόφαση σχετικά με την πραγματοποίηση της επένδυσης ή </w:t>
      </w:r>
      <w:r>
        <w:rPr>
          <w:i/>
        </w:rPr>
        <w:t xml:space="preserve">σενάριο 2</w:t>
      </w:r>
      <w:r>
        <w:t xml:space="preserve"> – απόφαση σχετικά με την τοποθεσία) (παράγραφοι 64 και 59 των ΚΓΠΕ).</w:t>
      </w:r>
      <w:r>
        <w:rPr>
          <w:color w:val="000000"/>
        </w:rPr>
        <w:t xml:space="preserve"> </w:t>
      </w:r>
      <w:r>
        <w:rPr>
          <w:color w:val="000000"/>
        </w:rPr>
        <w:t xml:space="preserve">Εάν το εν λόγω έντυπο αίτησης διαφέρει από το παράδειγμα που παρέχεται στο παράρτημα VII των ΚΓΠΕ, υποβάλετε αντίγραφο του εντύπου αυτού.</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ότι οι μεγάλες επιχειρήσεις που υποβάλλουν αίτηση ενίσχυσης στο πλαίσιο του κοινοποιηθέντος καθεστώτος υποχρεούνται να υποβάλουν αποδεικτικά στοιχεία προς στήριξη του αντιπαραδείγματος που περιγράφεται.</w:t>
      </w:r>
      <w:r>
        <w:t xml:space="preserve"> </w:t>
      </w:r>
      <w:r>
        <w:t xml:space="preserve">(παράγραφος 65 των ΚΓΠΕ).</w:t>
      </w:r>
      <w:r>
        <w:t xml:space="preserve"> </w:t>
      </w:r>
      <w:r>
        <w:t xml:space="preserve">Εξηγήστε επίσης τι είδους έγγραφα θα απαιτηθούν.</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Αναφέρετε τις σχετικές διατάξεις της νομικής βάσης όπου προβλέπεται ότι, κατά την αξιολόγηση των αιτήσεων για μεμονωμένες ενισχύσεις, η αρχή που χορηγεί την ενίσχυση υποχρεούται να διενεργεί έλεγχο αξιοπιστίας των υποβληθέντων αντιπαραδειγμάτων και να εξακριβώνει ότι η περιφερειακή ενίσχυση μπορεί να δημιουργήσει κίνητρα που να αντιστοιχούν στο </w:t>
      </w:r>
      <w:r>
        <w:rPr>
          <w:i/>
        </w:rPr>
        <w:t xml:space="preserve">σενάριο 1</w:t>
      </w:r>
      <w:r>
        <w:t xml:space="preserve"> ή στο </w:t>
      </w:r>
      <w:r>
        <w:rPr>
          <w:i/>
        </w:rPr>
        <w:t xml:space="preserve">σενάριο 2</w:t>
      </w:r>
      <w:r>
        <w:rPr>
          <w:rStyle w:val="FootnoteReference"/>
        </w:rPr>
        <w:footnoteReference w:id="21"/>
      </w:r>
      <w:r>
        <w:t xml:space="preserve"> (παράγραφος 66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Καταλληλότητα του καθεστώτος</w:t>
      </w:r>
    </w:p>
    <w:p w14:paraId="5713798C" w14:textId="77777777" w:rsidR="00485C14" w:rsidRDefault="00FE3973" w:rsidP="0026473A">
      <w:pPr>
        <w:pStyle w:val="NormalKop111"/>
        <w:numPr>
          <w:ilvl w:val="2"/>
          <w:numId w:val="2"/>
        </w:numPr>
        <w:ind w:left="1440" w:hanging="720"/>
      </w:pPr>
      <w:r>
        <w:t xml:space="preserve">Εξηγήστε για ποιον λόγο η περιφερειακή ενίσχυση αποτελεί κατάλληλο μέσο για την ανάπτυξη της περιοχής</w:t>
      </w:r>
      <w:r>
        <w:rPr>
          <w:rStyle w:val="FootnoteReference"/>
        </w:rPr>
        <w:footnoteReference w:id="22"/>
      </w:r>
      <w:r>
        <w:t xml:space="preserve"> (παρ. 80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Εάν το καθεστώς αφορά συγκεκριμένο τομέα, αποδείξτε τα πλεονεκτήματα ενός τέτοιου μέσου σε σύγκριση με ένα πολυτομεακό καθεστώς ή άλλες επιλογές πολιτικής (παράγραφος 81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Διευκρινίστε εάν οι μεμονωμένες ενισχύσεις στο πλαίσιο του κοινοποιηθέντος καθεστώτος θα χορηγούνται:</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Αυτομάτως, εφόσον πληρούνται οι όροι του καθεστώτος ή</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Βάσει διακριτικής ευχέρειας, κατόπιν απόφασης των αρμόδιων αρχών</w:t>
      </w:r>
    </w:p>
    <w:p w14:paraId="05F07C80" w14:textId="77777777" w:rsidR="003F2F3D" w:rsidRDefault="00590071" w:rsidP="00590071">
      <w:pPr>
        <w:pStyle w:val="Text2"/>
        <w:ind w:left="1418"/>
      </w:pPr>
      <w:r>
        <w:t xml:space="preserve">Αναφέρετε τις σχετικές διατάξεις της νομικής βάσης:</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Εάν οι ενισχύσεις πρόκειται να χορηγούνται βάσει διακριτικής ευχέρειας, περιγράψτε εν συντομία τα κριτήρια που χρησιμοποιούνται και επισυνάψτε αντίγραφο των εσωτερικών διοικητικών διατάξεων της χορηγούσας αρχής που εφαρμόζονται για τη χορήγηση της ενίσχυσης: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Εάν οι ενισχύσεις στο πλαίσιο του καθεστώτος χορηγούνται σε μορφές που παρέχουν άμεσο περιουσιακό όφελος</w:t>
      </w:r>
      <w:r>
        <w:rPr>
          <w:vertAlign w:val="superscript"/>
        </w:rPr>
        <w:footnoteReference w:id="23"/>
      </w:r>
      <w:r>
        <w:t xml:space="preserve">, αποδείξτε τον λόγο για τον οποίο δεν είναι κατάλληλες άλλες δυνητικά λιγότερο στρεβλωτικές μορφές ενισχύσεων, όπως επιστρεπτέες προκαταβολές ή μορφές ενίσχυσης που βασίζονται σε χρεωστικούς ή συμμετοχικούς τίτλους</w:t>
      </w:r>
      <w:r>
        <w:rPr>
          <w:rStyle w:val="FootnoteReference"/>
        </w:rPr>
        <w:footnoteReference w:id="24"/>
      </w:r>
      <w:r>
        <w:t xml:space="preserve"> (παράγραφος 85 των ΚΓΠΕ):</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Δημιουργία κινήτρων και αναλογικότητα του καθεστώτος</w:t>
      </w:r>
    </w:p>
    <w:p w14:paraId="348AF344" w14:textId="77777777" w:rsidR="00132132" w:rsidRDefault="00FF0F35" w:rsidP="00DB5B5A">
      <w:pPr>
        <w:pStyle w:val="NumPar3"/>
        <w:numPr>
          <w:ilvl w:val="2"/>
          <w:numId w:val="2"/>
        </w:numPr>
        <w:spacing w:before="240"/>
        <w:ind w:left="1440" w:hanging="720"/>
      </w:pPr>
      <w:r>
        <w:t xml:space="preserve">Αναφέρετε τις σχετικές διατάξεις της νομικής βάσης όπου προβλέπεται ότι οι μεμονωμένες ενισχύσεις που χορηγούνται σε μεγάλες επιχειρήσεις, στο πλαίσιο του κοινοποιηθέντος καθεστώτος, θα περιορίζονται στο καθαρό πρόσθετο κόστος πραγματοποίησης της επένδυσης στην οικεία περιοχή, σε σύγκριση με το αντιπαράδειγμα στην περίπτωση απουσίας της ενίσχυσης, χρησιμοποιώντας τη μέθοδο που αναλύεται στις παραγράφους 96 και 97 των ΚΓΠΕ (παράγραφος 95 των ΚΓΠΕ).</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Αποφυγή αθέμιτων αρνητικών επιπτώσεων στον ανταγωνισμό και τις συναλλαγές</w:t>
      </w:r>
    </w:p>
    <w:p w14:paraId="6AAEB69D" w14:textId="77777777" w:rsidR="00684D63" w:rsidRDefault="00684D63" w:rsidP="00DB5B5A">
      <w:pPr>
        <w:pStyle w:val="NumPar3"/>
        <w:numPr>
          <w:ilvl w:val="2"/>
          <w:numId w:val="2"/>
        </w:numPr>
        <w:spacing w:before="240"/>
        <w:ind w:left="1440" w:hanging="720"/>
      </w:pPr>
      <w:r>
        <w:t xml:space="preserve">Εξηγήστε πώς θα περιοριστούν στο ελάχιστο οι στρεβλώσεις του ανταγωνισμού και των συναλλαγών που προκαλούνται από το κοινοποιηθέν καθεστώς ενισχύσεων (παράγραφος 120 των ΚΓΠΕ)</w:t>
      </w:r>
      <w:r>
        <w:rPr>
          <w:rStyle w:val="FootnoteReference"/>
        </w:rPr>
        <w:footnoteReference w:id="25"/>
      </w:r>
      <w:r>
        <w:t xml:space="preser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Αναφέρετε τις σχετικές διατάξεις της νομικής βάσης όπου προβλέπεται ότι κατά τη χορήγηση ενίσχυσης σε μεμονωμένα σχέδια βάσει καθεστώτος, η χορηγούσα αρχή επαληθεύει και επιβεβαιώνει ότι η ενίσχυση δεν συνεπάγεται προφανείς αρνητικές επιπτώσεις, όπως δημιουργία πλεονάζουσας παραγωγικής ικανότητας σε μια αγορά που βρίσκεται σε απόλυτη παρακμή (παράγραφοι 112-115 των ΚΓΠΕ), αρνητικές επιπτώσεις στη συνοχή (παράγραφοι 116-117 των ΚΓΠΕ) ή μετεγκατάσταση (παράγραφος 118 των ΚΓΠΕ) (παράγραφος 121 των ΚΓΠΕ).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Διαφάνεια</w:t>
      </w:r>
    </w:p>
    <w:p w14:paraId="5D8729A0" w14:textId="77777777" w:rsidR="0047707E" w:rsidRPr="004A0583" w:rsidRDefault="0047707E" w:rsidP="007F52B1">
      <w:pPr>
        <w:pStyle w:val="NumPar3"/>
        <w:numPr>
          <w:ilvl w:val="1"/>
          <w:numId w:val="2"/>
        </w:numPr>
        <w:spacing w:before="240"/>
        <w:ind w:left="1418" w:hanging="698"/>
      </w:pPr>
      <w:r>
        <w:t xml:space="preserve">Επιβεβαιώστε ότι το πλήρες κείμενο της απόφασης χορήγησης μεμονωμένης ενίσχυσης ή του εγκεκριμένου καθεστώτος ενισχύσεων και οι διατάξεις εφαρμογής της, ή ένας σύνδεσμος προς αυτό</w:t>
      </w:r>
      <w:bookmarkStart w:id="2" w:name="_Ref44059869"/>
      <w:r>
        <w:t xml:space="preserve"> και πληροφορίες για κάθε μεμονωμένη ενίσχυσης που υπερβαίνει τα 100 000 EUR, θα δημοσιευθούν χρησιμοποιώντας τη δομή του παραρτήματος VIII</w:t>
      </w:r>
      <w:bookmarkEnd w:id="2"/>
      <w:r>
        <w:t xml:space="preserve"> στην εφαρμογή Transparency Award Module (TAM) της Ευρωπαϊκής Επιτροπής, ή σε εμπεριστατωμένο δικτυακό τόπο για τις κρατικές ενισχύσεις, σε εθνικό ή περιφερειακό επίπεδο</w:t>
      </w:r>
      <w:r>
        <w:rPr>
          <w:rStyle w:val="FootnoteReference"/>
        </w:rPr>
        <w:footnoteReference w:id="26"/>
      </w:r>
      <w:r>
        <w:t xml:space="preserve">, εντός έξι μηνών από την ημερομηνία χορήγησης της ενίσχυσης, ή, όσον αφορά τις ενισχύσεις υπό μορφή φορολογικών πλεονεκτημάτων, εντός ενός έτους από την ημερομηνία υποβολής της φορολογικής δήλωσης.</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Ναι</w:t>
      </w:r>
    </w:p>
    <w:p w14:paraId="419E66FE" w14:textId="77777777" w:rsidR="0047707E" w:rsidRDefault="0047707E" w:rsidP="007F52B1">
      <w:pPr>
        <w:pStyle w:val="NumPar3"/>
        <w:numPr>
          <w:ilvl w:val="1"/>
          <w:numId w:val="2"/>
        </w:numPr>
        <w:spacing w:before="240"/>
        <w:ind w:left="1418" w:hanging="698"/>
      </w:pPr>
      <w:r>
        <w:t xml:space="preserve">Αναφέρετε τις σχετικές διατάξεις της νομικής βάσης, όπου προβλέπεται ότι η χορηγούσα αρχή πρέπει να δημοσιεύει στην εφαρμογή Transparency Award Module (TAM) ή σε εμπεριστατωμένο ιστότοπο για τις κρατικές ενισχύσεις, σε εθνικό ή σε περιφερειακό επίπεδο</w:t>
      </w:r>
      <w:r>
        <w:rPr>
          <w:rStyle w:val="FootnoteReference"/>
        </w:rPr>
        <w:footnoteReference w:id="27"/>
      </w:r>
      <w:r>
        <w:t xml:space="preserve">, τουλάχιστον τις ακόλουθες πληροφορίες σχετικά τα κοινοποιηθέντα καθεστώτα κρατικών ενισχύσεων:</w:t>
      </w:r>
      <w:r>
        <w:t xml:space="preserve"> </w:t>
      </w:r>
      <w:r>
        <w:t xml:space="preserve">το κείμενο του κοινοποιηθέντος καθεστώτος ενισχύσεων, και τις διατάξεις σχετικά με την εφαρμογή του, τη χορηγούσα αρχή, τους μεμονωμένους δικαιούχους, το ποσό της ενίσχυσης ανά δικαιούχο και την ένταση της ενίσχυσης.</w:t>
      </w:r>
      <w:r>
        <w:t xml:space="preserve"> </w:t>
      </w:r>
      <w:r>
        <w:t xml:space="preserve">(παράγραφος 136 των ΚΓΠΕ)</w:t>
      </w:r>
    </w:p>
    <w:p w14:paraId="74E1FB55" w14:textId="77777777" w:rsidR="0047707E" w:rsidRDefault="0047707E" w:rsidP="00DB5B5A">
      <w:pPr>
        <w:pStyle w:val="NumPar3"/>
        <w:spacing w:before="240"/>
        <w:ind w:left="426"/>
      </w:pPr>
      <w:r>
        <w:t xml:space="preserve">Εάν δεν υπάρχουν τέτοιου είδους διατάξεις, διευκρινίστε τους λόγους.</w:t>
      </w:r>
      <w:r>
        <w:t xml:space="preserve"> </w:t>
      </w:r>
      <w:r>
        <w:t xml:space="preserve">Ομοίως, εάν οι διατάξεις αυτές δεν περιλαμβάνονται στη νομική βάση για το κοινοποιηθέν καθεστώς, αλλά περιέχονται σε άλλα νομοθετικά έγγραφα, παρακαλείσθε να το αναφέρετε.</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Αναφέρετε τις σχετικές διατάξεις της νομικής βάσης, όπου προβλέπεται ότι οι ως άνω πληροφορίες θα είναι διαθέσιμες για το ευρύ κοινό, χωρίς περιορισμούς, επί τουλάχιστον 10 έτη από την ημερομηνία χορήγησης της ενίσχυσης.</w:t>
      </w:r>
      <w:r>
        <w:t xml:space="preserve"> </w:t>
      </w:r>
      <w:r>
        <w:t xml:space="preserve">(παράγραφος 140 των ΚΓΠΕ)</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Αξιολόγηση, υποβολή εκθέσεων και παρακολούθηση</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Αξιολόγηση</w:t>
      </w:r>
    </w:p>
    <w:p w14:paraId="594EFB7A" w14:textId="77777777" w:rsidR="0047707E" w:rsidRDefault="0047707E" w:rsidP="001452D1">
      <w:pPr>
        <w:pStyle w:val="NumPar3"/>
        <w:numPr>
          <w:ilvl w:val="2"/>
          <w:numId w:val="2"/>
        </w:numPr>
        <w:spacing w:before="240"/>
        <w:ind w:left="1418" w:hanging="698"/>
      </w:pPr>
      <w:r>
        <w:t xml:space="preserve">Αναφέρετε τον αριθμό SA όλων των προηγούμενων και εν εξελίξει καθεστώτων κρατικών ενισχύσεων με παρόμοιο στόχο και παρόμοια γεωγραφική περιοχή.</w:t>
      </w:r>
      <w:r>
        <w:t xml:space="preserve"> </w:t>
      </w:r>
      <w:r>
        <w:t xml:space="preserve">(παράγραφος 144 των ΚΓΠΕ)</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Έχει αξιολογηθεί εκ των υστέρων κάποιο από τα προαναφερόμενα καθεστώτα κρατικών ενισχύσεων;</w:t>
      </w:r>
      <w:r>
        <w:t xml:space="preserve"> </w:t>
      </w:r>
      <w:r>
        <w:t xml:space="preserve">(παράγραφος 144 των ΚΓΠΕ)</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Ναι</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Όχι</w:t>
      </w:r>
    </w:p>
    <w:p w14:paraId="6D9A940C" w14:textId="77777777" w:rsidR="0047707E" w:rsidRDefault="0047707E" w:rsidP="00DB5B5A">
      <w:pPr>
        <w:pStyle w:val="NumPar3"/>
        <w:spacing w:before="240"/>
        <w:ind w:left="709"/>
      </w:pPr>
      <w:r>
        <w:t xml:space="preserve">Εάν ναι, παραθέστε σύντομη περίληψη των κύριων αποτελεσμάτων της εκ των υστέρων αξιολόγησης (κατά περίπτωση, με παραπομπή και σύνδεσμο).</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Περιγράψτε τον τρόπο με τον οποίο ελήφθησαν υπόψη τα αποτελέσματα αυτών των αξιολογήσεων κατά τον σχεδιασμό του νέου καθεστώτος.</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Αναφέρετε εάν ο προϋπολογισμός κρατικών ενισχύσεων του καθεστώτος υπερβαίνει τα 150 εκατ. ευρώ σε ένα δεδομένο έτος (παράγραφος 143 των ΚΓΠΕ):</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Ναι</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Όχι</w:t>
      </w:r>
    </w:p>
    <w:p w14:paraId="1481B715" w14:textId="77777777" w:rsidR="0047707E" w:rsidRDefault="00877F82" w:rsidP="0047707E">
      <w:pPr>
        <w:pStyle w:val="NumPar3"/>
        <w:spacing w:before="240"/>
        <w:ind w:left="1418"/>
      </w:pPr>
      <w:r>
        <w:t xml:space="preserve">Αναφέρετε εάν ο προϋπολογισμός κρατικών ενισχύσεων του καθεστώτος υπερβαίνει τα 750 εκατ. ευρώ κατά τη συνολική διάρκεια του καθεστώτος (δηλαδή τη συνδυασμένη διάρκεια του καθεστώτος και κάθε προγενέστερου καθεστώτος που κάλυπτε παρόμοιο στόχο και γεωγραφική περιοχή, αρχής γενομένης από την 1η Ιανουαρίου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Ναι</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Όχι</w:t>
      </w:r>
    </w:p>
    <w:p w14:paraId="04565C51" w14:textId="77777777" w:rsidR="0047707E" w:rsidRDefault="0047707E" w:rsidP="00AC71FD">
      <w:pPr>
        <w:pStyle w:val="NumPar3"/>
        <w:numPr>
          <w:ilvl w:val="2"/>
          <w:numId w:val="2"/>
        </w:numPr>
        <w:spacing w:before="240"/>
        <w:ind w:left="1418" w:hanging="720"/>
      </w:pPr>
      <w:r>
        <w:t xml:space="preserve">Αναφέρετε εάν το καθεστώς είναι (παράγραφος 143 των ΚΓΠΕ):</w:t>
      </w:r>
    </w:p>
    <w:p w14:paraId="00204381" w14:textId="77777777" w:rsidR="0047707E" w:rsidRDefault="0047707E" w:rsidP="0047707E">
      <w:pPr>
        <w:spacing w:before="120" w:after="120"/>
        <w:ind w:left="1701" w:hanging="283"/>
        <w:rPr>
          <w:szCs w:val="24"/>
        </w:rPr>
      </w:pPr>
      <w:r>
        <w:t xml:space="preserve">Καθεστώς που περιλαμβάνει καινοτόμα χαρακτηριστικά·</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Ναι</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Όχι</w:t>
      </w:r>
    </w:p>
    <w:p w14:paraId="1DDA9233" w14:textId="77777777" w:rsidR="0047707E" w:rsidRDefault="0047707E" w:rsidP="0047707E">
      <w:pPr>
        <w:spacing w:before="120" w:after="120"/>
        <w:ind w:left="1418"/>
        <w:rPr>
          <w:szCs w:val="24"/>
        </w:rPr>
      </w:pPr>
      <w:r>
        <w:t xml:space="preserve">Καθεστώς όπου προβλέπονται σημαντικές αλλαγές όσον αφορά την αγορά, την τεχνολογία ή τις κανονιστικές ρυθμίσεις·</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Ναι</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Όχι</w:t>
      </w:r>
    </w:p>
    <w:p w14:paraId="1086B92D" w14:textId="77777777" w:rsidR="0047707E" w:rsidRDefault="0047707E" w:rsidP="0047707E">
      <w:pPr>
        <w:spacing w:before="120" w:after="120"/>
        <w:ind w:left="1843" w:hanging="425"/>
        <w:rPr>
          <w:szCs w:val="24"/>
        </w:rPr>
      </w:pPr>
      <w:r>
        <w:t xml:space="preserve">Καθεστώς που έχετε προγραμματίσει να αξιολογηθεί, ακόμη και αν δεν ισχύουν τα ως άνω κριτήρια που αναφέρονται στα σημεία 5.1.2. και 5.1.3.</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Ναι</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Όχι</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color w:val="000000"/>
          <w:rFonts w:ascii="EUAlbertina" w:hAnsi="EUAlbertina"/>
        </w:rPr>
        <w:t xml:space="preserve">Εάν η απάντηση είναι «όχι» στο ερώτημα του σημείου 5.1.1. και «ναι» σε οποιοδήποτε από τα ερωτήματα των σημείων 5.1.2 ή 5.1.3, θα εξεταστεί </w:t>
      </w:r>
      <w:r>
        <w:t xml:space="preserve">η εκ των υστέρων αξιολόγηση του καθεστώτος (παράγραφος 143 των ΚΓΠΕ).</w:t>
      </w:r>
      <w:r>
        <w:t xml:space="preserve"> </w:t>
      </w:r>
      <w:r>
        <w:t xml:space="preserve">Σε αυτή την περίπτωση, </w:t>
      </w:r>
      <w:r>
        <w:rPr>
          <w:color w:val="000000"/>
          <w:rFonts w:ascii="EUAlbertina" w:hAnsi="EUAlbertina"/>
        </w:rPr>
        <w:t xml:space="preserve">απαντήστε</w:t>
      </w:r>
      <w:r>
        <w:rPr>
          <w:color w:val="000000"/>
        </w:rPr>
        <w:t xml:space="preserve"> «ναι» στο σχετικό ερώτημα στο έντυπο «Γενικές πληροφορίες», αναφέρετε την περίοδο της αξιολόγησης, και κοινοποιήστε το προσχέδιο αξιολόγησης στο παράρτημα Ι - μέρος III.8</w:t>
      </w:r>
      <w:r>
        <w:rPr>
          <w:color w:val="000000"/>
          <w:vertAlign w:val="superscript"/>
        </w:rPr>
        <w:footnoteReference w:id="28"/>
      </w:r>
      <w:r>
        <w:rPr>
          <w:color w:val="000000"/>
        </w:rPr>
        <w:t xml:space="preserve">.</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Υποβολή εκθέσεων και παρακολούθηση</w:t>
      </w:r>
    </w:p>
    <w:p w14:paraId="478099B4" w14:textId="77777777" w:rsidR="00104EE1" w:rsidRDefault="00132132" w:rsidP="00AC71FD">
      <w:pPr>
        <w:pStyle w:val="NumPar3"/>
        <w:numPr>
          <w:ilvl w:val="2"/>
          <w:numId w:val="2"/>
        </w:numPr>
        <w:spacing w:before="240"/>
        <w:ind w:left="1418" w:hanging="720"/>
      </w:pPr>
      <w:r>
        <w:t xml:space="preserve">Επιβεβαιώστε ότι:</w:t>
      </w:r>
    </w:p>
    <w:p w14:paraId="471BF233" w14:textId="4F4B5021" w:rsidR="00104EE1" w:rsidRDefault="00104EE1" w:rsidP="00104EE1">
      <w:pPr>
        <w:numPr>
          <w:ilvl w:val="0"/>
          <w:numId w:val="25"/>
        </w:numPr>
        <w:rPr>
          <w:szCs w:val="24"/>
        </w:rPr>
      </w:pPr>
      <w:r>
        <w:t xml:space="preserve">θα υποβάλλετε ετήσιες εκθέσεις στην Επιτροπή σύμφωνα με τον κανονισμό (ΕΕ) αριθ. 2015/1589 του Συμβουλίου, της 13ης Ιουλίου 2015 και τον κανονισμό (ΕΚ) αριθ. 794/2004 της Επιτροπής, της 21ης Απριλίου 2004, σχετικά με την εφαρμογή του κανονισμού (ΕΕ) 2015/1589 του Συμβουλίου περί λεπτομερών κανόνων για την εφαρμογή του άρθρου 108 της Συνθήκης για τη λειτουργία της Ευρωπαϊκής Ένωσης·</w:t>
      </w:r>
      <w:r>
        <w:t xml:space="preserve"> </w:t>
      </w:r>
      <w:r>
        <w:t xml:space="preserve">και</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Ναι</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θα τηρήσετε επί τουλάχιστον 10 έτη, από την ημερομηνία χορήγησης της ενίσχυσης, λεπτομερή αρχεία με τις πληροφορίες και τα δικαιολογητικά που απαιτούνται για να διαπιστωθεί ότι πληρούνται όλες οι προϋποθέσεις συμβατότητας, και ότι τα αρχεία αυτά θα υποβληθούν στην Επιτροπή εάν το ζητήσει.</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Ναι</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Κατευθυντήριες γραμμές για τις κρατικές ενισχύσεις περιφερειακού χαρακτήρα (ΕΕ C </w:t>
      </w:r>
      <w:r>
        <w:rPr>
          <w:rStyle w:val="Emphasis"/>
          <w:i w:val="0"/>
        </w:rPr>
        <w:t xml:space="preserve">153 της 29.4.2021, σ. 1)</w:t>
      </w:r>
      <w:r>
        <w:t xml:space="preserve">.</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Κανονισμός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w:t>
      </w:r>
      <w:r>
        <w:rPr>
          <w:rStyle w:val="Emphasis"/>
          <w:i w:val="0"/>
        </w:rPr>
        <w:t xml:space="preserve">ΕΕ L 187 της 26.6.2014, σ. 1</w:t>
      </w:r>
      <w:r>
        <w:t xml:space="preserve">), όπως τροποποιήθηκε.</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Κανονισμός (ΕΕ) αριθ. 1407/2013 της Επιτροπής, της 18ης Δεκεμβρίου 2013, σχετικά με την εφαρμογή των άρθρων 107 και 108 της Συνθήκης για τη λειτουργία της Ευρωπαϊκής Ένωσης στις ενισχύσεις ήσσονος σημασίας (ΕΕ L 352 της 24.12.2013, σ. 1).</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 xml:space="preserve">Όπως ορίζονται στις κατευθυντήριες γραμμές σχετικά με τις κρατικές ενισχύσεις για τη διάσωση και αναδιάρθρωση μη χρηματοπιστωτικών προβληματικών επιχειρήσεων (ΕΕ C 249 της 31.7.2014, σ.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Όπως ορίζεται στο παράρτημα VI των ΚΓΠΕ.</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«Λιγνίτης»: χαμηλής ποιότητας «Γ» ή ορθο-λιγνίτης και χαμηλής ποιότητας «B» ή μετα-λιγνίτης, όπως ορίζονται από το διεθνές σύστημα κωδικοποίησης ανθράκων της Οικονομικής Επιτροπής των Ηνωμένων Εθνών για την Ευρώπη.</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«Λιθάνθρακας» ή «άνθρακας»: ο άνθρακας υψηλής, μέσης και χαμηλής ποιότητας της κατηγορίας «Α» και «Β», όπως ορίζεται από το διεθνές σύστημα κωδικοποίησης ανθράκων της Οικονομικής Επιτροπής των Ηνωμένων Εθνών για την Ευρώπη και όπως διευκρινίζεται στην απόφαση του Συμβουλίου, της 10ης Δεκεμβρίου 2010, σχετικά με τις κρατικές ενισχύσεις που διευκολύνουν την παύση λειτουργίας μη ανταγωνιστικών ανθρακωρυχείων (ΕΕ L 336 της 21.12.2010, σ.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Όπως καλύπτονται από τον κανονισμό (ΕΕ) αριθ. 1379/2013 του Ευρωπαϊκού Κοινοβουλίου και του Συμβουλίου, της 11ης Δεκεμβρίου 2013, για την κοινή οργάνωση των αγορών των προϊόντων αλιείας και υδατοκαλλιέργειας, την τροποποίηση των κανονισμών του Συμβουλίου (ΕΚ) αριθ. 1184/2006 και (ΕΚ) αριθ. 1224/2009 και την κατάργηση του κανονισμού (ΕΚ) αριθ. 104/2000 του Συμβουλίου (ΕΕ L 354 της 28.12.2013, σ.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Οι κρατικές ενισχύσεις για την πρωτογενή παραγωγή, τη μεταποίηση και την εμπορία γεωργικών προϊόντων με αποτέλεσμα τα γεωργικά προϊόντα που παρατίθενται στο παράρτημα I της Συνθήκης και τη δασοκομία υπόκεινται στους κανόνες που καθορίζονται στις κατευθυντήριες γραμμές για τις κρατικές ενισχύσεις στον τομέα της γεωργίας (ΕΕ C 204 της 1.7.2014, σ.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Οι ΚΓΠΕ εφαρμόζονται σε καθεστώτα ενισχύσεων για την υποστήριξη δραστηριοτήτων οι οποίες δεν εμπίπτουν στο πεδίο εφαρμογής του άρθρου 42 της Συνθήκης και οι οποίες συγχρηματοδοτούνται από το Ευρωπαϊκό Γεωργικό Ταμείο Αγροτικής Ανάπτυξης (ΕΓΤΑΑ) ή χορηγούνται ως πρόσθετη εθνική χρηματοδότηση για συγχρηματοδοτούμενα μέτρα αυτού του είδους, εκτός εάν προβλέπεται διαφορετικά από τομεακούς κανόνες.</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Ως μεταφορές νοούνται οι εναέριες, θαλάσσιες, οδικές και σιδηροδρομικές μεταφορές επιβατών, καθώς και οι υπηρεσίες εσωτερικών πλωτών μεταφορών ή οι εμπορευματικές μεταφορές για λογαριασμό τρίτου.</w:t>
      </w:r>
      <w:r>
        <w:t xml:space="preserve"> </w:t>
      </w:r>
      <w:r>
        <w:t xml:space="preserve">Από τις παρούσες κατευθυντήριες γραμμές εξαιρούνται επίσης οι υποδομές μεταφορών, όπως οι αερολιμένες, που καλύπτονται από ειδικές κατευθυντήριες γραμμές [βλ. ανακοίνωση της Επιτροπής — Κατευθυντήριες γραμμές για τις κρατικές ενισχύσεις σε αερολιμένες και αεροπορικές εταιρείες, (ΕΕ C 99 της 4.4.2014, σ.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r>
      <w:r>
        <w:t xml:space="preserve">Κατευθυντήριες γραμμές της ΕΕ για την εφαρμογή των κανόνων στον τομέα των κρατικών ενισχύσεων όσον αφορά την ταχεία ανάπτυξη των ευρυζωνικών δικτύων (ΕΕ C 25 της 26.1.2013, σ.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Η Επιτροπή θα αξιολογεί τη συμβατότητα των κρατικών ενισχύσεων στον τομέα της ενέργειας με βάση τις κατευθυντήριες γραμμές για τις κρατικές ενισχύσεις στους τομείς του περιβάλλοντος και της ενέργειας (2014-2020) (ΕΕ C 200 της 28.6.2014, σ.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Ως «ΜΜΕ» νοούνται οι επιχειρήσεις που πληρούν τις προϋποθέσεις που ορίζονται στη σύσταση της Επιτροπής, της 6ης Μαΐου 2003, σχετικά με τον ορισμό των πολύ μικρών, των μικρών και των μεσαίων επιχειρήσεων (ΕΕ L 124 της 20.5.2003, σ.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Η απλή εξαγορά των μετοχών μιας επιχείρησης δεν χαρακτηρίζεται αρχική επένδυση.</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Ως «η ίδια ή παρόμοια δραστηριότητα» νοείται δραστηριότητα που υπάγεται στην ίδια κατηγορία (τετραψήφιος αριθμητικός κωδικός) της στατιστικής ταξινόμησης των οικονομικών δραστηριοτήτων NACE αναθ.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r>
      <w:r>
        <w:t xml:space="preserve">Η απλή απόκτηση των μετοχών μιας επιχείρησης δεν χαρακτηρίζεται ως αρχική επένδυση που δημιουργεί νέα οικονομική δραστηριότητα.</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Αυτή η διάταξη δεν είναι υποχρεωτικό να εφαρμόζεται για τις ΜΜΕ ή στην περίπτωση απόκτησης εγκατάστασης.</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r>
      <w:r>
        <w:t xml:space="preserve">Στην παράγραφο 34 των ΚΓΠΕ προβλέπεται ότι τα άυλα περιουσιακά στοιχεία, τα οποία μπορούν να λαμβάνονται υπόψη για τον υπολογισμό των επενδυτικών δαπανών, πρέπει να παραμένουν συνδεδεμένα με την οικεία περιοχή και να μην μεταφέρονται σε άλλες περιοχές.</w:t>
      </w:r>
      <w:r>
        <w:t xml:space="preserve"> </w:t>
      </w:r>
      <w:r>
        <w:t xml:space="preserve">Για τον σκοπό αυτό, τα άυλα περιουσιακά στοιχεία πρέπει να πληρούν τις ακόλουθες προϋποθέσεις:</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πρέπει να χρησιμοποιούνται αποκλειστικά στην εγκατάσταση που λαμβάνει την ενίσχυση·</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πρέπει να είναι αποσβέσιμα·</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πρέπει να αγοράζονται σύμφωνα με τους όρους της αγοράς από τρίτους που δεν έχουν σχέση με τον αγοραστή·</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πρέπει να περιλαμβάνονται στο ενεργητικό της επιχείρησης που λαμβάνει την ενίσχυση και να παραμένουν συνδεδεμένα με το σχέδιο για το οποίο χορηγείται η ενίσχυση επί τουλάχιστον πέντε έτη (τρία έτη για τις ΜΜΕ).</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r>
      <w:r>
        <w:t xml:space="preserve">Αυτό δεν ισχύει για τα επιδοτούμενα δάνεια, τα κρατικά δάνεια μετοχικού κεφαλαίου ή τις κρατικές συμμετοχές που δεν πληρούν τις αρχές της οικονομίας της αγοράς, για τις εγγυήσεις που περιέχουν στοιχεία κρατικής ενίσχυσης, καθώς και για τις κρατικές ενισχύσεις που χορηγούνται βάσει του κανόνα de minimis.</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Ένα αντιπαράδειγμα είναι αξιόπιστο εφόσον είναι αληθινό και σχετίζεται με τους παράγοντες λήψης αποφάσεων που επικρατούν κατά τον χρόνο λήψης απόφασης από τον δικαιούχο σχετικά με την επένδυση.</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Για τον σκοπό αυτό, μπορεί να γίνει παραπομπή, μεταξύ άλλων, σε εκτιμήσεις επιπτώσεων του προτεινόμενου καθεστώτος ή εκ των υστέρων αξιολογήσεις παρόμοιων καθεστώτων.</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Για παράδειγμα, άμεσες επιχορηγήσεις, απαλλαγές ή μειώσεις φόρων, εισφορών κοινωνικής ασφάλισης ή άλλων υποχρεωτικών επιβαρύνσεων, ή παροχή γης, αγαθών ή υπηρεσιών σε ευνοϊκές τιμές κ.λπ.</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Για παράδειγμα, δάνεια με χαμηλό επιτόκιο ή επιδοτήσεις επιτοκίου, κρατικές εγγυήσεις, αγορά μετοχών ή εναλλακτική εισφορά κεφαλαίων υπό ευνοϊκούς όρους.</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Για να είναι σε θέση η Επιτροπή να αξιολογήσει τις πιθανές αρνητικές επιπτώσεις, το κράτος μέλος θα μπορούσε να υποβάλει οποιαδήποτε εκτίμηση επιπτώσεων έχει στη διάθεσή του, καθώς και εκ των υστέρων αξιολογήσεις που διενεργήθηκαν για παρόμοια προγενέστερα καθεστώτα.</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Όπως ορίζεται στο παράρτημα III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Όπως ορίζεται στο παράρτημα III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r>
      <w:r>
        <w:t xml:space="preserve">Για περισσότερες οδηγίες, βλ. το έγγραφο μεθοδολογικής καθοδήγησης για την αξιολόγηση στον τομέα των κρατικών ενισχύσεων:</w:t>
      </w:r>
      <w:r>
        <w:t xml:space="preserve"> </w:t>
      </w:r>
      <w:hyperlink r:id="rId1" w:history="1">
        <w:r>
          <w:rPr>
            <w:rStyle w:val="Hyperlink"/>
          </w:rPr>
          <w:t xml:space="preserve">https://competition-policy.ec.europa.eu/system/files/2021-04/modernisation_evaluation_methodology_en.pdf</w:t>
        </w:r>
      </w:hyperlink>
      <w:r>
        <w:t xml:space="preserve">.</w:t>
      </w:r>
      <w:r>
        <w:t xml:space="preserve">  </w:t>
      </w:r>
      <w:r>
        <w:t xml:space="preserve">Το σχέδιο αξιολόγησης (παράρτημα I – μέρος III.8) πρέπει να υποβληθεί μέσω του εντύπου που διατίθεται στη διεύθυνση:</w:t>
      </w:r>
      <w:r>
        <w:t xml:space="preserve"> </w:t>
      </w:r>
      <w:hyperlink r:id="rId2" w:history="1">
        <w:r>
          <w:rPr>
            <w:rStyle w:val="Hyperlink"/>
          </w:rPr>
          <w:t xml:space="preserve">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l-GR"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el-GR"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el-GR"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el-GR"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el-GR"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el-GR"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el-GR"/>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el-G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