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DEL III. FORMULÄR FÖR KOMPLETTERANDE UPPLYSNINGAR</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Del III.1.B</w:t>
            </w:r>
          </w:p>
          <w:p w14:paraId="6A102D4B" w14:textId="77777777" w:rsidR="00EF0533" w:rsidRDefault="009C772B" w:rsidP="003740E7">
            <w:pPr>
              <w:pStyle w:val="ChapterTitle"/>
              <w:spacing w:before="0" w:after="240"/>
            </w:pPr>
            <w:r>
              <w:t xml:space="preserve">Uppdaterat* formulär för kompletterande upplysningar om investeringar för regionalt driftsstöd</w:t>
            </w:r>
          </w:p>
          <w:p w14:paraId="09A68465" w14:textId="77777777" w:rsidR="00380753" w:rsidRPr="00380753" w:rsidRDefault="009C772B" w:rsidP="003740E7">
            <w:pPr>
              <w:jc w:val="left"/>
            </w:pPr>
            <w:r>
              <w:t xml:space="preserve">* ännu inte formellt antaget</w:t>
            </w:r>
          </w:p>
        </w:tc>
      </w:tr>
    </w:tbl>
    <w:p w14:paraId="1536E485" w14:textId="77777777" w:rsidR="00923AD6" w:rsidRDefault="00923AD6" w:rsidP="001B2B78"/>
    <w:p w14:paraId="75E982FA" w14:textId="77777777" w:rsidR="00EF0533" w:rsidRPr="00003889" w:rsidRDefault="00003889" w:rsidP="001B2B78">
      <w:r>
        <w:t xml:space="preserve">Detta formulär för kompletterande upplysningar är inte obligatoriskt.</w:t>
      </w:r>
      <w:r>
        <w:t xml:space="preserve"> </w:t>
      </w:r>
      <w:r>
        <w:t xml:space="preserve">Det rekommenderas emellertid att det fylls i, utöver formuläret för allmänna upplysningar, för anmälan av alla investeringsstödsordningar som omfattas av riktlinjerna för regionalt statligt stöd från och med den 1 januari 2022 (regionalstödsriktlinjerna).</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Tillämpningsområde</w:t>
            </w:r>
          </w:p>
        </w:tc>
      </w:tr>
    </w:tbl>
    <w:p w14:paraId="64530B4D" w14:textId="77777777" w:rsidR="00EF0533" w:rsidRPr="00D070D1" w:rsidRDefault="00EF0533" w:rsidP="00095A91">
      <w:pPr>
        <w:pStyle w:val="NormalKop11"/>
      </w:pPr>
      <w:r>
        <w:t xml:space="preserve">Skäl till att stödordningen anmäls i stället för att inrättas i enlighet med den allmänna gruppundantagsförordningen</w:t>
      </w:r>
      <w:r>
        <w:rPr>
          <w:rStyle w:val="FootnoteReference"/>
          <w:color w:val="000000"/>
        </w:rPr>
        <w:footnoteReference w:id="2"/>
      </w:r>
      <w:r>
        <w:t xml:space="preserve"> eller förordningen om stöd av mindre betydelse</w:t>
      </w:r>
      <w:r>
        <w:rPr>
          <w:rStyle w:val="FootnoteReference"/>
        </w:rPr>
        <w:footnoteReference w:id="3"/>
      </w:r>
      <w:r>
        <w:t xml:space="preserve">:</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Anmälan gäller en sektoriell stödordning.</w:t>
      </w:r>
      <w:r>
        <w:t xml:space="preserve"> </w:t>
      </w:r>
      <w:r>
        <w:t xml:space="preserve">Ange i så fall vilken sektor som omfattas av stödordningen (Nace-kod):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Annat.</w:t>
      </w:r>
      <w:r>
        <w:t xml:space="preserve"> </w:t>
      </w:r>
      <w:r>
        <w:t xml:space="preserve">Ange följande:</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Den anmälda stödordningens tillämpningsområde</w:t>
      </w:r>
    </w:p>
    <w:p w14:paraId="669E042A" w14:textId="77777777" w:rsidR="000956BB" w:rsidRPr="005C5DFC" w:rsidRDefault="000956BB" w:rsidP="000956BB">
      <w:pPr>
        <w:pStyle w:val="NumPar3"/>
        <w:numPr>
          <w:ilvl w:val="2"/>
          <w:numId w:val="2"/>
        </w:numPr>
        <w:ind w:left="1418" w:hanging="698"/>
      </w:pPr>
      <w:r>
        <w:t xml:space="preserve">Bekräfta att den rättsliga grunden för den anmälda stödordningen omfattar en skyldighet att till kommissionen anmäla det enskilda stödet till en enskild stödmottagare, om stödet från alla källor överstiger det tröskelvärde för individuell anmälan som anges i den allmänna gruppundantagsförordningen för regionalt investeringsstöd (punkt 22 i regionalstödsriktlinjerna).</w:t>
      </w:r>
    </w:p>
    <w:p w14:paraId="5712B87E" w14:textId="77777777" w:rsidR="000956BB" w:rsidRDefault="000956BB" w:rsidP="000956BB">
      <w:pPr>
        <w:pStyle w:val="NumPar3"/>
        <w:ind w:left="1418"/>
      </w:pPr>
      <w:r>
        <w:t xml:space="preserve">Hänvisa till relevanta bestämmelser i den rättsliga grunden.</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Bekräfta att den rättsliga grunden för den anmälda stödordningen omfattar en skyldighet att till kommissionen anmäla det enskilda stödet till en enskild stödmottagare, såvida företaget 1) under de två år som föregår ansökan om stöd inte har genomfört någon omlokalisering till den anläggning där den understödda nyinvesteringen ska äga rum och 2) inte har åtagit sig att genomföra en sådan omlokalisering upp till två år efter det att den ursprungliga investeringen slutförts.</w:t>
      </w:r>
      <w:r>
        <w:t xml:space="preserve"> </w:t>
      </w:r>
      <w:r>
        <w:t xml:space="preserve">(PUNKT 23 I REGIONALSTÖDSRIKTLINJERNA)</w:t>
      </w:r>
    </w:p>
    <w:p w14:paraId="095F8EF4" w14:textId="77777777" w:rsidR="00071A7F" w:rsidRDefault="00EF0533" w:rsidP="00EF0533">
      <w:pPr>
        <w:pStyle w:val="NumPar3"/>
        <w:ind w:left="1418"/>
      </w:pPr>
      <w:r>
        <w:t xml:space="preserve">Hänvisa till relevanta bestämmelser i den rättsliga grunden.</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Bekräfta att den anmälda stödordningen föreskriver att inget regionalt investeringsstöd ska beviljas till de företagskategorier och sektorer som anges nedan.</w:t>
      </w:r>
      <w:r>
        <w:t xml:space="preserve"> </w:t>
      </w:r>
      <w:r>
        <w:t xml:space="preserve">Ange i varje enskilt fall relevant bestämmelse i den rättsliga grunden för stödordningen.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Undantagna företagskategorier och sektorer</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Relevant bestämmelse i den rättsliga grunden för stödordningen</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Företag i svårigheter</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Stålindustrin</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Brunkolsdustrin</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Kolindustrin</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Fiske och vattenbruk</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Vattenbruk</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Bearbetning och/eller saluföring av jordbruksprodukter enligt bilaga I till EUF-fördraget</w:t>
            </w:r>
            <w:r>
              <w:rPr>
                <w:bCs/>
                <w:sz w:val="22"/>
                <w:szCs w:val="22"/>
                <w:vertAlign w:val="superscript"/>
              </w:rPr>
              <w:footnoteReference w:id="10"/>
            </w:r>
            <w:r>
              <w:rPr>
                <w:sz w:val="22"/>
              </w:rPr>
              <w:t xml:space="preserve"> till produkter som anges i bilaga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Transporter</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Bredband</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Energi</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Nyinvestering, stödberättigande kostnader och stöd</w:t>
            </w:r>
          </w:p>
        </w:tc>
      </w:tr>
    </w:tbl>
    <w:p w14:paraId="0568836A" w14:textId="77777777" w:rsidR="005936C8" w:rsidRPr="00D278EA" w:rsidRDefault="00BB1994" w:rsidP="00D278EA">
      <w:pPr>
        <w:pStyle w:val="NormalKop11"/>
        <w:rPr>
          <w:b/>
        </w:rPr>
      </w:pPr>
      <w:r>
        <w:rPr>
          <w:b/>
        </w:rPr>
        <w:t xml:space="preserve">Typer av nyinvesteringar som omfattas av stödordningen</w:t>
      </w:r>
    </w:p>
    <w:p w14:paraId="15863B73" w14:textId="77777777" w:rsidR="00801CFE" w:rsidRPr="005C5DFC" w:rsidRDefault="00801CFE" w:rsidP="001D303A">
      <w:pPr>
        <w:pStyle w:val="NumPar3"/>
        <w:numPr>
          <w:ilvl w:val="2"/>
          <w:numId w:val="2"/>
        </w:numPr>
        <w:spacing w:before="240"/>
        <w:ind w:left="1440" w:hanging="720"/>
      </w:pPr>
      <w:r>
        <w:t xml:space="preserve">Om stödordningen omfattar investeringar i a-områden som görs av små och medelstora företag eller stora företag</w:t>
      </w:r>
      <w:r>
        <w:rPr>
          <w:rStyle w:val="FootnoteReference"/>
        </w:rPr>
        <w:footnoteReference w:id="14"/>
      </w:r>
      <w:r>
        <w:t xml:space="preserve">, eller investeringar som görs av små och medelstora företag i c-områden (punkt 45 i regionalstödsriktlinjerna), ange vilken eller vilka nyinvesteringskategorier som berörs av anmälan (punkt 19.13 i regionalstödsriktlinjerna):</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etablering av en ny anläggning,</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utökning av kapaciteten vid en befintlig anläggning,</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diversifiering av produktionen vid en anläggning till produkter som inte tidigare tillverkats vid anläggningen,</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en genomgripande förändring av den totala produktionsprocessen för den eller de produkter som berörs av investeringen i anläggningen,</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ett förvärv av tillgångar som tillhör en anläggning som har lagts ner eller som skulle ha lagts ner om den inte hade tagits över</w:t>
      </w:r>
      <w:r>
        <w:rPr>
          <w:rStyle w:val="FootnoteReference"/>
        </w:rPr>
        <w:footnoteReference w:id="15"/>
      </w:r>
      <w:r>
        <w:t xml:space="preserve">.</w:t>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Om stödordningen omfattar investeringar i c-områden som görs av stora företag, ange vilken eller vilka nyinvesteringskategorier som berörs av anmälan (punkterna 14 och 19.14 i regionalstödsriktlinjerna):</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etablering av en ny anläggning,</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diversifiering av verksamheten vid en anläggning, förutsatt att den nya verksamheten inte är samma verksamhet eller verksamhet</w:t>
      </w:r>
      <w:r>
        <w:rPr>
          <w:rStyle w:val="FootnoteReference"/>
        </w:rPr>
        <w:footnoteReference w:id="16"/>
      </w:r>
      <w:r>
        <w:t xml:space="preserve"> som liknar den som bedrevs tidigare vid anläggningen,</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 ett förvärv av tillgångar som tillhör en anläggning som har lagts ner eller som skulle ha lagts ner om den inte hade tagits över, under förutsättning att den nya verksamhet som ska bedrivas med de förvärvade tillgångarna inte är samma verksamhet eller en verksamhet som liknar den verksamhet som bedrevs vid anläggningen före förvärvet.</w:t>
      </w:r>
      <w:r>
        <w:rPr>
          <w:rStyle w:val="FootnoteReference"/>
        </w:rPr>
        <w:footnoteReference w:id="17"/>
      </w:r>
    </w:p>
    <w:p w14:paraId="123A6FE9" w14:textId="77777777" w:rsidR="005936C8" w:rsidRPr="00D23668" w:rsidRDefault="005936C8" w:rsidP="00D23668">
      <w:pPr>
        <w:pStyle w:val="NormalKop11"/>
        <w:rPr>
          <w:b/>
        </w:rPr>
      </w:pPr>
      <w:r>
        <w:rPr>
          <w:b/>
        </w:rPr>
        <w:t xml:space="preserve">Stödberättigande kostnader beräknade på grundval av investeringskostnader</w:t>
      </w:r>
    </w:p>
    <w:p w14:paraId="66E3E5CE" w14:textId="1EEAD7A8" w:rsidR="0096475D" w:rsidRPr="0096475D" w:rsidRDefault="000C7C9C" w:rsidP="00B209F9">
      <w:pPr>
        <w:pStyle w:val="NumPar3"/>
        <w:numPr>
          <w:ilvl w:val="2"/>
          <w:numId w:val="2"/>
        </w:numPr>
        <w:spacing w:before="240"/>
      </w:pPr>
      <w:r>
        <w:t xml:space="preserve">Om de stödberättigande kostnaderna (punkt 19.31 i regionalstödsriktlinjerna) enligt stödordningen avser anläggningstillgångar, ange då om investeringens värde fastställs som en procentandel på grundval av mark, byggnader och anläggningar, maskiner och inventarier:</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Mark</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Byggnader</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Anläggningar/ maskiner/inventarier</w:t>
      </w:r>
    </w:p>
    <w:p w14:paraId="08F0994B" w14:textId="325FF7E9" w:rsidR="0096475D" w:rsidRPr="00540AF1" w:rsidRDefault="0096475D" w:rsidP="001E018C">
      <w:pPr>
        <w:pStyle w:val="Text2"/>
        <w:ind w:left="1843" w:hanging="425"/>
        <w:rPr>
          <w:rFonts w:cs="Times New Roman"/>
        </w:rPr>
      </w:pPr>
      <w:r>
        <w:t xml:space="preserve">Hänvisa till relevanta bestämmelser i den rättsliga grunden.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t xml:space="preserve">Lämna en hänvisning </w:t>
      </w:r>
      <w:bookmarkStart w:id="0" w:name="OLE_LINK1"/>
      <w:bookmarkStart w:id="1" w:name="OLE_LINK2"/>
      <w:r>
        <w:t xml:space="preserve">till relevant </w:t>
      </w:r>
      <w:bookmarkEnd w:id="0"/>
      <w:bookmarkEnd w:id="1"/>
      <w:r>
        <w:t xml:space="preserve">bestämmelse i den rättsliga grunden som föreskriver att de förvärvade tillgångarna bör vara nya</w:t>
      </w:r>
      <w:r>
        <w:rPr>
          <w:rStyle w:val="FootnoteReference"/>
        </w:rPr>
        <w:footnoteReference w:id="18"/>
      </w:r>
      <w:r>
        <w:t xml:space="preserve">.</w:t>
      </w:r>
      <w:r>
        <w:t xml:space="preserve"> </w:t>
      </w:r>
      <w:r>
        <w:t xml:space="preserve">(PUNKT 27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Hänvisa till relevant bestämmelse i den rättsliga grunden där det föreskrivs att högst 50 % av kostnaderna för förstudier eller konsultkostnader i samband med investeringen kan betraktas som stödberättigande kostnader för små och medelstora företag (punkt 28 i regionalstödsriktlinjerna).</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Hänvisa till relevant bestämmelse i den rättsliga grunden som föreskriver att för stöd som beviljas för en genomgripande ändring av en produktionsprocess måste de stödberättigande kostnaderna överstiga avskrivningen under de föregående tre beskattningsåren på de tillgångar som har ett samband med den verksamhet som ska moderniseras (punkt 29 i regionalstödsriktlinjerna).</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Om det gäller stöd som beviljats för diversifiering av en befintlig anläggning, hänvisa då till relevant bestämmelse i den rättsliga grunden där det föreskrivs att de stödberättigande kostnaderna måste överstiga det bokförda värdet på de tillgångar som återanvänds med minst 200 %, registrerat under det beskattningsår som föregår arbetets början (punkt 30 i regionalstödsriktlinjerna).</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Om det gäller anläggningstillgångar som omfattas av hyresavtal, lämna en hänvisning till relevanta bestämmelser i den rättsliga grunden där det föreskrivs att följande villkor ska iakttas (punkt 31 i regionalstödsriktlinjerna).</w:t>
      </w:r>
      <w:r>
        <w:rPr>
          <w:color w:val="000000"/>
        </w:rPr>
        <w:t xml:space="preserve"> </w:t>
      </w:r>
    </w:p>
    <w:p w14:paraId="3CC0A357" w14:textId="77777777" w:rsidR="00216490" w:rsidRDefault="00216490" w:rsidP="00CB4B02">
      <w:pPr>
        <w:pStyle w:val="NumPar3"/>
        <w:ind w:left="1701" w:hanging="283"/>
      </w:pPr>
      <w:r>
        <w:t xml:space="preserve">•</w:t>
      </w:r>
      <w:r>
        <w:tab/>
      </w:r>
      <w:r>
        <w:t xml:space="preserve">När det gäller mark och byggnader måste hyresavtalet fortsätta att gälla i minst fem år efter den dag då investeringsprojektet förväntas vara slutfört för stora företag, och tre år för små och medelstora företag.</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När det gäller maskiner och anläggningar ska hyresavtalet ha formen av finansiell leasing och innefatta en skyldighet för stödmottagaren att förvärva tillgången när hyresavtalet har löpt ut.</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I punkt 32 i regionalstödsriktlinjerna föreskrivs följande: ”Vid förvärv av en anläggning ska endast kostnaderna för köp av tillgångarna från tredje man som inte har någon anknytning till köparen beaktas.</w:t>
      </w:r>
      <w:r>
        <w:rPr>
          <w:color w:val="000000"/>
          <w:i/>
        </w:rPr>
        <w:t xml:space="preserve"> </w:t>
      </w:r>
      <w:r>
        <w:rPr>
          <w:color w:val="000000"/>
          <w:i/>
        </w:rPr>
        <w:t xml:space="preserve">Om en familjemedlem till den ursprungliga ägaren, eller en anställd, tar över ett litet företag, gäller dock inte villkoret att tillgångarna ska köpas från tredje part utan anknytning till köparen.</w:t>
      </w:r>
      <w:r>
        <w:rPr>
          <w:color w:val="000000"/>
          <w:i/>
        </w:rPr>
        <w:t xml:space="preserve"> </w:t>
      </w:r>
      <w:r>
        <w:rPr>
          <w:color w:val="000000"/>
          <w:i/>
        </w:rPr>
        <w:t xml:space="preserve">Transaktionen ska ske på marknadsvillkor.</w:t>
      </w:r>
      <w:r>
        <w:rPr>
          <w:color w:val="000000"/>
          <w:i/>
        </w:rPr>
        <w:t xml:space="preserve"> </w:t>
      </w:r>
      <w:r>
        <w:rPr>
          <w:color w:val="000000"/>
        </w:rPr>
        <w:t xml:space="preserve">Om förvärvet av en anläggnings tillgångar åtföljs av en ytterligare investering som ger rätt till regionalstöd bör de stödberättigande kostnaderna för denna ytterligare investering läggas till kostnaden för förvärv av anläggningens tillgångar.</w:t>
      </w:r>
      <w:r>
        <w:rPr>
          <w:color w:val="000000"/>
        </w:rPr>
        <w:t xml:space="preserve"> </w:t>
      </w:r>
    </w:p>
    <w:p w14:paraId="70A68FF7" w14:textId="77777777" w:rsidR="00CB4B02" w:rsidRDefault="00561589" w:rsidP="00D23668">
      <w:pPr>
        <w:pStyle w:val="NumPar3"/>
        <w:ind w:left="1418"/>
      </w:pPr>
      <w:r>
        <w:t xml:space="preserve">Om det gäller den anmälda ordningen, lämna då en hänvisning till de bestämmelser i den rättsliga grunden där det föreskrivs att följande villkor ska iakttas.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Om de stödberättigande kostnaderna enligt stödordningen avser immateriella tillgångar (punkt 19.15 j i regionalstödsriktlinjerna), ange då om investeringens värde fastställs på grundval av kostnader för tekniköverföring genom förvärv av patenträttigheter, licenser, know-how eller annan immatriell egendom:</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Patenträttigheter</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Licenser</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Andra immateriella rättigheter</w:t>
      </w:r>
    </w:p>
    <w:p w14:paraId="78A2921B" w14:textId="5E1AB8D8" w:rsidR="005936C8" w:rsidRDefault="005936C8" w:rsidP="00D23668">
      <w:pPr>
        <w:pStyle w:val="Text2"/>
        <w:spacing w:before="120" w:after="120"/>
        <w:ind w:left="1418"/>
        <w:rPr>
          <w:rFonts w:cs="Times New Roman"/>
        </w:rPr>
      </w:pPr>
      <w:r>
        <w:t xml:space="preserve">Hänvisa till relevanta bestämmelser i den rättsliga grunden.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Hänvisa till relevanta bestämmelser i den rättsliga grunden där det föreskrivs att de stödberättigande kostnaderna för investeringar i immateriella tillgångar för stora företag inte får överstiga 50 % av projektets sammanlagda stödberättigande investeringskostnader (punkt 33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Lämna en hänvisning till relevanta bestämmelser i den rättsliga grunden där det föreskrivs att villkoren i punkt 34 i regionalstödsriktlinjerna</w:t>
      </w:r>
      <w:r>
        <w:rPr>
          <w:rFonts w:cs="Times New Roman"/>
          <w:color w:val="000000"/>
          <w:vertAlign w:val="superscript"/>
        </w:rPr>
        <w:footnoteReference w:id="19"/>
      </w:r>
      <w:r>
        <w:rPr>
          <w:color w:val="000000"/>
        </w:rPr>
        <w:t xml:space="preserve"> ska iakttas.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Stödberättigande kostnader beräknade på grundval av lönekostnader</w:t>
      </w:r>
    </w:p>
    <w:p w14:paraId="13E0BDA7" w14:textId="77777777" w:rsidR="00F330CB" w:rsidRPr="008C2DA8" w:rsidRDefault="009E28B0" w:rsidP="001452D1">
      <w:pPr>
        <w:pStyle w:val="NumPar3"/>
        <w:numPr>
          <w:ilvl w:val="2"/>
          <w:numId w:val="2"/>
        </w:numPr>
        <w:spacing w:before="240"/>
        <w:ind w:left="1418" w:hanging="698"/>
      </w:pPr>
      <w:r>
        <w:t xml:space="preserve">Hänvisa till relevanta bestämmelser i den rättsliga grunden som anger hur de stödberättigande kostnader som beräknas på grundval av lönekostnaderna ska fastställas (punkt 35 i regionalstödsriktlinjerna), hur antalet skapade arbetstillfällen ska beräknas med hänsyn till punkt 19.16 i regionalstödsriktlinjerna och hur lönekostnaderna för de anställda personerna ska fastställas med hänsyn till punkt 19.33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Beräkning av diskonterade stödberättigande kostnader</w:t>
      </w:r>
    </w:p>
    <w:p w14:paraId="647EE464" w14:textId="77777777" w:rsidR="00E538B5" w:rsidRPr="00CB4B02" w:rsidRDefault="00E538B5" w:rsidP="00B209F9">
      <w:pPr>
        <w:pStyle w:val="NumPar3"/>
        <w:numPr>
          <w:ilvl w:val="2"/>
          <w:numId w:val="2"/>
        </w:numPr>
        <w:spacing w:before="240"/>
        <w:rPr>
          <w:rFonts w:cs="Times New Roman"/>
        </w:rPr>
      </w:pPr>
      <w:r>
        <w:t xml:space="preserve">Ange vilka stödformer som är tillåtna enligt stödordningen:</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 Bidrag.</w:t>
      </w:r>
      <w:r>
        <w:t xml:space="preserve"> </w:t>
      </w:r>
      <w:r>
        <w:t xml:space="preserve">Hänvisa till relevanta bestämmelser i den rättsliga grunden.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Lån.</w:t>
      </w:r>
      <w:r>
        <w:t xml:space="preserve"> </w:t>
      </w:r>
      <w:r>
        <w:t xml:space="preserve">Ange hur bidragsekvivalenten ska beräknas och hänvisa till relevanta bestämmelser i den rättsliga grunden.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 Garantier.</w:t>
      </w:r>
      <w:r>
        <w:t xml:space="preserve"> </w:t>
      </w:r>
      <w:r>
        <w:t xml:space="preserve">Ange hur bidragsekvivalenten ska beräknas och hänvisa till relevanta bestämmelser i den rättsliga grunden.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Skatteförmåner.</w:t>
      </w:r>
      <w:r>
        <w:t xml:space="preserve"> </w:t>
      </w:r>
      <w:r>
        <w:t xml:space="preserve">Precisera vilken typ av åtgärder och ange hur bidragsekvivalenten ska beräknas.</w:t>
      </w:r>
      <w:r>
        <w:t xml:space="preserve"> </w:t>
      </w:r>
      <w:r>
        <w:t xml:space="preserve">Hänvisa också till relevanta bestämmelser i den rättsliga grunden.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Annat.</w:t>
      </w:r>
      <w:r>
        <w:t xml:space="preserve"> </w:t>
      </w:r>
      <w:r>
        <w:t xml:space="preserve">Precisera och ange hur bidragsekvivalenten ska beräknas.</w:t>
      </w:r>
      <w:r>
        <w:t xml:space="preserve"> </w:t>
      </w:r>
      <w:r>
        <w:t xml:space="preserve">Hänvisa också till relevanta bestämmelser i den rättsliga grunden.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Ange huruvida stödordningen berättigar till medfinansiering genom någon av de EU-fonder (”fonderna”) som genomförs inom ramen för delad förvaltning.</w:t>
      </w:r>
      <w:r>
        <w:t xml:space="preserve"> </w:t>
      </w:r>
      <w:r>
        <w:t xml:space="preserve">Ange i sådana fall inom ramen för vilket program som sådan finansiering från de europeiska struktur- och investeringsfonderna kan erhållas.</w:t>
      </w:r>
      <w:r>
        <w:t xml:space="preserve"> </w:t>
      </w:r>
      <w:r>
        <w:t xml:space="preserve">Ange också finansieringsbeloppet från de europeiska struktur- och investeringsfonderna, om det är känt i detta skede.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Hänvisa till relevanta bestämmelser i den rättsliga grunden där det föreskrivs att den stödbeviljande myndigheten, innan den beviljar individuellt stöd inom ramen för den anmälda stödordningen, ska fastställa om stödmottagaren (på koncernnivå) har fått stöd för en eller flera nyinvesteringar som inletts i samma Nuts 3-region under en treårsperiod räknat före den dag då investeringsprojektet inletts.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Lämna en hänvisning till relevanta bestämmelser i den rättsliga grunden där det föreskrivs att det totala stödbelopp som beviljas ett nyinvesteringsprojekt inom ramen för stödordningen inte ska överstiga det belopps som följer av de högsta stödnivåerna (enligt definitionen i punkt 19.19 i regionalstödsriktlinjerna), med hänsyn till den högre stödnivån för små och medelstora företag (som fastställs i punkt 186 i regionalstödsriktlinjerna) eller det justerade stödbeloppet (enligt definitionen i punkt 19.3 i regionalstödsriktlinjerna) i tillämpliga fall.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Hänvisa till relevanta bestämmelser i den rättsliga grunden där det föreskrivs att den högsta tillåtna stödnivå som får beviljas projektet ska beräknas på förhand av den myndighet som först beviljade stöd i de fall individuella stöd beviljas på grundval av flera stödordningar för regionalstöd eller kumuleras med stöd för särskilda ändamål (punkt 99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Om stödordningen tillåter stöd till nyinvesteringar som hänger samman med projekt inom det europeiska territoriella samarbetet, hänvisa till relevanta bestämmelser i den rättsliga grunden som (med hänvisning till bestämmelserna i punkt 100 i regionalstödsriktlinjerna) föreskriver hur de högsta stödnivåerna för projektet och de olika stödmottagarna ska fastställas.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Bedömning av stödordningens förenlighet med den inre marknaden</w:t>
            </w:r>
          </w:p>
        </w:tc>
      </w:tr>
    </w:tbl>
    <w:p w14:paraId="2C690D30" w14:textId="77777777" w:rsidR="006D4360" w:rsidRPr="007965FE" w:rsidRDefault="006D4360" w:rsidP="007965FE">
      <w:pPr>
        <w:pStyle w:val="NormalKop11"/>
        <w:rPr>
          <w:b/>
        </w:rPr>
      </w:pPr>
      <w:r>
        <w:rPr>
          <w:b/>
        </w:rPr>
        <w:t xml:space="preserve">Bidrag till regional utveckling, positiva effekter och behov av statligt ingripande</w:t>
      </w:r>
    </w:p>
    <w:p w14:paraId="552BABED" w14:textId="77777777" w:rsidR="006D4360" w:rsidRDefault="006D4360" w:rsidP="00B209F9">
      <w:pPr>
        <w:pStyle w:val="NumPar3"/>
        <w:numPr>
          <w:ilvl w:val="2"/>
          <w:numId w:val="2"/>
        </w:numPr>
        <w:spacing w:before="240"/>
        <w:ind w:left="1440" w:hanging="720"/>
      </w:pPr>
      <w:r>
        <w:t xml:space="preserve">Förklara på vilket sätt stödordningen är förenlig med och bidrar till utvecklingsstrategin för det berörda området (punkt 44 i regionalstödsriktlinjerna).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Lämna en hänvisning till relevanta bestämmelser i den rättsliga grunden som innehåller ett krav på att utföra en miljökonsekvensbedömning för de berörda investeringarna innan individuella projekt beviljas stöd, när detta krävs i lagstiftningen (punkt 49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Förklara hur de beviljande myndigheterna ska prioritera och välja investeringsprojekten på grundval av syftena med stödordningen (t.ex. på grundval av ett formellt poängsystem) (punkt 44 i regionalstödsriktlinjerna).</w:t>
      </w:r>
      <w:r>
        <w:t xml:space="preserve"> </w:t>
      </w:r>
      <w:r>
        <w:t xml:space="preserve">Hänvisa också till relevanta bestämmelser i den rättsliga grunden eller andra relaterade förvaltningsföreskrifter.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Förklara hur den beviljande myndigheten, när den beviljar stöd för individuella investeringsprojekt inom ramen för en stödordning, ska säkerställa att det eller de valda projekten bidrar till målet för stödordningen och därmed till utvecklingsstrategin för det berörda området.</w:t>
      </w:r>
      <w:r>
        <w:t xml:space="preserve"> </w:t>
      </w:r>
      <w:r>
        <w:t xml:space="preserve">(PUNKT 46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Förklara hur man tillämpar bestämmelsen om att investeringar som får stöd inom ramen för den anmälda stödordningen måste upprätthållas i det berörda området i minst fem år (tre år för små och medelstora företag) efter det att de slutförts (punkt 47 i regionalstödsriktlinjerna).</w:t>
      </w:r>
      <w:r>
        <w:t xml:space="preserve"> </w:t>
      </w:r>
      <w:r>
        <w:t xml:space="preserve">Hänvisa till relevanta bestämmelser i den rättsliga grunden.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I de fall det stöd som beviljas inom ramen för den anmälda stödordningen beräknas på grundval av lönekostnader, förklara hur bestämmelsen om att arbetstillfällen måste skapas inom tre år efter det att investeringen slutförts, och att varje arbetstillfälle som skapats genom den berörda investeringen ska finnas kvar i området under fem år (tre år för små och medelstora företag) från den dag då tjänsten först tillsattes (punkt 36 i regionalstödsriktlinjerna).</w:t>
      </w:r>
      <w:r>
        <w:t xml:space="preserve"> </w:t>
      </w:r>
      <w:r>
        <w:t xml:space="preserve">Hänvisa till relevant bestämmelse i den rättsliga grunden.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Lämna en hänvisning till relevanta bestämmelser i den rättsliga grunden där det föreskrivs att stödmottagare måste bidra med minst 25 % av de stödberättigande kostnaderna antingen med egna medel eller genom extern finansiering, i en form som är helt fri från statligt stöd.</w:t>
      </w:r>
      <w:r>
        <w:rPr>
          <w:vertAlign w:val="superscript"/>
        </w:rPr>
        <w:footnoteReference w:id="20"/>
      </w:r>
      <w:r>
        <w:t xml:space="preserve"> </w:t>
      </w:r>
      <w:r>
        <w:t xml:space="preserve">(PUNKT 48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Hänvisa till relevanta bestämmelser i den rättsliga grunden som visar att stödordningen ska iaktta de tak som anges i den regionalstödskarta som är tillämplig vid tidpunkten för stödets beviljande (punkt 88 i regionalstödsriktlinjerna).</w:t>
      </w:r>
      <w:r>
        <w:t xml:space="preserve"> </w:t>
      </w:r>
      <w:r>
        <w:t xml:space="preserve">Hänvisa också till kommissionens beslut om att godkänna den berörda regionalstödskartan.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Stödordningens stimulanseffekt</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Hänvisa till relevanta bestämmelser i den rättsliga grunden där det föreskrivs att en ansökan om stöd ska lämnas in innan arbetet med det berörda investeringsprojektet inleds (punkt 62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Lämna en hänvisning till relevanta bestämmelser i den rättsliga grunden där det föreskrivs att de som ansöker om stöd inom ramen för den anmälda stödordningen måste lämna in ett standardformulär som tillhandahålls av den stödbeviljande myndigheten, där de kontrafaktiskt ska förklara vad som händer om de inte får stöd och ange vilket av scenarierna (</w:t>
      </w:r>
      <w:r>
        <w:rPr>
          <w:i/>
        </w:rPr>
        <w:t xml:space="preserve">scenario 1</w:t>
      </w:r>
      <w:r>
        <w:t xml:space="preserve"> – investeringsbeslut eller </w:t>
      </w:r>
      <w:r>
        <w:rPr>
          <w:i/>
        </w:rPr>
        <w:t xml:space="preserve">scenario 2</w:t>
      </w:r>
      <w:r>
        <w:t xml:space="preserve"> – beslut som avser lokaliseringsorten) som är tillämpligt (punkterna 64 och 59 i regionalstödsriktlinjerna).</w:t>
      </w:r>
      <w:r>
        <w:rPr>
          <w:color w:val="000000"/>
        </w:rPr>
        <w:t xml:space="preserve"> </w:t>
      </w:r>
      <w:r>
        <w:rPr>
          <w:color w:val="000000"/>
        </w:rPr>
        <w:t xml:space="preserve">Om detta standardformulär skiljer sig från det exempel som ges i bilaga VII till regionalstödsriktlinjerna, bifoga en kopia av formuläret.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Hänvisa till relevanta bestämmelser i den rättsliga grunden där det föreskrivs att stora företag som ansöker om stöd inom ramen för den anmälda stödordningen ska lägga fram dokumentation som styrker det angivna kontrafaktiska scenariot.</w:t>
      </w:r>
      <w:r>
        <w:t xml:space="preserve"> </w:t>
      </w:r>
      <w:r>
        <w:t xml:space="preserve">(PUNKT 65 I REGIONALSTÖDSRIKTLINJERNA)</w:t>
      </w:r>
      <w:r>
        <w:t xml:space="preserve"> </w:t>
      </w:r>
      <w:r>
        <w:t xml:space="preserve">Förklara också vilken typ av dokumentation som krävs.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Hänvisa till relevanta bestämmelser i den rättsliga grunden där det föreskrivs att den stödbeviljande myndigheten, när den utvärderar ansökningar om individuella stöd, måste kontrollera det kontrafaktiska scenariots trovärdighet och bekräfta att regionalstödet har den erforderliga stimulanseffekt som motsvarar </w:t>
      </w:r>
      <w:r>
        <w:rPr>
          <w:i/>
          <w:iCs/>
        </w:rPr>
        <w:t xml:space="preserve">scenario 1</w:t>
      </w:r>
      <w:r>
        <w:t xml:space="preserve"> eller </w:t>
      </w:r>
      <w:r>
        <w:rPr>
          <w:i/>
          <w:iCs/>
        </w:rPr>
        <w:t xml:space="preserve">scenario 2</w:t>
      </w:r>
      <w:r>
        <w:rPr>
          <w:rStyle w:val="FootnoteReference"/>
        </w:rPr>
        <w:footnoteReference w:id="21"/>
      </w:r>
      <w:r>
        <w:t xml:space="preserve"> (punkt 66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Stödordningens ändamålsenlighet</w:t>
      </w:r>
    </w:p>
    <w:p w14:paraId="5713798C" w14:textId="77777777" w:rsidR="00485C14" w:rsidRDefault="00FE3973" w:rsidP="0026473A">
      <w:pPr>
        <w:pStyle w:val="NormalKop111"/>
        <w:numPr>
          <w:ilvl w:val="2"/>
          <w:numId w:val="2"/>
        </w:numPr>
        <w:ind w:left="1440" w:hanging="720"/>
      </w:pPr>
      <w:r>
        <w:t xml:space="preserve">Förklara varför regionalstöd är ett lämpligt instrument för att bidra till utvecklingen av området</w:t>
      </w:r>
      <w:r>
        <w:rPr>
          <w:rStyle w:val="FootnoteReference"/>
        </w:rPr>
        <w:footnoteReference w:id="22"/>
      </w:r>
      <w:r>
        <w:t xml:space="preserve"> (punkt 80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Om stödordningen är sektorspecifik, påvisa fördelarna med ett sådant instrument jämfört med en sektorsövergripande stödordning eller andra policyalternativ (punkt 81 i 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Ange huruvida individuella stöd inom ramen för den anmälda stödordningen beviljas på följande sätt:</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Automatiskt, om villkoren i stödordningen är uppfyllda.</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Genom skönsmässigt beslut av myndigheterna.</w:t>
      </w:r>
    </w:p>
    <w:p w14:paraId="05F07C80" w14:textId="77777777" w:rsidR="003F2F3D" w:rsidRDefault="00590071" w:rsidP="00590071">
      <w:pPr>
        <w:pStyle w:val="Text2"/>
        <w:ind w:left="1418"/>
      </w:pPr>
      <w:r>
        <w:t xml:space="preserve">Hänvisa till relevanta bestämmelser i den rättsliga grunden.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Om stöd ska beviljas genom skönsmässigt beslut av myndigheterna, lämna en kort beskrivning av de kriterier som används och bifoga en kopia av den beviljande myndighetens interna bestämmelser om beviljande av stöd.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Om stödet enligt stödordningen ges i en form som medför en direkt ekonomisk fördel</w:t>
      </w:r>
      <w:r>
        <w:rPr>
          <w:vertAlign w:val="superscript"/>
        </w:rPr>
        <w:footnoteReference w:id="23"/>
      </w:r>
      <w:r>
        <w:t xml:space="preserve">, visa varför andra, potentiellt mindre snedvridande stödformer, såsom förskott med återbetalningsskyldighet eller stödformer som baseras på skuld- eller kapitalinstrument</w:t>
      </w:r>
      <w:r>
        <w:rPr>
          <w:rStyle w:val="FootnoteReference"/>
        </w:rPr>
        <w:footnoteReference w:id="24"/>
      </w:r>
      <w:r>
        <w:t xml:space="preserve">, inte är lämpliga (punkt 85 i regionalstödsriktlinjerna).</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Stödordningens stimulanseffekt och proportionalitet</w:t>
      </w:r>
    </w:p>
    <w:p w14:paraId="348AF344" w14:textId="77777777" w:rsidR="00132132" w:rsidRDefault="00FF0F35" w:rsidP="00DB5B5A">
      <w:pPr>
        <w:pStyle w:val="NumPar3"/>
        <w:numPr>
          <w:ilvl w:val="2"/>
          <w:numId w:val="2"/>
        </w:numPr>
        <w:spacing w:before="240"/>
        <w:ind w:left="1440" w:hanging="720"/>
      </w:pPr>
      <w:r>
        <w:t xml:space="preserve">Hänvisa till relevanta bestämmelser i den rättsliga grunden där det föreskrivs att individuellt stöd som beviljas stora företag inom ramen för den anmälda stödordningen ska begränsas till merkostnaderna netto av att genomföra investeringen i det berörda området, jämfört med ett kontrafaktiskt scenario där inget stöd beviljas, och att den metod som beskrivs i punkterna 96 och 97 i regionalstödsriktlinjerna ska användas för beräkningen (punkt 95 i regionalstödsriktlinjerna).</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Undvikande av otillbörliga negativa effekter på konkurrens och handel</w:t>
      </w:r>
    </w:p>
    <w:p w14:paraId="6AAEB69D" w14:textId="77777777" w:rsidR="00684D63" w:rsidRDefault="00684D63" w:rsidP="00DB5B5A">
      <w:pPr>
        <w:pStyle w:val="NumPar3"/>
        <w:numPr>
          <w:ilvl w:val="2"/>
          <w:numId w:val="2"/>
        </w:numPr>
        <w:spacing w:before="240"/>
        <w:ind w:left="1440" w:hanging="720"/>
      </w:pPr>
      <w:r>
        <w:t xml:space="preserve">Förklara hur den snedvridning av konkurrensen och handeln som orsakas av den anmälda stödordningen kommer att begränsas till ett minimum (punkt 120 i regionalstödsriktlinjerna)</w:t>
      </w:r>
      <w:r>
        <w:rPr>
          <w:rStyle w:val="FootnoteReference"/>
        </w:rPr>
        <w:footnoteReference w:id="25"/>
      </w:r>
      <w:r>
        <w:t xml:space="preser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Ange gällande bestämmelser i den rättsliga grunden enligt vilka det fastslås att den beviljande myndigheten vid tilldelning av stöd till enskilda projekt ska kontrollera och bekräfta att stödet inte leder till uppenbara negativa effekter såsom överkapacitet på en vikande marknad (punkterna 112–115 i regionalstödsriktlinjerna), effekter som motverkar sammanhållningen (punkterna 116–117 i regionalstödsriktlinjerna) eller omlokalisering (punkt 118 i regionalstödsriktlinjerna) (punkt 121 i regionalstödsriktlinjerna).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Överblickbarhet</w:t>
      </w:r>
    </w:p>
    <w:p w14:paraId="5D8729A0" w14:textId="77777777" w:rsidR="0047707E" w:rsidRPr="004A0583" w:rsidRDefault="0047707E" w:rsidP="007F52B1">
      <w:pPr>
        <w:pStyle w:val="NumPar3"/>
        <w:numPr>
          <w:ilvl w:val="1"/>
          <w:numId w:val="2"/>
        </w:numPr>
        <w:spacing w:before="240"/>
        <w:ind w:left="1418" w:hanging="698"/>
      </w:pPr>
      <w:r>
        <w:t xml:space="preserve">Bekräfta att den fullständiga texten till beslutet om beviljande av individuellt stöd eller till den godkända stödordningen och dess genomförandebestämmelser, eller en länk till beslutet </w:t>
      </w:r>
      <w:bookmarkStart w:id="2" w:name="_Ref44059869"/>
      <w:r>
        <w:t xml:space="preserve">och information om varje beviljat individuellt stöd som överstiger 100 000 euro, kommer att offentliggöras med hjälp av strukturen i bilaga VIII</w:t>
      </w:r>
      <w:bookmarkEnd w:id="2"/>
      <w:r>
        <w:t xml:space="preserve"> i Europeiska kommissionens modul för öppenhet och insyn (TAM) eller på en övergripande webbplats för statligt stöd på nationell eller regional nivå</w:t>
      </w:r>
      <w:r>
        <w:rPr>
          <w:rStyle w:val="FootnoteReference"/>
        </w:rPr>
        <w:footnoteReference w:id="26"/>
      </w:r>
      <w:r>
        <w:t xml:space="preserve"> inom sex månader från den dag då stödet beviljades, eller, när det gäller stöd i form av skatteförmåner, inom ett år från den dag då skattedeklarationen ska lämnas in.</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Ja</w:t>
      </w:r>
    </w:p>
    <w:p w14:paraId="419E66FE" w14:textId="77777777" w:rsidR="0047707E" w:rsidRDefault="0047707E" w:rsidP="007F52B1">
      <w:pPr>
        <w:pStyle w:val="NumPar3"/>
        <w:numPr>
          <w:ilvl w:val="1"/>
          <w:numId w:val="2"/>
        </w:numPr>
        <w:spacing w:before="240"/>
        <w:ind w:left="1418" w:hanging="698"/>
      </w:pPr>
      <w:r>
        <w:t xml:space="preserve">Tillhandahåll hänvisningar till de relevanta bestämmelserna i den rättsliga grunden om att den tillståndsgivande myndigheten i modulen för stödtransparens eller på en samlad webbplats på nationell eller regional nivå</w:t>
      </w:r>
      <w:r>
        <w:rPr>
          <w:rStyle w:val="FootnoteReference"/>
        </w:rPr>
        <w:footnoteReference w:id="27"/>
      </w:r>
      <w:r>
        <w:t xml:space="preserve"> bör offentliggöra  åtminstone följande uppgifter om de anmälda statliga stödordningarna:</w:t>
      </w:r>
      <w:r>
        <w:t xml:space="preserve"> </w:t>
      </w:r>
      <w:r>
        <w:t xml:space="preserve">Texten till den anmälda stödordningen och dess tillämpningsföreskrifter, beviljande myndighet, enskilda stödmottagare, stödbelopp per stödmottagare samt stödnivå.</w:t>
      </w:r>
      <w:r>
        <w:t xml:space="preserve"> </w:t>
      </w:r>
      <w:r>
        <w:t xml:space="preserve">(PUNKT 136 I REGIONALSTÖDSRIKTLINJERNA)</w:t>
      </w:r>
    </w:p>
    <w:p w14:paraId="74E1FB55" w14:textId="77777777" w:rsidR="0047707E" w:rsidRDefault="0047707E" w:rsidP="00DB5B5A">
      <w:pPr>
        <w:pStyle w:val="NumPar3"/>
        <w:spacing w:before="240"/>
        <w:ind w:left="426"/>
      </w:pPr>
      <w:r>
        <w:t xml:space="preserve">Om sådana bestämmelser inte finns, förklara varför.</w:t>
      </w:r>
      <w:r>
        <w:t xml:space="preserve"> </w:t>
      </w:r>
      <w:r>
        <w:t xml:space="preserve">Ange också om sådana bestämmelser inte finns i den rättsliga grunden för den anmälda stödordningen men väl i andra rättsakter.</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Lämna hänvisningar till relevanta bestämmelser i den rättsliga grund som föreskriver att ovannämnda information kommer att göras tillgänglig för allmänheten utan begränsningar i minst 10 år från och med den dag då stödet beviljades.</w:t>
      </w:r>
      <w:r>
        <w:t xml:space="preserve"> </w:t>
      </w:r>
      <w:r>
        <w:t xml:space="preserve">(PUNKT 140 I REGIONALSTÖDSRIKTLINJERNA)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Utvärdering, rapportering och övervakning</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Utvärdering</w:t>
      </w:r>
    </w:p>
    <w:p w14:paraId="594EFB7A" w14:textId="77777777" w:rsidR="0047707E" w:rsidRDefault="0047707E" w:rsidP="001452D1">
      <w:pPr>
        <w:pStyle w:val="NumPar3"/>
        <w:numPr>
          <w:ilvl w:val="2"/>
          <w:numId w:val="2"/>
        </w:numPr>
        <w:spacing w:before="240"/>
        <w:ind w:left="1418" w:hanging="698"/>
      </w:pPr>
      <w:r>
        <w:t xml:space="preserve">Ange alla tidigare och pågående stödordningars stödnummer, om ordningarna omfattar liknande mål och geografiska områden.</w:t>
      </w:r>
      <w:r>
        <w:t xml:space="preserve"> </w:t>
      </w:r>
      <w:r>
        <w:t xml:space="preserve">(PUNKT 144 I REGIONALSTÖDSRIKTLINJERNA)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Har någon av ovanstående statliga stödordningar utvärderats i efterhand?</w:t>
      </w:r>
      <w:r>
        <w:t xml:space="preserve"> </w:t>
      </w:r>
      <w:r>
        <w:t xml:space="preserve">(PUNKT 144 I REGIONALSTÖDSRIKTLINJERNA)</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Nej</w:t>
      </w:r>
    </w:p>
    <w:p w14:paraId="6D9A940C" w14:textId="77777777" w:rsidR="0047707E" w:rsidRDefault="0047707E" w:rsidP="00DB5B5A">
      <w:pPr>
        <w:pStyle w:val="NumPar3"/>
        <w:spacing w:before="240"/>
        <w:ind w:left="709"/>
      </w:pPr>
      <w:r>
        <w:t xml:space="preserve">Om ja, lämna en kort beskrivning av utvärderingens huvudresultat (i tillämpliga fall med en hänvisning och en länk).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Beskriv hur utvärderingsresultaten har beaktats vid utformningen av de nya stödordningarna.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Ange huruvida stödordningens budget för statligt stöd överskrider 150 miljoner euro under något av åren (punkt 143 i regionalstödsriktlinjerna):</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Nej</w:t>
      </w:r>
    </w:p>
    <w:p w14:paraId="1481B715" w14:textId="77777777" w:rsidR="0047707E" w:rsidRDefault="00877F82" w:rsidP="0047707E">
      <w:pPr>
        <w:pStyle w:val="NumPar3"/>
        <w:spacing w:before="240"/>
        <w:ind w:left="1418"/>
      </w:pPr>
      <w:r>
        <w:t xml:space="preserve">Ange huruvida budgeten för statligt stöd inom ramen för ordningen överstiger 750 miljoner euro under ordningens totala varaktighet (dvs. den sammanlagda varaktigheten för stödordningen och eventuella tidigare stödordningar som omfattar ett liknande mål och geografiskt område, från och med den 1 januari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Nej</w:t>
      </w:r>
    </w:p>
    <w:p w14:paraId="04565C51" w14:textId="77777777" w:rsidR="0047707E" w:rsidRDefault="0047707E" w:rsidP="00AC71FD">
      <w:pPr>
        <w:pStyle w:val="NumPar3"/>
        <w:numPr>
          <w:ilvl w:val="2"/>
          <w:numId w:val="2"/>
        </w:numPr>
        <w:spacing w:before="240"/>
        <w:ind w:left="1418" w:hanging="720"/>
      </w:pPr>
      <w:r>
        <w:t xml:space="preserve">Ange huruvida stödordningen är något av följande (punkt 143 i regionalstödsriktlinjerna):</w:t>
      </w:r>
    </w:p>
    <w:p w14:paraId="00204381" w14:textId="77777777" w:rsidR="0047707E" w:rsidRDefault="0047707E" w:rsidP="0047707E">
      <w:pPr>
        <w:spacing w:before="120" w:after="120"/>
        <w:ind w:left="1701" w:hanging="283"/>
        <w:rPr>
          <w:szCs w:val="24"/>
        </w:rPr>
      </w:pPr>
      <w:r>
        <w:t xml:space="preserve">Stödordningen är av nydanande karaktär.</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Nej</w:t>
      </w:r>
    </w:p>
    <w:p w14:paraId="1DDA9233" w14:textId="77777777" w:rsidR="0047707E" w:rsidRDefault="0047707E" w:rsidP="0047707E">
      <w:pPr>
        <w:spacing w:before="120" w:after="120"/>
        <w:ind w:left="1418"/>
        <w:rPr>
          <w:szCs w:val="24"/>
        </w:rPr>
      </w:pPr>
      <w:r>
        <w:t xml:space="preserve">Stödordningen kan innebära betydande förändringar när det gäller marknader, teknik och lagstiftning.</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Nej</w:t>
      </w:r>
    </w:p>
    <w:p w14:paraId="1086B92D" w14:textId="77777777" w:rsidR="0047707E" w:rsidRDefault="0047707E" w:rsidP="0047707E">
      <w:pPr>
        <w:spacing w:before="120" w:after="120"/>
        <w:ind w:left="1843" w:hanging="425"/>
        <w:rPr>
          <w:szCs w:val="24"/>
        </w:rPr>
      </w:pPr>
      <w:r>
        <w:t xml:space="preserve">En stödordning som ska utvärderas även om ovanstående kriterier i punkterna 5.1.2 och 5.1.3 inte är tillämpliga.</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Nej</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Om svaret är ”Nej” på fråga 5.1.1 och ”Ja” på någon av frågorna 5.1.2 eller 5.1.3, ska ordningen tas i övervägande för en efterhandsutvärdering (punkt 143 i regionalstödsriktlinjerna).</w:t>
      </w:r>
      <w:r>
        <w:t xml:space="preserve"> </w:t>
      </w:r>
      <w:r>
        <w:t xml:space="preserve">Om så är fallet ska svaret på den berörda frågan markeras med ”Ja” i det allmänna anmälningsformuläret. Uppge också utvärderingsperiod och anmäl utkastet till utvärderingsplan i bilaga III.8</w:t>
      </w:r>
      <w:r>
        <w:rPr>
          <w:color w:val="000000"/>
          <w:vertAlign w:val="superscript"/>
        </w:rPr>
        <w:footnoteReference w:id="28"/>
      </w:r>
      <w:r>
        <w:t xml:space="preserve">.</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Rapportering och övervakning</w:t>
      </w:r>
    </w:p>
    <w:p w14:paraId="478099B4" w14:textId="77777777" w:rsidR="00104EE1" w:rsidRDefault="00132132" w:rsidP="00AC71FD">
      <w:pPr>
        <w:pStyle w:val="NumPar3"/>
        <w:numPr>
          <w:ilvl w:val="2"/>
          <w:numId w:val="2"/>
        </w:numPr>
        <w:spacing w:before="240"/>
        <w:ind w:left="1418" w:hanging="720"/>
      </w:pPr>
      <w:r>
        <w:t xml:space="preserve">Bekräfta att ni kommer att</w:t>
      </w:r>
    </w:p>
    <w:p w14:paraId="471BF233" w14:textId="4F4B5021" w:rsidR="00104EE1" w:rsidRDefault="00104EE1" w:rsidP="00104EE1">
      <w:pPr>
        <w:numPr>
          <w:ilvl w:val="0"/>
          <w:numId w:val="25"/>
        </w:numPr>
        <w:rPr>
          <w:szCs w:val="24"/>
        </w:rPr>
      </w:pPr>
      <w:r>
        <w:t xml:space="preserve">årsrapporterna kommer att översändas till kommissionen i enlighet med rådets förordning (EU) 2015/1589 av den 13 juli 2015 och kommissionens förordning (EG) nr 794/2004 av den 21 april 2004 om genomförande av rådets förordning (EU) 2015/1589 om tillämpningsföreskrifter för artikel 108 i fördraget om Europeiska unionens funktionssätt.</w:t>
      </w:r>
      <w:r>
        <w:t xml:space="preserve"> </w:t>
      </w:r>
      <w:r>
        <w:t xml:space="preserve">och</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Ja</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under minst tio år, från den dag då något stöd inom ramen för stödordningen beviljades, föra detaljerade register med den information och de styrkande handlingar som behövs för att fastställa att alla villkor för förenlighet med den inre marknaden är uppfyllda, och att dessa registerhandlingar överlämnas till kommissionen på skriftlig begäran.</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Ja</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r>
      <w:r>
        <w:t xml:space="preserve">Riktlinjer för statligt regionalstöd </w:t>
      </w:r>
      <w:r>
        <w:rPr>
          <w:rStyle w:val="Emphasis"/>
          <w:i w:val="0"/>
        </w:rPr>
        <w:t xml:space="preserve">)EUT C 153, 29.4.2021, s. 1)</w:t>
      </w:r>
      <w:r>
        <w:t xml:space="preserve">.</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Kommissionens förordning (EU) nr 651/2014 av den 17 juni 2014 genom vilken vissa kategorier av stöd förklaras förenliga med den inre marknaden enligt artiklarna 107 och 108 i fördraget (</w:t>
      </w:r>
      <w:r>
        <w:rPr>
          <w:rStyle w:val="Emphasis"/>
          <w:i w:val="0"/>
        </w:rPr>
        <w:t xml:space="preserve">EUT L 187, 26.6.2014, s. 1</w:t>
      </w:r>
      <w:r>
        <w:t xml:space="preserve">), i dess ändrade lydelse.</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r>
      <w:r>
        <w:t xml:space="preserve">Kommissionens förordning (EU) nr 1407/2013 av den 18 december 2013 om tillämpningen av artiklarna 107 och 108 i EUF-fördraget på stöd av mindre betydelse (EUT L 352, 24.12.2013, s. 1).</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t xml:space="preserve">Enligt definitionen i riktlinjerna för statligt stöd till undsättning och omstrukturering av icke-finansiella företag i svårigheter (EUT C 249, 31.7.2014, s.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Enligt definitionen i bilaga VI i regionalstödsriktlinjerna.</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rPr>
          <w:i/>
        </w:rPr>
        <w:t xml:space="preserve">Brunkol</w:t>
      </w:r>
      <w:r>
        <w:t xml:space="preserve">: lågvärdigt kol av kategori C (ortoligniter) och lågvärdigt kol av kategori B (metaligniter) enligt definitionen i det internationella kodifieringssystem för kol som utarbetats av Förenta nationernas ekonomiska kommission för Europa.</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rPr>
          <w:i/>
        </w:rPr>
        <w:t xml:space="preserve">Kol</w:t>
      </w:r>
      <w:r>
        <w:t xml:space="preserve">: högvärdigt, medelvärdigt och lågvärdigt kol av kategori A och B enligt det internationella kodifieringssystem för kol som utarbetats av Förenta nationernas ekonomiska kommission för Europa och som förtydligas i rådets beslut av den 10 december 2010 om statligt stöd för att underlätta nedläggning av icke-konkurrenskraftiga kolgruvor (EUT L 336, 21.12.2010, s.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I enlighet med Europaparlamentets och rådets förordning (EU) nr 1379/2013 av den 11 december 2013 om den gemensamma marknadsordningen för fiskeri- och vattenbruksprodukter, om ändring av rådets förordningar (EG) nr 1184/2006 och (EG) nr 1224/2009 och om upphävande av rådets förordning (EG) nr 104/2000 (EUT L 354, 28.12.2013, s.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t xml:space="preserve">Statligt stöd till primär produktion, bearbetning och saluföring av jordbruksprodukter som leder till jordbruksprodukter som anges i bilaga I till fördraget och skogsbruk omfattas av reglerna i riktlinjerna för statligt stöd till jordbrukssektorn (EUT C 204, 1.7.2014, s.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Riktlinjerna för regionalstöd är tillämpliga på stödordningar till stöd för verksamhet som ligger utanför tillämpningsområdet för artikel 42 i EUF-fördraget som medfinansieras av Europeiska jordbruksfonden för landsbygdsutveckling eller beviljas som ytterligare nationell finansiering till sådana medfinansierade program, om inte sektorspecifika regler föreskriver något annat.</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Med transporter avses transport av passagerare med flyg, sjöfart, vägar, järnvägar och på inre vattenvägar eller godstransport för uthyrning eller mot betalning.</w:t>
      </w:r>
      <w:r>
        <w:t xml:space="preserve"> </w:t>
      </w:r>
      <w:r>
        <w:t xml:space="preserve">Transportinfrastruktur som omfattas av särskilda riktlinjer, t.ex. flygplatser, omfattas inte heller av dessa riktlinjer (se Riktlinjer för statligt stöd till flygplatser och flygbolag) (EUT C 99, 4.4.2014, s.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r>
      <w:r>
        <w:t xml:space="preserve">EU:s riktlinjer för tillämpningen av reglerna för statligt stöd på snabb utbyggnad av bredbandsnät (EUT C 25, 26.1.2013, s.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Kommissionen kommer att bedöma huruvida statligt stöd till energisektorn är förenligt med den inre marknaden på grundval av riktlinjerna för statligt stöd till miljöskydd och energi för 2014–2020 (EUT C 200, 28.6.2014, s.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r>
      <w:r>
        <w:t xml:space="preserve">Med små och medelstora företag avses företag som uppfyller villkoren i kommissionens rekommendation av den 6 maj 2003 om definitionen av mikroföretag samt små och medelstora företag (EUT L 124, 20.5.2003, s.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r>
      <w:r>
        <w:t xml:space="preserve">Enbart förvärv av aktierna i ett företag uppfyller i sig inte villkoren för en nyinvestering,</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rPr>
          <w:i/>
        </w:rPr>
        <w:t xml:space="preserve">Samma eller liknande verksamhet</w:t>
      </w:r>
      <w:r>
        <w:t xml:space="preserve">: en verksamhet som omfattas av samma klass (fyrsiffrig kod) i den statistiska näringsgrensindelningen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r>
      <w:r>
        <w:t xml:space="preserve">Enbart förvärv av aktierna i ett företag uppfyller i sig inte villkoren för en nyinvestering som skapar en ny ekonomisk verksamhet.</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r>
      <w:r>
        <w:t xml:space="preserve">Denna bestämmelse behöver inte gälla små och medelstora företag eller förvärv av en anläggning.</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r>
      <w:r>
        <w:t xml:space="preserve">Enligt punkt 34 i regionalstödsriktlinjerna måste immateriella tillgångar som kan beaktas vid beräkningen av investeringskostnaderna förbli förknippade med det berörda området och får inte föras över till andra områden.</w:t>
      </w:r>
      <w:r>
        <w:t xml:space="preserve"> </w:t>
      </w:r>
      <w:r>
        <w:t xml:space="preserve">Därför måste de immateriella tillgångarna uppfylla följande villkor:</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De ska uteslutande utnyttjas i den anläggning som beviljats stöd.</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De ska kunna skrivas av.</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De ska ha förvärvats på marknadsvillkor från tredje man som inte har någon anknytning till köparen.</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De ska ingå i det företagets tillgångar som tar emot stödet och fortsätta att förknippas med det projekt för vilket stödet beviljas i minst fem år (tre år för små och medelstora företag).</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r>
      <w:r>
        <w:t xml:space="preserve">Denna fråga är inte tillämplig på subventionerade lån, offentliga riskkapitallån eller offentliga innehav som inte följer den marknadsekonomiska investerarprincipen, statliga garantier som innehåller inslag av stöd samt statligt stöd som ges inom ramen för regeln om stöd av mindre betydelse.</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Ett kontrafaktiskt scenario är trovärdigt om det är äkta och hänger samman med de faktorer som ska beaktas vid beslutsfattandet vid den tidpunkt då stödmottagaren fattar sitt investeringsbeslut.</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För detta ändamål kan man bland annat hänvisa till konsekvensbedömningar av den föreslagna stödordningen eller efterhandsutvärderingar av liknande stödordningar.</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r>
      <w:r>
        <w:t xml:space="preserve">Till exempel direkta bidrag, skattebefrielser och skattesänkningar, socialavgifter och andra obligatoriska avgifter, eller tillhandahållande av mark, varor och tjänster till fördelaktiga priser osv.</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r>
      <w:r>
        <w:t xml:space="preserve"> Till exempel lågräntelån eller räntesubventioner, statliga garantier, förvärv av aktier eller annan tillförsel av kapital på förmånliga villkor.</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ab/>
      </w:r>
      <w:r>
        <w:t xml:space="preserve">Medlemsstaterna kan lämna in eventuella konsekvensbedömningar och efterhandsutvärderingar som gjorts för liknande tidigare stödordningar för att göra det möjligt för kommissionen att bedöma de sannolika negativa effekterna.</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Enligt definitionen i bilaga III till kommissionens förordning (EU) nr 651/2014 av den 17 juni 2014 genom vilken vissa kategorier av stöd förklaras förenliga med den inre marknaden enligt artiklarna 107 och 108 i fördraget.</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Enligt definitionen i bilaga III till kommissionens förordning (EU) nr 651/2014 av den 17 juni 2014 genom vilken vissa kategorier av stöd förklaras förenliga med den inre marknaden enligt artiklarna 107 och 108 i fördraget.</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 Vägledning om utvärdering av statligt stöd finns i Gemensam metod för utvärdering av statligt stöd:</w:t>
      </w:r>
      <w:r>
        <w:t xml:space="preserve"> </w:t>
      </w:r>
      <w:hyperlink r:id="rId1" w:history="1">
        <w:r>
          <w:rPr>
            <w:rStyle w:val="Hyperlink"/>
          </w:rPr>
          <w:t xml:space="preserve">https://competition-policy.ec.europa.eu/system/files/2021-04/modernisation_evaluation_methodology_en.pdf</w:t>
        </w:r>
      </w:hyperlink>
      <w:r>
        <w:t xml:space="preserve">.</w:t>
      </w:r>
      <w:r>
        <w:t xml:space="preserve">  </w:t>
      </w:r>
      <w:r>
        <w:t xml:space="preserve">Utvärderingsplanen (Bilaga I – del III.8) bör översändas på det tillgängliga formuläret:</w:t>
      </w:r>
      <w:r>
        <w:t xml:space="preserve"> </w:t>
      </w:r>
      <w:hyperlink r:id="rId2" w:history="1">
        <w:r>
          <w:rPr>
            <w:rStyle w:val="Hyperlink"/>
          </w:rPr>
          <w:t xml:space="preserve">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v-S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sv-SE"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sv-SE"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sv-SE"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sv-SE"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sv-SE"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sv-SE"/>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