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bookmarkStart w:id="0" w:name="_GoBack"/>
      <w:bookmarkEnd w:id="0"/>
      <w:r>
        <w:t>DEEL III. FORMULIEREN AANVULLENDE INFORMATIE</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Deel III.1.B</w:t>
            </w:r>
          </w:p>
          <w:p w14:paraId="6A102D4B" w14:textId="77777777" w:rsidR="00EF0533" w:rsidRDefault="009C772B" w:rsidP="003740E7">
            <w:pPr>
              <w:pStyle w:val="ChapterTitle"/>
              <w:spacing w:before="0" w:after="240"/>
            </w:pPr>
            <w:r>
              <w:t>Geactualiseerd* formulier aanvullende informatie voor regelingen voor regionale investeringssteun</w:t>
            </w:r>
          </w:p>
          <w:p w14:paraId="09A68465" w14:textId="77777777" w:rsidR="00380753" w:rsidRPr="00380753" w:rsidRDefault="009C772B" w:rsidP="003740E7">
            <w:pPr>
              <w:jc w:val="left"/>
            </w:pPr>
            <w:r>
              <w:t>* nog niet formeel goedgekeurd</w:t>
            </w:r>
          </w:p>
        </w:tc>
      </w:tr>
    </w:tbl>
    <w:p w14:paraId="1536E485" w14:textId="77777777" w:rsidR="00923AD6" w:rsidRDefault="00923AD6" w:rsidP="001B2B78"/>
    <w:p w14:paraId="75E982FA" w14:textId="77777777" w:rsidR="00EF0533" w:rsidRPr="00003889" w:rsidRDefault="00003889" w:rsidP="001B2B78">
      <w:r>
        <w:t>U bent niet verplicht dit formulier aanvullende informatie in te vullen. Het verdient echter aanbeveling om naast het formulier “Algemene informatie” ook dit formulier in te vullen voor de aanmelding van investeringssteunregelingen die vallen onder de richtsnoeren inzake regionale steunmaatregelen die vanaf 1 januari 2022 van toepassing zijn (“de richtsnoeren”)</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Toepassingsgebied</w:t>
            </w:r>
          </w:p>
        </w:tc>
      </w:tr>
    </w:tbl>
    <w:p w14:paraId="64530B4D" w14:textId="77777777" w:rsidR="00EF0533" w:rsidRPr="00D070D1" w:rsidRDefault="00EF0533" w:rsidP="00095A91">
      <w:pPr>
        <w:pStyle w:val="NormalKop11"/>
      </w:pPr>
      <w:r>
        <w:t>Waarom meldt u de regeling aan, in plaats van haar ten uitvoer te leggen op grond van de algemene groepsvrijstellingsverordening (“AGVV”)</w:t>
      </w:r>
      <w:r>
        <w:rPr>
          <w:rStyle w:val="FootnoteReference"/>
          <w:color w:val="000000"/>
        </w:rPr>
        <w:footnoteReference w:id="2"/>
      </w:r>
      <w:r>
        <w:t xml:space="preserve"> of de de-minimisverordening</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9A4864">
        <w:rPr>
          <w:b/>
        </w:rPr>
      </w:r>
      <w:r w:rsidR="009A4864">
        <w:rPr>
          <w:b/>
        </w:rPr>
        <w:fldChar w:fldCharType="separate"/>
      </w:r>
      <w:r>
        <w:rPr>
          <w:b/>
        </w:rPr>
        <w:fldChar w:fldCharType="end"/>
      </w:r>
      <w:r>
        <w:tab/>
        <w:t>De aanmelding betreft een sectorale regeling. Geef in dat geval de sector waarop de regeling betrekking heeft (NACE-code):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 xml:space="preserve">Andere. Licht toe: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Toepassingsgebied van de aangemelde regeling</w:t>
      </w:r>
    </w:p>
    <w:p w14:paraId="669E042A" w14:textId="77777777" w:rsidR="000956BB" w:rsidRPr="005C5DFC" w:rsidRDefault="000956BB" w:rsidP="000956BB">
      <w:pPr>
        <w:pStyle w:val="NumPar3"/>
        <w:numPr>
          <w:ilvl w:val="2"/>
          <w:numId w:val="2"/>
        </w:numPr>
        <w:ind w:left="1418" w:hanging="698"/>
      </w:pPr>
      <w:r>
        <w:t>Bevestig dat de rechtsgrondslag voor de aangemelde regeling een verplichting bevat om individuele steun aan een begunstigde bij de Commissie aan te melden indien de uit alle bronnen verleende steun de in de algemene groepsvrijstellingsverordening (“AGVV”) bepaalde individuele aanmeldingsdrempel voor regionale investeringssteun overschrijdt (punt 22 van de richtsnoeren).</w:t>
      </w:r>
    </w:p>
    <w:p w14:paraId="5712B87E" w14:textId="77777777" w:rsidR="000956BB" w:rsidRDefault="000956BB" w:rsidP="000956BB">
      <w:pPr>
        <w:pStyle w:val="NumPar3"/>
        <w:ind w:left="1418"/>
      </w:pPr>
      <w:r>
        <w:t xml:space="preserve">Geef hier de referentie naar de desbetreffende bepaling in de rechtsgrondslag: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Bevestig dat de rechtsgrondslag voor de aangemelde regeling een verplichting inhoudt om individuele steun aan een begunstigde bij de Commissie aan te melden, tenzij de begunstigde 1) heeft bevestigd dat hij in de twee jaar voorafgaand aan de steunaanvraag geen verplaatsing heeft uitgevoerd naar de vestiging waar de initiële investering moet plaatsvinden en 2) zich ertoe heeft verbonden die verplaatsing niet te doen gedurende een periode van maximaal twee jaar na de voltooiing van de initiële investering (punt 23 van de richtsnoeren).</w:t>
      </w:r>
    </w:p>
    <w:p w14:paraId="095F8EF4" w14:textId="77777777" w:rsidR="00071A7F" w:rsidRDefault="00EF0533" w:rsidP="00EF0533">
      <w:pPr>
        <w:pStyle w:val="NumPar3"/>
        <w:ind w:left="1418"/>
      </w:pPr>
      <w:r>
        <w:t xml:space="preserve">Geef hier de referentie naar de desbetreffende bepaling in de rechtsgrondslag: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Bevestig dat met de aangemelde steunregeling geen regionale investeringssteun zal worden toegekend aan de onderstaande categorieën ondernemingen en sectoren. Geef telkens de desbetreffende rechtsgrondslag van de regeling.</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Uitgesloten categorieën ondernemingen en sectoren</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Desbetreffende rechtsgrondslag van de regeling</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Ondernemingen in moeilijkheden</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IJzer- en staalindustrie</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De bruinkoolsector</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De steenkoolsector</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Visserij en aquacultuur</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Landbouw</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Verwerking en/of afzet van in bijlage I bij het VWEU genoemde landbouwproducten</w:t>
            </w:r>
            <w:r>
              <w:rPr>
                <w:bCs/>
                <w:sz w:val="22"/>
                <w:szCs w:val="22"/>
                <w:vertAlign w:val="superscript"/>
              </w:rPr>
              <w:footnoteReference w:id="10"/>
            </w:r>
            <w:r>
              <w:rPr>
                <w:sz w:val="22"/>
              </w:rPr>
              <w:t xml:space="preserve"> tot in die bijlage I genoemde producten</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lastRenderedPageBreak/>
              <w:t>Vervoer</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Breedband</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Energie</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Initiële investering, in aanmerking komende kosten en steun</w:t>
            </w:r>
          </w:p>
        </w:tc>
      </w:tr>
    </w:tbl>
    <w:p w14:paraId="0568836A" w14:textId="77777777" w:rsidR="005936C8" w:rsidRPr="00D278EA" w:rsidRDefault="00BB1994" w:rsidP="00D278EA">
      <w:pPr>
        <w:pStyle w:val="NormalKop11"/>
        <w:rPr>
          <w:b/>
        </w:rPr>
      </w:pPr>
      <w:r>
        <w:rPr>
          <w:b/>
        </w:rPr>
        <w:t>Soorten initiële investeringen die onder de regeling vallen</w:t>
      </w:r>
    </w:p>
    <w:p w14:paraId="15863B73" w14:textId="77777777" w:rsidR="00801CFE" w:rsidRPr="005C5DFC" w:rsidRDefault="00801CFE" w:rsidP="001D303A">
      <w:pPr>
        <w:pStyle w:val="NumPar3"/>
        <w:numPr>
          <w:ilvl w:val="2"/>
          <w:numId w:val="2"/>
        </w:numPr>
        <w:spacing w:before="240"/>
        <w:ind w:left="1440" w:hanging="720"/>
      </w:pPr>
      <w:r>
        <w:t>Heeft de regeling betrekking op investeringen van kmo's of van grote ondernemingen</w:t>
      </w:r>
      <w:r>
        <w:rPr>
          <w:rStyle w:val="FootnoteReference"/>
        </w:rPr>
        <w:footnoteReference w:id="14"/>
      </w:r>
      <w:r>
        <w:t xml:space="preserve"> in steungebieden onder a) of op investeringen van kmo's in steungebieden onder c) (punt 45 van de richtsnoeren)? Om welke categorie/categorieën initiële investeringen gaat het dan in de aanmelding (punt 19, 13), van de richtsnoeren)?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de oprichting van een nieuwe vestiging</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de uitbreiding van de capaciteit van een bestaande vestiging</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de diversificatie van de productie van een vestiging naar producten die voordien niet in de vestiging werden vervaardigd</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een fundamentele wijziging in het volledige productieproces van het product of de producten waarop de investering in de vestiging betrekking heeft</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een verwerving van activa behorende tot een vestiging die is gesloten of zou zijn gesloten indien zij niet was overgenomen</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Betreft de regeling investeringen van een grote ondernemingen in steungebieden onder c)? Om welke categorie/categorieën initiële investeringen gaat het dan in de aanmelding (punt 19, 14), en punt 14 van de richtsnoeren)?</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de oprichting van een nieuwe vestiging</w:t>
      </w:r>
    </w:p>
    <w:p w14:paraId="215037A7" w14:textId="6D901F40" w:rsidR="00D054A1" w:rsidRDefault="00D054A1" w:rsidP="002E6F0B">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de diversificatie van de activiteit van een vestiging, op voorwaarde dat de nieuwe activiteit niet dezelfde is als of vergelijkbaar is met</w:t>
      </w:r>
      <w:r>
        <w:rPr>
          <w:rStyle w:val="FootnoteReference"/>
        </w:rPr>
        <w:footnoteReference w:id="16"/>
      </w:r>
      <w:r>
        <w:t xml:space="preserve"> de activiteit die voordien in die vestiging werd uitgeoefend</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ab/>
        <w:t>een verwerving van activa behorende tot een vestiging die is gesloten of zou zijn gesloten indien zij niet was overgenomen, op voorwaarde dat de met de overgenomen activa uit te oefenen nieuwe activiteit niet dezelfde is als of vergelijkbaar is met de activiteit die in die vestiging werd uitgeoefend vóór de overname ervan</w:t>
      </w:r>
      <w:r>
        <w:rPr>
          <w:rStyle w:val="FootnoteReference"/>
        </w:rPr>
        <w:footnoteReference w:id="17"/>
      </w:r>
    </w:p>
    <w:p w14:paraId="123A6FE9" w14:textId="77777777" w:rsidR="005936C8" w:rsidRPr="00D23668" w:rsidRDefault="005936C8" w:rsidP="00D23668">
      <w:pPr>
        <w:pStyle w:val="NormalKop11"/>
        <w:rPr>
          <w:b/>
        </w:rPr>
      </w:pPr>
      <w:r>
        <w:rPr>
          <w:b/>
        </w:rPr>
        <w:t>In aanmerking komende kosten, berekend op basis van de investeringskosten</w:t>
      </w:r>
    </w:p>
    <w:p w14:paraId="66E3E5CE" w14:textId="1EEAD7A8" w:rsidR="0096475D" w:rsidRPr="0096475D" w:rsidRDefault="000C7C9C" w:rsidP="00B209F9">
      <w:pPr>
        <w:pStyle w:val="NumPar3"/>
        <w:numPr>
          <w:ilvl w:val="2"/>
          <w:numId w:val="2"/>
        </w:numPr>
        <w:spacing w:before="240"/>
      </w:pPr>
      <w:r>
        <w:t>Indien de in het kader van de regeling in aanmerking komende kosten betrekking hebben op materiële activa (punt 19, 31), van de richtsnoeren), geef dan aan of de waarde van de investering is vastgesteld als een percentage van de kosten van gronden, gebouwen en installaties, machines en uitrusting:</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gronden</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 xml:space="preserve">gebouwen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installaties/machines/uitrusting</w:t>
      </w:r>
    </w:p>
    <w:p w14:paraId="08F0994B" w14:textId="325FF7E9" w:rsidR="0096475D" w:rsidRPr="00540AF1" w:rsidRDefault="0096475D" w:rsidP="001E018C">
      <w:pPr>
        <w:pStyle w:val="Text2"/>
        <w:ind w:left="1843" w:hanging="425"/>
        <w:rPr>
          <w:rFonts w:cs="Times New Roman"/>
        </w:rPr>
      </w:pPr>
      <w:r>
        <w:t xml:space="preserve">Geef hier de referentie naar de desbetreffende bepalingen in de rechtsgrondslag: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t xml:space="preserve">Geef hier een referentie </w:t>
      </w:r>
      <w:bookmarkStart w:id="1" w:name="OLE_LINK1"/>
      <w:bookmarkStart w:id="2" w:name="OLE_LINK2"/>
      <w:r>
        <w:t>naar de desbetreffende</w:t>
      </w:r>
      <w:bookmarkEnd w:id="1"/>
      <w:bookmarkEnd w:id="2"/>
      <w:r>
        <w:t xml:space="preserve"> bepaling in de rechtsgrondslag waar is bepaald dat de verworven activa nieuw moeten zijn</w:t>
      </w:r>
      <w:r>
        <w:rPr>
          <w:rStyle w:val="FootnoteReference"/>
        </w:rPr>
        <w:footnoteReference w:id="18"/>
      </w:r>
      <w:r>
        <w:t xml:space="preserve"> (punt 27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Geef hier een referentie naar de desbetreffende bepaling in de rechtsgrondslag waar is bepaald dat voor kmo's maximaal 50 % van de kosten voor voorbereidende studies of consultancykosten met betrekking tot de investering als in aanmerking komende kosten kunnen worden beschouwd (punt 28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Geef hier een referentie naar de desbetreffende bepaling in de rechtsgrondslag waar is bepaald dat voor steun aan grote ondernemingen ten behoeve van een fundamentele verandering in het productieproces, de in aanmerking komende kosten hoger liggen dan de in de drie voorafgaande belastingjaren </w:t>
      </w:r>
      <w:r>
        <w:rPr>
          <w:color w:val="000000"/>
        </w:rPr>
        <w:lastRenderedPageBreak/>
        <w:t xml:space="preserve">doorgevoerde afschrijving voor de met de te moderniseren activiteit verband houdende activa (punt 29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Geef hier een referentie naar de desbetreffende bepaling in de rechtsgrondslag waar is bepaald dat voor steun ten behoeve van de diversificatie van een bestaande vestiging de in aanmerking komende kosten ten minste 200 % hoger moeten liggen dan de boekwaarde van de opnieuw gebruikte activa, zoals die in het belastingjaar voorafgaand aan de aanvang van de werkzaamheden is geboekt (punt 30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Ingeval van huur/leasing van materiële activa: geef een referentie naar de desbetreffende bepalingen in de rechtsgrondslag waar is bepaald dat de volgende voorwaarden dienen te worden nageleefd (punt 31 van de richtsnoeren): </w:t>
      </w:r>
    </w:p>
    <w:p w14:paraId="3CC0A357" w14:textId="77777777" w:rsidR="00216490" w:rsidRDefault="00216490" w:rsidP="00CB4B02">
      <w:pPr>
        <w:pStyle w:val="NumPar3"/>
        <w:ind w:left="1701" w:hanging="283"/>
      </w:pPr>
      <w:r>
        <w:t>•</w:t>
      </w:r>
      <w:r>
        <w:tab/>
        <w:t>voor gronden en gebouwen moet de huur na het verwachte tijdstip van de voltooiing van de investering ten minste vijf jaar blijven doorlopen in het geval van grote ondernemingen en drie jaar in het geval van kmo’s;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voor installaties of machines: de huur moet plaatsvinden in de vorm van leasing en moet voor de begunstigde van de steun een verplichting inhouden om de activa na afloop van de leaseovereenkomst te kopen.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In punt 32 van de richtsnoeren is bepaald dat “</w:t>
      </w:r>
      <w:r>
        <w:rPr>
          <w:i/>
          <w:color w:val="000000"/>
        </w:rPr>
        <w:t>in principe alleen de kosten voor de aankoop van de activa van derden die geen banden met de koper hebben, in aanmerking [mogen] worden genomen. Als echter een familielid van de oorspronkelijke eigenaar, of een werknemer, een kleine onderneming overneemt, is de voorwaarde dat de activa moeten worden gekocht van derden die geen banden hebben met de koper, niet van toepassing. De transactie moet op marktvoorwaarden plaatsvinden. Indien de verwerving van de activa van een vestiging vergezeld gaat van een bijkomende, voor regionale steun in aanmerking komende investering, moeten de in aanmerking komende kosten van die aanvullende investering worden bijgeteld bij de kosten voor de verwerving van de activa van de vestiging</w:t>
      </w:r>
      <w:r>
        <w:rPr>
          <w:color w:val="000000"/>
        </w:rPr>
        <w:t xml:space="preserve">”. </w:t>
      </w:r>
    </w:p>
    <w:p w14:paraId="70A68FF7" w14:textId="77777777" w:rsidR="00CB4B02" w:rsidRDefault="00561589" w:rsidP="00D23668">
      <w:pPr>
        <w:pStyle w:val="NumPar3"/>
        <w:ind w:left="1418"/>
      </w:pPr>
      <w:r>
        <w:t xml:space="preserve">Geef hier, voor zover dit relevant is voor de aangemelde regeling, een referentie naar de desbetreffende de rechtsgrondslag waar is bepaald dat de bovenstaande voorwaarden moeten worden nageleefd.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Indien de op grond van de regeling in aanmerking komende kosten immateriële activa (punt 19, 15), van de richtsnoeren) vormen, geef dan aan of de waarde van de investering wordt berekend op basis van uitgaven die verband houden met technologieoverdracht door de verwerving van octrooirechten, licenties, knowhow of andere intellectuele eigendom:</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lastRenderedPageBreak/>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octrooirechten</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licenties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andere intellectuele eigendom</w:t>
      </w:r>
    </w:p>
    <w:p w14:paraId="78A2921B" w14:textId="5E1AB8D8" w:rsidR="005936C8" w:rsidRDefault="005936C8" w:rsidP="00D23668">
      <w:pPr>
        <w:pStyle w:val="Text2"/>
        <w:spacing w:before="120" w:after="120"/>
        <w:ind w:left="1418"/>
        <w:rPr>
          <w:rFonts w:cs="Times New Roman"/>
        </w:rPr>
      </w:pPr>
      <w:r>
        <w:t>Geef hier de referentie naar de desbetreffende bepalingen in de rechtsgrondslag: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Geef hier een referentie naar de desbetreffende bepalingen in de rechtsgrondslag waar is bepaald dat voor grote ondernemingen de kosten voor in aanmerking komende investeringen in immateriële activa maximaal 50 % van de totale in aanmerking komende investeringskosten voor het project mogen bedragen (punt 33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Geef hier een referentie naar de desbetreffende bepalingen in de rechtsgrondslag waar is bepaald dat de in punt 34 van de richtsnoeren</w:t>
      </w:r>
      <w:r>
        <w:rPr>
          <w:rFonts w:cs="Times New Roman"/>
          <w:color w:val="000000"/>
          <w:vertAlign w:val="superscript"/>
        </w:rPr>
        <w:footnoteReference w:id="19"/>
      </w:r>
      <w:r>
        <w:rPr>
          <w:color w:val="000000"/>
        </w:rPr>
        <w:t xml:space="preserve"> uiteengezette voorwaarden moeten worden nageleefd: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In aanmerking komende kosten, berekend op basis van de loonkosten</w:t>
      </w:r>
    </w:p>
    <w:p w14:paraId="13E0BDA7" w14:textId="77777777" w:rsidR="00F330CB" w:rsidRPr="008C2DA8" w:rsidRDefault="009E28B0" w:rsidP="001452D1">
      <w:pPr>
        <w:pStyle w:val="NumPar3"/>
        <w:numPr>
          <w:ilvl w:val="2"/>
          <w:numId w:val="2"/>
        </w:numPr>
        <w:spacing w:before="240"/>
        <w:ind w:left="1418" w:hanging="698"/>
      </w:pPr>
      <w:r>
        <w:t>Geef hier een referentie naar de desbetreffende bepalingen in de rechtsgrondslag waar is bepaald hoe de in aanmerking komende kosten, berekend op basis van de loonkosten, moeten worden vastgesteld (punt 35 van de richtsnoeren), hoe het aantal geschapen arbeidsplaatsen moet worden berekend aan de hand van punt 19, 16), van de richtsnoeren en hoe de loonkosten van de in dienst genomen personen moeten worden vastgesteld aan de hand van punt 19, 33),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Berekening van de contant gemaakte in aanmerking komende kosten</w:t>
      </w:r>
    </w:p>
    <w:p w14:paraId="647EE464" w14:textId="77777777" w:rsidR="00E538B5" w:rsidRPr="00CB4B02" w:rsidRDefault="00E538B5" w:rsidP="00B209F9">
      <w:pPr>
        <w:pStyle w:val="NumPar3"/>
        <w:numPr>
          <w:ilvl w:val="2"/>
          <w:numId w:val="2"/>
        </w:numPr>
        <w:spacing w:before="240"/>
        <w:rPr>
          <w:rFonts w:cs="Times New Roman"/>
        </w:rPr>
      </w:pPr>
      <w:r>
        <w:t>Welke vormen van steun zijn toegestaan in het kader van de regeling?</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subsidies. Geef hier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lastRenderedPageBreak/>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 xml:space="preserve"> </w:t>
      </w:r>
      <w:r>
        <w:tab/>
        <w:t>leningen. Hoe zal het subsidie-equivalent worden berekend? Geef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garanties. Hoe zal het subsidie-equivalent worden berekend? Geef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 xml:space="preserve"> </w:t>
      </w:r>
      <w:r>
        <w:tab/>
        <w:t>belastingvoordelen. Om welk soort maatregelen gaat het? Hoe zal het subsidie-equivalent worden berekend? Geef hier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A4864">
        <w:rPr>
          <w:rFonts w:cs="Times New Roman"/>
        </w:rPr>
      </w:r>
      <w:r w:rsidR="009A4864">
        <w:rPr>
          <w:rFonts w:cs="Times New Roman"/>
        </w:rPr>
        <w:fldChar w:fldCharType="separate"/>
      </w:r>
      <w:r>
        <w:rPr>
          <w:rFonts w:cs="Times New Roman"/>
        </w:rPr>
        <w:fldChar w:fldCharType="end"/>
      </w:r>
      <w:r>
        <w:tab/>
        <w:t>andere. Welke? Geef ook aan hoe het subsidie-equivalent zal worden berekend. Geef hier ook de referentie naar de desbetreffende bepalingen in de rechtsgrondslag:</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Geef aan of de steunregeling in aanmerking komt voor medefinanciering uit een van de EU-fondsen die in gedeeld beheer worden uitgevoerd (“de fondsen”). Zo ja, geef dan aan in het kader van welk programma dergelijke financiering kan worden verkregen. Geef ook het bedrag aan financiering uit de fondsen waarom het gaat, indien dat op dit ogenblik bekend 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Geef hier de referentie naar de desbetreffende bepalingen in de rechtsgrondslag waar is bepaald dat de steunverlenende autoriteit, voordat in het kader van de aangemelde regeling individuele steun wordt verleend, moet nagaan of de begunstigde (op groepsniveau) steun heeft ontvangen voor één of meer initiële investeringen die van start zijn gegaan in dezelfde NUTS 3-regio in een periode van drie jaar voor de aanvang van de werkzaamheden aan het investeringsproject.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Geef hier de referentie naar de desbetreffende bepalingen in de rechtsgrondslag waar is bepaald dat het totale steunbedrag dat in het kader van de regeling aan een project voor initiële investeringen zal worden toegekend, het uit de maximale steunintensiteit (als omschreven in punt 19, 19), van de richtsnoeren) voortvloeiende bedrag niet overschrijdt, rekening houdende met de verhoogde steunintensiteit voor kmo's (zoals bepaald in punt 186 van de richtsnoeren) of het “bijgestelde steunbedrag” (als omschreven in punt 19, 3), van de richtsnoeren), voor zover van toepassing: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Geef hier de referentie naar de desbetreffende bepalingen in de rechtsgrondslag waar is bepaald dat wanneer individuele steun wordt toegekend op grond van </w:t>
      </w:r>
      <w:r>
        <w:lastRenderedPageBreak/>
        <w:t>meerdere regionale-steunregelingen of die wordt gecumuleerd met ad-hocsteun, de maximaal toegestane steunintensiteit voor het project vooraf zal worden berekend door de eerste steunverlenende autoriteit (punt 99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Wanneer de steunregeling de mogelijkheid biedt voor steun ten behoeve van initiële investeringen die verband houden met projecten in het kader van de Europese territoriale samenwerking (ETC), geef dan de referentie naar de desbetreffende bepalingen in de rechtsgrondslag waar is bepaald (aan de hand van punt 100 van de richtsnoeren) hoe de voor het project geldende maximale steunintensiteit en de verschillende betrokken begunstigden zullen worden vastgesteld: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Verenigbaarheidsbeoordeling van de steunregeling</w:t>
            </w:r>
          </w:p>
        </w:tc>
      </w:tr>
    </w:tbl>
    <w:p w14:paraId="2C690D30" w14:textId="77777777" w:rsidR="006D4360" w:rsidRPr="007965FE" w:rsidRDefault="006D4360" w:rsidP="007965FE">
      <w:pPr>
        <w:pStyle w:val="NormalKop11"/>
        <w:rPr>
          <w:b/>
        </w:rPr>
      </w:pPr>
      <w:r>
        <w:rPr>
          <w:b/>
        </w:rPr>
        <w:t>Bijdrage aan regionale ontwikkeling, positieve effecten en noodzaak van overheidsmaatregelen</w:t>
      </w:r>
    </w:p>
    <w:p w14:paraId="552BABED" w14:textId="77777777" w:rsidR="006D4360" w:rsidRDefault="006D4360" w:rsidP="00B209F9">
      <w:pPr>
        <w:pStyle w:val="NumPar3"/>
        <w:numPr>
          <w:ilvl w:val="2"/>
          <w:numId w:val="2"/>
        </w:numPr>
        <w:spacing w:before="240"/>
        <w:ind w:left="1440" w:hanging="720"/>
      </w:pPr>
      <w:r>
        <w:t>Leg uit hoe de regeling aansluit bij en bijdraagt tot de ontwikkelingsstrategie van het betrokken gebied (punt 44 van de richtsnoeren):</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Geef hier de referentie naar de desbetreffende bepalingen in de rechtsgrondslag die de voorwaarde bevatten dat, wanneer dit wettelijk verplicht is, voor de betrokken investeringen een milieueffectbeoordeling moet worden uitgevoerd voordat aan individuele projecten steun kan worden toegekend (punt 49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Hoe zullen de steunverlenende autoriteiten prioriteiten kunnen stellen en de investeringsprojecten kunnen selecteren aan de hand van de doelstellingen van de regeling (bv. op basis van een puntensysteem) (punt 44 van de richtsnoeren)? Geef hier ook de referentie naar de desbetreffende bepalingen in de rechtsgrondslag of andere daarmee in verband staande bestuurlijke besluiten.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Hoe zal de steunverlenende autoriteit, wanneer krachtens de aangemelde regeling steun aan individuele investeringsprojecten wordt toegekend, bepalen dat het (de) geselecteerde project(en) zal (zullen) bijdragen aan de doelstelling van de regeling, en zo aan de ontwikkelingsstrategie voor het betrokken gebied (punt 46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lastRenderedPageBreak/>
        <w:t>Hoe zal de voorwaarde worden toegepast dat een in het kader van de aangemelde regeling gesteunde investering ten minste vijf jaar of, in het geval van kmo's drie jaar, na de voltooiing ervan in het gebied behouden moet blijven (punt 47 van de richtsnoeren)? Geef hier de referentie naar de desbetreffende bepalingen in de rechtsgrondslag.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Wordt de in het kader van de aangemelde regeling toegekende steun berekend op basis van de loonkosten? Licht dan toe hoe de bepaling wordt toegepast dat arbeidsplaatsen moeten worden geschapen in de eerste drie jaar nadat de investering is voltooid en dat alle door de betrokken investering geschapen arbeidsplaatsen binnen het betrokken gebied behouden moeten blijven gedurende een periode van vijf jaar (of drie jaar in het geval van kmo's) te rekenen vanaf de datum waarop de arbeidsplaats voor het eerst werd ingevuld (punt 36 van de richtsnoeren). Geef hier de referentie naar de desbetreffende bepaling in de rechtsgrondslag.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Geef hier een referentie naar de desbetreffende bepalingen in de rechtsgrondslag waar is bepaald dat de ontvangers van de steun een bijdrage moeten leveren van ten minste 25 % van de in aanmerking komende kosten – uit eigen middelen dan wel door externe financiering – in een vorm die vrij is van alle financiële steun van de overheid</w:t>
      </w:r>
      <w:r>
        <w:rPr>
          <w:vertAlign w:val="superscript"/>
        </w:rPr>
        <w:footnoteReference w:id="20"/>
      </w:r>
      <w:r>
        <w:t xml:space="preserve"> (punt 48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Geef hier een referentie naar de desbetreffende bepalingen in de rechtsgrondslag waaruit blijkt dat de regeling op het tijdstip van toekenning van de steun de geldende plafonds van de regionale-steunkaart in acht moet nemen (punt 88 van de richtsnoeren). Geef ook de referentie naar het besluit van de Commissie waarbij de betrokken regionale-steunkaart is goedgekeurd.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Stimulerend effect van de maatregel</w:t>
      </w:r>
    </w:p>
    <w:p w14:paraId="0D14DDD0" w14:textId="77777777" w:rsidR="00F02231" w:rsidRPr="00A43EC2" w:rsidRDefault="00F02231" w:rsidP="00FB274E">
      <w:pPr>
        <w:pStyle w:val="NumPar3"/>
        <w:numPr>
          <w:ilvl w:val="2"/>
          <w:numId w:val="2"/>
        </w:numPr>
        <w:spacing w:before="240"/>
        <w:ind w:left="1440" w:hanging="720"/>
        <w:rPr>
          <w:rFonts w:cs="Times New Roman"/>
        </w:rPr>
      </w:pPr>
      <w:r>
        <w:t>Geef hier de referentie naar de desbetreffende bepalingen in de rechtsgrondslag waar is bepaald dat steunaanvragen moeten zijn ingediend voordat met de uitvoering van het investeringsproject een aanvang wordt gemaakt (punt 62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Geef hier de referentie naar de desbetreffende bepalingen in de rechtsgrondslag waar is bepaald dat aanvragers van steun in het kader van de aangemelde regeling een door de steunverlenende autoriteit verschaft </w:t>
      </w:r>
      <w:r>
        <w:lastRenderedPageBreak/>
        <w:t>standaardaanvraagformulier moeten indienen waarin zij aan de hand van een nulscenario moeten uitleggen wat er zou gebeuren indien zij de steun niet ontvangen. Daarbij moeten zij aangeven welke van de scenario's (scenario 1 – investeringsbesluit of scenario 2 – vestigingsbesluit) van toepassing is (punten 64 en 59 van de richtsnoeren).</w:t>
      </w:r>
      <w:r>
        <w:rPr>
          <w:color w:val="000000"/>
        </w:rPr>
        <w:t xml:space="preserve"> Verschilt dat aanvraagformulier van het in bijlage VII bij de richtsnoeren verschafte voorbeeld, verschaf dan een kopie van dit formulier.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Geef hier de referentie naar de desbetreffende bepalingen in de rechtsgrondslag waar is bepaald dat grote ondernemingen die steun aanvragen in het kader van de aangemelde regeling bewijsstukken moeten verschaffen ter staving van het in het aanvraagformulier beschreven nulscenario. (punt 65 van de richtsnoeren) Geef ook aan welk soort documenten zal worden verlangd.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Geef hier de referentie naar de desbetreffende bepalingen in de rechtsgrondslag waar is bepaald dat de steunverlenende autoriteit, bij het beoordelen van individuele steunaanvragen, het meegedeelde nulscenario op zijn geloofwaardigheid moet toetsen en zich ervan moet vergewissen dat regionale steun het vereiste stimulerende effect oplevert dat overeenstemt met scenario 1 of scenario 2</w:t>
      </w:r>
      <w:r>
        <w:rPr>
          <w:rStyle w:val="FootnoteReference"/>
        </w:rPr>
        <w:footnoteReference w:id="21"/>
      </w:r>
      <w:r>
        <w:t xml:space="preserve"> (punt 66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Geschiktheid van de regeling</w:t>
      </w:r>
    </w:p>
    <w:p w14:paraId="5713798C" w14:textId="77777777" w:rsidR="00485C14" w:rsidRDefault="00FE3973" w:rsidP="0026473A">
      <w:pPr>
        <w:pStyle w:val="NormalKop111"/>
        <w:numPr>
          <w:ilvl w:val="2"/>
          <w:numId w:val="2"/>
        </w:numPr>
        <w:ind w:left="1440" w:hanging="720"/>
      </w:pPr>
      <w:r>
        <w:t>Leg uit waarom regionale steun een geschikt instrument is om het gebied te helpen ontwikkelen</w:t>
      </w:r>
      <w:r>
        <w:rPr>
          <w:rStyle w:val="FootnoteReference"/>
        </w:rPr>
        <w:footnoteReference w:id="22"/>
      </w:r>
      <w:r>
        <w:t xml:space="preserve"> (punt 80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Wanneer de regeling sectorspecifiek is, toon dan aan wat de voordelen zijn van dit soort instrument vergeleken met een multisectorale regeling of andere beleidsopties (punt 81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Hoe wordt individuele steun in het kader van de aangemelde regeling toegekend?</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Automatisch indien aan de voorwaarden van de regeling is voldaan, of</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Op discretionaire basis, na een besluit van de autoriteiten.</w:t>
      </w:r>
    </w:p>
    <w:p w14:paraId="05F07C80" w14:textId="77777777" w:rsidR="003F2F3D" w:rsidRDefault="00590071" w:rsidP="00590071">
      <w:pPr>
        <w:pStyle w:val="Text2"/>
        <w:ind w:left="1418"/>
      </w:pPr>
      <w:r>
        <w:t xml:space="preserve">Geef hier de referentie naar de desbetreffende bepaling in de rechtsgrondslag: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lastRenderedPageBreak/>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Wordt de steun discretionair toegekend, geef dan een beknopte beschrijving van de toegepaste criteria en voeg een kopie bij van de voor de steunverlening geldende interne administratieve bepalingen van de steunverlenende autoriteit.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Wordt de steun in het kader van de regeling toegekend in een vorm die een direct financieel voordeel oplevert</w:t>
      </w:r>
      <w:r>
        <w:rPr>
          <w:vertAlign w:val="superscript"/>
        </w:rPr>
        <w:footnoteReference w:id="23"/>
      </w:r>
      <w:r>
        <w:t>, toon dan aan waarom andere, potentieel minder verstorende vormen van steun zoals terugbetaalbare voorschotten of vormen van steun die gebaseerd zijn op schuld- of eigenvermogensinstrumenten</w:t>
      </w:r>
      <w:r>
        <w:rPr>
          <w:rStyle w:val="FootnoteReference"/>
        </w:rPr>
        <w:footnoteReference w:id="24"/>
      </w:r>
      <w:r>
        <w:t xml:space="preserve">, niet geschikt zijn (punt 85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Stimulerend effect en evenredigheid van de regeling</w:t>
      </w:r>
    </w:p>
    <w:p w14:paraId="348AF344" w14:textId="77777777" w:rsidR="00132132" w:rsidRDefault="00FF0F35" w:rsidP="00DB5B5A">
      <w:pPr>
        <w:pStyle w:val="NumPar3"/>
        <w:numPr>
          <w:ilvl w:val="2"/>
          <w:numId w:val="2"/>
        </w:numPr>
        <w:spacing w:before="240"/>
        <w:ind w:left="1440" w:hanging="720"/>
      </w:pPr>
      <w:r>
        <w:t xml:space="preserve">Geef hier de referentie naar de desbetreffende bepalingen in de rechtsgrondslag waar is bepaald dat de in het kader van de aangemelde regeling aan grote ondernemingen verschafte individuele steun beperkt zal zijn tot de nettomeerkosten van de tenuitvoerlegging van de investering in het betrokken gebied vergeleken met het nulscenario waarin er geen steun wordt verleend, gebruikmakend van de in de punten 96 en 97 van de richtsnoeren toegelichte methodiek (punt 95 van de richtsnoeren):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Vermijden van ongewenste negatieve effecten op mededinging en handelsverkeer</w:t>
      </w:r>
    </w:p>
    <w:p w14:paraId="6AAEB69D" w14:textId="77777777" w:rsidR="00684D63" w:rsidRDefault="00684D63" w:rsidP="00DB5B5A">
      <w:pPr>
        <w:pStyle w:val="NumPar3"/>
        <w:numPr>
          <w:ilvl w:val="2"/>
          <w:numId w:val="2"/>
        </w:numPr>
        <w:spacing w:before="240"/>
        <w:ind w:left="1440" w:hanging="720"/>
      </w:pPr>
      <w:r>
        <w:t>Hoe zullen de door de aangemelde steunregeling veroorzaakte verstoringen van de mededinging en het handelsverkeer tot het minimum beperkt blijven (punt 120 van de richtsnoeren)</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 xml:space="preserve">Geef hier verwijzingen naar de desbetreffende bepalingen in de rechtsgrondslag waar is bepaald dat de steunverlenende autoriteit bij de toekenning van steun in het kader van de regeling aan individuele projecten moet nagaan of en bevestigen dat de steun geen duidelijke negatieve effecten oplevert, zoals het creëren van overcapaciteit op een markt in absolute achteruitgang (punten 112 tot en met 115 van de richtsnoeren), </w:t>
      </w:r>
      <w:r>
        <w:lastRenderedPageBreak/>
        <w:t>cohesieverstorende effecten (punten 116-117 van de richtsnoeren) of verplaatsing (punt 118 van de richtsnoeren) (punt 121 van de richtsnoeren).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Transparantie</w:t>
      </w:r>
    </w:p>
    <w:p w14:paraId="5D8729A0" w14:textId="77777777" w:rsidR="0047707E" w:rsidRPr="004A0583" w:rsidRDefault="0047707E" w:rsidP="007F52B1">
      <w:pPr>
        <w:pStyle w:val="NumPar3"/>
        <w:numPr>
          <w:ilvl w:val="1"/>
          <w:numId w:val="2"/>
        </w:numPr>
        <w:spacing w:before="240"/>
        <w:ind w:left="1418" w:hanging="698"/>
      </w:pPr>
      <w:r>
        <w:t xml:space="preserve">Bevestig dat de volledige tekst van het besluit tot individuele steunverlening of de goedgekeurde steunregeling en de uitvoeringsbepalingen daarvoor, of een link daarnaar, </w:t>
      </w:r>
      <w:bookmarkStart w:id="3" w:name="_Ref44059869"/>
      <w:r>
        <w:t>en informatie over elke individuele steun die is verleend ter waarde van meer dan 100 000 EUR</w:t>
      </w:r>
      <w:bookmarkEnd w:id="3"/>
      <w:r>
        <w:t>, binnen zes maanden na de datum van toekenning van de steun of, in het geval van steun in de vorm van belastingvoordelen, binnen een jaar na de datum voor het indienen van de belastingaangifte aan de hand van de structuur in bijlage VIII zal worden bekendgemaakt in de Transparency Award Module (TAM) van de Europese Commissie of op een uitgebreide staatssteunwebsite, op nationaal of regionaal niveau</w:t>
      </w:r>
      <w:r>
        <w:rPr>
          <w:rStyle w:val="FootnoteReference"/>
        </w:rPr>
        <w:footnoteReference w:id="26"/>
      </w:r>
      <w:r>
        <w:t>.</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w:t>
      </w:r>
      <w:r>
        <w:tab/>
        <w:t>Ja</w:t>
      </w:r>
    </w:p>
    <w:p w14:paraId="419E66FE" w14:textId="77777777" w:rsidR="0047707E" w:rsidRDefault="0047707E" w:rsidP="007F52B1">
      <w:pPr>
        <w:pStyle w:val="NumPar3"/>
        <w:numPr>
          <w:ilvl w:val="1"/>
          <w:numId w:val="2"/>
        </w:numPr>
        <w:spacing w:before="240"/>
        <w:ind w:left="1418" w:hanging="698"/>
      </w:pPr>
      <w:r>
        <w:t>Geef hier de referenties naar de betrokken bepalingen in de rechtsgrondslag waarin is bepaald dat de steunverlenende autoriteit in de Transparency Award Module (TAM) of op een uitgebreide staatssteunwebsite, op nationaal of regionaal niveau</w:t>
      </w:r>
      <w:r>
        <w:rPr>
          <w:rStyle w:val="FootnoteReference"/>
        </w:rPr>
        <w:footnoteReference w:id="27"/>
      </w:r>
      <w:r>
        <w:t>, ten minste de volgende informatie over de aangemelde staatssteunregelingen moet publiceren: de tekst van de aangemelde steunregeling en de uitvoeringsbepalingen daarvan, de steunverlenende autoriteit, de individuele begunstigden, het steunbedrag per begunstigde, en de steunintensiteit (punt 136 van de richtsnoeren).</w:t>
      </w:r>
    </w:p>
    <w:p w14:paraId="74E1FB55" w14:textId="77777777" w:rsidR="0047707E" w:rsidRDefault="0047707E" w:rsidP="00DB5B5A">
      <w:pPr>
        <w:pStyle w:val="NumPar3"/>
        <w:spacing w:before="240"/>
        <w:ind w:left="426"/>
      </w:pPr>
      <w:r>
        <w:t>Zijn dergelijke bepalingen niet voorhanden, leg dan uit waarom niet. Geef ook aan wanneer dergelijke bepalingen niet zijn opgenomen in de rechtsgrondslag voor de aangemelde regeling, maar wel in andere wetgevingsinstrumenten.</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Geef referenties naar de desbetreffende bepalingen in de rechtsgrondslag waarin is bepaald dat de bovengenoemde informatie gedurende ten minste 10 jaar vanaf de datum van toekenning van de steun zonder beperkingen voor het grote publiek beschikbaar zal worden gesteld (punt 140 van de richtsnoeren).</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lastRenderedPageBreak/>
              <w:t xml:space="preserve">Evaluatie, verslaglegging en toezicht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Evaluatie</w:t>
      </w:r>
    </w:p>
    <w:p w14:paraId="594EFB7A" w14:textId="77777777" w:rsidR="0047707E" w:rsidRDefault="0047707E" w:rsidP="001452D1">
      <w:pPr>
        <w:pStyle w:val="NumPar3"/>
        <w:numPr>
          <w:ilvl w:val="2"/>
          <w:numId w:val="2"/>
        </w:numPr>
        <w:spacing w:before="240"/>
        <w:ind w:left="1418" w:hanging="698"/>
      </w:pPr>
      <w:r>
        <w:t>Vermeld het SA-nummer van alle eerdere en lopende staatssteunregelingen met een soortgelijk doel en geografisch gebied (punt 144 van de richtsnoeren).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Is een van de bovengenoemde staatssteunregelingen achteraf geëvalueerd (punt 144 van de richtsnoeren)?</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Ja</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Nee</w:t>
      </w:r>
    </w:p>
    <w:p w14:paraId="6D9A940C" w14:textId="77777777" w:rsidR="0047707E" w:rsidRDefault="0047707E" w:rsidP="00DB5B5A">
      <w:pPr>
        <w:pStyle w:val="NumPar3"/>
        <w:spacing w:before="240"/>
        <w:ind w:left="709"/>
      </w:pPr>
      <w:r>
        <w:t>Zo ja, geef een korte samenvatting van de belangrijkste resultaten van de evaluatie(s) achteraf (indien van toepassing met een referentie en een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Beschrijf hoe met de resultaten van deze evaluaties rekening is gehouden bij het ontwerp van de nieuwe regeling.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Geef aan of het staatssteunbudget van de regeling in een bepaald jaar meer dan 150 miljoen EUR bedraagt (punt 143 van de richtsnoeren):</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Ja</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Nee</w:t>
      </w:r>
    </w:p>
    <w:p w14:paraId="1481B715" w14:textId="77777777" w:rsidR="0047707E" w:rsidRDefault="00877F82" w:rsidP="0047707E">
      <w:pPr>
        <w:pStyle w:val="NumPar3"/>
        <w:spacing w:before="240"/>
        <w:ind w:left="1418"/>
      </w:pPr>
      <w:r>
        <w:t>Geef aan of het staatssteunbudget van de regeling meer dan 750 miljoen EUR bedraagt over de totale looptijd van de regeling (d.w.z. de gecombineerde looptijd van de regeling en alle voorgaande regelingen die een soortgelijk doel en geografisch gebied bestrijken, vanaf 1 januari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Ja</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Nee</w:t>
      </w:r>
    </w:p>
    <w:p w14:paraId="04565C51" w14:textId="77777777" w:rsidR="0047707E" w:rsidRDefault="0047707E" w:rsidP="00AC71FD">
      <w:pPr>
        <w:pStyle w:val="NumPar3"/>
        <w:numPr>
          <w:ilvl w:val="2"/>
          <w:numId w:val="2"/>
        </w:numPr>
        <w:spacing w:before="240"/>
        <w:ind w:left="1418" w:hanging="720"/>
      </w:pPr>
      <w:r>
        <w:t>Is de regeling (punt 143 van de richtsnoeren):</w:t>
      </w:r>
    </w:p>
    <w:p w14:paraId="00204381" w14:textId="77777777" w:rsidR="0047707E" w:rsidRDefault="0047707E" w:rsidP="0047707E">
      <w:pPr>
        <w:spacing w:before="120" w:after="120"/>
        <w:ind w:left="1701" w:hanging="283"/>
        <w:rPr>
          <w:szCs w:val="24"/>
        </w:rPr>
      </w:pPr>
      <w:r>
        <w:t>een regeling die nieuwe kenmerken bevat?</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Ja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Nee</w:t>
      </w:r>
    </w:p>
    <w:p w14:paraId="1DDA9233" w14:textId="77777777" w:rsidR="0047707E" w:rsidRDefault="0047707E" w:rsidP="0047707E">
      <w:pPr>
        <w:spacing w:before="120" w:after="120"/>
        <w:ind w:left="1418"/>
        <w:rPr>
          <w:szCs w:val="24"/>
        </w:rPr>
      </w:pPr>
      <w:r>
        <w:t>een regeling waarbij aanzienlijke veranderingen van de markt, de technologie of de regelgeving kunnen worden verwacht?</w:t>
      </w:r>
    </w:p>
    <w:p w14:paraId="65276047" w14:textId="77777777" w:rsidR="0047707E" w:rsidRDefault="0047707E" w:rsidP="0047707E">
      <w:pPr>
        <w:pStyle w:val="NumPar3"/>
        <w:spacing w:before="240"/>
        <w:ind w:left="1224" w:firstLine="216"/>
      </w:pPr>
      <w:r>
        <w:lastRenderedPageBreak/>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Ja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Nee</w:t>
      </w:r>
    </w:p>
    <w:p w14:paraId="1086B92D" w14:textId="77777777" w:rsidR="0047707E" w:rsidRDefault="0047707E" w:rsidP="0047707E">
      <w:pPr>
        <w:spacing w:before="120" w:after="120"/>
        <w:ind w:left="1843" w:hanging="425"/>
        <w:rPr>
          <w:szCs w:val="24"/>
        </w:rPr>
      </w:pPr>
      <w:r>
        <w:t>een regeling waarvoor u een evaluatie plant, ook al zijn de bovenstaande criteria in de punten 5.1.2. en 5.1.3. niet van toepassing?</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Ja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A4864">
        <w:fldChar w:fldCharType="separate"/>
      </w:r>
      <w:r>
        <w:fldChar w:fldCharType="end"/>
      </w:r>
      <w:r>
        <w:t xml:space="preserve"> Nee</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Indien het antwoord op vraag 5.1.1. “nee” en het antwoord op een of meer van de vragen in 5.1.2 of 5.1.3. “ja” is, komt de regeling in aanmerking voor evaluatie achteraf (punt 143 van de richtsnoeren). In dat geval moet u “ja” antwoorden op desbetreffende vraag in het algemene aanmeldingsformulier, de evaluatieperiode vermelden en het ontwerpevaluatieplan in bijlage I - deel III.8 aanmelden</w:t>
      </w:r>
      <w:r>
        <w:rPr>
          <w:color w:val="000000"/>
          <w:vertAlign w:val="superscript"/>
        </w:rPr>
        <w:footnoteReference w:id="28"/>
      </w:r>
      <w:r>
        <w:t>.</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Verslaglegging en toezicht</w:t>
      </w:r>
    </w:p>
    <w:p w14:paraId="478099B4" w14:textId="77777777" w:rsidR="00104EE1" w:rsidRDefault="00132132" w:rsidP="00AC71FD">
      <w:pPr>
        <w:pStyle w:val="NumPar3"/>
        <w:numPr>
          <w:ilvl w:val="2"/>
          <w:numId w:val="2"/>
        </w:numPr>
        <w:spacing w:before="240"/>
        <w:ind w:left="1418" w:hanging="720"/>
      </w:pPr>
      <w:r>
        <w:t>Kunt u bevestigen dat:</w:t>
      </w:r>
    </w:p>
    <w:p w14:paraId="471BF233" w14:textId="4F4B5021" w:rsidR="00104EE1" w:rsidRDefault="00104EE1" w:rsidP="00104EE1">
      <w:pPr>
        <w:numPr>
          <w:ilvl w:val="0"/>
          <w:numId w:val="25"/>
        </w:numPr>
        <w:rPr>
          <w:szCs w:val="24"/>
        </w:rPr>
      </w:pPr>
      <w:r>
        <w:t>u overeenkomstig Verordening (EU) 2015/1589 van de Raad van 13 juli 2015 tot vaststelling van nadere bepalingen voor de toepassing van artikel 108 Verdrag betreffende de werking van de Europese Unie en Verordening (EG) nr. 794/2004 van de Commissie van 21 april 2004 tot uitvoering van Verordening (EU) 2015/1589 van de Raad jaarverslagen bij de Commissie zult indienen? en</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9A4864">
        <w:rPr>
          <w:b/>
          <w:color w:val="000000"/>
        </w:rPr>
      </w:r>
      <w:r w:rsidR="009A4864">
        <w:rPr>
          <w:b/>
          <w:color w:val="000000"/>
        </w:rPr>
        <w:fldChar w:fldCharType="separate"/>
      </w:r>
      <w:r>
        <w:rPr>
          <w:b/>
          <w:color w:val="000000"/>
        </w:rPr>
        <w:fldChar w:fldCharType="end"/>
      </w:r>
      <w:r>
        <w:rPr>
          <w:b/>
          <w:color w:val="000000"/>
        </w:rPr>
        <w:t xml:space="preserve"> </w:t>
      </w:r>
      <w:r>
        <w:tab/>
        <w:t>Ja</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u gedurende ten minste 10 jaar vanaf de datum van toekenning van steun in het kader van de regeling gedetailleerde dossiers zult bijhouden met de informatie en bewijsstukken die nodig zijn om vast te stellen dat aan alle verenigbaarheidsvoorwaarden is voldaan, en dat deze dossiers op verzoek aan de Commissie zullen worden verstrekt?</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9A4864">
        <w:rPr>
          <w:color w:val="000000"/>
        </w:rPr>
      </w:r>
      <w:r w:rsidR="009A4864">
        <w:rPr>
          <w:color w:val="000000"/>
        </w:rPr>
        <w:fldChar w:fldCharType="separate"/>
      </w:r>
      <w:r>
        <w:rPr>
          <w:color w:val="000000"/>
        </w:rPr>
        <w:fldChar w:fldCharType="end"/>
      </w:r>
      <w:r>
        <w:rPr>
          <w:color w:val="000000"/>
        </w:rPr>
        <w:t xml:space="preserve"> </w:t>
      </w:r>
      <w:r>
        <w:tab/>
        <w:t xml:space="preserve">Ja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t>Richtsnoeren inzake regionale steunmaatregelen (</w:t>
      </w:r>
      <w:r>
        <w:rPr>
          <w:rStyle w:val="Emphasis"/>
          <w:i w:val="0"/>
        </w:rPr>
        <w:t>PB C 153 van 29.4.2021, blz.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t>Verordening (EU) nr. 651/2014 van de Commissie van 17 juni 2014 waarbij bepaalde categorieën steun op grond van de artikelen 107 en 108 van het Verdrag met de interne markt verenigbaar worden verklaard (</w:t>
      </w:r>
      <w:r>
        <w:rPr>
          <w:rStyle w:val="Emphasis"/>
          <w:i w:val="0"/>
        </w:rPr>
        <w:t>PB L 187 van 26.6.2014, blz. 1</w:t>
      </w:r>
      <w:r>
        <w:t>), zoals gewijzigd.</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t xml:space="preserve">Verordening (EU) nr. 1407/2013 van de Commissie van 18 december 2013 betreffende de toepassing van de artikelen 107 en 108 van het Verdrag betreffende de werking van de Europese Unie op de-minimissteun (PB L 352 van 24.12.2013, blz.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t>In de zin van de richtsnoeren voor reddings- en herstructureringssteun aan niet-financiële ondernemingen in moeilijkheden (PB C 249 van 31.7.2014, blz.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Zoals gedefinieerd in bijlage VI bij de richtsnoeren.</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De term “bruinkool” omvat minderwaardige “C”-kolen (of ortholigniet) en minderwaardige “B”-kolen (of metaligniet) in de zin van het internationale codificatiesysteem voor kolen van de Economische Commissie voor Europa van de Verenigde Naties.</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De term “steenkool” omvat hoogwaardige steenkool, middelwaardige steenkool en laagwaardige A- en B-kolen, in de zin van het internationale codificatiesysteem voor kolen van de Economische Commissie voor Europa van de Verenigde Naties en zoals verduidelijkt in Besluit 2010/787/EU van de Raad van 10 december 2010 betreffende staatssteun ter bevordering van de sluiting van niet-concurrentiekrachtige steenkoolmijnen (PB L 336 van 21.12.2010, blz.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Vallend onder Verordening (EU) nr. 1379/2013 van het Europees Parlement en de Raad van 11 december 2013 houdende een gemeenschappelijke marktordening voor visserijproducten en aquacultuurproducten, tot wijziging van Verordeningen (EG) nr. 1184/2006 en (EG) nr. 1224/2009 en tot intrekking van Verordening (EG) nr. 104/2000 van de Raad (PB L 354 van 28.12.2013, blz.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t>Voor staatssteun aan de primaire productie, de verwerking van landbouwproducten tot landbouwproducten uit bijlage I bij het Verdrag en de afzet daarvan, en staatssteun aan de bosbouw gelden de regels van de richtsnoeren voor staatssteun in de landbouw- en de bosbouwsector (PB C 204 van 1.7.2014, blz.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De richtsnoeren zijn van toepassing op steunregelingen ter ondersteuning van activiteiten die buiten het toepassingsgebied van artikel 42 van het Verdrag vallen en die worden gecofinancierd door het Europees Landbouwfonds voor Plattelandsontwikkeling (Elfpo) of die worden toegekend als aanvullende nationale financiering bij dergelijke gecofinancierde maatregelen, tenzij in de sectorale voorschriften anders is bepaald.</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t>Met “vervoer” wordt bedoeld het passagiersvervoer met het vliegtuig, via zeevervoer, over de weg, per spoor of over de binnenwateren, of beroepsgoederenvervoer. Vervoersinfrastructuur die valt onder specifieke richtsnoeren, zoals luchthavens, wordt eveneens van deze richtsnoeren uitgesloten (zie de mededeling van de Commissie “Richtsnoeren voor staatssteun aan luchthavens en luchtvaartmaatschappijen” (PB C 99 van 4.4.2014, blz.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t>EU-richtsnoeren voor de toepassing van de staatssteunregels in het kader van de snelle uitrol van breedbandnetwerken (PB C 25 van 26.1.2013, blz.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t>De Commissie zal de verenigbaarheid van staatssteun voor de energiesector beoordelen op grond van de richtsnoeren energie- en milieusteun 2014-2020 (PB C 200 van 28.6.2014, blz.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t>“Kleine en middelgrote ondernemingen” (kmo's): ondernemingen die voldoen aan de voorwaarden van de aanbeveling van de Commissie van 6 mei 2003 betreffende de definitie van kleine, middelgrote en micro-ondernemingen (PB L 124 van 20.5.2003, blz.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t>De loutere verkrijging van de aandelen van een onderneming geldt niet als initiële investering.</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t>“Dezelfde of een vergelijkbare activiteit”: activiteit die behoort tot dezelfde klasse (viercijferige code) van de statistische classificatie van economische activiteiten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t>De loutere verkrijging van de aandelen van een onderneming geldt niet als initiële investering die leidt tot een nieuwe economische activiteit.</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t>Die bepaling hoeft niet te gelden voor kmo's of bij de overname van een vestiging.</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t>Punt 34 van de richtsnoeren bepaalt dat immateriële activa die in aanmerking komen voor de berekening van de investeringskosten, verbonden moeten blijven met het betrokken steungebied en niet naar andere gebieden mogen worden overgebracht. Met het oog daarop moeten de immateriële activa voldoen aan de volgende voorwaarden:</w:t>
      </w:r>
    </w:p>
    <w:p w14:paraId="1C54C443" w14:textId="77777777" w:rsidR="00B133A0" w:rsidRDefault="00B133A0" w:rsidP="00B209F9">
      <w:pPr>
        <w:pStyle w:val="FootnoteText"/>
        <w:numPr>
          <w:ilvl w:val="0"/>
          <w:numId w:val="33"/>
        </w:numPr>
        <w:tabs>
          <w:tab w:val="clear" w:pos="357"/>
          <w:tab w:val="left" w:pos="709"/>
        </w:tabs>
        <w:ind w:left="709" w:hanging="425"/>
      </w:pPr>
      <w:r>
        <w:t>zij moeten uitsluitend in de steun ontvangende vestiging worden gebruikt;</w:t>
      </w:r>
    </w:p>
    <w:p w14:paraId="7AF9FEC6" w14:textId="77777777" w:rsidR="00B133A0" w:rsidRDefault="00B133A0" w:rsidP="00B209F9">
      <w:pPr>
        <w:pStyle w:val="FootnoteText"/>
        <w:numPr>
          <w:ilvl w:val="0"/>
          <w:numId w:val="33"/>
        </w:numPr>
        <w:tabs>
          <w:tab w:val="clear" w:pos="357"/>
          <w:tab w:val="left" w:pos="709"/>
        </w:tabs>
        <w:ind w:left="709" w:hanging="425"/>
      </w:pPr>
      <w:r>
        <w:t>zij moeten kunnen worden afgeschreven;</w:t>
      </w:r>
    </w:p>
    <w:p w14:paraId="63AFFA39" w14:textId="77777777" w:rsidR="00B133A0" w:rsidRDefault="00B133A0" w:rsidP="00B209F9">
      <w:pPr>
        <w:pStyle w:val="FootnoteText"/>
        <w:numPr>
          <w:ilvl w:val="0"/>
          <w:numId w:val="33"/>
        </w:numPr>
        <w:tabs>
          <w:tab w:val="clear" w:pos="357"/>
          <w:tab w:val="left" w:pos="709"/>
        </w:tabs>
        <w:ind w:left="709" w:hanging="425"/>
      </w:pPr>
      <w:r>
        <w:t>zij worden op marktvoorwaarden aangekocht van derden zonder banden met de koper;</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zij moeten worden opgenomen bij de activa van de onderneming die steun ontvangt en moeten gedurende ten minste vijf jaar (drie jaar voor kmo’s) verbonden blijven met het project waarvoor de steun wordt verleend.</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t>Deze vraag is niet van toepassing op leningen met rentesubsidie, door de overheid verstrekte participatieleningen of overheidsparticipaties die niet aan het beginsel van een particuliere investeerder handelend in een markteconomie voldoen, staatsgaranties die steunelementen bevatten, of staatssteun die binnen het kader van de de-minimisregels wordt verleend.</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ab/>
        <w:t>Een nulscenario is geloofwaardig indien het een reëel scenario betreft en verband houdt met factoren die meespeelden in de besluitvorming op de datum waarop de begunstigde het besluit nam ten aanzien van de investering.</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ab/>
        <w:t>Hiervoor kan onder meer worden gebruikgemaakt van effectbeoordelingen van de voorgenomen regeling of van evaluaties achteraf van vergelijkbare regelingen.</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t>Bv. rechtstreekse subsidies, vrijstellingen of verlagingen van belastingen, socialezekerheidsbijdragen of andere verplichte bijdragen, of de terbeschikkingstelling van gronden, goederen of diensten tegen voordelige prijzen.</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t>Bv. leningen tegen verlaagde rente of met rentesubsidie, overheidsgaranties, de verwerving van een belang of een andere vorm van kapitaalinjectie tegen gunstige voorwaarden.</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ab/>
        <w:t>Om de Commissie in staat te stellen de te verwachten negatieve effecten te beoordelen, kan de lidstaat effectbeoordelingen waarover hij beschikt indienen, alsmede doorlichtingen achteraf die zijn uitgevoerd voor vergelijkbare voorgaande regelingen.</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t>Zoals gedefinieerd in bijlage III bij Verordening (EU) nr. 651/2014 van de Commissie van 17 juni 2014 waarbij bepaalde categorieën steun op grond van de artikelen 107 en 108 van het Verdrag met de interne markt verenigbaar worden verklaard.</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t>Zoals gedefinieerd in bijlage III bij Verordening (EU) nr. 651/2014 van de Commissie van 17 juni 2014 waarbij bepaalde categorieën steun op grond van de artikelen 107 en 108 van het Verdrag met de interne markt verenigbaar worden verklaard.</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rsidRPr="009A4864">
        <w:rPr>
          <w:lang w:val="en-US"/>
        </w:rPr>
        <w:tab/>
        <w:t xml:space="preserve">Zie voor richtsnoeren de Methodological Guidance Paper for Evaluation on the field of State aid: </w:t>
      </w:r>
      <w:hyperlink r:id="rId1" w:history="1">
        <w:r w:rsidRPr="009A4864">
          <w:rPr>
            <w:rStyle w:val="Hyperlink"/>
            <w:lang w:val="en-US"/>
          </w:rPr>
          <w:t>https://competition-policy.ec.europa.eu/system/files/2021-04/modernisation_evaluation_methodology_en.pdf</w:t>
        </w:r>
      </w:hyperlink>
      <w:r w:rsidRPr="009A4864">
        <w:rPr>
          <w:lang w:val="en-US"/>
        </w:rPr>
        <w:t xml:space="preserve">.  </w:t>
      </w:r>
      <w:r>
        <w:t xml:space="preserve">Het evaluatieplan (bijlage I – deel III.8) moet worden ingediend met behulp van het formulier dat beschikbaar is op: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4864"/>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nl-NL"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nl-NL"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nl-NL"/>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nl-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84C31-A119-4743-8D9F-FA7C4C4F0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4109</Words>
  <Characters>20960</Characters>
  <Application>Microsoft Office Word</Application>
  <DocSecurity>0</DocSecurity>
  <Lines>499</Lines>
  <Paragraphs>269</Paragraphs>
  <ScaleCrop>false</ScaleCrop>
  <Company/>
  <LinksUpToDate>false</LinksUpToDate>
  <CharactersWithSpaces>24800</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2023-01-24T09:46:00Z</dcterms:modified>
</cp:coreProperties>
</file>