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ČASŤ III. FORMULÁR DOPLŇUJÚCICH INFORMÁCIÍ</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Časť III.1.B</w:t>
            </w:r>
          </w:p>
          <w:p w14:paraId="6A102D4B" w14:textId="77777777" w:rsidR="00EF0533" w:rsidRDefault="009C772B" w:rsidP="003740E7">
            <w:pPr>
              <w:pStyle w:val="ChapterTitle"/>
              <w:spacing w:before="0" w:after="240"/>
            </w:pPr>
            <w:r>
              <w:t>Aktualizovaný* formulár doplňujúcich informácií o schémach regionálnej investičnej pomoci</w:t>
            </w:r>
          </w:p>
          <w:p w14:paraId="09A68465" w14:textId="77777777" w:rsidR="00380753" w:rsidRPr="00380753" w:rsidRDefault="009C772B" w:rsidP="003740E7">
            <w:pPr>
              <w:jc w:val="left"/>
            </w:pPr>
            <w:r>
              <w:t>* zatiaľ formálne neprijatý</w:t>
            </w:r>
          </w:p>
        </w:tc>
      </w:tr>
    </w:tbl>
    <w:p w14:paraId="1536E485" w14:textId="77777777" w:rsidR="00923AD6" w:rsidRDefault="00923AD6" w:rsidP="001B2B78"/>
    <w:p w14:paraId="75E982FA" w14:textId="77777777" w:rsidR="00EF0533" w:rsidRPr="00003889" w:rsidRDefault="00003889" w:rsidP="001B2B78">
      <w:r>
        <w:t>Tento formulár doplňujúcich informácií nie je povinný. Odporúča sa však, aby sa vyplnil spolu s formulárom „Všeobecné informácie“ pri notifikácii každej schémy investičnej pomoci, na ktorú sa vzťahujú usmernenia o regionálnej štátnej pomoci platné od 1. januára 2022</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Rozsah pôsobnosti</w:t>
            </w:r>
          </w:p>
        </w:tc>
      </w:tr>
    </w:tbl>
    <w:p w14:paraId="64530B4D" w14:textId="77777777" w:rsidR="00EF0533" w:rsidRPr="00D070D1" w:rsidRDefault="00EF0533" w:rsidP="00095A91">
      <w:pPr>
        <w:pStyle w:val="NormalKop11"/>
      </w:pPr>
      <w:r>
        <w:t>Dôvody na notifikáciu schémy namiesto toho, aby sa zaviedla podľa všeobecného nariadenia o skupinových výnimkách (ďalej len „nariadenie GBER“)</w:t>
      </w:r>
      <w:r>
        <w:rPr>
          <w:rStyle w:val="FootnoteReference"/>
          <w:color w:val="000000"/>
        </w:rPr>
        <w:footnoteReference w:id="2"/>
      </w:r>
      <w:r>
        <w:t xml:space="preserve"> alebo nariadenia o pomoci </w:t>
      </w:r>
      <w:r>
        <w:rPr>
          <w:i/>
        </w:rPr>
        <w:t>de minimis</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000582">
        <w:rPr>
          <w:b/>
        </w:rPr>
      </w:r>
      <w:r w:rsidR="00000582">
        <w:rPr>
          <w:b/>
        </w:rPr>
        <w:fldChar w:fldCharType="separate"/>
      </w:r>
      <w:r>
        <w:rPr>
          <w:b/>
        </w:rPr>
        <w:fldChar w:fldCharType="end"/>
      </w:r>
      <w:r>
        <w:tab/>
        <w:t>Notifikácia sa týka odvetvovej schémy. V tom prípade uveďte odvetvie, na ktoré sa schéma vzťahuje (kód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ab/>
        <w:t xml:space="preserve">Iné. Konkretizujte: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Rozsah pôsobnosti notifikovanej schémy</w:t>
      </w:r>
    </w:p>
    <w:p w14:paraId="669E042A" w14:textId="77777777" w:rsidR="000956BB" w:rsidRPr="005C5DFC" w:rsidRDefault="000956BB" w:rsidP="000956BB">
      <w:pPr>
        <w:pStyle w:val="NumPar3"/>
        <w:numPr>
          <w:ilvl w:val="2"/>
          <w:numId w:val="2"/>
        </w:numPr>
        <w:ind w:left="1418" w:hanging="698"/>
      </w:pPr>
      <w:r>
        <w:t>Potvrďte, že právny základ notifikovanej schémy obsahuje povinnosť notifikovať Komisii individuálnu pomoc poskytnutú príjemcovi, ak pomoc zo všetkých zdrojov prekročí individuálny strop vymedzujúci notifikačnú povinnosť stanovený vo všeobecnom nariadení o skupinových výnimkách pre regionálnu investičnú pomoc (bod 22 usmernení o regionálnej štátnej pomoci).</w:t>
      </w:r>
    </w:p>
    <w:p w14:paraId="5712B87E" w14:textId="77777777" w:rsidR="000956BB" w:rsidRDefault="000956BB" w:rsidP="000956BB">
      <w:pPr>
        <w:pStyle w:val="NumPar3"/>
        <w:ind w:left="1418"/>
      </w:pPr>
      <w:r>
        <w:t xml:space="preserve">Uveďte odkaz na príslušné ustanovenie právneho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lastRenderedPageBreak/>
        <w:t>Potvrďte, že právny základ notifikovanej schémy obsahuje povinnosť notifikovať Komisii individuálnu pomoc poskytnutú príjemcovi, 1. pokiaľ príjemca nepotvrdil, že v období dvoch rokov pred podaním žiadosti o pomoc neuskutočnil premiestnenie do prevádzkarne, v ktorej sa má uskutočniť podporovaná počiatočná investícia, a 2. pokiaľ sa nezaviazal, že takéto premiestnenie neuskutoční do dvoch rokov od dokončenia počiatočnej investície (bod 23 usmernení o regionálnej štátnej pomoci).</w:t>
      </w:r>
    </w:p>
    <w:p w14:paraId="095F8EF4" w14:textId="77777777" w:rsidR="00071A7F" w:rsidRDefault="00EF0533" w:rsidP="00EF0533">
      <w:pPr>
        <w:pStyle w:val="NumPar3"/>
        <w:ind w:left="1418"/>
      </w:pPr>
      <w:r>
        <w:t xml:space="preserve">Uveďte odkaz na príslušné ustanovenie právneho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Potvrďte, že v notifikovanej schéme pomoci sa stanovuje, že regionálna investičná pomoc sa neposkytne nasledujúcim kategóriám podnikov a odvetví. V každom prípade uveďte príslušné ustanovenie právneho základu schémy.</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Vylúčené kategórie podnikov a odvetví</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Príslušné ustanovenie právneho základu schémy</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Podniky v ťažkostiach</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Oceliarske odvetvie</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Odvetvie lignitu</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Odvetvie uhlia</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Rybolov a akvakultúra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Poľnohospodárstvo</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Spracovanie a/alebo marketing (uvádzanie na trh) poľnohospodárskych výrobkov uvedených v prílohe I k ZFEÚ</w:t>
            </w:r>
            <w:r>
              <w:rPr>
                <w:bCs/>
                <w:sz w:val="22"/>
                <w:szCs w:val="22"/>
                <w:vertAlign w:val="superscript"/>
              </w:rPr>
              <w:footnoteReference w:id="10"/>
            </w:r>
            <w:r>
              <w:rPr>
                <w:sz w:val="22"/>
              </w:rPr>
              <w:t xml:space="preserve"> na výrobky uvedené v prílohe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Doprava</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lastRenderedPageBreak/>
              <w:t>Širokopásmové pripojenie</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Energetika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Počiatočná investícia, oprávnené náklady a pomoc</w:t>
            </w:r>
          </w:p>
        </w:tc>
      </w:tr>
    </w:tbl>
    <w:p w14:paraId="0568836A" w14:textId="77777777" w:rsidR="005936C8" w:rsidRPr="00D278EA" w:rsidRDefault="00BB1994" w:rsidP="00D278EA">
      <w:pPr>
        <w:pStyle w:val="NormalKop11"/>
        <w:rPr>
          <w:b/>
        </w:rPr>
      </w:pPr>
      <w:r>
        <w:rPr>
          <w:b/>
        </w:rPr>
        <w:t>Druhy počiatočných investícií, na ktoré sa daná schéma vzťahuje</w:t>
      </w:r>
    </w:p>
    <w:p w14:paraId="15863B73" w14:textId="77777777" w:rsidR="00801CFE" w:rsidRPr="005C5DFC" w:rsidRDefault="00801CFE" w:rsidP="001D303A">
      <w:pPr>
        <w:pStyle w:val="NumPar3"/>
        <w:numPr>
          <w:ilvl w:val="2"/>
          <w:numId w:val="2"/>
        </w:numPr>
        <w:spacing w:before="240"/>
        <w:ind w:left="1440" w:hanging="720"/>
      </w:pPr>
      <w:r>
        <w:t>Ak sa schéma vzťahuje na investície malých a stredných podnikov alebo veľkých podnikov</w:t>
      </w:r>
      <w:r>
        <w:rPr>
          <w:rStyle w:val="FootnoteReference"/>
        </w:rPr>
        <w:footnoteReference w:id="14"/>
      </w:r>
      <w:r>
        <w:t xml:space="preserve"> v oblastiach „a“ alebo na investície malého a stredného podniku (malých a stredných podnikov) v oblastiach „c“ (bod 45 usmernení o regionálnej štátnej pomoci), uveďte kategóriu alebo kategórie počiatočnej investície, ktorej (ktorých) sa notifikácia týka (bod 19 podbod 13 usmernení o regionálnej štátnej pomoci): </w:t>
      </w:r>
    </w:p>
    <w:p w14:paraId="59A35842" w14:textId="6B39EF0C"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rsidR="00000582">
        <w:t xml:space="preserve"> </w:t>
      </w:r>
      <w:r>
        <w:t>založenie novej prevádzkarne,</w:t>
      </w:r>
    </w:p>
    <w:p w14:paraId="6A7DBFA1" w14:textId="64E0355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rsidR="00000582">
        <w:t xml:space="preserve"> </w:t>
      </w:r>
      <w:r>
        <w:t>rozšírenie kapacity existujúcej prevádzkarne,</w:t>
      </w:r>
    </w:p>
    <w:p w14:paraId="752D73A7" w14:textId="162D63DE"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rsidR="00000582">
        <w:t xml:space="preserve"> </w:t>
      </w:r>
      <w:r>
        <w:t>diverzifikácia výrobného sortimentu prevádzkarne na výrobky, ktoré sa predtým v prevádzkarni nevyrábali,</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zásadná zmena celkového výrobného procesu výrobku alebo výrobkov, ktorých sa investícia do prevádzkarne týka,</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w:t>
      </w:r>
      <w:r>
        <w:tab/>
        <w:t>nadobudnutie aktív patriacich prevádzkarni, ktorá bola uzavretá alebo by sa bola uzavrela, keby nedošlo k jej odkúpeniu</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Ak sa schéma vzťahuje na investície veľkých podnikov v oblastiach „c“, uveďte kategóriu alebo kategórie počiatočnej investície, ktorej (ktorých) sa notifikácia týka (bod 19 podbod 14 a bod 14 usmernení o regionálnej štátnej pomoci):</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w:t>
      </w:r>
      <w:r>
        <w:tab/>
        <w:t>založenie novej prevádzkarne,</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ab/>
        <w:t>diverzifikácia činnosti prevádzkarne pod podmienkou, že nová činnosť nie je rovnaká ani podobná ako činnosť</w:t>
      </w:r>
      <w:r>
        <w:rPr>
          <w:rStyle w:val="FootnoteReference"/>
        </w:rPr>
        <w:footnoteReference w:id="16"/>
      </w:r>
      <w:r>
        <w:t>, ktorá sa predtým v prevádzkarni vykonávala,</w:t>
      </w:r>
    </w:p>
    <w:p w14:paraId="2BE77CB6" w14:textId="0FF3380C" w:rsidR="006A2C1A" w:rsidRDefault="006A2C1A" w:rsidP="006A2C1A">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w:t>
      </w:r>
      <w:r>
        <w:tab/>
        <w:t>nadobudnutie aktív patriacich prevádzkarni, ktorá bola uzavretá alebo by sa uzavrela, keby nedošlo k jej odkúpeniu, pod podmienkou, že nová činnosť, ktorá sa má vykonávať s využitím nadobudnutých aktív, nie je rovnaká ani podobná ako činnosť, ktorá sa pred nadobudnutím v prevádzkarni vykonávala</w:t>
      </w:r>
      <w:r>
        <w:rPr>
          <w:rStyle w:val="FootnoteReference"/>
        </w:rPr>
        <w:footnoteReference w:id="17"/>
      </w:r>
      <w:r>
        <w:t>.</w:t>
      </w:r>
    </w:p>
    <w:p w14:paraId="123A6FE9" w14:textId="77777777" w:rsidR="005936C8" w:rsidRPr="00D23668" w:rsidRDefault="005936C8" w:rsidP="00D23668">
      <w:pPr>
        <w:pStyle w:val="NormalKop11"/>
        <w:rPr>
          <w:b/>
        </w:rPr>
      </w:pPr>
      <w:r>
        <w:rPr>
          <w:b/>
        </w:rPr>
        <w:t>Oprávnené náklady vypočítané na základe investičných nákladov</w:t>
      </w:r>
    </w:p>
    <w:p w14:paraId="66E3E5CE" w14:textId="1EEAD7A8" w:rsidR="0096475D" w:rsidRPr="0096475D" w:rsidRDefault="000C7C9C" w:rsidP="00B209F9">
      <w:pPr>
        <w:pStyle w:val="NumPar3"/>
        <w:numPr>
          <w:ilvl w:val="2"/>
          <w:numId w:val="2"/>
        </w:numPr>
        <w:spacing w:before="240"/>
      </w:pPr>
      <w:r>
        <w:t>Ak sa oprávnené náklady v rámci schémy týkajú hmotného majetku (bod 19 podbod 31 usmernení o regionálnej štátnej pomoci), uveďte, či je hodnota investície stanovená ako percentuálny podiel nákladov na pozemky, budovy a stroje, prístroje a zariadenia:</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pozemky,</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budovy,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stroje/prístroje/zariadenia.</w:t>
      </w:r>
    </w:p>
    <w:p w14:paraId="08F0994B" w14:textId="325FF7E9" w:rsidR="0096475D" w:rsidRPr="00540AF1" w:rsidRDefault="0096475D" w:rsidP="001E018C">
      <w:pPr>
        <w:pStyle w:val="Text2"/>
        <w:ind w:left="1843" w:hanging="425"/>
        <w:rPr>
          <w:rFonts w:cs="Times New Roman"/>
        </w:rPr>
      </w:pPr>
      <w:r>
        <w:t xml:space="preserve">Uveďte odkaz na príslušné ustanovenia právneho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Uveďte odkaz</w:t>
      </w:r>
      <w:r>
        <w:t xml:space="preserve"> </w:t>
      </w:r>
      <w:bookmarkStart w:id="0" w:name="OLE_LINK1"/>
      <w:bookmarkStart w:id="1" w:name="OLE_LINK2"/>
      <w:r>
        <w:rPr>
          <w:color w:val="000000"/>
        </w:rPr>
        <w:t>na príslušné</w:t>
      </w:r>
      <w:bookmarkEnd w:id="0"/>
      <w:bookmarkEnd w:id="1"/>
      <w:r>
        <w:t xml:space="preserve"> </w:t>
      </w:r>
      <w:r>
        <w:rPr>
          <w:color w:val="000000"/>
        </w:rPr>
        <w:t>ustanovenie právneho základu, v ktorom sa stanovuje, že nadobudnuté aktíva by mali byť nové</w:t>
      </w:r>
      <w:r>
        <w:rPr>
          <w:rStyle w:val="FootnoteReference"/>
        </w:rPr>
        <w:footnoteReference w:id="18"/>
      </w:r>
      <w:r>
        <w:t xml:space="preserve"> (bod 27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Uveďte odkaz na príslušné ustanovenie právneho základu, v ktorom sa stanovuje, že v prípade MSP sa za oprávnené náklady môže považovať maximálne 50 % nákladov na prípravné štúdie alebo poradenstvo súvisiace s investíciou (bod 28 usmernení o regionálnej štátnej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Uveďte odkaz na príslušné ustanovenie právneho základu, v ktorom sa stanovuje, že v prípade pomoci poskytnutej veľkým podnikom na zásadnú zmenu výrobného procesu oprávnené náklady prevyšujú odpisy aktív súvisiacich s činnosťou, ktorá sa má modernizovať v priebehu predchádzajúcich troch rozpočtových rokov (bod 29 usmernení o regionálnej štátnej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Uveďte odkaz na príslušné ustanovenie právneho základu, v ktorom sa stanovuje, že v prípade pomoci poskytnutej na diverzifikáciu existujúceho </w:t>
      </w:r>
      <w:r>
        <w:rPr>
          <w:color w:val="000000"/>
        </w:rPr>
        <w:lastRenderedPageBreak/>
        <w:t xml:space="preserve">podniku oprávnené náklady prevyšujú aspoň o 200 % účtovnú hodnotu aktív, ktoré sa opätovne využívajú, zaznamenanú v účtovnom roku predchádzajúcom začiatku prác (bod 30 usmernení o regionálnej štátnej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V prípadoch zahŕňajúcich prenájom hmotných aktív uveďte odkaz na príslušné ustanovenia právneho základu, v ktorých sa stanovuje, že by mali byť dodržané nasledujúce podmienky (bod 31 usmernení o regionálnej štátnej pomoci): </w:t>
      </w:r>
    </w:p>
    <w:p w14:paraId="3CC0A357" w14:textId="77777777" w:rsidR="00216490" w:rsidRDefault="00216490" w:rsidP="00CB4B02">
      <w:pPr>
        <w:pStyle w:val="NumPar3"/>
        <w:ind w:left="1701" w:hanging="283"/>
      </w:pPr>
      <w:r>
        <w:t>•</w:t>
      </w:r>
      <w:r>
        <w:tab/>
        <w:t>v prípade pozemkov a budov musí prenájom pokračovať najmenej päť rokov po očakávanom dátume dokončenia investičného projektu, pokiaľ ide o veľké podniky, a tri roky, pokiaľ ide o MSP,</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v prípade strojov alebo prístrojov prenájom musí mať podobu finančného lízingu a musí obsahovať záväzok príjemcu pomoci odkúpiť aktívum po uplynutí prenájmu.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16FDC869" w:rsidR="00561589" w:rsidRPr="00CB4B02" w:rsidRDefault="00561589" w:rsidP="00B209F9">
      <w:pPr>
        <w:pStyle w:val="NumPar3"/>
        <w:numPr>
          <w:ilvl w:val="2"/>
          <w:numId w:val="2"/>
        </w:numPr>
        <w:spacing w:before="240"/>
        <w:ind w:left="1440" w:hanging="720"/>
        <w:rPr>
          <w:rFonts w:cs="Times New Roman"/>
          <w:color w:val="000000"/>
        </w:rPr>
      </w:pPr>
      <w:r>
        <w:rPr>
          <w:color w:val="000000"/>
        </w:rPr>
        <w:t>V bode 32 usmernení o regionálnej štátnej pomoci sa stanovuje, že v prípade nadobudnutia podniku „</w:t>
      </w:r>
      <w:r>
        <w:rPr>
          <w:i/>
          <w:color w:val="000000"/>
        </w:rPr>
        <w:t>by sa v zásade mali zohľadniť len náklady na nákup aktív od tretích strán, ktoré nie sú v žiadnom vzťahu voči nadobúdateľovi.</w:t>
      </w:r>
      <w:r>
        <w:rPr>
          <w:color w:val="000000"/>
        </w:rPr>
        <w:t xml:space="preserve"> </w:t>
      </w:r>
      <w:r>
        <w:rPr>
          <w:i/>
          <w:color w:val="000000"/>
        </w:rPr>
        <w:t>Ak však rodinný príslušník pôvodného majiteľa alebo zamestnanec prevezme malý podnik, neplatí podmienka, že tieto aktíva musia byť nadobudnuté od tretích strán, ktoré nie sú v žiadnom vzťahu voči nadobúdateľovi. Transakcia musí prebehnúť podľa trhových pravidiel. Ak nadobudnutie aktív prevádzkarne sprevádza dodatočná investícia spĺňajúca kritériá na získanie regionálnej pomoci, oprávnené náklady na túto dodatočnú investíciu by sa mali pripočítať k nákladom na nadobudnutie aktív prevádzkarne</w:t>
      </w:r>
      <w:r>
        <w:rPr>
          <w:color w:val="000000"/>
        </w:rPr>
        <w:t xml:space="preserve">“. </w:t>
      </w:r>
    </w:p>
    <w:p w14:paraId="70A68FF7" w14:textId="77777777" w:rsidR="00CB4B02" w:rsidRDefault="00561589" w:rsidP="00D23668">
      <w:pPr>
        <w:pStyle w:val="NumPar3"/>
        <w:ind w:left="1418"/>
      </w:pPr>
      <w:r>
        <w:t xml:space="preserve">Ak je to v notifikovanej schéme relevantné, uveďte odkaz na ustanovenia právneho základu, v ktorých sa stanovuje, že by sa mali dodržať vyššie uvedené podmienky.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Ak sa oprávnené náklady v rámci danej schémy týkajú nehmotných aktív (bod 19 podbod 15 usmernení o regionálnej štátnej pomoci), uveďte, či je hodnota investície stanovená na základe výdavkov vynaložených na technologický transfer formou nadobudnutia patentových práv, licencií, know-how alebo iných práv duševného vlastníctva:</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patentových práv,</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licencií,</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iných práv duševného vlastníctva.</w:t>
      </w:r>
    </w:p>
    <w:p w14:paraId="78A2921B" w14:textId="5E1AB8D8" w:rsidR="005936C8" w:rsidRDefault="005936C8" w:rsidP="00D23668">
      <w:pPr>
        <w:pStyle w:val="Text2"/>
        <w:spacing w:before="120" w:after="120"/>
        <w:ind w:left="1418"/>
        <w:rPr>
          <w:rFonts w:cs="Times New Roman"/>
        </w:rPr>
      </w:pPr>
      <w:r>
        <w:t>Uveďte odkaz na príslušné ustanovenia právneho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lastRenderedPageBreak/>
        <w:t>Uveďte odkaz na príslušné ustanovenia právneho základu, v ktorých sa stanovuje, že pokiaľ ide o veľké podniky, náklady na oprávnené investície do nehmotných aktív nesmú prekročiť 50 % celkových oprávnených investičných nákladov projektu (bod 33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Uveďte odkaz na príslušné ustanovenia právneho základu, v ktorých sa stanovuje, že by mali byť dodržané podmienky uvedené v bode 34 usmernení o regionálnej štátnej pomoci</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Oprávnené náklady vypočítané na základe mzdových nákladov</w:t>
      </w:r>
    </w:p>
    <w:p w14:paraId="13E0BDA7" w14:textId="77777777" w:rsidR="00F330CB" w:rsidRPr="008C2DA8" w:rsidRDefault="009E28B0" w:rsidP="001452D1">
      <w:pPr>
        <w:pStyle w:val="NumPar3"/>
        <w:numPr>
          <w:ilvl w:val="2"/>
          <w:numId w:val="2"/>
        </w:numPr>
        <w:spacing w:before="240"/>
        <w:ind w:left="1418" w:hanging="698"/>
      </w:pPr>
      <w:r>
        <w:t>Uveďte odkaz na príslušné ustanovenia právneho základu, v ktorých sa stanovuje, ako by sa mali určiť oprávnené náklady vypočítané na základe mzdových nákladov (bod 35 usmernení o regionálnej štátnej pomoci), ako by sa mal vypočítať počet vytvorených pracovných miest s odkazom na bod 19 podbod 16 usmernení o regionálnej štátnej pomoci a ako by sa mali stanoviť mzdové náklady na zamestnané osoby s odkazom na bod 19 podbod 33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Výpočet diskontovaných oprávnených nákladov</w:t>
      </w:r>
    </w:p>
    <w:p w14:paraId="647EE464" w14:textId="77777777" w:rsidR="00E538B5" w:rsidRPr="00CB4B02" w:rsidRDefault="00E538B5" w:rsidP="00B209F9">
      <w:pPr>
        <w:pStyle w:val="NumPar3"/>
        <w:numPr>
          <w:ilvl w:val="2"/>
          <w:numId w:val="2"/>
        </w:numPr>
        <w:spacing w:before="240"/>
        <w:rPr>
          <w:rFonts w:cs="Times New Roman"/>
        </w:rPr>
      </w:pPr>
      <w:r>
        <w:t>Uveďte, ktoré formy pomoci sú v rámci schémy povolené:</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Granty. Uveďte odkaz na príslušné ustanovenia právneho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Úvery. Opíšte, ako sa vypočíta ekvivalent grantu, a uveďte odkaz na príslušné ustanovenia právneho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Záruky. Opíšte, ako sa vypočíta ekvivalent grantu, a uveďte odkaz na príslušné ustanovenia právneho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lastRenderedPageBreak/>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Daňové zvýhodnenia. Uveďte, o ktorý druh opatrenia ide, a opíšte, ako sa vypočíta ekvivalent grantu. Uveďte aj odkaz na príslušné ustanovenia právneho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00582">
        <w:rPr>
          <w:rFonts w:cs="Times New Roman"/>
        </w:rPr>
      </w:r>
      <w:r w:rsidR="00000582">
        <w:rPr>
          <w:rFonts w:cs="Times New Roman"/>
        </w:rPr>
        <w:fldChar w:fldCharType="separate"/>
      </w:r>
      <w:r>
        <w:rPr>
          <w:rFonts w:cs="Times New Roman"/>
        </w:rPr>
        <w:fldChar w:fldCharType="end"/>
      </w:r>
      <w:r>
        <w:t xml:space="preserve"> </w:t>
      </w:r>
      <w:r>
        <w:tab/>
        <w:t>Iné. Konkretizujte a uveďte, ako sa vypočíta ekvivalent grantu. Uveďte aj odkaz na príslušné ustanovenia právneho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Uveďte, či je schéma pomoci oprávnená na spolufinancovanie z </w:t>
      </w:r>
      <w:r>
        <w:rPr>
          <w:color w:val="000000"/>
        </w:rPr>
        <w:t>niektorého z fondov EÚ implementovaných v rámci zdieľaného riadenia (ďalej len „fondy“)</w:t>
      </w:r>
      <w:r>
        <w:t>. Ak áno, uveďte, z ktorého programu možno takéto finančné prostriedky získať. Uveďte aj výšku finančných prostriedkov z fondov, z ktorých sa bude pomoc čerpať, ak sú v tejto fáze známe.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Uveďte odkaz na príslušné ustanovenia právneho základu, v ktorých sa stanovuje, </w:t>
      </w:r>
      <w:r>
        <w:rPr>
          <w:color w:val="000000"/>
        </w:rPr>
        <w:t>že orgán udeľujúci pomoc by mal pred poskytnutím individuálnej pomoci v rámci notifikovanej schémy určiť, či</w:t>
      </w:r>
      <w:r>
        <w:t xml:space="preserve"> príjemca (na úrovni skupiny) získal pomoc na jednu počiatočnú investíciu (alebo viac počiatočných investícií) začatú (začatých) v tom istom regióne NUTS 3 v období troch rokov pred dátumom začatia prác na investičnom projekte.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Uveďte odkaz na príslušné ustanovenia právneho základu, v ktorých sa stanovuje, že celková suma pomoci, ktorá sa poskytne v rámci schémy na každý počiatočný investičný projekt, nepresahuje sumu vyplývajúcu z „maximálnej intenzity pomoci“ (v zmysle bodu 19 podbodu 19 usmernení o regionálnej štátnej pomoci) so zreteľom na zvýšenú intenzitu pomoci pre MSP (vymedzenú v bode 186 usmernení o regionálnej štátnej pomoci), prípadne „upravenú výšku pomoci“ (v zmysle bodu 19 podbodu 3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Uveďte odkaz na príslušné ustanovenia právneho základu, v ktorých sa stanovuje, že ak sa individuálna pomoc poskytuje v rámci viacerých regionálnych schém pomoci alebo sa kumuluje s pomocou </w:t>
      </w:r>
      <w:r>
        <w:rPr>
          <w:i/>
        </w:rPr>
        <w:t>ad hoc</w:t>
      </w:r>
      <w:r>
        <w:t>, maximálnu prípustnú intenzitu pomoci, ktorá je na daný projekt povolená, vopred vypočíta prvý orgán poskytujúci pomoc (bod 99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Ak schéma pomoci umožňuje poskytnúť pomoc na počiatočnú investíciu viazanú na projekty Európskej územnej spolupráce (EÚS), uveďte odkaz na príslušné ustanovenia právneho základu, v ktorých sa stanovuje (s odkazom na ustanovenia uvedené v bode 100 usmernení o regionálnej pomoci), ako sa stanoví maximálna intenzita pomoci pre projekt a rozličných dotknutých príjemcov.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lastRenderedPageBreak/>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Posúdenie zlučiteľnosti schémy pomoci</w:t>
            </w:r>
          </w:p>
        </w:tc>
      </w:tr>
    </w:tbl>
    <w:p w14:paraId="2C690D30" w14:textId="77777777" w:rsidR="006D4360" w:rsidRPr="007965FE" w:rsidRDefault="006D4360" w:rsidP="007965FE">
      <w:pPr>
        <w:pStyle w:val="NormalKop11"/>
        <w:rPr>
          <w:b/>
        </w:rPr>
      </w:pPr>
      <w:r>
        <w:rPr>
          <w:b/>
        </w:rPr>
        <w:t>Príspevok k regionálnemu rozvoju, pozitívne účinky a potreba štátnej intervencie</w:t>
      </w:r>
    </w:p>
    <w:p w14:paraId="552BABED" w14:textId="77777777" w:rsidR="006D4360" w:rsidRDefault="006D4360" w:rsidP="00B209F9">
      <w:pPr>
        <w:pStyle w:val="NumPar3"/>
        <w:numPr>
          <w:ilvl w:val="2"/>
          <w:numId w:val="2"/>
        </w:numPr>
        <w:spacing w:before="240"/>
        <w:ind w:left="1440" w:hanging="720"/>
      </w:pPr>
      <w:r>
        <w:t>Vysvetlite, prečo je schéma v súlade so stratégiou rozvoja dotknutej oblasti a ako k nej prispieva (bod 44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4254F" w14:paraId="59AEA527" w14:textId="77777777" w:rsidTr="006F204A">
        <w:tc>
          <w:tcPr>
            <w:tcW w:w="7682"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Uveďte odkaz na príslušné ustanovenia právneho základu, ktoré obsahujú požiadavku, aby sa pred poskytnutím pomoci na jednotlivé projekty vykonalo v prípade príslušných investícií posúdenie vplyvu na životné prostredie (EIA), ak sa to vyžaduje v právnych predpisoch (bod 49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Vysvetlite, ako orgány poskytujúce pomoc stanovia priority a vyberú investičné projekty v súlade s cieľmi danej schémy (napríklad na základe formálneho bodovacieho prístupu) (bod 44 usmernení o regionálnej štátnej pomoci). Uveďte aj odkaz na príslušné ustanovenia právneho základu alebo iné súvisiace správne akty.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Vysvetlite, ako pri udeľovaní pomoci na individuálne investičné projekty v rámci notifikovanej schémy orgán udeľujúci pomoc stanoví, že vybraný projekt prispieva (vybrané projekty prispievajú) k plneniu cieľa schémy, a teda aj k realizácii stratégie rozvoja dotknutej oblasti (bod 46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Vysvetlite, ako sa dodrží ustanovenie, v ktorom sa vyžaduje, aby sa každá investícia podporená v rámci notifikovanej schémy zachovala v dotknutej oblasti aspoň počas piatich rokov (v prípade malých a stredných podnikov počas troch rokov) po jej dokončení (bod 47 usmernení o regionálnej štátnej pomoci). Uveďte odkaz na príslušné ustanovenia právneho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V prípadoch, keď je pomoc, ktorá bola poskytnutá v rámci notifikovanej schémy, vypočítaná na základe mzdových nákladov, vysvetlite, ako sa dodrží ustanovenie, v ktorom sa vyžaduje, aby sa pracovné miesta vytvorili do troch rokov po dokončení investície a aby sa každé pracovné miesto vytvorené pomocou príslušnej investície zachovalo v rámci dotknutej oblasti zachovať počas obdobia piatich rokov (v prípade malých a stredných podnikov počas troch rokov) od dátumu, keď bolo toto pracovné miesto prvýkrát obsadené </w:t>
      </w:r>
      <w:r>
        <w:lastRenderedPageBreak/>
        <w:t>(bod 36 usmernení o regionálnej štátnej pomoci). Uveďte odkaz na príslušné ustanovenie právneho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Uveďte odkaz na príslušné ustanovenia právneho základu, v ktorých sa stanovuje, že príjemcovia musia poskytnúť finančný príspevok vo výške najmenej 25 % oprávnených nákladov, a to z vlastných alebo externých zdrojov a vo forme, ktorá nepredstavuje žiadnu verejnú finančnú podporu</w:t>
      </w:r>
      <w:r>
        <w:rPr>
          <w:vertAlign w:val="superscript"/>
        </w:rPr>
        <w:footnoteReference w:id="20"/>
      </w:r>
      <w:r>
        <w:t xml:space="preserve"> (bod 48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Uveďte odkaz na príslušné ustanovenia právneho základu, z ktorých vyplýva, že v schéme by sa mali dodržať stropy podľa mapy regionálnej pomoci platné v čase udelenia danej pomoci (bod 88 usmernení o regionálnej štátnej pomoci). Uveďte aj odkaz na rozhodnutie Komisie, ktorým sa schvaľuje príslušná mapa regionálnej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Stimulačný účinok schémy</w:t>
      </w:r>
    </w:p>
    <w:p w14:paraId="0D14DDD0" w14:textId="77777777" w:rsidR="00F02231" w:rsidRPr="00A43EC2" w:rsidRDefault="00F02231" w:rsidP="00FB274E">
      <w:pPr>
        <w:pStyle w:val="NumPar3"/>
        <w:numPr>
          <w:ilvl w:val="2"/>
          <w:numId w:val="2"/>
        </w:numPr>
        <w:spacing w:before="240"/>
        <w:ind w:left="1440" w:hanging="720"/>
        <w:rPr>
          <w:rFonts w:cs="Times New Roman"/>
        </w:rPr>
      </w:pPr>
      <w:r>
        <w:t>Uveďte odkaz na príslušné ustanovenia právneho základu, v ktorých sa stanovuje, že každá žiadosť o udelenie pomoci sa musí predložiť predtým, ako sa začne práca na dotknutom investičnom projekte (bod 62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Uveďte odkaz na príslušné ustanovenia právneho základu, v ktorých sa stanovuje, že žiadatelia o pomoc v rámci notifikovanej schémy budú musieť predložiť štandardný formulár žiadosti o pomoc vydaný orgánom udeľujúcim pomoc, v ktorom musia na základe kontrafaktuálneho scenára vysvetliť, čo by sa stalo, ak by pomoc nedostali, a uviesť, ktorý zo scenárov (</w:t>
      </w:r>
      <w:r>
        <w:rPr>
          <w:i/>
        </w:rPr>
        <w:t>scenár 1</w:t>
      </w:r>
      <w:r>
        <w:t xml:space="preserve"> – investičné rozhodnutie alebo </w:t>
      </w:r>
      <w:r>
        <w:rPr>
          <w:i/>
        </w:rPr>
        <w:t>scenár 2</w:t>
      </w:r>
      <w:r>
        <w:t xml:space="preserve"> – rozhodnutie o umiestnení) sa použije (body 64 a 59 usmernení o regionálnej štátnej pomoci).</w:t>
      </w:r>
      <w:r>
        <w:rPr>
          <w:color w:val="000000"/>
        </w:rPr>
        <w:t xml:space="preserve"> Ak sa tento formulár žiadosti o pomoc líši od príkladu uvedeného v prílohe VII k usmerneniam o regionálnej štátnej pomoci, poskytnite kópiu tohto formulára.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Uveďte odkaz na príslušné ustanovenia právneho základu, v ktorých sa stanovuje, že veľké podniky, ktoré žiadajú o pomoc v rámci notifikovanej schémy, musia predložiť listinný dôkaz na podporu opísaného kontrafaktuálneho scenára (bod 65 usmernení o regionálnej štátnej pomoci). Vysvetlite tiež, aký druh dokladov sa bude vyžadovať.</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lastRenderedPageBreak/>
        <w:t xml:space="preserve">Uveďte odkaz na príslušné ustanovenia právneho základu, v ktorých sa stanovuje, že pri posudzovaní žiadostí o individuálnu pomoc musí orgán udeľujúci pomoc vykonať kontrolu vierohodnosti uvedeného kontrafaktuálneho scenára a overiť, či regionálna pomoc má požadovaný stimulačný účinok zodpovedajúci </w:t>
      </w:r>
      <w:r>
        <w:rPr>
          <w:i/>
        </w:rPr>
        <w:t>scenáru 1</w:t>
      </w:r>
      <w:r>
        <w:t xml:space="preserve"> alebo </w:t>
      </w:r>
      <w:r>
        <w:rPr>
          <w:i/>
        </w:rPr>
        <w:t>scenáru 2</w:t>
      </w:r>
      <w:r>
        <w:rPr>
          <w:rStyle w:val="FootnoteReference"/>
        </w:rPr>
        <w:footnoteReference w:id="21"/>
      </w:r>
      <w:r>
        <w:t xml:space="preserve"> (bod 66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Vhodnosť schémy</w:t>
      </w:r>
    </w:p>
    <w:p w14:paraId="5713798C" w14:textId="77777777" w:rsidR="00485C14" w:rsidRDefault="00FE3973" w:rsidP="0026473A">
      <w:pPr>
        <w:pStyle w:val="NormalKop111"/>
        <w:numPr>
          <w:ilvl w:val="2"/>
          <w:numId w:val="2"/>
        </w:numPr>
        <w:ind w:left="1440" w:hanging="720"/>
      </w:pPr>
      <w:r>
        <w:t>Vysvetlite, prečo je regionálna pomoc vhodným nástrojom, ktorý napomôže rozvoju oblasti</w:t>
      </w:r>
      <w:r>
        <w:rPr>
          <w:rStyle w:val="FootnoteReference"/>
        </w:rPr>
        <w:footnoteReference w:id="22"/>
      </w:r>
      <w:r>
        <w:t xml:space="preserve"> (bod 80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Ak ide o odvetvovú schému pomoci, preukážte výhody takéhoto nástroja v porovnaní s viacodvetvovou schémou alebo inými možnosťami politiky (bod 81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Uveďte, či sa individuálna pomoc v rámci notifikovanej schémy udelí:</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automaticky, ak sú splnené podmienky schémy, alebo</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na základe vlastného uváženia v nadväznosti na rozhodnutie príslušných orgánov.</w:t>
      </w:r>
    </w:p>
    <w:p w14:paraId="05F07C80" w14:textId="77777777" w:rsidR="003F2F3D" w:rsidRDefault="00590071" w:rsidP="00590071">
      <w:pPr>
        <w:pStyle w:val="Text2"/>
        <w:ind w:left="1418"/>
      </w:pPr>
      <w:r>
        <w:t xml:space="preserve">Uveďte odkaz na príslušné ustanovenie právneho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Ak sa pomoc udeľuje na základe vlastného uváženia, uveďte stručný opis použitých kritérií a pripojte kópiu vnútorných správnych predpisov orgánu udeľujúceho pomoc, ktoré sa použijú na udelenie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Ak sa pomoc v rámci schémy u</w:t>
      </w:r>
      <w:bookmarkStart w:id="2" w:name="_GoBack"/>
      <w:bookmarkEnd w:id="2"/>
      <w:r>
        <w:t>deľuje vo formách, ktoré poskytujú priamu finančnú výhodu</w:t>
      </w:r>
      <w:r>
        <w:rPr>
          <w:vertAlign w:val="superscript"/>
        </w:rPr>
        <w:footnoteReference w:id="23"/>
      </w:r>
      <w:r>
        <w:t>, preukážte, prečo iné potenciálne menej rušivé formy pomoci, ako sú vratné preddavky, alebo formy pomoci, ktoré sú založené na dlhových alebo kapitálových nástrojoch</w:t>
      </w:r>
      <w:r>
        <w:rPr>
          <w:rStyle w:val="FootnoteReference"/>
        </w:rPr>
        <w:footnoteReference w:id="24"/>
      </w:r>
      <w:r>
        <w:t xml:space="preserve">, nie sú vhodné (bod 85 usmernení o regionálnej štátnej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lastRenderedPageBreak/>
              <w:t>…</w:t>
            </w:r>
          </w:p>
        </w:tc>
      </w:tr>
    </w:tbl>
    <w:p w14:paraId="0DA2AB1B" w14:textId="77777777" w:rsidR="00590071" w:rsidRPr="006F1156" w:rsidRDefault="00590071" w:rsidP="00DB5B5A">
      <w:pPr>
        <w:pStyle w:val="NormalKop11"/>
        <w:rPr>
          <w:b/>
        </w:rPr>
      </w:pPr>
      <w:r>
        <w:rPr>
          <w:b/>
        </w:rPr>
        <w:t>Stimulačný účinok a proporcionalita schémy</w:t>
      </w:r>
    </w:p>
    <w:p w14:paraId="348AF344" w14:textId="77777777" w:rsidR="00132132" w:rsidRDefault="00FF0F35" w:rsidP="00DB5B5A">
      <w:pPr>
        <w:pStyle w:val="NumPar3"/>
        <w:numPr>
          <w:ilvl w:val="2"/>
          <w:numId w:val="2"/>
        </w:numPr>
        <w:spacing w:before="240"/>
        <w:ind w:left="1440" w:hanging="720"/>
      </w:pPr>
      <w:r>
        <w:t xml:space="preserve">Uveďte odkaz na príslušné ustanovenia právneho základu, v ktorých sa stanovuje, že individuálna pomoc, ktorá sa udelí veľkým podnikom v rámci notifikovanej schémy, bude obmedzená na čisté dodatočné náklady na realizáciu investície v dotknutej oblasti v porovnaní s kontrafaktuálnym scenárom v prípade neposkytnutia pomoci, s použitím metódy vysvetlenej v bodoch 96 a 97 usmernení o regionálnej štátnej pomoci (bod 95 usmernení o regionálnej štátnej pomoci).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Zabránenie neprípustným negatívnym účinkom na hospodársku súťaž a obchod</w:t>
      </w:r>
    </w:p>
    <w:p w14:paraId="6AAEB69D" w14:textId="77777777" w:rsidR="00684D63" w:rsidRDefault="00684D63" w:rsidP="00DB5B5A">
      <w:pPr>
        <w:pStyle w:val="NumPar3"/>
        <w:numPr>
          <w:ilvl w:val="2"/>
          <w:numId w:val="2"/>
        </w:numPr>
        <w:spacing w:before="240"/>
        <w:ind w:left="1440" w:hanging="720"/>
      </w:pPr>
      <w:r>
        <w:t>Vysvetlite, ako budú narušenia hospodárskej súťaže a obchodu spôsobené notifikovanou schémou pomoci obmedzené na minimum (bod 120 usmernení o regionálnej štátnej pomoci)</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Uveďte odkazy na príslušné ustanovenia právneho základu, v ktorých sa stanovuje, že pri udeľovaní pomoci v rámci schémy na jednotlivé projekty orgán udeľujúci pomoc musí overiť a potvrdiť, že pomoc nemá zjavné negatívne účinky, ako je vytvorenie nadmernej kapacity na trhu, na ktorom dochádza k absolútnemu poklesu (body 112 – 115 usmernení o regionálnej štátnej pomoci), negatívne účinky na súdržnosť (body 116 – 117 usmernení o regionálnej štátnej pomoci) alebo premiestnenie (bod 118 usmernení o regionálnej štátnej pomoci) (bod 121 usmernení o regionálnej štátnej pomoci).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Transparentnosť</w:t>
      </w:r>
    </w:p>
    <w:p w14:paraId="5D8729A0" w14:textId="77777777" w:rsidR="0047707E" w:rsidRPr="004A0583" w:rsidRDefault="0047707E" w:rsidP="007F52B1">
      <w:pPr>
        <w:pStyle w:val="NumPar3"/>
        <w:numPr>
          <w:ilvl w:val="1"/>
          <w:numId w:val="2"/>
        </w:numPr>
        <w:spacing w:before="240"/>
        <w:ind w:left="1418" w:hanging="698"/>
      </w:pPr>
      <w:r>
        <w:t xml:space="preserve">Potvrďte, že úplné znenie rozhodnutia o poskytnutí individuálnej pomoci alebo schválenej schémy pomoci a jej vykonávacích ustanovení alebo odkaz na ne </w:t>
      </w:r>
      <w:bookmarkStart w:id="3" w:name="_Ref44059869"/>
      <w:r>
        <w:t>a informácie o každej udelenej individuálnej pomoci presahujúcej 100 000 EUR budú uverejnené podľa štruktúry uvedenej v prílohe VIII</w:t>
      </w:r>
      <w:bookmarkEnd w:id="3"/>
      <w:r>
        <w:t xml:space="preserve"> v module transparentného udeľovania (TAM) Európskej komisie alebo na súhrnnej internetovej stránke o štátnej pomoci na celoštátnej alebo regionálnej úrovni</w:t>
      </w:r>
      <w:r>
        <w:rPr>
          <w:rStyle w:val="FootnoteReference"/>
        </w:rPr>
        <w:footnoteReference w:id="26"/>
      </w:r>
      <w:r>
        <w:t xml:space="preserve"> do šiestich mesiacov od dátumu poskytnutia pomoci, alebo v prípade pomoci vo forme daňového zvýhodnenia do jedného roka odo dňa podania daňového priznania.</w:t>
      </w:r>
    </w:p>
    <w:p w14:paraId="2554CF38" w14:textId="77777777" w:rsidR="0047707E" w:rsidRPr="004A0583" w:rsidRDefault="00FB274E" w:rsidP="0047707E">
      <w:pPr>
        <w:pStyle w:val="Normal127"/>
      </w:pPr>
      <w:r>
        <w:lastRenderedPageBreak/>
        <w:tab/>
      </w: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w:t>
      </w:r>
      <w:r>
        <w:tab/>
        <w:t>Áno</w:t>
      </w:r>
    </w:p>
    <w:p w14:paraId="419E66FE" w14:textId="77777777" w:rsidR="0047707E" w:rsidRDefault="0047707E" w:rsidP="007F52B1">
      <w:pPr>
        <w:pStyle w:val="NumPar3"/>
        <w:numPr>
          <w:ilvl w:val="1"/>
          <w:numId w:val="2"/>
        </w:numPr>
        <w:spacing w:before="240"/>
        <w:ind w:left="1418" w:hanging="698"/>
      </w:pPr>
      <w:r>
        <w:t>Uveďte odkazy na príslušné ustanovenia právneho základu, v ktorých sa stanovuje, že orgán udeľujúci pomoc by mal v module transparentného udeľovania (TAM) alebo na súhrnnej internetovej stránke o štátnej pomoci na celoštátnej alebo regionálnej úrovni</w:t>
      </w:r>
      <w:r>
        <w:rPr>
          <w:rStyle w:val="FootnoteReference"/>
        </w:rPr>
        <w:footnoteReference w:id="27"/>
      </w:r>
      <w:r>
        <w:t xml:space="preserve"> uverejniť aspoň nasledujúce informácie o notifikovanej schéme štátnej pomoci: informácie o znení notifikovanej schémy pomoci a jej vykonávacích ustanoveniach, informácie o orgáne udeľujúcom pomoc, jednotlivých príjemcoch, výške pomoci na príjemcu a intenzite pomoci (bod 136 usmernení o regionálnej štátnej pomoci).</w:t>
      </w:r>
    </w:p>
    <w:p w14:paraId="74E1FB55" w14:textId="77777777" w:rsidR="0047707E" w:rsidRDefault="0047707E" w:rsidP="00DB5B5A">
      <w:pPr>
        <w:pStyle w:val="NumPar3"/>
        <w:spacing w:before="240"/>
        <w:ind w:left="426"/>
      </w:pPr>
      <w:r>
        <w:t>Ak takéto ustanovenia neexistujú, vysvetlite prečo. Podobne uveďte, ak takéto ustanovenia nie sú obsiahnuté v právnom základe notifikovanej schémy, avšak sú obsiahnuté v iných legislatívnych dokumentoch.</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Uveďte odkazy na príslušné ustanovenia právneho základu, v ktorých sa stanovuje, že uvedené informácie budú uverejnené a dostupné pre širokú verejnosť bez obmedzení aspoň desať rokov odo dňa poskytnutia pomoci (bod 140 usmernení o regionálnej štátnej pomoci).</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Hodnotenie, podávanie správ a monitorovanie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Hodnotenie</w:t>
      </w:r>
    </w:p>
    <w:p w14:paraId="594EFB7A" w14:textId="77777777" w:rsidR="0047707E" w:rsidRDefault="0047707E" w:rsidP="001452D1">
      <w:pPr>
        <w:pStyle w:val="NumPar3"/>
        <w:numPr>
          <w:ilvl w:val="2"/>
          <w:numId w:val="2"/>
        </w:numPr>
        <w:spacing w:before="240"/>
        <w:ind w:left="1418" w:hanging="698"/>
      </w:pPr>
      <w:r>
        <w:t>Uveďte číslo štátnej pomoci (SA) všetkých predchádzajúcich a prebiehajúcich schém štátnej pomoci s podobným cieľom a zemepisnou oblasťou (bod 144 usmernení o regionálnej štátnej pomoci).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 xml:space="preserve">Bola niektorá z uvedených schém štátnej pomoci hodnotená </w:t>
      </w:r>
      <w:r>
        <w:rPr>
          <w:i/>
        </w:rPr>
        <w:t>ex post</w:t>
      </w:r>
      <w:r>
        <w:t xml:space="preserve"> (bod 144 usmernení o regionálnej štátnej pomoci)?</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Áno</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Nie</w:t>
      </w:r>
    </w:p>
    <w:p w14:paraId="6D9A940C" w14:textId="77777777" w:rsidR="0047707E" w:rsidRDefault="0047707E" w:rsidP="00DB5B5A">
      <w:pPr>
        <w:pStyle w:val="NumPar3"/>
        <w:spacing w:before="240"/>
        <w:ind w:left="709"/>
      </w:pPr>
      <w:r>
        <w:t xml:space="preserve">Ak áno, uveďte stručné zhrnutie hlavných výsledkov </w:t>
      </w:r>
      <w:r>
        <w:rPr>
          <w:i/>
        </w:rPr>
        <w:t>ex post</w:t>
      </w:r>
      <w:r>
        <w:t xml:space="preserve"> hodnotenia (hodnotení) (v relevantných prípadoch s referenčným číslom a odkazom).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lastRenderedPageBreak/>
        <w:t>Opíšte, ako boli výsledky týchto hodnotení zohľadnené v návrhu novej schémy.</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Uveďte, či rozpočet štátnej pomoci schémy v ktoromkoľvek danom roku presahuje 150 miliónov EUR (bod 143 usmernení o regionálnej štátnej pomoci):</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Áno</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Nie</w:t>
      </w:r>
    </w:p>
    <w:p w14:paraId="1481B715" w14:textId="77777777" w:rsidR="0047707E" w:rsidRDefault="00877F82" w:rsidP="0047707E">
      <w:pPr>
        <w:pStyle w:val="NumPar3"/>
        <w:spacing w:before="240"/>
        <w:ind w:left="1418"/>
      </w:pPr>
      <w:r>
        <w:t>Uveďte, či rozpočet štátnej pomoci schémy presahuje 750 miliónov EUR za celý čas trvania schémy (t. j. kombinované trvanie schémy a akejkoľvek predchádzajúcej schémy vzťahujúcej sa na podobný cieľ a podobnú zemepisnú oblasť od 1. januára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Áno</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Nie</w:t>
      </w:r>
    </w:p>
    <w:p w14:paraId="04565C51" w14:textId="77777777" w:rsidR="0047707E" w:rsidRDefault="0047707E" w:rsidP="00AC71FD">
      <w:pPr>
        <w:pStyle w:val="NumPar3"/>
        <w:numPr>
          <w:ilvl w:val="2"/>
          <w:numId w:val="2"/>
        </w:numPr>
        <w:spacing w:before="240"/>
        <w:ind w:left="1418" w:hanging="720"/>
      </w:pPr>
      <w:r>
        <w:t>Uveďte, o aký typ schémy ide (bod 143 usmernení o regionálnej štátnej pomoci):</w:t>
      </w:r>
    </w:p>
    <w:p w14:paraId="00204381" w14:textId="77777777" w:rsidR="0047707E" w:rsidRDefault="0047707E" w:rsidP="0047707E">
      <w:pPr>
        <w:spacing w:before="120" w:after="120"/>
        <w:ind w:left="1701" w:hanging="283"/>
        <w:rPr>
          <w:szCs w:val="24"/>
        </w:rPr>
      </w:pPr>
      <w:r>
        <w:t>Ide o schému, ktorá obsahuje nové vlastnosti?</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Áno</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Nie</w:t>
      </w:r>
    </w:p>
    <w:p w14:paraId="1DDA9233" w14:textId="77777777" w:rsidR="0047707E" w:rsidRDefault="0047707E" w:rsidP="0047707E">
      <w:pPr>
        <w:spacing w:before="120" w:after="120"/>
        <w:ind w:left="1418"/>
        <w:rPr>
          <w:szCs w:val="24"/>
        </w:rPr>
      </w:pPr>
      <w:r>
        <w:t>Ide o schému, pri ktorej možno predpokladať významné zmeny v oblasti trhu, technológie alebo právnych predpisov?</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Áno</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Nie</w:t>
      </w:r>
    </w:p>
    <w:p w14:paraId="1086B92D" w14:textId="77777777" w:rsidR="0047707E" w:rsidRDefault="0047707E" w:rsidP="006F204A">
      <w:pPr>
        <w:spacing w:before="120" w:after="120"/>
        <w:ind w:left="1418"/>
        <w:rPr>
          <w:szCs w:val="24"/>
        </w:rPr>
      </w:pPr>
      <w:r>
        <w:t>Ide o schému, pri ktorej plánujete vykonať hodnotenie, hoci neplatia kritériá uvedené v bodoch 5.1.2 a 5.1.3?</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Áno</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00582">
        <w:fldChar w:fldCharType="separate"/>
      </w:r>
      <w:r>
        <w:fldChar w:fldCharType="end"/>
      </w:r>
      <w:r>
        <w:t xml:space="preserve"> Nie</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rFonts w:ascii="EUAlbertina" w:hAnsi="EUAlbertina"/>
          <w:color w:val="000000"/>
        </w:rPr>
        <w:t xml:space="preserve">Ak je odpoveď na otázku v bode 5.1.1 „nie“ a odpoveď na ktorúkoľvek z otázok v bodoch 5.1.2 alebo 5.1.3 „áno“, mali by ste v prípade danej schémy </w:t>
      </w:r>
      <w:r>
        <w:t xml:space="preserve">zvážiť </w:t>
      </w:r>
      <w:r>
        <w:rPr>
          <w:i/>
        </w:rPr>
        <w:t>ex post</w:t>
      </w:r>
      <w:r>
        <w:t xml:space="preserve"> hodnotenie (bod 143 usmernení o regionálnej štátnej pomoci). V takom prípade </w:t>
      </w:r>
      <w:r>
        <w:rPr>
          <w:color w:val="000000"/>
        </w:rPr>
        <w:t>odpovedzte „áno“ na príslušnú otázku vo všeobecnom notifikačnom formulári, uveďte obdobie hodnotenia a notifikujte návrh plánu hodnotenia v časti III.8 prílohy I</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lastRenderedPageBreak/>
        <w:t>Podávanie správ a monitorovanie</w:t>
      </w:r>
    </w:p>
    <w:p w14:paraId="478099B4" w14:textId="77777777" w:rsidR="00104EE1" w:rsidRDefault="00132132" w:rsidP="00AC71FD">
      <w:pPr>
        <w:pStyle w:val="NumPar3"/>
        <w:numPr>
          <w:ilvl w:val="2"/>
          <w:numId w:val="2"/>
        </w:numPr>
        <w:spacing w:before="240"/>
        <w:ind w:left="1418" w:hanging="720"/>
      </w:pPr>
      <w:r>
        <w:t>Potvrďte, že:</w:t>
      </w:r>
    </w:p>
    <w:p w14:paraId="471BF233" w14:textId="4F4B5021" w:rsidR="00104EE1" w:rsidRDefault="00104EE1" w:rsidP="00104EE1">
      <w:pPr>
        <w:numPr>
          <w:ilvl w:val="0"/>
          <w:numId w:val="25"/>
        </w:numPr>
        <w:rPr>
          <w:szCs w:val="24"/>
        </w:rPr>
      </w:pPr>
      <w:r>
        <w:t>Komisii predložíte výročné správy v súlade s nariadením Rady (EÚ) 2015/1589 z 13. júla 2015 a nariadením Komisie (ES) č. 794/2004 z 21. apríla 2004, ktorým sa vykonáva nariadenie Rady (EÚ) 2015/1589 stanovujúce podrobné pravidlá na uplatňovanie článku 108 Zmluvy o fungovaní Európskej únie a</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000582">
        <w:rPr>
          <w:b/>
          <w:color w:val="000000"/>
        </w:rPr>
      </w:r>
      <w:r w:rsidR="00000582">
        <w:rPr>
          <w:b/>
          <w:color w:val="000000"/>
        </w:rPr>
        <w:fldChar w:fldCharType="separate"/>
      </w:r>
      <w:r>
        <w:rPr>
          <w:b/>
          <w:color w:val="000000"/>
        </w:rPr>
        <w:fldChar w:fldCharType="end"/>
      </w:r>
      <w:r>
        <w:rPr>
          <w:b/>
          <w:color w:val="000000"/>
        </w:rPr>
        <w:t xml:space="preserve"> </w:t>
      </w:r>
      <w:r>
        <w:tab/>
        <w:t>Áno</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počas aspoň desiatich rokov od dátumu poskytnutia akejkoľvek pomoci v rámci danej schémy budete uchovávať podrobné záznamy obsahujúce informácie a podklady potrebné na preukázanie toho, že sú splnené všetky podmienky zlučiteľnosti, a že tieto záznamy budú na požiadanie poskytnuté Komisii.</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000582">
        <w:rPr>
          <w:color w:val="000000"/>
        </w:rPr>
      </w:r>
      <w:r w:rsidR="00000582">
        <w:rPr>
          <w:color w:val="000000"/>
        </w:rPr>
        <w:fldChar w:fldCharType="separate"/>
      </w:r>
      <w:r>
        <w:rPr>
          <w:color w:val="000000"/>
        </w:rPr>
        <w:fldChar w:fldCharType="end"/>
      </w:r>
      <w:r>
        <w:rPr>
          <w:color w:val="000000"/>
        </w:rPr>
        <w:t xml:space="preserve"> </w:t>
      </w:r>
      <w:r>
        <w:tab/>
        <w:t xml:space="preserve">Áno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t xml:space="preserve">Usmernenia o regionálnej štátnej pomoci </w:t>
      </w:r>
      <w:r>
        <w:rPr>
          <w:rStyle w:val="Emphasis"/>
          <w:i w:val="0"/>
        </w:rPr>
        <w:t>(Ú. v. EÚ C 153, 29.4.2021, s.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t>Nariadenie Komisie (EÚ) č. 651/2014 zo 17. júna 2014 o vyhlásení určitých kategórií pomoci za zlučiteľné s vnútorným trhom podľa článkov 107 a 108 zmluvy (</w:t>
      </w:r>
      <w:r>
        <w:rPr>
          <w:rStyle w:val="Emphasis"/>
          <w:i w:val="0"/>
        </w:rPr>
        <w:t>Ú. v. EÚ L 187, 26.6.2014, s. 1</w:t>
      </w:r>
      <w:r>
        <w:t>) v znení zmien.</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t xml:space="preserve">Nariadenie Komisie (EÚ) č. 1407/2013 z 18. decembra 2013 o uplatňovaní článkov 107 a 108 Zmluvy o fungovaní Európskej únie na pomoc </w:t>
      </w:r>
      <w:r>
        <w:rPr>
          <w:i/>
        </w:rPr>
        <w:t>de minimis</w:t>
      </w:r>
      <w:r>
        <w:t xml:space="preserve"> (Ú. v. EÚ L 352, 24.12.2013, s.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rPr>
          <w:color w:val="000000"/>
        </w:rPr>
        <w:t>Ako sa vymedzuje v usmerneniach o štátnej pomoci na záchranu a reštrukturalizáciu nefinančných podnikov v ťažkostiach (Ú. v. EÚ C 249, 31.7.2014, s.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V zmysle prílohy VI usmernení o regionálnej štátnej pomoci.</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„Lignit“ je lignit nízkej akostnej triedy C alebo ortolignit a lignit nízkej akostnej triedy B alebo metalignit v zmysle medzinárodného kodifikačného systému pre uhlie, ktorý stanovila Európska hospodárska komisia OSN.</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„Uhlie“ je vysokokvalitné, stredne kvalitné a nízkokvalitné uhlie kategórie A a B v zmysle medzinárodného kodifikačného systému pre uhlie, ktorý stanovila Európska hospodárska komisia OSN a ktorý je objasnený v rozhodnutí Rady z 10. decembra 2010 o štátnej pomoci na uľahčenie zatvorenia uhoľných baní neschopných konkurencie (Ú. v. EÚ L 336, 21.12.2010, s.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V zmysle nariadenia Európskeho parlamentu a Rady (EÚ) č. 1379/2013 z 11. decembra 2013 o spoločnej organizácii trhov s produktmi rybolovu a akvakultúry, ktorým sa menia nariadenia Rady (ES) č. 1184/2006 a (ES) č. 1224/2009 a zrušuje nariadenie Rady (ES) č. 104/2000 (Ú. v. EÚ L 354, 28.12.2013, s.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Štátna pomoc pre poľnohospodársku prvovýrobu, spracovanie a marketing (uvádzanie na trh) poľnohospodárskych výrobkov, ktorých výsledkom sú poľnohospodárske výrobky uvedené v prílohe I k zmluve, a pre lesné hospodárstvo podlieha pravidlám stanoveným v usmerneniach o štátnej pomoci v odvetví poľnohospodárstva (Ú. v. EÚ C 204, 1.7.2014, s.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Usmernenia o regionálnej štátnej pomoci sa vzťahujú na schémy pomoci na podporu činností mimo rozsahu pôsobnosti článku 42 zmluvy, ktoré sú spolufinancované z Európskeho poľnohospodárskeho fondu pre rozvoj vidieka (EPFRV) alebo sa poskytujú ako dodatočné vnútroštátne financovanie k takýmto spolufinancovaným opatreniam, pokiaľ sa v sektorových predpisoch nestanovuje inak.</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t>Doprava zahŕňa dopravu cestujúcich leteckou, námornou, cestnou alebo železničnou a vnútrozemskou vodnou dopravou alebo služby nákladnej dopravy v prenájme alebo za úhradu. Z týchto usmernení je vylúčená aj dopravná infraštruktúra, na ktorú sa vzťahujú osobitné usmernenia, napríklad letiská [pozri oznámenie Komisie – Usmernenia o štátnej pomoci pre letiská a letecké spoločnosti (Ú. v. EÚ C 99, 4.4.2014, s.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t>Usmernenia EÚ pre uplatňovanie pravidiel štátnej pomoci v súvislosti s rýchlym zavádzaním širokopásmových sietí (Ú. v. EÚ C 25, 26.1.2013, s.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t>Komisia posúdi zlučiteľnosť štátnej pomoci v odvetví energetiky na základe usmernení o štátnej pomoci v oblasti ochrany životného prostredia a energetiky na roky 2014 – 2020 (Ú. v. EÚ C 200, 28.6.2014, s.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t>„Malé a stredné podniky“ sú podniky, ktoré spĺňajú podmienky stanovené v odporúčaní Komisie zo 6. mája 2003 o vymedzení mikropodnikov, malých a stredných podnikov (Ú. v. EÚ L 124, 20.5.2003, s.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t>Samotné nadobudnutie akcií podniku nepredstavuje počiatočnú investíciu.</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t>„Rovnaká alebo podobná činnosť“ je činnosť zaradená do tej istej triedy (štvormiestny číselný kód) štatistickej klasifikácie ekonomických činností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t>Samotné nadobudnutie akcií podniku nepredstavuje počiatočnú investíciu, ktorou sa vytvára nová ekonomická činnosť.</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t>Uvedené ustanovenie sa nemusí použiť na MSP ani na nadobudnutie prevádzky.</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V bode 34 usmernení o regionálnej štátnej pomoci sa stanovuje, že nehmotné aktíva, ktoré možno zohľadniť na výpočet investičných nákladov, musia zostať spojené s danou oblasťou a nesmú sa presunúť do iných oblastí. Nehmotné aktíva musia na tento účel spĺňať tieto podmienky:</w:t>
      </w:r>
    </w:p>
    <w:p w14:paraId="1C54C443" w14:textId="77777777" w:rsidR="00B133A0" w:rsidRDefault="00B133A0" w:rsidP="00B209F9">
      <w:pPr>
        <w:pStyle w:val="FootnoteText"/>
        <w:numPr>
          <w:ilvl w:val="0"/>
          <w:numId w:val="33"/>
        </w:numPr>
        <w:tabs>
          <w:tab w:val="clear" w:pos="357"/>
          <w:tab w:val="left" w:pos="709"/>
        </w:tabs>
        <w:ind w:left="709" w:hanging="425"/>
      </w:pPr>
      <w:r>
        <w:t>musia sa používať výhradne v prevádzkarni, ktorá je príjemcom pomoci;</w:t>
      </w:r>
    </w:p>
    <w:p w14:paraId="7AF9FEC6" w14:textId="77777777" w:rsidR="00B133A0" w:rsidRDefault="00B133A0" w:rsidP="00B209F9">
      <w:pPr>
        <w:pStyle w:val="FootnoteText"/>
        <w:numPr>
          <w:ilvl w:val="0"/>
          <w:numId w:val="33"/>
        </w:numPr>
        <w:tabs>
          <w:tab w:val="clear" w:pos="357"/>
          <w:tab w:val="left" w:pos="709"/>
        </w:tabs>
        <w:ind w:left="709" w:hanging="425"/>
      </w:pPr>
      <w:r>
        <w:t>musia byť odpisovateľné;</w:t>
      </w:r>
    </w:p>
    <w:p w14:paraId="63AFFA39" w14:textId="77777777" w:rsidR="00B133A0" w:rsidRDefault="00B133A0" w:rsidP="00B209F9">
      <w:pPr>
        <w:pStyle w:val="FootnoteText"/>
        <w:numPr>
          <w:ilvl w:val="0"/>
          <w:numId w:val="33"/>
        </w:numPr>
        <w:tabs>
          <w:tab w:val="clear" w:pos="357"/>
          <w:tab w:val="left" w:pos="709"/>
        </w:tabs>
        <w:ind w:left="709" w:hanging="425"/>
      </w:pPr>
      <w:r>
        <w:t>musia byť nakúpené za trhových podmienok od tretích strán, ktoré nie sú v žiadnom vzťahu voči nadobúdateľovi;</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musia byť zahrnuté do majetku podniku, ktorý prijíma pomoc, a zostať spojené s projektom, na ktorý bola poskytnutá pomoc, aspoň päť rokov (tri roky v prípade MSP).</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ab/>
        <w:t xml:space="preserve">Táto otázka sa nevzťahuje na dotované úvery, verejné pôžičky vlastného kapitálu ani verejné podiely, ktoré nespĺňajú zásady investovania v trhovom hospodárstve, na štátne záruky s prvkami pomoci, ani na verejnú podporu poskytnutú v rámci pravidla </w:t>
      </w:r>
      <w:r>
        <w:rPr>
          <w:i/>
        </w:rPr>
        <w:t>de minimis</w:t>
      </w:r>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Kontrafaktuálny scenár je vierohodný, ak je autentický a týka sa faktorov rozhodovania prevládajúcich v čase rozhodovania príjemcu v súvislosti s investíciou.</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Na tento účel možno odkázať, okrem iného, na posúdenie vplyvu navrhovanej schémy alebo na </w:t>
      </w:r>
      <w:r>
        <w:rPr>
          <w:i/>
          <w:iCs/>
        </w:rPr>
        <w:t>ex post</w:t>
      </w:r>
      <w:r>
        <w:t xml:space="preserve"> hodnotenia podobných schém.</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t>Napríklad priame granty, oslobodenia od dane alebo zníženia daní, poplatkov sociálneho zabezpečenia či iných povinných poplatkov, prípadne ponuka pozemkov, tovaru alebo služieb za výhodné ceny atď.</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ab/>
        <w:t>Napríklad úvery s nízkou úrokovou sadzbou alebo bonifikácia úrokovej sadzby, štátne záruky, nákup akcií alebo iná forma kapitálovej injekcie za výhodných podmienok.</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Na to, aby Komisia mohla posúdiť pravdepodobné negatívne účinky, členský štát môže predložiť každé posúdenie vplyvu, ktoré má k dispozícii, ako aj </w:t>
      </w:r>
      <w:r>
        <w:rPr>
          <w:i/>
          <w:iCs/>
        </w:rPr>
        <w:t>ex post</w:t>
      </w:r>
      <w:r>
        <w:t xml:space="preserve"> hodnotenia vykonané v prípade podobných predchádzajúcich schém.</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t>Ako sa vymedzuje v prílohe III k nariadeniu Komisie (EÚ) č. 651/2014 zo 17. júna 2014 o vyhlásení určitých kategórií pomoci za zlučiteľné s vnútorným trhom podľa článkov 107 a 108 zmluvy.</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t>Ako sa vymedzuje v prílohe III k nariadeniu Komisie (EÚ) č. 651/2014 zo 17. júna 2014 o vyhlásení určitých kategórií pomoci za zlučiteľné s vnútorným trhom podľa článkov 107 a 108 zmluvy.</w:t>
      </w:r>
    </w:p>
  </w:footnote>
  <w:footnote w:id="28">
    <w:p w14:paraId="63FE5190" w14:textId="515E0398"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Pokyny nájdete v metodickom usmernení pre hodnotenie v oblasti štátnej pomoci: </w:t>
      </w:r>
      <w:hyperlink r:id="rId1" w:history="1">
        <w:r>
          <w:rPr>
            <w:rStyle w:val="Hyperlink"/>
          </w:rPr>
          <w:t>https://competition-policy.ec.europa.eu/system/files/2021-04/modernisation_evaluation_methodology_en.pdf</w:t>
        </w:r>
      </w:hyperlink>
      <w:r w:rsidR="00000582">
        <w:t>.</w:t>
      </w:r>
      <w:r>
        <w:t xml:space="preserve"> Plán hodnotenia (príloha I – časť III.8) by sa mal predložiť na formulári, ktorý je k dispozícii na adrese: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73283BC4"/>
    <w:lvl w:ilvl="0" w:tplc="1809000F">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0582"/>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6F204A"/>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sk-SK"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sk-SK"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sk-SK"/>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1EFAD-9DB1-4AD9-B286-CB48775F7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3785</Words>
  <Characters>19306</Characters>
  <Application>Microsoft Office Word</Application>
  <DocSecurity>0</DocSecurity>
  <Lines>459</Lines>
  <Paragraphs>248</Paragraphs>
  <ScaleCrop>false</ScaleCrop>
  <Company/>
  <LinksUpToDate>false</LinksUpToDate>
  <CharactersWithSpaces>22843</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2023-01-27T08:31:00Z</dcterms:modified>
</cp:coreProperties>
</file>