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III DAĻA. PAPILDINFORMĀCIJAS ANKETAS</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III.1.B. daļa</w:t>
            </w:r>
          </w:p>
          <w:p w14:paraId="6A102D4B" w14:textId="77777777" w:rsidR="00EF0533" w:rsidRDefault="009C772B" w:rsidP="003740E7">
            <w:pPr>
              <w:pStyle w:val="ChapterTitle"/>
              <w:spacing w:before="0" w:after="240"/>
            </w:pPr>
            <w:r>
              <w:t xml:space="preserve">Atjauninātā* papildinformācijas anketa par reģionālā ieguldījumu atbalsta shēmām</w:t>
            </w:r>
          </w:p>
          <w:p w14:paraId="09A68465" w14:textId="77777777" w:rsidR="00380753" w:rsidRPr="00380753" w:rsidRDefault="009C772B" w:rsidP="003740E7">
            <w:pPr>
              <w:jc w:val="left"/>
            </w:pPr>
            <w:r>
              <w:t xml:space="preserve">* Vēl nav oficiāli pieņemta.</w:t>
            </w:r>
          </w:p>
        </w:tc>
      </w:tr>
    </w:tbl>
    <w:p w14:paraId="1536E485" w14:textId="77777777" w:rsidR="00923AD6" w:rsidRDefault="00923AD6" w:rsidP="001B2B78"/>
    <w:p w14:paraId="75E982FA" w14:textId="77777777" w:rsidR="00EF0533" w:rsidRPr="00003889" w:rsidRDefault="00003889" w:rsidP="001B2B78">
      <w:r>
        <w:t xml:space="preserve">Šī papildinformācijas anketa ir fakultatīva.</w:t>
      </w:r>
      <w:r>
        <w:t xml:space="preserve"> </w:t>
      </w:r>
      <w:r>
        <w:t xml:space="preserve">Tomēr, paziņojot par ieguldījumu atbalsta shēmām, uz kurām attiecas no 2022. gada 1. janvāra piemērojamās Reģionālā valsts atbalsta pamatnostādnes (RAP)</w:t>
      </w:r>
      <w:r>
        <w:rPr>
          <w:rStyle w:val="FootnoteReference"/>
          <w:iCs/>
          <w:szCs w:val="24"/>
        </w:rPr>
        <w:footnoteReference w:id="1"/>
      </w:r>
      <w:r>
        <w:t xml:space="preserve">, ir ieteicams papildus vispārīgās informācijas veidnei aizpildīt arī šo anketu.</w:t>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Tvērums</w:t>
            </w:r>
          </w:p>
        </w:tc>
      </w:tr>
    </w:tbl>
    <w:p w14:paraId="64530B4D" w14:textId="77777777" w:rsidR="00EF0533" w:rsidRPr="00D070D1" w:rsidRDefault="00EF0533" w:rsidP="00095A91">
      <w:pPr>
        <w:pStyle w:val="NormalKop11"/>
      </w:pPr>
      <w:r>
        <w:t xml:space="preserve">Iemesls, kāpēc par šo shēmu tiek paziņots tā vietā, lai to īstenotu saskaņā ar Vispārējo grupu atbrīvojuma regulu (“VGAR”)</w:t>
      </w:r>
      <w:r>
        <w:rPr>
          <w:rStyle w:val="FootnoteReference"/>
          <w:color w:val="000000"/>
        </w:rPr>
        <w:footnoteReference w:id="2"/>
      </w:r>
      <w:r>
        <w:t xml:space="preserve"> vai </w:t>
      </w:r>
      <w:r>
        <w:rPr>
          <w:i/>
        </w:rPr>
        <w:t xml:space="preserve">de minimis</w:t>
      </w:r>
      <w:r>
        <w:t xml:space="preserve"> regulu</w:t>
      </w:r>
      <w:r>
        <w:rPr>
          <w:rStyle w:val="FootnoteReference"/>
        </w:rPr>
        <w:footnoteReference w:id="3"/>
      </w:r>
      <w:r>
        <w:t xml:space="preserv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paziņojums attiecas uz nozares mēroga shēmu;</w:t>
      </w:r>
      <w:r>
        <w:t xml:space="preserve"> </w:t>
      </w:r>
      <w:r>
        <w:t xml:space="preserve">tādā gadījumā norādiet nozari, uz kuru attiecas šī shēma (</w:t>
      </w:r>
      <w:r>
        <w:rPr>
          <w:i/>
        </w:rPr>
        <w:t xml:space="preserve">NACE</w:t>
      </w:r>
      <w:r>
        <w:t xml:space="preserve"> kods):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cits</w:t>
      </w:r>
      <w:r>
        <w:t xml:space="preserve"> </w:t>
      </w:r>
      <w:r>
        <w:t xml:space="preserve">(norādīt):</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Paziņojamās shēmas tvērums</w:t>
      </w:r>
    </w:p>
    <w:p w14:paraId="669E042A" w14:textId="77777777" w:rsidR="000956BB" w:rsidRPr="005C5DFC" w:rsidRDefault="000956BB" w:rsidP="000956BB">
      <w:pPr>
        <w:pStyle w:val="NumPar3"/>
        <w:numPr>
          <w:ilvl w:val="2"/>
          <w:numId w:val="2"/>
        </w:numPr>
        <w:ind w:left="1418" w:hanging="698"/>
      </w:pPr>
      <w:r>
        <w:t xml:space="preserve">Aplieciniet, ka paziņojamās shēmas juridiskajā pamatā ir noteikts pienākums paziņot Komisijai par individuālo atbalstu, ja atbalsts no visiem avotiem pārsniedz individuālā atbalsta paziņošanas robežvērtības, kas reģionālajam ieguldījumu atbalstam noteiktas Vispārējā grupu atbrīvojuma regulā (“VGAR”) (RAP 22. punkts).</w:t>
      </w:r>
    </w:p>
    <w:p w14:paraId="5712B87E" w14:textId="77777777" w:rsidR="000956BB" w:rsidRDefault="000956BB" w:rsidP="000956BB">
      <w:pPr>
        <w:pStyle w:val="NumPar3"/>
        <w:ind w:left="1418"/>
      </w:pPr>
      <w:r>
        <w:t xml:space="preserve">Norādiet atsauci uz juridiskā pamata attiecīgo noteikumu.</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Aplieciniet, ka paziņojamās shēmas juridiskajā pamatā ir noteikts pienākums paziņot Komisijai par individuālo atbalstu, izņemot, ja saņēmējs 1) ir apliecinājis, ka pēdējo divu gadu laikā pirms pieteikšanās uz atbalstu tas nav veicis pārcelšanu uz uzņēmējdarbības vietu, kurā paredzēts veikt sākotnējo atbalstāmo ieguldījumu, un 2) ir apņēmies neveikt šādu pārcelšanu vismaz divus gadus pēc sākotnējā ieguldījuma pabeigšanas</w:t>
      </w:r>
      <w:r>
        <w:t xml:space="preserve"> </w:t>
      </w:r>
      <w:r>
        <w:t xml:space="preserve">(RAP 23. punkts).</w:t>
      </w:r>
    </w:p>
    <w:p w14:paraId="095F8EF4" w14:textId="77777777" w:rsidR="00071A7F" w:rsidRDefault="00EF0533" w:rsidP="00EF0533">
      <w:pPr>
        <w:pStyle w:val="NumPar3"/>
        <w:ind w:left="1418"/>
      </w:pPr>
      <w:r>
        <w:t xml:space="preserve">Norādiet atsauci uz juridiskā pamata attiecīgo noteikumu.</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Aplieciniet, ka paziņojamajā atbalsta shēmā ir paredzēts, ka reģionālais ieguldījumu atbalsts netiks piešķirts turpmāk uzskaitītajām uzņēmumu kategorijām un nozarēm.</w:t>
      </w:r>
      <w:r>
        <w:t xml:space="preserve"> </w:t>
      </w:r>
      <w:r>
        <w:t xml:space="preserve">Par katru no tām norādiet shēmas juridiskā pamata attiecīgo noteikumu.</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Izslēgtās uzņēmumu kategorijas un nozares</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Shēmas juridiskā pamata attiecīgais noteikums</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Grūtībās nonākuši uzņēmumi</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Tērauda nozare</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Lignīta nozare</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Ogļu nozare</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Zvejniecība un akvakultūra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Lauksaimniecība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LESD I pielikumā uzskaitīto lauksaimniecības produktu pārstrāde tajā pašā pielikumā uzskaitītajos produktos un/vai to tirdzniecība</w:t>
            </w:r>
            <w:r>
              <w:rPr>
                <w:bCs/>
                <w:sz w:val="22"/>
                <w:szCs w:val="22"/>
                <w:vertAlign w:val="superscript"/>
              </w:rPr>
              <w:footnoteReference w:id="10"/>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Transports</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Platjosla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Enerģētika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Sākotnējais ieguldījums, attiecināmās izmaksas un atbalsts</w:t>
            </w:r>
          </w:p>
        </w:tc>
      </w:tr>
    </w:tbl>
    <w:p w14:paraId="0568836A" w14:textId="77777777" w:rsidR="005936C8" w:rsidRPr="00D278EA" w:rsidRDefault="00BB1994" w:rsidP="00D278EA">
      <w:pPr>
        <w:pStyle w:val="NormalKop11"/>
        <w:rPr>
          <w:b/>
        </w:rPr>
      </w:pPr>
      <w:r>
        <w:rPr>
          <w:b/>
        </w:rPr>
        <w:t xml:space="preserve">Sākotnējā ieguldījuma veidi, uz kuriem attiecas shēma</w:t>
      </w:r>
    </w:p>
    <w:p w14:paraId="15863B73" w14:textId="77777777" w:rsidR="00801CFE" w:rsidRPr="005C5DFC" w:rsidRDefault="00801CFE" w:rsidP="001D303A">
      <w:pPr>
        <w:pStyle w:val="NumPar3"/>
        <w:numPr>
          <w:ilvl w:val="2"/>
          <w:numId w:val="2"/>
        </w:numPr>
        <w:spacing w:before="240"/>
        <w:ind w:left="1440" w:hanging="720"/>
      </w:pPr>
      <w:r>
        <w:t xml:space="preserve">Ja shēma attiecas uz MVU</w:t>
      </w:r>
      <w:r>
        <w:rPr>
          <w:rStyle w:val="FootnoteReference"/>
        </w:rPr>
        <w:footnoteReference w:id="14"/>
      </w:r>
      <w:r>
        <w:t xml:space="preserve"> vai lielo uzņēmumu ieguldījumiem “a” apgabalos vai MVU ieguldījumiem “c” apgabalos (RAP 45. punkts), norādiet sākotnējā ieguldījuma kategoriju vai kategorijas, uz kurām attiecas paziņojums (RAP 19. punkta 13) apakšpunkts):</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jaunas uzņēmējdarbības vietas izveide</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esošas uzņēmējdarbības vietas jaudas palielināšana</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izlaides dažādošana attiecīgajā uzņēmējdarbības vietā ar produktiem, kas iepriekš tur netika ražoti</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produktu, uz kuriem attiecas ieguldījums attiecīgajā uzņēmējdarbības vietā, vispārējā ražošanas procesa būtiskas izmaiņas</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tādai uzņēmējdarbības vietai piederošu aktīvu iegāde, kas ir slēgta vai tiktu slēgta, ja tā netiktu nopirkta</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Ja shēma attiecas uz lielo uzņēmumu ieguldījumiem “c” apgabalos, norādiet sākotnējā ieguldījuma kategoriju vai kategorijas, uz kurām attiecas paziņojums (RAP 19. punkta 14) apakšpunkts un 14. punkts):</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jaunas uzņēmējdarbības vietas izveide</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darbības dažādošana uzņēmējdarbības vietā ar nosacījumu, ka jaunā darbība nav tā pati vai līdzīga darbība</w:t>
      </w:r>
      <w:r>
        <w:rPr>
          <w:rStyle w:val="FootnoteReference"/>
        </w:rPr>
        <w:footnoteReference w:id="16"/>
      </w:r>
      <w:r>
        <w:t xml:space="preserve"> kā tā, kas uzņēmējdarbības vietā tika veikta iepriekš</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tādai uzņēmējdarbības vietai piederošu aktīvu iegāde, kas ir slēgta vai tiktu slēgta, ja tā netiktu nopirkta, ar nosacījumu, ka jaunā darbība, kuru paredzēts veikt, izmantojot iegādātos aktīvus, nav tā pati vai līdzīga darbība kā tā, kas uzņēmējdarbības vietā tika veikta pirms iegādes</w:t>
      </w:r>
      <w:r>
        <w:rPr>
          <w:rStyle w:val="FootnoteReference"/>
        </w:rPr>
        <w:footnoteReference w:id="17"/>
      </w:r>
    </w:p>
    <w:p w14:paraId="123A6FE9" w14:textId="77777777" w:rsidR="005936C8" w:rsidRPr="00D23668" w:rsidRDefault="005936C8" w:rsidP="00D23668">
      <w:pPr>
        <w:pStyle w:val="NormalKop11"/>
        <w:rPr>
          <w:b/>
        </w:rPr>
      </w:pPr>
      <w:r>
        <w:rPr>
          <w:b/>
        </w:rPr>
        <w:t xml:space="preserve">Attiecināmo izmaksu aprēķināšana uz ieguldījumu izmaksu pamata</w:t>
      </w:r>
    </w:p>
    <w:p w14:paraId="66E3E5CE" w14:textId="1EEAD7A8" w:rsidR="0096475D" w:rsidRPr="0096475D" w:rsidRDefault="000C7C9C" w:rsidP="00B209F9">
      <w:pPr>
        <w:pStyle w:val="NumPar3"/>
        <w:numPr>
          <w:ilvl w:val="2"/>
          <w:numId w:val="2"/>
        </w:numPr>
        <w:spacing w:before="240"/>
      </w:pPr>
      <w:r>
        <w:t xml:space="preserve">Ja shēmas attiecināmās izmaksas attiecas uz materiālajiem aktīviem (RAP 19. punkta 31) apakšpunkts), norādiet, vai ieguldījumu vērtība ir noteikta procentos no zemes, ēku, ražotņu, tehnikas un aprīkojuma izmaksām:</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zeme</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ēkas</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ražotnes, tehnika un aprīkojums</w:t>
      </w:r>
    </w:p>
    <w:p w14:paraId="08F0994B" w14:textId="325FF7E9" w:rsidR="0096475D" w:rsidRPr="00540AF1" w:rsidRDefault="0096475D" w:rsidP="001E018C">
      <w:pPr>
        <w:pStyle w:val="Text2"/>
        <w:ind w:left="1843" w:hanging="425"/>
        <w:rPr>
          <w:rFonts w:cs="Times New Roman"/>
        </w:rPr>
      </w:pPr>
      <w:r>
        <w:t xml:space="preserve">Norādiet atsauces uz juridiskā pamata attiecīgajiem noteikumiem.</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Norādiet atsauci uz juridiskā pamata attiecīgo noteikumu, kurā ir paredzēts, ka iegādātajiem aktīviem ir jābūt jauniem</w:t>
      </w:r>
      <w:r>
        <w:rPr>
          <w:rStyle w:val="FootnoteReference"/>
        </w:rPr>
        <w:footnoteReference w:id="18"/>
      </w:r>
      <w:bookmarkStart w:id="0" w:name="OLE_LINK1"/>
      <w:bookmarkEnd w:id="0"/>
      <w:bookmarkStart w:id="1" w:name="OLE_LINK2"/>
      <w:bookmarkEnd w:id="1"/>
      <w:r>
        <w:t xml:space="preserve"> </w:t>
      </w:r>
      <w:r>
        <w:t xml:space="preserve">(RAP 27.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Norādiet atsauci uz juridiskā pamata attiecīgo noteikumu, kurā ir paredzēts, ka MVU gadījumā attiecināmajās izmaksās var ietvert ne vairāk kā 50 % no priekšizpētes vai konsultāciju izmaksām, kas saistītas ar ieguldījumu (RAP 28. punkts).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Norādiet atsauci uz juridiskā pamata attiecīgo noteikumu, kurā ir paredzēts, ka attiecībā uz atbalstu, ko piešķir lielajiem uzņēmumiem būtisku izmaiņu veikšanai ražošanas procesā, attiecināmās izmaksas pārsniedz ar modernizējamo darbību saistīto aktīvu amortizāciju pēdējo triju fiskālo gadu laikā (RAP 29. punkts).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Norādiet atsauci uz juridiskā pamata attiecīgo noteikumu, kurā ir paredzēts, ka attiecībā uz atbalstu, ko piešķir esošas uzņēmējdarbības vietas darbības dažādošanai, attiecināmās izmaksas par vismaz 200 % pārsniedz atkārtoti izmantoto aktīvu uzskaites vērtību, kas reģistrēta iepriekšējā fiskālajā gadā pirms darbu sākuma (RAP 30. punkts).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Gadījumos, kad paredzēta materiālo aktīvu noma, norādiet atsauces uz juridiskā pamata attiecīgajiem noteikumiem, kuros ir paredzēta turpmāk minēto nosacījumu izpilde (RAP 31. punkts):</w:t>
      </w:r>
      <w:r>
        <w:rPr>
          <w:color w:val="000000"/>
        </w:rPr>
        <w:t xml:space="preserve"> </w:t>
      </w:r>
    </w:p>
    <w:p w14:paraId="3CC0A357" w14:textId="77777777" w:rsidR="00216490" w:rsidRDefault="00216490" w:rsidP="00CB4B02">
      <w:pPr>
        <w:pStyle w:val="NumPar3"/>
        <w:ind w:left="1701" w:hanging="283"/>
      </w:pPr>
      <w:r>
        <w:t xml:space="preserve">•</w:t>
      </w:r>
      <w:r>
        <w:tab/>
      </w:r>
      <w:r>
        <w:t xml:space="preserve">ja tiek nomāta zeme un ēkas, lielo uzņēmumu gadījumā nomai jāilgst vismaz piecus gadus, bet MVU gadījumā vismaz trīs gadus pēc ieguldījuma pabeigšanas paredzamā datuma;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ja tiek nomāta ražotne vai tehnika, nomai jābūt finanšu izpirkumnomai (līzingam) un tās līgumā jābūt noteiktam atbalsta saņēmēja pienākumam pēc nomas termiņa beigām aktīvus izpirkt.</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RAP 32. punktā ir noteikts, ka uzņēmējdarbības vietas iegādes gadījumā “</w:t>
      </w:r>
      <w:r>
        <w:rPr>
          <w:color w:val="000000"/>
          <w:i/>
        </w:rPr>
        <w:t xml:space="preserve">principā ņem vērā tikai izmaksas par aktīvu iegādi no trešām personām, kas nav saistītas ar pircēju.</w:t>
      </w:r>
      <w:r>
        <w:rPr>
          <w:color w:val="000000"/>
          <w:i/>
        </w:rPr>
        <w:t xml:space="preserve"> </w:t>
      </w:r>
      <w:r>
        <w:rPr>
          <w:color w:val="000000"/>
          <w:i/>
        </w:rPr>
        <w:t xml:space="preserve">Tomēr nosacījums par aktīvu iegādi no trešām personām, kas nav saistītas ar pircēju, nav piemērojams, ja sākotnējā īpašnieka ģimenes loceklis vai darbinieks pārņem mazu uzņēmumu.</w:t>
      </w:r>
      <w:r>
        <w:rPr>
          <w:color w:val="000000"/>
          <w:i/>
        </w:rPr>
        <w:t xml:space="preserve"> </w:t>
      </w:r>
      <w:r>
        <w:rPr>
          <w:color w:val="000000"/>
          <w:i/>
        </w:rPr>
        <w:t xml:space="preserve">Darījumam jānotiek atbilstoši tirgus nosacījumiem.</w:t>
      </w:r>
      <w:r>
        <w:rPr>
          <w:color w:val="000000"/>
          <w:i/>
        </w:rPr>
        <w:t xml:space="preserve"> </w:t>
      </w:r>
      <w:r>
        <w:rPr>
          <w:color w:val="000000"/>
          <w:i/>
        </w:rPr>
        <w:t xml:space="preserve">Ja uzņēmējdarbības vietas aktīvu iegāde tiek apvienota ar papildu ieguldījumiem, par kuriem var saņemt reģionālo atbalstu, šo papildu ieguldījumu attiecināmās izmaksas jāpieskaita uzņēmējdarbības vietas aktīvu iegādes izmaksām</w:t>
      </w:r>
      <w:r>
        <w:rPr>
          <w:color w:val="000000"/>
        </w:rPr>
        <w:t xml:space="preserve">”.</w:t>
      </w:r>
      <w:r>
        <w:rPr>
          <w:color w:val="000000"/>
        </w:rPr>
        <w:t xml:space="preserve"> </w:t>
      </w:r>
    </w:p>
    <w:p w14:paraId="70A68FF7" w14:textId="77777777" w:rsidR="00CB4B02" w:rsidRDefault="00561589" w:rsidP="00D23668">
      <w:pPr>
        <w:pStyle w:val="NumPar3"/>
        <w:ind w:left="1418"/>
      </w:pPr>
      <w:r>
        <w:t xml:space="preserve">Ja minētais attiecas uz paziņojamo shēmu, norādiet atsauces uz juridiskā pamata attiecīgajiem noteikumiem, kuros ir paredzēta šo nosacījumu izpilde.</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Ja shēmas attiecināmās izmaksas attiecas uz nemateriālajiem aktīviem (RAP 19. punkta 15) apakšpunkts), norādiet, vai ieguldījumu vērtība ir noteikta, balstoties uz izdevumiem, ko rada tehnoloģiju pārnese patentu tiesību, licenču, zinātības vai cita intelektuālā īpašuma iegādes ceļā:</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patentu tiesības</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licences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zinātība</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cits intelektuālais īpašums</w:t>
      </w:r>
    </w:p>
    <w:p w14:paraId="78A2921B" w14:textId="5E1AB8D8" w:rsidR="005936C8" w:rsidRDefault="005936C8" w:rsidP="00D23668">
      <w:pPr>
        <w:pStyle w:val="Text2"/>
        <w:spacing w:before="120" w:after="120"/>
        <w:ind w:left="1418"/>
        <w:rPr>
          <w:rFonts w:cs="Times New Roman"/>
        </w:rPr>
      </w:pPr>
      <w:r>
        <w:t xml:space="preserve">Norādiet atsauces uz juridiskā pamata attiecīgajiem noteikumiem.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Norādiet atsauces uz juridiskā pamata attiecīgajiem noteikumiem, kuros ir paredzēts, ka attiecībā uz lielajiem uzņēmumiem nemateriālo ieguldījumu izmaksas ir attiecināmas lielākais 50 % apmērā no projekta kopējām attiecināmajām ieguldījumu izmaksām (RAP 33.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Norādiet atsauces uz juridiskā pamata attiecīgajiem noteikumiem, kuros ir paredzēts, ka ir jāizpilda RAP 34. punkta nosacījumi</w:t>
      </w:r>
      <w:r>
        <w:rPr>
          <w:rFonts w:cs="Times New Roman"/>
          <w:color w:val="000000"/>
          <w:vertAlign w:val="superscript"/>
        </w:rPr>
        <w:footnoteReference w:id="19"/>
      </w:r>
      <w:r>
        <w:rPr>
          <w:color w:val="000000"/>
        </w:rPr>
        <w:t xml:space="preserve">.</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Attiecināmo izmaksu aprēķināšana uz algu izmaksu pamata</w:t>
      </w:r>
    </w:p>
    <w:p w14:paraId="13E0BDA7" w14:textId="77777777" w:rsidR="00F330CB" w:rsidRPr="008C2DA8" w:rsidRDefault="009E28B0" w:rsidP="001452D1">
      <w:pPr>
        <w:pStyle w:val="NumPar3"/>
        <w:numPr>
          <w:ilvl w:val="2"/>
          <w:numId w:val="2"/>
        </w:numPr>
        <w:spacing w:before="240"/>
        <w:ind w:left="1418" w:hanging="698"/>
      </w:pPr>
      <w:r>
        <w:t xml:space="preserve">Norādiet atsauces uz juridiskā pamata attiecīgajiem noteikumiem, kuros ir paredzēts, kā tiek noteiktas attiecināmās izmaksas, kas aprēķinātas, pamatojoties uz algu izmaksām (RAP 35. punkts), kā tiek aprēķināts radāmo darbvietu skaits (RAP 19. punkta 16) apakšpunkts) un kā tiek noteiktas darbā pieņemto vai vēl pieņemamo personu algu izmaksas (RAP 19. punkta 33) apakšpunkts).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Attiecināmo izmaksu diskontētās vērtības aprēķins</w:t>
      </w:r>
    </w:p>
    <w:p w14:paraId="647EE464" w14:textId="77777777" w:rsidR="00E538B5" w:rsidRPr="00CB4B02" w:rsidRDefault="00E538B5" w:rsidP="00B209F9">
      <w:pPr>
        <w:pStyle w:val="NumPar3"/>
        <w:numPr>
          <w:ilvl w:val="2"/>
          <w:numId w:val="2"/>
        </w:numPr>
        <w:spacing w:before="240"/>
        <w:rPr>
          <w:rFonts w:cs="Times New Roman"/>
        </w:rPr>
      </w:pPr>
      <w:r>
        <w:t xml:space="preserve">Norādiet shēmas ietvaros atļautos atbalsta veidus:</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dotācijas.</w:t>
      </w:r>
      <w:r>
        <w:t xml:space="preserve"> </w:t>
      </w:r>
      <w:r>
        <w:t xml:space="preserve">Norādiet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aizdevumi.</w:t>
      </w:r>
      <w:r>
        <w:t xml:space="preserve"> </w:t>
      </w:r>
      <w:r>
        <w:t xml:space="preserve">Norādiet, kā tiks aprēķināts dotācijas ekvivalents, un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garantijas.</w:t>
      </w:r>
      <w:r>
        <w:t xml:space="preserve"> </w:t>
      </w:r>
      <w:r>
        <w:t xml:space="preserve">Norādiet, kā tiks aprēķināts dotācijas ekvivalents, un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nodokļu atvieglojumi.</w:t>
      </w:r>
      <w:r>
        <w:t xml:space="preserve"> </w:t>
      </w:r>
      <w:r>
        <w:t xml:space="preserve">Norādiet konkrēto pasākumu veidu un to, kā tiks aprēķināts dotācijas ekvivalents.</w:t>
      </w:r>
      <w:r>
        <w:t xml:space="preserve"> </w:t>
      </w:r>
      <w:r>
        <w:t xml:space="preserve">Norādiet arī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cits.</w:t>
      </w:r>
      <w:r>
        <w:t xml:space="preserve"> </w:t>
      </w:r>
      <w:r>
        <w:t xml:space="preserve">Norādiet atbalsta veidu un to, kā tiks aprēķināts dotācijas ekvivalents.</w:t>
      </w:r>
      <w:r>
        <w:t xml:space="preserve"> </w:t>
      </w:r>
      <w:r>
        <w:t xml:space="preserve">Norādiet arī atsauces uz juridiskā pamata attiecīgajiem noteikumiem:</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Vai atbalsta shēma kvalificējas līdzfinansēšanai no kāda no ES fondiem, kuri tiek īstenoti dalītajā pārvaldībā (“fondi”)?</w:t>
      </w:r>
      <w:r>
        <w:t xml:space="preserve"> </w:t>
      </w:r>
      <w:r>
        <w:t xml:space="preserve">Ja kvalificējas, norādiet, no kuras programmas varētu tikt saņemts finansējums.</w:t>
      </w:r>
      <w:r>
        <w:t xml:space="preserve"> </w:t>
      </w:r>
      <w:r>
        <w:t xml:space="preserve">Norādiet arī piesaistāmā fondu finansējuma summu, ja tā šajā posmā ir jau zināma.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Norādiet atsauces uz juridiskā pamata attiecīgajiem noteikumiem, kuros ir paredzēts, ka atbalsta piešķīrējiestādei pirms individuālā atbalsta piešķiršanas paziņotās shēmas ietvaros ir jānoskaidro, vai saņēmējs (grupas līmenī) ir saņēmis atbalstu par vienu vai vairākiem sākotnējiem ieguldījumiem, kuri sākti tajā pašā </w:t>
      </w:r>
      <w:r>
        <w:rPr>
          <w:i/>
          <w:iCs/>
        </w:rPr>
        <w:t xml:space="preserve">NUTS</w:t>
      </w:r>
      <w:r>
        <w:t xml:space="preserve"> 3. līmeņa reģionā triju gadu laikā pirms dienas, kad paredzēts sākt darbus pie konkrētā ieguldījumu projekta.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Norādiet atsauces uz juridiskā pamata attiecīgajiem noteikumiem, kuros ir paredzēts, ka nevienam sākotnējo ieguldījumu projektam shēmas ietvaros piešķiramā atbalsta kopsumma nepārsniegs summu, kas izriet no “atbalsta maksimālās intensitātes” (definēta RAP 19. punkta 19) apakšpunktā), MVU gadījumā ņemot vērā atbalsta palielināto intensitāti (saskaņā ar RAP 186. punktu), vai attiecīgā gadījumā “atbalsta koriģēto summu” (saskaņā ar RAP 19. punkta 3) apakšpunktu).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Norādiet atsauces uz juridiskā pamata attiecīgajiem noteikumiem, kuros ir paredzēts, ka, ja individuālo atbalstu paredzēts piešķirt no vairākām reģionālā atbalsta shēmām vai kumulēt ar </w:t>
      </w:r>
      <w:r>
        <w:rPr>
          <w:i/>
        </w:rPr>
        <w:t xml:space="preserve">ad hoc</w:t>
      </w:r>
      <w:r>
        <w:t xml:space="preserve"> atbalstu, pirmā piešķīrējiestāde iepriekš aprēķina šā projekta maksimāli pieļaujamo atbalsta intensitāti (RAP 99.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Ja atbalsta shēma pieļauj atbalstu sākotnējiem ieguldījumiem, kas saistīti ar Eiropas teritoriālās sadarbības (ETS) projektiem, norādiet atsauces uz juridiskā pamata attiecīgajiem noteikumiem, kuros saskaņā ar RAP 100. punkta noteikumiem ir paredzēts, kā tiks noteikta projektam un visiem attiecīgajiem atbalsta saņēmējiem piemērojamā atbalsta maksimālā intensitāte.</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Atbalsta shēmas saderības novērtējums</w:t>
            </w:r>
          </w:p>
        </w:tc>
      </w:tr>
    </w:tbl>
    <w:p w14:paraId="2C690D30" w14:textId="77777777" w:rsidR="006D4360" w:rsidRPr="007965FE" w:rsidRDefault="006D4360" w:rsidP="007965FE">
      <w:pPr>
        <w:pStyle w:val="NormalKop11"/>
        <w:rPr>
          <w:b/>
        </w:rPr>
      </w:pPr>
      <w:r>
        <w:rPr>
          <w:b/>
        </w:rPr>
        <w:t xml:space="preserve">Reģionālās attīstības sekmēšana, pozitīvā ietekme un valsts iejaukšanās nepieciešamība</w:t>
      </w:r>
    </w:p>
    <w:p w14:paraId="552BABED" w14:textId="77777777" w:rsidR="006D4360" w:rsidRDefault="006D4360" w:rsidP="00B209F9">
      <w:pPr>
        <w:pStyle w:val="NumPar3"/>
        <w:numPr>
          <w:ilvl w:val="2"/>
          <w:numId w:val="2"/>
        </w:numPr>
        <w:spacing w:before="240"/>
        <w:ind w:left="1440" w:hanging="720"/>
      </w:pPr>
      <w:r>
        <w:t xml:space="preserve">Paskaidrojiet, kāpēc šī shēma atbilst attiecīgā apgabala attīstības stratēģijai un sekmē tās īstenošanu (RAP 44. punkts).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Norādiet atsauces uz juridiskā pamata attiecīgajiem noteikumiem, kuros ir ietverta prasība, ka tad, ja to paredz tiesību akti, pirms atbalsta piešķiršanas individuāliem projektiem par attiecīgajiem ieguldījumiem jāveic vidiskās ietekmes novērtējums (“VIN”) (RAP 49.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Paskaidrojiet, kā piešķīrējiestādes sarindos ieguldījumu projektus atbilstoši prioritātēm un atlasīs tos, kuri atbilst shēmas mērķiem (piemēram, uz punktu metodes pamata) (RAP 44. punkts).</w:t>
      </w:r>
      <w:r>
        <w:t xml:space="preserve"> </w:t>
      </w:r>
      <w:r>
        <w:t xml:space="preserve">Norādiet arī atsauces uz juridiskā pamata attiecīgajiem noteikumiem vai citiem administratīvajiem aktiem, kuri attiecas uz šo.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Paskaidrojiet, kā, uz paziņojamās shēmas pamata piešķirot atbalstu individuāliem ieguldījumu projektiem, atbalsta piešķīrējiestāde pārliecināsies, ka atlasītais projekts vai projekti sekmēs shēmas mērķa sasniegšanu un līdz ar to arī attiecīgā apgabala attīstības stratēģijas īstenošanu</w:t>
      </w:r>
      <w:r>
        <w:t xml:space="preserve"> </w:t>
      </w:r>
      <w:r>
        <w:t xml:space="preserve">(RAP 46.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Paskaidrojiet, kā paredzēts īstenot noteikumu, ka ieguldījumiem, kas atbalstīti paziņojamās shēmas ietvaros, jāpaliek attiecīgajā apgabalā vismaz piecus gadus vai MVU gadījumā trīs gadus pēc to pabeigšanas (RAP 47. punkts).</w:t>
      </w:r>
      <w:r>
        <w:t xml:space="preserve"> </w:t>
      </w:r>
      <w:r>
        <w:t xml:space="preserve">Norādiet atsauces uz juridiskā pamata attiecīgajiem noteikumiem.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Ja atbalsts paziņojamās shēmas ietvaros tiek aprēķināts, balstoties uz algu izmaksām, paskaidrojiet, kā tiks izpildīts noteikums, kas paredz, ka darbvietas ir jāizveido triju gadu laikā no ieguldījuma pabeigšanas un ka katra darbvieta, kas radīta konkrētā ieguldījuma rezultātā, attiecīgajā apgabalā jāsaglabā vismaz piecus gadus vai MVU gadījumā trīs gadus no dienas, kad attiecīgā amata vieta pirmo reizi aizpildīta (RAP 36. punkts).</w:t>
      </w:r>
      <w:r>
        <w:t xml:space="preserve"> </w:t>
      </w:r>
      <w:r>
        <w:t xml:space="preserve">Norādiet atsauci uz juridiskā pamata attiecīgo noteikumu.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Norādiet atsauces uz juridiskā pamata attiecīgajiem noteikumiem, kuros ir paredzēts, ka saņēmējiem jānodrošina finansējums vismaz 25 % apmērā no attiecināmajām izmaksām, izmantojot pašu līdzekļus vai ārējo finansējumu, par ko nav saņemts nekāds publiskais atbalsts</w:t>
      </w:r>
      <w:r>
        <w:rPr>
          <w:vertAlign w:val="superscript"/>
        </w:rPr>
        <w:footnoteReference w:id="20"/>
      </w:r>
      <w:r>
        <w:t xml:space="preserve"> </w:t>
      </w:r>
      <w:r>
        <w:t xml:space="preserve">(RAP 48.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Norādiet atsauces uz juridiskā pamata attiecīgajiem noteikumiem, kuros ir paredzēts, ka shēmā ir jābūt ievērotām maksimālajām intensitātēm, kuras noteiktas reģionālā atbalsta kartē, kas ir piemērojama atbalsta piešķiršanas laikā (RAP 88. punkts).</w:t>
      </w:r>
      <w:r>
        <w:t xml:space="preserve"> </w:t>
      </w:r>
      <w:r>
        <w:t xml:space="preserve">Norādiet arī atsauci uz Komisijas lēmumu, ar kuru apstiprināta attiecīgā reģionālā atbalsta karte.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Shēmas stimulējošā ietekme</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Norādiet atsauces uz juridiskā pamata attiecīgajiem noteikumiem, kuros ir paredzēts, ka atbalsta pieteikumam jābūt iesniegtam pirms darbu sākšanas pie konkrētā ieguldījumu projekta (RAP 62.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Norādiet atsauces uz juridiskā pamata attiecīgajiem noteikumiem, kuros ir paredzēts, ka atbalsta pieteikuma iesniedzējiem paziņojamās shēmas ietvaros būs pienākums izmantot pieteikuma standartveidni, kuru nodrošina atbalsta piešķīrējiestāde un kurā tiem jāapraksta hipotētiskais scenārijs, t. i., kas notiktu, ja atbalsts tiem netiktu piešķirts, un jānorāda, kurš no scenārijiem (</w:t>
      </w:r>
      <w:r>
        <w:rPr>
          <w:i/>
        </w:rPr>
        <w:t xml:space="preserve">1. scenārijs</w:t>
      </w:r>
      <w:r>
        <w:t xml:space="preserve"> – lēmums par ieguldījumiem – vai </w:t>
      </w:r>
      <w:r>
        <w:rPr>
          <w:i/>
        </w:rPr>
        <w:t xml:space="preserve">2. scenārijs</w:t>
      </w:r>
      <w:r>
        <w:t xml:space="preserve"> – lēmums par atrašanās vietu) ir atbilstošais (RAP 64. un 59. punkts).</w:t>
      </w:r>
      <w:r>
        <w:rPr>
          <w:color w:val="000000"/>
        </w:rPr>
        <w:t xml:space="preserve"> </w:t>
      </w:r>
      <w:r>
        <w:rPr>
          <w:color w:val="000000"/>
        </w:rPr>
        <w:t xml:space="preserve">Ja pieteikuma standartveidnē prasītā informācija atšķiras no RAP VII pielikumā noteiktās informācijas, iesniedziet veidnes kopiju.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Norādiet atsauces uz juridiskā pamata attiecīgajiem noteikumiem, kuros ir paredzēts, ka lielajiem uzņēmumiem, kuri piesakās uz atbalstu paziņojamās shēmas ietvaros, ir jāiesniedz dokumentāri pierādījumi, kas pamato aprakstīto hipotētisko scenāriju</w:t>
      </w:r>
      <w:r>
        <w:t xml:space="preserve"> </w:t>
      </w:r>
      <w:r>
        <w:t xml:space="preserve">(RAP 65. punkts).</w:t>
      </w:r>
      <w:r>
        <w:t xml:space="preserve"> </w:t>
      </w:r>
      <w:r>
        <w:t xml:space="preserve">Norādiet arī, kāda veida dokumenti tiks prasīti.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Norādiet atsauces uz juridiskā pamata attiecīgajiem noteikumiem, kuros ir paredzēts, ka, novērtējot individuālā atbalsta pieteikumus, atbalsta piešķīrējiestādei ir pienākums veikt iesniegtā hipotētiskā scenārija ticamības pārbaudi un pārliecināties, ka reģionālajam atbalstam ir nepieciešamā stimulējošā ietekme, kas atbilst </w:t>
      </w:r>
      <w:r>
        <w:rPr>
          <w:i/>
          <w:iCs/>
        </w:rPr>
        <w:t xml:space="preserve">1. scenārijam</w:t>
      </w:r>
      <w:r>
        <w:t xml:space="preserve"> vai </w:t>
      </w:r>
      <w:r>
        <w:rPr>
          <w:i/>
          <w:iCs/>
        </w:rPr>
        <w:t xml:space="preserve">2. scenārijam</w:t>
      </w:r>
      <w:r>
        <w:rPr>
          <w:rStyle w:val="FootnoteReference"/>
        </w:rPr>
        <w:footnoteReference w:id="21"/>
      </w:r>
      <w:r>
        <w:t xml:space="preserve"> (RAP 66.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Shēmas piemērotība</w:t>
      </w:r>
    </w:p>
    <w:p w14:paraId="5713798C" w14:textId="77777777" w:rsidR="00485C14" w:rsidRDefault="00FE3973" w:rsidP="0026473A">
      <w:pPr>
        <w:pStyle w:val="NormalKop111"/>
        <w:numPr>
          <w:ilvl w:val="2"/>
          <w:numId w:val="2"/>
        </w:numPr>
        <w:ind w:left="1440" w:hanging="720"/>
      </w:pPr>
      <w:r>
        <w:t xml:space="preserve">Paskaidrojiet, kāpēc reģionālais atbalsts ir piemērotākais instruments konkrētā apgabala attīstības sekmēšanai</w:t>
      </w:r>
      <w:r>
        <w:rPr>
          <w:rStyle w:val="FootnoteReference"/>
        </w:rPr>
        <w:footnoteReference w:id="22"/>
      </w:r>
      <w:r>
        <w:t xml:space="preserve"> (RAP 80.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Ja shēma attiecas uz konkrētu nozari, norādiet šādas shēmas priekšrocības salīdzinājumā ar daudznozaru atbalsta shēmu vai citiem risinājumiem (RAP 81.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Norādiet, vai individuālais atbalsts paziņojamās shēmas ietvaros tiks piešķirts:</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automātiski, ja būs izpildīti shēmas nosacījumi, vai</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pēc iestāžu ieskatiem (uz lēmuma pamata).</w:t>
      </w:r>
    </w:p>
    <w:p w14:paraId="05F07C80" w14:textId="77777777" w:rsidR="003F2F3D" w:rsidRDefault="00590071" w:rsidP="00590071">
      <w:pPr>
        <w:pStyle w:val="Text2"/>
        <w:ind w:left="1418"/>
      </w:pPr>
      <w:r>
        <w:t xml:space="preserve">Norādiet atsauci uz juridiskā pamata attiecīgo noteikumu.</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Ja atbalsts tiks piešķirts pēc iestāžu ieskatiem, īsi aprakstiet izmantojamos kritērijus un pievienojiet kopiju ar piešķīrējiestādes iekšējiem administratīvajiem noteikumiem, kas piemērojami atbalsta piešķiršanai.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Ja atbalstu shēmas ietvaros paredzēts piešķirt veidos, kas sniedz tiešas finansiālas priekšrocības</w:t>
      </w:r>
      <w:r>
        <w:rPr>
          <w:vertAlign w:val="superscript"/>
        </w:rPr>
        <w:footnoteReference w:id="23"/>
      </w:r>
      <w:r>
        <w:t xml:space="preserve">, pamatojiet, kāpēc piemērotāki nav citi, iespējami mazāk kropļojoši atbalsta veidi, piemēram, atmaksājami avansi vai atbalsts parāda vai kapitāla instrumentu formā</w:t>
      </w:r>
      <w:r>
        <w:rPr>
          <w:rStyle w:val="FootnoteReference"/>
        </w:rPr>
        <w:footnoteReference w:id="24"/>
      </w:r>
      <w:r>
        <w:t xml:space="preserve"> (RAP 85. punkts).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Shēmas stimulējošā ietekme un samērīgums</w:t>
      </w:r>
    </w:p>
    <w:p w14:paraId="348AF344" w14:textId="77777777" w:rsidR="00132132" w:rsidRDefault="00FF0F35" w:rsidP="00DB5B5A">
      <w:pPr>
        <w:pStyle w:val="NumPar3"/>
        <w:numPr>
          <w:ilvl w:val="2"/>
          <w:numId w:val="2"/>
        </w:numPr>
        <w:spacing w:before="240"/>
        <w:ind w:left="1440" w:hanging="720"/>
      </w:pPr>
      <w:r>
        <w:t xml:space="preserve">Norādiet atsauces uz juridiskā pamata attiecīgajiem noteikumiem, kuros ir paredzēts, ka individuālais atbalsts, kas paziņojamās shēmas ietvaros tiks piešķirts lielajiem uzņēmumiem, nepārsniegs ieguldīšanas neto papildu izmaksas attiecīgajā apgabalā salīdzinājumā ar hipotētisko scenāriju, kurā atbalsts netiek sniegts, atbilstoši metodēm, kas skaidrotas attiecīgi RAP 96. un 97. punktā (RAP 95. punkts).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Izvairīšanās no nepamatotas negatīvās ietekmes uz konkurenci un tirdzniecību</w:t>
      </w:r>
    </w:p>
    <w:p w14:paraId="6AAEB69D" w14:textId="77777777" w:rsidR="00684D63" w:rsidRDefault="00684D63" w:rsidP="00DB5B5A">
      <w:pPr>
        <w:pStyle w:val="NumPar3"/>
        <w:numPr>
          <w:ilvl w:val="2"/>
          <w:numId w:val="2"/>
        </w:numPr>
        <w:spacing w:before="240"/>
        <w:ind w:left="1440" w:hanging="720"/>
      </w:pPr>
      <w:r>
        <w:t xml:space="preserve">Paskaidrojiet, kā līdz minimumam tiks samazināti paziņojamās atbalsta shēmas izraisītie konkurences un tirdzniecības izkropļojumi (RAP 120. punkts)</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Norādiet atsauces uz juridiskā pamata attiecīgajiem noteikumiem, kuros ir paredzēts, ka, uz shēmas pamata piešķirot atbalstu individuāliem projektiem, piešķīrējiestāde pārbaudīs un pārliecināsies, ka atbalsts neradīs acīmredzamu negatīvo ietekmi, tādu kā jaudas pārpalikuma radīšana tirgū, kas piedzīvo absolūtu lejupslīdi (RAP 112. līdz 115. punkts), kohēziju mazinoša ietekme (RAP 116. un 117. punkts) vai pārcelšana (RAP 118. punkts) (RAP 121. punkts).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Pārredzamība</w:t>
      </w:r>
    </w:p>
    <w:p w14:paraId="5D8729A0" w14:textId="77777777" w:rsidR="0047707E" w:rsidRPr="004A0583" w:rsidRDefault="0047707E" w:rsidP="007F52B1">
      <w:pPr>
        <w:pStyle w:val="NumPar3"/>
        <w:numPr>
          <w:ilvl w:val="1"/>
          <w:numId w:val="2"/>
        </w:numPr>
        <w:spacing w:before="240"/>
        <w:ind w:left="1418" w:hanging="698"/>
      </w:pPr>
      <w:r>
        <w:t xml:space="preserve">Aplieciniet, ka lēmuma par individuālā atbalsta piešķiršanu vai apstiprinātās atbalsta shēmas un attiecīgo īstenošanas noteikumu pilns teksts vai saite uz to un informācija par katru individuālā atbalsta piešķīrumu, kas pārsniedz 100 000 EUR, atbilstoši VIII pielikumā sniegtajai struktūrai tiks publicēti Eiropas Komisijas Atbalsta pārredzamības modulī (</w:t>
      </w:r>
      <w:r>
        <w:rPr>
          <w:i/>
          <w:iCs/>
        </w:rPr>
        <w:t xml:space="preserve">TAM</w:t>
      </w:r>
      <w:r>
        <w:t xml:space="preserve">) vai visaptverošā valsts atbalsta vietnē valsts vai reģionālā līmenī</w:t>
      </w:r>
      <w:r>
        <w:rPr>
          <w:rStyle w:val="FootnoteReference"/>
        </w:rPr>
        <w:footnoteReference w:id="26"/>
      </w:r>
      <w:r>
        <w:t xml:space="preserve"> sešu mēnešu laikā no atbalsta piešķiršanas dienas vai, ja atbalsts ir nodokļu atvieglojumu veidā, – viena gada laikā no dienas, kad jāiesniedz nodokļu deklarācija.</w:t>
      </w:r>
      <w:bookmarkStart w:id="2" w:name="_Ref44059869"/>
      <w:bookmarkEnd w:id="2"/>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Jā</w:t>
      </w:r>
    </w:p>
    <w:p w14:paraId="419E66FE" w14:textId="77777777" w:rsidR="0047707E" w:rsidRDefault="0047707E" w:rsidP="007F52B1">
      <w:pPr>
        <w:pStyle w:val="NumPar3"/>
        <w:numPr>
          <w:ilvl w:val="1"/>
          <w:numId w:val="2"/>
        </w:numPr>
        <w:spacing w:before="240"/>
        <w:ind w:left="1418" w:hanging="698"/>
      </w:pPr>
      <w:r>
        <w:t xml:space="preserve">Norādiet atsauces uz juridiskā pamata attiecīgajiem noteikumiem, kuros ir paredzēts, ka piešķīrējiestādei par paziņotajām valsts atbalsta shēmām Atbalsta pārredzamības modulī vai visaptverošā valsts atbalsta vietnē valsts vai reģionālā līmenī</w:t>
      </w:r>
      <w:r>
        <w:rPr>
          <w:rStyle w:val="FootnoteReference"/>
        </w:rPr>
        <w:footnoteReference w:id="27"/>
      </w:r>
      <w:r>
        <w:t xml:space="preserve"> jāpublicē vismaz šāda informācija:</w:t>
      </w:r>
      <w:r>
        <w:t xml:space="preserve"> </w:t>
      </w:r>
      <w:r>
        <w:t xml:space="preserve">paziņotās atbalsta shēmas un attiecīgo īstenošanas noteikumu teksts, piešķīrējiestāde, individuālie saņēmēji, atbalsta summa vienam saņēmējam un atbalsta intensitāte</w:t>
      </w:r>
      <w:r>
        <w:t xml:space="preserve"> </w:t>
      </w:r>
      <w:r>
        <w:t xml:space="preserve">(RAP 136. punkts).</w:t>
      </w:r>
    </w:p>
    <w:p w14:paraId="74E1FB55" w14:textId="77777777" w:rsidR="0047707E" w:rsidRDefault="0047707E" w:rsidP="00DB5B5A">
      <w:pPr>
        <w:pStyle w:val="NumPar3"/>
        <w:spacing w:before="240"/>
        <w:ind w:left="426"/>
      </w:pPr>
      <w:r>
        <w:t xml:space="preserve">Ja minētie noteikumi nav pieņemti, paskaidrojiet, kāpēc.</w:t>
      </w:r>
      <w:r>
        <w:t xml:space="preserve"> </w:t>
      </w:r>
      <w:r>
        <w:t xml:space="preserve">Savukārt tad, ja minētie noteikumi nav ietverti paziņotās shēmas juridiskajā pamatā, bet citos tiesību aktos, norādiet to.</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Norādiet atsauces uz juridiskā pamata attiecīgajiem noteikumiem, kuros ir paredzēts, ka iepriekš minētā informācija sabiedrībai bez jebkādiem ierobežojumiem būs pieejama vismaz 10 gadus no atbalsta piešķiršanas dienas</w:t>
      </w:r>
      <w:r>
        <w:t xml:space="preserve"> </w:t>
      </w:r>
      <w:r>
        <w:t xml:space="preserve">(RAP 140. punkts).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Izvērtēšana, pārskatu sniegšana un uzraudzība</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Izvērtēšana</w:t>
      </w:r>
    </w:p>
    <w:p w14:paraId="594EFB7A" w14:textId="77777777" w:rsidR="0047707E" w:rsidRDefault="0047707E" w:rsidP="001452D1">
      <w:pPr>
        <w:pStyle w:val="NumPar3"/>
        <w:numPr>
          <w:ilvl w:val="2"/>
          <w:numId w:val="2"/>
        </w:numPr>
        <w:spacing w:before="240"/>
        <w:ind w:left="1418" w:hanging="698"/>
      </w:pPr>
      <w:r>
        <w:t xml:space="preserve">Norādiet SA numurus par visām līdzšinējām un īstenošanā esošajām atbalsta shēmām ar līdzīgu mērķi un ģeogrāfisko tvērumu</w:t>
      </w:r>
      <w:r>
        <w:t xml:space="preserve"> </w:t>
      </w:r>
      <w:r>
        <w:t xml:space="preserve">(RAP 144. punkts).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Vai par kādu no iepriekšējā punktā uzskaitītajām valsts atbalsta shēmām ir veikts </w:t>
      </w:r>
      <w:r>
        <w:rPr>
          <w:i/>
        </w:rPr>
        <w:t xml:space="preserve">ex post</w:t>
      </w:r>
      <w:r>
        <w:t xml:space="preserve"> izvērtējums</w:t>
      </w:r>
      <w:r>
        <w:t xml:space="preserve"> </w:t>
      </w:r>
      <w:r>
        <w:t xml:space="preserve">(RAP 144. punkts)?</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6D9A940C" w14:textId="77777777" w:rsidR="0047707E" w:rsidRDefault="0047707E" w:rsidP="00DB5B5A">
      <w:pPr>
        <w:pStyle w:val="NumPar3"/>
        <w:spacing w:before="240"/>
        <w:ind w:left="709"/>
      </w:pPr>
      <w:r>
        <w:t xml:space="preserve">Ja atbilde ir “Jā”, sniedziet šo </w:t>
      </w:r>
      <w:r>
        <w:rPr>
          <w:i/>
        </w:rPr>
        <w:t xml:space="preserve">ex post</w:t>
      </w:r>
      <w:r>
        <w:t xml:space="preserve"> izvērtējumu galveno rezultātu īsu kopsavilkumu (attiecīgā gadījumā norādiet atsauci un vietnes saiti).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Aprakstiet, kā šo izvērtējumu rezultāti ir ņemti vērā, izstrādājot jauno shēmu.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Norādiet, vai shēmai paredzētā valsts atbalsta budžets jebkurā gadā pārsniedz 150 miljonus EUR (RAP 143. punkts).</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1481B715" w14:textId="77777777" w:rsidR="0047707E" w:rsidRDefault="00877F82" w:rsidP="0047707E">
      <w:pPr>
        <w:pStyle w:val="NumPar3"/>
        <w:spacing w:before="240"/>
        <w:ind w:left="1418"/>
      </w:pPr>
      <w:r>
        <w:t xml:space="preserve">Norādiet, vai shēmai paredzētā valsts atbalsta budžets shēmas kopējā darbības periodā (t. i., periodā, kurā darbosies konkrētā shēma un darbojās iespējamā iepriekšējā shēma ar līdzīgu mērķi un ģeogrāfisko tvērumu, skaitot no 2022. gada 1. janvāra) pārsniedz 750 miljonus EUR.</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04565C51" w14:textId="77777777" w:rsidR="0047707E" w:rsidRDefault="0047707E" w:rsidP="00AC71FD">
      <w:pPr>
        <w:pStyle w:val="NumPar3"/>
        <w:numPr>
          <w:ilvl w:val="2"/>
          <w:numId w:val="2"/>
        </w:numPr>
        <w:spacing w:before="240"/>
        <w:ind w:left="1418" w:hanging="720"/>
      </w:pPr>
      <w:r>
        <w:t xml:space="preserve">Saskaņā ar RAP 143. punktu norādiet, vai runa ir par:</w:t>
      </w:r>
    </w:p>
    <w:p w14:paraId="00204381" w14:textId="77777777" w:rsidR="0047707E" w:rsidRDefault="0047707E" w:rsidP="0047707E">
      <w:pPr>
        <w:spacing w:before="120" w:after="120"/>
        <w:ind w:left="1701" w:hanging="283"/>
        <w:rPr>
          <w:szCs w:val="24"/>
        </w:rPr>
      </w:pPr>
      <w:r>
        <w:t xml:space="preserve">shēmu ar oriģinālām iezīmēm</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1DDA9233" w14:textId="77777777" w:rsidR="0047707E" w:rsidRDefault="0047707E" w:rsidP="0047707E">
      <w:pPr>
        <w:spacing w:before="120" w:after="120"/>
        <w:ind w:left="1418"/>
        <w:rPr>
          <w:szCs w:val="24"/>
        </w:rPr>
      </w:pPr>
      <w:r>
        <w:t xml:space="preserve">shēmu tirgos, kuros ir paredzamas būtiskas komerciālās, tehnoloģiju vai regulatīvās izmaiņas</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1086B92D" w14:textId="77777777" w:rsidR="0047707E" w:rsidRDefault="0047707E" w:rsidP="0047707E">
      <w:pPr>
        <w:spacing w:before="120" w:after="120"/>
        <w:ind w:left="1843" w:hanging="425"/>
        <w:rPr>
          <w:szCs w:val="24"/>
        </w:rPr>
      </w:pPr>
      <w:r>
        <w:t xml:space="preserve">shēmu, kuru plānojat izvērtēt, pat ja 5.1.2. punktā un šajā punktā iepriekš uzskaitītie kritēriji nav izpildīti</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Jā</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Nē</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Ja atbilde uz jautājumu 5.1.1. punktā ir “Nē” un ja 5.1.2. un šajā punktā ir kaut viena atbilde “Jā”, par šo shēmu būs jāveic </w:t>
      </w:r>
      <w:r>
        <w:rPr>
          <w:i/>
        </w:rPr>
        <w:t xml:space="preserve">ex post</w:t>
      </w:r>
      <w:r>
        <w:t xml:space="preserve"> izvērtējums (RAP 143. punkts).</w:t>
      </w:r>
      <w:r>
        <w:t xml:space="preserve"> </w:t>
      </w:r>
      <w:r>
        <w:t xml:space="preserve">Tādā gadījumā atbildiet “Jā” uz attiecīgo jautājumu paziņojuma vispārīgās informācijas veidnē, norādiet izvērtējuma periodu un, izmantojot I pielikuma III.8. daļā sniegto veidni</w:t>
      </w:r>
      <w:r>
        <w:rPr>
          <w:color w:val="000000"/>
          <w:vertAlign w:val="superscript"/>
        </w:rPr>
        <w:footnoteReference w:id="28"/>
      </w:r>
      <w:r>
        <w:t xml:space="preserve">, iesniedziet izvērtējuma plāna projektu.</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Pārskatu sniegšana un uzraudzība</w:t>
      </w:r>
    </w:p>
    <w:p w14:paraId="478099B4" w14:textId="77777777" w:rsidR="00104EE1" w:rsidRDefault="00132132" w:rsidP="00AC71FD">
      <w:pPr>
        <w:pStyle w:val="NumPar3"/>
        <w:numPr>
          <w:ilvl w:val="2"/>
          <w:numId w:val="2"/>
        </w:numPr>
        <w:spacing w:before="240"/>
        <w:ind w:left="1418" w:hanging="720"/>
      </w:pPr>
      <w:r>
        <w:t xml:space="preserve">Aplieciniet, ka:</w:t>
      </w:r>
    </w:p>
    <w:p w14:paraId="471BF233" w14:textId="4F4B5021" w:rsidR="00104EE1" w:rsidRDefault="00104EE1" w:rsidP="00104EE1">
      <w:pPr>
        <w:numPr>
          <w:ilvl w:val="0"/>
          <w:numId w:val="25"/>
        </w:numPr>
        <w:rPr>
          <w:szCs w:val="24"/>
        </w:rPr>
      </w:pPr>
      <w:r>
        <w:t xml:space="preserve">iesniegsiet Komisijai gada pārskatus saskaņā ar Padomes 2015. gada 13. jūlija Regulu (ES) 2015/1589 un Komisijas 2004. gada 21. aprīļa Regulu (EK) Nr. 794/2004, ar ko īsteno Padomes Regulu (ES) 2015/1589, ar ko nosaka sīki izstrādātus noteikumus Līguma par Eiropas Savienības darbību 108. panta piemērošanai;</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Jā</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vismaz 10 gadus no šīs shēmas ietvaros piešķirtā atbalsta piešķiršanas dienas glabāsiet detalizētu dokumentāciju ar informāciju un apliecinošajiem dokumentiem, kas ir nepieciešami, lai konstatētu, ka ir izpildīti visi saderības nosacījumi, un ka šī dokumentācija pēc pieprasījuma tiks iesniegta Komisijai.</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Jā</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r>
      <w:r>
        <w:t xml:space="preserve">Reģionālā valsts atbalsta pamatnostādnes (OV C 153, 29.4.2021., 1. lpp.).</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Komisijas Regula (ES) Nr. 651/2014 (2014. gada 17. jūnijs), ar ko noteiktas atbalsta kategorijas atzīst par saderīgām ar iekšējo tirgu, piemērojot Līguma 107. un 108. pantu (OV L 187, 26.6.2014., 1. lpp.), ievērojot grozījumus.</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Komisijas Regula (ES) Nr. 1407/2013 (2013. gada 18. decembris) par Līguma par Eiropas Savienības darbību 107. un 108. panta piemērošanu </w:t>
      </w:r>
      <w:r>
        <w:rPr>
          <w:i/>
        </w:rPr>
        <w:t xml:space="preserve">de minimis</w:t>
      </w:r>
      <w:r>
        <w:t xml:space="preserve"> atbalstam (OV L 352, 24.12.2013., 1. lpp.).</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rPr>
          <w:color w:val="000000"/>
        </w:rPr>
        <w:t xml:space="preserve">Atbilstoši definīcijai Pamatnostādnēs par valsts atbalstu grūtībās nonākušu nefinanšu uzņēmumu glābšanai un pārstrukturēšanai (OV C 249, 31.7.2014., 1. lpp.).</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Atbilstoši definīcijai RAP VI pielikumā.</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“Lignīts” ir zemas šķiras C jeb ortolignīts un zemas šķiras B jeb metalignīts atbilstoši definīcijai, kas sniegta Apvienoto Nāciju Organizācijas Eiropas Ekonomikas komisijas izstrādātajā starptautiskajā ogļu kodifikācijas sistēmā.</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“Ogles” ir augstas kvalitātes, vidējas kvalitātes un zemas kvalitātes A un B kategorijas ogles atbilstoši definīcijai, kas sniegta Apvienoto Nāciju Organizācijas Eiropas Ekonomikas komisijas izstrādātajā starptautiskajā ogļu kodifikācijas sistēmā, kura precizēta Padomes 2010. gada 10. decembra Lēmumā par valsts atbalstu nekonkurētspējīgu ogļraktuvju slēgšanas atvieglošanai (OV L 336, 21.12.2010., 24. lpp.).</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Uz šīm nozarēm attiecas Eiropas Parlamenta un Padomes Regula (ES) Nr. 1379/2013 (2013. gada 11. decembris) par zvejas un akvakultūras produktu tirgu kopīgo organizāciju un ar ko groza Padomes Regulas (EK) Nr. 1184/2006 un (EK) Nr. 1224/2009 un atceļ Padomes Regulu (EK) Nr. 104/2000 (OV L 354, 28.12.2013., 1. lpp.).</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Uz valsts atbalstu Līguma I pielikumā uzskaitīto lauksaimniecības produktu primārajai ražošanai, pārstrādei, kuras rezultātā tiek iegūti minētie lauksaimniecības produkti, un to tirdzniecībai un uz valsts atbalstu mežsaimniecībai attiecas noteikumi, kas paredzēti Pamatnostādnēs par valsts atbalstu lauksaimniecības nozarē (OV C 204, 1.7.2014., 1. lpp.).</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RAP ir piemērojamas atbalsta shēmām, kas atbalsta Līguma 42. panta darbības jomā neietilpstošas darbības, kuras tiek līdzfinansētas no Eiropas Lauksaimniecības fonda lauku attīstībai (ELFLA) vai kurām atbalsts tiek piešķirts kā papildu valsts finansējums šādiem līdzfinansētiem pasākumiem, izņemot, ja nozares noteikumos ir paredzēts citādi.</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“Transports” ir pasažieru komercpārvadājumi ar gaisa, jūras transportu, autotransportu, dzelzceļa un iekšzemes ūdensceļu transportu vai kravu komercpārvadājumi.</w:t>
      </w:r>
      <w:r>
        <w:t xml:space="preserve"> </w:t>
      </w:r>
      <w:r>
        <w:t xml:space="preserve">RAP neattiecas arī uz transporta infrastruktūru, kurai ir piemērojamas speciālas pamatnostādnes, piemēram, uz lidostām (skatīt Komisijas paziņojumu “Pamatnostādnes par valsts atbalstu lidostām un aviokompānijām” (OV C 99, 4.4.2014., 3. lpp.)).</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 xml:space="preserve">ES pamatnostādnes valsts atbalsta noteikumu piemērošanai attiecībā uz platjoslas tīklu ātru izvēršanu (OV C 25, 26.1.2013., 1. lpp.).</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Enerģētikas nozarē Komisija valsts atbalsta saderību vērtēs, pamatojoties uz Pamatnostādnēm par valsts atbalstu vides aizsardzībai un enerģētikai 2014.–2020. gadam (OV C 200, 28.6.2014., 1. lpp.).</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 xml:space="preserve">“MVU” ir uzņēmumi, kuri atbilst nosacījumiem, kas paredzēti Komisijas 2003. gada 6. maija Ieteikumā par mikrouzņēmumu, mazo un vidējo uzņēmumu definīciju (OV L 124, 20.5.2003., 36. lpp.).</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 xml:space="preserve">Uzņēmuma kapitāldaļu parasta iegāde nekvalificējas kā sākotnējais ieguldījums.</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 xml:space="preserve">“Tā pati vai līdzīga darbība” ir darbība, kas ietilpst tajā pašā </w:t>
      </w:r>
      <w:r>
        <w:rPr>
          <w:i/>
        </w:rPr>
        <w:t xml:space="preserve">NACE</w:t>
      </w:r>
      <w:r>
        <w:t xml:space="preserve"> 2. red. saimniecisko darbību statistiskās klasifikācijas klasē (četrciparu kods).</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 xml:space="preserve">Uzņēmuma kapitāldaļu parasta iegāde nekvalificējas kā sākotnējais ieguldījums jaunā saimnieciskajā darbībā.</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 xml:space="preserve">Šis nosacījums neattiecas uz MVU un uz uzņēmējdarbības vietas iegādes darījumiem.</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 xml:space="preserve">RAP 34. punktā ir noteikts, ka nemateriālajiem aktīviem, kurus var ņemt vērā ieguldījumu izmaksu aprēķinā, jāpaliek piesaistītiem attiecīgajam apgabalam, un tos nevar pārnest uz citiem apgabaliem.</w:t>
      </w:r>
      <w:r>
        <w:t xml:space="preserve"> </w:t>
      </w:r>
      <w:r>
        <w:t xml:space="preserve">Tālab nemateriālajiem aktīviem ir jāatbilst šādiem nosacījumiem:</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tie jāizmanto vienīgi uzņēmējdarbības vietā, kas saņem atbalstu;</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tiem jābūt amortizējamiem;</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tiem jābūt iegādātiem no trešām personām, kas nav saistītas ar pircēju, atbilstoši tirgus nosacījumiem;</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tiem jābūt iekļautiem atbalstu saņemošā uzņēmuma aktīvos un vismaz piecus gadus (MVU gadījumā trīs gadus) jāpaliek piesaistītiem projektam, kuram tiek piešķirts atbalsts.</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r>
      <w:r>
        <w:t xml:space="preserve">Uz šo jautājumu nav jāatbild, ja runa ir par subsidētajiem aizdevumiem, publiskajiem pašu kapitāla aizdevumiem un publisko līdzdalību, kas neatbilst tirgus ieguldītāja principam, valsts garantijām ar atbalsta elementiem vai publisko atbalstu, kas tiek piešķirts atbilstoši </w:t>
      </w:r>
      <w:r>
        <w:rPr>
          <w:i/>
          <w:iCs/>
        </w:rPr>
        <w:t xml:space="preserve">de minimis</w:t>
      </w:r>
      <w:r>
        <w:t xml:space="preserve"> noteikumiem.</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Hipotētiskais scenārijs ir ticams tad, ja tas ir reālistisks un atspoguļo lēmuma pieņemšanas faktorus laikā, kad saņēmējs pieņēma lēmumu par ieguldījumu.</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Attiecībā uz šo var norādīt atsauces, piemēram, uz ierosinātās shēmas ietekmes novērtējumu vai līdzīgu shēmu </w:t>
      </w:r>
      <w:r>
        <w:rPr>
          <w:i/>
          <w:iCs/>
        </w:rPr>
        <w:t xml:space="preserve">ex post</w:t>
      </w:r>
      <w:r>
        <w:t xml:space="preserve"> izvērtējumiem.</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r>
      <w:r>
        <w:t xml:space="preserve">Piemēram, tiešās dotācijas, atbrīvojums vai samazinājums, kas piemērojams nodokļiem, sociālās apdrošināšanas iemaksām vai citiem obligātajiem maksājumiem, zemes platību, preču vai pakalpojumu nodrošināšana par izdevīgām cenām utt.</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r>
      <w:r>
        <w:t xml:space="preserve">Piemēram, aizdevumi ar zemu procentu likmi, procentu likmes subsīdijas, valsts garantijas, kapitāldaļu iegāde vai cita veida kapitāla nodrošinājums ar izdevīgiem nosacījumiem.</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r>
      <w:r>
        <w:t xml:space="preserve">Lai Komisijai dotu iespēju novērtēt iespējamo negatīvo ietekmi, dalībvalsts var iesniegt tās rīcībā esošos ietekmes novērtējumus un </w:t>
      </w:r>
      <w:r>
        <w:rPr>
          <w:i/>
          <w:iCs/>
        </w:rPr>
        <w:t xml:space="preserve">ex post</w:t>
      </w:r>
      <w:r>
        <w:t xml:space="preserve"> izvērtējumus, kas veikti par līdzīgām iepriekšējām shēmām.</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Atbilstoši III pielikumam Komisijas Regulā (ES) Nr. 651/2014 (2014. gada 17. jūnijs), ar ko noteiktas atbalsta kategorijas atzīst par saderīgām ar iekšējo tirgu, piemērojot Līguma 107. un 108. pantu.</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Atbilstoši III pielikumam Komisijas Regulā (ES) Nr. 651/2014 (2014. gada 17. jūnijs), ar ko noteiktas atbalsta kategorijas atzīst par saderīgām ar iekšējo tirgu, piemērojot Līguma 107. un 108. pantu.</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Skatīt metodiskos norādījumus par valsts atbalsta izvērtēšanu, kuri pieejami vietnē</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Izvērtējuma plāns jāiesniedz, izmantojot I pielikuma III.8. daļā sniegto veidni, kas pieejama šeit:</w:t>
      </w:r>
      <w:r>
        <w:t xml:space="preserve"> </w:t>
      </w:r>
      <w:hyperlink r:id="rId2" w:history="1">
        <w:r>
          <w:rPr>
            <w:rStyle w:val="Hyperlink"/>
          </w:rPr>
          <w:t xml:space="preserve">https://competition-policy.ec.europa.eu/state-aid/legislation/forms-notifications-and-reporting_en</w:t>
        </w:r>
      </w:hyperlink>
      <w:r>
        <w:t xml:space="preserv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v-LV"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lv-LV"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lv-LV"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lv-LV"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lv-LV"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lv-LV"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lv-LV"/>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lv-L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