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III DALIS. PAPILDOMOS INFORMACIJOS LAPAI</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III.1.B DALIS</w:t>
            </w:r>
          </w:p>
          <w:p w14:paraId="6A102D4B" w14:textId="77777777" w:rsidR="00EF0533" w:rsidRDefault="009C772B" w:rsidP="003740E7">
            <w:pPr>
              <w:pStyle w:val="ChapterTitle"/>
              <w:spacing w:before="0" w:after="240"/>
            </w:pPr>
            <w:r>
              <w:t>Atnaujintas* papildomos informacijos apie regioninės investicinės pagalbos schemas lapas</w:t>
            </w:r>
          </w:p>
          <w:p w14:paraId="09A68465" w14:textId="77777777" w:rsidR="00380753" w:rsidRPr="00380753" w:rsidRDefault="009C772B" w:rsidP="003740E7">
            <w:pPr>
              <w:jc w:val="left"/>
            </w:pPr>
            <w:r>
              <w:t>* kol kas oficialiai nepriimta.</w:t>
            </w:r>
          </w:p>
        </w:tc>
      </w:tr>
    </w:tbl>
    <w:p w14:paraId="1536E485" w14:textId="77777777" w:rsidR="00923AD6" w:rsidRDefault="00923AD6" w:rsidP="001B2B78"/>
    <w:p w14:paraId="75E982FA" w14:textId="77777777" w:rsidR="00EF0533" w:rsidRPr="00003889" w:rsidRDefault="00003889" w:rsidP="001B2B78">
      <w:r>
        <w:t>Šį papildomos informacijos lapą pildyti nėra privaloma. Tačiau rekomenduojama jį užpildyti ir pridėti prie formos „Bendroji informacija“ pranešant apie investicinės pagalbos schemas, kurioms taikomos nuo 2022 m. sausio 1 d. galiojančios Regioninės valstybės pagalbos gairės (toliau – RPG)</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Taikymo sritis</w:t>
            </w:r>
          </w:p>
        </w:tc>
      </w:tr>
    </w:tbl>
    <w:p w14:paraId="64530B4D" w14:textId="77777777" w:rsidR="00EF0533" w:rsidRPr="00D070D1" w:rsidRDefault="00EF0533" w:rsidP="00095A91">
      <w:pPr>
        <w:pStyle w:val="NormalKop11"/>
      </w:pPr>
      <w:r>
        <w:t>Priežastys, dėl kurių apie schemą pranešama užuot ją įgyvendinus pagal Bendrąjį bendrosios išimties reglamentą (BBIR)</w:t>
      </w:r>
      <w:r>
        <w:rPr>
          <w:rStyle w:val="FootnoteReference"/>
          <w:color w:val="000000"/>
        </w:rPr>
        <w:footnoteReference w:id="2"/>
      </w:r>
      <w:r>
        <w:t xml:space="preserve"> arba </w:t>
      </w:r>
      <w:r>
        <w:rPr>
          <w:i/>
        </w:rPr>
        <w:t xml:space="preserve">De </w:t>
      </w:r>
      <w:proofErr w:type="spellStart"/>
      <w:r>
        <w:rPr>
          <w:i/>
        </w:rPr>
        <w:t>minimis</w:t>
      </w:r>
      <w:proofErr w:type="spellEnd"/>
      <w:r>
        <w:t xml:space="preserve"> pagalbos reglamentą</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98360E">
        <w:rPr>
          <w:b/>
        </w:rPr>
      </w:r>
      <w:r w:rsidR="0098360E">
        <w:rPr>
          <w:b/>
        </w:rPr>
        <w:fldChar w:fldCharType="separate"/>
      </w:r>
      <w:r>
        <w:rPr>
          <w:b/>
        </w:rPr>
        <w:fldChar w:fldCharType="end"/>
      </w:r>
      <w:r>
        <w:tab/>
        <w:t>Pranešama apie konkrečiam sektoriui skirtą schemą. Jei taip, nurodykite, kuriam sektoriui schema skirta (NACE kodas):</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ab/>
        <w:t xml:space="preserve">Kita. Nurodykite: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Schemos, apie kurią pranešama, taikymo sritis</w:t>
      </w:r>
    </w:p>
    <w:p w14:paraId="669E042A" w14:textId="77777777" w:rsidR="000956BB" w:rsidRPr="005C5DFC" w:rsidRDefault="000956BB" w:rsidP="000956BB">
      <w:pPr>
        <w:pStyle w:val="NumPar3"/>
        <w:numPr>
          <w:ilvl w:val="2"/>
          <w:numId w:val="2"/>
        </w:numPr>
        <w:ind w:left="1418" w:hanging="698"/>
      </w:pPr>
      <w:r>
        <w:t>Patvirtinkite, kad schemos, apie kurią pranešama, teisiniame pagrinde yra numatytas įpareigojimas pranešti Komisijai apie individualią pagalbą pagalbos gavėjui, jei pagalba iš visų šaltinių viršija Bendrajame bendrosios išimties reglamente (BBIR) nustatytą regioninei investicinei pagalbai taikomą atskirą pranešimo ribą (RPG 22 punktas).</w:t>
      </w:r>
    </w:p>
    <w:p w14:paraId="5712B87E" w14:textId="77777777" w:rsidR="000956BB" w:rsidRDefault="000956BB" w:rsidP="000956BB">
      <w:pPr>
        <w:pStyle w:val="NumPar3"/>
        <w:ind w:left="1418"/>
      </w:pPr>
      <w:r>
        <w:t xml:space="preserve">Pateikite nuorodą į atitinkamą teisinio pagrindo nuostatą: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lastRenderedPageBreak/>
        <w:t>Patvirtinkite, kad schemos, apie kurią pranešama, teisiniame pagrinde yra numatytas įpareigojimas pranešti Komisijai apie individualią pagalbą pagalbos gavėjui, išskyrus atvejus, kai jis patvirtino, kad: 1) per dvejus metus iki pagalbos paraiškos pateikimo neperkėlė veiklos į įmonę, kurioje turi būti vykdoma remiama pradinė investicija ir 2) įsipareigojo tokios veiklos neperkelti ne daugiau kaip dvejus metus nuo pradinės investicijos pabaigos (RPG 23 punktas).</w:t>
      </w:r>
    </w:p>
    <w:p w14:paraId="095F8EF4" w14:textId="77777777" w:rsidR="00071A7F" w:rsidRDefault="00EF0533" w:rsidP="00EF0533">
      <w:pPr>
        <w:pStyle w:val="NumPar3"/>
        <w:ind w:left="1418"/>
      </w:pPr>
      <w:r>
        <w:t xml:space="preserve">Pateikite nuorodą į atitinkamą teisinio pagrindo nuostatą: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Patvirtinkite, jog pagalbos schemoje, apie kurią pranešama, nustatyta, kad regioninė investicinė pagalba nebus teikiama toliau išvardytų kategorijų įmonėms ir sektoriams. Kiekvienu atveju nurodykite atitinkamą schemos teisinio pagrindo nuostatą:</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Įmonių ir sektorių, kuriems pagalba neteikiama, kategorijos</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Atitinkama schemos teisinio pagrindo nuostata</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Sunkumus patiriančios įmonės</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Plieno sektorius</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Lignito sektorius</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Anglių sektorius</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Žuvininkystės ir akvakultūros sektorius</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Žemės ūkio sektorius</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SESV I priede nurodytų žemės ūkio produktų perdirbimas į I priede nurodytus produktus ir (arba) prekyba jais</w:t>
            </w:r>
            <w:r>
              <w:rPr>
                <w:bCs/>
                <w:sz w:val="22"/>
                <w:szCs w:val="22"/>
                <w:vertAlign w:val="superscript"/>
              </w:rPr>
              <w:footnoteReference w:id="10"/>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Transporto sektorius</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lastRenderedPageBreak/>
              <w:t>Plačiajuosčio ryšio sektorius</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Energetikos sektorius</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Pradinė investicija, tinkamos finansuoti išlaidos ir pagalba</w:t>
            </w:r>
          </w:p>
        </w:tc>
      </w:tr>
    </w:tbl>
    <w:p w14:paraId="0568836A" w14:textId="77777777" w:rsidR="005936C8" w:rsidRPr="00D278EA" w:rsidRDefault="00BB1994" w:rsidP="00D278EA">
      <w:pPr>
        <w:pStyle w:val="NormalKop11"/>
        <w:rPr>
          <w:b/>
        </w:rPr>
      </w:pPr>
      <w:r>
        <w:rPr>
          <w:b/>
        </w:rPr>
        <w:t>Pradinių investicijų, kurioms taikoma schema, rūšys</w:t>
      </w:r>
    </w:p>
    <w:p w14:paraId="15863B73" w14:textId="77777777" w:rsidR="00801CFE" w:rsidRPr="005C5DFC" w:rsidRDefault="00801CFE" w:rsidP="001D303A">
      <w:pPr>
        <w:pStyle w:val="NumPar3"/>
        <w:numPr>
          <w:ilvl w:val="2"/>
          <w:numId w:val="2"/>
        </w:numPr>
        <w:spacing w:before="240"/>
        <w:ind w:left="1440" w:hanging="720"/>
      </w:pPr>
      <w:r>
        <w:t>Jeigu schema skirta MVĮ</w:t>
      </w:r>
      <w:r>
        <w:rPr>
          <w:rStyle w:val="FootnoteReference"/>
        </w:rPr>
        <w:footnoteReference w:id="14"/>
      </w:r>
      <w:r>
        <w:t xml:space="preserve"> ar didelių įmonių investicijoms a punkto vietovėse arba MVĮ investicijoms c punkto vietovėse (RPG 45 punktas), nurodykite pradinės investicijos, apie kurią pranešama, rūšį (rūšis) (RPG 19 punkto 13 papunktis):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naujos įmonės kūrimas;</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esamos įmonės pajėgumo didinimas;</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įmonės produkcijos įvairinimas, kai įmonė ima gaminti naujus produktus;</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bendro su investicija į įmonę susijusio produkto (-ų) gamybos proceso esminis keitimas;</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w:t>
      </w:r>
      <w:r>
        <w:tab/>
        <w:t>įmonės, kuri nutraukė veiklą arba būtų nutraukusi veiklą, jei nebūtų buvusi įsigyta, priklausančio turto įsigijimas</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Jeigu schema skirta didelių įmonių investicijoms c punkto vietovėse, nurodykite pradinės investicijos, apie kurią pranešama, rūšį (rūšis) (RPG 19 punkto 14 papunktis ir 14 punktas):</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w:t>
      </w:r>
      <w:r>
        <w:tab/>
        <w:t>naujos įmonės kūrimas;</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w:t>
      </w:r>
      <w:r>
        <w:tab/>
        <w:t>įmonės veiklos įvairinimas su sąlyga, kad naujoji veikla nėra tapati ar panaši veikla</w:t>
      </w:r>
      <w:r>
        <w:rPr>
          <w:rStyle w:val="FootnoteReference"/>
        </w:rPr>
        <w:footnoteReference w:id="16"/>
      </w:r>
      <w:r>
        <w:t>, kurią įmonė vykdė anksčiau;</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w:t>
      </w:r>
      <w:r>
        <w:tab/>
        <w:t xml:space="preserve">įmonei, kuri nutraukė veiklą arba būtų nutraukusi veiklą, jei nebūtų buvusi įsigyta, priklausančio turto įsigijimas su sąlyga, kad naujoji </w:t>
      </w:r>
      <w:r>
        <w:lastRenderedPageBreak/>
        <w:t>veikla, kuri bus vykdoma naudojant įsigytą turtą, nėra tapati ar panaši veikla, kurią įmonė vykdė iki įsigijimo</w:t>
      </w:r>
      <w:r>
        <w:rPr>
          <w:rStyle w:val="FootnoteReference"/>
        </w:rPr>
        <w:footnoteReference w:id="17"/>
      </w:r>
      <w:r>
        <w:t>.</w:t>
      </w:r>
    </w:p>
    <w:p w14:paraId="123A6FE9" w14:textId="77777777" w:rsidR="005936C8" w:rsidRPr="00D23668" w:rsidRDefault="005936C8" w:rsidP="00D23668">
      <w:pPr>
        <w:pStyle w:val="NormalKop11"/>
        <w:rPr>
          <w:b/>
        </w:rPr>
      </w:pPr>
      <w:r>
        <w:rPr>
          <w:b/>
        </w:rPr>
        <w:t>Tinkamos finansuoti išlaidos, apskaičiuojamos remiantis investicinėmis išlaidomis</w:t>
      </w:r>
    </w:p>
    <w:p w14:paraId="66E3E5CE" w14:textId="1EEAD7A8" w:rsidR="0096475D" w:rsidRPr="0096475D" w:rsidRDefault="000C7C9C" w:rsidP="00B209F9">
      <w:pPr>
        <w:pStyle w:val="NumPar3"/>
        <w:numPr>
          <w:ilvl w:val="2"/>
          <w:numId w:val="2"/>
        </w:numPr>
        <w:spacing w:before="240"/>
      </w:pPr>
      <w:r>
        <w:t>Jeigu pagal schemą tinkamos finansuoti išlaidos yra susijusios su materialiuoju turtu (RPG 19 punkto 31 papunktis), nurodykite, ar investicijos vertė nustatoma kaip procentinė žemės, pastatų, įrangos, mašinų ir įrenginių dalis:</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žemės;</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pastatų;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įrangos / mašinų / įrenginių.</w:t>
      </w:r>
    </w:p>
    <w:p w14:paraId="08F0994B" w14:textId="325FF7E9" w:rsidR="0096475D" w:rsidRPr="00540AF1" w:rsidRDefault="0096475D" w:rsidP="001E018C">
      <w:pPr>
        <w:pStyle w:val="Text2"/>
        <w:ind w:left="1843" w:hanging="425"/>
        <w:rPr>
          <w:rFonts w:cs="Times New Roman"/>
        </w:rPr>
      </w:pPr>
      <w:r>
        <w:t xml:space="preserve">Nurodykite atitinkamas teisinio pagrindo nuostatas: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Nurodykite atitinkamą teisinio pagrindo nuostatą</w:t>
      </w:r>
      <w:bookmarkStart w:id="0" w:name="OLE_LINK1"/>
      <w:bookmarkStart w:id="1" w:name="OLE_LINK2"/>
      <w:r>
        <w:rPr>
          <w:color w:val="000000"/>
        </w:rPr>
        <w:t>, kurioje nustatyta,</w:t>
      </w:r>
      <w:bookmarkEnd w:id="0"/>
      <w:bookmarkEnd w:id="1"/>
      <w:r>
        <w:rPr>
          <w:color w:val="000000"/>
        </w:rPr>
        <w:t xml:space="preserve"> kad įsigyjamas turtas turėtų būti naujas</w:t>
      </w:r>
      <w:r>
        <w:rPr>
          <w:rStyle w:val="FootnoteReference"/>
        </w:rPr>
        <w:footnoteReference w:id="18"/>
      </w:r>
      <w:r>
        <w:rPr>
          <w:color w:val="000000"/>
        </w:rPr>
        <w:t xml:space="preserve"> (RPG 27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Nurodykite atitinkamą teisinio pagrindo nuostatą, kurioje nustatyta, kad MVĮ atveju tinkamomis finansuoti išlaidomis gali būti laikoma iki 50 % su investicija susijusių parengiamųjų studijų ir konsultacijų išlaidų (RPG 28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Nurodykite atitinkamą teisinio pagrindo nuostatą, kurioje nustatyta, kad tada, kai pagalba skiriama didelėms įmonėms gamybos procesui iš esmės pakeisti, tinkamos finansuoti išlaidos viršija turto, susijusio su modernizuojama veikla, nusidėvėjimą per trejus ankstesnius finansinius metus (RPG 29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Nurodykite atitinkamą teisinio pagrindo nuostatą, kurioje nustatyta, kad tada, kai pagalba skiriama esamos įmonės veiklai įvairinti, tinkamos finansuoti išlaidos bent 200 % viršija pakartotinai naudojamo turto balansinę vertę, registruotą finansiniais metais, einančiais iki darbų pradžios (RPG 30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Materialiojo turto nuomos atvejais nurodykite atitinkamas teisinio pagrindo nuostatas, kuriose nustatyta, kad turėtų būti laikomasi šių sąlygų (RPG 31 punktas): </w:t>
      </w:r>
    </w:p>
    <w:p w14:paraId="3CC0A357" w14:textId="77777777" w:rsidR="00216490" w:rsidRDefault="00216490" w:rsidP="00CB4B02">
      <w:pPr>
        <w:pStyle w:val="NumPar3"/>
        <w:ind w:left="1701" w:hanging="283"/>
      </w:pPr>
      <w:r>
        <w:lastRenderedPageBreak/>
        <w:t>•</w:t>
      </w:r>
      <w:r>
        <w:tab/>
        <w:t>didelėms įmonėms žemės ir pastatų nuomos sutartis turi galioti bent penkerius metus po numatytos investavimo pabaigos dienos, o MVĮ atveju – bent trejus metus: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įrangos ar mašinų nuoma turi būti finansinė išperkamoji nuoma su pagalbos gavėjui nustatyta pareiga pasibaigus nuomos terminui nupirkti turtą: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RPG 32 punkte nustatyta, kad „</w:t>
      </w:r>
      <w:r>
        <w:rPr>
          <w:i/>
          <w:color w:val="000000"/>
        </w:rPr>
        <w:t>iš esmės turėtų būti atsižvelgiama tik į turto pirkimo iš trečiųjų asmenų, nesusijusių su pirkėju, išlaidas. Tačiau jei mažąją įmonę perima jos pradinio savininko šeimos narys arba jos darbuotojas, sąlyga, kad turtas turi būti perkamas iš trečiųjų asmenų, nesusijusių su pirkėju, netaikoma. Sandoris turi vykti rinkos sąlygomis. Jei įmonės turtas įsigyjamas kartu vykdant regioninės pagalbos skyrimo reikalavimus atitinkančią papildomą investiciją, tos papildomos investicijos tinkamos finansuoti išlaidos turėtų būti pridedamos prie įmonės turto įsigijimo sąnaudų</w:t>
      </w:r>
      <w:r>
        <w:rPr>
          <w:color w:val="000000"/>
        </w:rPr>
        <w:t xml:space="preserve">“. </w:t>
      </w:r>
    </w:p>
    <w:p w14:paraId="70A68FF7" w14:textId="77777777" w:rsidR="00CB4B02" w:rsidRDefault="00561589" w:rsidP="00D23668">
      <w:pPr>
        <w:pStyle w:val="NumPar3"/>
        <w:ind w:left="1418"/>
      </w:pPr>
      <w:r>
        <w:t xml:space="preserve">Jei schemos, apie kurią pranešama, atveju tai yra aktualu, </w:t>
      </w:r>
      <w:r>
        <w:rPr>
          <w:color w:val="000000"/>
        </w:rPr>
        <w:t>nurodykite teisinio pagrindo nuostatas, kuriose nustatyta</w:t>
      </w:r>
      <w:r>
        <w:t xml:space="preserve">, kad reikėtų laikytis pirmiau išdėstytų sąlygų: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Jeigu tinkamos finansuoti schemos išlaidos yra susijusios su nematerialiuoju turtu (RPG 19 punkto 15 papunktis), nurodykite, ar investicijos vertė nustatoma remiantis technologijų perdavimo įgyjant patento teises, licencijas, praktinę patirtį arba kitą intelektinį turtą išlaidomis:</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patento teises;</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licencijas;</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praktinę patirtį;</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kitą intelektinę nuosavybę.</w:t>
      </w:r>
    </w:p>
    <w:p w14:paraId="78A2921B" w14:textId="5E1AB8D8" w:rsidR="005936C8" w:rsidRDefault="005936C8" w:rsidP="00D23668">
      <w:pPr>
        <w:pStyle w:val="Text2"/>
        <w:spacing w:before="120" w:after="120"/>
        <w:ind w:left="1418"/>
        <w:rPr>
          <w:rFonts w:cs="Times New Roman"/>
        </w:rPr>
      </w:pPr>
      <w:r>
        <w:t>Nurodykite atitinkamas teisinio pagrindo nuostatas: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Nurodykite atitinkamas teisinio pagrindo nuostatas, kuriose nustatyta, kad didelių įmonių nematerialiojo turto išlaidos tinkamos finansuoti tik iki 50 % visų projekto tinkamų finansuoti investicinių išlaidų ribos (RPG 33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Nurodykite atitinkamas teisinio pagrindo nuostatas, kuriose nustatyta, kad turėtų būti laikomasi RPG 34 punkte</w:t>
      </w:r>
      <w:r>
        <w:rPr>
          <w:rFonts w:cs="Times New Roman"/>
          <w:color w:val="000000"/>
          <w:vertAlign w:val="superscript"/>
        </w:rPr>
        <w:footnoteReference w:id="19"/>
      </w:r>
      <w:r>
        <w:rPr>
          <w:color w:val="000000"/>
        </w:rPr>
        <w:t xml:space="preserve"> išdėstytų sąlygų: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lastRenderedPageBreak/>
              <w:t>…</w:t>
            </w:r>
          </w:p>
        </w:tc>
      </w:tr>
    </w:tbl>
    <w:p w14:paraId="1AE30FC5" w14:textId="77777777" w:rsidR="005936C8" w:rsidRPr="00D23668" w:rsidRDefault="00561589" w:rsidP="00D23668">
      <w:pPr>
        <w:pStyle w:val="NormalKop11"/>
        <w:rPr>
          <w:b/>
        </w:rPr>
      </w:pPr>
      <w:r>
        <w:rPr>
          <w:b/>
        </w:rPr>
        <w:t>Tinkamos finansuoti išlaidos, apskaičiuojamos remiantis darbo užmokesčio išlaidomis</w:t>
      </w:r>
    </w:p>
    <w:p w14:paraId="13E0BDA7" w14:textId="77777777" w:rsidR="00F330CB" w:rsidRPr="008C2DA8" w:rsidRDefault="009E28B0" w:rsidP="001452D1">
      <w:pPr>
        <w:pStyle w:val="NumPar3"/>
        <w:numPr>
          <w:ilvl w:val="2"/>
          <w:numId w:val="2"/>
        </w:numPr>
        <w:spacing w:before="240"/>
        <w:ind w:left="1418" w:hanging="698"/>
      </w:pPr>
      <w:r>
        <w:t>Nurodykite atitinkamas teisinio pagrindo nuostatas, kuriose nustatyta, kaip turėtų būti nustatytos tinkamos finansuoti išlaidos, apskaičiuojamos remiantis darbo užmokesčio išlaidomis (RPG 35 punktas), kaip remiantis RPG 19 punkto 16 papunkčiu turėtų būti apskaičiuotas sukurtų darbo vietų skaičius ir kaip remiantis RPG 19 punkto 33 papunkčiu turėtų būti nustatytos darbo užmokesčio pasamdytiems darbuotojams išlaidos: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Diskontuotų tinkamų finansuoti išlaidų apskaičiavimas</w:t>
      </w:r>
    </w:p>
    <w:p w14:paraId="647EE464" w14:textId="77777777" w:rsidR="00E538B5" w:rsidRPr="00CB4B02" w:rsidRDefault="00E538B5" w:rsidP="00B209F9">
      <w:pPr>
        <w:pStyle w:val="NumPar3"/>
        <w:numPr>
          <w:ilvl w:val="2"/>
          <w:numId w:val="2"/>
        </w:numPr>
        <w:spacing w:before="240"/>
        <w:rPr>
          <w:rFonts w:cs="Times New Roman"/>
        </w:rPr>
      </w:pPr>
      <w:r>
        <w:t>Nurodykite, kokios formos pagalba leidžiama pagal schemą:</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dotacijos. Nurodykite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paskolos. Nurodykite, kaip bus apskaičiuotas subsidijos ekvivalentas, ir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garantijos. Nurodykite, kaip bus apskaičiuotas subsidijos ekvivalentas, ir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mokesčių lengvatos. Nurodykite priemonių rūšį ir paaiškinkite, kaip bus apskaičiuotas subsidijos ekvivalentas. Taip pat nurodykite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98360E">
        <w:rPr>
          <w:rFonts w:cs="Times New Roman"/>
        </w:rPr>
      </w:r>
      <w:r w:rsidR="0098360E">
        <w:rPr>
          <w:rFonts w:cs="Times New Roman"/>
        </w:rPr>
        <w:fldChar w:fldCharType="separate"/>
      </w:r>
      <w:r>
        <w:rPr>
          <w:rFonts w:cs="Times New Roman"/>
        </w:rPr>
        <w:fldChar w:fldCharType="end"/>
      </w:r>
      <w:r>
        <w:t xml:space="preserve"> </w:t>
      </w:r>
      <w:r>
        <w:tab/>
        <w:t>kita. Nurodykite ir paaiškinkite, kaip bus apskaičiuotas subsidijos ekvivalentas. Taip pat nurodykite atitinkamas teisinio pagrindo nuostatas: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Nurodykite, ar pagalbos schema yra tinkama bendrai finansuoti iš </w:t>
      </w:r>
      <w:r>
        <w:rPr>
          <w:color w:val="000000"/>
        </w:rPr>
        <w:t>vieno ar kelių ES fondų (toliau – Fondai), kurių lėšos naudojamos taikant pasidalijamąjį valdymą.</w:t>
      </w:r>
      <w:r>
        <w:t xml:space="preserve"> Jei taip, nurodykite programą, pagal kurią gali būti gautas toks finansavimas. Jei šiuo etapu žinoma, taip pat nurodykite iš Fondų skirtų lėšų sumą:</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lastRenderedPageBreak/>
        <w:t xml:space="preserve">Nurodykite atitinkamas teisinio pagrindo nuostatas, kuriose nustatyta, </w:t>
      </w:r>
      <w:r>
        <w:rPr>
          <w:color w:val="000000"/>
        </w:rPr>
        <w:t>kad pagalbą teikianti institucija prieš teikdama individualią pagalbą pagal schemą, apie kurią pranešama, turėtų nustatyti</w:t>
      </w:r>
      <w:r>
        <w:t>, ar gavėjas (grupės lygmeniu) gavo pagalbą vienai (ar kelioms) pradinei (-</w:t>
      </w:r>
      <w:proofErr w:type="spellStart"/>
      <w:r>
        <w:t>ėms</w:t>
      </w:r>
      <w:proofErr w:type="spellEnd"/>
      <w:r>
        <w:t>) investicijai (-</w:t>
      </w:r>
      <w:proofErr w:type="spellStart"/>
      <w:r>
        <w:t>oms</w:t>
      </w:r>
      <w:proofErr w:type="spellEnd"/>
      <w:r>
        <w:t xml:space="preserve">) tame pačiame NUTS 3 lygio regione per trejus metus nuo investicinio projekto darbų pradžios: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Nurodykite atitinkamas teisinio pagrindo nuostatas, kuriose nustatyta, kad bendra pagalbos, kuri pagal schemą bus teikiama bet kuriam pradinių investicijų projektui, suma neviršija didžiausio pagalbos intensyvumo (pagal RPG 19 punkto 19 papunktyje pateiktą apibrėžtį) sumos, atsižvelgiant, jei taikoma, į padidintą pagalbos MVĮ intensyvumą (kaip nustatyta RPG 186 punkte) ar pakoreguotą pagalbos sumą (pagal RPG 19 punkto 3 papunktyje pateiktą apibrėžtį):</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Nurodykite atitinkamas teisinio pagrindo nuostatas, kuriose nustatyta, kad tais atvejais, kai individuali pagalba skiriama pagal kelias regioninės pagalbos schemas arba sumuojama su </w:t>
      </w:r>
      <w:proofErr w:type="spellStart"/>
      <w:r>
        <w:rPr>
          <w:i/>
        </w:rPr>
        <w:t>ad</w:t>
      </w:r>
      <w:proofErr w:type="spellEnd"/>
      <w:r>
        <w:rPr>
          <w:i/>
        </w:rPr>
        <w:t xml:space="preserve"> </w:t>
      </w:r>
      <w:proofErr w:type="spellStart"/>
      <w:r>
        <w:rPr>
          <w:i/>
        </w:rPr>
        <w:t>hoc</w:t>
      </w:r>
      <w:proofErr w:type="spellEnd"/>
      <w:r>
        <w:t xml:space="preserve"> pagalba, didžiausią leistiną pagalbos, kurią galima skirti projektui, intensyvumą iš anksto apskaičiuos pirmoji pagalbą teikianti institucija (RPG 99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Jeigu pagal pagalbos schemą pagalbą galima teikti pradinei investicijai, susijusiai su Europos teritorinio bendradarbiavimo (ETB) projektais, nurodykite atitinkamas teisinio pagrindo nuostatas, kuriose nustatyta (pateikiant nuorodas į RPG 100 punkto nuostatas), kaip bus nustatytas projektui ir įvairiems dalyvaujantiems pagalbos gavėjams taikomas didžiausias pagalbos intensyvumas: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Pagalbos schemos suderinamumo vertinimas</w:t>
            </w:r>
          </w:p>
        </w:tc>
      </w:tr>
    </w:tbl>
    <w:p w14:paraId="2C690D30" w14:textId="77777777" w:rsidR="006D4360" w:rsidRPr="007965FE" w:rsidRDefault="006D4360" w:rsidP="007965FE">
      <w:pPr>
        <w:pStyle w:val="NormalKop11"/>
        <w:rPr>
          <w:b/>
        </w:rPr>
      </w:pPr>
      <w:r>
        <w:rPr>
          <w:b/>
        </w:rPr>
        <w:t>Indėlis į regioninę plėtrą, teigiamas poveikis ir valstybės intervencijos būtinumas</w:t>
      </w:r>
    </w:p>
    <w:p w14:paraId="552BABED" w14:textId="77777777" w:rsidR="006D4360" w:rsidRDefault="006D4360" w:rsidP="00B209F9">
      <w:pPr>
        <w:pStyle w:val="NumPar3"/>
        <w:numPr>
          <w:ilvl w:val="2"/>
          <w:numId w:val="2"/>
        </w:numPr>
        <w:spacing w:before="240"/>
        <w:ind w:left="1440" w:hanging="720"/>
      </w:pPr>
      <w:r>
        <w:t>Paaiškinkite, kaip schema yra suderinama su atitinkamos vietovės plėtros strategija ir padeda ją įgyvendinti (RPG 44 punktas):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Nurodykite atitinkamas teisinio pagrindo nuostatas, kuriose išdėstytas reikalavimas teisės aktų nustatytais atvejais atlikti atitinkamų investicijų poveikio aplinkai vertinimą prieš suteikiant pagalbą individualiems projektams (RPG 49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lastRenderedPageBreak/>
        <w:t>Paaiškinkite, kaip pagalbą teikiančios institucijos nustatys prioritetus ir atrinks investicinius projektus pagal schemos tikslus (pavyzdžiui, pagal oficialų vertinimo balais metodą) (RPG 44 punktas). Taip pat nurodykite atitinkamas teisinio pagrindo arba kitų susijusių administracinių aktų nuostatas: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Paaiškinkite, kaip skirdama pagalbą individualiems investiciniams projektams pagal schemą, apie kurią pranešama, pagalbą teikianti institucija nustatys, kad atrinktu (-</w:t>
      </w:r>
      <w:proofErr w:type="spellStart"/>
      <w:r>
        <w:t>ais</w:t>
      </w:r>
      <w:proofErr w:type="spellEnd"/>
      <w:r>
        <w:t>) projektu (-</w:t>
      </w:r>
      <w:proofErr w:type="spellStart"/>
      <w:r>
        <w:t>ais</w:t>
      </w:r>
      <w:proofErr w:type="spellEnd"/>
      <w:r>
        <w:t>) bus padedama siekti schemos tikslo ir kartu atitinkamoje vietovėje bus įgyvendinama plėtros strategija (RPG 46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Paaiškinkite, kaip įgyvendinama nuostata, kurioje reikalaujama, kad pagal schemą, apie kurią pranešama, remiama investicija atitinkamoje vietovėje būtų išlaikoma bent penkerius metus (MVĮ atveju – trejus metus) po jos pabaigos (RPG 47 punktas). Nurodykite atitinkamas teisinio pagrindo nuostatas: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Tais atvejais, kai pagal schemą, apie kurią pranešama, teikiama pagalba apskaičiuojama remiantis darbo užmokesčio išlaidomis, paaiškinkite, kaip įgyvendinama nuostata, pagal kurią reikalaujama, kad darbo vietos būtų sukurtos per trejus metus po investavimo pabaigos ir kad atitinkama investicija sukurta kiekviena darbo vieta toje vietovėje būtų išlaikoma penkerius metus (MVĮ atveju – trejus metus) nuo pirmosios darbuotojo priėmimo į darbo vietą dienos (RPG 36 punktas). Nurodykite atitinkamą teisinio pagrindo nuostatą:</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Nurodykite atitinkamas teisinio pagrindo nuostatas, kuriose nustatyta, kad pagalbos gavėjai iš nuosavų išteklių arba iš išorės finansavimo lėšų turi suteikti įnašą, kuris sudarytų bent 25 % tinkamų finansuoti išlaidų ir būtų teikiamas ne iš viešosios paramos šaltinių</w:t>
      </w:r>
      <w:r>
        <w:rPr>
          <w:vertAlign w:val="superscript"/>
        </w:rPr>
        <w:footnoteReference w:id="20"/>
      </w:r>
      <w:r>
        <w:t xml:space="preserve"> (RPG 48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Nurodykite atitinkamas teisinio pagrindo nuostatas, iš kurių matyti, kad schema turėtų neviršyti pagalbos skyrimo metu galiojančiame regioninės pagalbos žemėlapyje nustatytos regioninės pagalbos viršutinės ribos (RPG 88 punktas). Taip pat nurodykite Komisijos sprendimą, kuriuo patvirtintas atitinkamas regioninės pagalbos žemėlapis: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Skatinamasis schemos poveikis</w:t>
      </w:r>
    </w:p>
    <w:p w14:paraId="0D14DDD0" w14:textId="77777777" w:rsidR="00F02231" w:rsidRPr="00A43EC2" w:rsidRDefault="00F02231" w:rsidP="00FB274E">
      <w:pPr>
        <w:pStyle w:val="NumPar3"/>
        <w:numPr>
          <w:ilvl w:val="2"/>
          <w:numId w:val="2"/>
        </w:numPr>
        <w:spacing w:before="240"/>
        <w:ind w:left="1440" w:hanging="720"/>
        <w:rPr>
          <w:rFonts w:cs="Times New Roman"/>
        </w:rPr>
      </w:pPr>
      <w:r>
        <w:lastRenderedPageBreak/>
        <w:t>Nurodykite atitinkamas teisinio pagrindo nuostatas, kuriose nustatyta, kad su atitinkamu investiciniu projektu susiję darbai pradedami tik pateikus pagalbos paraiškos formą (RPG 62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Nurodykite atitinkamas teisinio pagrindo nuostatas, kuriose nustatyta, kad tie, kas prašo pagalbos pagal schemą, apie kurią pranešama, turės pateikti pagalbą teikiančios institucijos parengtą standartinę pagalbos paraiškos formą, joje paaiškinti, kas įvyktų priešingu atveju, t. y. jei pagalba jiems nebūtų suteikta, ir nurodyti, kuris scenarijus (1-as scenarijus – sprendimas dėl investicijos arba 2-as scenarijus – sprendimas dėl vietos) taikomas (RPG 64 ir 59 punktai).</w:t>
      </w:r>
      <w:r>
        <w:rPr>
          <w:color w:val="000000"/>
        </w:rPr>
        <w:t xml:space="preserve"> Jei ši paraiškos forma skiriasi nuo RPG VII priede pateikto pavyzdžio, pateikite šios formos kopiją:</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Nurodykite atitinkamas teisinio pagrindo nuostatas, kuriose nustatyta, kad pagalbos pagal schemą, apie kurią pranešama, prašančios didelės įmonės turi pateikti patvirtinamuosius dokumentus, kuriais įrodomas jų apibūdintas priešingos padėties scenarijus (RPG 65 punktas). Taip pat paaiškinkite, kokio pobūdžio dokumentus reikės pateikti: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Nurodykite atitinkamas teisinio pagrindo nuostatas, kuriose nustatyta, kad vertindama individualios pagalbos paraiškas pagalbą teikianti institucija turi patikrinti, ar pateiktas priešingos padėties scenarijus yra įtikinamas, ir patvirtinti, ar regioninė pagalba turi reikiamą skatinamąjį poveikį, atitinkantį 1-ą arba 2-ą scenarijų</w:t>
      </w:r>
      <w:r>
        <w:rPr>
          <w:rStyle w:val="FootnoteReference"/>
        </w:rPr>
        <w:footnoteReference w:id="21"/>
      </w:r>
      <w:r>
        <w:t xml:space="preserve"> (RPG 66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Schemos tinkamumas</w:t>
      </w:r>
    </w:p>
    <w:p w14:paraId="5713798C" w14:textId="77777777" w:rsidR="00485C14" w:rsidRDefault="00FE3973" w:rsidP="0026473A">
      <w:pPr>
        <w:pStyle w:val="NormalKop111"/>
        <w:numPr>
          <w:ilvl w:val="2"/>
          <w:numId w:val="2"/>
        </w:numPr>
        <w:ind w:left="1440" w:hanging="720"/>
      </w:pPr>
      <w:r>
        <w:t>Paaiškinkite, kodėl regioninė pagalba yra tinkama priemonė padėti užtikrinti vietovės plėtrą</w:t>
      </w:r>
      <w:r>
        <w:rPr>
          <w:rStyle w:val="FootnoteReference"/>
        </w:rPr>
        <w:footnoteReference w:id="22"/>
      </w:r>
      <w:r>
        <w:t xml:space="preserve"> (RPG 80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 xml:space="preserve">Jeigu schema yra skirta konkrečiam sektoriui, įrodykite tokios priemonės pranašumą, palyginti su </w:t>
      </w:r>
      <w:proofErr w:type="spellStart"/>
      <w:r>
        <w:t>daugiasektore</w:t>
      </w:r>
      <w:proofErr w:type="spellEnd"/>
      <w:r>
        <w:t xml:space="preserve"> schema ar kitomis politikos priemonėmis (RPG 81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Nurodykite, ar individuali pagalba pagal schemą, apie kurią pranešama, bus teikiama:</w:t>
      </w:r>
    </w:p>
    <w:p w14:paraId="61245CC5" w14:textId="77777777" w:rsidR="00590071" w:rsidRPr="006F1156" w:rsidRDefault="00590071" w:rsidP="006F1156">
      <w:pPr>
        <w:pStyle w:val="Normal127Indent127"/>
        <w:ind w:left="2160"/>
      </w:pPr>
      <w:r>
        <w:lastRenderedPageBreak/>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automatiškai, jeigu bus tenkinamos schemos sąlygos, ar</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savo nuožiūra, remiantis valdžios institucijų sprendimu.</w:t>
      </w:r>
    </w:p>
    <w:p w14:paraId="05F07C80" w14:textId="77777777" w:rsidR="003F2F3D" w:rsidRDefault="00590071" w:rsidP="00590071">
      <w:pPr>
        <w:pStyle w:val="Text2"/>
        <w:ind w:left="1418"/>
      </w:pPr>
      <w:r>
        <w:t xml:space="preserve">Pateikite nuorodą į atitinkamą teisinio pagrindo nuostatą: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Jeigu pagalbą ketinama teikti savo nuožiūra, trumpai apibūdinkite taikomus kriterijus ir pridėkite pagalbą teikiančios institucijos vidaus administracinių nuostatų, taikomų skiriant pagalbą, kopiją:</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Jeigu pagalba pagal schemą skiriama tokia forma, kuria suteikiamas tiesioginis turtinis pranašumas</w:t>
      </w:r>
      <w:r>
        <w:rPr>
          <w:vertAlign w:val="superscript"/>
        </w:rPr>
        <w:footnoteReference w:id="23"/>
      </w:r>
      <w:r>
        <w:t>, įrodykite, kodėl netikslinga teikti kitų galimai mažesnio iškraipomojo poveikio formų pagalbą, pavyzdžiui, grąžintinus avansus arba pagalbą, grindžiamą skolos ar nuosavo kapitalo priemonėmis</w:t>
      </w:r>
      <w:r>
        <w:rPr>
          <w:rStyle w:val="FootnoteReference"/>
        </w:rPr>
        <w:footnoteReference w:id="24"/>
      </w:r>
      <w:r>
        <w:t xml:space="preserve"> (RPG 85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Schemos skatinamasis poveikis ir proporcingumas</w:t>
      </w:r>
    </w:p>
    <w:p w14:paraId="348AF344" w14:textId="77777777" w:rsidR="00132132" w:rsidRDefault="00FF0F35" w:rsidP="00DB5B5A">
      <w:pPr>
        <w:pStyle w:val="NumPar3"/>
        <w:numPr>
          <w:ilvl w:val="2"/>
          <w:numId w:val="2"/>
        </w:numPr>
        <w:spacing w:before="240"/>
        <w:ind w:left="1440" w:hanging="720"/>
      </w:pPr>
      <w:r>
        <w:t xml:space="preserve">Nurodykite atitinkamas teisinio pagrindo nuostatas, kuriose nustatyta, kad pagal schemą, apie kurią pranešama, didelėms įmonėms teikiama individuali pagalba negali viršyti grynųjų papildomų išlaidų, patiriamų įgyvendinant investiciją atitinkamoje vietoje, palyginti su priešingos padėties scenarijumi, jei pagalba nebūtų skirta, tam naudojant RPG 96–97 punktuose apibūdintą metodą (RPG 95 punktas):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Netinkamo neigiamo poveikio konkurencijai ir prekybai vengimas</w:t>
      </w:r>
    </w:p>
    <w:p w14:paraId="6AAEB69D" w14:textId="77777777" w:rsidR="00684D63" w:rsidRDefault="00684D63" w:rsidP="00DB5B5A">
      <w:pPr>
        <w:pStyle w:val="NumPar3"/>
        <w:numPr>
          <w:ilvl w:val="2"/>
          <w:numId w:val="2"/>
        </w:numPr>
        <w:spacing w:before="240"/>
        <w:ind w:left="1440" w:hanging="720"/>
      </w:pPr>
      <w:r>
        <w:t>Paaiškinkite, kaip pagalbos schemos, apie kurią pranešama, sukelti konkurencijos ir prekybos iškraipymai bus apriboti iki minimumo</w:t>
      </w:r>
      <w:r>
        <w:rPr>
          <w:rStyle w:val="FootnoteReference"/>
        </w:rPr>
        <w:footnoteReference w:id="25"/>
      </w:r>
      <w:r>
        <w:t xml:space="preserve"> (RPG 120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 xml:space="preserve">Nurodykite atitinkamas teisinio pagrindo nuostatas, kuriose nustatyta, kad, pagal schemą skirdama pagalbą individualiems projektams, pagalbą teikianti institucija turi patikrinti ir patvirtinti, kad pagalba nesukels tokio akivaizdaus neigiamo poveikio kaip perteklinių pajėgumų sukūrimas visišką nuosmukį patiriančioje rinkoje (RPG 112–115 punktai), neigiamas poveikis sanglaudai </w:t>
      </w:r>
      <w:r>
        <w:lastRenderedPageBreak/>
        <w:t>(RPG 116–117 punktai) arba perkėlimas (RPG 118 punktas) (RPG 121 punktas):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Skaidrumas</w:t>
      </w:r>
    </w:p>
    <w:p w14:paraId="5D8729A0" w14:textId="77777777" w:rsidR="0047707E" w:rsidRPr="004A0583" w:rsidRDefault="0047707E" w:rsidP="007F52B1">
      <w:pPr>
        <w:pStyle w:val="NumPar3"/>
        <w:numPr>
          <w:ilvl w:val="1"/>
          <w:numId w:val="2"/>
        </w:numPr>
        <w:spacing w:before="240"/>
        <w:ind w:left="1418" w:hanging="698"/>
      </w:pPr>
      <w:r>
        <w:t xml:space="preserve">Patvirtinkite, kad visas sprendimo dėl individualios pagalbos teikimo ar patvirtintos pagalbos schemos ir jos įgyvendinimo nuostatų tekstas arba nuoroda į jį ir </w:t>
      </w:r>
      <w:bookmarkStart w:id="2" w:name="_Ref44059869"/>
      <w:r>
        <w:t>informacija apie kiekvieną skirtos individualios pagalbos, viršijančios 100 000 EUR, atvejį bus paskelbti, laikantis VIII priede nurodytos struktūros,</w:t>
      </w:r>
      <w:bookmarkEnd w:id="2"/>
      <w:r>
        <w:t xml:space="preserve"> Europos Komisijos tvarkomame Suteiktos valstybės pagalbos skaidrumo modulyje arba (nacionaliniu ar regioniniu lygmeniu</w:t>
      </w:r>
      <w:r>
        <w:rPr>
          <w:rStyle w:val="FootnoteReference"/>
        </w:rPr>
        <w:footnoteReference w:id="26"/>
      </w:r>
      <w:r>
        <w:t>) išsamioje valstybės pagalbos svetainėje per šešis mėnesius nuo pagalbos skyrimo dienos, o pagalbos mokesčių lengvatų forma atveju – per vienus metus nuo mokesčių deklaracijos pateikimo termino pabaigos:</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w:t>
      </w:r>
      <w:r>
        <w:tab/>
        <w:t>Taip</w:t>
      </w:r>
    </w:p>
    <w:p w14:paraId="419E66FE" w14:textId="77777777" w:rsidR="0047707E" w:rsidRDefault="0047707E" w:rsidP="007F52B1">
      <w:pPr>
        <w:pStyle w:val="NumPar3"/>
        <w:numPr>
          <w:ilvl w:val="1"/>
          <w:numId w:val="2"/>
        </w:numPr>
        <w:spacing w:before="240"/>
        <w:ind w:left="1418" w:hanging="698"/>
      </w:pPr>
      <w:r>
        <w:t>Nurodykite atitinkamas teisinio pagrindo nuostatas, kuriose nustatyta, kad pagalbą teikianti institucija Suteiktos valstybės pagalbos skaidrumo modulyje arba (nacionaliniu ar regioniniu lygmeniu</w:t>
      </w:r>
      <w:r>
        <w:rPr>
          <w:rStyle w:val="FootnoteReference"/>
        </w:rPr>
        <w:footnoteReference w:id="27"/>
      </w:r>
      <w:r>
        <w:t>) išsamioje valstybės pagalbos svetainėje turėtų skelbti bent šią informaciją apie valstybės pagalbos schemas, apie kurias pranešama: pagalbos schemos, apie kurią pranešama, ir jos įgyvendinimo nuostatų tekstą, informaciją apie pagalbą teikiančią instituciją, atskirų pagalbos gavėjų pavadinimus, pagalbos sumą kiekvienam pagalbos gavėjui ir pagalbos intensyvumą (RPG 136 punktas).</w:t>
      </w:r>
    </w:p>
    <w:p w14:paraId="74E1FB55" w14:textId="77777777" w:rsidR="0047707E" w:rsidRDefault="0047707E" w:rsidP="00DB5B5A">
      <w:pPr>
        <w:pStyle w:val="NumPar3"/>
        <w:spacing w:before="240"/>
        <w:ind w:left="426"/>
      </w:pPr>
      <w:r>
        <w:t>Jeigu tokių nuostatų nėra, paaiškinkite, kodėl. Taip pat nurodykite, jei schemos, apie kurią pranešama, teisiniame pagrinde tokių nuostatų nėra, bet jos yra kituose teisėkūros procedūra priimtuose dokumentuose:</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Nurodykite atitinkamas teisinio pagrindo nuostatas, kuriose nustatyta, kad pirmiau minėta informacija bus neribotai prieinama plačiajai visuomenei bent 10 metų nuo pagalbos skyrimo dienos (RPG 140 punktas):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lastRenderedPageBreak/>
              <w:t xml:space="preserve">Vertinimas, ataskaitų teikimas ir stebėsena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Vertinimas</w:t>
      </w:r>
    </w:p>
    <w:p w14:paraId="594EFB7A" w14:textId="77777777" w:rsidR="0047707E" w:rsidRDefault="0047707E" w:rsidP="001452D1">
      <w:pPr>
        <w:pStyle w:val="NumPar3"/>
        <w:numPr>
          <w:ilvl w:val="2"/>
          <w:numId w:val="2"/>
        </w:numPr>
        <w:spacing w:before="240"/>
        <w:ind w:left="1418" w:hanging="698"/>
      </w:pPr>
      <w:r>
        <w:t>Nurodykite visų ankstesnių ir vykdomų valstybės pagalbos schemų, kurių tikslas ir geografinė vietovė panašūs, SA numerį (RPG 144 punktas):</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 xml:space="preserve">Ar kuri nors iš pirmiau išvardytų valstybės pagalbos schemų buvo įvertinta </w:t>
      </w:r>
      <w:proofErr w:type="spellStart"/>
      <w:r>
        <w:rPr>
          <w:i/>
        </w:rPr>
        <w:t>ex</w:t>
      </w:r>
      <w:proofErr w:type="spellEnd"/>
      <w:r>
        <w:rPr>
          <w:i/>
        </w:rPr>
        <w:t xml:space="preserve"> </w:t>
      </w:r>
      <w:proofErr w:type="spellStart"/>
      <w:r>
        <w:rPr>
          <w:i/>
        </w:rPr>
        <w:t>post</w:t>
      </w:r>
      <w:proofErr w:type="spellEnd"/>
      <w:r>
        <w:t xml:space="preserve"> (RPG 144 punktas)?</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Taip</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Ne</w:t>
      </w:r>
    </w:p>
    <w:p w14:paraId="6D9A940C" w14:textId="77777777" w:rsidR="0047707E" w:rsidRDefault="0047707E" w:rsidP="00DB5B5A">
      <w:pPr>
        <w:pStyle w:val="NumPar3"/>
        <w:spacing w:before="240"/>
        <w:ind w:left="709"/>
      </w:pPr>
      <w:r>
        <w:t xml:space="preserve">Jei taip, pateikite trumpą pagrindinių </w:t>
      </w:r>
      <w:proofErr w:type="spellStart"/>
      <w:r>
        <w:rPr>
          <w:i/>
        </w:rPr>
        <w:t>ex</w:t>
      </w:r>
      <w:proofErr w:type="spellEnd"/>
      <w:r>
        <w:rPr>
          <w:i/>
        </w:rPr>
        <w:t xml:space="preserve"> </w:t>
      </w:r>
      <w:proofErr w:type="spellStart"/>
      <w:r>
        <w:rPr>
          <w:i/>
        </w:rPr>
        <w:t>post</w:t>
      </w:r>
      <w:proofErr w:type="spellEnd"/>
      <w:r>
        <w:t xml:space="preserve"> vertinimo (-ų) rezultatų santrauką (jei reikia, pateikite nuorodą ir saitą):</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Apibūdinkite, kaip į šių vertinimų rezultatus atsižvelgta rengiant naują schemą:</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Nurodykite, ar schemos valstybės pagalbos biudžetas bet kuriais metais viršija 150 mln. EUR (RPG 143 punktas):</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Taip</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Ne</w:t>
      </w:r>
    </w:p>
    <w:p w14:paraId="1481B715" w14:textId="77777777" w:rsidR="0047707E" w:rsidRDefault="00877F82" w:rsidP="0047707E">
      <w:pPr>
        <w:pStyle w:val="NumPar3"/>
        <w:spacing w:before="240"/>
        <w:ind w:left="1418"/>
      </w:pPr>
      <w:r>
        <w:t>Nurodykite, ar schemos valstybės pagalbos biudžetas per visą jos įgyvendinimo laikotarpį (t. y. bendrą schemos ir bet kurios ankstesnės schemos, kurios tikslas ir geografinė vietovė yra panašūs, taikymo laikotarpį, pradedant nuo 2022 m. sausio 1 d.) viršija 750 mln. EUR:</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Taip</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Ne</w:t>
      </w:r>
    </w:p>
    <w:p w14:paraId="04565C51" w14:textId="77777777" w:rsidR="0047707E" w:rsidRDefault="0047707E" w:rsidP="00AC71FD">
      <w:pPr>
        <w:pStyle w:val="NumPar3"/>
        <w:numPr>
          <w:ilvl w:val="2"/>
          <w:numId w:val="2"/>
        </w:numPr>
        <w:spacing w:before="240"/>
        <w:ind w:left="1418" w:hanging="720"/>
      </w:pPr>
      <w:r>
        <w:t>Nurodykite, ar (RPG 143 punktas):</w:t>
      </w:r>
    </w:p>
    <w:p w14:paraId="00204381" w14:textId="77777777" w:rsidR="0047707E" w:rsidRDefault="0047707E" w:rsidP="0047707E">
      <w:pPr>
        <w:spacing w:before="120" w:after="120"/>
        <w:ind w:left="1701" w:hanging="283"/>
        <w:rPr>
          <w:szCs w:val="24"/>
        </w:rPr>
      </w:pPr>
      <w:r>
        <w:t>schema pasižymi naujomis charakteristikomis?</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Taip</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Ne</w:t>
      </w:r>
    </w:p>
    <w:p w14:paraId="1DDA9233" w14:textId="77777777" w:rsidR="0047707E" w:rsidRDefault="0047707E" w:rsidP="0047707E">
      <w:pPr>
        <w:spacing w:before="120" w:after="120"/>
        <w:ind w:left="1418"/>
        <w:rPr>
          <w:szCs w:val="24"/>
        </w:rPr>
      </w:pPr>
      <w:r>
        <w:t>numatoma su schema susijusių reikšmingų rinkos, technologijų arba reguliavimo pokyčių?</w:t>
      </w:r>
    </w:p>
    <w:p w14:paraId="65276047" w14:textId="77777777" w:rsidR="0047707E" w:rsidRDefault="0047707E" w:rsidP="0047707E">
      <w:pPr>
        <w:pStyle w:val="NumPar3"/>
        <w:spacing w:before="240"/>
        <w:ind w:left="1224" w:firstLine="216"/>
      </w:pPr>
      <w:r>
        <w:lastRenderedPageBreak/>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Taip</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Ne</w:t>
      </w:r>
    </w:p>
    <w:p w14:paraId="1086B92D" w14:textId="77777777" w:rsidR="0047707E" w:rsidRDefault="0047707E" w:rsidP="0047707E">
      <w:pPr>
        <w:spacing w:before="120" w:after="120"/>
        <w:ind w:left="1843" w:hanging="425"/>
        <w:rPr>
          <w:szCs w:val="24"/>
        </w:rPr>
      </w:pPr>
      <w:r>
        <w:t>schemą planuojate vertinti, net jei netaikomi 5.1.2 ir 5.1.3 kriterijai?</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Taip</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98360E">
        <w:fldChar w:fldCharType="separate"/>
      </w:r>
      <w:r>
        <w:fldChar w:fldCharType="end"/>
      </w:r>
      <w:r>
        <w:t xml:space="preserve"> Ne</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rPr>
          <w:rFonts w:ascii="EUAlbertina" w:hAnsi="EUAlbertina"/>
          <w:color w:val="000000"/>
        </w:rPr>
        <w:t>Jei atsakėte neigiamai į 5.1.1 punkto klausimą ir teigiamai į bet kurį 5.1.2 ar 5.1.3 punkte nurodytą klausimą</w:t>
      </w:r>
      <w:r>
        <w:t xml:space="preserve">, reikės atlikti schemos </w:t>
      </w:r>
      <w:proofErr w:type="spellStart"/>
      <w:r>
        <w:rPr>
          <w:i/>
        </w:rPr>
        <w:t>ex</w:t>
      </w:r>
      <w:proofErr w:type="spellEnd"/>
      <w:r>
        <w:rPr>
          <w:i/>
        </w:rPr>
        <w:t xml:space="preserve"> </w:t>
      </w:r>
      <w:proofErr w:type="spellStart"/>
      <w:r>
        <w:rPr>
          <w:i/>
        </w:rPr>
        <w:t>post</w:t>
      </w:r>
      <w:proofErr w:type="spellEnd"/>
      <w:r>
        <w:t xml:space="preserve"> vertinimą (RPG 143 punktas). Tokiu atveju </w:t>
      </w:r>
      <w:r>
        <w:rPr>
          <w:color w:val="000000"/>
        </w:rPr>
        <w:t>į atitinkamą klausimą bendrojoje pranešimo formoje atsakykite teigiamai, nurodykite vertinimo laikotarpį ir I priedo III.8 dalyje pateikite vertinimo plano projektą</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Ataskaitų teikimas ir stebėsena</w:t>
      </w:r>
    </w:p>
    <w:p w14:paraId="478099B4" w14:textId="77777777" w:rsidR="00104EE1" w:rsidRDefault="00132132" w:rsidP="00AC71FD">
      <w:pPr>
        <w:pStyle w:val="NumPar3"/>
        <w:numPr>
          <w:ilvl w:val="2"/>
          <w:numId w:val="2"/>
        </w:numPr>
        <w:spacing w:before="240"/>
        <w:ind w:left="1418" w:hanging="720"/>
      </w:pPr>
      <w:r>
        <w:t>Patvirtinkite, kad</w:t>
      </w:r>
    </w:p>
    <w:p w14:paraId="471BF233" w14:textId="4F4B5021" w:rsidR="00104EE1" w:rsidRDefault="00104EE1" w:rsidP="00104EE1">
      <w:pPr>
        <w:numPr>
          <w:ilvl w:val="0"/>
          <w:numId w:val="25"/>
        </w:numPr>
        <w:rPr>
          <w:szCs w:val="24"/>
        </w:rPr>
      </w:pPr>
      <w:r>
        <w:t xml:space="preserve">Komisijai teiksite metines ataskaitas pagal 2015 m. liepos 13 d. Tarybos reglamentą (ES) 2015/1589 ir 2004 m. balandžio 21 d. Komisijos reglamentą (EB) Nr. 794/2004, įgyvendinantį Tarybos reglamentą (ES) 2015/1589, nustatantį išsamias Sutarties dėl Europos Sąjungos veikimo 108 straipsnio taikymo taisykles: </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98360E">
        <w:rPr>
          <w:b/>
          <w:color w:val="000000"/>
        </w:rPr>
      </w:r>
      <w:r w:rsidR="0098360E">
        <w:rPr>
          <w:b/>
          <w:color w:val="000000"/>
        </w:rPr>
        <w:fldChar w:fldCharType="separate"/>
      </w:r>
      <w:r>
        <w:rPr>
          <w:b/>
          <w:color w:val="000000"/>
        </w:rPr>
        <w:fldChar w:fldCharType="end"/>
      </w:r>
      <w:r>
        <w:rPr>
          <w:b/>
          <w:color w:val="000000"/>
        </w:rPr>
        <w:t xml:space="preserve"> </w:t>
      </w:r>
      <w:r>
        <w:tab/>
        <w:t>Taip</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ir bent 10 metų nuo pagalbos pagal schemą skyrimo dienos saugosite išsamius duomenis ir patvirtinamuosius dokumentus, kurių reikia siekiant nustatyti, ar įvykdytos visos suderinamumo sąlygos, ir kad Komisijos prašymu pateiksite jai šiuos duomenis:</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98360E">
        <w:rPr>
          <w:color w:val="000000"/>
        </w:rPr>
      </w:r>
      <w:r w:rsidR="0098360E">
        <w:rPr>
          <w:color w:val="000000"/>
        </w:rPr>
        <w:fldChar w:fldCharType="separate"/>
      </w:r>
      <w:r>
        <w:rPr>
          <w:color w:val="000000"/>
        </w:rPr>
        <w:fldChar w:fldCharType="end"/>
      </w:r>
      <w:r>
        <w:rPr>
          <w:color w:val="000000"/>
        </w:rPr>
        <w:t xml:space="preserve"> </w:t>
      </w:r>
      <w:r>
        <w:tab/>
        <w:t xml:space="preserve">Taip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Regioninės valstybės pagalbos gairės (OL C </w:t>
      </w:r>
      <w:r>
        <w:rPr>
          <w:rStyle w:val="Emphasis"/>
          <w:i w:val="0"/>
        </w:rPr>
        <w:t>153, 2021 4 29, p.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2014 m. birželio 17 d. Komisijos reglamentas (ES) Nr. 651/2014, kuriuo tam tikrų kategorijų pagalba skelbiama suderinama su vidaus rinka taikant Sutarties 107 ir 108 straipsnius (</w:t>
      </w:r>
      <w:r>
        <w:rPr>
          <w:rStyle w:val="Emphasis"/>
          <w:i w:val="0"/>
        </w:rPr>
        <w:t>OL L 187, 2014 6 26, p. 1</w:t>
      </w:r>
      <w:r>
        <w:t>), su pakeitimais.</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2013 m. gruodžio 18 d. Komisijos reglamentas (ES) Nr. 1407/2013 dėl Sutarties dėl Europos Sąjungos veikimo 107 ir 108 straipsnių taikymo </w:t>
      </w:r>
      <w:r>
        <w:rPr>
          <w:i/>
        </w:rPr>
        <w:t xml:space="preserve">de </w:t>
      </w:r>
      <w:proofErr w:type="spellStart"/>
      <w:r>
        <w:rPr>
          <w:i/>
        </w:rPr>
        <w:t>minimis</w:t>
      </w:r>
      <w:proofErr w:type="spellEnd"/>
      <w:r>
        <w:t xml:space="preserve"> pagalbai (OL L 352, 2013 12 24, p.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Kaip apibrėžta Gairėse dėl valstybės pagalbos sunkumų patiriančioms ne finansų įmonėms sanuoti ir restruktūrizuoti (OL C 249, 2014 7 31, p.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Kaip apibrėžta RPG VI priede.</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Lignitas – žemos kokybės C kategorijos lignitas, arba ortolignitas, ir žemos kokybės B kategorijos lignitas, arba metalignitas, kaip apibrėžta Jungtinių Tautų Europos ekonomikos komisijos nustatytoje tarptautinėje anglių kodifikavimo sistemoje.</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Anglys – aukštos kokybės, vidutinės kokybės ir žemos kokybės A ir B kategorijų anglys, kaip apibrėžta Jungtinių Tautų Europos ekonomikos komisijos tarptautinėje anglių kodifikavimo sistemoje ir patikslinta 2010 m. gruodžio 10 d. Tarybos sprendime dėl valstybės pagalbos nekonkurencingų anglių kasyklų uždarymui palengvinti (OL L 336, 2010 12 21, p.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Kaip numatyta 2013 m. gruodžio 11 d. Europos Parlamento ir Tarybos reglamente (ES) Nr. 1379/2013 dėl bendro žvejybos ir akvakultūros produktų rinkų organizavimo, kuriuo iš dalies keičiami Tarybos reglamentai (EB) Nr. 1184/2006 ir (EB) Nr. 1224/2009 ir panaikinamas Tarybos reglamentas (EB) Nr. 104/2000 (OL L 354, 2013 12 28, p.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Valstybės pagalbai Sutarties I priede išvardytų žemės ūkio produktų pirminei gamybai, perdirbimui bei prekybai jais, taip pat miškininkystei taikomos Valstybės pagalbos žemės ūkio sektoriui gairėse (OL C 204, 2014 7 1, p. 1) nustatytos taisyklės.</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Jei sektorių taisyklėse nenustatyta kitaip, šios RPG taikomos pagalbos schemoms, kuriomis remiama į Sutarties 42 straipsnio taikymo sritį nepatenkanti veikla, tačiau kurios bendrai finansuojamos Europos žemės ūkio fondo kaimo plėtrai (EŽŪFKP) lėšomis arba teikiamos kaip papildomas nacionalinis finansavimas tokioms bendrai finansuojamoms priemonėms.</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Transporto paslaugos – keleivių vežimas orlaiviais, jūrų transportu, keliais, geležinkeliais ir vidaus vandenimis arba krovinių vežimas samdos pagrindais arba už atlygį. Transporto infrastruktūrai, kuriai taikomos specialiosios gairės, pavyzdžiui, oro uostams, šios gairės taip pat netaikomos (žr. Komisijos komunikatą „Valstybės pagalbos oro uostams ir oro transporto bendrovėms gairės“ (OL C 99, 2014 4 4, p.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r>
      <w:r>
        <w:t>Valstybės pagalbos taisyklių taikymo plačiajuosčio ryšio tinklų sparčiam diegimui ES gairės (OL C 25, 2013 1 26, p.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Valstybės pagalbos energetikos sektoriui suderinamumą Komisija vertins remdamasi 2014–2020 m. Valstybės pagalbos aplinkos apsaugai ir energetikai gairėmis (OL C 200, 2014 6 28, p.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r>
      <w:r>
        <w:t>MVĮ – įmonės, atitinkančios kriterijus, nustatytus 2003 m. gegužės 6 d. Komisijos rekomendacijoje dėl labai mažų, mažųjų ir vidutinių įmonių apibrėžimo (OL L 124, 2003 5 20, p.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Vien tik įmonės akcijų įsigijimas nėra laikomas pradine investicija.</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r>
      <w:r>
        <w:t>Tapati ar panaši veikla – veikla, priskiriama prie tos pačios NACE 2 red. statistinio ekonominės veiklos rūšių klasifikatoriaus klasės (skaitmeninis keturženklis kodas).</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r>
      <w:r>
        <w:t>Vien tik įmonės akcijų įsigijimas nėra laikomas pradine naujos ekonominės veiklos investicija.</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Ši nuostata neprivalo būti taikoma MVĮ arba tuo atveju, kai įsigyjama įmonė.</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r>
      <w:r>
        <w:t>RPG 34 punkte nustatyta, kad nematerialusis turtas, į kurį gali būti atsižvelgta apskaičiuojant investicines išlaidas, turi likti susijęs su atitinkama remiama vietove ir negali būti perkeltas į kitas vietoves. Šiuo tikslu nematerialusis turtas turi tenkinti šias sąlygas:</w:t>
      </w:r>
    </w:p>
    <w:p w14:paraId="1C54C443" w14:textId="77777777" w:rsidR="00B133A0" w:rsidRDefault="00B133A0" w:rsidP="00B209F9">
      <w:pPr>
        <w:pStyle w:val="FootnoteText"/>
        <w:numPr>
          <w:ilvl w:val="0"/>
          <w:numId w:val="33"/>
        </w:numPr>
        <w:tabs>
          <w:tab w:val="clear" w:pos="357"/>
          <w:tab w:val="left" w:pos="709"/>
        </w:tabs>
        <w:ind w:left="709" w:hanging="425"/>
      </w:pPr>
      <w:r>
        <w:t>jis turi būti naudojamas tik įmonėje, gaunančioje pagalbą;</w:t>
      </w:r>
    </w:p>
    <w:p w14:paraId="7AF9FEC6" w14:textId="77777777" w:rsidR="00B133A0" w:rsidRDefault="00B133A0" w:rsidP="00B209F9">
      <w:pPr>
        <w:pStyle w:val="FootnoteText"/>
        <w:numPr>
          <w:ilvl w:val="0"/>
          <w:numId w:val="33"/>
        </w:numPr>
        <w:tabs>
          <w:tab w:val="clear" w:pos="357"/>
          <w:tab w:val="left" w:pos="709"/>
        </w:tabs>
        <w:ind w:left="709" w:hanging="425"/>
      </w:pPr>
      <w:r>
        <w:t>jis turi būti amortizuojamasis;</w:t>
      </w:r>
    </w:p>
    <w:p w14:paraId="63AFFA39" w14:textId="77777777" w:rsidR="00B133A0" w:rsidRDefault="00B133A0" w:rsidP="00B209F9">
      <w:pPr>
        <w:pStyle w:val="FootnoteText"/>
        <w:numPr>
          <w:ilvl w:val="0"/>
          <w:numId w:val="33"/>
        </w:numPr>
        <w:tabs>
          <w:tab w:val="clear" w:pos="357"/>
          <w:tab w:val="left" w:pos="709"/>
        </w:tabs>
        <w:ind w:left="709" w:hanging="425"/>
      </w:pPr>
      <w:r>
        <w:t>jis turi būti įsigytas rinkos sąlygomis iš trečiųjų asmenų, nesusijusių su pirkėju;</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jis turi būti įtrauktas į pagalbą gaunančios įmonės turtą ir likti susietas su projektu, kuriam skirta pagalba, bent penkerius metus (MVĮ atveju – trejus metus).</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r>
      <w:r>
        <w:t xml:space="preserve">Tai netaikoma subsidijuojamų paskolų, viešųjų nuosavo kapitalo paskolų arba rinkos investuotojo principo neatitinkančio valstybės dalyvavimo, pagalbos elementų turinčių valstybės garantijų ir pagal </w:t>
      </w:r>
      <w:r>
        <w:rPr>
          <w:i/>
        </w:rPr>
        <w:t xml:space="preserve">de </w:t>
      </w:r>
      <w:proofErr w:type="spellStart"/>
      <w:r>
        <w:rPr>
          <w:i/>
        </w:rPr>
        <w:t>minimis</w:t>
      </w:r>
      <w:proofErr w:type="spellEnd"/>
      <w:r>
        <w:t xml:space="preserve"> taisyklę suteiktos valstybės paramos atvejais.</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Priešingos padėties scenarijus yra įtikinamas, jei jis tikroviškas ir susijęs su sprendimo priėmimo veiksniais, vyraujančiais tuo momentu, kai pagalbos gavėjas priima sprendimą dėl investicijos.</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Šiuo tikslu, be kita ko, galima nurodyti siūlomos schemos poveikio vertinimą arba panašių schemų </w:t>
      </w:r>
      <w:proofErr w:type="spellStart"/>
      <w:r>
        <w:rPr>
          <w:i/>
          <w:iCs/>
        </w:rPr>
        <w:t>ex</w:t>
      </w:r>
      <w:proofErr w:type="spellEnd"/>
      <w:r>
        <w:rPr>
          <w:i/>
          <w:iCs/>
        </w:rPr>
        <w:t xml:space="preserve"> </w:t>
      </w:r>
      <w:proofErr w:type="spellStart"/>
      <w:r>
        <w:rPr>
          <w:i/>
          <w:iCs/>
        </w:rPr>
        <w:t>post</w:t>
      </w:r>
      <w:proofErr w:type="spellEnd"/>
      <w:r>
        <w:t xml:space="preserve"> vertinimus.</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Pavyzdžiui, tiesioginės dotacijos, visiškas ar dalinis atleidimas nuo mokesčių, socialinio draudimo ar kitų privalomųjų įmokų, žemės, prekių ar paslaugų suteikimas palankiomis kainomis ir pan.</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Pavyzdžiui, lengvatines paskolas ar palūkanų subsidijas, valstybės garantijas, akcijų dalies įsigijimą ar alternatyvias kapitalo injekcijas palankiomis sąlygomis.</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Kad Komisija galėtų įvertinti galimą neigiamą poveikį, valstybė narė galėtų pateikti turimus poveikio vertinimus ir ankstesnių panašių schemų </w:t>
      </w:r>
      <w:proofErr w:type="spellStart"/>
      <w:r>
        <w:rPr>
          <w:i/>
          <w:iCs/>
        </w:rPr>
        <w:t>ex</w:t>
      </w:r>
      <w:proofErr w:type="spellEnd"/>
      <w:r>
        <w:rPr>
          <w:i/>
          <w:iCs/>
        </w:rPr>
        <w:t xml:space="preserve"> </w:t>
      </w:r>
      <w:proofErr w:type="spellStart"/>
      <w:r>
        <w:rPr>
          <w:i/>
          <w:iCs/>
        </w:rPr>
        <w:t>post</w:t>
      </w:r>
      <w:proofErr w:type="spellEnd"/>
      <w:r>
        <w:t xml:space="preserve"> vertinimus.</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Kaip apibrėžta 2014 m. birželio 17 d. Komisijos reglamento (ES) Nr. 651/2014, kuriuo tam tikrų kategorijų pagalba skelbiama suderinama su vidaus rinka taikant Sutarties 107 ir 108 straipsnius, III priede.</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Kaip apibrėžta 2014 m. birželio 17 d. Komisijos reglamento (ES) Nr. 651/2014, kuriuo tam tikrų kategorijų pagalba skelbiama suderinama su vidaus rinka taikant Sutarties 107 ir 108 straipsnius, III priede.</w:t>
      </w:r>
    </w:p>
  </w:footnote>
  <w:footnote w:id="28">
    <w:p w14:paraId="63FE5190" w14:textId="2EA9EE86"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Paaiškinimai pateikti Metodinėse valstybės pagalbos vertinimo gairėse – </w:t>
      </w:r>
      <w:hyperlink r:id="rId1" w:history="1">
        <w:r>
          <w:rPr>
            <w:rStyle w:val="Hyperlink"/>
          </w:rPr>
          <w:t>https://competition-policy.ec.europa.eu/system/files/2021-04/modernisation_evaluation_methodology_en.pdf</w:t>
        </w:r>
      </w:hyperlink>
      <w:r w:rsidR="0098360E">
        <w:t xml:space="preserve">. </w:t>
      </w:r>
      <w:bookmarkStart w:id="3" w:name="_GoBack"/>
      <w:bookmarkEnd w:id="3"/>
      <w:r>
        <w:t xml:space="preserve">Vertinimo planas (I priedo III.8 dalis) turėtų būti pateiktas naudojant formą, kurią galima rasti adresu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360E"/>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lt-LT"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lt-LT"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lt-LT"/>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E984D-B379-440D-A146-FA73CD643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2735</Words>
  <Characters>18436</Characters>
  <Application>Microsoft Office Word</Application>
  <DocSecurity>0</DocSecurity>
  <Lines>428</Lines>
  <Paragraphs>225</Paragraphs>
  <ScaleCrop>false</ScaleCrop>
  <Company/>
  <LinksUpToDate>false</LinksUpToDate>
  <CharactersWithSpaces>20946</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2023-01-26T07:29:00Z</dcterms:modified>
</cp:coreProperties>
</file>