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OSA III LISÄTIETOLOMAKKEET</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OSA III.1.B</w:t>
            </w:r>
          </w:p>
          <w:p w14:paraId="6A102D4B" w14:textId="77777777" w:rsidR="00EF0533" w:rsidRDefault="009C772B" w:rsidP="003740E7">
            <w:pPr>
              <w:pStyle w:val="ChapterTitle"/>
              <w:spacing w:before="0" w:after="240"/>
            </w:pPr>
            <w:r>
              <w:t>Päivitetty* Lisätietolomake – Alueelliset investointitukiohjelmat</w:t>
            </w:r>
          </w:p>
          <w:p w14:paraId="09A68465" w14:textId="77777777" w:rsidR="00380753" w:rsidRPr="00380753" w:rsidRDefault="009C772B" w:rsidP="003740E7">
            <w:pPr>
              <w:jc w:val="left"/>
            </w:pPr>
            <w:r>
              <w:t>* Ei vielä virallisesti hyväksytty.</w:t>
            </w:r>
          </w:p>
        </w:tc>
      </w:tr>
    </w:tbl>
    <w:p w14:paraId="1536E485" w14:textId="77777777" w:rsidR="00923AD6" w:rsidRDefault="00923AD6" w:rsidP="001B2B78"/>
    <w:p w14:paraId="75E982FA" w14:textId="03146DB6" w:rsidR="00EF0533" w:rsidRPr="00003889" w:rsidRDefault="00003889" w:rsidP="001B2B78">
      <w:r>
        <w:t>Tämä lisätietolomake ei ole pakollinen. Sen täyttäminen on kuitenkin suositeltavaa yleisiä tietoja koskevan lomakkeen lisäksi ilmoitettaessa investointitu</w:t>
      </w:r>
      <w:r w:rsidR="00EC7194">
        <w:t>kiohjelmista, jotka kuuluvat 1. </w:t>
      </w:r>
      <w:r>
        <w:t>tammikuuta 2022 alkaen sovellettavien alueellisia valtiontukia koskevien suuntaviivojen</w:t>
      </w:r>
      <w:r>
        <w:rPr>
          <w:rStyle w:val="FootnoteReference"/>
          <w:iCs/>
          <w:szCs w:val="24"/>
        </w:rPr>
        <w:footnoteReference w:id="1"/>
      </w:r>
      <w:r>
        <w:t xml:space="preserve"> (’aluetukisuuntaviivojen’) piiriin.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Kohdeala</w:t>
            </w:r>
          </w:p>
        </w:tc>
      </w:tr>
    </w:tbl>
    <w:p w14:paraId="64530B4D" w14:textId="77777777" w:rsidR="00EF0533" w:rsidRPr="00D070D1" w:rsidRDefault="00EF0533" w:rsidP="00095A91">
      <w:pPr>
        <w:pStyle w:val="NormalKop11"/>
      </w:pPr>
      <w:r>
        <w:t>Miksi ohjelmasta ilmoitetaan sen sijaan, että se toteutettaisiin yleisen ryhmäpoikkeusasetuksen</w:t>
      </w:r>
      <w:r>
        <w:rPr>
          <w:rStyle w:val="FootnoteReference"/>
          <w:color w:val="000000"/>
        </w:rPr>
        <w:footnoteReference w:id="2"/>
      </w:r>
      <w:r>
        <w:t xml:space="preserve"> tai vähämerkityksistä tukea koskevan asetuksen</w:t>
      </w:r>
      <w:r>
        <w:rPr>
          <w:rStyle w:val="FootnoteReference"/>
        </w:rPr>
        <w:footnoteReference w:id="3"/>
      </w:r>
      <w:r>
        <w:t xml:space="preserve"> nojalla?</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076993">
        <w:rPr>
          <w:b/>
        </w:rPr>
      </w:r>
      <w:r w:rsidR="00076993">
        <w:rPr>
          <w:b/>
        </w:rPr>
        <w:fldChar w:fldCharType="separate"/>
      </w:r>
      <w:r>
        <w:rPr>
          <w:b/>
        </w:rPr>
        <w:fldChar w:fldCharType="end"/>
      </w:r>
      <w:r>
        <w:tab/>
        <w:t>Ilmoitus koskee alakohtaista ohjelmaa. Ilmoittakaa tässä tapauksessa ohjelman kattama toimiala (NACE-koodi):</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ab/>
        <w:t xml:space="preserve">Muu. Täsmentäkää: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Ilmoitetun ohjelman kohdeala</w:t>
      </w:r>
    </w:p>
    <w:p w14:paraId="669E042A" w14:textId="77777777" w:rsidR="000956BB" w:rsidRPr="005C5DFC" w:rsidRDefault="000956BB" w:rsidP="000956BB">
      <w:pPr>
        <w:pStyle w:val="NumPar3"/>
        <w:numPr>
          <w:ilvl w:val="2"/>
          <w:numId w:val="2"/>
        </w:numPr>
        <w:ind w:left="1418" w:hanging="698"/>
      </w:pPr>
      <w:r>
        <w:t>Vahvistakaa, että ilmoitetun ohjelman oikeusperustaan sisältyy velvoite ilmoittaa komissiolle yksittäisestä tuesta tuensaajalle, jos kaikista lähteistä peräisin oleva tuki ylittää yleisessä ryhmäpoikkeusasetuksessa alueellisen investointituen osalta säädetyn yksittäisen ilmoituskynnysarvon (aluetukisuuntaviivojen 22 kohta).</w:t>
      </w:r>
    </w:p>
    <w:p w14:paraId="5712B87E" w14:textId="77777777" w:rsidR="000956BB" w:rsidRDefault="000956BB" w:rsidP="000956BB">
      <w:pPr>
        <w:pStyle w:val="NumPar3"/>
        <w:ind w:left="1418"/>
      </w:pPr>
      <w:r>
        <w:t xml:space="preserve">Antakaa viittaus oikeusperustan asiaa koskevaan säännökseen: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Vahvistakaa, että ilmoitetun tukiohjelman oikeusperustaan sisältyy velvoite ilmoittaa komissiolle yksittäisestä tuesta tuensaajalle, paitsi jos 1) tuensaaja on </w:t>
      </w:r>
      <w:r>
        <w:lastRenderedPageBreak/>
        <w:t>vahvistanut, että se ei ole kahden tuen hakemista edeltävän vuoden aikana siirtänyt toimintoja toimipaikkaan, jossa on tarkoitus toteuttaa alkuinvestointi, johon tukea saadaan, ja 2) tuensaaja on sitoutunut siihen, ettei se tällä tavoin siirrä toimintoja kahden vuoden aikana alkuinvestoinnin loppuun saattamisesta (aluetukisuuntaviivojen 23 artikla).</w:t>
      </w:r>
    </w:p>
    <w:p w14:paraId="095F8EF4" w14:textId="77777777" w:rsidR="00071A7F" w:rsidRDefault="00EF0533" w:rsidP="00EF0533">
      <w:pPr>
        <w:pStyle w:val="NumPar3"/>
        <w:ind w:left="1418"/>
      </w:pPr>
      <w:r>
        <w:t xml:space="preserve">Antakaa viittaus oikeusperustan asiaa koskevaan säännökseen: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Vahvistakaa, että ilmoitetussa tukiohjelmassa määrätään, ettei alueellista investointitukea voida myöntää alla luetelluille yritysluokille ja toimialoille. Ilmoittakaa kussakin tapauksessa asiaa koskeva säännös ohjelman oikeusperustassa.</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Poissuljetut yritysluokat ja toimialat</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Asiaa koskeva säännös ohjelman oikeusperustassa</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Vaikeuksissa olevat yritykset</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Terässektori</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Ruskohiilisektori</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Kivihiilisektori</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Kalastus ja vesiviljely</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Maatalous</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SEUT-sopimuksen liitteessä I lueteltujen maataloustuotteiden jalostaminen liitteessä I luetelluiksi tuotteiksi ja/tai niiden kaupan pitäminen</w:t>
            </w:r>
            <w:r>
              <w:rPr>
                <w:bCs/>
                <w:sz w:val="22"/>
                <w:szCs w:val="22"/>
                <w:vertAlign w:val="superscript"/>
              </w:rPr>
              <w:footnoteReference w:id="10"/>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Liikenne</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Laajakaista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Energia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Alkuinvestointi, tukikelpoiset kustannukset ja tuki</w:t>
            </w:r>
          </w:p>
        </w:tc>
      </w:tr>
    </w:tbl>
    <w:p w14:paraId="0568836A" w14:textId="77777777" w:rsidR="005936C8" w:rsidRPr="00D278EA" w:rsidRDefault="00BB1994" w:rsidP="00D278EA">
      <w:pPr>
        <w:pStyle w:val="NormalKop11"/>
        <w:rPr>
          <w:b/>
        </w:rPr>
      </w:pPr>
      <w:r>
        <w:rPr>
          <w:b/>
        </w:rPr>
        <w:t>Ohjelman kattamat alkuinvestointityypit</w:t>
      </w:r>
    </w:p>
    <w:p w14:paraId="15863B73" w14:textId="77777777" w:rsidR="00801CFE" w:rsidRPr="005C5DFC" w:rsidRDefault="00801CFE" w:rsidP="001D303A">
      <w:pPr>
        <w:pStyle w:val="NumPar3"/>
        <w:numPr>
          <w:ilvl w:val="2"/>
          <w:numId w:val="2"/>
        </w:numPr>
        <w:spacing w:before="240"/>
        <w:ind w:left="1440" w:hanging="720"/>
      </w:pPr>
      <w:r>
        <w:t>Jos ohjelma kattaa pk-yritysten</w:t>
      </w:r>
      <w:r>
        <w:rPr>
          <w:rStyle w:val="FootnoteReference"/>
        </w:rPr>
        <w:footnoteReference w:id="14"/>
      </w:r>
      <w:r>
        <w:t xml:space="preserve"> tai suurten yritysten investoinnit ’a-alueilla’ tai pk-yritysten investoinnit ’c-alueilla’ (aluetukisuuntaviivojen 45 kohta), ilmoittakaa ilmoituksen kohteena olevan alkuinvestoinnin luokka tai luokat (aluetukisuuntaviivojen 19 kohdan 13 alakohta):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uuden laitoksen perustaminen</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olemassa olevan laitoksen kapasiteetin lisääminen</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laitoksen tuotannon monipuolistaminen sellaisiin tuotteisiin, joita laitos ei ole aikaisemmin tuottanut</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investoinnin kohteena olevan tuotteen (olevien tuotteiden) tuotantoprosessin perusteellinen muuttaminen laitoksessa</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w:t>
      </w:r>
      <w:r>
        <w:tab/>
        <w:t>sellaisen toimipaikan omaisuuden hankinta, joka on suljettu tai olisi suljettu, jos sitä ei olisi ostettu</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Jos ohjelma kattaa suurten yritysten investoinnit ’c-alueilla’, täsmentäkää ilmoituksen kohteena olevan alkuinvestoinnin luokka/luokat (aluetukisuuntaviivojen 19 kohdan 14 alakohta ja 14 kohta):</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w:t>
      </w:r>
      <w:r>
        <w:tab/>
        <w:t>uuden laitoksen perustaminen</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w:t>
      </w:r>
      <w:r>
        <w:tab/>
        <w:t>laitoksen tuotannon monipuolistaminen, kunhan uusi toiminta ei ole samaa tai samankaltaista</w:t>
      </w:r>
      <w:r>
        <w:rPr>
          <w:rStyle w:val="FootnoteReference"/>
        </w:rPr>
        <w:footnoteReference w:id="16"/>
      </w:r>
      <w:r>
        <w:t xml:space="preserve"> kuin kyseisessä laitoksessa on aikaisemmin harjoitettu</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w:t>
      </w:r>
      <w:r>
        <w:tab/>
        <w:t xml:space="preserve">sellaisen laitoksen omaisuuden hankinta, joka on suljettu tai olisi suljettu, jos sitä ei olisi ostettu, kunhan hankittua omaisuutta käyttämällä harjoitettava uusi toiminta ei ole samaa tai </w:t>
      </w:r>
      <w:r>
        <w:lastRenderedPageBreak/>
        <w:t>samankaltaista kuin ennen hankintaa kyseisessä laitoksessa harjoitettu toiminta.</w:t>
      </w:r>
      <w:r>
        <w:rPr>
          <w:rStyle w:val="FootnoteReference"/>
        </w:rPr>
        <w:footnoteReference w:id="17"/>
      </w:r>
    </w:p>
    <w:p w14:paraId="123A6FE9" w14:textId="77777777" w:rsidR="005936C8" w:rsidRPr="00D23668" w:rsidRDefault="005936C8" w:rsidP="00D23668">
      <w:pPr>
        <w:pStyle w:val="NormalKop11"/>
        <w:rPr>
          <w:b/>
        </w:rPr>
      </w:pPr>
      <w:r>
        <w:rPr>
          <w:b/>
        </w:rPr>
        <w:t>Investointikustannusten perusteella lasketut tukikelpoiset kustannukset</w:t>
      </w:r>
    </w:p>
    <w:p w14:paraId="66E3E5CE" w14:textId="1EEAD7A8" w:rsidR="0096475D" w:rsidRPr="0096475D" w:rsidRDefault="000C7C9C" w:rsidP="00B209F9">
      <w:pPr>
        <w:pStyle w:val="NumPar3"/>
        <w:numPr>
          <w:ilvl w:val="2"/>
          <w:numId w:val="2"/>
        </w:numPr>
        <w:spacing w:before="240"/>
      </w:pPr>
      <w:r>
        <w:t>Jos ohjelman mukaiset tukikelpoiset kustannukset liittyvät aineelliseen omaisuuteen (aluetukisuuntaviivojen 19 kohdan 31 alakohta), ilmoittakaa, onko investoinnin arvo määritetty prosenttiosuutena maa-alueiden, rakennusten tai laitoksen, koneiden ja laitteiden kustannuksista:</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maa-alueet</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rakennukset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laitos/koneet/laitteet</w:t>
      </w:r>
    </w:p>
    <w:p w14:paraId="08F0994B" w14:textId="325FF7E9" w:rsidR="0096475D" w:rsidRPr="00540AF1" w:rsidRDefault="0096475D" w:rsidP="001E018C">
      <w:pPr>
        <w:pStyle w:val="Text2"/>
        <w:ind w:left="1843" w:hanging="425"/>
        <w:rPr>
          <w:rFonts w:cs="Times New Roman"/>
        </w:rPr>
      </w:pPr>
      <w:r>
        <w:t xml:space="preserve">Antakaa viittaukset oikeusperustan asiaa koskeviin säännöksiin: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t xml:space="preserve">Antakaa viittaus </w:t>
      </w:r>
      <w:bookmarkStart w:id="0" w:name="OLE_LINK1"/>
      <w:bookmarkStart w:id="1" w:name="OLE_LINK2"/>
      <w:r>
        <w:t>oikeusperustan säännökseen</w:t>
      </w:r>
      <w:bookmarkEnd w:id="0"/>
      <w:bookmarkEnd w:id="1"/>
      <w:r>
        <w:t>, jonka mukaan hankittujen omaisuuserien olisi oltava uusia</w:t>
      </w:r>
      <w:r>
        <w:rPr>
          <w:rStyle w:val="FootnoteReference"/>
        </w:rPr>
        <w:footnoteReference w:id="18"/>
      </w:r>
      <w:r>
        <w:t xml:space="preserve"> (aluetukisuuntaviivojen 27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Antakaa viittaus oikeusperustan säännökseen, jonka mukaan pk-yritysten tapauksessa enintään 50 prosenttia investointiin liittyvistä alustavista selvityksistä ja neuvontapalveluista aiheutuvista kustannuksista voidaan katsoa tukikelpoisiksi kustannuksiksi (aluetukisuuntaviivojen 28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Antakaa viittaus oikeusperustan säännökseen, jonka mukaan suurille yrityksille tuotantoprosessin perusteelliseen muuttamiseen myönnettävän tuen osalta tukikelpoisten kustannusten on oltava suuremmat kuin poistot, jotka on tehty uudistettavaan toimintaan liittyvästä omaisuudesta kolmen edeltävän verovuoden aikana (aluetukisuuntaviivojen 29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Antakaa viittaus oikeusperustan säännökseen, jonka mukaan olemassa olevan laitoksen tuotannon monipuolistamiseen myönnettävän tuen osalta tukikelpoisten kustannusten on oltava vähintään 200 prosenttia suuremmat kuin uudelleen käytettävän omaisuuden kirjanpitoarvo töiden alkamista edeltävänä verovuonna (aluetukisuuntaviivojen 30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lastRenderedPageBreak/>
        <w:t xml:space="preserve">Kun on kyse aineellisen omaisuuden vuokraamisesta, antakaa viittaukset oikeusperustan säännöksiin, joiden mukaan seuraavien edellytysten on täytyttävä (aluetukisuuntaviivojen 31 kohta): </w:t>
      </w:r>
    </w:p>
    <w:p w14:paraId="3CC0A357" w14:textId="77777777" w:rsidR="00216490" w:rsidRDefault="00216490" w:rsidP="00CB4B02">
      <w:pPr>
        <w:pStyle w:val="NumPar3"/>
        <w:ind w:left="1701" w:hanging="283"/>
      </w:pPr>
      <w:r>
        <w:t>•</w:t>
      </w:r>
      <w:r>
        <w:tab/>
        <w:t>maa-alueisiin ja rakennuksiin liittyvän vuokrasopimuksen on oltava voimassa vähintään viisi vuotta investoinnin arvioidun valmistumisajankohdan jälkeen, jos kyseessä on suuri yritys, ja kolme vuotta, jos kyseessä on pk-yritys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laitoksen tai koneiden vuokrasopimus on tehtävä rahoitusleasingin muodossa ja siihen on sisällyttävä velvoite, jonka mukaan tuensaajan on ostettava kyseinen omaisuuserä vuokrasopimuksen päätyttyä.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Aluetukisuuntaviivojen 32 kohdassa todetaan, että laitoksen hankinnan yhteydessä ”</w:t>
      </w:r>
      <w:r>
        <w:rPr>
          <w:i/>
          <w:color w:val="000000"/>
        </w:rPr>
        <w:t>huomioon olisi periaatteessa otettava ainoastaan kustannukset, jotka aiheutuvat omaisuuserien ostamisesta ostajasta riippumattomilta kolmansilta osapuolilta. Jos pieni yritys siirtyy alkuperäisen omistajan perheenjäsenelle tai entiselle työntekijälle, luovutaan kuitenkin edellytyksestä, jonka mukaan omaisuuserät on ostettava kolmansilta osapuolilta, jotka ovat ostajasta riippumattomia. Kauppa on toteutettava markkinaehdoin. Jos laitoksen omaisuuserän hankintaan liittyy aluetukikelpoinen lisäinvestointi, tämän lisäinvestoinnin tukikelpoiset kustannukset olisi lisättävä laitoksen omaisuuserien hankinnasta aiheutuviin kustannuksiin</w:t>
      </w:r>
      <w:r>
        <w:rPr>
          <w:color w:val="000000"/>
        </w:rPr>
        <w:t xml:space="preserve">.” </w:t>
      </w:r>
    </w:p>
    <w:p w14:paraId="70A68FF7" w14:textId="77777777" w:rsidR="00CB4B02" w:rsidRDefault="00561589" w:rsidP="00D23668">
      <w:pPr>
        <w:pStyle w:val="NumPar3"/>
        <w:ind w:left="1418"/>
      </w:pPr>
      <w:r>
        <w:t xml:space="preserve">Jos merkityksellistä ilmoitetun ohjelman kannalta, antakaa viittaukset oikeusperustan säännöksiin, joiden mukaan edellä esitettyjen edellytysten olisi täytyttävä.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Jos ohjelman mukaiset tukikelpoiset kustannukset liittyvät aineettomaan omaisuuteen (aluetukisuuntaviivojen 19 kohdan 15 alakohta), ilmoittakaa, onko investoinnin arvo määritetty niiden kustannusten perusteella, jotka liittyvät teknologian siirtoon hankkimalla patenttioikeuksia, lisenssejä, taitotietoa tai muuta henkistä omaisuutta:</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patenttioikeuksia</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lisenssejä</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taitotietoa</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muuta henkistä omaisuutta</w:t>
      </w:r>
    </w:p>
    <w:p w14:paraId="78A2921B" w14:textId="5E1AB8D8" w:rsidR="005936C8" w:rsidRDefault="005936C8" w:rsidP="00D23668">
      <w:pPr>
        <w:pStyle w:val="Text2"/>
        <w:spacing w:before="120" w:after="120"/>
        <w:ind w:left="1418"/>
        <w:rPr>
          <w:rFonts w:cs="Times New Roman"/>
        </w:rPr>
      </w:pPr>
      <w:r>
        <w:t>Antakaa viittaukset oikeusperustan asiaa koskeviin säännöksiin: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Antakaa viittaukset oikeusperustan säännöksiin, joiden mukaan suurten yritysten osalta aineettoman omaisuuden kustannuksista tukikelpoisiksi katsotaan ainoastaan enintään 50 prosenttia alkuinvestoinnin tukikelpoisista kokonaiskustannuksista (aluetukisuuntaviivojen 33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lastRenderedPageBreak/>
        <w:t>Antakaa viittaukset oikeusperustan säännöksiin, joiden mukaan aluetukisuuntaviivojen 34 kohdassa esitettyjen ehtojen</w:t>
      </w:r>
      <w:r>
        <w:rPr>
          <w:rFonts w:cs="Times New Roman"/>
          <w:color w:val="000000"/>
          <w:vertAlign w:val="superscript"/>
        </w:rPr>
        <w:footnoteReference w:id="19"/>
      </w:r>
      <w:r>
        <w:rPr>
          <w:color w:val="000000"/>
        </w:rPr>
        <w:t xml:space="preserve"> on täytyttävä.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Palkkakustannusten perusteella lasketut tukikelpoiset kustannukset</w:t>
      </w:r>
    </w:p>
    <w:p w14:paraId="13E0BDA7" w14:textId="77777777" w:rsidR="00F330CB" w:rsidRPr="008C2DA8" w:rsidRDefault="009E28B0" w:rsidP="001452D1">
      <w:pPr>
        <w:pStyle w:val="NumPar3"/>
        <w:numPr>
          <w:ilvl w:val="2"/>
          <w:numId w:val="2"/>
        </w:numPr>
        <w:spacing w:before="240"/>
        <w:ind w:left="1418" w:hanging="698"/>
      </w:pPr>
      <w:r>
        <w:t>Antakaa viittaukset oikeusperustan säännöksiin, jotka koskevat sitä, miten palkkakustannusten perusteella lasketut tukikelpoiset kustannukset olisi määritettävä (aluetukisuuntaviivojen 35 kohta), miten luotujen työpaikkojen määrä olisi laskettava aluetukisuuntaviivojen 19 kohdan 16 alakohdan mukaisesti ja miten palvelukseen otettujen henkilöiden palkkakustannukset olisi määritettävä aluetukisuuntaviivojen 19 kohdan 33 alakohdan mukaisesti.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Diskontattujen tukikelpoisten kustannusten laskeminen</w:t>
      </w:r>
    </w:p>
    <w:p w14:paraId="647EE464" w14:textId="77777777" w:rsidR="00E538B5" w:rsidRPr="00CB4B02" w:rsidRDefault="00E538B5" w:rsidP="00B209F9">
      <w:pPr>
        <w:pStyle w:val="NumPar3"/>
        <w:numPr>
          <w:ilvl w:val="2"/>
          <w:numId w:val="2"/>
        </w:numPr>
        <w:spacing w:before="240"/>
        <w:rPr>
          <w:rFonts w:cs="Times New Roman"/>
        </w:rPr>
      </w:pPr>
      <w:r>
        <w:t>Ilmoittakaa ohjelmassa sallitut tukimuodot:</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Avustukset. Antakaa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Lainat. Ilmoittakaa, miten avustusekvivalentti lasketaan, ja antakaa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Takaukset. Ilmoittakaa, miten avustusekvivalentti lasketaan, ja antakaa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Veroetuudet. Tarkentakaa toimenpidetyypit ja ilmoittakaa, miten avustusekvivalentti lasketaan. Antakaa myös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076993">
        <w:rPr>
          <w:rFonts w:cs="Times New Roman"/>
        </w:rPr>
      </w:r>
      <w:r w:rsidR="00076993">
        <w:rPr>
          <w:rFonts w:cs="Times New Roman"/>
        </w:rPr>
        <w:fldChar w:fldCharType="separate"/>
      </w:r>
      <w:r>
        <w:rPr>
          <w:rFonts w:cs="Times New Roman"/>
        </w:rPr>
        <w:fldChar w:fldCharType="end"/>
      </w:r>
      <w:r>
        <w:t xml:space="preserve"> </w:t>
      </w:r>
      <w:r>
        <w:tab/>
        <w:t>Muu. Tarkentakaa ja ilmoittakaa, miten avustusekvivalentti lasketaan. Antakaa myös viittaukset oikeusperustan asiaa koskeviin säännöksiin: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lastRenderedPageBreak/>
        <w:t>Ilmoittakaa, voiko tukiohjelma saada osarahoitusta jostakin EU:n rahastosta (’EU-rahastot’), jota hallinnoidaan yhdessä jäsenvaltioiden kanssa. Jos näin on, ilmoittakaa mistä ohjelmasta rahoitusta voitaisiin saada. Ilmoittakaa myös EU-rahastoista saatavan rahoituksen määrä, jos se on tiedossa tässä vaiheessa.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Antakaa viittaukset oikeusperustan säännöksiin, joiden mukaan tuen myöntävän viranomaisen olisi tarkistettava ennen yksittäisen tuen myöntämistä ilmoitetun tukiohjelman perusteella, onko tuensaaja (konsernitasolla) saanut tukea yhteen (tai useampaan) alkuinvestointiin, joka on käynnistetty samalla NUTS 3 -alueella kolmen vuoden sisällä ennen investointihankkeeseen liittyvien töiden aloittamista.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Antakaa viittaukset oikeusperustan säännöksiin, joiden mukaan ohjelman nojalla alkuinvestointihankkeelle myönnettävän tuen kokonaismäärä ei ylitä ’tuen enimmäisintensiteetin’ (kuten se on määritetty aluetukisuuntaviivojen 19 kohdan 19 alakohdassa) mukaista määrää ottaen tarvittaessa huomioon pk-yritysten korotettu tuki-intensiteetti (kuten se on määritetty aluetukisuuntaviivojen 186 kohdassa) tai ’mukautettu tuen määrä’ (kuten se on määritetty aluetukisuuntaviivojen 19 kohdan 3 alakohdassa).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Antakaa viittaukset oikeusperustan säännöksiin, joiden mukaan myönnettäessä yksittäistä tukea useiden aluetukiohjelmien nojalla tai tapauskohtaisen tuen kanssa kasautuneena, ensimmäisen tuen myöntävä viranomainen laskee ennakkoon hankkeelle myönnettävän tuen sallitun enimmäisintensiteetin (aluetukisuuntaviivojen 99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Jos tukiohjelma mahdollistaa tuen myöntämisen alkuinvestointeihin, jotka liittyvät Euroopan alueellisen yhteistyön hankkeisiin, antakaa viittaukset oikeusperustan säännöksiin, jotka koskevat sitä (aluetukisuuntaviivojen 100 kohdan mukaisesti), miten hankkeeseen ja eri tuensaajiin sovellettava tuen enimmäisintensiteetti määritetään.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Tukiohjelman sisämarkkinoille soveltuvuuden arviointi</w:t>
            </w:r>
          </w:p>
        </w:tc>
      </w:tr>
    </w:tbl>
    <w:p w14:paraId="2C690D30" w14:textId="77777777" w:rsidR="006D4360" w:rsidRPr="007965FE" w:rsidRDefault="006D4360" w:rsidP="007965FE">
      <w:pPr>
        <w:pStyle w:val="NormalKop11"/>
        <w:rPr>
          <w:b/>
        </w:rPr>
      </w:pPr>
      <w:r>
        <w:rPr>
          <w:b/>
        </w:rPr>
        <w:t>Aluekehityksen edesauttaminen, myönteiset vaikutukset ja valtion intervention tarve</w:t>
      </w:r>
    </w:p>
    <w:p w14:paraId="552BABED" w14:textId="77777777" w:rsidR="006D4360" w:rsidRDefault="006D4360" w:rsidP="00B209F9">
      <w:pPr>
        <w:pStyle w:val="NumPar3"/>
        <w:numPr>
          <w:ilvl w:val="2"/>
          <w:numId w:val="2"/>
        </w:numPr>
        <w:spacing w:before="240"/>
        <w:ind w:left="1440" w:hanging="720"/>
      </w:pPr>
      <w:r>
        <w:t>Selittäkää, miten ohjelma on johdonmukainen kyseisen alueen kehitysstrategian kanssa ja edesauttaa sitä (aluetukisuuntaviivojen 44 kohta):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lastRenderedPageBreak/>
        <w:t>Antakaa viittaukset oikeusperustan säännöksiin, joiden mukaan kyseisistä investoinneista on suoritettava ympäristövaikutusten arviointi ennen tuen myöntämistä yksittäisille hankkeille, jos sitä edellytetään lainsäädännössä (aluetukisuuntaviivojen 49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Selvittäkää, miten tuen myöntävät viranomaiset asettavat investointihankkeet tärkeysjärjestykseen ja valitsevat ne ohjelman tavoitteiden mukaisesti (esimerkiksi käyttämällä muodollista pisteytystä) (aluetukisuuntaviivojen 44 kohta). Antakaa myös viittaukset oikeusperustan tai muiden asiaan liittyvien hallinnollisten asiakirjojen asiaa koskeviin säännöksiin: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Selittäkää, miten tuen myöntävä viranomainen vahvistaa myöntäessään ohjelman nojalla tukea yksittäisiin investointihankkeisiin, että valittu hanke edistää ohjelman tavoitetta ja kyseisen alueen kehitysstrategiaa (aluetukisuuntaviivojen 46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Selittäkää, miten vaatimus, jonka mukaan ilmoitetusta tukiohjelmasta tukea saavat investoinnit on säilytettävä kyseisellä alueella vähintään viiden vuoden ajan (pk-yritysten tapauksessa kolmen vuoden ajan) investoinnin toteuttamisesta, täytetään (aluetukisuuntaviivojen 47 kohta). Antakaa viittaukset oikeusperustan asiaa koskeviin säännöksiin.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Jos ilmoitetun ohjelman nojalla myönnetty tuki lasketaan palkkakustannusten perusteella, selittäkää, miten täytetään vaatimus, jonka mukaan työpaikat on täytettävä kolmen vuoden kuluessa investoinnin loppuunsaattamisesta ja investoinnin avulla luodut työpaikat on säilytettävä alueella viiden vuoden ajan (pk-yritysten tapauksessa kolmen vuoden ajan) siitä ajankohdasta, jolloin työpaikka on täytetty ensimmäisen kerran (aluetukisuuntaviivojen 36 kohta). Antakaa viittaus oikeusperustan asiaa koskevaan säännökseen.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Antakaa viittaukset oikeusperustan säännöksiin, joiden mukaan tuensaajien on rahoitettava vähintään 25 prosenttia tukikelpoisista kustannuksista joko omista varoistaan tai ulkopuolisella rahoituksella, johon ei liity julkista tukea (aluetukisuuntaviivojen 48 kohta).</w:t>
      </w:r>
      <w:r>
        <w:rPr>
          <w:vertAlign w:val="superscript"/>
        </w:rPr>
        <w:footnoteReference w:id="20"/>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Antakaa viittaukset oikeusperustan säännöksiin, joiden mukaan ohjelmassa olisi noudatettava tuen myöntämisajankohtana sovelletun aluetukikartan </w:t>
      </w:r>
      <w:r>
        <w:lastRenderedPageBreak/>
        <w:t>enimmäismääriä (aluetukisuuntaviivojen 88 kohta). Antakaa myös viittaus komission päätökseen kyseisen aluetukikartan hyväksymisestä.</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Tukiohjelman kannustava vaikutus</w:t>
      </w:r>
    </w:p>
    <w:p w14:paraId="0D14DDD0" w14:textId="77777777" w:rsidR="00F02231" w:rsidRPr="00A43EC2" w:rsidRDefault="00F02231" w:rsidP="00FB274E">
      <w:pPr>
        <w:pStyle w:val="NumPar3"/>
        <w:numPr>
          <w:ilvl w:val="2"/>
          <w:numId w:val="2"/>
        </w:numPr>
        <w:spacing w:before="240"/>
        <w:ind w:left="1440" w:hanging="720"/>
        <w:rPr>
          <w:rFonts w:cs="Times New Roman"/>
        </w:rPr>
      </w:pPr>
      <w:r>
        <w:t>Antakaa viittaus oikeusperustan säännöksiin, joiden mukaan tukihakemus on jätettävä ennen kyseiseen investointihankkeeseen liittyvien töiden aloittamista (aluetukisuuntaviivojen 62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Antakaa viittaukset oikeusperustan säännöksiin, joiden mukaan ilmoitetusta ohjelmasta tukea hakevien on toimitettava tuen myöntävän viranomaisen käyttämä vakiomuotoinen hakulomake, jossa niiden on selvitettävä, mitä tapahtuisi, jos ne eivät saisi tukea, ja ilmoitettava, kummasta skenaariosta on kyse (skenaario 1 – investointipäätös vai skenaario 2 – sijaintipaikkaa koskeva päätös) (aluetukisuuntaviivojen 64 ja 59 kohta).</w:t>
      </w:r>
      <w:r>
        <w:rPr>
          <w:color w:val="000000"/>
        </w:rPr>
        <w:t xml:space="preserve"> Jos kyseinen hakulomake poikkeaa aluetukisuuntaviivojen liitteessä VII esitetystä mallista, toimittakaa siitä jäljennös.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Antakaa viittaukset oikeusperustan säännöksiin, joiden mukaan suurten yritysten, jotka hakevat tukea ilmoitetusta ohjelmasta, on esitettävä asiakirjanäyttöä vaihtoehtoisesta tilanteesta (aluetukisuuntaviivojen 65 kohta). Selostakaa myös, millaista näyttöä vaaditaan.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Antakaa viittaukset oikeusperustan säännöksiin, joiden mukaan tuen myöntävän viranomaisen on yksittäisiä tukihakemuksia arvioidessaan suoritettava vaihtoehtoista tilannetta koskeva luotettavuustarkastus</w:t>
      </w:r>
      <w:r>
        <w:rPr>
          <w:rStyle w:val="FootnoteReference"/>
        </w:rPr>
        <w:footnoteReference w:id="21"/>
      </w:r>
      <w:r>
        <w:t xml:space="preserve"> ja vahvistettava, että alueellisella tuella on vaadittu </w:t>
      </w:r>
      <w:r>
        <w:rPr>
          <w:i/>
          <w:iCs/>
        </w:rPr>
        <w:t>skenaariota 1</w:t>
      </w:r>
      <w:r>
        <w:t xml:space="preserve"> tai </w:t>
      </w:r>
      <w:r>
        <w:rPr>
          <w:i/>
          <w:iCs/>
        </w:rPr>
        <w:t>skenaariota 2</w:t>
      </w:r>
      <w:r>
        <w:t xml:space="preserve"> vastaava kannustava vaikutus (aluetukisuuntaviivojen 66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Ohjelman tarkoituksenmukaisuus</w:t>
      </w:r>
    </w:p>
    <w:p w14:paraId="5713798C" w14:textId="77777777" w:rsidR="00485C14" w:rsidRDefault="00FE3973" w:rsidP="0026473A">
      <w:pPr>
        <w:pStyle w:val="NormalKop111"/>
        <w:numPr>
          <w:ilvl w:val="2"/>
          <w:numId w:val="2"/>
        </w:numPr>
        <w:ind w:left="1440" w:hanging="720"/>
      </w:pPr>
      <w:r>
        <w:t>Selittäkää, miksi alueellinen tuki on tarkoituksenmukainen väline alueen kehittämisen tukemiseen (aluetukisuuntaviivojen 80 kohta)</w:t>
      </w:r>
      <w:r>
        <w:rPr>
          <w:rStyle w:val="FootnoteReference"/>
        </w:rPr>
        <w:footnoteReference w:id="22"/>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lastRenderedPageBreak/>
        <w:t>Jos ohjelma on toimialakohtainen, osoittakaa tällaisen ohjelmatyypin edut verrattuna monialaiseen ohjelmaan tai muihin politiikan vaihtoehtoihin (aluetukisuuntaviivojen 81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Tarkentakaa, myönnetäänkö yksittäinen tuki ohjelmassa</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automaattisesti, jos ohjelmassa asetetut edellytykset täyttyvät, vai</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harkinnanvaraisesti viranomaisten päätöksellä.</w:t>
      </w:r>
    </w:p>
    <w:p w14:paraId="05F07C80" w14:textId="77777777" w:rsidR="003F2F3D" w:rsidRDefault="00590071" w:rsidP="00590071">
      <w:pPr>
        <w:pStyle w:val="Text2"/>
        <w:ind w:left="1418"/>
      </w:pPr>
      <w:r>
        <w:t xml:space="preserve">Antakaa viittaus oikeusperustan asiaa koskevaan säännökseen: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Jos tuki on tarkoitus myöntää harkinnanvaraisesti, kuvailkaa lyhyesti sovellettavia arviointiperusteita ja liittäkää mukaan jäljennös tuen myöntävän viranomaisen sisäisistä hallinnollisista määräyksistä, joita tuen myöntämiseen sovelletaan: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Jos tuki myönnetään muodossa, joka tarjoaa suoran rahallisen edun</w:t>
      </w:r>
      <w:r>
        <w:rPr>
          <w:vertAlign w:val="superscript"/>
        </w:rPr>
        <w:footnoteReference w:id="23"/>
      </w:r>
      <w:r>
        <w:t>, osoittakaa, miksi muut mahdollisesti vähemmän vääristävät tukimuodot, kuten takaisinmaksettavat ennakot tai velka- tai pääomainstrumentteihin perustuvat tukimuodot</w:t>
      </w:r>
      <w:r>
        <w:rPr>
          <w:rStyle w:val="FootnoteReference"/>
        </w:rPr>
        <w:footnoteReference w:id="24"/>
      </w:r>
      <w:r>
        <w:t xml:space="preserve">, eivät ole tarkoituksenmukaisia (aluetukisuuntaviivojen 85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Kannustava vaikutus ja ohjelman oikeasuhteisuus</w:t>
      </w:r>
    </w:p>
    <w:p w14:paraId="348AF344" w14:textId="77777777" w:rsidR="00132132" w:rsidRDefault="00FF0F35" w:rsidP="00DB5B5A">
      <w:pPr>
        <w:pStyle w:val="NumPar3"/>
        <w:numPr>
          <w:ilvl w:val="2"/>
          <w:numId w:val="2"/>
        </w:numPr>
        <w:spacing w:before="240"/>
        <w:ind w:left="1440" w:hanging="720"/>
      </w:pPr>
      <w:r>
        <w:t xml:space="preserve">Antakaa viittaukset oikeusperustan säännöksiin, joiden mukaan ilmoitetusta ohjelmasta suurille yrityksille myönnettävä yksittäinen tuki rajoitetaan investoinnin toteuttamisesta kyseisellä alueella aiheutuviin ylimääräisiin nettokustannuksiin verrattuna vaihtoehtoiseen tilanteeseen, jossa tukea ei myönnettäisi, käyttäen aluetukisuuntaviivojen 96 ja 97 kohdassa kuvailtua menetelmää (aluetukisuuntaviivojen 95 kohta).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Kilpailuun ja kauppaan kohdistuvien kohtuuttomien kielteisten vaikutusten välttäminen</w:t>
      </w:r>
    </w:p>
    <w:p w14:paraId="6AAEB69D" w14:textId="77777777" w:rsidR="00684D63" w:rsidRDefault="00684D63" w:rsidP="00DB5B5A">
      <w:pPr>
        <w:pStyle w:val="NumPar3"/>
        <w:numPr>
          <w:ilvl w:val="2"/>
          <w:numId w:val="2"/>
        </w:numPr>
        <w:spacing w:before="240"/>
        <w:ind w:left="1440" w:hanging="720"/>
      </w:pPr>
      <w:r>
        <w:lastRenderedPageBreak/>
        <w:t>Selittäkää, miten ilmoitetun tukiohjelman aiheuttama kilpailun ja kaupan vääristyminen rajoitetaan vähimmäismäärään (aluetukisuuntaviivojen 120 kohta)</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Antakaa viittaukset oikeusperustan säännöksiin, joiden mukaan ohjelmasta yksittäisille hankkeille tukea myöntäessään viranomaisen on todennettava ja vahvistettava, että tuki ei johda ilmeisiin kielteisiin vaikutuksiin, kuten liikakapasiteetin syntymiseen absoluuttisesti taantuvilla markkinoilla (aluetukisuuntaviivojen 112–115 kohta), koheesion vastaisiin vaikutuksiin (aluetukisuuntaviivojen 116–117 kohta) tai toiminnon siirtoon (aluetukisuuntaviivojen 118 kohta) (aluetukisuuntaviivojen 121 kohta).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Avoimuus</w:t>
      </w:r>
    </w:p>
    <w:p w14:paraId="5D8729A0" w14:textId="77777777" w:rsidR="0047707E" w:rsidRPr="004A0583" w:rsidRDefault="0047707E" w:rsidP="007F52B1">
      <w:pPr>
        <w:pStyle w:val="NumPar3"/>
        <w:numPr>
          <w:ilvl w:val="1"/>
          <w:numId w:val="2"/>
        </w:numPr>
        <w:spacing w:before="240"/>
        <w:ind w:left="1418" w:hanging="698"/>
      </w:pPr>
      <w:r>
        <w:t xml:space="preserve">Vahvistakaa, että yksittäisen tuen myöntämispäätöksen tai hyväksytyn tukiohjelman ja sen täytäntöönpanosäännösten koko teksti tai linkki siihen sekä </w:t>
      </w:r>
      <w:bookmarkStart w:id="2" w:name="_Ref44059869"/>
      <w:r>
        <w:t>tiedot kustakin yli 100 000 euron suuruisesta yksittäisestä tuesta julkaistaan liitteessä VIII olevaa rakennetta käyttäen</w:t>
      </w:r>
      <w:bookmarkEnd w:id="2"/>
      <w:r>
        <w:t xml:space="preserve"> Euroopan komission valtiontukien avoimuusmoduulissa tai kattavalla valtiontukiverkkosivustolla kansallisella tai alueellisella tasolla</w:t>
      </w:r>
      <w:r>
        <w:rPr>
          <w:rStyle w:val="FootnoteReference"/>
        </w:rPr>
        <w:footnoteReference w:id="26"/>
      </w:r>
      <w:r>
        <w:t xml:space="preserve"> kuuden kuukauden kuluessa tuen myöntämispäivästä tai veroetuuksien muodossa myönnettävän tuen osalta vuoden kuluessa veroilmoituksen määräpäivästä.</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w:t>
      </w:r>
      <w:r>
        <w:tab/>
        <w:t>Kyllä</w:t>
      </w:r>
    </w:p>
    <w:p w14:paraId="419E66FE" w14:textId="77777777" w:rsidR="0047707E" w:rsidRDefault="0047707E" w:rsidP="007F52B1">
      <w:pPr>
        <w:pStyle w:val="NumPar3"/>
        <w:numPr>
          <w:ilvl w:val="1"/>
          <w:numId w:val="2"/>
        </w:numPr>
        <w:spacing w:before="240"/>
        <w:ind w:left="1418" w:hanging="698"/>
      </w:pPr>
      <w:r>
        <w:t>Antakaa viittaukset oikeusperustan säännöksiin, joiden mukaan tuen myöntävän viranomaisen olisi julkaistava ilmoitetuista valtiontukiohjelmista vähintään seuraavat tiedot valtiontukien avoimuusmoduulissa tai kattavalla valtiontuki-verkkosivustolla kansallisella tai alueellisella tasolla</w:t>
      </w:r>
      <w:r>
        <w:rPr>
          <w:rStyle w:val="FootnoteReference"/>
        </w:rPr>
        <w:footnoteReference w:id="27"/>
      </w:r>
      <w:r>
        <w:t>: ilmoitetun tukiohjelman ja sen täytäntöönpanosääntöjen koko teksti, tuen myöntävä viranomainen, yksittäiset tuensaajat, tuensaajakohtainen tuen määrä ja tuki-intensiteetti. (Aluetukisuuntaviivojen 136 kohta)</w:t>
      </w:r>
    </w:p>
    <w:p w14:paraId="74E1FB55" w14:textId="77777777" w:rsidR="0047707E" w:rsidRDefault="0047707E" w:rsidP="00DB5B5A">
      <w:pPr>
        <w:pStyle w:val="NumPar3"/>
        <w:spacing w:before="240"/>
        <w:ind w:left="426"/>
      </w:pPr>
      <w:r>
        <w:t>Jos tällaisia säännöksiä ei ole, perustelkaa miksi. Ilmoittakaa vastaavasti, jos tällaisia säännöksiä ei ole ilmoitetun ohjelman oikeusperustassa, vaan ne sisältyvät muihin lainsäädännöllisiin asiakirjoihin.</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lastRenderedPageBreak/>
              <w:t>…</w:t>
            </w:r>
          </w:p>
        </w:tc>
      </w:tr>
    </w:tbl>
    <w:p w14:paraId="4D0E2021" w14:textId="77777777" w:rsidR="0047707E" w:rsidRDefault="0047707E" w:rsidP="00DB5B5A">
      <w:pPr>
        <w:pStyle w:val="NumPar3"/>
        <w:spacing w:before="240"/>
        <w:ind w:left="426"/>
      </w:pPr>
      <w:r>
        <w:t>Antakaa viittaukset oikeusperustan asiaa koskeviin säännöksiin, joiden mukaan edellä mainitut tiedot on pidettävä rajoituksetta yleisön saatavilla vähintään kymmenen vuoden ajan tuen myöntämispäivästä (aluetukisuuntaviivojen 140 artikla).</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Arviointi, raportointi ja seuranta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Arviointi</w:t>
      </w:r>
    </w:p>
    <w:p w14:paraId="594EFB7A" w14:textId="77777777" w:rsidR="0047707E" w:rsidRDefault="0047707E" w:rsidP="001452D1">
      <w:pPr>
        <w:pStyle w:val="NumPar3"/>
        <w:numPr>
          <w:ilvl w:val="2"/>
          <w:numId w:val="2"/>
        </w:numPr>
        <w:spacing w:before="240"/>
        <w:ind w:left="1418" w:hanging="698"/>
      </w:pPr>
      <w:r>
        <w:t>Ilmoittakaa kaikkien sellaisten aiempien ja käynnissä olevien valtiontukiohjelmien SA-numerot, joilla on samankaltainen tavoite ja maantieteellinen alue. (Aluetukisuuntaviivojen 144 kohta)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Onko edellä luetelluille valtiontukiohjelmille tehty jälkiarviointeja? (Aluetukisuuntaviivojen 144 kohta)</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6D9A940C" w14:textId="77777777" w:rsidR="0047707E" w:rsidRDefault="0047707E" w:rsidP="00DB5B5A">
      <w:pPr>
        <w:pStyle w:val="NumPar3"/>
        <w:spacing w:before="240"/>
        <w:ind w:left="709"/>
      </w:pPr>
      <w:r>
        <w:t>Jos vastaus on kyllä, esittäkää lyhyt yhteenveto jälkiarviointien tärkeimmistä tuloksista (tarvittaessa viite ja linkki).</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Kuvailkaa, miten näiden arviointien tulokset on otettu huomioon uuden ohjelman suunnittelussa.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2F9874F6" w:rsidR="0047707E" w:rsidRDefault="00877F82" w:rsidP="00D621FD">
      <w:pPr>
        <w:pStyle w:val="NumPar3"/>
        <w:numPr>
          <w:ilvl w:val="2"/>
          <w:numId w:val="2"/>
        </w:numPr>
        <w:spacing w:before="360"/>
        <w:ind w:left="1440" w:hanging="720"/>
      </w:pPr>
      <w:r>
        <w:t>Ilmoittakaa, ylittääkö ohjelman valtion</w:t>
      </w:r>
      <w:r w:rsidR="00076993">
        <w:t>tukibudjetti jonakin vuonna 150 </w:t>
      </w:r>
      <w:r>
        <w:t>miljoonaa euroa (aluetukisuuntaviivojen 143 kohta):</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1481B715" w14:textId="77777777" w:rsidR="0047707E" w:rsidRDefault="00877F82" w:rsidP="0047707E">
      <w:pPr>
        <w:pStyle w:val="NumPar3"/>
        <w:spacing w:before="240"/>
        <w:ind w:left="1418"/>
      </w:pPr>
      <w:r>
        <w:t>Ilmoittakaa, ylittääkö ohjelman valtiontukibudjetti 750 miljoonaa euroa ohjelman koko keston aikana (eli ilmoitetun ohjelman ja samankaltaisen tavoitteen ja maantieteellisen alueen kattavan mahdollisen edeltävän ohjelman yhteenlasketun keston aikana 1. tammikuuta 2022 alkaen):</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04565C51" w14:textId="77777777" w:rsidR="0047707E" w:rsidRDefault="0047707E" w:rsidP="00AC71FD">
      <w:pPr>
        <w:pStyle w:val="NumPar3"/>
        <w:numPr>
          <w:ilvl w:val="2"/>
          <w:numId w:val="2"/>
        </w:numPr>
        <w:spacing w:before="240"/>
        <w:ind w:left="1418" w:hanging="720"/>
      </w:pPr>
      <w:r>
        <w:lastRenderedPageBreak/>
        <w:t>Ilmoittakaa, onko tukiohjelma (aluetukisuuntaviivojen 143 kohta)</w:t>
      </w:r>
    </w:p>
    <w:p w14:paraId="00204381" w14:textId="77777777" w:rsidR="0047707E" w:rsidRDefault="0047707E" w:rsidP="0047707E">
      <w:pPr>
        <w:spacing w:before="120" w:after="120"/>
        <w:ind w:left="1701" w:hanging="283"/>
        <w:rPr>
          <w:szCs w:val="24"/>
        </w:rPr>
      </w:pPr>
      <w:r>
        <w:t>ohjelma, johon sisältyy uusia ominaispiirteitä</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1DDA9233" w14:textId="77777777" w:rsidR="0047707E" w:rsidRDefault="0047707E" w:rsidP="0047707E">
      <w:pPr>
        <w:spacing w:before="120" w:after="120"/>
        <w:ind w:left="1418"/>
        <w:rPr>
          <w:szCs w:val="24"/>
        </w:rPr>
      </w:pPr>
      <w:r>
        <w:t>ohjelma, jonka yhteydessä on odotettavissa merkittäviä markkinoihin, teknologiaan tai sääntelyyn liittyviä muutoksia</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1086B92D" w14:textId="77777777" w:rsidR="0047707E" w:rsidRDefault="0047707E" w:rsidP="0047707E">
      <w:pPr>
        <w:spacing w:before="120" w:after="120"/>
        <w:ind w:left="1843" w:hanging="425"/>
        <w:rPr>
          <w:szCs w:val="24"/>
        </w:rPr>
      </w:pPr>
      <w:r>
        <w:t>ohjelma, josta on tarkoitus tehdä arviointi, vaikka edellä kysymyksissä 5.1.2. ja 5.1.3 mainitut kriteerit eivät täytykään.</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Kyllä</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076993">
        <w:fldChar w:fldCharType="separate"/>
      </w:r>
      <w:r>
        <w:fldChar w:fldCharType="end"/>
      </w:r>
      <w:r>
        <w:t xml:space="preserve"> Ei</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Jos vastaus on ’Ei’ kysymykseen 5.1.1 ja ’Kyllä’ johonkin 5.1.2 tai 5.1.3 kohdan kysymykseen, ohjelmalle saatetaan edellyttää jälkiarviointia (aluetukisuuntaviivojen 143 kohta). Jos näin on, vastatkaa kyseiseen kysymykseen yleisessä ilmoituslomakkeessa ’Kyllä’, mainitkaa arviointijakso ja toimittakaa arviointisuunnitelmaluonnos liitteen I kohdan III.8 mukaisesti.</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Raportointi ja seuranta</w:t>
      </w:r>
    </w:p>
    <w:p w14:paraId="478099B4" w14:textId="77777777" w:rsidR="00104EE1" w:rsidRDefault="00132132" w:rsidP="00AC71FD">
      <w:pPr>
        <w:pStyle w:val="NumPar3"/>
        <w:numPr>
          <w:ilvl w:val="2"/>
          <w:numId w:val="2"/>
        </w:numPr>
        <w:spacing w:before="240"/>
        <w:ind w:left="1418" w:hanging="720"/>
      </w:pPr>
      <w:r>
        <w:t>Vahvistakaa, että</w:t>
      </w:r>
    </w:p>
    <w:p w14:paraId="471BF233" w14:textId="3E961F77" w:rsidR="00104EE1" w:rsidRDefault="00104EE1" w:rsidP="00104EE1">
      <w:pPr>
        <w:numPr>
          <w:ilvl w:val="0"/>
          <w:numId w:val="25"/>
        </w:numPr>
        <w:rPr>
          <w:szCs w:val="24"/>
        </w:rPr>
      </w:pPr>
      <w:r>
        <w:t>toimitatte komissiolle vuosiraportit 13 päivänä heinäkuuta 2015 annetun neuvoston asetuksen (EU) N:o 2015/1589 ja Euroopan unionin toiminnasta tehdyn sopimuksen 108 artiklan soveltamista koskevista yksityiskohtaisista säännöistä annetun neuvoston asetuksen (EU) 2015/1589 täytäntöönpanosta 21 päivänä huhtikuuta 2004 annet</w:t>
      </w:r>
      <w:r w:rsidR="00076993">
        <w:t>un komission asetuksen (EY) N:o </w:t>
      </w:r>
      <w:r>
        <w:t>794/2004 mukaisesti ja</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076993">
        <w:rPr>
          <w:b/>
          <w:color w:val="000000"/>
        </w:rPr>
      </w:r>
      <w:r w:rsidR="00076993">
        <w:rPr>
          <w:b/>
          <w:color w:val="000000"/>
        </w:rPr>
        <w:fldChar w:fldCharType="separate"/>
      </w:r>
      <w:r>
        <w:rPr>
          <w:b/>
          <w:color w:val="000000"/>
        </w:rPr>
        <w:fldChar w:fldCharType="end"/>
      </w:r>
      <w:r>
        <w:rPr>
          <w:b/>
          <w:color w:val="000000"/>
        </w:rPr>
        <w:t xml:space="preserve"> </w:t>
      </w:r>
      <w:r>
        <w:tab/>
        <w:t>Kyllä</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säilytätte jokaisen ohjelmasta myönnetyn tuen osalta vähintään kymmenen vuoden ajan tuen myöntämispäivästä yksityiskohtaiset asiakirjat, jotka sisältävät tiedot ja tositteet, jotka ovat tarpeen sen osoittamiseksi, että kaikki sisämarkkinoille soveltuvuuden edellytykset täyttyvät, ja nämä asiakirjat toimitetaan pyynnöstä komissiolle.</w:t>
      </w:r>
    </w:p>
    <w:p w14:paraId="18E1AEFD" w14:textId="77777777" w:rsidR="00132132" w:rsidRDefault="00132132" w:rsidP="00607A3B">
      <w:pPr>
        <w:spacing w:before="240" w:after="240"/>
        <w:ind w:left="2410" w:hanging="567"/>
      </w:pPr>
      <w:r>
        <w:rPr>
          <w:color w:val="000000"/>
        </w:rPr>
        <w:lastRenderedPageBreak/>
        <w:fldChar w:fldCharType="begin">
          <w:ffData>
            <w:name w:val="Check1"/>
            <w:enabled/>
            <w:calcOnExit w:val="0"/>
            <w:checkBox>
              <w:sizeAuto/>
              <w:default w:val="0"/>
            </w:checkBox>
          </w:ffData>
        </w:fldChar>
      </w:r>
      <w:r>
        <w:rPr>
          <w:color w:val="000000"/>
        </w:rPr>
        <w:instrText xml:space="preserve"> FORMCHECKBOX </w:instrText>
      </w:r>
      <w:r w:rsidR="00076993">
        <w:rPr>
          <w:color w:val="000000"/>
        </w:rPr>
      </w:r>
      <w:r w:rsidR="00076993">
        <w:rPr>
          <w:color w:val="000000"/>
        </w:rPr>
        <w:fldChar w:fldCharType="separate"/>
      </w:r>
      <w:r>
        <w:rPr>
          <w:color w:val="000000"/>
        </w:rPr>
        <w:fldChar w:fldCharType="end"/>
      </w:r>
      <w:r>
        <w:rPr>
          <w:color w:val="000000"/>
        </w:rPr>
        <w:t xml:space="preserve"> </w:t>
      </w:r>
      <w:r>
        <w:tab/>
        <w:t xml:space="preserve">Kyllä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Alueellisia valtiontukia koskevat suuntaviivat (EUVL C </w:t>
      </w:r>
      <w:r>
        <w:rPr>
          <w:rStyle w:val="Emphasis"/>
          <w:i w:val="0"/>
        </w:rPr>
        <w:t>153, 29.4.2021, s.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Komission asetus, annettu 17 päivänä kesäkuuta 2014, (EU) N:o 651/2014 tiettyjen tukimuotojen toteamisesta sisämarkkinoille soveltuviksi perussopimuksen 107 ja 108 artiklan mukaisesti (</w:t>
      </w:r>
      <w:r>
        <w:rPr>
          <w:rStyle w:val="Emphasis"/>
          <w:i w:val="0"/>
        </w:rPr>
        <w:t>EUVL L 187, 26.6.2014, s. 1</w:t>
      </w:r>
      <w:r>
        <w:t>), sellaisena kuin se on muutettuna.</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Komission asetus (EU) N:o 1407/2013, annettu 18 päivänä joulukuuta 2013, Euroopan unionin toiminnasta tehdyn sopimuksen 107 ja 108 artiklan soveltamisesta vähämerkityksiseen tukeen (EUVL L 352, 24.12.2013, s.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t>Sellaisina kuin ne on määritelty suuntaviivoissa valtiontuesta rahoitusalan ulkopuolisten vaikeuksissa olevien yritysten pelastamiseen ja rakenneuudistukseen (EUVL C 249,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Siten kuin se on määritelty aluetukisuuntaviivojen liitteessä VI.</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’Ruskohiilellä’ tarkoitetaan Yhdistyneiden kansakuntien Euroopan talouskomission kansainvälisessä hiililuokitusjärjestelmässä määriteltyä alhaisen laatuluokan C hiiltä tai ortoligniittiä ja alhaisen laatuluokan B hiiltä tai metaligniittiä.</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’Kivihiilellä’ tarkoitetaan Yhdistyneiden kansakuntien Euroopan talouskomission kansainvälisessä hiililuokitusjärjestelmässä ja kilpailukyvyttömien kivihiilikaivosten sulkemisen helpottamiseksi annettavasta valtiontuesta 10 päivänä joulukuuta 2010 annetussa neuvoston päätöksessä (EUVL L 336, 21.12.2010, s. 24) selvennettyihin luokkiin A ja B kuuluvaa korkean, keskitason ja alhaisen laatuluokan kivihiiltä.</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Siltä osin kuin ne kuuluvat kalastus- ja vesiviljelytuotealan yhteisestä markkinajärjestelystä ja neuvoston asetusten (EY) N:o 1184/2006 ja (EY) N:o 1224/2009 muuttamisesta sekä neuvoston asetuksen (EY) N:o 104/2000 kumoamisesta 11 päivänä joulukuuta 2013 annetun Euroopan parlamentin ja neuvoston asetuksen (EU) N:o 1379/2013 (EUVL L 354, 28.12.2013, s. 1) piiriin.</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Perussopimuksen liitteessä I lueteltuihin maataloustuotteisiin johtavaan maataloustuotteiden alkutuotantoon, jalostukseen ja kaupan pitämiseen ja metsätalouteen sovelletaan maatalousalan valtiontukea koskevissa suuntaviivoissa (EUVL C 204, 1.7.2014, s. 1) vahvistettuja sääntöjä.</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Aluetukisuuntaviivoja sovelletaan tukiohjelmiin, joilla tuetaan perussopimuksen 42 artiklan soveltamisalan ulkopuolelle jääviä toimintoja, joita osarahoitetaan Euroopan maaseudun kehittämisen maatalousrahastosta (maaseuturahastosta) tai joista myönnetään tällaisille yhteisrahoitetuille tukitoimenpiteille kansallista lisärahoitusta, jollei alakohtaisissa säännöissä toisin määrätä.</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’Liikenteellä’ tarkoitetaan matkustajien kuljettamista ilma-aluksella, meriteitse, maanteitse, rautateitse ja sisävesitse tai rahdinkuljetuspalvelujen tarjoamista toisen lukuun. Nämä suuntaviivat eivät koske myöskään liikenneinfrastruktuuria, jolle on laadittu alakohtaiset suuntaviivat, kuten lentoasemia (ks. komission tiedonanto – </w:t>
      </w:r>
      <w:r>
        <w:rPr>
          <w:i/>
        </w:rPr>
        <w:t>Suuntaviivat valtiontuesta lentoasemille ja lentoyhtiöille</w:t>
      </w:r>
      <w:r>
        <w:t xml:space="preserve"> (EUVL C 99,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EU:n suuntaviivat valtiontukisääntöjen soveltamisesta laajakaistaverkkojen nopean käyttöönoton yhteydessä (EUVL C 25,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Komissio arvioi energia-alan valtiontukien soveltuvuuden valtiontuesta ympäristönsuojelulle ja energia-alalle vuosina 2014–2020 annettujen suuntaviivojen (EUVL C 200, 28.6.2014, s. 1) perusteella.</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’Pk-yrityksillä’ tarkoitetaan yrityksiä, jotka täyttävät mikroyritysten sekä pienten ja keskisuurten yritysten määritelmästä 6 päivänä toukokuuta 2003 annetussa komission suosituksessa (EUVL L 124, 20.5.2003, s. 36) vahvistetut edellytykset.</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Pelkkää yrityksen osakkeiden hankkimista ei katsota alkuinvestoinniksi.</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’Samalla tai samankaltaisella toiminnalla’ tarkoitetaan toimintaa, joka kuuluu samaan tilastollisen toimialaluokituksen (NACE Rev. 2) nelinumerotasoon (nelinumeroinen tunnus).</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Pelkkää yrityksen osakkeiden hankkimista ei katsota alkuinvestoinniksi, jolla luodaan uutta taloudellista toimintaa.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Säännöksen ei tarvitse kattaa pk-yrityksiä tai laitosten ostoja.</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Aluetukisuuntaviivojen 34 kohdan mukaan aineettoman omaisuuden, joka voidaan ottaa huomioon laskettaessa investointikustannuksia, on pysyttävä kyseisellä alueella eikä sitä saa siirtää muille alueille. Tässä tarkoituksessa aineettoman omaisuuden on täytettävä seuraavat ehdot:</w:t>
      </w:r>
    </w:p>
    <w:p w14:paraId="1C54C443" w14:textId="77777777" w:rsidR="00B133A0" w:rsidRDefault="00B133A0" w:rsidP="00B209F9">
      <w:pPr>
        <w:pStyle w:val="FootnoteText"/>
        <w:numPr>
          <w:ilvl w:val="0"/>
          <w:numId w:val="33"/>
        </w:numPr>
        <w:tabs>
          <w:tab w:val="clear" w:pos="357"/>
          <w:tab w:val="left" w:pos="709"/>
        </w:tabs>
        <w:ind w:left="709" w:hanging="425"/>
      </w:pPr>
      <w:r>
        <w:t>sitä on käytettävä ainoastaan tukea saavassa laitoksessa;</w:t>
      </w:r>
    </w:p>
    <w:p w14:paraId="7AF9FEC6" w14:textId="77777777" w:rsidR="00B133A0" w:rsidRDefault="00B133A0" w:rsidP="00B209F9">
      <w:pPr>
        <w:pStyle w:val="FootnoteText"/>
        <w:numPr>
          <w:ilvl w:val="0"/>
          <w:numId w:val="33"/>
        </w:numPr>
        <w:tabs>
          <w:tab w:val="clear" w:pos="357"/>
          <w:tab w:val="left" w:pos="709"/>
        </w:tabs>
        <w:ind w:left="709" w:hanging="425"/>
      </w:pPr>
      <w:r>
        <w:t>sen on oltava poistokelpoista;</w:t>
      </w:r>
    </w:p>
    <w:p w14:paraId="63AFFA39" w14:textId="77777777" w:rsidR="00B133A0" w:rsidRDefault="00B133A0" w:rsidP="00B209F9">
      <w:pPr>
        <w:pStyle w:val="FootnoteText"/>
        <w:numPr>
          <w:ilvl w:val="0"/>
          <w:numId w:val="33"/>
        </w:numPr>
        <w:tabs>
          <w:tab w:val="clear" w:pos="357"/>
          <w:tab w:val="left" w:pos="709"/>
        </w:tabs>
        <w:ind w:left="709" w:hanging="425"/>
      </w:pPr>
      <w:r>
        <w:t>se on ostettava markkinaehdoin kolmansilta osapuolilta, jotka ovat ostajasta riippumattomia;</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sen on sisällyttävä tuensaajayrityksen varoihin ja liityttävä hankkeeseen, jota varten tukea myönnetään, vähintään viiden vuoden ajan (kolmen vuoden ajan, kun kyseessä on pk-yritys).</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Tämä lomakkeen kohta ei koske korkotukilainoja, julkisia pääomalainoja tai osakkuuksia, jotka eivät ole markkinataloussijoittajaa koskevan periaatteen mukaisia, valtiontakauksia, joihin sisältyy tukea, tai julkista tukea, jota myönnetään vähämerkityksistä tukea koskevan säännön perusteella.</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Vaihtoehtoinen tilanne on uskottava, jos se on todellinen ja liittyy päätöksenteossa huomioon otettaviin tekijöihin ajankohtana, jolloin tuensaaja tekee investointipäätöksen.</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Tässä voidaan viitata muun muassa ehdotetusta ohjelmasta tehtyyn vaikutustenarviointiin tai samankaltaisten ohjelmien jälkiarviointeihin.</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Esimerkiksi suorat avustukset, vapautukset veroista, sosiaaliturvamaksuista tai muista pakollisista maksuista tai niiden alennukset tai maa-alueiden, tavaroiden tai palvelujen tarjoaminen edulliseen hintaan.</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Esimerkiksi halpakorkoiset lainat tai korkotuet, valtion takaukset tai edullisin ehdoin toteutettu omistusosuuden hankinta tai muunlainen pääomasijoitus.</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Jotta komissio voi arvioida todennäköisiä kielteisiä vaikutuksia, jäsenvaltio voi toimittaa kaikki käytettävissään olevat vaikutustenarvioinnit ja samanlaisista aikaisemmista tukiohjelmista jälkikäteen tehdyt arvioinnit.</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Siten kuin ne on määritelty tiettyjen tukimuotojen toteamisesta sisämarkkinoille soveltuviksi perussopimuksen 107 ja 108 artiklan mukaisesti 17 päivänä kesäkuuta 2014 annetun komission asetuksen (EU) N:o 651/2014 liitteessä III.</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Siten kuin ne on määritelty tiettyjen tukimuotojen toteamisesta sisämarkkinoille soveltuviksi perussopimuksen 107 ja 108 artiklan mukaisesti 17 päivänä kesäkuuta 2014 annetun komission asetuksen (EU) N:o 651/2014 liitteessä III.</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Ohjeistusta on asiakirjassa </w:t>
      </w:r>
      <w:r>
        <w:rPr>
          <w:i/>
          <w:iCs/>
        </w:rPr>
        <w:t>Common methodology for State aid evaluation</w:t>
      </w:r>
      <w:bookmarkStart w:id="3" w:name="_GoBack"/>
      <w:bookmarkEnd w:id="3"/>
      <w:r>
        <w:t xml:space="preserve">: </w:t>
      </w:r>
      <w:hyperlink r:id="rId1" w:history="1">
        <w:r>
          <w:rPr>
            <w:rStyle w:val="Hyperlink"/>
          </w:rPr>
          <w:t>https://competition-policy.ec.europa.eu/system/files/2021-04/modernisation_evaluation_methodology_en.pdf</w:t>
        </w:r>
      </w:hyperlink>
      <w:r>
        <w:t xml:space="preserve">.  Arviointisuunnitelma (liitteen I kohta III.8) olisi toimitettava käyttäen lomaketta, joka on saatavilla osoitteessa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76993"/>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C7194"/>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i-FI"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fi-FI"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fi-FI"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fi-FI"/>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fi-FI"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1DB58-C5BB-4FBF-B5F4-153D75D58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3621</Words>
  <Characters>18473</Characters>
  <Application>Microsoft Office Word</Application>
  <DocSecurity>0</DocSecurity>
  <Lines>439</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21857</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2023-01-27T08:38:00Z</dcterms:modified>
</cp:coreProperties>
</file>