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DEL III. OBRAZCI ZA DODATNE INFORMACIJE</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DEL III.1.B</w:t>
            </w:r>
          </w:p>
          <w:p w14:paraId="6A102D4B" w14:textId="77777777" w:rsidR="00EF0533" w:rsidRDefault="009C772B" w:rsidP="003740E7">
            <w:pPr>
              <w:pStyle w:val="ChapterTitle"/>
              <w:spacing w:before="0" w:after="240"/>
            </w:pPr>
            <w:r>
              <w:t>Posodobljeno* Obrazec za dodatne informacije o shemah regionalne pomoči za naložbe</w:t>
            </w:r>
          </w:p>
          <w:p w14:paraId="09A68465" w14:textId="77777777" w:rsidR="00380753" w:rsidRPr="00380753" w:rsidRDefault="009C772B" w:rsidP="003740E7">
            <w:pPr>
              <w:jc w:val="left"/>
            </w:pPr>
            <w:r>
              <w:t>* še ni uradno sprejeto</w:t>
            </w:r>
          </w:p>
        </w:tc>
      </w:tr>
    </w:tbl>
    <w:p w14:paraId="1536E485" w14:textId="77777777" w:rsidR="00923AD6" w:rsidRDefault="00923AD6" w:rsidP="001B2B78"/>
    <w:p w14:paraId="75E982FA" w14:textId="77777777" w:rsidR="00EF0533" w:rsidRPr="00003889" w:rsidRDefault="00003889" w:rsidP="001B2B78">
      <w:r>
        <w:t>Ta obrazec za dodatne informacije ni obvezen, vendar je priporočljivo, da ga izpolnite poleg obrazca „Splošne informacije“ pri priglasitvi vsake sheme pomoči za naložbe, zajete s Smernicami o regionalni državni pomoči, ki se uporabljajo od 1. januarja 2022</w:t>
      </w:r>
      <w:r>
        <w:rPr>
          <w:rStyle w:val="FootnoteReference"/>
          <w:iCs/>
          <w:szCs w:val="24"/>
        </w:rPr>
        <w:footnoteReference w:id="1"/>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Področje uporabe</w:t>
            </w:r>
          </w:p>
        </w:tc>
      </w:tr>
    </w:tbl>
    <w:p w14:paraId="64530B4D" w14:textId="77777777" w:rsidR="00EF0533" w:rsidRPr="00D070D1" w:rsidRDefault="00EF0533" w:rsidP="00095A91">
      <w:pPr>
        <w:pStyle w:val="NormalKop11"/>
      </w:pPr>
      <w:r>
        <w:t>Razlogi za priglasitev sheme namesto njenega uveljavljanja v skladu z uredbo o splošnih skupinskih izjemah</w:t>
      </w:r>
      <w:r>
        <w:rPr>
          <w:rStyle w:val="FootnoteReference"/>
          <w:color w:val="000000"/>
        </w:rPr>
        <w:footnoteReference w:id="2"/>
      </w:r>
      <w:r>
        <w:t xml:space="preserve"> ali uredbo </w:t>
      </w:r>
      <w:r>
        <w:rPr>
          <w:i/>
        </w:rPr>
        <w:t xml:space="preserve">de </w:t>
      </w:r>
      <w:proofErr w:type="spellStart"/>
      <w:r>
        <w:rPr>
          <w:i/>
        </w:rPr>
        <w:t>minimis</w:t>
      </w:r>
      <w:proofErr w:type="spellEnd"/>
      <w:r>
        <w:rPr>
          <w:rStyle w:val="FootnoteReference"/>
        </w:rPr>
        <w:footnoteReference w:id="3"/>
      </w:r>
      <w:r>
        <w:t>:</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E92ADA">
        <w:rPr>
          <w:b/>
        </w:rPr>
      </w:r>
      <w:r w:rsidR="00E92ADA">
        <w:rPr>
          <w:b/>
        </w:rPr>
        <w:fldChar w:fldCharType="separate"/>
      </w:r>
      <w:r>
        <w:rPr>
          <w:b/>
        </w:rPr>
        <w:fldChar w:fldCharType="end"/>
      </w:r>
      <w:r>
        <w:tab/>
        <w:t>Ali se priglasitev nanaša na sektorsko shemo? V tem primeru navedite sektor, ki ga shema zajema (koda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ab/>
        <w:t xml:space="preserve">Drugo. Navedite podrobne informacije: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 </w:t>
            </w:r>
          </w:p>
        </w:tc>
      </w:tr>
    </w:tbl>
    <w:p w14:paraId="45EB1554" w14:textId="77777777" w:rsidR="00EF0533" w:rsidRDefault="00EF0533" w:rsidP="00095A91">
      <w:pPr>
        <w:pStyle w:val="NormalKop11"/>
      </w:pPr>
      <w:r>
        <w:t>Področje uporabe priglašene sheme</w:t>
      </w:r>
    </w:p>
    <w:p w14:paraId="669E042A" w14:textId="77777777" w:rsidR="000956BB" w:rsidRPr="005C5DFC" w:rsidRDefault="000956BB" w:rsidP="000956BB">
      <w:pPr>
        <w:pStyle w:val="NumPar3"/>
        <w:numPr>
          <w:ilvl w:val="2"/>
          <w:numId w:val="2"/>
        </w:numPr>
        <w:ind w:left="1418" w:hanging="698"/>
      </w:pPr>
      <w:r>
        <w:t>Potrdite, da pravna podlaga za priglašeno shemo vključuje obveznost, da se Komisiji priglasi individualna pomoč upravičencu, če pomoč iz vseh virov presega prag za priglasitev individualne pomoči, kot je v uredbi o splošnih skupinskih izjemah določen za regionalno pomoč za naložbe (odstavek 22 Smernic o regionalni državni pomoči).</w:t>
      </w:r>
    </w:p>
    <w:p w14:paraId="5712B87E" w14:textId="77777777" w:rsidR="000956BB" w:rsidRDefault="000956BB" w:rsidP="000956BB">
      <w:pPr>
        <w:pStyle w:val="NumPar3"/>
        <w:ind w:left="1418"/>
      </w:pPr>
      <w:r>
        <w:t xml:space="preserve">Navedite sklic na ustrezno določbo pravne podlage: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t xml:space="preserve">Potrdite, da pravna podlaga za priglašeno shemo vključuje obveznost, da se Komisiji priglasi individualna pomoč upravičencu, razen če upravičenec (1) </w:t>
      </w:r>
      <w:r>
        <w:lastRenderedPageBreak/>
        <w:t>potrdi, da v dveh letih pred vložitvijo zahtevka za pomoč ni izvedel premestitve v poslovno enoto, v kateri naj bi se izvajala začetna naložba, ki prejema pomoč, in (b) se zaveže, da vsaj dve leti po zaključku začetne naložbe ne bo izvedel take premestitve (odstavek 23 Smernic o regionalni državni pomoči).</w:t>
      </w:r>
    </w:p>
    <w:p w14:paraId="095F8EF4" w14:textId="77777777" w:rsidR="00071A7F" w:rsidRDefault="00EF0533" w:rsidP="00EF0533">
      <w:pPr>
        <w:pStyle w:val="NumPar3"/>
        <w:ind w:left="1418"/>
      </w:pPr>
      <w:r>
        <w:t xml:space="preserve">Navedite sklic na ustrezno določbo pravne podlage: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 </w:t>
            </w:r>
          </w:p>
        </w:tc>
      </w:tr>
    </w:tbl>
    <w:p w14:paraId="02A74271" w14:textId="77777777" w:rsidR="005D6890" w:rsidRPr="00680480" w:rsidRDefault="00595172" w:rsidP="005D6890">
      <w:pPr>
        <w:pStyle w:val="NumPar3"/>
        <w:numPr>
          <w:ilvl w:val="2"/>
          <w:numId w:val="2"/>
        </w:numPr>
        <w:spacing w:before="240"/>
        <w:ind w:left="1440" w:hanging="720"/>
      </w:pPr>
      <w:r>
        <w:t>Potrdite, da priglašena shema pomoči določa, da nobena regionalna pomoč za naložbe ne bo dodeljena spodaj navedenim kategorijam podjetij in sektorjem. V vsakem primeru navedite ustrezno določbo pravne podlage sheme:</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rFonts w:cs="Times New Roman"/>
                <w:sz w:val="22"/>
                <w:szCs w:val="22"/>
              </w:rPr>
            </w:pPr>
            <w:r>
              <w:rPr>
                <w:sz w:val="22"/>
              </w:rPr>
              <w:t>Izključene kategorije podjetij in sektorji</w:t>
            </w:r>
          </w:p>
        </w:tc>
        <w:tc>
          <w:tcPr>
            <w:tcW w:w="2976" w:type="dxa"/>
            <w:shd w:val="clear" w:color="auto" w:fill="auto"/>
          </w:tcPr>
          <w:p w14:paraId="29797EAB" w14:textId="77777777" w:rsidR="003A52F6" w:rsidRPr="00034735" w:rsidRDefault="003A52F6" w:rsidP="008E13A1">
            <w:pPr>
              <w:pStyle w:val="NumPar3"/>
              <w:spacing w:before="0" w:after="0"/>
              <w:ind w:left="0"/>
              <w:rPr>
                <w:rFonts w:cs="Times New Roman"/>
                <w:sz w:val="22"/>
                <w:szCs w:val="22"/>
              </w:rPr>
            </w:pPr>
            <w:r>
              <w:rPr>
                <w:sz w:val="22"/>
              </w:rPr>
              <w:t>Ustrezna določba pravne podlage sheme</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Podjetja v težavah</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rFonts w:cs="Times New Roman"/>
                <w:sz w:val="22"/>
                <w:szCs w:val="22"/>
              </w:rPr>
            </w:pPr>
            <w:r>
              <w:rPr>
                <w:sz w:val="22"/>
              </w:rPr>
              <w:t>Jeklarski sektor</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rFonts w:cs="Times New Roman"/>
                <w:sz w:val="22"/>
                <w:szCs w:val="22"/>
              </w:rPr>
            </w:pPr>
            <w:r>
              <w:rPr>
                <w:sz w:val="22"/>
              </w:rPr>
              <w:t>Sektor lignita</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rFonts w:cs="Times New Roman"/>
                <w:sz w:val="22"/>
                <w:szCs w:val="22"/>
              </w:rPr>
            </w:pPr>
            <w:r>
              <w:rPr>
                <w:sz w:val="22"/>
              </w:rPr>
              <w:t>Sektor premogovništva</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rFonts w:cs="Times New Roman"/>
                <w:sz w:val="22"/>
                <w:szCs w:val="22"/>
              </w:rPr>
            </w:pPr>
            <w:r>
              <w:rPr>
                <w:sz w:val="22"/>
              </w:rPr>
              <w:t>Ribištvo in ribogojstvo</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rFonts w:cs="Times New Roman"/>
                <w:sz w:val="22"/>
                <w:szCs w:val="22"/>
              </w:rPr>
            </w:pPr>
            <w:r>
              <w:rPr>
                <w:sz w:val="22"/>
              </w:rPr>
              <w:t>Kmetijstvo</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rFonts w:cs="Times New Roman"/>
                <w:sz w:val="22"/>
                <w:szCs w:val="22"/>
              </w:rPr>
            </w:pPr>
            <w:r>
              <w:rPr>
                <w:sz w:val="22"/>
              </w:rPr>
              <w:t>Predelava in/ali trženje kmetijskih proizvodov iz Priloge I k PDEU</w:t>
            </w:r>
            <w:r>
              <w:rPr>
                <w:bCs/>
                <w:sz w:val="22"/>
                <w:szCs w:val="22"/>
                <w:vertAlign w:val="superscript"/>
              </w:rPr>
              <w:footnoteReference w:id="10"/>
            </w:r>
            <w:r>
              <w:rPr>
                <w:sz w:val="22"/>
              </w:rPr>
              <w:t xml:space="preserve"> v proizvode, navedene v Prilogi I</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rFonts w:cs="Times New Roman"/>
                <w:sz w:val="22"/>
                <w:szCs w:val="22"/>
              </w:rPr>
            </w:pPr>
            <w:r>
              <w:rPr>
                <w:sz w:val="22"/>
              </w:rPr>
              <w:t>Prevoz</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rFonts w:cs="Times New Roman"/>
                <w:sz w:val="22"/>
                <w:szCs w:val="22"/>
              </w:rPr>
            </w:pPr>
            <w:r>
              <w:rPr>
                <w:sz w:val="22"/>
              </w:rPr>
              <w:t>Širokopasovna omrežja</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rFonts w:cs="Times New Roman"/>
                <w:sz w:val="22"/>
                <w:szCs w:val="22"/>
              </w:rPr>
            </w:pPr>
            <w:r>
              <w:rPr>
                <w:sz w:val="22"/>
              </w:rPr>
              <w:t>Energija</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Začetna naložba, upravičeni stroški in pomoč</w:t>
            </w:r>
          </w:p>
        </w:tc>
      </w:tr>
    </w:tbl>
    <w:p w14:paraId="0568836A" w14:textId="77777777" w:rsidR="005936C8" w:rsidRPr="00D278EA" w:rsidRDefault="00BB1994" w:rsidP="00D278EA">
      <w:pPr>
        <w:pStyle w:val="NormalKop11"/>
        <w:rPr>
          <w:b/>
        </w:rPr>
      </w:pPr>
      <w:r>
        <w:rPr>
          <w:b/>
        </w:rPr>
        <w:t>Vrste začetnih naložb, zajetih v shemo</w:t>
      </w:r>
    </w:p>
    <w:p w14:paraId="15863B73" w14:textId="77777777" w:rsidR="00801CFE" w:rsidRPr="005C5DFC" w:rsidRDefault="00801CFE" w:rsidP="001D303A">
      <w:pPr>
        <w:pStyle w:val="NumPar3"/>
        <w:numPr>
          <w:ilvl w:val="2"/>
          <w:numId w:val="2"/>
        </w:numPr>
        <w:spacing w:before="240"/>
        <w:ind w:left="1440" w:hanging="720"/>
      </w:pPr>
      <w:r>
        <w:t>Če shema zajema naložbe MSP</w:t>
      </w:r>
      <w:r>
        <w:rPr>
          <w:rStyle w:val="FootnoteReference"/>
        </w:rPr>
        <w:footnoteReference w:id="14"/>
      </w:r>
      <w:r>
        <w:t xml:space="preserve"> ali velikih podjetij na območjih „a“ ali naložbe MSP na območjih „c“ (odstavek 45 Smernic o regionalni državni pomoči), navedite kategorijo oz. kategorije začetne naložbe, ki jo oz. jih zadeva priglasitev (odstavek 19(13) Smernic o regionalni državni pomoči):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w:t>
      </w:r>
      <w:r>
        <w:tab/>
        <w:t>ustanovitev nove poslovne enote;</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w:t>
      </w:r>
      <w:r>
        <w:tab/>
        <w:t>razširitev zmogljivosti obstoječe poslovne enote;</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w:t>
      </w:r>
      <w:r>
        <w:tab/>
        <w:t>diverzifikacija proizvodnje poslovne enote na proizvode, ki jih ta prej ni proizvajala;</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bistvena sprememba celotnega proizvodnega procesa za proizvode, ki jih zadeva naložba v poslovno enoto;</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w:t>
      </w:r>
      <w:r>
        <w:tab/>
        <w:t>pridobitev sredstev, ki pripadajo poslovni enoti, ki se je zaprla ali bi se zaprla, če ne bi bila kupljena</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Če shema zajema naložbe velikih podjetij na območjih „c“, navedite kategorijo oz. kategorije začetne naložbe, ki jo oz. jih zadeva priglasitev (odstavek 19(14) in odstavek 14 Smernic o regionalni državni pomoči):</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w:t>
      </w:r>
      <w:r>
        <w:tab/>
        <w:t>ustanovitev nove poslovne enote;</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w:t>
      </w:r>
      <w:r>
        <w:tab/>
        <w:t>diverzifikacija dejavnosti poslovne enote pod pogojem, da nova dejavnost ni enaka ali podobna</w:t>
      </w:r>
      <w:r>
        <w:rPr>
          <w:rStyle w:val="FootnoteReference"/>
        </w:rPr>
        <w:footnoteReference w:id="16"/>
      </w:r>
      <w:r>
        <w:t xml:space="preserve"> dejavnosti, ki se je prej izvajala v poslovni enoti;</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w:t>
      </w:r>
      <w:r>
        <w:tab/>
        <w:t>pridobitev sredstev, ki pripadajo poslovni enoti, ki se je zaprla ali bi se zaprla, če ne bi bila kupljena, pod pogojem, da nova dejavnost, ki se bo izvajala z uporabo pridobljenih sredstev, ni enaka ali podobna dejavnosti, ki se je izvajala v poslovni enoti pred pridobitvijo</w:t>
      </w:r>
      <w:r>
        <w:rPr>
          <w:rStyle w:val="FootnoteReference"/>
        </w:rPr>
        <w:footnoteReference w:id="17"/>
      </w:r>
      <w:r>
        <w:t>.</w:t>
      </w:r>
    </w:p>
    <w:p w14:paraId="123A6FE9" w14:textId="77777777" w:rsidR="005936C8" w:rsidRPr="00D23668" w:rsidRDefault="005936C8" w:rsidP="00D23668">
      <w:pPr>
        <w:pStyle w:val="NormalKop11"/>
        <w:rPr>
          <w:b/>
        </w:rPr>
      </w:pPr>
      <w:r>
        <w:rPr>
          <w:b/>
        </w:rPr>
        <w:t>Upravičeni stroški, izračunani na podlagi stroškov naložb</w:t>
      </w:r>
    </w:p>
    <w:p w14:paraId="66E3E5CE" w14:textId="1EEAD7A8" w:rsidR="0096475D" w:rsidRPr="0096475D" w:rsidRDefault="000C7C9C" w:rsidP="00B209F9">
      <w:pPr>
        <w:pStyle w:val="NumPar3"/>
        <w:numPr>
          <w:ilvl w:val="2"/>
          <w:numId w:val="2"/>
        </w:numPr>
        <w:spacing w:before="240"/>
      </w:pPr>
      <w:r>
        <w:t>Kadar se upravičeni stroški v okviru sheme nanašajo na opredmetena sredstva (odstavek 19(31) Smernic o regionalni državni pomoči), navedite, ali je vrednost naložbe določena kot odstotek stroškov zemljišča, stavb ter obratov, strojev in opreme:</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E92ADA">
        <w:rPr>
          <w:rFonts w:cs="Times New Roman"/>
        </w:rPr>
      </w:r>
      <w:r w:rsidR="00E92ADA">
        <w:rPr>
          <w:rFonts w:cs="Times New Roman"/>
        </w:rPr>
        <w:fldChar w:fldCharType="separate"/>
      </w:r>
      <w:r>
        <w:rPr>
          <w:rFonts w:cs="Times New Roman"/>
        </w:rPr>
        <w:fldChar w:fldCharType="end"/>
      </w:r>
      <w:r>
        <w:t xml:space="preserve"> zemljišča;</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E92ADA">
        <w:rPr>
          <w:rFonts w:cs="Times New Roman"/>
        </w:rPr>
      </w:r>
      <w:r w:rsidR="00E92ADA">
        <w:rPr>
          <w:rFonts w:cs="Times New Roman"/>
        </w:rPr>
        <w:fldChar w:fldCharType="separate"/>
      </w:r>
      <w:r>
        <w:rPr>
          <w:rFonts w:cs="Times New Roman"/>
        </w:rPr>
        <w:fldChar w:fldCharType="end"/>
      </w:r>
      <w:r>
        <w:t xml:space="preserve"> stavbe;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E92ADA">
        <w:rPr>
          <w:rFonts w:cs="Times New Roman"/>
        </w:rPr>
      </w:r>
      <w:r w:rsidR="00E92ADA">
        <w:rPr>
          <w:rFonts w:cs="Times New Roman"/>
        </w:rPr>
        <w:fldChar w:fldCharType="separate"/>
      </w:r>
      <w:r>
        <w:rPr>
          <w:rFonts w:cs="Times New Roman"/>
        </w:rPr>
        <w:fldChar w:fldCharType="end"/>
      </w:r>
      <w:r>
        <w:t xml:space="preserve"> obrati/stroji/oprema</w:t>
      </w:r>
    </w:p>
    <w:p w14:paraId="08F0994B" w14:textId="325FF7E9" w:rsidR="0096475D" w:rsidRPr="00540AF1" w:rsidRDefault="0096475D" w:rsidP="001E018C">
      <w:pPr>
        <w:pStyle w:val="Text2"/>
        <w:ind w:left="1843" w:hanging="425"/>
        <w:rPr>
          <w:rFonts w:cs="Times New Roman"/>
        </w:rPr>
      </w:pPr>
      <w:r>
        <w:t xml:space="preserve">Navedite sklic na ustrezne določbe pravne podlage: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 </w:t>
            </w:r>
          </w:p>
        </w:tc>
      </w:tr>
    </w:tbl>
    <w:p w14:paraId="624C868F" w14:textId="77777777" w:rsidR="005936C8" w:rsidRDefault="00220898" w:rsidP="00B209F9">
      <w:pPr>
        <w:pStyle w:val="NumPar3"/>
        <w:numPr>
          <w:ilvl w:val="2"/>
          <w:numId w:val="2"/>
        </w:numPr>
        <w:spacing w:before="240"/>
        <w:ind w:left="1440" w:hanging="720"/>
      </w:pPr>
      <w:r>
        <w:t xml:space="preserve">Navedite sklic na </w:t>
      </w:r>
      <w:bookmarkStart w:id="0" w:name="OLE_LINK1"/>
      <w:bookmarkStart w:id="1" w:name="OLE_LINK2"/>
      <w:r>
        <w:rPr>
          <w:color w:val="000000"/>
        </w:rPr>
        <w:t xml:space="preserve">ustrezno </w:t>
      </w:r>
      <w:bookmarkEnd w:id="0"/>
      <w:bookmarkEnd w:id="1"/>
      <w:r>
        <w:t>določbo pravne podlage, ki določa, da morajo biti pridobljena sredstva nova</w:t>
      </w:r>
      <w:r>
        <w:rPr>
          <w:rStyle w:val="FootnoteReference"/>
        </w:rPr>
        <w:footnoteReference w:id="18"/>
      </w:r>
      <w:r>
        <w:t xml:space="preserve"> (odstavek 27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 </w:t>
            </w:r>
          </w:p>
        </w:tc>
      </w:tr>
    </w:tbl>
    <w:p w14:paraId="22201DA0" w14:textId="77777777" w:rsidR="00220898" w:rsidRPr="00B43816" w:rsidRDefault="00220898" w:rsidP="00B209F9">
      <w:pPr>
        <w:pStyle w:val="NumPar3"/>
        <w:numPr>
          <w:ilvl w:val="2"/>
          <w:numId w:val="2"/>
        </w:numPr>
        <w:spacing w:before="240"/>
        <w:ind w:left="1440" w:hanging="720"/>
        <w:rPr>
          <w:rFonts w:cs="Times New Roman"/>
          <w:color w:val="000000"/>
        </w:rPr>
      </w:pPr>
      <w:r>
        <w:rPr>
          <w:color w:val="000000"/>
        </w:rPr>
        <w:t xml:space="preserve">Navedite sklic na ustrezno določbo pravne podlage, ki določa, da se pri MSP lahko šteje za upravičene do 50 % stroškov pripravljalnih študij ali stroškov svetovanja, povezanih z naložbo (odstavek 28 Smernic o regionalni državni pomoči):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w:t>
            </w:r>
          </w:p>
        </w:tc>
      </w:tr>
    </w:tbl>
    <w:p w14:paraId="3DF27876" w14:textId="77777777" w:rsidR="003245C6" w:rsidRPr="00B43816" w:rsidRDefault="003245C6" w:rsidP="00B209F9">
      <w:pPr>
        <w:pStyle w:val="NumPar3"/>
        <w:numPr>
          <w:ilvl w:val="2"/>
          <w:numId w:val="2"/>
        </w:numPr>
        <w:spacing w:before="240"/>
        <w:ind w:left="1440" w:hanging="720"/>
        <w:rPr>
          <w:rFonts w:cs="Times New Roman"/>
          <w:color w:val="000000"/>
        </w:rPr>
      </w:pPr>
      <w:r>
        <w:rPr>
          <w:color w:val="000000"/>
        </w:rPr>
        <w:t xml:space="preserve">Navedite sklic na ustrezno določbo pravne podlage, ki določa, da pri pomoči, dodeljeni velikim podjetjem za bistveno spremembo v proizvodnem procesu, upravičeni stroški presegajo znesek amortizacije sredstev, povezanih z dejavnostjo, ki naj bi se modernizirala, v zadnjih treh poslovnih letih (odstavek 29 Smernic o regionalni državni pomoči):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w:t>
            </w:r>
          </w:p>
        </w:tc>
      </w:tr>
    </w:tbl>
    <w:p w14:paraId="6B2B6435" w14:textId="77777777" w:rsidR="00375CB7" w:rsidRPr="00B43816" w:rsidRDefault="00375CB7" w:rsidP="00B209F9">
      <w:pPr>
        <w:pStyle w:val="NumPar3"/>
        <w:numPr>
          <w:ilvl w:val="2"/>
          <w:numId w:val="2"/>
        </w:numPr>
        <w:spacing w:before="240"/>
        <w:ind w:left="1440" w:hanging="720"/>
        <w:rPr>
          <w:rFonts w:cs="Times New Roman"/>
          <w:color w:val="000000"/>
        </w:rPr>
      </w:pPr>
      <w:r>
        <w:rPr>
          <w:color w:val="000000"/>
        </w:rPr>
        <w:t xml:space="preserve">Navedite sklic na ustrezno določbo pravne podlage, ki določa, da pri pomoči, dodeljeni za diverzifikacijo obstoječe poslovne enote, upravičeni stroški za vsaj 200 % presegajo knjigovodsko vrednost sredstev, ki se ponovno uporabijo, kot je bila evidentirana v poslovnem letu pred začetkom del (odstavek 30 Smernic o regionalni državni pomoči):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w:t>
            </w:r>
          </w:p>
        </w:tc>
      </w:tr>
    </w:tbl>
    <w:p w14:paraId="26343ACD" w14:textId="77777777" w:rsidR="00F330CB" w:rsidRPr="00B43816" w:rsidRDefault="00216490" w:rsidP="00B209F9">
      <w:pPr>
        <w:pStyle w:val="NumPar3"/>
        <w:numPr>
          <w:ilvl w:val="2"/>
          <w:numId w:val="2"/>
        </w:numPr>
        <w:spacing w:before="240"/>
        <w:ind w:left="1440" w:hanging="720"/>
        <w:rPr>
          <w:rFonts w:cs="Times New Roman"/>
          <w:color w:val="000000"/>
        </w:rPr>
      </w:pPr>
      <w:r>
        <w:rPr>
          <w:color w:val="000000"/>
        </w:rPr>
        <w:t xml:space="preserve">V primerih, ki vključujejo zakup opredmetenih sredstev, navedite sklic na ustrezne določbe pravne podlage, ki določajo, da morajo biti spoštovani naslednji pogoji (odstavek 31 Smernic o regionalni državni pomoči): </w:t>
      </w:r>
    </w:p>
    <w:p w14:paraId="3CC0A357" w14:textId="77777777" w:rsidR="00216490" w:rsidRDefault="00216490" w:rsidP="00CB4B02">
      <w:pPr>
        <w:pStyle w:val="NumPar3"/>
        <w:ind w:left="1701" w:hanging="283"/>
      </w:pPr>
      <w:r>
        <w:t>•</w:t>
      </w:r>
      <w:r>
        <w:tab/>
        <w:t>pri zemljiščih in stavbah se mora za velika podjetja zakup nadaljevati vsaj pet let po pričakovanem datumu zaključka naložbe, za MSP pa tri leta:</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w:t>
            </w:r>
          </w:p>
        </w:tc>
      </w:tr>
    </w:tbl>
    <w:p w14:paraId="095EDE88" w14:textId="77777777" w:rsidR="00216490" w:rsidRDefault="00216490" w:rsidP="00CB4B02">
      <w:pPr>
        <w:pStyle w:val="NumPar3"/>
        <w:ind w:left="1701" w:hanging="283"/>
      </w:pPr>
      <w:r>
        <w:t>•</w:t>
      </w:r>
      <w:r>
        <w:tab/>
        <w:t xml:space="preserve">pri obratih ali strojih mora biti zakup opravljen v obliki finančnega najema in vsebovati obveznost upravičenca do pomoči, da po izteku obdobja najema odkupi sredstvo: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w:t>
            </w:r>
          </w:p>
        </w:tc>
      </w:tr>
    </w:tbl>
    <w:p w14:paraId="7DA6520C" w14:textId="77777777" w:rsidR="00561589" w:rsidRPr="00CB4B02" w:rsidRDefault="00561589" w:rsidP="00B209F9">
      <w:pPr>
        <w:pStyle w:val="NumPar3"/>
        <w:numPr>
          <w:ilvl w:val="2"/>
          <w:numId w:val="2"/>
        </w:numPr>
        <w:spacing w:before="240"/>
        <w:ind w:left="1440" w:hanging="720"/>
        <w:rPr>
          <w:rFonts w:cs="Times New Roman"/>
          <w:color w:val="000000"/>
        </w:rPr>
      </w:pPr>
      <w:r>
        <w:rPr>
          <w:color w:val="000000"/>
        </w:rPr>
        <w:t>Odstavek 32 Smernic o regionalni državni pomoči določa, da bi se v primeru pridobitve poslovne enote „</w:t>
      </w:r>
      <w:r>
        <w:rPr>
          <w:i/>
          <w:color w:val="000000"/>
        </w:rPr>
        <w:t>načeloma morali upoštevati samo stroški nakupa sredstev od tretjih oseb, ki niso povezane s kupcem. Če pa član družine prvotnega lastnika ali eden od zaposlenih prevzame malo podjetje, se pogoj, da se morajo sredstva kupiti od tretjih oseb, ki niso povezane s kupcem, ne uporablja. Transakcija mora potekati po tržnih pogojih. Če pridobitev sredstev poslovne enote spremlja dodatna naložba, ki je upravičena do regionalne pomoči, bi bilo treba upravičene stroške te dodatne naložbe prišteti strošku pridobitve sredstev poslovne enote“.</w:t>
      </w:r>
      <w:r>
        <w:rPr>
          <w:color w:val="000000"/>
        </w:rPr>
        <w:t xml:space="preserve"> </w:t>
      </w:r>
    </w:p>
    <w:p w14:paraId="70A68FF7" w14:textId="77777777" w:rsidR="00CB4B02" w:rsidRDefault="00561589" w:rsidP="00D23668">
      <w:pPr>
        <w:pStyle w:val="NumPar3"/>
        <w:ind w:left="1418"/>
      </w:pPr>
      <w:r>
        <w:t xml:space="preserve">Če je to v priglašeni shemi pomembno, navedite sklic na določbe pravne podlage, ki določajo, da morajo biti zgornji pogoji spoštovani: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w:t>
            </w:r>
          </w:p>
        </w:tc>
      </w:tr>
    </w:tbl>
    <w:p w14:paraId="53CC6454" w14:textId="01F9901F" w:rsidR="005936C8" w:rsidRPr="00E158B9" w:rsidRDefault="0026392F" w:rsidP="00B209F9">
      <w:pPr>
        <w:pStyle w:val="NumPar3"/>
        <w:numPr>
          <w:ilvl w:val="2"/>
          <w:numId w:val="2"/>
        </w:numPr>
        <w:spacing w:before="240"/>
        <w:ind w:left="1440" w:hanging="720"/>
        <w:rPr>
          <w:rFonts w:cs="Times New Roman"/>
          <w:color w:val="000000"/>
        </w:rPr>
      </w:pPr>
      <w:r>
        <w:rPr>
          <w:color w:val="000000"/>
        </w:rPr>
        <w:t>V primeru, ko se upravičeni stroški v okviru sheme nanašajo na neopredmetena sredstva (odstavek 19(15) Smernic o regionalni državni pomoči), navedite, ali se vrednost naložbe določi na podlagi odhodkov zaradi prenosa tehnologije prek pridobitve patentnih pravic, licenc, strokovnega znanja ali druge intelektualne lastnine:</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E92ADA">
        <w:rPr>
          <w:rFonts w:cs="Times New Roman"/>
        </w:rPr>
      </w:r>
      <w:r w:rsidR="00E92ADA">
        <w:rPr>
          <w:rFonts w:cs="Times New Roman"/>
        </w:rPr>
        <w:fldChar w:fldCharType="separate"/>
      </w:r>
      <w:r>
        <w:rPr>
          <w:rFonts w:cs="Times New Roman"/>
        </w:rPr>
        <w:fldChar w:fldCharType="end"/>
      </w:r>
      <w:r>
        <w:t xml:space="preserve"> </w:t>
      </w:r>
      <w:r>
        <w:tab/>
        <w:t>patentne pravice;</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E92ADA">
        <w:rPr>
          <w:rFonts w:cs="Times New Roman"/>
        </w:rPr>
      </w:r>
      <w:r w:rsidR="00E92ADA">
        <w:rPr>
          <w:rFonts w:cs="Times New Roman"/>
        </w:rPr>
        <w:fldChar w:fldCharType="separate"/>
      </w:r>
      <w:r>
        <w:rPr>
          <w:rFonts w:cs="Times New Roman"/>
        </w:rPr>
        <w:fldChar w:fldCharType="end"/>
      </w:r>
      <w:r>
        <w:t xml:space="preserve"> </w:t>
      </w:r>
      <w:r>
        <w:tab/>
        <w:t>licence;</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E92ADA">
        <w:rPr>
          <w:rFonts w:cs="Times New Roman"/>
        </w:rPr>
      </w:r>
      <w:r w:rsidR="00E92ADA">
        <w:rPr>
          <w:rFonts w:cs="Times New Roman"/>
        </w:rPr>
        <w:fldChar w:fldCharType="separate"/>
      </w:r>
      <w:r>
        <w:rPr>
          <w:rFonts w:cs="Times New Roman"/>
        </w:rPr>
        <w:fldChar w:fldCharType="end"/>
      </w:r>
      <w:r>
        <w:t xml:space="preserve"> </w:t>
      </w:r>
      <w:r>
        <w:tab/>
        <w:t>strokovno znanje;</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E92ADA">
        <w:rPr>
          <w:rFonts w:cs="Times New Roman"/>
        </w:rPr>
      </w:r>
      <w:r w:rsidR="00E92ADA">
        <w:rPr>
          <w:rFonts w:cs="Times New Roman"/>
        </w:rPr>
        <w:fldChar w:fldCharType="separate"/>
      </w:r>
      <w:r>
        <w:rPr>
          <w:rFonts w:cs="Times New Roman"/>
        </w:rPr>
        <w:fldChar w:fldCharType="end"/>
      </w:r>
      <w:r>
        <w:t xml:space="preserve"> </w:t>
      </w:r>
      <w:r>
        <w:tab/>
        <w:t>druga intelektualna lastnina</w:t>
      </w:r>
    </w:p>
    <w:p w14:paraId="78A2921B" w14:textId="5E1AB8D8" w:rsidR="005936C8" w:rsidRDefault="005936C8" w:rsidP="00D23668">
      <w:pPr>
        <w:pStyle w:val="Text2"/>
        <w:spacing w:before="120" w:after="120"/>
        <w:ind w:left="1418"/>
        <w:rPr>
          <w:rFonts w:cs="Times New Roman"/>
        </w:rPr>
      </w:pPr>
      <w:r>
        <w:t>Navedite sklic na ustrezne določbe pravne podlage: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w:t>
            </w:r>
          </w:p>
        </w:tc>
      </w:tr>
    </w:tbl>
    <w:p w14:paraId="74E6C221" w14:textId="77777777" w:rsidR="005936C8" w:rsidRPr="00E158B9" w:rsidRDefault="0026392F" w:rsidP="00B209F9">
      <w:pPr>
        <w:pStyle w:val="NumPar3"/>
        <w:numPr>
          <w:ilvl w:val="2"/>
          <w:numId w:val="2"/>
        </w:numPr>
        <w:spacing w:before="240"/>
        <w:ind w:left="1440" w:hanging="720"/>
        <w:rPr>
          <w:rFonts w:cs="Times New Roman"/>
          <w:color w:val="000000"/>
        </w:rPr>
      </w:pPr>
      <w:r>
        <w:rPr>
          <w:color w:val="000000"/>
        </w:rPr>
        <w:t>Navedite sklic na ustrezne določbe pravne podlage, ki določajo, da za velika podjetja upravičeni odhodki za neopredmetena sredstva ne smejo presegati 50 % celotnih upravičenih stroškov naložb za projekt (odstavek 33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w:t>
            </w:r>
          </w:p>
        </w:tc>
      </w:tr>
    </w:tbl>
    <w:p w14:paraId="166648CD" w14:textId="77777777" w:rsidR="00561589" w:rsidRPr="00E158B9" w:rsidRDefault="00D71B37" w:rsidP="00B209F9">
      <w:pPr>
        <w:pStyle w:val="NumPar3"/>
        <w:numPr>
          <w:ilvl w:val="2"/>
          <w:numId w:val="2"/>
        </w:numPr>
        <w:spacing w:before="240"/>
        <w:ind w:left="1440" w:hanging="720"/>
        <w:rPr>
          <w:rFonts w:cs="Times New Roman"/>
          <w:color w:val="000000"/>
        </w:rPr>
      </w:pPr>
      <w:r>
        <w:rPr>
          <w:color w:val="000000"/>
        </w:rPr>
        <w:t>Navedite sklic na ustrezne določbe pravne podlage, ki določajo, da morajo biti spoštovani pogoji iz odstavka 34 Smernic o regionalni državni pomoči</w:t>
      </w:r>
      <w:r>
        <w:rPr>
          <w:rFonts w:cs="Times New Roman"/>
          <w:color w:val="000000"/>
          <w:vertAlign w:val="superscript"/>
        </w:rPr>
        <w:footnoteReference w:id="19"/>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w:t>
            </w:r>
          </w:p>
        </w:tc>
      </w:tr>
    </w:tbl>
    <w:p w14:paraId="1AE30FC5" w14:textId="77777777" w:rsidR="005936C8" w:rsidRPr="00D23668" w:rsidRDefault="00561589" w:rsidP="00D23668">
      <w:pPr>
        <w:pStyle w:val="NormalKop11"/>
        <w:rPr>
          <w:b/>
        </w:rPr>
      </w:pPr>
      <w:r>
        <w:rPr>
          <w:b/>
        </w:rPr>
        <w:t>Upravičeni stroški, izračunani na podlagi stroškov plač</w:t>
      </w:r>
    </w:p>
    <w:p w14:paraId="13E0BDA7" w14:textId="77777777" w:rsidR="00F330CB" w:rsidRPr="008C2DA8" w:rsidRDefault="009E28B0" w:rsidP="001452D1">
      <w:pPr>
        <w:pStyle w:val="NumPar3"/>
        <w:numPr>
          <w:ilvl w:val="2"/>
          <w:numId w:val="2"/>
        </w:numPr>
        <w:spacing w:before="240"/>
        <w:ind w:left="1418" w:hanging="698"/>
      </w:pPr>
      <w:r>
        <w:t>Navedite sklic na ustrezne določbe pravne podlage, ki določajo, kako se ugotovijo upravičeni stroški, izračunani na podlagi stroškov plač (odstavek 35 Smernic o regionalni državni pomoči), kako se izračuna število ustvarjenih delovnih mest glede na odstavek 19(16) Smernic o regionalni državni pomoči in kako se ugotovijo stroški plač zaposlenih oseb glede na odstavek 19(33)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w:t>
            </w:r>
          </w:p>
        </w:tc>
      </w:tr>
    </w:tbl>
    <w:p w14:paraId="1817CF78" w14:textId="77777777" w:rsidR="003051A1" w:rsidRPr="00D23668" w:rsidRDefault="003051A1" w:rsidP="00D23668">
      <w:pPr>
        <w:pStyle w:val="NormalKop11"/>
        <w:rPr>
          <w:b/>
        </w:rPr>
      </w:pPr>
      <w:r>
        <w:rPr>
          <w:b/>
        </w:rPr>
        <w:t>Izračun diskontiranih upravičenih stroškov</w:t>
      </w:r>
    </w:p>
    <w:p w14:paraId="647EE464" w14:textId="77777777" w:rsidR="00E538B5" w:rsidRPr="00CB4B02" w:rsidRDefault="00E538B5" w:rsidP="00B209F9">
      <w:pPr>
        <w:pStyle w:val="NumPar3"/>
        <w:numPr>
          <w:ilvl w:val="2"/>
          <w:numId w:val="2"/>
        </w:numPr>
        <w:spacing w:before="240"/>
        <w:rPr>
          <w:rFonts w:cs="Times New Roman"/>
        </w:rPr>
      </w:pPr>
      <w:r>
        <w:t>Označite, katere oblike pomoči so dovoljene v okviru sheme:</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E92ADA">
        <w:rPr>
          <w:rFonts w:cs="Times New Roman"/>
        </w:rPr>
      </w:r>
      <w:r w:rsidR="00E92ADA">
        <w:rPr>
          <w:rFonts w:cs="Times New Roman"/>
        </w:rPr>
        <w:fldChar w:fldCharType="separate"/>
      </w:r>
      <w:r>
        <w:rPr>
          <w:rFonts w:cs="Times New Roman"/>
        </w:rPr>
        <w:fldChar w:fldCharType="end"/>
      </w:r>
      <w:r>
        <w:t xml:space="preserve"> </w:t>
      </w:r>
      <w:r>
        <w:tab/>
        <w:t>nepovratna sredstva. Navedite sklic na ustrezne določbe pravne podlage: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E92ADA">
        <w:rPr>
          <w:rFonts w:cs="Times New Roman"/>
        </w:rPr>
      </w:r>
      <w:r w:rsidR="00E92ADA">
        <w:rPr>
          <w:rFonts w:cs="Times New Roman"/>
        </w:rPr>
        <w:fldChar w:fldCharType="separate"/>
      </w:r>
      <w:r>
        <w:rPr>
          <w:rFonts w:cs="Times New Roman"/>
        </w:rPr>
        <w:fldChar w:fldCharType="end"/>
      </w:r>
      <w:r>
        <w:t xml:space="preserve"> </w:t>
      </w:r>
      <w:r>
        <w:tab/>
        <w:t>posojila. Pojasnite, kako bo izračunan ekvivalent nepovratnih sredstev, in navedite sklic na ustrezne določbe pravne podlage: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E92ADA">
        <w:rPr>
          <w:rFonts w:cs="Times New Roman"/>
        </w:rPr>
      </w:r>
      <w:r w:rsidR="00E92ADA">
        <w:rPr>
          <w:rFonts w:cs="Times New Roman"/>
        </w:rPr>
        <w:fldChar w:fldCharType="separate"/>
      </w:r>
      <w:r>
        <w:rPr>
          <w:rFonts w:cs="Times New Roman"/>
        </w:rPr>
        <w:fldChar w:fldCharType="end"/>
      </w:r>
      <w:r>
        <w:t xml:space="preserve"> </w:t>
      </w:r>
      <w:r>
        <w:tab/>
        <w:t>jamstva. Pojasnite, kako bo izračunan ekvivalent nepovratnih sredstev, in navedite sklic na ustrezne določbe pravne podlage: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E92ADA">
        <w:rPr>
          <w:rFonts w:cs="Times New Roman"/>
        </w:rPr>
      </w:r>
      <w:r w:rsidR="00E92ADA">
        <w:rPr>
          <w:rFonts w:cs="Times New Roman"/>
        </w:rPr>
        <w:fldChar w:fldCharType="separate"/>
      </w:r>
      <w:r>
        <w:rPr>
          <w:rFonts w:cs="Times New Roman"/>
        </w:rPr>
        <w:fldChar w:fldCharType="end"/>
      </w:r>
      <w:r>
        <w:t xml:space="preserve"> </w:t>
      </w:r>
      <w:r>
        <w:tab/>
        <w:t>davčne ugodnosti. Navedite vrsto davčnega ukrepa in pojasnite, kako bo izračunan ekvivalent nepovratnih sredstev. Navedite tudi sklic na ustrezne določbe pravne podlage: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E92ADA">
        <w:rPr>
          <w:rFonts w:cs="Times New Roman"/>
        </w:rPr>
      </w:r>
      <w:r w:rsidR="00E92ADA">
        <w:rPr>
          <w:rFonts w:cs="Times New Roman"/>
        </w:rPr>
        <w:fldChar w:fldCharType="separate"/>
      </w:r>
      <w:r>
        <w:rPr>
          <w:rFonts w:cs="Times New Roman"/>
        </w:rPr>
        <w:fldChar w:fldCharType="end"/>
      </w:r>
      <w:r>
        <w:t xml:space="preserve"> </w:t>
      </w:r>
      <w:r>
        <w:tab/>
        <w:t>drugo. Pojasnite, kako bo izračunan ekvivalent nepovratnih sredstev. Navedite tudi sklic na ustrezne določbe pravne podlage: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Navedite, ali je shema pomoči upravičena do sofinanciranja iz katerega koli sklada EU, ki se izvaja v okviru deljenega upravljanja. Če ste odgovorili pritrdilno, navedite program, v okviru katerega bodo ta sredstva morda pridobljena. Navedite tudi znesek sredstev, ki bo na voljo iz skladov, če je v tej fazi že znan: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w:t>
            </w:r>
          </w:p>
        </w:tc>
      </w:tr>
    </w:tbl>
    <w:p w14:paraId="0EFA7A3C" w14:textId="2BA1F8C5" w:rsidR="00795E9C" w:rsidRDefault="00795E9C" w:rsidP="00B209F9">
      <w:pPr>
        <w:pStyle w:val="NumPar3"/>
        <w:numPr>
          <w:ilvl w:val="2"/>
          <w:numId w:val="2"/>
        </w:numPr>
        <w:spacing w:before="240"/>
        <w:ind w:left="1440" w:hanging="720"/>
      </w:pPr>
      <w:r>
        <w:t xml:space="preserve">Navedite sklic na ustrezne določbe pravne podlage, ki določajo, da mora organ, ki dodeli pomoč, pred dodelitvijo individualne pomoči v okviru priglašene sheme ugotoviti, ali je upravičenec (na ravni skupine) prejel pomoč za eno ali več začetnih naložb, ki so se začele v isti regiji NUTS 3 v treh letih pred datumom začetka del na naložbenem projektu: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Navedite sklic na ustrezne določbe pravne podlage, ki določajo, da skupni znesek pomoči, ki bo v okviru sheme dodeljena za kakršen koli projekt začetne naložbe, ne presega zneska, ki izhaja iz „največje intenzivnosti pomoči“ (kot je opredeljena v odstavku 19(19) Smernic o regionalni državni pomoči), pri čemer upoštevajte povečano intenzivnost pomoči za MSP (kot je opredeljena v odstavku 186 Smernic o regionalni državni pomoči) ali „prilagojeni znesek pomoči“ (kot je opredeljen v odstavku 19(3) Smernic o regionalni državni pomoči), kadar je to primerno: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w:t>
            </w:r>
          </w:p>
        </w:tc>
      </w:tr>
    </w:tbl>
    <w:p w14:paraId="0CF2C797" w14:textId="77777777" w:rsidR="003051A1" w:rsidRDefault="00C0176B" w:rsidP="00B209F9">
      <w:pPr>
        <w:pStyle w:val="NumPar3"/>
        <w:numPr>
          <w:ilvl w:val="2"/>
          <w:numId w:val="2"/>
        </w:numPr>
        <w:spacing w:before="240"/>
        <w:ind w:left="1440" w:hanging="720"/>
        <w:rPr>
          <w:rFonts w:cs="Times New Roman"/>
        </w:rPr>
      </w:pPr>
      <w:r>
        <w:t xml:space="preserve">Navedite sklic na ustrezne določbe pravne podlage, ki določajo, da bo pri individualni pomoči, dodeljeni na podlagi več shem regionalne pomoči ali skupaj s pomočjo </w:t>
      </w:r>
      <w:r>
        <w:rPr>
          <w:i/>
        </w:rPr>
        <w:t>ad hoc</w:t>
      </w:r>
      <w:r>
        <w:t>, največjo dovoljeno intenzivnost pomoči, ki se lahko dodeli za projekt, vnaprej izračunal prvi organ, ki dodeli pomoč (odstavek 99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Kadar shema pomoči omogoča pomoč za začetno naložbo, povezano s projekti evropskega teritorialnega sodelovanja, navedite (glede na določbe iz odstavka 100 Smernic o regionalni državni pomoči) sklic na ustrezne določbe pravne podlage, ki določajo, kako bo določena največja intenzivnost pomoči za projekt in za različne upravičence: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t>Ocena združljivosti sheme pomoči</w:t>
            </w:r>
          </w:p>
        </w:tc>
      </w:tr>
    </w:tbl>
    <w:p w14:paraId="2C690D30" w14:textId="77777777" w:rsidR="006D4360" w:rsidRPr="007965FE" w:rsidRDefault="006D4360" w:rsidP="007965FE">
      <w:pPr>
        <w:pStyle w:val="NormalKop11"/>
        <w:rPr>
          <w:b/>
        </w:rPr>
      </w:pPr>
      <w:r>
        <w:rPr>
          <w:b/>
        </w:rPr>
        <w:t>Prispevek k regionalnemu razvoju, pozitivni učinki in potreba po posredovanju države</w:t>
      </w:r>
    </w:p>
    <w:p w14:paraId="552BABED" w14:textId="77777777" w:rsidR="006D4360" w:rsidRDefault="006D4360" w:rsidP="00B209F9">
      <w:pPr>
        <w:pStyle w:val="NumPar3"/>
        <w:numPr>
          <w:ilvl w:val="2"/>
          <w:numId w:val="2"/>
        </w:numPr>
        <w:spacing w:before="240"/>
        <w:ind w:left="1440" w:hanging="720"/>
      </w:pPr>
      <w:r>
        <w:t>Pojasnite, kako je shema dosledna in prispeva k razvojni strategiji zadevnega območja (odstavek 44 Smernic o regionalni državni pomoči):</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Navedite sklic na ustrezne določbe pravne podlage, ki zahtevajo, da se za zadevne naložbe opravi presoja vplivov na okolje, preden se individualnim projektom dodeli pomoč, če to zahteva zakonodaja (odstavek 49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Pojasnite, kako bodo organi, ki dodelijo pomoč, opredelili prednostne naloge in izbrali naložbene projekte glede na cilje sheme (na primer na podlagi uradnega sistema točkovanja) (odstavek 44 Smernic o regionalni državni pomoči). Navedite tudi sklic na ustrezne določbe pravne podlage ali drugih povezanih upravnih aktov:</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Pojasnite, kako bo organ, ki dodeli pomoč, ob dodelitvi pomoči za individualne naložbene projekte v okviru priglašene sheme ugotovil, da izbrani projekti prispevajo k cilju sheme in s tem k razvojni strategiji zadevnega območja (odstavek 46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Pojasnite, kako se izvaja določba, ki zahteva, da bo vsaka naložba, podprta v okviru priglašene sheme, na zadevnem območju ohranjena najmanj pet let (oziroma tri leta za MSP) po zaključku naložbe (odstavek 47 Smernic o regionalni državni pomoči). Navedite sklic na ustrezne določbe pravne podlage: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Če se pomoč, dodeljena v okviru priglašene sheme, izračuna na osnovi stroškov plač, pojasnite, kako se izvaja določba, ki zahteva, da morajo biti delovna mesta ustvarjena v treh letih po zaključku naložbe in da mora biti vsako delovno mesto, ustvarjeno z naložbo, na zadevnem območju ohranjeno pet let (tri leta za MSP) od datuma, ko je bilo delovno mesto prvič zasedeno (odstavek 36 Smernic o regionalni državni pomoči). Navedite sklic na ustrezno določbo pravne podlage: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Navedite sklic na ustrezne določbe pravne podlage, kjer je določeno, da morajo upravičenci zagotoviti finančni prispevek v višini vsaj 25 % upravičenih stroškov, in sicer iz lastnih sredstev ali z zunanjim financiranjem, v obliki, ki ne zajema nobene javne finančne podpore</w:t>
      </w:r>
      <w:r>
        <w:rPr>
          <w:vertAlign w:val="superscript"/>
        </w:rPr>
        <w:footnoteReference w:id="20"/>
      </w:r>
      <w:r>
        <w:t xml:space="preserve"> (odstavek 48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w:t>
            </w:r>
          </w:p>
        </w:tc>
      </w:tr>
    </w:tbl>
    <w:p w14:paraId="48EEEB67" w14:textId="77777777" w:rsidR="0087629D" w:rsidRDefault="0087629D" w:rsidP="00B209F9">
      <w:pPr>
        <w:pStyle w:val="NumPar2"/>
        <w:numPr>
          <w:ilvl w:val="2"/>
          <w:numId w:val="2"/>
        </w:numPr>
        <w:tabs>
          <w:tab w:val="left" w:pos="720"/>
        </w:tabs>
        <w:spacing w:before="240"/>
        <w:ind w:left="1440" w:hanging="720"/>
      </w:pPr>
      <w:r>
        <w:t>Navedite sklic na ustrezne določbe pravne podlage, ki kažejo, da mora shema upoštevati zgornje meje karte regionalne pomoči, ki veljajo v času dodelitve pomoči (odstavek 88 Smernic o regionalni državni pomoči). Navedite tudi sklic na sklep Komisije o odobritvi zadevne karte regionalne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w:t>
            </w:r>
          </w:p>
        </w:tc>
      </w:tr>
    </w:tbl>
    <w:p w14:paraId="2CBA95E3" w14:textId="77777777" w:rsidR="0048671B" w:rsidRDefault="0048671B" w:rsidP="007965FE">
      <w:pPr>
        <w:pStyle w:val="NormalKop11"/>
        <w:rPr>
          <w:b/>
        </w:rPr>
      </w:pPr>
      <w:r>
        <w:rPr>
          <w:b/>
        </w:rPr>
        <w:t>Spodbujevalni učinek sheme</w:t>
      </w:r>
    </w:p>
    <w:p w14:paraId="0D14DDD0" w14:textId="77777777" w:rsidR="00F02231" w:rsidRPr="00A43EC2" w:rsidRDefault="00F02231" w:rsidP="00FB274E">
      <w:pPr>
        <w:pStyle w:val="NumPar3"/>
        <w:numPr>
          <w:ilvl w:val="2"/>
          <w:numId w:val="2"/>
        </w:numPr>
        <w:spacing w:before="240"/>
        <w:ind w:left="1440" w:hanging="720"/>
        <w:rPr>
          <w:rFonts w:cs="Times New Roman"/>
        </w:rPr>
      </w:pPr>
      <w:r>
        <w:t>Navedite sklic na ustrezne določbe pravne podlage, ki določajo, da je treba vsako vlogo za pomoč vložiti pred začetkom izvajanja del v okviru zadevnega naložbenega projekta (odstavek 62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w:t>
            </w:r>
          </w:p>
        </w:tc>
      </w:tr>
    </w:tbl>
    <w:p w14:paraId="52151DA3" w14:textId="77777777" w:rsidR="00F02231" w:rsidRDefault="00F02231" w:rsidP="00FB274E">
      <w:pPr>
        <w:pStyle w:val="NumPar3"/>
        <w:numPr>
          <w:ilvl w:val="2"/>
          <w:numId w:val="2"/>
        </w:numPr>
        <w:spacing w:before="240"/>
        <w:ind w:left="1440" w:hanging="720"/>
        <w:rPr>
          <w:rFonts w:cs="Times New Roman"/>
        </w:rPr>
      </w:pPr>
      <w:r>
        <w:t>Navedite sklic na ustrezne določbe pravne podlage, ki določajo, da bodo morali tisti, ki zaprosijo za pomoč v okviru priglašene sheme, priložiti standardni obrazec vloge za pomoč, ki ga zagotovi organ, ki dodeli pomoč, v katerem morajo hipotetično pojasniti, kaj bi se zgodilo brez pomoči, in navesti, kateri od scenarijev (</w:t>
      </w:r>
      <w:r>
        <w:rPr>
          <w:i/>
        </w:rPr>
        <w:t>scenarij 1</w:t>
      </w:r>
      <w:r>
        <w:t xml:space="preserve"> – odločitev o naložbi ali </w:t>
      </w:r>
      <w:r>
        <w:rPr>
          <w:i/>
        </w:rPr>
        <w:t>scenarij 2</w:t>
      </w:r>
      <w:r>
        <w:t xml:space="preserve"> – odločitev o lokaciji) se uporablja (odstavka 64 in 59 Smernic o regionalni državni pomoči).</w:t>
      </w:r>
      <w:r>
        <w:rPr>
          <w:color w:val="000000"/>
        </w:rPr>
        <w:t xml:space="preserve"> Če se ta obrazec razlikuje od primera iz Priloge VII k Smernicam o regionalni državni pomoči, predložite kopijo tega obrazca: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w:t>
            </w:r>
          </w:p>
        </w:tc>
      </w:tr>
    </w:tbl>
    <w:p w14:paraId="6B327239" w14:textId="77777777" w:rsidR="00F02231" w:rsidRDefault="00F02231" w:rsidP="00FB274E">
      <w:pPr>
        <w:pStyle w:val="NumPar3"/>
        <w:numPr>
          <w:ilvl w:val="2"/>
          <w:numId w:val="2"/>
        </w:numPr>
        <w:spacing w:before="240"/>
        <w:ind w:left="1440" w:hanging="720"/>
        <w:rPr>
          <w:rFonts w:cs="Times New Roman"/>
        </w:rPr>
      </w:pPr>
      <w:r>
        <w:t>Navedite sklic na ustrezne določbe pravne podlage, ki določajo, da morajo velika podjetja, ki zaprosijo za pomoč v okviru priglašene sheme, predložiti dokazila v podporo hipotetičnemu scenariju, opisanem na obrazcu (odstavek 65 Smernic o regionalni državni pomoči). Pojasnite, kakšne vrste dokumenti se bodo zahtevali: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w:t>
            </w:r>
          </w:p>
        </w:tc>
      </w:tr>
    </w:tbl>
    <w:p w14:paraId="3331A56F" w14:textId="77777777" w:rsidR="00F02231" w:rsidRDefault="00F02231" w:rsidP="00FB274E">
      <w:pPr>
        <w:pStyle w:val="NumPar3"/>
        <w:numPr>
          <w:ilvl w:val="2"/>
          <w:numId w:val="2"/>
        </w:numPr>
        <w:spacing w:before="240"/>
        <w:ind w:left="1440" w:hanging="720"/>
        <w:rPr>
          <w:rFonts w:cs="Times New Roman"/>
        </w:rPr>
      </w:pPr>
      <w:r>
        <w:t xml:space="preserve">Navedite sklic na ustrezne določbe pravne podlage, ki določajo, da mora organ, ki dodeli pomoč, pri oceni posameznih vlog za pomoč preveriti verodostojnost hipotetičnega scenarija in potrditi, da ima regionalna pomoč zahtevani spodbujevalni učinek, ki ustreza </w:t>
      </w:r>
      <w:r>
        <w:rPr>
          <w:i/>
        </w:rPr>
        <w:t>scenariju 1</w:t>
      </w:r>
      <w:r>
        <w:t xml:space="preserve"> ali </w:t>
      </w:r>
      <w:r>
        <w:rPr>
          <w:i/>
        </w:rPr>
        <w:t>scenariju 2</w:t>
      </w:r>
      <w:r>
        <w:rPr>
          <w:rStyle w:val="FootnoteReference"/>
        </w:rPr>
        <w:footnoteReference w:id="21"/>
      </w:r>
      <w:r>
        <w:t xml:space="preserve"> (odstavek 66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w:t>
            </w:r>
          </w:p>
        </w:tc>
      </w:tr>
    </w:tbl>
    <w:p w14:paraId="6AE7BB90" w14:textId="77777777" w:rsidR="00485C14" w:rsidRDefault="00485C14" w:rsidP="00DB5B5A">
      <w:pPr>
        <w:pStyle w:val="NormalKop11"/>
        <w:rPr>
          <w:b/>
        </w:rPr>
      </w:pPr>
      <w:r>
        <w:rPr>
          <w:b/>
        </w:rPr>
        <w:t>Ustreznost sheme</w:t>
      </w:r>
    </w:p>
    <w:p w14:paraId="5713798C" w14:textId="77777777" w:rsidR="00485C14" w:rsidRDefault="00FE3973" w:rsidP="0026473A">
      <w:pPr>
        <w:pStyle w:val="NormalKop111"/>
        <w:numPr>
          <w:ilvl w:val="2"/>
          <w:numId w:val="2"/>
        </w:numPr>
        <w:ind w:left="1440" w:hanging="720"/>
      </w:pPr>
      <w:r>
        <w:t>Pojasnite, zakaj je regionalna pomoč ustrezen instrument za pomoč pri razvoju območja</w:t>
      </w:r>
      <w:r>
        <w:rPr>
          <w:rStyle w:val="FootnoteReference"/>
        </w:rPr>
        <w:footnoteReference w:id="22"/>
      </w:r>
      <w:r>
        <w:t xml:space="preserve"> (odstavek 80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w:t>
            </w:r>
          </w:p>
        </w:tc>
      </w:tr>
    </w:tbl>
    <w:p w14:paraId="040115FF" w14:textId="77777777" w:rsidR="00485C14" w:rsidRDefault="002C6400" w:rsidP="00DB5B5A">
      <w:pPr>
        <w:pStyle w:val="NumPar3"/>
        <w:numPr>
          <w:ilvl w:val="2"/>
          <w:numId w:val="2"/>
        </w:numPr>
        <w:spacing w:before="240"/>
        <w:ind w:left="1440" w:hanging="720"/>
      </w:pPr>
      <w:r>
        <w:t xml:space="preserve">Če je shema sektorska, dokažite prednosti takšnega instrumenta v primerjavi z </w:t>
      </w:r>
      <w:proofErr w:type="spellStart"/>
      <w:r>
        <w:t>večsektorsko</w:t>
      </w:r>
      <w:proofErr w:type="spellEnd"/>
      <w:r>
        <w:t xml:space="preserve"> shemo pomoči ali drugimi možnostmi politike (odstavek 81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w:t>
            </w:r>
          </w:p>
        </w:tc>
      </w:tr>
    </w:tbl>
    <w:p w14:paraId="2A2ED168" w14:textId="77777777" w:rsidR="00590071" w:rsidRDefault="00877F82" w:rsidP="00DB5B5A">
      <w:pPr>
        <w:pStyle w:val="NumPar3"/>
        <w:numPr>
          <w:ilvl w:val="2"/>
          <w:numId w:val="2"/>
        </w:numPr>
        <w:spacing w:before="240"/>
        <w:ind w:left="1440" w:hanging="720"/>
      </w:pPr>
      <w:r>
        <w:t>Navedite, ali bo individualna pomoč v okviru priglašene sheme dodeljena:</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samodejno, če so izpolnjeni pogoji iz sheme, ali</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w:t>
      </w:r>
      <w:r>
        <w:tab/>
        <w:t xml:space="preserve"> na podlagi odločitve organa po prostem preudarku.</w:t>
      </w:r>
    </w:p>
    <w:p w14:paraId="05F07C80" w14:textId="77777777" w:rsidR="003F2F3D" w:rsidRDefault="00590071" w:rsidP="00590071">
      <w:pPr>
        <w:pStyle w:val="Text2"/>
        <w:ind w:left="1418"/>
      </w:pPr>
      <w:r>
        <w:t xml:space="preserve">Navedite sklic na ustrezno določbo pravne podlage: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Če se pomoč dodeli na podlagi prostega preudarka, na kratko opišite uporabljena merila in priložite kopijo notranjih upravnih določb, ki jih organ, ki dodeli pomoč, uporablja za dodelitev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w:t>
            </w:r>
          </w:p>
        </w:tc>
      </w:tr>
    </w:tbl>
    <w:p w14:paraId="5B4E4680" w14:textId="77777777" w:rsidR="006D6CC1" w:rsidRPr="006D6CC1" w:rsidRDefault="006D6CC1" w:rsidP="00DB5B5A">
      <w:pPr>
        <w:pStyle w:val="NumPar3"/>
        <w:numPr>
          <w:ilvl w:val="2"/>
          <w:numId w:val="2"/>
        </w:numPr>
        <w:spacing w:before="240"/>
        <w:ind w:left="1440" w:hanging="720"/>
      </w:pPr>
      <w:r>
        <w:t>Če se pomoč v okviru sheme dodeli v oblikah, ki zagotavljajo neposredno denarno korist</w:t>
      </w:r>
      <w:r>
        <w:rPr>
          <w:vertAlign w:val="superscript"/>
        </w:rPr>
        <w:footnoteReference w:id="23"/>
      </w:r>
      <w:r>
        <w:t>, utemeljite, zakaj niso primerne druge, potencialno manj izkrivljajoče oblike pomoči, kot so vračljiva predplačila ali oblike pomoči, ki temeljijo na dolžniških ali kapitalskih instrumentih</w:t>
      </w:r>
      <w:r>
        <w:rPr>
          <w:rStyle w:val="FootnoteReference"/>
        </w:rPr>
        <w:footnoteReference w:id="24"/>
      </w:r>
      <w:r>
        <w:t xml:space="preserve"> (odstavek 85 Smernic o regionalni državni pomoči):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w:t>
            </w:r>
          </w:p>
        </w:tc>
      </w:tr>
    </w:tbl>
    <w:p w14:paraId="0DA2AB1B" w14:textId="77777777" w:rsidR="00590071" w:rsidRPr="006F1156" w:rsidRDefault="00590071" w:rsidP="00DB5B5A">
      <w:pPr>
        <w:pStyle w:val="NormalKop11"/>
        <w:rPr>
          <w:b/>
        </w:rPr>
      </w:pPr>
      <w:r>
        <w:rPr>
          <w:b/>
        </w:rPr>
        <w:t>Spodbujevalni učinek in sorazmernost sheme</w:t>
      </w:r>
    </w:p>
    <w:p w14:paraId="348AF344" w14:textId="77777777" w:rsidR="00132132" w:rsidRDefault="00FF0F35" w:rsidP="00DB5B5A">
      <w:pPr>
        <w:pStyle w:val="NumPar3"/>
        <w:numPr>
          <w:ilvl w:val="2"/>
          <w:numId w:val="2"/>
        </w:numPr>
        <w:spacing w:before="240"/>
        <w:ind w:left="1440" w:hanging="720"/>
      </w:pPr>
      <w:r>
        <w:t xml:space="preserve">Navedite sklic na ustrezne določbe pravne podlage, ki določajo, da bo individualna pomoč, dodeljena velikim podjetjem v okviru priglašene sheme, omejena na neto dodatne stroške izvajanja naložb na zadevnem območju glede na hipotetični scenarij brez pomoči, ob uporabi metode, obrazložene v odstavkih 96 in 97 Smernic o regionalni državni pomoči (odstavek 95 Smernic o regionalni državni pomoči):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w:t>
            </w:r>
          </w:p>
        </w:tc>
      </w:tr>
    </w:tbl>
    <w:p w14:paraId="182F53CE" w14:textId="77777777" w:rsidR="00132132" w:rsidRDefault="00132132" w:rsidP="00DB5B5A">
      <w:pPr>
        <w:pStyle w:val="NumPar2"/>
        <w:numPr>
          <w:ilvl w:val="1"/>
          <w:numId w:val="2"/>
        </w:numPr>
        <w:spacing w:before="360"/>
        <w:ind w:left="720" w:hanging="720"/>
        <w:rPr>
          <w:b/>
        </w:rPr>
      </w:pPr>
      <w:r>
        <w:rPr>
          <w:b/>
        </w:rPr>
        <w:t>Izogibanje neupravičenim negativnim učinkom na konkurenco in trgovino</w:t>
      </w:r>
    </w:p>
    <w:p w14:paraId="6AAEB69D" w14:textId="77777777" w:rsidR="00684D63" w:rsidRDefault="00684D63" w:rsidP="00DB5B5A">
      <w:pPr>
        <w:pStyle w:val="NumPar3"/>
        <w:numPr>
          <w:ilvl w:val="2"/>
          <w:numId w:val="2"/>
        </w:numPr>
        <w:spacing w:before="240"/>
        <w:ind w:left="1440" w:hanging="720"/>
      </w:pPr>
      <w:r>
        <w:t>Pojasnite, kako se bodo izkrivljanja konkurence in trgovine, ki jih povzroči priglašena shema pomoči, čim bolj omejila (odstavek 120 Smernic o regionalni državni pomoči)</w:t>
      </w:r>
      <w:r>
        <w:rPr>
          <w:rStyle w:val="FootnoteReference"/>
        </w:rPr>
        <w:footnoteReference w:id="25"/>
      </w:r>
      <w: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w:t>
            </w:r>
          </w:p>
        </w:tc>
      </w:tr>
    </w:tbl>
    <w:p w14:paraId="729212DC" w14:textId="77777777" w:rsidR="00132132" w:rsidRDefault="007D23AA" w:rsidP="00DB5B5A">
      <w:pPr>
        <w:pStyle w:val="NumPar3"/>
        <w:numPr>
          <w:ilvl w:val="2"/>
          <w:numId w:val="2"/>
        </w:numPr>
        <w:spacing w:before="240"/>
        <w:ind w:left="1440" w:hanging="720"/>
      </w:pPr>
      <w:r>
        <w:t xml:space="preserve">Navedite sklice na ustrezne določbe pravne podlage, ki določajo, da mora organ, ki dodeljuje pomoč, pri dodelitvi pomoči v okviru sheme posameznim projektom preveriti in potrditi, da pomoč ne povzroča očitnih negativnih učinkov, kot so ustvarjanje presežne zmogljivosti na trgu v absolutnem upadu (odstavki 112–115 Smernic o regionalni državni pomoči), </w:t>
      </w:r>
      <w:proofErr w:type="spellStart"/>
      <w:r>
        <w:t>protikohezijski</w:t>
      </w:r>
      <w:proofErr w:type="spellEnd"/>
      <w:r>
        <w:t xml:space="preserve"> učinki (odstavka 116 in 117 Smernic o regionalni državni pomoči) ali premestitev (odstavek 118 Smernic o regionalni državni pomoči) (odstavek 121 Smernic o regionalni državni pomoči):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w:t>
            </w:r>
          </w:p>
        </w:tc>
      </w:tr>
    </w:tbl>
    <w:p w14:paraId="451BFB5E" w14:textId="77777777" w:rsidR="00132132" w:rsidRPr="00DB5B5A" w:rsidRDefault="00132132" w:rsidP="001452D1">
      <w:pPr>
        <w:pStyle w:val="NumPar2"/>
        <w:numPr>
          <w:ilvl w:val="0"/>
          <w:numId w:val="2"/>
        </w:numPr>
        <w:spacing w:before="360"/>
        <w:ind w:left="709" w:hanging="709"/>
        <w:rPr>
          <w:b/>
        </w:rPr>
      </w:pPr>
      <w:r>
        <w:rPr>
          <w:b/>
        </w:rPr>
        <w:t>Preglednost</w:t>
      </w:r>
    </w:p>
    <w:p w14:paraId="5D8729A0" w14:textId="77777777" w:rsidR="0047707E" w:rsidRPr="004A0583" w:rsidRDefault="0047707E" w:rsidP="007F52B1">
      <w:pPr>
        <w:pStyle w:val="NumPar3"/>
        <w:numPr>
          <w:ilvl w:val="1"/>
          <w:numId w:val="2"/>
        </w:numPr>
        <w:spacing w:before="240"/>
        <w:ind w:left="1418" w:hanging="698"/>
      </w:pPr>
      <w:r>
        <w:t xml:space="preserve">Potrdite, da bodo celotno besedilo sklepa o dodelitvi individualne pomoči ali odobrene sheme pomoči in njenih izvedbenih določb ali povezava nanj </w:t>
      </w:r>
      <w:bookmarkStart w:id="2" w:name="_Ref44059869"/>
      <w:r>
        <w:t>ter informacije o vsaki dodeljeni individualni pomoči, ki presega 100 000 EUR, z uporabo strukture v Prilogi VIII</w:t>
      </w:r>
      <w:bookmarkEnd w:id="2"/>
      <w:r>
        <w:t xml:space="preserve"> objavljeni v modulu Evropske komisije za preglednost dodeljevanja državne pomoči (</w:t>
      </w:r>
      <w:proofErr w:type="spellStart"/>
      <w:r>
        <w:t>Transparency</w:t>
      </w:r>
      <w:proofErr w:type="spellEnd"/>
      <w:r>
        <w:t xml:space="preserve"> </w:t>
      </w:r>
      <w:proofErr w:type="spellStart"/>
      <w:r>
        <w:t>Award</w:t>
      </w:r>
      <w:proofErr w:type="spellEnd"/>
      <w:r>
        <w:t xml:space="preserve"> Modul – TAM) ali na izčrpnem spletišču o državni pomoči na nacionalni ali regionalni ravni</w:t>
      </w:r>
      <w:r>
        <w:rPr>
          <w:rStyle w:val="FootnoteReference"/>
        </w:rPr>
        <w:footnoteReference w:id="26"/>
      </w:r>
      <w:r>
        <w:t xml:space="preserve"> v šestih mesecih od datuma dodelitve pomoči oziroma v primeru pomoči v obliki davčnih ugodnosti v enem letu od roka za oddajo davčne napovedi:</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w:t>
      </w:r>
      <w:r>
        <w:tab/>
        <w:t>Da</w:t>
      </w:r>
    </w:p>
    <w:p w14:paraId="419E66FE" w14:textId="77777777" w:rsidR="0047707E" w:rsidRDefault="0047707E" w:rsidP="007F52B1">
      <w:pPr>
        <w:pStyle w:val="NumPar3"/>
        <w:numPr>
          <w:ilvl w:val="1"/>
          <w:numId w:val="2"/>
        </w:numPr>
        <w:spacing w:before="240"/>
        <w:ind w:left="1418" w:hanging="698"/>
      </w:pPr>
      <w:r>
        <w:t>Navedite sklice na ustrezne določbe pravne podlage, v skladu s katerimi mora organ, ki dodeli pomoč, v modulu za preglednost dodeljevanja državne pomoči (</w:t>
      </w:r>
      <w:proofErr w:type="spellStart"/>
      <w:r>
        <w:t>Transparency</w:t>
      </w:r>
      <w:proofErr w:type="spellEnd"/>
      <w:r>
        <w:t xml:space="preserve"> </w:t>
      </w:r>
      <w:proofErr w:type="spellStart"/>
      <w:r>
        <w:t>Award</w:t>
      </w:r>
      <w:proofErr w:type="spellEnd"/>
      <w:r>
        <w:t xml:space="preserve"> Modul – TAM) ali na izčrpnem spletišču o državni pomoči na nacionalni ali regionalni ravni</w:t>
      </w:r>
      <w:r>
        <w:rPr>
          <w:rStyle w:val="FootnoteReference"/>
        </w:rPr>
        <w:footnoteReference w:id="27"/>
      </w:r>
      <w:r>
        <w:t xml:space="preserve"> objaviti vsaj naslednje informacije o priglašenih shemah državne pomoči: besedilo priglašene sheme pomoči in njenih izvedbenih določb, organ, ki dodeljuje pomoč, posamezne upravičence, znesek pomoči na upravičenca ter intenzivnost pomoči (odstavek 136 Smernic o regionalni državni pomoči).</w:t>
      </w:r>
    </w:p>
    <w:p w14:paraId="74E1FB55" w14:textId="77777777" w:rsidR="0047707E" w:rsidRDefault="0047707E" w:rsidP="00DB5B5A">
      <w:pPr>
        <w:pStyle w:val="NumPar3"/>
        <w:spacing w:before="240"/>
        <w:ind w:left="426"/>
      </w:pPr>
      <w:r>
        <w:t>Če take določbe niso uveljavljene, pojasnite, zakaj ne. Če take določbe niso v pravni podlagi za priglašeno shemo, vendar so vključene v drugih zakonodajnih besedilih, to navedite:</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w:t>
            </w:r>
          </w:p>
        </w:tc>
      </w:tr>
    </w:tbl>
    <w:p w14:paraId="4D0E2021" w14:textId="77777777" w:rsidR="0047707E" w:rsidRDefault="0047707E" w:rsidP="00DB5B5A">
      <w:pPr>
        <w:pStyle w:val="NumPar3"/>
        <w:spacing w:before="240"/>
        <w:ind w:left="426"/>
      </w:pPr>
      <w:r>
        <w:t>Navedite sklice na ustrezne določbe pravne podlage, v skladu s katerimi morajo biti zgoraj navedene informacije brez omejitev na voljo širši javnosti najmanj 10 let od datuma dodelitve pomoči (odstavek 140 Smernic o regionalni državni pomoči):</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Ocenjevanje, poročanje in spremljanje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Ocenjevanje</w:t>
      </w:r>
    </w:p>
    <w:p w14:paraId="594EFB7A" w14:textId="77777777" w:rsidR="0047707E" w:rsidRDefault="0047707E" w:rsidP="001452D1">
      <w:pPr>
        <w:pStyle w:val="NumPar3"/>
        <w:numPr>
          <w:ilvl w:val="2"/>
          <w:numId w:val="2"/>
        </w:numPr>
        <w:spacing w:before="240"/>
        <w:ind w:left="1418" w:hanging="698"/>
      </w:pPr>
      <w:r>
        <w:t>Navedite številko državne pomoči (SA) za vse prejšnje in tekoče sheme državne pomoči s podobnim ciljem in geografskim območjem (odstavek 144 Smernic o regionalni državni pomoči):</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w:t>
            </w:r>
          </w:p>
        </w:tc>
      </w:tr>
    </w:tbl>
    <w:p w14:paraId="03A4E4AD" w14:textId="77777777" w:rsidR="0047707E" w:rsidRDefault="0047707E" w:rsidP="00DB5B5A">
      <w:pPr>
        <w:pStyle w:val="NumPar3"/>
        <w:spacing w:before="240"/>
        <w:ind w:left="709"/>
      </w:pPr>
      <w:r>
        <w:t>Ali je bila katera od zgoraj navedenih shem državne pomoči predmet naknadnega ocenjevanja (odstavek 144 Smernic o regionalni državni pomoči)?</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Da</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Ne</w:t>
      </w:r>
    </w:p>
    <w:p w14:paraId="6D9A940C" w14:textId="77777777" w:rsidR="0047707E" w:rsidRDefault="0047707E" w:rsidP="00DB5B5A">
      <w:pPr>
        <w:pStyle w:val="NumPar3"/>
        <w:spacing w:before="240"/>
        <w:ind w:left="709"/>
      </w:pPr>
      <w:r>
        <w:t>Če ste odgovorili pritrdilno, navedite kratek povzetek glavnih rezultatov naknadnega ocenjevanja (po potrebi navedite sklic in povezavo):</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w:t>
            </w:r>
          </w:p>
        </w:tc>
      </w:tr>
    </w:tbl>
    <w:p w14:paraId="6C9B11A4" w14:textId="77777777" w:rsidR="0047707E" w:rsidRDefault="0047707E" w:rsidP="00DB5B5A">
      <w:pPr>
        <w:pStyle w:val="NumPar3"/>
        <w:spacing w:before="240"/>
        <w:ind w:left="709"/>
      </w:pPr>
      <w:r>
        <w:t>Opišite, kako so bili rezultati teh ocenjevanj upoštevani pri zasnovi nove sheme: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w:t>
            </w:r>
          </w:p>
        </w:tc>
      </w:tr>
    </w:tbl>
    <w:p w14:paraId="721047F3" w14:textId="77777777" w:rsidR="0047707E" w:rsidRDefault="00877F82" w:rsidP="00D621FD">
      <w:pPr>
        <w:pStyle w:val="NumPar3"/>
        <w:numPr>
          <w:ilvl w:val="2"/>
          <w:numId w:val="2"/>
        </w:numPr>
        <w:spacing w:before="360"/>
        <w:ind w:left="1440" w:hanging="720"/>
      </w:pPr>
      <w:r>
        <w:t>Navedite, ali proračun sheme državne pomoči v katerem koli letu presega 150 milijonov EUR (odstavek 143 Smernic o regionalni državni pomoči):</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da</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ne</w:t>
      </w:r>
    </w:p>
    <w:p w14:paraId="1481B715" w14:textId="77777777" w:rsidR="0047707E" w:rsidRDefault="00877F82" w:rsidP="0047707E">
      <w:pPr>
        <w:pStyle w:val="NumPar3"/>
        <w:spacing w:before="240"/>
        <w:ind w:left="1418"/>
      </w:pPr>
      <w:r>
        <w:t>Navedite, ali proračun sheme državne pomoči presega 750 milijonov EUR v celotnem obdobju trajanja sheme ( tj. skupno trajanje sheme in katere koli njene predhodnice, ki pokriva podoben cilj in geografsko območje, in sicer od 1. januarja 2022):</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da</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ne</w:t>
      </w:r>
    </w:p>
    <w:p w14:paraId="04565C51" w14:textId="77777777" w:rsidR="0047707E" w:rsidRDefault="0047707E" w:rsidP="00AC71FD">
      <w:pPr>
        <w:pStyle w:val="NumPar3"/>
        <w:numPr>
          <w:ilvl w:val="2"/>
          <w:numId w:val="2"/>
        </w:numPr>
        <w:spacing w:before="240"/>
        <w:ind w:left="1418" w:hanging="720"/>
      </w:pPr>
      <w:r>
        <w:t>Navedite, ali je shema (odstavek 143 Smernic o regionalni državni pomoči):</w:t>
      </w:r>
    </w:p>
    <w:p w14:paraId="00204381" w14:textId="77777777" w:rsidR="0047707E" w:rsidRDefault="0047707E" w:rsidP="0047707E">
      <w:pPr>
        <w:spacing w:before="120" w:after="120"/>
        <w:ind w:left="1701" w:hanging="283"/>
        <w:rPr>
          <w:szCs w:val="24"/>
        </w:rPr>
      </w:pPr>
      <w:r>
        <w:t>shema z novimi značilnostmi:</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da</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ne</w:t>
      </w:r>
    </w:p>
    <w:p w14:paraId="1DDA9233" w14:textId="77777777" w:rsidR="0047707E" w:rsidRDefault="0047707E" w:rsidP="0047707E">
      <w:pPr>
        <w:spacing w:before="120" w:after="120"/>
        <w:ind w:left="1418"/>
        <w:rPr>
          <w:szCs w:val="24"/>
        </w:rPr>
      </w:pPr>
      <w:r>
        <w:t>shema, kjer je mogoče predvideti pomembne tržne, tehnološke ali regulativne spremembe:</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da</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ne</w:t>
      </w:r>
    </w:p>
    <w:p w14:paraId="1086B92D" w14:textId="77777777" w:rsidR="0047707E" w:rsidRDefault="0047707E" w:rsidP="0047707E">
      <w:pPr>
        <w:spacing w:before="120" w:after="120"/>
        <w:ind w:left="1843" w:hanging="425"/>
        <w:rPr>
          <w:szCs w:val="24"/>
        </w:rPr>
      </w:pPr>
      <w:r>
        <w:t>shema, za katero načrtujete ocenjevanje, čeprav se zgornja merila iz točk 5.1.2 in 5.1.3 ne uporabljajo:</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da</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E92ADA">
        <w:fldChar w:fldCharType="separate"/>
      </w:r>
      <w:r>
        <w:fldChar w:fldCharType="end"/>
      </w:r>
      <w:r>
        <w:t xml:space="preserve"> ne</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t>Če ste odgovorili „Ne“ na vprašanje v točki 5.1.1. in „Da“ na katero koli od vprašanj v točki 5.1.2 ali 5.1.3, se za shemo opravi naknadno ocenjevanje (odstavek 143 Smernic o regionalni državni pomoči). V tem primeru odgovorite „Da“ na zadevno vprašanje v splošnem obrazcu za priglasitev, navedite obdobje ocenjevanja in priglasite osnutek načrta ocenjevanja iz Priloge I, dela III.8</w:t>
      </w:r>
      <w:r>
        <w:rPr>
          <w:color w:val="000000"/>
          <w:vertAlign w:val="superscript"/>
        </w:rPr>
        <w:footnoteReference w:id="28"/>
      </w:r>
      <w:r>
        <w:t>.</w:t>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Poročanje in spremljanje</w:t>
      </w:r>
    </w:p>
    <w:p w14:paraId="478099B4" w14:textId="77777777" w:rsidR="00104EE1" w:rsidRDefault="00132132" w:rsidP="00AC71FD">
      <w:pPr>
        <w:pStyle w:val="NumPar3"/>
        <w:numPr>
          <w:ilvl w:val="2"/>
          <w:numId w:val="2"/>
        </w:numPr>
        <w:spacing w:before="240"/>
        <w:ind w:left="1418" w:hanging="720"/>
      </w:pPr>
      <w:r>
        <w:t>Potrdite, da boste:</w:t>
      </w:r>
    </w:p>
    <w:p w14:paraId="471BF233" w14:textId="33778655" w:rsidR="00104EE1" w:rsidRDefault="00104EE1" w:rsidP="00104EE1">
      <w:pPr>
        <w:numPr>
          <w:ilvl w:val="0"/>
          <w:numId w:val="25"/>
        </w:numPr>
        <w:rPr>
          <w:szCs w:val="24"/>
        </w:rPr>
      </w:pPr>
      <w:r>
        <w:t xml:space="preserve">Komisiji posredovali letna poročila v skladu z Uredbo Sveta (EU) 2015/1589 z dne 13. julija 2015 in Uredbo Komisije (ES) št. 794/2004 z dne 21. aprila 2004 o izvajanju Uredbe Sveta (EU) 2015/1589 o določitvi podrobnih pravil za uporabo člena 108 Pogodbe o </w:t>
      </w:r>
      <w:r w:rsidR="00E92ADA">
        <w:t>delovanju Evropske unije:</w:t>
      </w:r>
    </w:p>
    <w:p w14:paraId="16275CC1" w14:textId="77777777" w:rsidR="00132132" w:rsidRDefault="00132132" w:rsidP="001D303A">
      <w:pPr>
        <w:ind w:left="1418"/>
        <w:rPr>
          <w:szCs w:val="24"/>
        </w:rPr>
      </w:pPr>
    </w:p>
    <w:p w14:paraId="7F1E23DD" w14:textId="0B693D8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sidR="00E92ADA">
        <w:rPr>
          <w:b/>
          <w:color w:val="000000"/>
        </w:rPr>
      </w:r>
      <w:r w:rsidR="00E92ADA">
        <w:rPr>
          <w:b/>
          <w:color w:val="000000"/>
        </w:rPr>
        <w:fldChar w:fldCharType="separate"/>
      </w:r>
      <w:r>
        <w:rPr>
          <w:b/>
          <w:color w:val="000000"/>
        </w:rPr>
        <w:fldChar w:fldCharType="end"/>
      </w:r>
      <w:r>
        <w:rPr>
          <w:b/>
          <w:color w:val="000000"/>
        </w:rPr>
        <w:t xml:space="preserve"> </w:t>
      </w:r>
      <w:r>
        <w:tab/>
      </w:r>
      <w:r w:rsidR="00E92ADA">
        <w:t>da</w:t>
      </w:r>
      <w:bookmarkStart w:id="3" w:name="_GoBack"/>
      <w:bookmarkEnd w:id="3"/>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in vsaj 10 let od datuma dodelitve vsake pomoči na podlagi sheme hranili podrobne evidence z informacijami in dokazili, ki so potrebni, da se ugotovi, ali so izpolnjeni vsi pogoji glede združljivosti, in da boste te evidence predložili Komisiji na njeno zahtevo:</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sidR="00E92ADA">
        <w:rPr>
          <w:color w:val="000000"/>
        </w:rPr>
      </w:r>
      <w:r w:rsidR="00E92ADA">
        <w:rPr>
          <w:color w:val="000000"/>
        </w:rPr>
        <w:fldChar w:fldCharType="separate"/>
      </w:r>
      <w:r>
        <w:rPr>
          <w:color w:val="000000"/>
        </w:rPr>
        <w:fldChar w:fldCharType="end"/>
      </w:r>
      <w:r>
        <w:rPr>
          <w:color w:val="000000"/>
        </w:rPr>
        <w:t xml:space="preserve"> </w:t>
      </w:r>
      <w:r>
        <w:tab/>
        <w:t xml:space="preserve">da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 xml:space="preserve"> </w:t>
      </w:r>
      <w:r>
        <w:tab/>
        <w:t>Smernice o državni regionalni pomoči (UL C </w:t>
      </w:r>
      <w:r>
        <w:rPr>
          <w:rStyle w:val="Emphasis"/>
          <w:i w:val="0"/>
        </w:rPr>
        <w:t>153, 29.4.2021, str. 1</w:t>
      </w:r>
      <w:r>
        <w:t>).</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Uredba Komisije (EU) št. 651/2014 z dne 17. junija 2014 o razglasitvi nekaterih vrst pomoči za združljive z notranjim trgom pri uporabi členov 107 in 108 Pogodbe (</w:t>
      </w:r>
      <w:r>
        <w:rPr>
          <w:rStyle w:val="Emphasis"/>
          <w:i w:val="0"/>
        </w:rPr>
        <w:t>UL L 187, 26.6.2014, str. 1</w:t>
      </w:r>
      <w:r>
        <w:t>), kakor je bila spremenjena.</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Uredba Komisije (EU) št. 1407/2013 z dne 18. decembra 2013 o uporabi členov 107 in 108 Pogodbe o delovanju Evropske unije pri pomoči </w:t>
      </w:r>
      <w:r>
        <w:rPr>
          <w:i/>
        </w:rPr>
        <w:t xml:space="preserve">de </w:t>
      </w:r>
      <w:proofErr w:type="spellStart"/>
      <w:r>
        <w:rPr>
          <w:i/>
        </w:rPr>
        <w:t>minimis</w:t>
      </w:r>
      <w:proofErr w:type="spellEnd"/>
      <w:r>
        <w:t xml:space="preserve"> (UL L 352, 24.12.2013, str. 1).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 xml:space="preserve"> </w:t>
      </w:r>
      <w:r>
        <w:tab/>
      </w:r>
      <w:r>
        <w:t>Kot je opredeljeno v Smernicah o državni pomoči za reševanje in prestrukturiranje nefinančnih podjetij v težavah (UL C 249, 31.7.2014, str.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Kakor je opredeljen v Prilogi VI k Smernicam o regionalni državni pomoči.</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„Lignit“ pomeni lignit z nizko stopnjo karbonizacije C ali </w:t>
      </w:r>
      <w:proofErr w:type="spellStart"/>
      <w:r>
        <w:t>ortolignit</w:t>
      </w:r>
      <w:proofErr w:type="spellEnd"/>
      <w:r>
        <w:t xml:space="preserve"> in lignit z nizko stopnjo karbonizacije B ali </w:t>
      </w:r>
      <w:proofErr w:type="spellStart"/>
      <w:r>
        <w:t>metalignit</w:t>
      </w:r>
      <w:proofErr w:type="spellEnd"/>
      <w:r>
        <w:t>, kot je opredeljen s sistemom mednarodne kodifikacije za premog, ki jo je določila Ekonomska komisija Združenih narodov za Evropo.</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„Premog“ pomeni premog visoke, srednje in nizke kakovosti kategorije A in B, kot je opredeljen s sistemom mednarodne kodifikacije za premog, ki jo je določila Ekonomska komisija Združenih narodov za Evropo, in pojasnjen v Sklepu Sveta z dne 10. decembra 2010 o državnih pomočeh za lažje zaprtje nekonkurenčnih premogovnikov (UL L 336, 21.12.2010, str.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Kot ju zajema Uredba (EU) št. 1379/2013 Evropskega parlamenta in Sveta z dne 11. decembra 2013 o skupni ureditvi trgov za ribiške proizvode in proizvode iz ribogojstva in o spremembi uredb Sveta (ES) št. 1184/2006 in (ES) št. 1224/2009 ter razveljavitvi Uredbe Sveta (ES) št. 104/2000 (UL L 354, 28.12.2013, str.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Za državno pomoč za primarno proizvodnjo, predelavo in trženje kmetijskih proizvodov iz Priloge I k Pogodbi in za gozdarstvo veljajo pravila, določena v smernicah o državni pomoči v kmetijskem sektorju (UL C 204, 1.7.2014, str.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Smernice o regionalni državni pomoči se uporabljajo za sheme pomoči, ki podpirajo dejavnosti zunaj področja uporabe člena 42 Pogodbe in se sofinancirajo iz Evropskega kmetijskega sklada za razvoj podeželja (EKSRP) ali se dodelijo kot dodatno nacionalno financiranje za take sofinancirane ukrepe, razen če sektorski predpisi določajo drugače.</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r>
      <w:r>
        <w:t>Prevoz pomeni prevoz potnikov v letalskem, pomorskem, cestnem in železniškem prometu ter prometu po celinskih plovnih poteh ali storitve tovornega prometa za najem ali proti plačilu. Iz teh smernic je izključena tudi prometna infrastruktura, kot so letališča, ki je zajeta v posebnih smernicah (glej Sporočilo Komisije – Smernice o državni pomoči letališčem in letalskim prevoznikom (UL C 99, 4.4.2014, str.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 xml:space="preserve"> </w:t>
      </w:r>
      <w:r>
        <w:tab/>
      </w:r>
      <w:r>
        <w:t>Smernice EU o uporabi pravil o državni pomoči v zvezi s hitro postavitvijo širokopasovnih omrežij (UL C 25, 26.1.2013, str.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r>
      <w:r>
        <w:t>Komisija bo združljivost državne pomoči energetskemu sektorju ocenila na podlagi Smernic o državni pomoči za varstvo okolja in energijo za obdobje 2014–2020 (UL C 200, 28.6.2014, str.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„MSP“ pomeni podjetja, ki izpolnjujejo pogoje, določene v Priporočilu Komisije z dne 6. maja 2003 o opredelitvi </w:t>
      </w:r>
      <w:proofErr w:type="spellStart"/>
      <w:r>
        <w:t>mikro</w:t>
      </w:r>
      <w:proofErr w:type="spellEnd"/>
      <w:r>
        <w:t>, malih in srednjih podjetij (UL L 124, 20.5.2003, str. 36).</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Sama pridobitev delnic podjetja se ne šteje za začetno naložbo.</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 xml:space="preserve"> </w:t>
      </w:r>
      <w:r>
        <w:tab/>
      </w:r>
      <w:r>
        <w:t>„Enaka ali podobna dejavnost“ pomeni dejavnost, ki spada v isti razred (štirimestna numerična koda) statistične klasifikacije gospodarskih dejavnosti NACE Rev. 2.</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 xml:space="preserve"> </w:t>
      </w:r>
      <w:r>
        <w:tab/>
      </w:r>
      <w:r>
        <w:t>Sama pridobitev delnic podjetja se ne šteje za začetno naložbo, ki ustvari novo gospodarsko dejavnost.</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Ta določba se ne uporablja za MSP ali pridobitev poslovne enote.</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 xml:space="preserve"> </w:t>
      </w:r>
      <w:r>
        <w:tab/>
      </w:r>
      <w:r>
        <w:t>V odstavku 34 Smernic o regionalni državni pomoči je določeno, da morajo neopredmetena sredstva, ki se lahko upoštevajo pri izračunu stroškov naložb, ostati povezana z zadevnim območjem in se ne smejo prenesti na druga območja. V ta namen morajo neopredmetena sredstva izpolnjevati naslednje pogoje:</w:t>
      </w:r>
    </w:p>
    <w:p w14:paraId="1C54C443" w14:textId="77777777" w:rsidR="00B133A0" w:rsidRDefault="00B133A0" w:rsidP="00B209F9">
      <w:pPr>
        <w:pStyle w:val="FootnoteText"/>
        <w:numPr>
          <w:ilvl w:val="0"/>
          <w:numId w:val="33"/>
        </w:numPr>
        <w:tabs>
          <w:tab w:val="clear" w:pos="357"/>
          <w:tab w:val="left" w:pos="709"/>
        </w:tabs>
        <w:ind w:left="709" w:hanging="425"/>
      </w:pPr>
      <w:r>
        <w:t>uporabljati se morajo izključno v poslovni enoti, ki prejema pomoč;</w:t>
      </w:r>
    </w:p>
    <w:p w14:paraId="7AF9FEC6" w14:textId="77777777" w:rsidR="00B133A0" w:rsidRDefault="00B133A0" w:rsidP="00B209F9">
      <w:pPr>
        <w:pStyle w:val="FootnoteText"/>
        <w:numPr>
          <w:ilvl w:val="0"/>
          <w:numId w:val="33"/>
        </w:numPr>
        <w:tabs>
          <w:tab w:val="clear" w:pos="357"/>
          <w:tab w:val="left" w:pos="709"/>
        </w:tabs>
        <w:ind w:left="709" w:hanging="425"/>
      </w:pPr>
      <w:r>
        <w:t>biti morajo taka, da se lahko amortizirajo;</w:t>
      </w:r>
    </w:p>
    <w:p w14:paraId="63AFFA39" w14:textId="77777777" w:rsidR="00B133A0" w:rsidRDefault="00B133A0" w:rsidP="00B209F9">
      <w:pPr>
        <w:pStyle w:val="FootnoteText"/>
        <w:numPr>
          <w:ilvl w:val="0"/>
          <w:numId w:val="33"/>
        </w:numPr>
        <w:tabs>
          <w:tab w:val="clear" w:pos="357"/>
          <w:tab w:val="left" w:pos="709"/>
        </w:tabs>
        <w:ind w:left="709" w:hanging="425"/>
      </w:pPr>
      <w:r>
        <w:t>odkupiti jih je treba pod tržnimi pogoji od tretje osebe, ki ni povezana s kupcem;</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vključiti jih je treba v sredstva podjetja, ki prejme pomoč, in morajo s projektom, za katerega je dodeljena pomoč, ostati povezana najmanj pet let (tri leta za MSP).</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 xml:space="preserve"> </w:t>
      </w:r>
      <w:r>
        <w:tab/>
      </w:r>
      <w:r>
        <w:t xml:space="preserve">To vprašanje ne velja za subvencionirana posojila, javno posojilo za lastniški kapital ali javno udeležbo, ki ne ustreza načelu vlagatelja v tržnem gospodarstvu, državna jamstva, ki vsebujejo elemente pomoči, kot tudi javno pomoč, dodeljeno v okviru pravila </w:t>
      </w:r>
      <w:r>
        <w:rPr>
          <w:i/>
        </w:rPr>
        <w:t xml:space="preserve">de </w:t>
      </w:r>
      <w:proofErr w:type="spellStart"/>
      <w:r>
        <w:rPr>
          <w:i/>
        </w:rPr>
        <w:t>minimis</w:t>
      </w:r>
      <w:proofErr w:type="spellEnd"/>
      <w:r>
        <w:t>.</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Hipotetični scenarij je verodostojen, če je resničen in se nanaša na dejavnike odločanja, ki prevladujejo v času odločitve upravičenca do pomoči glede naložbe.</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V ta namen se je med drugim mogoče sklicevati na ocene učinka predlagane sheme ali naknadna ocenjevanja podobnih shem.</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Na primer neposredna nepovratna sredstva, davčne oprostitve ali znižanja davkov, prispevkov za socialno varnost ali drugih obveznih prispevkov ali zagotovitev zemljišča, blaga ali storitev po ugodnih cenah itd.</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Na primer posojila z nizko obrestno mero ali subvencije obrestih mer, državna jamstva, nakup lastniških deležev ali drugačne oblike kapitalskih injekcij pod ugodnimi pogoji.</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Država članica bi lahko, da Komisiji omogoči oceno verjetnih negativnih učinkov, predložila vse ocene učinka, ki jih ima na voljo, ter naknadne ocene podobnih predhodnih shem.</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Kot je opredeljeno v Prilogi III k Uredbi Komisije (EU) št. 651/2014 z dne 17. junija 2014 o razglasitvi nekaterih vrst pomoči za združljive z notranjim trgom pri uporabi členov 107 in 108 Pogodbe.</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Kot je opredeljeno v Prilogi III k Uredbi Komisije (EU) št. 651/2014 z dne 17. junija 2014 o razglasitvi nekaterih vrst pomoči za združljive z notranjim trgom pri uporabi členov 107 in 108 Pogodbe.</w:t>
      </w:r>
    </w:p>
  </w:footnote>
  <w:footnote w:id="28">
    <w:p w14:paraId="63FE5190" w14:textId="7DAFB27D"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Za navodila glej metodološke smernice za ocenjevanje na področju državne pomoči, ki so na voljo na: </w:t>
      </w:r>
      <w:hyperlink r:id="rId1" w:history="1">
        <w:r>
          <w:rPr>
            <w:rStyle w:val="Hyperlink"/>
          </w:rPr>
          <w:t>https://competition-policy.ec.europa.eu/system/files/2021-04/modernisation_evaluation_methodology_en.pdf</w:t>
        </w:r>
      </w:hyperlink>
      <w:r>
        <w:t xml:space="preserve">.  Načrt ocenjevanja (Priloga I, del III.8) je treba predložiti na obrazcu, ki je na voljo na: </w:t>
      </w:r>
      <w:hyperlink r:id="rId2"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92ADA"/>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sl-SI"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sl-SI"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sl-SI"/>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sl-S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54F36-C10E-408B-A45E-951390EA7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3201</Words>
  <Characters>18344</Characters>
  <Application>Microsoft Office Word</Application>
  <DocSecurity>0</DocSecurity>
  <Lines>436</Lines>
  <Paragraphs>229</Paragraphs>
  <ScaleCrop>false</ScaleCrop>
  <Company/>
  <LinksUpToDate>false</LinksUpToDate>
  <CharactersWithSpaces>21316</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2023-01-23T09:24:00Z</dcterms:modified>
</cp:coreProperties>
</file>