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EEC64" w14:textId="77777777" w:rsidR="00EF0533" w:rsidRPr="004419D6" w:rsidRDefault="00EF0533" w:rsidP="001B2B78">
      <w:pPr>
        <w:pStyle w:val="ChapterTitle"/>
      </w:pPr>
      <w:r>
        <w:t>DEL III. SUPPLERENDE INFORMATIONSSKEMAER</w:t>
      </w:r>
    </w:p>
    <w:tbl>
      <w:tblPr>
        <w:tblW w:w="932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22"/>
      </w:tblGrid>
      <w:tr w:rsidR="00EF0533" w14:paraId="5431CA9E" w14:textId="77777777" w:rsidTr="001B2B78">
        <w:trPr>
          <w:jc w:val="center"/>
        </w:trPr>
        <w:tc>
          <w:tcPr>
            <w:tcW w:w="9322" w:type="dxa"/>
            <w:tcBorders>
              <w:top w:val="single" w:sz="4" w:space="0" w:color="auto"/>
              <w:bottom w:val="single" w:sz="4" w:space="0" w:color="auto"/>
            </w:tcBorders>
            <w:shd w:val="pct15" w:color="auto" w:fill="FFFFFF"/>
          </w:tcPr>
          <w:p w14:paraId="246FA4C0" w14:textId="77777777" w:rsidR="00EF0533" w:rsidRDefault="00EF0533" w:rsidP="001B2B78">
            <w:pPr>
              <w:pStyle w:val="ChapterTitle"/>
              <w:spacing w:after="120"/>
            </w:pPr>
            <w:r>
              <w:t>Del III.1.B</w:t>
            </w:r>
          </w:p>
          <w:p w14:paraId="6A102D4B" w14:textId="77777777" w:rsidR="00EF0533" w:rsidRDefault="009C772B" w:rsidP="003740E7">
            <w:pPr>
              <w:pStyle w:val="ChapterTitle"/>
              <w:spacing w:before="0" w:after="240"/>
            </w:pPr>
            <w:r>
              <w:t>Ajourført* supplerende informationsskema om regionale investeringsstøtteordninger</w:t>
            </w:r>
          </w:p>
          <w:p w14:paraId="09A68465" w14:textId="77777777" w:rsidR="00380753" w:rsidRPr="00380753" w:rsidRDefault="009C772B" w:rsidP="003740E7">
            <w:pPr>
              <w:jc w:val="left"/>
            </w:pPr>
            <w:r>
              <w:t>* endnu ikke formelt vedtaget</w:t>
            </w:r>
          </w:p>
        </w:tc>
      </w:tr>
    </w:tbl>
    <w:p w14:paraId="1536E485" w14:textId="77777777" w:rsidR="00923AD6" w:rsidRDefault="00923AD6" w:rsidP="001B2B78"/>
    <w:p w14:paraId="75E982FA" w14:textId="77777777" w:rsidR="00EF0533" w:rsidRPr="00003889" w:rsidRDefault="00003889" w:rsidP="001B2B78">
      <w:r>
        <w:t>Dette supplerende oplysningsskema er ikke obligatorisk. Det anbefales dog, at det foruden den generelle anmeldelsesformular udfyldes ved anmeldelse af investeringsstøtteordninger, der er omfattet af retningslinjerne for statsstøtte med regionalt sigte som gældende fra den 1. januar 2022 ("retningslinjerne")</w:t>
      </w:r>
      <w:r>
        <w:rPr>
          <w:rStyle w:val="FootnoteReference"/>
          <w:iCs/>
          <w:szCs w:val="24"/>
        </w:rPr>
        <w:footnoteReference w:id="1"/>
      </w:r>
      <w:r>
        <w:t xml:space="preserve">. </w:t>
      </w:r>
    </w:p>
    <w:p w14:paraId="1A52A7A9" w14:textId="77777777" w:rsidR="00EF0533" w:rsidRPr="005C5DFC" w:rsidRDefault="00EF0533" w:rsidP="001B2B7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EF0533" w:rsidRPr="005C5DFC" w14:paraId="669103FE" w14:textId="77777777" w:rsidTr="002E6F0B">
        <w:tc>
          <w:tcPr>
            <w:tcW w:w="9180" w:type="dxa"/>
            <w:tcBorders>
              <w:top w:val="single" w:sz="4" w:space="0" w:color="auto"/>
              <w:bottom w:val="single" w:sz="4" w:space="0" w:color="auto"/>
            </w:tcBorders>
            <w:shd w:val="pct15" w:color="auto" w:fill="FFFFFF"/>
          </w:tcPr>
          <w:p w14:paraId="6FF6B52A" w14:textId="77777777" w:rsidR="00EF0533" w:rsidRPr="005C5DFC" w:rsidRDefault="00EF0533" w:rsidP="00B22FBC">
            <w:pPr>
              <w:pStyle w:val="Heading1"/>
              <w:numPr>
                <w:ilvl w:val="0"/>
                <w:numId w:val="2"/>
              </w:numPr>
              <w:ind w:left="482" w:hanging="482"/>
            </w:pPr>
            <w:r>
              <w:t>Anvendelsesområde</w:t>
            </w:r>
          </w:p>
        </w:tc>
      </w:tr>
    </w:tbl>
    <w:p w14:paraId="64530B4D" w14:textId="77777777" w:rsidR="00EF0533" w:rsidRPr="00D070D1" w:rsidRDefault="00EF0533" w:rsidP="00095A91">
      <w:pPr>
        <w:pStyle w:val="NormalKop11"/>
      </w:pPr>
      <w:r>
        <w:t>Begrundelser for at anmelde ordningen i stedet for at indføre den i henhold til den generelle gruppefritagelsesforordning</w:t>
      </w:r>
      <w:r>
        <w:rPr>
          <w:rStyle w:val="FootnoteReference"/>
          <w:color w:val="000000"/>
        </w:rPr>
        <w:footnoteReference w:id="2"/>
      </w:r>
      <w:r>
        <w:t xml:space="preserve"> eller de minimis-forordningen</w:t>
      </w:r>
      <w:r>
        <w:rPr>
          <w:rStyle w:val="FootnoteReference"/>
        </w:rPr>
        <w:footnoteReference w:id="3"/>
      </w:r>
      <w:r>
        <w:t>:</w:t>
      </w:r>
    </w:p>
    <w:p w14:paraId="60E5759E" w14:textId="77777777" w:rsidR="00A31735" w:rsidRDefault="00EF0533" w:rsidP="00095A91">
      <w:pPr>
        <w:pStyle w:val="Normal127Indent127"/>
      </w:pPr>
      <w:r>
        <w:rPr>
          <w:b/>
        </w:rPr>
        <w:fldChar w:fldCharType="begin">
          <w:ffData>
            <w:name w:val="Check1"/>
            <w:enabled/>
            <w:calcOnExit w:val="0"/>
            <w:checkBox>
              <w:sizeAuto/>
              <w:default w:val="0"/>
            </w:checkBox>
          </w:ffData>
        </w:fldChar>
      </w:r>
      <w:r>
        <w:rPr>
          <w:b/>
        </w:rPr>
        <w:instrText xml:space="preserve"> FORMCHECKBOX </w:instrText>
      </w:r>
      <w:r w:rsidR="001336BC">
        <w:rPr>
          <w:b/>
        </w:rPr>
      </w:r>
      <w:r w:rsidR="001336BC">
        <w:rPr>
          <w:b/>
        </w:rPr>
        <w:fldChar w:fldCharType="separate"/>
      </w:r>
      <w:r>
        <w:rPr>
          <w:b/>
        </w:rPr>
        <w:fldChar w:fldCharType="end"/>
      </w:r>
      <w:r>
        <w:tab/>
        <w:t>Anmeldelsen vedrører en sektorordning. Angiv i så fald den sektor, der er omfattet af ordningen (NACE-kode):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2C1C84BF" w14:textId="77777777" w:rsidTr="00FF3357">
        <w:tc>
          <w:tcPr>
            <w:tcW w:w="8391" w:type="dxa"/>
            <w:shd w:val="clear" w:color="auto" w:fill="auto"/>
          </w:tcPr>
          <w:p w14:paraId="5DDE16C6" w14:textId="77777777" w:rsidR="00A31735" w:rsidRDefault="00A31735" w:rsidP="00A31735">
            <w:r>
              <w:t xml:space="preserve">… </w:t>
            </w:r>
          </w:p>
        </w:tc>
      </w:tr>
    </w:tbl>
    <w:p w14:paraId="5D1D4C8E" w14:textId="77777777" w:rsidR="00A31735" w:rsidRPr="000C4612" w:rsidRDefault="00A31735" w:rsidP="00095A91">
      <w:pPr>
        <w:pStyle w:val="Normal127Indent127"/>
        <w:spacing w:before="240"/>
      </w:pPr>
      <w:r>
        <w:fldChar w:fldCharType="begin">
          <w:ffData>
            <w:name w:val="Check1"/>
            <w:enabled/>
            <w:calcOnExit w:val="0"/>
            <w:checkBox>
              <w:sizeAuto/>
              <w:default w:val="0"/>
            </w:checkBox>
          </w:ffData>
        </w:fldChar>
      </w:r>
      <w:r>
        <w:instrText xml:space="preserve"> FORMCHECKBOX </w:instrText>
      </w:r>
      <w:r w:rsidR="001336BC">
        <w:fldChar w:fldCharType="separate"/>
      </w:r>
      <w:r>
        <w:fldChar w:fldCharType="end"/>
      </w:r>
      <w:r>
        <w:tab/>
        <w:t xml:space="preserve">Andet. Angiv nærmere: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7BECC915" w14:textId="77777777" w:rsidTr="00FF3357">
        <w:tc>
          <w:tcPr>
            <w:tcW w:w="8391" w:type="dxa"/>
            <w:shd w:val="clear" w:color="auto" w:fill="auto"/>
          </w:tcPr>
          <w:p w14:paraId="480ED421" w14:textId="77777777" w:rsidR="00A31735" w:rsidRDefault="00A31735" w:rsidP="00FF3357">
            <w:r>
              <w:t xml:space="preserve">… </w:t>
            </w:r>
          </w:p>
        </w:tc>
      </w:tr>
    </w:tbl>
    <w:p w14:paraId="45EB1554" w14:textId="77777777" w:rsidR="00EF0533" w:rsidRDefault="00EF0533" w:rsidP="00095A91">
      <w:pPr>
        <w:pStyle w:val="NormalKop11"/>
      </w:pPr>
      <w:r>
        <w:t>Anvendelsesområde for den anmeldte ordning</w:t>
      </w:r>
    </w:p>
    <w:p w14:paraId="669E042A" w14:textId="77777777" w:rsidR="000956BB" w:rsidRPr="005C5DFC" w:rsidRDefault="000956BB" w:rsidP="000956BB">
      <w:pPr>
        <w:pStyle w:val="NumPar3"/>
        <w:numPr>
          <w:ilvl w:val="2"/>
          <w:numId w:val="2"/>
        </w:numPr>
        <w:ind w:left="1418" w:hanging="698"/>
      </w:pPr>
      <w:r>
        <w:t>Bekræft, at der ifølge retsgrundlaget for den anmeldte ordning er en forpligtelse til, at Kommissionen skal modtage anmeldelse af individuel støtte til en modtager, hvis den samlede støtte fra alle kilderne overstiger den individuelle anmeldelsestærskel som fastsat i gruppefritagelsesforordningen for regional investeringsstøtte (punkt 22 i retningslinjerne).</w:t>
      </w:r>
    </w:p>
    <w:p w14:paraId="5712B87E" w14:textId="77777777" w:rsidR="000956BB" w:rsidRDefault="000956BB" w:rsidP="000956BB">
      <w:pPr>
        <w:pStyle w:val="NumPar3"/>
        <w:ind w:left="1418"/>
      </w:pPr>
      <w:r>
        <w:t xml:space="preserve">Henvis til den relevante bestemmelse i retsgrundlaget: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956BB" w14:paraId="225C86B1" w14:textId="77777777" w:rsidTr="00885584">
        <w:tc>
          <w:tcPr>
            <w:tcW w:w="8391" w:type="dxa"/>
            <w:shd w:val="clear" w:color="auto" w:fill="auto"/>
          </w:tcPr>
          <w:p w14:paraId="043C8F92" w14:textId="77777777" w:rsidR="000956BB" w:rsidRDefault="000956BB" w:rsidP="00885584">
            <w:r>
              <w:t xml:space="preserve">… </w:t>
            </w:r>
          </w:p>
        </w:tc>
      </w:tr>
    </w:tbl>
    <w:p w14:paraId="52A8060C" w14:textId="77777777" w:rsidR="000956BB" w:rsidRDefault="000956BB" w:rsidP="00D621FD">
      <w:pPr>
        <w:pStyle w:val="NumPar3"/>
        <w:spacing w:after="0"/>
      </w:pPr>
    </w:p>
    <w:p w14:paraId="12FCDAB8" w14:textId="77777777" w:rsidR="00772C09" w:rsidRPr="005C5DFC" w:rsidRDefault="00595172" w:rsidP="00D621FD">
      <w:pPr>
        <w:pStyle w:val="NumPar3"/>
        <w:numPr>
          <w:ilvl w:val="2"/>
          <w:numId w:val="2"/>
        </w:numPr>
        <w:spacing w:before="0"/>
        <w:ind w:left="1418" w:hanging="698"/>
      </w:pPr>
      <w:r>
        <w:t xml:space="preserve">Bekræft, at der ifølge retsgrundlaget for den anmeldte ordning er en forpligtelse til, at Kommissionen skal modtage anmeldelse af individuel støtte </w:t>
      </w:r>
      <w:r>
        <w:lastRenderedPageBreak/>
        <w:t>til en modtager, medmindre støttemodtageren 1) har bekræftet, at denne inden for en toårig periode forud for sin ansøgning om støtte ikke har gennemført en flytning til den virksomhedsenhed, hvori den støttede initialinvestering skal foretages, og 2) har forpligtet sig til ikke at foretage en sådan flytning i op til to år efter afslutningen af initialinvesteringen (punkt 23 i retningslinjerne).</w:t>
      </w:r>
    </w:p>
    <w:p w14:paraId="095F8EF4" w14:textId="77777777" w:rsidR="00071A7F" w:rsidRDefault="00EF0533" w:rsidP="00EF0533">
      <w:pPr>
        <w:pStyle w:val="NumPar3"/>
        <w:ind w:left="1418"/>
      </w:pPr>
      <w:r>
        <w:t xml:space="preserve">Henvis til den relevante bestemmelse i retsgrundlaget: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71A7F" w14:paraId="23DD7A3D" w14:textId="77777777" w:rsidTr="00FF3357">
        <w:tc>
          <w:tcPr>
            <w:tcW w:w="8391" w:type="dxa"/>
            <w:shd w:val="clear" w:color="auto" w:fill="auto"/>
          </w:tcPr>
          <w:p w14:paraId="31FBCC68" w14:textId="77777777" w:rsidR="00071A7F" w:rsidRDefault="00071A7F" w:rsidP="00FF3357">
            <w:r>
              <w:t xml:space="preserve">… </w:t>
            </w:r>
          </w:p>
        </w:tc>
      </w:tr>
    </w:tbl>
    <w:p w14:paraId="02A74271" w14:textId="77777777" w:rsidR="005D6890" w:rsidRPr="00680480" w:rsidRDefault="00595172" w:rsidP="005D6890">
      <w:pPr>
        <w:pStyle w:val="NumPar3"/>
        <w:numPr>
          <w:ilvl w:val="2"/>
          <w:numId w:val="2"/>
        </w:numPr>
        <w:spacing w:before="240"/>
        <w:ind w:left="1440" w:hanging="720"/>
      </w:pPr>
      <w:r>
        <w:t>Bekræft, at der i henhold til den anmeldte støtteordning ikke ydes regional investeringsstøtte til de nedennævnte kategorier af virksomheder og sektorer. Angiv i hvert tilfælde den relevante bestemmelse i retsgrundlaget for ordningen:</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7"/>
        <w:gridCol w:w="2976"/>
      </w:tblGrid>
      <w:tr w:rsidR="003A52F6" w:rsidRPr="00034735" w14:paraId="34FD2DE7" w14:textId="77777777" w:rsidTr="00607A3B">
        <w:tc>
          <w:tcPr>
            <w:tcW w:w="5387" w:type="dxa"/>
            <w:shd w:val="clear" w:color="auto" w:fill="auto"/>
          </w:tcPr>
          <w:p w14:paraId="65AC9914" w14:textId="77777777" w:rsidR="003A52F6" w:rsidRPr="00034735" w:rsidRDefault="003A52F6" w:rsidP="008E13A1">
            <w:pPr>
              <w:pStyle w:val="NumPar3"/>
              <w:spacing w:before="0" w:after="0"/>
              <w:ind w:left="0"/>
              <w:rPr>
                <w:rFonts w:cs="Times New Roman"/>
                <w:sz w:val="22"/>
                <w:szCs w:val="22"/>
              </w:rPr>
            </w:pPr>
            <w:r>
              <w:rPr>
                <w:sz w:val="22"/>
              </w:rPr>
              <w:t>Udelukkede kategorier af virksomheder og sektorer</w:t>
            </w:r>
          </w:p>
        </w:tc>
        <w:tc>
          <w:tcPr>
            <w:tcW w:w="2976" w:type="dxa"/>
            <w:shd w:val="clear" w:color="auto" w:fill="auto"/>
          </w:tcPr>
          <w:p w14:paraId="29797EAB" w14:textId="77777777" w:rsidR="003A52F6" w:rsidRPr="00034735" w:rsidRDefault="003A52F6" w:rsidP="008E13A1">
            <w:pPr>
              <w:pStyle w:val="NumPar3"/>
              <w:spacing w:before="0" w:after="0"/>
              <w:ind w:left="0"/>
              <w:rPr>
                <w:rFonts w:cs="Times New Roman"/>
                <w:sz w:val="22"/>
                <w:szCs w:val="22"/>
              </w:rPr>
            </w:pPr>
            <w:r>
              <w:rPr>
                <w:sz w:val="22"/>
              </w:rPr>
              <w:t>Relevant bestemmelse i retsgrundlaget for ordningen</w:t>
            </w:r>
          </w:p>
        </w:tc>
      </w:tr>
      <w:tr w:rsidR="003A52F6" w:rsidRPr="00034735" w14:paraId="5E022A89" w14:textId="77777777" w:rsidTr="00607A3B">
        <w:tc>
          <w:tcPr>
            <w:tcW w:w="5387" w:type="dxa"/>
            <w:shd w:val="clear" w:color="auto" w:fill="auto"/>
          </w:tcPr>
          <w:p w14:paraId="6FD6D134" w14:textId="77777777" w:rsidR="003A52F6" w:rsidRPr="00034735" w:rsidRDefault="003A52F6" w:rsidP="008E13A1">
            <w:pPr>
              <w:pStyle w:val="NumPar3"/>
              <w:spacing w:before="0" w:after="0"/>
              <w:ind w:left="0"/>
              <w:jc w:val="left"/>
              <w:rPr>
                <w:sz w:val="22"/>
                <w:szCs w:val="22"/>
              </w:rPr>
            </w:pPr>
            <w:r>
              <w:rPr>
                <w:sz w:val="22"/>
              </w:rPr>
              <w:t>Kriseramte virksomheder</w:t>
            </w:r>
            <w:r>
              <w:rPr>
                <w:vertAlign w:val="superscript"/>
              </w:rPr>
              <w:footnoteReference w:id="4"/>
            </w:r>
          </w:p>
        </w:tc>
        <w:tc>
          <w:tcPr>
            <w:tcW w:w="2976" w:type="dxa"/>
            <w:shd w:val="clear" w:color="auto" w:fill="auto"/>
          </w:tcPr>
          <w:p w14:paraId="1F24B360"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0CB420D" w14:textId="77777777" w:rsidTr="00607A3B">
        <w:tc>
          <w:tcPr>
            <w:tcW w:w="5387" w:type="dxa"/>
            <w:shd w:val="clear" w:color="auto" w:fill="auto"/>
          </w:tcPr>
          <w:p w14:paraId="1426C09C" w14:textId="77777777" w:rsidR="003A52F6" w:rsidRPr="00034735" w:rsidRDefault="003A52F6" w:rsidP="008E13A1">
            <w:pPr>
              <w:pStyle w:val="NumPar3"/>
              <w:spacing w:before="0" w:after="0"/>
              <w:ind w:left="0"/>
              <w:jc w:val="left"/>
              <w:rPr>
                <w:rFonts w:cs="Times New Roman"/>
                <w:sz w:val="22"/>
                <w:szCs w:val="22"/>
              </w:rPr>
            </w:pPr>
            <w:r>
              <w:rPr>
                <w:sz w:val="22"/>
              </w:rPr>
              <w:t>Stålsektoren</w:t>
            </w:r>
            <w:r>
              <w:rPr>
                <w:sz w:val="22"/>
                <w:szCs w:val="22"/>
                <w:vertAlign w:val="superscript"/>
              </w:rPr>
              <w:footnoteReference w:id="5"/>
            </w:r>
            <w:r>
              <w:rPr>
                <w:sz w:val="22"/>
              </w:rPr>
              <w:t xml:space="preserve"> </w:t>
            </w:r>
          </w:p>
        </w:tc>
        <w:tc>
          <w:tcPr>
            <w:tcW w:w="2976" w:type="dxa"/>
            <w:shd w:val="clear" w:color="auto" w:fill="auto"/>
          </w:tcPr>
          <w:p w14:paraId="2DB7D74C"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27E72CB9" w14:textId="77777777" w:rsidTr="00607A3B">
        <w:tc>
          <w:tcPr>
            <w:tcW w:w="5387" w:type="dxa"/>
            <w:shd w:val="clear" w:color="auto" w:fill="auto"/>
          </w:tcPr>
          <w:p w14:paraId="10B18C1F" w14:textId="77777777" w:rsidR="003A52F6" w:rsidRPr="00034735" w:rsidRDefault="009D27C1" w:rsidP="008E13A1">
            <w:pPr>
              <w:pStyle w:val="NumPar3"/>
              <w:spacing w:before="0" w:after="0"/>
              <w:ind w:left="0"/>
              <w:jc w:val="left"/>
              <w:rPr>
                <w:rFonts w:cs="Times New Roman"/>
                <w:sz w:val="22"/>
                <w:szCs w:val="22"/>
              </w:rPr>
            </w:pPr>
            <w:r>
              <w:rPr>
                <w:sz w:val="22"/>
              </w:rPr>
              <w:t>Brunkulssektoren</w:t>
            </w:r>
            <w:r>
              <w:rPr>
                <w:rStyle w:val="FootnoteReference"/>
                <w:rFonts w:cs="Times New Roman"/>
                <w:sz w:val="22"/>
                <w:szCs w:val="22"/>
              </w:rPr>
              <w:footnoteReference w:id="6"/>
            </w:r>
          </w:p>
        </w:tc>
        <w:tc>
          <w:tcPr>
            <w:tcW w:w="2976" w:type="dxa"/>
            <w:shd w:val="clear" w:color="auto" w:fill="auto"/>
          </w:tcPr>
          <w:p w14:paraId="065938DD"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850C476" w14:textId="77777777" w:rsidTr="00607A3B">
        <w:tc>
          <w:tcPr>
            <w:tcW w:w="5387" w:type="dxa"/>
            <w:shd w:val="clear" w:color="auto" w:fill="auto"/>
          </w:tcPr>
          <w:p w14:paraId="6AAB7A67" w14:textId="77777777" w:rsidR="003A52F6" w:rsidRPr="00034735" w:rsidRDefault="009D27C1" w:rsidP="008E13A1">
            <w:pPr>
              <w:pStyle w:val="NumPar3"/>
              <w:spacing w:before="0" w:after="0"/>
              <w:ind w:left="0"/>
              <w:jc w:val="left"/>
              <w:rPr>
                <w:rFonts w:cs="Times New Roman"/>
                <w:sz w:val="22"/>
                <w:szCs w:val="22"/>
              </w:rPr>
            </w:pPr>
            <w:r>
              <w:rPr>
                <w:sz w:val="22"/>
              </w:rPr>
              <w:t>Kulsektoren</w:t>
            </w:r>
            <w:r>
              <w:rPr>
                <w:rStyle w:val="FootnoteReference"/>
                <w:rFonts w:cs="Times New Roman"/>
                <w:sz w:val="22"/>
                <w:szCs w:val="22"/>
              </w:rPr>
              <w:footnoteReference w:id="7"/>
            </w:r>
          </w:p>
        </w:tc>
        <w:tc>
          <w:tcPr>
            <w:tcW w:w="2976" w:type="dxa"/>
            <w:shd w:val="clear" w:color="auto" w:fill="auto"/>
          </w:tcPr>
          <w:p w14:paraId="4F83A4A9" w14:textId="77777777" w:rsidR="003A52F6" w:rsidRPr="00034735" w:rsidRDefault="003A52F6" w:rsidP="008E13A1">
            <w:pPr>
              <w:pStyle w:val="NumPar3"/>
              <w:spacing w:before="0" w:after="0"/>
              <w:ind w:left="0"/>
              <w:jc w:val="left"/>
              <w:rPr>
                <w:rFonts w:cs="Times New Roman"/>
                <w:sz w:val="22"/>
                <w:szCs w:val="22"/>
              </w:rPr>
            </w:pPr>
          </w:p>
        </w:tc>
      </w:tr>
      <w:tr w:rsidR="009D27C1" w:rsidRPr="00034735" w14:paraId="38FD5A7E" w14:textId="77777777" w:rsidTr="00607A3B">
        <w:tc>
          <w:tcPr>
            <w:tcW w:w="5387" w:type="dxa"/>
            <w:shd w:val="clear" w:color="auto" w:fill="auto"/>
          </w:tcPr>
          <w:p w14:paraId="1D8D86E9" w14:textId="77777777" w:rsidR="009D27C1" w:rsidRPr="00034735" w:rsidRDefault="009D27C1" w:rsidP="009D27C1">
            <w:pPr>
              <w:pStyle w:val="NumPar3"/>
              <w:spacing w:before="0" w:after="0"/>
              <w:ind w:left="0"/>
              <w:jc w:val="left"/>
              <w:rPr>
                <w:rFonts w:cs="Times New Roman"/>
                <w:sz w:val="22"/>
                <w:szCs w:val="22"/>
              </w:rPr>
            </w:pPr>
            <w:r>
              <w:rPr>
                <w:sz w:val="22"/>
              </w:rPr>
              <w:t>Fiskeri og akvakultur</w:t>
            </w:r>
            <w:r>
              <w:rPr>
                <w:rStyle w:val="FootnoteReference"/>
                <w:sz w:val="22"/>
                <w:szCs w:val="22"/>
              </w:rPr>
              <w:footnoteReference w:id="8"/>
            </w:r>
          </w:p>
        </w:tc>
        <w:tc>
          <w:tcPr>
            <w:tcW w:w="2976" w:type="dxa"/>
            <w:shd w:val="clear" w:color="auto" w:fill="auto"/>
          </w:tcPr>
          <w:p w14:paraId="597D5A4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795EEDBE" w14:textId="77777777" w:rsidTr="00607A3B">
        <w:tc>
          <w:tcPr>
            <w:tcW w:w="5387" w:type="dxa"/>
            <w:shd w:val="clear" w:color="auto" w:fill="auto"/>
          </w:tcPr>
          <w:p w14:paraId="6A85618C" w14:textId="77777777" w:rsidR="009D27C1" w:rsidRPr="00034735" w:rsidRDefault="009D27C1" w:rsidP="009D27C1">
            <w:pPr>
              <w:pStyle w:val="NumPar3"/>
              <w:spacing w:before="0" w:after="0"/>
              <w:ind w:left="0"/>
              <w:jc w:val="left"/>
              <w:rPr>
                <w:rFonts w:cs="Times New Roman"/>
                <w:sz w:val="22"/>
                <w:szCs w:val="22"/>
              </w:rPr>
            </w:pPr>
            <w:r>
              <w:rPr>
                <w:sz w:val="22"/>
              </w:rPr>
              <w:t>Landbrug</w:t>
            </w:r>
            <w:r>
              <w:rPr>
                <w:rStyle w:val="FootnoteReference"/>
                <w:bCs/>
                <w:sz w:val="22"/>
                <w:szCs w:val="22"/>
              </w:rPr>
              <w:footnoteReference w:id="9"/>
            </w:r>
          </w:p>
        </w:tc>
        <w:tc>
          <w:tcPr>
            <w:tcW w:w="2976" w:type="dxa"/>
            <w:shd w:val="clear" w:color="auto" w:fill="auto"/>
          </w:tcPr>
          <w:p w14:paraId="19FC268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CA8749" w14:textId="77777777" w:rsidTr="00607A3B">
        <w:tc>
          <w:tcPr>
            <w:tcW w:w="5387" w:type="dxa"/>
            <w:shd w:val="clear" w:color="auto" w:fill="auto"/>
          </w:tcPr>
          <w:p w14:paraId="49D39705" w14:textId="77777777" w:rsidR="009D27C1" w:rsidRPr="00034735" w:rsidRDefault="009D27C1" w:rsidP="009D27C1">
            <w:pPr>
              <w:pStyle w:val="NumPar3"/>
              <w:spacing w:before="0" w:after="0"/>
              <w:ind w:left="0"/>
              <w:jc w:val="left"/>
              <w:rPr>
                <w:rFonts w:cs="Times New Roman"/>
                <w:sz w:val="22"/>
                <w:szCs w:val="22"/>
              </w:rPr>
            </w:pPr>
            <w:r>
              <w:rPr>
                <w:sz w:val="22"/>
              </w:rPr>
              <w:t>Forarbejdning og/eller afsætning af de landbrugsprodukter, der er opført på listen i bilag I til TEUF</w:t>
            </w:r>
            <w:r>
              <w:rPr>
                <w:bCs/>
                <w:sz w:val="22"/>
                <w:szCs w:val="22"/>
                <w:vertAlign w:val="superscript"/>
              </w:rPr>
              <w:footnoteReference w:id="10"/>
            </w:r>
            <w:r>
              <w:rPr>
                <w:sz w:val="22"/>
              </w:rPr>
              <w:t>, til produkter, der er opført på listen i bilag I</w:t>
            </w:r>
          </w:p>
        </w:tc>
        <w:tc>
          <w:tcPr>
            <w:tcW w:w="2976" w:type="dxa"/>
            <w:shd w:val="clear" w:color="auto" w:fill="auto"/>
          </w:tcPr>
          <w:p w14:paraId="5555848A"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533A7E15" w14:textId="77777777" w:rsidTr="00607A3B">
        <w:tc>
          <w:tcPr>
            <w:tcW w:w="5387" w:type="dxa"/>
            <w:shd w:val="clear" w:color="auto" w:fill="auto"/>
          </w:tcPr>
          <w:p w14:paraId="10B4DD9B" w14:textId="77777777" w:rsidR="009D27C1" w:rsidRPr="00034735" w:rsidRDefault="003F7791" w:rsidP="009D27C1">
            <w:pPr>
              <w:pStyle w:val="NumPar3"/>
              <w:spacing w:before="0" w:after="0"/>
              <w:ind w:left="0"/>
              <w:jc w:val="left"/>
              <w:rPr>
                <w:rFonts w:cs="Times New Roman"/>
                <w:sz w:val="22"/>
                <w:szCs w:val="22"/>
              </w:rPr>
            </w:pPr>
            <w:r>
              <w:rPr>
                <w:sz w:val="22"/>
              </w:rPr>
              <w:t>Transport</w:t>
            </w:r>
            <w:r>
              <w:rPr>
                <w:rStyle w:val="FootnoteReference"/>
                <w:bCs/>
                <w:sz w:val="22"/>
                <w:szCs w:val="22"/>
              </w:rPr>
              <w:footnoteReference w:id="11"/>
            </w:r>
          </w:p>
        </w:tc>
        <w:tc>
          <w:tcPr>
            <w:tcW w:w="2976" w:type="dxa"/>
            <w:shd w:val="clear" w:color="auto" w:fill="auto"/>
          </w:tcPr>
          <w:p w14:paraId="05A62DDF"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1DEDCAE3" w14:textId="77777777" w:rsidTr="00607A3B">
        <w:tc>
          <w:tcPr>
            <w:tcW w:w="5387" w:type="dxa"/>
            <w:shd w:val="clear" w:color="auto" w:fill="auto"/>
          </w:tcPr>
          <w:p w14:paraId="0603BCB5" w14:textId="77777777" w:rsidR="009D27C1" w:rsidRPr="00034735" w:rsidRDefault="003F7791" w:rsidP="003F7791">
            <w:pPr>
              <w:pStyle w:val="NumPar3"/>
              <w:spacing w:before="0" w:after="0"/>
              <w:ind w:left="0"/>
              <w:jc w:val="left"/>
              <w:rPr>
                <w:rFonts w:cs="Times New Roman"/>
                <w:sz w:val="22"/>
                <w:szCs w:val="22"/>
              </w:rPr>
            </w:pPr>
            <w:r>
              <w:rPr>
                <w:sz w:val="22"/>
              </w:rPr>
              <w:t>Bredbånd</w:t>
            </w:r>
            <w:r>
              <w:rPr>
                <w:rStyle w:val="FootnoteReference"/>
                <w:bCs/>
                <w:sz w:val="22"/>
                <w:szCs w:val="22"/>
              </w:rPr>
              <w:footnoteReference w:id="12"/>
            </w:r>
          </w:p>
        </w:tc>
        <w:tc>
          <w:tcPr>
            <w:tcW w:w="2976" w:type="dxa"/>
            <w:shd w:val="clear" w:color="auto" w:fill="auto"/>
          </w:tcPr>
          <w:p w14:paraId="586B0D65"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B1510B" w14:textId="77777777" w:rsidTr="00607A3B">
        <w:tc>
          <w:tcPr>
            <w:tcW w:w="5387" w:type="dxa"/>
            <w:shd w:val="clear" w:color="auto" w:fill="auto"/>
          </w:tcPr>
          <w:p w14:paraId="468D2F38" w14:textId="77777777" w:rsidR="009D27C1" w:rsidRPr="00034735" w:rsidRDefault="003F7791" w:rsidP="009D27C1">
            <w:pPr>
              <w:pStyle w:val="NumPar3"/>
              <w:spacing w:before="0" w:after="0"/>
              <w:ind w:left="0"/>
              <w:jc w:val="left"/>
              <w:rPr>
                <w:rFonts w:cs="Times New Roman"/>
                <w:sz w:val="22"/>
                <w:szCs w:val="22"/>
              </w:rPr>
            </w:pPr>
            <w:r>
              <w:rPr>
                <w:sz w:val="22"/>
              </w:rPr>
              <w:lastRenderedPageBreak/>
              <w:t>Energi</w:t>
            </w:r>
            <w:r>
              <w:rPr>
                <w:rStyle w:val="FootnoteReference"/>
                <w:sz w:val="22"/>
                <w:szCs w:val="22"/>
              </w:rPr>
              <w:footnoteReference w:id="13"/>
            </w:r>
          </w:p>
        </w:tc>
        <w:tc>
          <w:tcPr>
            <w:tcW w:w="2976" w:type="dxa"/>
            <w:shd w:val="clear" w:color="auto" w:fill="auto"/>
          </w:tcPr>
          <w:p w14:paraId="31595F7F" w14:textId="77777777" w:rsidR="009D27C1" w:rsidRPr="00034735" w:rsidRDefault="009D27C1" w:rsidP="009D27C1">
            <w:pPr>
              <w:pStyle w:val="NumPar3"/>
              <w:spacing w:before="0" w:after="0"/>
              <w:ind w:left="0"/>
              <w:jc w:val="left"/>
              <w:rPr>
                <w:rFonts w:cs="Times New Roman"/>
                <w:sz w:val="22"/>
                <w:szCs w:val="22"/>
              </w:rPr>
            </w:pPr>
          </w:p>
        </w:tc>
      </w:tr>
    </w:tbl>
    <w:p w14:paraId="497EFEE5" w14:textId="77777777" w:rsidR="00EF0533" w:rsidRDefault="00EF0533" w:rsidP="006D6383">
      <w:pPr>
        <w:rPr>
          <w:szCs w:val="24"/>
        </w:rPr>
      </w:pPr>
    </w:p>
    <w:p w14:paraId="28056040" w14:textId="77777777" w:rsidR="00D278EA" w:rsidRPr="007D187D" w:rsidRDefault="00D278EA" w:rsidP="00EF0533">
      <w:pPr>
        <w:ind w:left="2268" w:hanging="425"/>
        <w:rPr>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EF0533" w:rsidRPr="009830AE" w14:paraId="45E88CA6" w14:textId="77777777" w:rsidTr="00B22FBC">
        <w:trPr>
          <w:trHeight w:val="737"/>
        </w:trPr>
        <w:tc>
          <w:tcPr>
            <w:tcW w:w="9039" w:type="dxa"/>
            <w:tcBorders>
              <w:top w:val="single" w:sz="4" w:space="0" w:color="auto"/>
              <w:bottom w:val="single" w:sz="4" w:space="0" w:color="auto"/>
            </w:tcBorders>
            <w:shd w:val="pct15" w:color="auto" w:fill="FFFFFF"/>
          </w:tcPr>
          <w:p w14:paraId="714A2E8B" w14:textId="77777777" w:rsidR="00EF0533" w:rsidRPr="009830AE" w:rsidRDefault="0031204D" w:rsidP="0031204D">
            <w:pPr>
              <w:pStyle w:val="Heading1"/>
              <w:numPr>
                <w:ilvl w:val="0"/>
                <w:numId w:val="2"/>
              </w:numPr>
              <w:tabs>
                <w:tab w:val="left" w:pos="720"/>
                <w:tab w:val="left" w:pos="1077"/>
                <w:tab w:val="left" w:pos="1440"/>
                <w:tab w:val="left" w:pos="1797"/>
              </w:tabs>
              <w:ind w:left="482" w:hanging="482"/>
              <w:rPr>
                <w:color w:val="000000"/>
              </w:rPr>
            </w:pPr>
            <w:r>
              <w:rPr>
                <w:color w:val="000000"/>
              </w:rPr>
              <w:t>Initialinvestering, støtteberettigede omkostninger og støtte</w:t>
            </w:r>
          </w:p>
        </w:tc>
      </w:tr>
    </w:tbl>
    <w:p w14:paraId="0568836A" w14:textId="77777777" w:rsidR="005936C8" w:rsidRPr="00D278EA" w:rsidRDefault="00BB1994" w:rsidP="00D278EA">
      <w:pPr>
        <w:pStyle w:val="NormalKop11"/>
        <w:rPr>
          <w:b/>
        </w:rPr>
      </w:pPr>
      <w:r>
        <w:rPr>
          <w:b/>
        </w:rPr>
        <w:t>Typer af initialinvesteringer, der er omfattet af ordningen</w:t>
      </w:r>
    </w:p>
    <w:p w14:paraId="15863B73" w14:textId="77777777" w:rsidR="00801CFE" w:rsidRPr="005C5DFC" w:rsidRDefault="00801CFE" w:rsidP="001D303A">
      <w:pPr>
        <w:pStyle w:val="NumPar3"/>
        <w:numPr>
          <w:ilvl w:val="2"/>
          <w:numId w:val="2"/>
        </w:numPr>
        <w:spacing w:before="240"/>
        <w:ind w:left="1440" w:hanging="720"/>
      </w:pPr>
      <w:r>
        <w:t>Hvis ordningen omfatter SMV'ers eller store virksomheders</w:t>
      </w:r>
      <w:r>
        <w:rPr>
          <w:rStyle w:val="FootnoteReference"/>
        </w:rPr>
        <w:footnoteReference w:id="14"/>
      </w:r>
      <w:r>
        <w:t xml:space="preserve"> investeringer i a)-områder eller SMV'ers investeringer i c)-områder (punkt 45 i retningslinjerne), angives den eller de kategorier af initialinvestering, som anmeldelsen omhandler (punkt 19, nr. 13), i retningslinjerne): </w:t>
      </w:r>
    </w:p>
    <w:p w14:paraId="59A35842" w14:textId="2D685E9E"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1336BC">
        <w:fldChar w:fldCharType="separate"/>
      </w:r>
      <w:r>
        <w:fldChar w:fldCharType="end"/>
      </w:r>
      <w:r w:rsidR="00573DE7">
        <w:tab/>
      </w:r>
      <w:r>
        <w:t>etablering af en ny virksomhed</w:t>
      </w:r>
    </w:p>
    <w:p w14:paraId="6A7DBFA1" w14:textId="15A2EE94"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1336BC">
        <w:fldChar w:fldCharType="separate"/>
      </w:r>
      <w:r>
        <w:fldChar w:fldCharType="end"/>
      </w:r>
      <w:r w:rsidR="00573DE7">
        <w:tab/>
      </w:r>
      <w:r>
        <w:t>udvidelse af kapaciteten i en eksisterende virksomhed</w:t>
      </w:r>
    </w:p>
    <w:p w14:paraId="752D73A7" w14:textId="4060E895"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1336BC">
        <w:fldChar w:fldCharType="separate"/>
      </w:r>
      <w:r>
        <w:fldChar w:fldCharType="end"/>
      </w:r>
      <w:r w:rsidR="00573DE7">
        <w:tab/>
      </w:r>
      <w:r>
        <w:t>diversificering af en virksomheds produktion til produkter, som virksomheden ikke tidligere har fremstillet</w:t>
      </w:r>
    </w:p>
    <w:p w14:paraId="6BBACAA5" w14:textId="5E814E2D" w:rsidR="00801CFE"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1336BC">
        <w:fldChar w:fldCharType="separate"/>
      </w:r>
      <w:r>
        <w:fldChar w:fldCharType="end"/>
      </w:r>
      <w:r w:rsidR="00573DE7">
        <w:tab/>
      </w:r>
      <w:r>
        <w:t>en grundlæggende ændring af den samlede produktionsproces for produkter berørt af investeringerne i virksomheden</w:t>
      </w:r>
    </w:p>
    <w:p w14:paraId="77FD1B3E" w14:textId="21A109D6" w:rsidR="0026473A" w:rsidRDefault="00801CFE" w:rsidP="00146D13">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1336BC">
        <w:fldChar w:fldCharType="separate"/>
      </w:r>
      <w:r>
        <w:fldChar w:fldCharType="end"/>
      </w:r>
      <w:r>
        <w:tab/>
        <w:t>overtagelse af aktiver, der tilhører en virksomhed, som var lukket eller ville være blevet lukket, hvis den ikke var blevet købt</w:t>
      </w:r>
      <w:r>
        <w:rPr>
          <w:rStyle w:val="FootnoteReference"/>
        </w:rPr>
        <w:footnoteReference w:id="15"/>
      </w:r>
      <w:r>
        <w:t xml:space="preserve"> </w:t>
      </w:r>
    </w:p>
    <w:p w14:paraId="440B0ABD" w14:textId="2BCE0CF0" w:rsidR="00D054A1" w:rsidRPr="005C5DFC" w:rsidRDefault="00D054A1" w:rsidP="0026473A">
      <w:pPr>
        <w:pStyle w:val="NumPar3"/>
        <w:numPr>
          <w:ilvl w:val="2"/>
          <w:numId w:val="2"/>
        </w:numPr>
        <w:spacing w:before="240"/>
        <w:ind w:left="1440" w:hanging="720"/>
      </w:pPr>
      <w:r>
        <w:t>Hvis ordningen omfatter store virksomheders investeringer i c)-områder, angives den eller de kategorier af initialinvestering, som anmeldelsen omhandler (punkt 19, nr. 14), og punkt 14 i retningslinjerne):</w:t>
      </w:r>
    </w:p>
    <w:p w14:paraId="76A7E02E" w14:textId="3A032964" w:rsidR="00D054A1" w:rsidRPr="005C5DFC" w:rsidRDefault="00D054A1" w:rsidP="00D054A1">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1336BC">
        <w:fldChar w:fldCharType="separate"/>
      </w:r>
      <w:r>
        <w:fldChar w:fldCharType="end"/>
      </w:r>
      <w:r>
        <w:tab/>
        <w:t>etablering af en ny virksomhed</w:t>
      </w:r>
    </w:p>
    <w:p w14:paraId="215037A7" w14:textId="2657A238" w:rsidR="00D054A1" w:rsidRDefault="00D054A1" w:rsidP="002E6F0B">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1336BC">
        <w:fldChar w:fldCharType="separate"/>
      </w:r>
      <w:r>
        <w:fldChar w:fldCharType="end"/>
      </w:r>
      <w:r>
        <w:tab/>
        <w:t>diversificering af en virksomheds aktiviteter, under forudsætning af at den nye aktivitet ikke er den samme eller lignende aktivitet</w:t>
      </w:r>
      <w:r>
        <w:rPr>
          <w:rStyle w:val="FootnoteReference"/>
        </w:rPr>
        <w:footnoteReference w:id="16"/>
      </w:r>
      <w:r>
        <w:t xml:space="preserve"> som den, der tidligere er blevet udført i virksomheden</w:t>
      </w:r>
    </w:p>
    <w:p w14:paraId="2BE77CB6" w14:textId="0AF6FD5D" w:rsidR="006A2C1A" w:rsidRDefault="006A2C1A" w:rsidP="006A2C1A">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1336BC">
        <w:fldChar w:fldCharType="separate"/>
      </w:r>
      <w:r>
        <w:fldChar w:fldCharType="end"/>
      </w:r>
      <w:r>
        <w:tab/>
        <w:t xml:space="preserve">erhvervelse af aktiver tilhørende en virksomhedsenhed, som er lukket, eller som ville være blevet lukket, hvis den ikke var blevet erhvervet, på betingelse af at den nye aktivitet, der skal udøves ved hjælp af de erhvervede aktiver, ikke er den samme som eller svarer </w:t>
      </w:r>
      <w:r>
        <w:lastRenderedPageBreak/>
        <w:t>til den aktivitet, der blev udøvet i virksomhedsenheden forud for erhvervelsen</w:t>
      </w:r>
      <w:r>
        <w:rPr>
          <w:rStyle w:val="FootnoteReference"/>
        </w:rPr>
        <w:footnoteReference w:id="17"/>
      </w:r>
    </w:p>
    <w:p w14:paraId="123A6FE9" w14:textId="77777777" w:rsidR="005936C8" w:rsidRPr="00D23668" w:rsidRDefault="005936C8" w:rsidP="00D23668">
      <w:pPr>
        <w:pStyle w:val="NormalKop11"/>
        <w:rPr>
          <w:b/>
        </w:rPr>
      </w:pPr>
      <w:r>
        <w:rPr>
          <w:b/>
        </w:rPr>
        <w:t>Støtteberettigede omkostninger beregnet på basis af investeringsomkostninger</w:t>
      </w:r>
    </w:p>
    <w:p w14:paraId="66E3E5CE" w14:textId="1EEAD7A8" w:rsidR="0096475D" w:rsidRPr="0096475D" w:rsidRDefault="000C7C9C" w:rsidP="00B209F9">
      <w:pPr>
        <w:pStyle w:val="NumPar3"/>
        <w:numPr>
          <w:ilvl w:val="2"/>
          <w:numId w:val="2"/>
        </w:numPr>
        <w:spacing w:before="240"/>
      </w:pPr>
      <w:r>
        <w:t>Hvis de støtteberettigede omkostninger i ordningen vedrører materielle aktiver (punkt 19, nr. 31), i retningslinjerne): Angiv, om værdien af investeringen beregnes som en procentdel af udgifterne til jord, bygninger og anlæg, maskiner og udstyr:</w:t>
      </w:r>
    </w:p>
    <w:p w14:paraId="4FF3F776" w14:textId="1E4A27EC" w:rsidR="0096475D" w:rsidRPr="00540AF1" w:rsidRDefault="0096475D" w:rsidP="00D23668">
      <w:pPr>
        <w:pStyle w:val="Text2"/>
        <w:tabs>
          <w:tab w:val="clear" w:pos="2161"/>
          <w:tab w:val="left" w:pos="1985"/>
        </w:tabs>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1336BC">
        <w:rPr>
          <w:rFonts w:cs="Times New Roman"/>
        </w:rPr>
      </w:r>
      <w:r w:rsidR="001336BC">
        <w:rPr>
          <w:rFonts w:cs="Times New Roman"/>
        </w:rPr>
        <w:fldChar w:fldCharType="separate"/>
      </w:r>
      <w:r>
        <w:rPr>
          <w:rFonts w:cs="Times New Roman"/>
        </w:rPr>
        <w:fldChar w:fldCharType="end"/>
      </w:r>
      <w:r w:rsidR="00573DE7">
        <w:rPr>
          <w:rFonts w:cs="Times New Roman"/>
        </w:rPr>
        <w:tab/>
      </w:r>
      <w:r>
        <w:t>jord</w:t>
      </w:r>
    </w:p>
    <w:p w14:paraId="5D694BB9" w14:textId="3F3CC7F8" w:rsidR="0096475D" w:rsidRPr="00540AF1" w:rsidRDefault="0096475D"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1336BC">
        <w:rPr>
          <w:rFonts w:cs="Times New Roman"/>
        </w:rPr>
      </w:r>
      <w:r w:rsidR="001336BC">
        <w:rPr>
          <w:rFonts w:cs="Times New Roman"/>
        </w:rPr>
        <w:fldChar w:fldCharType="separate"/>
      </w:r>
      <w:r>
        <w:rPr>
          <w:rFonts w:cs="Times New Roman"/>
        </w:rPr>
        <w:fldChar w:fldCharType="end"/>
      </w:r>
      <w:r w:rsidR="00573DE7">
        <w:rPr>
          <w:rFonts w:cs="Times New Roman"/>
        </w:rPr>
        <w:tab/>
      </w:r>
      <w:r>
        <w:t xml:space="preserve">bygninger </w:t>
      </w:r>
    </w:p>
    <w:p w14:paraId="2B8ADA97" w14:textId="6700DD8A" w:rsidR="001E018C" w:rsidRDefault="0096475D" w:rsidP="001E018C">
      <w:pPr>
        <w:pStyle w:val="Text2"/>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1336BC">
        <w:rPr>
          <w:rFonts w:cs="Times New Roman"/>
        </w:rPr>
      </w:r>
      <w:r w:rsidR="001336BC">
        <w:rPr>
          <w:rFonts w:cs="Times New Roman"/>
        </w:rPr>
        <w:fldChar w:fldCharType="separate"/>
      </w:r>
      <w:r>
        <w:rPr>
          <w:rFonts w:cs="Times New Roman"/>
        </w:rPr>
        <w:fldChar w:fldCharType="end"/>
      </w:r>
      <w:r w:rsidR="00573DE7">
        <w:rPr>
          <w:rFonts w:cs="Times New Roman"/>
        </w:rPr>
        <w:tab/>
      </w:r>
      <w:r>
        <w:t>anlæg/maskiner/udstyr</w:t>
      </w:r>
    </w:p>
    <w:p w14:paraId="08F0994B" w14:textId="325FF7E9" w:rsidR="0096475D" w:rsidRPr="00540AF1" w:rsidRDefault="0096475D" w:rsidP="001E018C">
      <w:pPr>
        <w:pStyle w:val="Text2"/>
        <w:ind w:left="1843" w:hanging="425"/>
        <w:rPr>
          <w:rFonts w:cs="Times New Roman"/>
        </w:rPr>
      </w:pPr>
      <w:r>
        <w:t xml:space="preserve">Henvis til de relevante bestemmelser i retsgrundlaget: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475D" w14:paraId="4BDC6CF3" w14:textId="77777777" w:rsidTr="00301359">
        <w:tc>
          <w:tcPr>
            <w:tcW w:w="7682" w:type="dxa"/>
            <w:shd w:val="clear" w:color="auto" w:fill="auto"/>
          </w:tcPr>
          <w:p w14:paraId="11357BD6" w14:textId="77777777" w:rsidR="0096475D" w:rsidRDefault="0096475D" w:rsidP="00301359">
            <w:r>
              <w:t xml:space="preserve">… </w:t>
            </w:r>
          </w:p>
        </w:tc>
      </w:tr>
    </w:tbl>
    <w:p w14:paraId="624C868F" w14:textId="77777777" w:rsidR="005936C8" w:rsidRDefault="00220898" w:rsidP="00B209F9">
      <w:pPr>
        <w:pStyle w:val="NumPar3"/>
        <w:numPr>
          <w:ilvl w:val="2"/>
          <w:numId w:val="2"/>
        </w:numPr>
        <w:spacing w:before="240"/>
        <w:ind w:left="1440" w:hanging="720"/>
      </w:pPr>
      <w:r>
        <w:rPr>
          <w:color w:val="000000"/>
        </w:rPr>
        <w:t xml:space="preserve">Henvis til </w:t>
      </w:r>
      <w:bookmarkStart w:id="0" w:name="OLE_LINK1"/>
      <w:bookmarkStart w:id="1" w:name="OLE_LINK2"/>
      <w:r>
        <w:rPr>
          <w:color w:val="000000"/>
        </w:rPr>
        <w:t xml:space="preserve">den relevante </w:t>
      </w:r>
      <w:bookmarkEnd w:id="0"/>
      <w:bookmarkEnd w:id="1"/>
      <w:r>
        <w:rPr>
          <w:color w:val="000000"/>
        </w:rPr>
        <w:t>bestemmelse i retsgrundlaget, hvori det fastsættes, at det erhvervede aktiv skal være nyt</w:t>
      </w:r>
      <w:r>
        <w:rPr>
          <w:rStyle w:val="FootnoteReference"/>
        </w:rPr>
        <w:footnoteReference w:id="18"/>
      </w:r>
      <w:r>
        <w:t xml:space="preserve"> (punkt 27 i retningslinjerne):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3BE6" w14:paraId="3684DD07" w14:textId="77777777" w:rsidTr="00301359">
        <w:tc>
          <w:tcPr>
            <w:tcW w:w="7682" w:type="dxa"/>
            <w:shd w:val="clear" w:color="auto" w:fill="auto"/>
          </w:tcPr>
          <w:p w14:paraId="2CD30573" w14:textId="77777777" w:rsidR="008C3BE6" w:rsidRDefault="008C3BE6" w:rsidP="00301359">
            <w:r>
              <w:t xml:space="preserve">… </w:t>
            </w:r>
          </w:p>
        </w:tc>
      </w:tr>
    </w:tbl>
    <w:p w14:paraId="22201DA0" w14:textId="77777777" w:rsidR="00220898" w:rsidRPr="00B43816" w:rsidRDefault="00220898" w:rsidP="00B209F9">
      <w:pPr>
        <w:pStyle w:val="NumPar3"/>
        <w:numPr>
          <w:ilvl w:val="2"/>
          <w:numId w:val="2"/>
        </w:numPr>
        <w:spacing w:before="240"/>
        <w:ind w:left="1440" w:hanging="720"/>
        <w:rPr>
          <w:rFonts w:cs="Times New Roman"/>
          <w:color w:val="000000"/>
        </w:rPr>
      </w:pPr>
      <w:r>
        <w:rPr>
          <w:color w:val="000000"/>
        </w:rPr>
        <w:t xml:space="preserve">Henvis til den relevante bestemmelse i retsgrundlaget, hvori det fastsættes, at højst 50 % af SMV'ers udgifter til forundersøgelser eller konsulentbistand i tilknytning til investeringen kan anses for støtteberettigede omkostninger (punkt 28 i retningslinjerne):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20898" w:rsidRPr="00220898" w14:paraId="110312BC" w14:textId="77777777" w:rsidTr="001F008A">
        <w:tc>
          <w:tcPr>
            <w:tcW w:w="7682" w:type="dxa"/>
            <w:shd w:val="clear" w:color="auto" w:fill="auto"/>
          </w:tcPr>
          <w:p w14:paraId="451D52EC" w14:textId="77777777" w:rsidR="00220898" w:rsidRPr="00220898" w:rsidRDefault="00D23668" w:rsidP="00D23668">
            <w:r>
              <w:t>…</w:t>
            </w:r>
          </w:p>
        </w:tc>
      </w:tr>
    </w:tbl>
    <w:p w14:paraId="3DF27876" w14:textId="77777777" w:rsidR="003245C6" w:rsidRPr="00B43816" w:rsidRDefault="003245C6" w:rsidP="00B209F9">
      <w:pPr>
        <w:pStyle w:val="NumPar3"/>
        <w:numPr>
          <w:ilvl w:val="2"/>
          <w:numId w:val="2"/>
        </w:numPr>
        <w:spacing w:before="240"/>
        <w:ind w:left="1440" w:hanging="720"/>
        <w:rPr>
          <w:rFonts w:cs="Times New Roman"/>
          <w:color w:val="000000"/>
        </w:rPr>
      </w:pPr>
      <w:r>
        <w:rPr>
          <w:color w:val="000000"/>
        </w:rPr>
        <w:t xml:space="preserve">Henvis til den relevante bestemmelse i retsgrundlaget, hvori det fastsættes, at det for støtte ydet til store virksomheder til en gennemgribende ændring i produktionsprocessen gælder, at de støtteberettigede omkostninger skal overstige de tre forudgående regnskabsårs afskrivning på de aktiver, som er knyttet til den aktivitet, der skal moderniseres (punkt 29 i retningslinjerne):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245C6" w:rsidRPr="003245C6" w14:paraId="27E3D9E8" w14:textId="77777777" w:rsidTr="002E5811">
        <w:tc>
          <w:tcPr>
            <w:tcW w:w="7682" w:type="dxa"/>
            <w:shd w:val="clear" w:color="auto" w:fill="auto"/>
          </w:tcPr>
          <w:p w14:paraId="1A040942" w14:textId="77777777" w:rsidR="003245C6" w:rsidRPr="003245C6" w:rsidRDefault="00D23668" w:rsidP="00D23668">
            <w:r>
              <w:t>….</w:t>
            </w:r>
          </w:p>
        </w:tc>
      </w:tr>
    </w:tbl>
    <w:p w14:paraId="6B2B6435" w14:textId="77777777" w:rsidR="00375CB7" w:rsidRPr="00B43816" w:rsidRDefault="00375CB7" w:rsidP="00B209F9">
      <w:pPr>
        <w:pStyle w:val="NumPar3"/>
        <w:numPr>
          <w:ilvl w:val="2"/>
          <w:numId w:val="2"/>
        </w:numPr>
        <w:spacing w:before="240"/>
        <w:ind w:left="1440" w:hanging="720"/>
        <w:rPr>
          <w:rFonts w:cs="Times New Roman"/>
          <w:color w:val="000000"/>
        </w:rPr>
      </w:pPr>
      <w:r>
        <w:rPr>
          <w:color w:val="000000"/>
        </w:rPr>
        <w:t xml:space="preserve">Henvis til den relevante bestemmelse i retsgrundlaget, hvori det fastsættes, at det for støtte ydet til diversificering af en eksisterende virksomhed gælder, at de støtteberettigede omkostninger overstiger den bogførte værdi af de aktiver, der genbruges, med mindst 200 % i det regnskabsår, der gik forud for projektets påbegyndelse (punkt 30 i retningslinjerne):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75CB7" w:rsidRPr="00375CB7" w14:paraId="5554830C" w14:textId="77777777" w:rsidTr="00B9305B">
        <w:tc>
          <w:tcPr>
            <w:tcW w:w="7682" w:type="dxa"/>
            <w:shd w:val="clear" w:color="auto" w:fill="auto"/>
          </w:tcPr>
          <w:p w14:paraId="7AB037AB" w14:textId="77777777" w:rsidR="00375CB7" w:rsidRPr="00375CB7" w:rsidRDefault="00D23668" w:rsidP="00D23668">
            <w:r>
              <w:t>…</w:t>
            </w:r>
          </w:p>
        </w:tc>
      </w:tr>
    </w:tbl>
    <w:p w14:paraId="26343ACD" w14:textId="77777777" w:rsidR="00F330CB" w:rsidRPr="00B43816" w:rsidRDefault="00216490" w:rsidP="00B209F9">
      <w:pPr>
        <w:pStyle w:val="NumPar3"/>
        <w:numPr>
          <w:ilvl w:val="2"/>
          <w:numId w:val="2"/>
        </w:numPr>
        <w:spacing w:before="240"/>
        <w:ind w:left="1440" w:hanging="720"/>
        <w:rPr>
          <w:rFonts w:cs="Times New Roman"/>
          <w:color w:val="000000"/>
        </w:rPr>
      </w:pPr>
      <w:r>
        <w:rPr>
          <w:color w:val="000000"/>
        </w:rPr>
        <w:lastRenderedPageBreak/>
        <w:t xml:space="preserve">Ved leje af materielle aktiver: Henvis til de relevante bestemmelser i retsgrundlaget, hvori det fastsættes, at følgende betingelser skal være opfyldt (punkt 31 i retningslinjerne). </w:t>
      </w:r>
    </w:p>
    <w:p w14:paraId="3CC0A357" w14:textId="77777777" w:rsidR="00216490" w:rsidRDefault="00216490" w:rsidP="00CB4B02">
      <w:pPr>
        <w:pStyle w:val="NumPar3"/>
        <w:ind w:left="1701" w:hanging="283"/>
      </w:pPr>
      <w:r>
        <w:t>•</w:t>
      </w:r>
      <w:r>
        <w:tab/>
        <w:t>Ved leje af jord og bygninger skal lejeaftalen have en løbetid på mindst fem år efter det tidspunkt, hvor investeringsprojektet forventes afsluttet, når det gælder store virksomheder, og tre år for SMV'er.</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50813F1B" w14:textId="77777777" w:rsidTr="00D23668">
        <w:tc>
          <w:tcPr>
            <w:tcW w:w="7399" w:type="dxa"/>
            <w:shd w:val="clear" w:color="auto" w:fill="auto"/>
          </w:tcPr>
          <w:p w14:paraId="4547046A" w14:textId="77777777" w:rsidR="00201555" w:rsidRPr="00375CB7" w:rsidRDefault="00C64E3F" w:rsidP="00C64E3F">
            <w:r>
              <w:t>..</w:t>
            </w:r>
          </w:p>
        </w:tc>
      </w:tr>
    </w:tbl>
    <w:p w14:paraId="095EDE88" w14:textId="77777777" w:rsidR="00216490" w:rsidRDefault="00216490" w:rsidP="00CB4B02">
      <w:pPr>
        <w:pStyle w:val="NumPar3"/>
        <w:ind w:left="1701" w:hanging="283"/>
      </w:pPr>
      <w:r>
        <w:t>•</w:t>
      </w:r>
      <w:r>
        <w:tab/>
        <w:t xml:space="preserve">Hvad angår udstyr eller maskiner, skal der være tale om finansiel leasing, hvor støttemodtageren er forpligtet til at købe det pågældende aktiv efter leasingperiodens udløb.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658D6D48" w14:textId="77777777" w:rsidTr="00D23668">
        <w:tc>
          <w:tcPr>
            <w:tcW w:w="7399" w:type="dxa"/>
            <w:shd w:val="clear" w:color="auto" w:fill="auto"/>
          </w:tcPr>
          <w:p w14:paraId="178BB437" w14:textId="77777777" w:rsidR="00201555" w:rsidRPr="00375CB7" w:rsidRDefault="00C64E3F" w:rsidP="00C64E3F">
            <w:r>
              <w:t>…</w:t>
            </w:r>
          </w:p>
        </w:tc>
      </w:tr>
    </w:tbl>
    <w:p w14:paraId="7DA6520C" w14:textId="77777777" w:rsidR="00561589" w:rsidRPr="00CB4B02" w:rsidRDefault="00561589" w:rsidP="00B209F9">
      <w:pPr>
        <w:pStyle w:val="NumPar3"/>
        <w:numPr>
          <w:ilvl w:val="2"/>
          <w:numId w:val="2"/>
        </w:numPr>
        <w:spacing w:before="240"/>
        <w:ind w:left="1440" w:hanging="720"/>
        <w:rPr>
          <w:rFonts w:cs="Times New Roman"/>
          <w:color w:val="000000"/>
        </w:rPr>
      </w:pPr>
      <w:r>
        <w:rPr>
          <w:color w:val="000000"/>
        </w:rPr>
        <w:t>Ifølge punkt 32 i retningslinjerne bør det i tilfælde af overtagelser af en virksomhed "</w:t>
      </w:r>
      <w:r>
        <w:rPr>
          <w:i/>
          <w:color w:val="000000"/>
        </w:rPr>
        <w:t>i princippet kun være udgifterne til køb af aktiverne fra en tredjepart uden tilknytning til køberen, som medregnes. Hvis den oprindelige ejers familie eller en medarbejder overtager en lille virksomhed, gælder betingelsen om, at aktiverne skal købes af en tredjepart uden tilknytning til køberen, imidlertid ikke. Transaktionen skal gennemføres på markedsvilkår. Hvis overtagelsen af en virksomheds aktiver ledsages af en supplerende investering, der er berettiget til regionalstøtte, skal de støtteberettigede omkostninger, der er knyttet til denne supplerende investering, lægges til omkostningerne ved erhvervelse af virksomhedens aktiver.</w:t>
      </w:r>
      <w:r>
        <w:rPr>
          <w:color w:val="000000"/>
        </w:rPr>
        <w:t xml:space="preserve">" </w:t>
      </w:r>
    </w:p>
    <w:p w14:paraId="70A68FF7" w14:textId="77777777" w:rsidR="00CB4B02" w:rsidRDefault="00561589" w:rsidP="00D23668">
      <w:pPr>
        <w:pStyle w:val="NumPar3"/>
        <w:ind w:left="1418"/>
      </w:pPr>
      <w:r>
        <w:t xml:space="preserve">Hvis det er relevant i den anmeldte ordning, henvis da til </w:t>
      </w:r>
      <w:r>
        <w:rPr>
          <w:color w:val="000000"/>
        </w:rPr>
        <w:t>de bestemmelser i retsgrundlaget, hvori det fastsættes, at</w:t>
      </w:r>
      <w:r>
        <w:t xml:space="preserve"> ovennævnte betingelser skal være opfyldt: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03078D82" w14:textId="77777777" w:rsidTr="00301359">
        <w:tc>
          <w:tcPr>
            <w:tcW w:w="7682" w:type="dxa"/>
            <w:shd w:val="clear" w:color="auto" w:fill="auto"/>
          </w:tcPr>
          <w:p w14:paraId="40EDEF71" w14:textId="77777777" w:rsidR="00CB4B02" w:rsidRPr="00375CB7" w:rsidRDefault="00D23668" w:rsidP="00D23668">
            <w:r>
              <w:t>…</w:t>
            </w:r>
          </w:p>
        </w:tc>
      </w:tr>
    </w:tbl>
    <w:p w14:paraId="53CC6454" w14:textId="01F9901F" w:rsidR="005936C8" w:rsidRPr="00E158B9" w:rsidRDefault="0026392F" w:rsidP="00B209F9">
      <w:pPr>
        <w:pStyle w:val="NumPar3"/>
        <w:numPr>
          <w:ilvl w:val="2"/>
          <w:numId w:val="2"/>
        </w:numPr>
        <w:spacing w:before="240"/>
        <w:ind w:left="1440" w:hanging="720"/>
        <w:rPr>
          <w:rFonts w:cs="Times New Roman"/>
          <w:color w:val="000000"/>
        </w:rPr>
      </w:pPr>
      <w:r>
        <w:rPr>
          <w:color w:val="000000"/>
        </w:rPr>
        <w:t>Hvis de støtteberettigede omkostninger i ordningen vedrører immaterielle aktiver (punkt 19, nr. 15), i retningslinjerne): Angiv, om værdien af investeringen beregnes på grundlag af udgifterne til teknologioverførsel gennem erhvervelse af patentrettigheder, licenser, knowhow eller anden intellektuel ejendom:</w:t>
      </w:r>
    </w:p>
    <w:p w14:paraId="6331DBE2" w14:textId="273FD7CB"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1336BC">
        <w:rPr>
          <w:rFonts w:cs="Times New Roman"/>
        </w:rPr>
      </w:r>
      <w:r w:rsidR="001336BC">
        <w:rPr>
          <w:rFonts w:cs="Times New Roman"/>
        </w:rPr>
        <w:fldChar w:fldCharType="separate"/>
      </w:r>
      <w:r>
        <w:rPr>
          <w:rFonts w:cs="Times New Roman"/>
        </w:rPr>
        <w:fldChar w:fldCharType="end"/>
      </w:r>
      <w:r>
        <w:tab/>
        <w:t>patentrettigheder</w:t>
      </w:r>
    </w:p>
    <w:p w14:paraId="0ACD5721" w14:textId="5746465C"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1336BC">
        <w:rPr>
          <w:rFonts w:cs="Times New Roman"/>
        </w:rPr>
      </w:r>
      <w:r w:rsidR="001336BC">
        <w:rPr>
          <w:rFonts w:cs="Times New Roman"/>
        </w:rPr>
        <w:fldChar w:fldCharType="separate"/>
      </w:r>
      <w:r>
        <w:rPr>
          <w:rFonts w:cs="Times New Roman"/>
        </w:rPr>
        <w:fldChar w:fldCharType="end"/>
      </w:r>
      <w:r>
        <w:tab/>
        <w:t>licenser</w:t>
      </w:r>
    </w:p>
    <w:p w14:paraId="0294414B" w14:textId="3E06196E" w:rsidR="005936C8"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1336BC">
        <w:rPr>
          <w:rFonts w:cs="Times New Roman"/>
        </w:rPr>
      </w:r>
      <w:r w:rsidR="001336BC">
        <w:rPr>
          <w:rFonts w:cs="Times New Roman"/>
        </w:rPr>
        <w:fldChar w:fldCharType="separate"/>
      </w:r>
      <w:r>
        <w:rPr>
          <w:rFonts w:cs="Times New Roman"/>
        </w:rPr>
        <w:fldChar w:fldCharType="end"/>
      </w:r>
      <w:r>
        <w:tab/>
        <w:t>knowhow</w:t>
      </w:r>
    </w:p>
    <w:p w14:paraId="0C99857C" w14:textId="0B0A5AEB"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1336BC">
        <w:rPr>
          <w:rFonts w:cs="Times New Roman"/>
        </w:rPr>
      </w:r>
      <w:r w:rsidR="001336BC">
        <w:rPr>
          <w:rFonts w:cs="Times New Roman"/>
        </w:rPr>
        <w:fldChar w:fldCharType="separate"/>
      </w:r>
      <w:r>
        <w:rPr>
          <w:rFonts w:cs="Times New Roman"/>
        </w:rPr>
        <w:fldChar w:fldCharType="end"/>
      </w:r>
      <w:r>
        <w:tab/>
        <w:t>anden intellektuel ejendom</w:t>
      </w:r>
    </w:p>
    <w:p w14:paraId="78A2921B" w14:textId="5E1AB8D8" w:rsidR="005936C8" w:rsidRDefault="005936C8" w:rsidP="00D23668">
      <w:pPr>
        <w:pStyle w:val="Text2"/>
        <w:spacing w:before="120" w:after="120"/>
        <w:ind w:left="1418"/>
        <w:rPr>
          <w:rFonts w:cs="Times New Roman"/>
        </w:rPr>
      </w:pPr>
      <w:r>
        <w:t>Henvis til de relevante bestemmelser i retsgrundlaget: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20082E59" w14:textId="77777777" w:rsidTr="00301359">
        <w:tc>
          <w:tcPr>
            <w:tcW w:w="7682" w:type="dxa"/>
            <w:shd w:val="clear" w:color="auto" w:fill="auto"/>
          </w:tcPr>
          <w:p w14:paraId="0FCBFF27" w14:textId="77777777" w:rsidR="00CB4B02" w:rsidRPr="00375CB7" w:rsidRDefault="00D23668" w:rsidP="00D23668">
            <w:r>
              <w:t>..</w:t>
            </w:r>
          </w:p>
        </w:tc>
      </w:tr>
    </w:tbl>
    <w:p w14:paraId="74E6C221" w14:textId="77777777" w:rsidR="005936C8" w:rsidRPr="00E158B9" w:rsidRDefault="0026392F" w:rsidP="00B209F9">
      <w:pPr>
        <w:pStyle w:val="NumPar3"/>
        <w:numPr>
          <w:ilvl w:val="2"/>
          <w:numId w:val="2"/>
        </w:numPr>
        <w:spacing w:before="240"/>
        <w:ind w:left="1440" w:hanging="720"/>
        <w:rPr>
          <w:rFonts w:cs="Times New Roman"/>
          <w:color w:val="000000"/>
        </w:rPr>
      </w:pPr>
      <w:r>
        <w:rPr>
          <w:color w:val="000000"/>
        </w:rPr>
        <w:t>Henvis til de relevante bestemmelser i retsgrundlaget, hvori det fastsættes, at det for store virksomheder gælder, at udgifterne til støtteberettigede immaterielle investeringer ikke må overstige 50 % af projektets samlede støtteberettigede omkostninger (punkt 33 i retningslinjerne):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7B94CC15" w14:textId="77777777" w:rsidTr="00301359">
        <w:tc>
          <w:tcPr>
            <w:tcW w:w="7682" w:type="dxa"/>
            <w:shd w:val="clear" w:color="auto" w:fill="auto"/>
          </w:tcPr>
          <w:p w14:paraId="53B255DC" w14:textId="77777777" w:rsidR="00CB4B02" w:rsidRPr="00375CB7" w:rsidRDefault="00D23668" w:rsidP="00D23668">
            <w:r>
              <w:t>…</w:t>
            </w:r>
          </w:p>
        </w:tc>
      </w:tr>
    </w:tbl>
    <w:p w14:paraId="166648CD" w14:textId="77777777" w:rsidR="00561589" w:rsidRPr="00E158B9" w:rsidRDefault="00D71B37" w:rsidP="00B209F9">
      <w:pPr>
        <w:pStyle w:val="NumPar3"/>
        <w:numPr>
          <w:ilvl w:val="2"/>
          <w:numId w:val="2"/>
        </w:numPr>
        <w:spacing w:before="240"/>
        <w:ind w:left="1440" w:hanging="720"/>
        <w:rPr>
          <w:rFonts w:cs="Times New Roman"/>
          <w:color w:val="000000"/>
        </w:rPr>
      </w:pPr>
      <w:r>
        <w:rPr>
          <w:color w:val="000000"/>
        </w:rPr>
        <w:lastRenderedPageBreak/>
        <w:t>Henvis til de relevante bestemmelser i retsgrundlaget, hvori det fastsættes, at betingelserne i punkt 34 i retningslinjerne</w:t>
      </w:r>
      <w:r>
        <w:rPr>
          <w:rFonts w:cs="Times New Roman"/>
          <w:color w:val="000000"/>
          <w:vertAlign w:val="superscript"/>
        </w:rPr>
        <w:footnoteReference w:id="19"/>
      </w:r>
      <w:r>
        <w:rPr>
          <w:color w:val="000000"/>
        </w:rPr>
        <w:t xml:space="preserve"> skal være opfyldt: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1B37" w:rsidRPr="00375CB7" w14:paraId="4137F5F2" w14:textId="77777777" w:rsidTr="00301359">
        <w:tc>
          <w:tcPr>
            <w:tcW w:w="7682" w:type="dxa"/>
            <w:shd w:val="clear" w:color="auto" w:fill="auto"/>
          </w:tcPr>
          <w:p w14:paraId="6D03AE05" w14:textId="77777777" w:rsidR="00D71B37" w:rsidRPr="00375CB7" w:rsidRDefault="00D23668" w:rsidP="00D23668">
            <w:r>
              <w:t>…</w:t>
            </w:r>
          </w:p>
        </w:tc>
      </w:tr>
    </w:tbl>
    <w:p w14:paraId="1AE30FC5" w14:textId="77777777" w:rsidR="005936C8" w:rsidRPr="00D23668" w:rsidRDefault="00561589" w:rsidP="00D23668">
      <w:pPr>
        <w:pStyle w:val="NormalKop11"/>
        <w:rPr>
          <w:b/>
        </w:rPr>
      </w:pPr>
      <w:r>
        <w:rPr>
          <w:b/>
        </w:rPr>
        <w:t>Støtteberettigede omkostninger beregnet på basis af lønomkostninger</w:t>
      </w:r>
    </w:p>
    <w:p w14:paraId="13E0BDA7" w14:textId="77777777" w:rsidR="00F330CB" w:rsidRPr="008C2DA8" w:rsidRDefault="009E28B0" w:rsidP="001452D1">
      <w:pPr>
        <w:pStyle w:val="NumPar3"/>
        <w:numPr>
          <w:ilvl w:val="2"/>
          <w:numId w:val="2"/>
        </w:numPr>
        <w:spacing w:before="240"/>
        <w:ind w:left="1418" w:hanging="698"/>
      </w:pPr>
      <w:r>
        <w:t>Henvis til de relevante bestemmelser i retsgrundlaget, hvori det fastsættes, hvordan støtteberettigede omkostninger beregnet på basis af lønomkostninger skal fastlægges (punkt 35 i retningslinjerne), hvordan antallet af skabte arbejdspladser skal beregnes under henvisning til punkt 19, nr. 16), i retningslinjerne, og hvordan lønomkostningerne til nyansatte skal fastlægges under henvisning til punkt 19, nr. 33), i retningslinjerne: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2DA8" w:rsidRPr="00375CB7" w14:paraId="1E17F4D2" w14:textId="77777777" w:rsidTr="00301359">
        <w:tc>
          <w:tcPr>
            <w:tcW w:w="7682" w:type="dxa"/>
            <w:shd w:val="clear" w:color="auto" w:fill="auto"/>
          </w:tcPr>
          <w:p w14:paraId="2FD87547" w14:textId="77777777" w:rsidR="008C2DA8" w:rsidRPr="00375CB7" w:rsidRDefault="00D23668" w:rsidP="00D23668">
            <w:r>
              <w:t>…</w:t>
            </w:r>
          </w:p>
        </w:tc>
      </w:tr>
    </w:tbl>
    <w:p w14:paraId="1817CF78" w14:textId="77777777" w:rsidR="003051A1" w:rsidRPr="00D23668" w:rsidRDefault="003051A1" w:rsidP="00D23668">
      <w:pPr>
        <w:pStyle w:val="NormalKop11"/>
        <w:rPr>
          <w:b/>
        </w:rPr>
      </w:pPr>
      <w:r>
        <w:rPr>
          <w:b/>
        </w:rPr>
        <w:t>Beregning af tilbagediskonterede støtteberettigede omkostninger</w:t>
      </w:r>
    </w:p>
    <w:p w14:paraId="647EE464" w14:textId="77777777" w:rsidR="00E538B5" w:rsidRPr="00CB4B02" w:rsidRDefault="00E538B5" w:rsidP="00B209F9">
      <w:pPr>
        <w:pStyle w:val="NumPar3"/>
        <w:numPr>
          <w:ilvl w:val="2"/>
          <w:numId w:val="2"/>
        </w:numPr>
        <w:spacing w:before="240"/>
        <w:rPr>
          <w:rFonts w:cs="Times New Roman"/>
        </w:rPr>
      </w:pPr>
      <w:r>
        <w:t>Oplys, hvilke former for støtte der kan ydes under ordningen:</w:t>
      </w:r>
    </w:p>
    <w:p w14:paraId="730CBA33" w14:textId="274EA790" w:rsidR="004D4421" w:rsidRDefault="00E538B5" w:rsidP="00D23668">
      <w:pPr>
        <w:pStyle w:val="Text2"/>
        <w:spacing w:before="12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1336BC">
        <w:rPr>
          <w:rFonts w:cs="Times New Roman"/>
        </w:rPr>
      </w:r>
      <w:r w:rsidR="001336BC">
        <w:rPr>
          <w:rFonts w:cs="Times New Roman"/>
        </w:rPr>
        <w:fldChar w:fldCharType="separate"/>
      </w:r>
      <w:r>
        <w:rPr>
          <w:rFonts w:cs="Times New Roman"/>
        </w:rPr>
        <w:fldChar w:fldCharType="end"/>
      </w:r>
      <w:r>
        <w:tab/>
        <w:t>Tilskud. Henvis til de relevante bestemmelser i retsgrundlaget:</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0596C3E" w14:textId="77777777" w:rsidTr="00301359">
        <w:tc>
          <w:tcPr>
            <w:tcW w:w="7115" w:type="dxa"/>
            <w:shd w:val="clear" w:color="auto" w:fill="auto"/>
          </w:tcPr>
          <w:p w14:paraId="4A50299E" w14:textId="77777777" w:rsidR="004D4421" w:rsidRPr="00375CB7" w:rsidRDefault="00D23668" w:rsidP="00D23668">
            <w:r>
              <w:t xml:space="preserve">… </w:t>
            </w:r>
          </w:p>
        </w:tc>
      </w:tr>
    </w:tbl>
    <w:p w14:paraId="019A31D6" w14:textId="0F7F1003"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1336BC">
        <w:rPr>
          <w:rFonts w:cs="Times New Roman"/>
        </w:rPr>
      </w:r>
      <w:r w:rsidR="001336BC">
        <w:rPr>
          <w:rFonts w:cs="Times New Roman"/>
        </w:rPr>
        <w:fldChar w:fldCharType="separate"/>
      </w:r>
      <w:r>
        <w:rPr>
          <w:rFonts w:cs="Times New Roman"/>
        </w:rPr>
        <w:fldChar w:fldCharType="end"/>
      </w:r>
      <w:r>
        <w:tab/>
        <w:t>Lån. Oplys, hvordan subventionsækvivalenten beregnes, og henvis til de relevante bestemmelser i retsgrundlaget:</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46C30F2A" w14:textId="77777777" w:rsidTr="00301359">
        <w:tc>
          <w:tcPr>
            <w:tcW w:w="7115" w:type="dxa"/>
            <w:shd w:val="clear" w:color="auto" w:fill="auto"/>
          </w:tcPr>
          <w:p w14:paraId="137691C6" w14:textId="77777777" w:rsidR="004D4421" w:rsidRPr="00375CB7" w:rsidRDefault="00D23668" w:rsidP="00D23668">
            <w:r>
              <w:t xml:space="preserve">… </w:t>
            </w:r>
          </w:p>
        </w:tc>
      </w:tr>
    </w:tbl>
    <w:p w14:paraId="4429A030" w14:textId="18960E9F"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1336BC">
        <w:rPr>
          <w:rFonts w:cs="Times New Roman"/>
        </w:rPr>
      </w:r>
      <w:r w:rsidR="001336BC">
        <w:rPr>
          <w:rFonts w:cs="Times New Roman"/>
        </w:rPr>
        <w:fldChar w:fldCharType="separate"/>
      </w:r>
      <w:r>
        <w:rPr>
          <w:rFonts w:cs="Times New Roman"/>
        </w:rPr>
        <w:fldChar w:fldCharType="end"/>
      </w:r>
      <w:r>
        <w:tab/>
        <w:t>Sikkerhedsstillelse. Oplys, hvordan subventionsækvivalenten beregnes, og henvis til de relevante bestemmelser i retsgrundlaget:</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D2319B3" w14:textId="77777777" w:rsidTr="00301359">
        <w:tc>
          <w:tcPr>
            <w:tcW w:w="7115" w:type="dxa"/>
            <w:shd w:val="clear" w:color="auto" w:fill="auto"/>
          </w:tcPr>
          <w:p w14:paraId="0BF33ACA" w14:textId="77777777" w:rsidR="004D4421" w:rsidRPr="00375CB7" w:rsidRDefault="00D23668" w:rsidP="00D23668">
            <w:r>
              <w:t>…</w:t>
            </w:r>
          </w:p>
        </w:tc>
      </w:tr>
    </w:tbl>
    <w:p w14:paraId="169D91FD" w14:textId="4FBBA0D5"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1336BC">
        <w:rPr>
          <w:rFonts w:cs="Times New Roman"/>
        </w:rPr>
      </w:r>
      <w:r w:rsidR="001336BC">
        <w:rPr>
          <w:rFonts w:cs="Times New Roman"/>
        </w:rPr>
        <w:fldChar w:fldCharType="separate"/>
      </w:r>
      <w:r>
        <w:rPr>
          <w:rFonts w:cs="Times New Roman"/>
        </w:rPr>
        <w:fldChar w:fldCharType="end"/>
      </w:r>
      <w:r>
        <w:tab/>
        <w:t>Skattefordele. Oplys, hvilken type foranstaltninger der er tale om, og hvordan subventionsækvivalenten beregnes. Henvis også til de relevante bestemmelser i retsgrundlaget:</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48B25A0B" w14:textId="77777777" w:rsidTr="00E538B5">
        <w:tc>
          <w:tcPr>
            <w:tcW w:w="7115" w:type="dxa"/>
            <w:shd w:val="clear" w:color="auto" w:fill="auto"/>
          </w:tcPr>
          <w:p w14:paraId="35F665F6" w14:textId="77777777" w:rsidR="00E538B5" w:rsidRPr="00375CB7" w:rsidRDefault="00D23668" w:rsidP="00D23668">
            <w:r>
              <w:t>…</w:t>
            </w:r>
          </w:p>
        </w:tc>
      </w:tr>
    </w:tbl>
    <w:p w14:paraId="7D35435D" w14:textId="6C15F89F"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1336BC">
        <w:rPr>
          <w:rFonts w:cs="Times New Roman"/>
        </w:rPr>
      </w:r>
      <w:r w:rsidR="001336BC">
        <w:rPr>
          <w:rFonts w:cs="Times New Roman"/>
        </w:rPr>
        <w:fldChar w:fldCharType="separate"/>
      </w:r>
      <w:r>
        <w:rPr>
          <w:rFonts w:cs="Times New Roman"/>
        </w:rPr>
        <w:fldChar w:fldCharType="end"/>
      </w:r>
      <w:r>
        <w:tab/>
        <w:t>Andet. Angiv nærmere og oplys, hvordan subventionsækvivalenten beregnes. Henvis også til de relevante bestemmelser i retsgrundlaget:</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136A7651" w14:textId="77777777" w:rsidTr="00301359">
        <w:tc>
          <w:tcPr>
            <w:tcW w:w="7115" w:type="dxa"/>
            <w:shd w:val="clear" w:color="auto" w:fill="auto"/>
          </w:tcPr>
          <w:p w14:paraId="7F665226" w14:textId="77777777" w:rsidR="00E538B5" w:rsidRPr="00375CB7" w:rsidRDefault="00D23668" w:rsidP="00D23668">
            <w:r>
              <w:t>….</w:t>
            </w:r>
          </w:p>
        </w:tc>
      </w:tr>
    </w:tbl>
    <w:p w14:paraId="7649B44D" w14:textId="38D7032F" w:rsidR="003051A1" w:rsidRPr="008F2050" w:rsidRDefault="00D8604B" w:rsidP="00B209F9">
      <w:pPr>
        <w:pStyle w:val="NumPar3"/>
        <w:numPr>
          <w:ilvl w:val="2"/>
          <w:numId w:val="2"/>
        </w:numPr>
        <w:spacing w:before="240"/>
        <w:ind w:left="1440" w:hanging="720"/>
        <w:rPr>
          <w:rFonts w:cs="Times New Roman"/>
        </w:rPr>
      </w:pPr>
      <w:r>
        <w:lastRenderedPageBreak/>
        <w:t>Angiv, om støtteordningen er berettiget til medfinansiering fra nogen af de EU-fonde, der gennemføres under delt forvaltning ("fondene"). Angiv i så fald det program, fra hvilket der kan bevilges midler. Angiv også beløbet på den pågældende bevilling fra fondene, hvis det kendes på nuværende tidspunkt: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2967D245" w14:textId="77777777" w:rsidTr="007965FE">
        <w:tc>
          <w:tcPr>
            <w:tcW w:w="7682" w:type="dxa"/>
            <w:tcBorders>
              <w:top w:val="dotted" w:sz="4" w:space="0" w:color="auto"/>
              <w:left w:val="dotted" w:sz="4" w:space="0" w:color="auto"/>
              <w:bottom w:val="dotted" w:sz="4" w:space="0" w:color="auto"/>
              <w:right w:val="dotted" w:sz="4" w:space="0" w:color="auto"/>
            </w:tcBorders>
          </w:tcPr>
          <w:p w14:paraId="0496D4A1" w14:textId="77777777" w:rsidR="003051A1" w:rsidRDefault="003051A1" w:rsidP="006B5082">
            <w:r>
              <w:t>…</w:t>
            </w:r>
          </w:p>
        </w:tc>
      </w:tr>
    </w:tbl>
    <w:p w14:paraId="0EFA7A3C" w14:textId="2BA1F8C5" w:rsidR="00795E9C" w:rsidRDefault="00795E9C" w:rsidP="00B209F9">
      <w:pPr>
        <w:pStyle w:val="NumPar3"/>
        <w:numPr>
          <w:ilvl w:val="2"/>
          <w:numId w:val="2"/>
        </w:numPr>
        <w:spacing w:before="240"/>
        <w:ind w:left="1440" w:hanging="720"/>
      </w:pPr>
      <w:r>
        <w:t xml:space="preserve">Henvis til de relevante bestemmelser i retsgrundlaget, hvori det fastsættes, at den støtteydende myndighed før ydelse af individuel støtte under den anmeldte støtteordning skal fastslå, om modtageren (på koncernniveau) modtog støtte til en (eller flere) initialinvestering(er) påbegyndt i samme NUTS 3-region inden for tre år før investeringsprojektets påbegyndelse: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5E9C" w14:paraId="5FDA9C03" w14:textId="77777777" w:rsidTr="007965FE">
        <w:tc>
          <w:tcPr>
            <w:tcW w:w="7682" w:type="dxa"/>
            <w:tcBorders>
              <w:top w:val="dotted" w:sz="4" w:space="0" w:color="auto"/>
              <w:left w:val="dotted" w:sz="4" w:space="0" w:color="auto"/>
              <w:bottom w:val="dotted" w:sz="4" w:space="0" w:color="auto"/>
              <w:right w:val="dotted" w:sz="4" w:space="0" w:color="auto"/>
            </w:tcBorders>
          </w:tcPr>
          <w:p w14:paraId="3A30091E" w14:textId="77777777" w:rsidR="00795E9C" w:rsidRDefault="00795E9C" w:rsidP="00301359">
            <w:r>
              <w:t>…</w:t>
            </w:r>
          </w:p>
        </w:tc>
      </w:tr>
    </w:tbl>
    <w:p w14:paraId="60A0104E" w14:textId="3C9E754A" w:rsidR="003051A1" w:rsidRPr="00DF5193" w:rsidRDefault="003051A1" w:rsidP="00B209F9">
      <w:pPr>
        <w:pStyle w:val="NumPar3"/>
        <w:numPr>
          <w:ilvl w:val="2"/>
          <w:numId w:val="2"/>
        </w:numPr>
        <w:spacing w:before="240"/>
        <w:ind w:left="1440" w:hanging="720"/>
        <w:rPr>
          <w:rFonts w:cs="Times New Roman"/>
        </w:rPr>
      </w:pPr>
      <w:r>
        <w:t>Henvis til de relevante bestemmelser i retsgrundlaget, hvori det fastsættes, at det samlede støttebeløb, der vil blive ydet i henhold til ordningen til et initialinvesteringsprojekt, ikke overstiger det beløb, der følger af den "maksimale støtteintensitet" (som defineret i punkt 19, nr. 19), i retningslinjerne), idet der tages hensyn til den øgede støtteintensitet for SMV'er (som fastlagt i punkt 186 i retningslinjerne) eller det "justerede støttebeløb" (som defineret i punkt 19, nr. 3), i retningslinjerne), hvor det er relevant: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1399C3A2" w14:textId="77777777" w:rsidTr="007965FE">
        <w:tc>
          <w:tcPr>
            <w:tcW w:w="7682" w:type="dxa"/>
            <w:tcBorders>
              <w:top w:val="dotted" w:sz="4" w:space="0" w:color="auto"/>
              <w:left w:val="dotted" w:sz="4" w:space="0" w:color="auto"/>
              <w:bottom w:val="dotted" w:sz="4" w:space="0" w:color="auto"/>
              <w:right w:val="dotted" w:sz="4" w:space="0" w:color="auto"/>
            </w:tcBorders>
          </w:tcPr>
          <w:p w14:paraId="779E6BC8" w14:textId="77777777" w:rsidR="003051A1" w:rsidRDefault="003051A1" w:rsidP="006B5082">
            <w:r>
              <w:t>…</w:t>
            </w:r>
          </w:p>
        </w:tc>
      </w:tr>
    </w:tbl>
    <w:p w14:paraId="0CF2C797" w14:textId="77777777" w:rsidR="003051A1" w:rsidRDefault="00C0176B" w:rsidP="00B209F9">
      <w:pPr>
        <w:pStyle w:val="NumPar3"/>
        <w:numPr>
          <w:ilvl w:val="2"/>
          <w:numId w:val="2"/>
        </w:numPr>
        <w:spacing w:before="240"/>
        <w:ind w:left="1440" w:hanging="720"/>
        <w:rPr>
          <w:rFonts w:cs="Times New Roman"/>
        </w:rPr>
      </w:pPr>
      <w:r>
        <w:t>Henvis til de relevante bestemmelser i retsgrundlaget, hvori det fastsættes, at når der ydes individuel støtte i henhold til flere regionalstøtteordninger eller i kumulation med ad hoc-støtte, beregnes den maksimalt tilladte støtteintensitet, der kan ydes til projektet, på forhånd af den første støtteydende myndighed (punkt 99 i retningslinjerne):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0176B" w14:paraId="16F0260B" w14:textId="77777777" w:rsidTr="007965FE">
        <w:tc>
          <w:tcPr>
            <w:tcW w:w="7682" w:type="dxa"/>
            <w:tcBorders>
              <w:top w:val="dotted" w:sz="4" w:space="0" w:color="auto"/>
              <w:left w:val="dotted" w:sz="4" w:space="0" w:color="auto"/>
              <w:bottom w:val="dotted" w:sz="4" w:space="0" w:color="auto"/>
              <w:right w:val="dotted" w:sz="4" w:space="0" w:color="auto"/>
            </w:tcBorders>
          </w:tcPr>
          <w:p w14:paraId="58DFA600" w14:textId="77777777" w:rsidR="00C0176B" w:rsidRDefault="00C0176B" w:rsidP="006B5082">
            <w:r>
              <w:t>…</w:t>
            </w:r>
          </w:p>
        </w:tc>
      </w:tr>
    </w:tbl>
    <w:p w14:paraId="15F037E2" w14:textId="77777777" w:rsidR="003051A1" w:rsidRPr="00861401" w:rsidRDefault="00D6618A" w:rsidP="00B209F9">
      <w:pPr>
        <w:pStyle w:val="NumPar3"/>
        <w:numPr>
          <w:ilvl w:val="2"/>
          <w:numId w:val="2"/>
        </w:numPr>
        <w:spacing w:before="240"/>
        <w:ind w:left="1440" w:hanging="720"/>
        <w:rPr>
          <w:rFonts w:cs="Times New Roman"/>
        </w:rPr>
      </w:pPr>
      <w:r>
        <w:t xml:space="preserve">Hvis støtteordningen muliggør støtte til initialinvesteringer knyttet til projekter under det europæiske territoriale samarbejde (ETS-projekter): Henvis til de relevante bestemmelser i retsgrundlaget, hvori det fastsættes (med henvisning til bestemmelserne i punkt 100 i retningslinjerne), hvordan den maksimalt tilladte støtteintensitet for projektet og de forskellige involverede støttemodtagere beregnes: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030B75F0" w14:textId="77777777" w:rsidTr="007965FE">
        <w:tc>
          <w:tcPr>
            <w:tcW w:w="7682" w:type="dxa"/>
            <w:tcBorders>
              <w:top w:val="dotted" w:sz="4" w:space="0" w:color="auto"/>
              <w:left w:val="dotted" w:sz="4" w:space="0" w:color="auto"/>
              <w:bottom w:val="dotted" w:sz="4" w:space="0" w:color="auto"/>
              <w:right w:val="dotted" w:sz="4" w:space="0" w:color="auto"/>
            </w:tcBorders>
          </w:tcPr>
          <w:p w14:paraId="3B9CA24F" w14:textId="77777777" w:rsidR="003051A1" w:rsidRDefault="003051A1" w:rsidP="006B5082">
            <w:r>
              <w:t>…</w:t>
            </w:r>
          </w:p>
        </w:tc>
      </w:tr>
    </w:tbl>
    <w:p w14:paraId="69B8255E" w14:textId="77777777" w:rsidR="00607A3B" w:rsidRDefault="00607A3B" w:rsidP="008C3BE6">
      <w:pPr>
        <w:pStyle w:val="NumPar3"/>
        <w:ind w:left="792"/>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39"/>
      </w:tblGrid>
      <w:tr w:rsidR="003051A1" w14:paraId="0666AF8B" w14:textId="77777777" w:rsidTr="003051A1">
        <w:trPr>
          <w:trHeight w:val="737"/>
        </w:trPr>
        <w:tc>
          <w:tcPr>
            <w:tcW w:w="9039" w:type="dxa"/>
            <w:tcBorders>
              <w:top w:val="single" w:sz="4" w:space="0" w:color="auto"/>
              <w:left w:val="single" w:sz="4" w:space="0" w:color="auto"/>
              <w:bottom w:val="single" w:sz="4" w:space="0" w:color="auto"/>
              <w:right w:val="single" w:sz="4" w:space="0" w:color="auto"/>
            </w:tcBorders>
            <w:shd w:val="pct15" w:color="auto" w:fill="FFFFFF"/>
          </w:tcPr>
          <w:p w14:paraId="587E754B" w14:textId="77777777" w:rsidR="003051A1" w:rsidRDefault="00607A3B" w:rsidP="00D10363">
            <w:pPr>
              <w:pStyle w:val="Heading1"/>
              <w:numPr>
                <w:ilvl w:val="0"/>
                <w:numId w:val="2"/>
              </w:numPr>
              <w:ind w:left="482" w:hanging="482"/>
              <w:rPr>
                <w:color w:val="000000"/>
              </w:rPr>
            </w:pPr>
            <w:r>
              <w:br w:type="page"/>
              <w:t>Forenelighedsvurdering af støtteordningen</w:t>
            </w:r>
          </w:p>
        </w:tc>
      </w:tr>
    </w:tbl>
    <w:p w14:paraId="2C690D30" w14:textId="77777777" w:rsidR="006D4360" w:rsidRPr="007965FE" w:rsidRDefault="006D4360" w:rsidP="007965FE">
      <w:pPr>
        <w:pStyle w:val="NormalKop11"/>
        <w:rPr>
          <w:b/>
        </w:rPr>
      </w:pPr>
      <w:r>
        <w:rPr>
          <w:b/>
        </w:rPr>
        <w:t>Bidrag til regionaludvikling, positive virkninger og behov for statslig indgriben</w:t>
      </w:r>
    </w:p>
    <w:p w14:paraId="552BABED" w14:textId="77777777" w:rsidR="006D4360" w:rsidRDefault="006D4360" w:rsidP="00B209F9">
      <w:pPr>
        <w:pStyle w:val="NumPar3"/>
        <w:numPr>
          <w:ilvl w:val="2"/>
          <w:numId w:val="2"/>
        </w:numPr>
        <w:spacing w:before="240"/>
        <w:ind w:left="1440" w:hanging="720"/>
      </w:pPr>
      <w:r>
        <w:t>Redegør for, hvordan ordningen stemmer overens med og bidrager til udviklingsstrategien for det pågældende område (punkt 44 i retningslinjerne):</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14254F" w14:paraId="59AEA527" w14:textId="77777777" w:rsidTr="007965FE">
        <w:tc>
          <w:tcPr>
            <w:tcW w:w="7399" w:type="dxa"/>
            <w:tcBorders>
              <w:top w:val="dotted" w:sz="4" w:space="0" w:color="auto"/>
              <w:left w:val="dotted" w:sz="4" w:space="0" w:color="auto"/>
              <w:bottom w:val="dotted" w:sz="4" w:space="0" w:color="auto"/>
              <w:right w:val="dotted" w:sz="4" w:space="0" w:color="auto"/>
            </w:tcBorders>
          </w:tcPr>
          <w:p w14:paraId="076F7380" w14:textId="77777777" w:rsidR="0014254F" w:rsidRDefault="0014254F" w:rsidP="006B5082">
            <w:r>
              <w:t>…</w:t>
            </w:r>
          </w:p>
        </w:tc>
      </w:tr>
    </w:tbl>
    <w:p w14:paraId="1C02B717" w14:textId="77777777" w:rsidR="006D4360" w:rsidRPr="008F14FA" w:rsidRDefault="00686623" w:rsidP="00B209F9">
      <w:pPr>
        <w:pStyle w:val="NumPar3"/>
        <w:numPr>
          <w:ilvl w:val="2"/>
          <w:numId w:val="2"/>
        </w:numPr>
        <w:spacing w:before="240"/>
        <w:ind w:left="1440" w:hanging="720"/>
        <w:rPr>
          <w:rFonts w:cs="Times New Roman"/>
        </w:rPr>
      </w:pPr>
      <w:r>
        <w:lastRenderedPageBreak/>
        <w:t>Henvis til de relevante bestemmelser i retsgrundlaget, hvori det kræves, at der udføres en miljøvirkningsvurdering (VVM) af de pågældende investeringer før ydelsen af støtte til individuelle projekter, når det kræves ifølge loven (punkt 49 i retningslinjerne):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4360" w14:paraId="6073DE24" w14:textId="77777777" w:rsidTr="007965FE">
        <w:tc>
          <w:tcPr>
            <w:tcW w:w="7682" w:type="dxa"/>
            <w:tcBorders>
              <w:top w:val="dotted" w:sz="4" w:space="0" w:color="auto"/>
              <w:left w:val="dotted" w:sz="4" w:space="0" w:color="auto"/>
              <w:bottom w:val="dotted" w:sz="4" w:space="0" w:color="auto"/>
              <w:right w:val="dotted" w:sz="4" w:space="0" w:color="auto"/>
            </w:tcBorders>
          </w:tcPr>
          <w:p w14:paraId="2F36B2BE" w14:textId="77777777" w:rsidR="006D4360" w:rsidRDefault="006D4360">
            <w:pPr>
              <w:tabs>
                <w:tab w:val="left" w:pos="720"/>
                <w:tab w:val="left" w:pos="1077"/>
                <w:tab w:val="left" w:pos="1440"/>
                <w:tab w:val="left" w:pos="1797"/>
              </w:tabs>
            </w:pPr>
            <w:r>
              <w:t>…</w:t>
            </w:r>
          </w:p>
        </w:tc>
      </w:tr>
    </w:tbl>
    <w:p w14:paraId="581DF0FB" w14:textId="77777777" w:rsidR="006D4360" w:rsidRPr="005A6804" w:rsidRDefault="00237959" w:rsidP="00B209F9">
      <w:pPr>
        <w:pStyle w:val="NumPar3"/>
        <w:numPr>
          <w:ilvl w:val="2"/>
          <w:numId w:val="2"/>
        </w:numPr>
        <w:spacing w:before="240"/>
        <w:ind w:left="1440" w:hanging="720"/>
        <w:rPr>
          <w:rFonts w:cs="Times New Roman"/>
        </w:rPr>
      </w:pPr>
      <w:r>
        <w:t>Redegør for, hvordan de støtteydende myndigheder prioriterer og udvælger investeringsprojekterne ifølge ordningens målsætninger (f.eks. med et formelt karaktergivningssystem) (punkt 44 i retningslinjerne). Henvis også til de relevante bestemmelser i retsgrundlaget eller andre relaterede administrative akter: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37959" w14:paraId="53EC60C8" w14:textId="77777777" w:rsidTr="007965FE">
        <w:tc>
          <w:tcPr>
            <w:tcW w:w="7682" w:type="dxa"/>
            <w:tcBorders>
              <w:top w:val="dotted" w:sz="4" w:space="0" w:color="auto"/>
              <w:left w:val="dotted" w:sz="4" w:space="0" w:color="auto"/>
              <w:bottom w:val="dotted" w:sz="4" w:space="0" w:color="auto"/>
              <w:right w:val="dotted" w:sz="4" w:space="0" w:color="auto"/>
            </w:tcBorders>
          </w:tcPr>
          <w:p w14:paraId="0FB2A83A" w14:textId="77777777" w:rsidR="00237959" w:rsidRDefault="00237959" w:rsidP="00301359">
            <w:pPr>
              <w:tabs>
                <w:tab w:val="left" w:pos="720"/>
                <w:tab w:val="left" w:pos="1077"/>
                <w:tab w:val="left" w:pos="1440"/>
                <w:tab w:val="left" w:pos="1797"/>
              </w:tabs>
            </w:pPr>
            <w:r>
              <w:t>…</w:t>
            </w:r>
          </w:p>
        </w:tc>
      </w:tr>
    </w:tbl>
    <w:p w14:paraId="2E49BCD6" w14:textId="77777777" w:rsidR="00184700" w:rsidRPr="00D72C71" w:rsidRDefault="005A6804" w:rsidP="00B209F9">
      <w:pPr>
        <w:pStyle w:val="NumPar3"/>
        <w:numPr>
          <w:ilvl w:val="2"/>
          <w:numId w:val="2"/>
        </w:numPr>
        <w:spacing w:before="240"/>
        <w:ind w:left="1440" w:hanging="720"/>
        <w:rPr>
          <w:rFonts w:cs="Times New Roman"/>
        </w:rPr>
      </w:pPr>
      <w:r>
        <w:t>Redegør for, hvordan den støtteydende myndighed ved ydelsen af støtte til individuelle investeringsprojekter inden for rammerne af den anmeldte støtteordning vil fastslå, at det udvalgte projekt bidrager til realisering af ordningens mål og dermed fremmer udviklingsstrategien for det pågældende område (punkt 46 i retningslinjerne):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2C71" w14:paraId="302F8A80" w14:textId="77777777" w:rsidTr="007965FE">
        <w:tc>
          <w:tcPr>
            <w:tcW w:w="7682" w:type="dxa"/>
            <w:tcBorders>
              <w:top w:val="dotted" w:sz="4" w:space="0" w:color="auto"/>
              <w:left w:val="dotted" w:sz="4" w:space="0" w:color="auto"/>
              <w:bottom w:val="dotted" w:sz="4" w:space="0" w:color="auto"/>
              <w:right w:val="dotted" w:sz="4" w:space="0" w:color="auto"/>
            </w:tcBorders>
          </w:tcPr>
          <w:p w14:paraId="5DDE31F6" w14:textId="77777777" w:rsidR="00D72C71" w:rsidRDefault="00D72C71" w:rsidP="00301359">
            <w:pPr>
              <w:tabs>
                <w:tab w:val="left" w:pos="720"/>
                <w:tab w:val="left" w:pos="1077"/>
                <w:tab w:val="left" w:pos="1440"/>
                <w:tab w:val="left" w:pos="1797"/>
              </w:tabs>
            </w:pPr>
            <w:r>
              <w:t>…</w:t>
            </w:r>
          </w:p>
        </w:tc>
      </w:tr>
    </w:tbl>
    <w:p w14:paraId="2AE12C10" w14:textId="77777777" w:rsidR="00184700" w:rsidRPr="00D72C71" w:rsidRDefault="00184700" w:rsidP="00B209F9">
      <w:pPr>
        <w:pStyle w:val="NumPar3"/>
        <w:numPr>
          <w:ilvl w:val="2"/>
          <w:numId w:val="2"/>
        </w:numPr>
        <w:spacing w:before="240"/>
        <w:ind w:left="1440" w:hanging="720"/>
        <w:rPr>
          <w:rFonts w:cs="Times New Roman"/>
        </w:rPr>
      </w:pPr>
      <w:r>
        <w:t>Redegør for, hvordan bestemmelsen om, at enhver investering, der støttes under den anmeldte støtteordning, skal opretholdes i det pågældende område i mindst fem år (tre år for SMV'er) efter dens afslutning, gennemføres (punkt 47 i retningslinjerne). Henvis til de relevante bestemmelser i retsgrundlaget: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6F1D89AA" w14:textId="77777777" w:rsidTr="007965FE">
        <w:tc>
          <w:tcPr>
            <w:tcW w:w="7682" w:type="dxa"/>
            <w:tcBorders>
              <w:top w:val="dotted" w:sz="4" w:space="0" w:color="auto"/>
              <w:left w:val="dotted" w:sz="4" w:space="0" w:color="auto"/>
              <w:bottom w:val="dotted" w:sz="4" w:space="0" w:color="auto"/>
              <w:right w:val="dotted" w:sz="4" w:space="0" w:color="auto"/>
            </w:tcBorders>
          </w:tcPr>
          <w:p w14:paraId="1B643A4E" w14:textId="77777777" w:rsidR="00184700" w:rsidRDefault="00184700">
            <w:pPr>
              <w:tabs>
                <w:tab w:val="left" w:pos="720"/>
                <w:tab w:val="left" w:pos="1077"/>
                <w:tab w:val="left" w:pos="1440"/>
                <w:tab w:val="left" w:pos="1797"/>
              </w:tabs>
            </w:pPr>
            <w:r>
              <w:t>…</w:t>
            </w:r>
          </w:p>
        </w:tc>
      </w:tr>
    </w:tbl>
    <w:p w14:paraId="5B373BF6" w14:textId="77777777" w:rsidR="00184700" w:rsidRPr="00D72C71" w:rsidRDefault="00184700" w:rsidP="00B209F9">
      <w:pPr>
        <w:pStyle w:val="NumPar3"/>
        <w:numPr>
          <w:ilvl w:val="2"/>
          <w:numId w:val="2"/>
        </w:numPr>
        <w:spacing w:before="240"/>
        <w:ind w:left="1440" w:hanging="720"/>
        <w:rPr>
          <w:rFonts w:cs="Times New Roman"/>
        </w:rPr>
      </w:pPr>
      <w:r>
        <w:t>Hvis støtten under den anmeldte støtteordning beregnes på grundlag af lønomkostninger: Redegør for, hvordan bestemmelsen om, at der skal oprettes arbejdspladser inden tre år efter investeringens afslutning, og at hver arbejdsplads, der er oprettet i kraft af den pågældende investering, skal opretholdes i området i fem år (tre år for SMV'er) fra besættelsen af den første stilling, bliver overholdt (punkt 36 i retningslinjerne). Henvis til den relevante bestemmelse i retsgrundlaget: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4A3CEE44" w14:textId="77777777" w:rsidTr="007965FE">
        <w:tc>
          <w:tcPr>
            <w:tcW w:w="7682" w:type="dxa"/>
            <w:tcBorders>
              <w:top w:val="dotted" w:sz="4" w:space="0" w:color="auto"/>
              <w:left w:val="dotted" w:sz="4" w:space="0" w:color="auto"/>
              <w:bottom w:val="dotted" w:sz="4" w:space="0" w:color="auto"/>
              <w:right w:val="dotted" w:sz="4" w:space="0" w:color="auto"/>
            </w:tcBorders>
          </w:tcPr>
          <w:p w14:paraId="71043A49" w14:textId="77777777" w:rsidR="00184700" w:rsidRDefault="00184700">
            <w:pPr>
              <w:tabs>
                <w:tab w:val="left" w:pos="720"/>
                <w:tab w:val="left" w:pos="1077"/>
                <w:tab w:val="left" w:pos="1440"/>
                <w:tab w:val="left" w:pos="1797"/>
              </w:tabs>
            </w:pPr>
            <w:r>
              <w:t>…</w:t>
            </w:r>
          </w:p>
        </w:tc>
      </w:tr>
    </w:tbl>
    <w:p w14:paraId="1E8D8856" w14:textId="77777777" w:rsidR="00184700" w:rsidRPr="00805FE7" w:rsidRDefault="00184700" w:rsidP="00B209F9">
      <w:pPr>
        <w:pStyle w:val="NumPar3"/>
        <w:numPr>
          <w:ilvl w:val="2"/>
          <w:numId w:val="2"/>
        </w:numPr>
        <w:spacing w:before="240"/>
        <w:ind w:left="1440" w:hanging="720"/>
        <w:rPr>
          <w:rFonts w:cs="Times New Roman"/>
        </w:rPr>
      </w:pPr>
      <w:r>
        <w:t>Henvis til de relevante bestemmelser i retsgrundlaget, hvori det fastsættes, at støttemodtageren skal yde et finansielt bidrag på mindst 25 % af de støtteberettigede omkostninger med egne midler eller via fremmedfinansiering i en form, der ikke omfatter nogen offentlig støtte</w:t>
      </w:r>
      <w:r>
        <w:rPr>
          <w:vertAlign w:val="superscript"/>
        </w:rPr>
        <w:footnoteReference w:id="20"/>
      </w:r>
      <w:r>
        <w:t xml:space="preserve"> (punkt 48 i retningslinjerne):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rsidRPr="008C3BE6" w14:paraId="36251DA4" w14:textId="77777777" w:rsidTr="007965FE">
        <w:tc>
          <w:tcPr>
            <w:tcW w:w="7682" w:type="dxa"/>
            <w:tcBorders>
              <w:top w:val="dotted" w:sz="4" w:space="0" w:color="auto"/>
              <w:left w:val="dotted" w:sz="4" w:space="0" w:color="auto"/>
              <w:bottom w:val="dotted" w:sz="4" w:space="0" w:color="auto"/>
              <w:right w:val="dotted" w:sz="4" w:space="0" w:color="auto"/>
            </w:tcBorders>
          </w:tcPr>
          <w:p w14:paraId="36B418B8" w14:textId="77777777" w:rsidR="00184700" w:rsidRPr="00184700" w:rsidRDefault="00184700" w:rsidP="006B5082">
            <w:pPr>
              <w:rPr>
                <w:szCs w:val="24"/>
              </w:rPr>
            </w:pPr>
            <w:r>
              <w:t>…</w:t>
            </w:r>
          </w:p>
        </w:tc>
      </w:tr>
    </w:tbl>
    <w:p w14:paraId="48EEEB67" w14:textId="77777777" w:rsidR="0087629D" w:rsidRDefault="0087629D" w:rsidP="00B209F9">
      <w:pPr>
        <w:pStyle w:val="NumPar2"/>
        <w:numPr>
          <w:ilvl w:val="2"/>
          <w:numId w:val="2"/>
        </w:numPr>
        <w:tabs>
          <w:tab w:val="left" w:pos="720"/>
        </w:tabs>
        <w:spacing w:before="240"/>
        <w:ind w:left="1440" w:hanging="720"/>
      </w:pPr>
      <w:r>
        <w:t xml:space="preserve">Henvis til de relevante bestemmelser i retsgrundlaget om, at støtteordningen skal overholde regionalstøttekortets støttelofter, som er gældende på </w:t>
      </w:r>
      <w:r>
        <w:lastRenderedPageBreak/>
        <w:t>støttetildelingstidspunktet (punkt 88 i retningslinjerne). Henvis også til Kommissionens afgørelse om godkendelse af det pågældende regionalstøttekort: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29D" w:rsidRPr="008C3BE6" w14:paraId="23C737F6" w14:textId="77777777" w:rsidTr="007965FE">
        <w:tc>
          <w:tcPr>
            <w:tcW w:w="7682" w:type="dxa"/>
            <w:tcBorders>
              <w:top w:val="dotted" w:sz="4" w:space="0" w:color="auto"/>
              <w:left w:val="dotted" w:sz="4" w:space="0" w:color="auto"/>
              <w:bottom w:val="dotted" w:sz="4" w:space="0" w:color="auto"/>
              <w:right w:val="dotted" w:sz="4" w:space="0" w:color="auto"/>
            </w:tcBorders>
          </w:tcPr>
          <w:p w14:paraId="10C9AB8F" w14:textId="77777777" w:rsidR="0087629D" w:rsidRPr="00184700" w:rsidRDefault="00003D5F" w:rsidP="00003D5F">
            <w:pPr>
              <w:rPr>
                <w:szCs w:val="24"/>
              </w:rPr>
            </w:pPr>
            <w:r>
              <w:t>…</w:t>
            </w:r>
          </w:p>
        </w:tc>
      </w:tr>
    </w:tbl>
    <w:p w14:paraId="2CBA95E3" w14:textId="77777777" w:rsidR="0048671B" w:rsidRDefault="0048671B" w:rsidP="007965FE">
      <w:pPr>
        <w:pStyle w:val="NormalKop11"/>
        <w:rPr>
          <w:b/>
        </w:rPr>
      </w:pPr>
      <w:r>
        <w:rPr>
          <w:b/>
        </w:rPr>
        <w:t>Ordningens tilskyndelsesvirkning</w:t>
      </w:r>
    </w:p>
    <w:p w14:paraId="0D14DDD0" w14:textId="77777777" w:rsidR="00F02231" w:rsidRPr="00A43EC2" w:rsidRDefault="00F02231" w:rsidP="00FB274E">
      <w:pPr>
        <w:pStyle w:val="NumPar3"/>
        <w:numPr>
          <w:ilvl w:val="2"/>
          <w:numId w:val="2"/>
        </w:numPr>
        <w:spacing w:before="240"/>
        <w:ind w:left="1440" w:hanging="720"/>
        <w:rPr>
          <w:rFonts w:cs="Times New Roman"/>
        </w:rPr>
      </w:pPr>
      <w:r>
        <w:t>Henvis til de relevante bestemmelser i retsgrundlaget, hvori det fastsættes, at enhver støtteansøgning skal indsendes, før arbejdet påbegyndes på det pågældende investeringsprojekt (punkt 62 i retningslinjerne):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00CB1FE" w14:textId="77777777" w:rsidTr="00BB35A6">
        <w:tc>
          <w:tcPr>
            <w:tcW w:w="7682" w:type="dxa"/>
            <w:shd w:val="clear" w:color="auto" w:fill="auto"/>
          </w:tcPr>
          <w:p w14:paraId="748E3ED0" w14:textId="77777777" w:rsidR="00F02231" w:rsidRDefault="00F02231" w:rsidP="00BB35A6">
            <w:r>
              <w:t>…</w:t>
            </w:r>
          </w:p>
        </w:tc>
      </w:tr>
    </w:tbl>
    <w:p w14:paraId="52151DA3" w14:textId="77777777" w:rsidR="00F02231" w:rsidRDefault="00F02231" w:rsidP="00FB274E">
      <w:pPr>
        <w:pStyle w:val="NumPar3"/>
        <w:numPr>
          <w:ilvl w:val="2"/>
          <w:numId w:val="2"/>
        </w:numPr>
        <w:spacing w:before="240"/>
        <w:ind w:left="1440" w:hanging="720"/>
        <w:rPr>
          <w:rFonts w:cs="Times New Roman"/>
        </w:rPr>
      </w:pPr>
      <w:r>
        <w:t>Henvis til de relevante bestemmelser i retsgrundlaget, hvori det fastsættes, at de, der søger om støtte i henhold til den anmeldte støtteordning, er forpligtet til at indsende en standardansøgningsformular, som fås hos den støtteydende myndighed, og at de i den skal give en kontrafaktisk redegørelse for, hvad der vil ske, hvis de ikke modtager støtten, og oplyse, hvilket af scenarioerne (scenario 1 — investeringsbeslutning eller scenario 2 — placeringsbeslutning) der er gældende (punkt 64 og 59 i retningslinjerne).</w:t>
      </w:r>
      <w:r>
        <w:rPr>
          <w:color w:val="000000"/>
        </w:rPr>
        <w:t xml:space="preserve"> Hvis denne ansøgningsformular adskiller sig fra eksemplet i bilag VII til retningslinjerne, fremsendes en kopi af denne formular.</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2C4B98D2" w14:textId="77777777" w:rsidTr="00BB35A6">
        <w:tc>
          <w:tcPr>
            <w:tcW w:w="7682" w:type="dxa"/>
            <w:shd w:val="clear" w:color="auto" w:fill="auto"/>
          </w:tcPr>
          <w:p w14:paraId="0F1ED12E" w14:textId="77777777" w:rsidR="00F02231" w:rsidRDefault="00F02231" w:rsidP="00BB35A6">
            <w:r>
              <w:t>…</w:t>
            </w:r>
          </w:p>
        </w:tc>
      </w:tr>
    </w:tbl>
    <w:p w14:paraId="6B327239" w14:textId="77777777" w:rsidR="00F02231" w:rsidRDefault="00F02231" w:rsidP="00FB274E">
      <w:pPr>
        <w:pStyle w:val="NumPar3"/>
        <w:numPr>
          <w:ilvl w:val="2"/>
          <w:numId w:val="2"/>
        </w:numPr>
        <w:spacing w:before="240"/>
        <w:ind w:left="1440" w:hanging="720"/>
        <w:rPr>
          <w:rFonts w:cs="Times New Roman"/>
        </w:rPr>
      </w:pPr>
      <w:r>
        <w:t>Henvis til de relevante bestemmelser i retsgrundlaget, hvori det fastsættes, at store virksomheder, der ansøger om støtte under den anmeldte støtteordning, har pligt til at dokumentere den kontrafaktiske situation (punkt 65 i retningslinjerne). Forklar også, hvilke typer dokumentation der stilles krav om:</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A5E6ABD" w14:textId="77777777" w:rsidTr="00BB35A6">
        <w:tc>
          <w:tcPr>
            <w:tcW w:w="7682" w:type="dxa"/>
            <w:shd w:val="clear" w:color="auto" w:fill="auto"/>
          </w:tcPr>
          <w:p w14:paraId="0954EEEB" w14:textId="77777777" w:rsidR="00F02231" w:rsidRDefault="00F02231" w:rsidP="00BB35A6">
            <w:r>
              <w:t>…</w:t>
            </w:r>
          </w:p>
        </w:tc>
      </w:tr>
    </w:tbl>
    <w:p w14:paraId="3331A56F" w14:textId="77777777" w:rsidR="00F02231" w:rsidRDefault="00F02231" w:rsidP="00FB274E">
      <w:pPr>
        <w:pStyle w:val="NumPar3"/>
        <w:numPr>
          <w:ilvl w:val="2"/>
          <w:numId w:val="2"/>
        </w:numPr>
        <w:spacing w:before="240"/>
        <w:ind w:left="1440" w:hanging="720"/>
        <w:rPr>
          <w:rFonts w:cs="Times New Roman"/>
        </w:rPr>
      </w:pPr>
      <w:r>
        <w:t>Henvis til de relevante bestemmelser i retsgrundlaget, hvori det fastsættes, at den støtteydende myndighed ved vurderingen af ansøgningerne om individuel støtte har pligt til at udføre en kontrol af troværdigheden af den kontrafaktiske situation og af, om regionalstøtten har den krævede tilskyndelsesvirkning i overensstemmelse med scenario 1 eller scenario 2</w:t>
      </w:r>
      <w:r>
        <w:rPr>
          <w:rStyle w:val="FootnoteReference"/>
        </w:rPr>
        <w:footnoteReference w:id="21"/>
      </w:r>
      <w:r>
        <w:t xml:space="preserve"> (punkt 66 i retningslinjerne):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47E3029A" w14:textId="77777777" w:rsidTr="00BB35A6">
        <w:tc>
          <w:tcPr>
            <w:tcW w:w="7682" w:type="dxa"/>
            <w:shd w:val="clear" w:color="auto" w:fill="auto"/>
          </w:tcPr>
          <w:p w14:paraId="12A465D3" w14:textId="77777777" w:rsidR="00F02231" w:rsidRDefault="00F02231" w:rsidP="00BB35A6">
            <w:r>
              <w:t>…</w:t>
            </w:r>
          </w:p>
        </w:tc>
      </w:tr>
    </w:tbl>
    <w:p w14:paraId="6AE7BB90" w14:textId="77777777" w:rsidR="00485C14" w:rsidRDefault="00485C14" w:rsidP="00DB5B5A">
      <w:pPr>
        <w:pStyle w:val="NormalKop11"/>
        <w:rPr>
          <w:b/>
        </w:rPr>
      </w:pPr>
      <w:r>
        <w:rPr>
          <w:b/>
        </w:rPr>
        <w:t>Ordningens egnethed</w:t>
      </w:r>
    </w:p>
    <w:p w14:paraId="5713798C" w14:textId="77777777" w:rsidR="00485C14" w:rsidRDefault="00FE3973" w:rsidP="0026473A">
      <w:pPr>
        <w:pStyle w:val="NormalKop111"/>
        <w:numPr>
          <w:ilvl w:val="2"/>
          <w:numId w:val="2"/>
        </w:numPr>
        <w:ind w:left="1440" w:hanging="720"/>
      </w:pPr>
      <w:r>
        <w:t>Forklar, hvorfor regionalstøtte er et velegnet instrument til at udvikle området</w:t>
      </w:r>
      <w:r>
        <w:rPr>
          <w:rStyle w:val="FootnoteReference"/>
        </w:rPr>
        <w:footnoteReference w:id="22"/>
      </w:r>
      <w:r>
        <w:t xml:space="preserve"> (punkt 80 i retningslinjerne):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052BFFCD" w14:textId="77777777" w:rsidTr="007965FE">
        <w:tc>
          <w:tcPr>
            <w:tcW w:w="7682" w:type="dxa"/>
            <w:tcBorders>
              <w:top w:val="dotted" w:sz="4" w:space="0" w:color="auto"/>
              <w:left w:val="dotted" w:sz="4" w:space="0" w:color="auto"/>
              <w:bottom w:val="dotted" w:sz="4" w:space="0" w:color="auto"/>
              <w:right w:val="dotted" w:sz="4" w:space="0" w:color="auto"/>
            </w:tcBorders>
          </w:tcPr>
          <w:p w14:paraId="212AE1FA" w14:textId="77777777" w:rsidR="00003D5F" w:rsidRPr="00184700" w:rsidRDefault="00003D5F" w:rsidP="00003D5F">
            <w:pPr>
              <w:rPr>
                <w:szCs w:val="24"/>
              </w:rPr>
            </w:pPr>
            <w:r>
              <w:lastRenderedPageBreak/>
              <w:t>…</w:t>
            </w:r>
          </w:p>
        </w:tc>
      </w:tr>
    </w:tbl>
    <w:p w14:paraId="040115FF" w14:textId="77777777" w:rsidR="00485C14" w:rsidRDefault="002C6400" w:rsidP="00DB5B5A">
      <w:pPr>
        <w:pStyle w:val="NumPar3"/>
        <w:numPr>
          <w:ilvl w:val="2"/>
          <w:numId w:val="2"/>
        </w:numPr>
        <w:spacing w:before="240"/>
        <w:ind w:left="1440" w:hanging="720"/>
      </w:pPr>
      <w:r>
        <w:t>Hvis ordningen er sektorspecifik: Redegør for, hvilke fordele denne ordning giver sammenlignet med en tværgående ordning for flere sektorer eller andre virkemidler (punkt 81 i retningslinjerne):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26DA9264" w14:textId="77777777" w:rsidTr="007965FE">
        <w:tc>
          <w:tcPr>
            <w:tcW w:w="7682" w:type="dxa"/>
            <w:tcBorders>
              <w:top w:val="dotted" w:sz="4" w:space="0" w:color="auto"/>
              <w:left w:val="dotted" w:sz="4" w:space="0" w:color="auto"/>
              <w:bottom w:val="dotted" w:sz="4" w:space="0" w:color="auto"/>
              <w:right w:val="dotted" w:sz="4" w:space="0" w:color="auto"/>
            </w:tcBorders>
          </w:tcPr>
          <w:p w14:paraId="38B585CB" w14:textId="77777777" w:rsidR="00003D5F" w:rsidRPr="00184700" w:rsidRDefault="00003D5F" w:rsidP="00003D5F">
            <w:pPr>
              <w:rPr>
                <w:szCs w:val="24"/>
              </w:rPr>
            </w:pPr>
            <w:r>
              <w:t>…</w:t>
            </w:r>
          </w:p>
        </w:tc>
      </w:tr>
    </w:tbl>
    <w:p w14:paraId="2A2ED168" w14:textId="77777777" w:rsidR="00590071" w:rsidRDefault="00877F82" w:rsidP="00DB5B5A">
      <w:pPr>
        <w:pStyle w:val="NumPar3"/>
        <w:numPr>
          <w:ilvl w:val="2"/>
          <w:numId w:val="2"/>
        </w:numPr>
        <w:spacing w:before="240"/>
        <w:ind w:left="1440" w:hanging="720"/>
      </w:pPr>
      <w:r>
        <w:t>Angiv, om den individuelle støtte under den anmeldte støtteordning ydes:</w:t>
      </w:r>
    </w:p>
    <w:p w14:paraId="61245CC5" w14:textId="0B44FF9A" w:rsidR="00590071" w:rsidRPr="006F1156"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rsidR="001336BC">
        <w:fldChar w:fldCharType="separate"/>
      </w:r>
      <w:r>
        <w:fldChar w:fldCharType="end"/>
      </w:r>
      <w:r w:rsidR="00573DE7">
        <w:tab/>
      </w:r>
      <w:r>
        <w:t>automatisk, hvis ordningens betingelser er opfyldt, eller</w:t>
      </w:r>
    </w:p>
    <w:p w14:paraId="4B07D12D" w14:textId="536E47E0" w:rsidR="00590071"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rsidR="001336BC">
        <w:fldChar w:fldCharType="separate"/>
      </w:r>
      <w:r>
        <w:fldChar w:fldCharType="end"/>
      </w:r>
      <w:r w:rsidR="00573DE7">
        <w:tab/>
      </w:r>
      <w:r>
        <w:t>efter et skøn foretaget af myndighederne.</w:t>
      </w:r>
    </w:p>
    <w:p w14:paraId="05F07C80" w14:textId="77777777" w:rsidR="003F2F3D" w:rsidRDefault="00590071" w:rsidP="00590071">
      <w:pPr>
        <w:pStyle w:val="Text2"/>
        <w:ind w:left="1418"/>
      </w:pPr>
      <w:r>
        <w:t xml:space="preserve">Henvis til den relevante bestemmelse i retsgrundlaget: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68E9943E" w14:textId="77777777" w:rsidTr="007965FE">
        <w:tc>
          <w:tcPr>
            <w:tcW w:w="7682" w:type="dxa"/>
            <w:tcBorders>
              <w:top w:val="dotted" w:sz="4" w:space="0" w:color="auto"/>
              <w:left w:val="dotted" w:sz="4" w:space="0" w:color="auto"/>
              <w:bottom w:val="dotted" w:sz="4" w:space="0" w:color="auto"/>
              <w:right w:val="dotted" w:sz="4" w:space="0" w:color="auto"/>
            </w:tcBorders>
          </w:tcPr>
          <w:p w14:paraId="75E4E31C" w14:textId="77777777" w:rsidR="003F2F3D" w:rsidRPr="00184700" w:rsidRDefault="003F2F3D" w:rsidP="00301359">
            <w:pPr>
              <w:rPr>
                <w:szCs w:val="24"/>
              </w:rPr>
            </w:pPr>
            <w:r>
              <w:t>…</w:t>
            </w:r>
          </w:p>
        </w:tc>
      </w:tr>
    </w:tbl>
    <w:p w14:paraId="63E8FE17" w14:textId="77777777" w:rsidR="003F2F3D" w:rsidRDefault="003F2F3D" w:rsidP="003F2F3D">
      <w:pPr>
        <w:pStyle w:val="Text2"/>
        <w:spacing w:after="0"/>
        <w:ind w:left="1418"/>
      </w:pPr>
    </w:p>
    <w:p w14:paraId="7C68A3F3" w14:textId="77777777" w:rsidR="00590071" w:rsidRDefault="002C6400" w:rsidP="00590071">
      <w:pPr>
        <w:pStyle w:val="Text2"/>
        <w:ind w:left="1418"/>
      </w:pPr>
      <w:r>
        <w:t>For skønsmæssigt ydet støtte gives en kort beskrivelse af de anvendte kriterier, og der vedlægges en kopi af den støtteydende myndigheds interne administrative bestemmelser for støttetildelingen: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5C5C484B" w14:textId="77777777" w:rsidTr="007965FE">
        <w:tc>
          <w:tcPr>
            <w:tcW w:w="7682" w:type="dxa"/>
            <w:tcBorders>
              <w:top w:val="dotted" w:sz="4" w:space="0" w:color="auto"/>
              <w:left w:val="dotted" w:sz="4" w:space="0" w:color="auto"/>
              <w:bottom w:val="dotted" w:sz="4" w:space="0" w:color="auto"/>
              <w:right w:val="dotted" w:sz="4" w:space="0" w:color="auto"/>
            </w:tcBorders>
          </w:tcPr>
          <w:p w14:paraId="55669B2F" w14:textId="77777777" w:rsidR="003F2F3D" w:rsidRPr="00184700" w:rsidRDefault="003F2F3D" w:rsidP="00301359">
            <w:pPr>
              <w:rPr>
                <w:szCs w:val="24"/>
              </w:rPr>
            </w:pPr>
            <w:r>
              <w:t>…</w:t>
            </w:r>
          </w:p>
        </w:tc>
      </w:tr>
    </w:tbl>
    <w:p w14:paraId="5B4E4680" w14:textId="77777777" w:rsidR="006D6CC1" w:rsidRPr="006D6CC1" w:rsidRDefault="006D6CC1" w:rsidP="00DB5B5A">
      <w:pPr>
        <w:pStyle w:val="NumPar3"/>
        <w:numPr>
          <w:ilvl w:val="2"/>
          <w:numId w:val="2"/>
        </w:numPr>
        <w:spacing w:before="240"/>
        <w:ind w:left="1440" w:hanging="720"/>
      </w:pPr>
      <w:r>
        <w:t>Hvis støtten under ordningen ydes i en form, hvor der er tale om en direkte økonomisk fordel</w:t>
      </w:r>
      <w:r>
        <w:rPr>
          <w:vertAlign w:val="superscript"/>
        </w:rPr>
        <w:footnoteReference w:id="23"/>
      </w:r>
      <w:r>
        <w:t>: Redegør for, hvorfor andre, potentielt mindre fordrejende former for støtte, såsom tilbagebetalingspligtige tilskud eller støtteformer baseret på lån eller kapitalinstrumenter</w:t>
      </w:r>
      <w:r>
        <w:rPr>
          <w:rStyle w:val="FootnoteReference"/>
        </w:rPr>
        <w:footnoteReference w:id="24"/>
      </w:r>
      <w:r>
        <w:t xml:space="preserve">, ikke er egnede (punkt 85 i retningslinjerne):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6CC1" w14:paraId="6F7C4652" w14:textId="77777777" w:rsidTr="007965FE">
        <w:tc>
          <w:tcPr>
            <w:tcW w:w="7682" w:type="dxa"/>
            <w:shd w:val="clear" w:color="auto" w:fill="auto"/>
          </w:tcPr>
          <w:p w14:paraId="64F393DC" w14:textId="77777777" w:rsidR="006D6CC1" w:rsidRDefault="006D6CC1" w:rsidP="00301359">
            <w:r>
              <w:t>…</w:t>
            </w:r>
          </w:p>
        </w:tc>
      </w:tr>
    </w:tbl>
    <w:p w14:paraId="0DA2AB1B" w14:textId="77777777" w:rsidR="00590071" w:rsidRPr="006F1156" w:rsidRDefault="00590071" w:rsidP="00DB5B5A">
      <w:pPr>
        <w:pStyle w:val="NormalKop11"/>
        <w:rPr>
          <w:b/>
        </w:rPr>
      </w:pPr>
      <w:r>
        <w:rPr>
          <w:b/>
        </w:rPr>
        <w:t>Tilskyndelsesvirkning og ordningens proportionalitet</w:t>
      </w:r>
    </w:p>
    <w:p w14:paraId="348AF344" w14:textId="77777777" w:rsidR="00132132" w:rsidRDefault="00FF0F35" w:rsidP="00DB5B5A">
      <w:pPr>
        <w:pStyle w:val="NumPar3"/>
        <w:numPr>
          <w:ilvl w:val="2"/>
          <w:numId w:val="2"/>
        </w:numPr>
        <w:spacing w:before="240"/>
        <w:ind w:left="1440" w:hanging="720"/>
      </w:pPr>
      <w:r>
        <w:t xml:space="preserve">Henvis til de relevante bestemmelser i retsgrundlaget, hvori det fastsættes, at individuel støtte ydet til store virksomheder under den anmeldte støtteordning skal begrænses til de nettomeromkostninger, der er forbundet med at gennemføre investeringen i det pågældende område, i forhold til den kontrafaktiske situation uden støtten, ved hjælp af metoden beskrevet i punkt 96 og 97 i retningslinjerne (punkt 95 i retningslinjerne):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F0F35" w14:paraId="7F73CA93" w14:textId="77777777" w:rsidTr="006F1156">
        <w:tc>
          <w:tcPr>
            <w:tcW w:w="7682" w:type="dxa"/>
            <w:shd w:val="clear" w:color="auto" w:fill="auto"/>
          </w:tcPr>
          <w:p w14:paraId="51A343FB" w14:textId="77777777" w:rsidR="00FF0F35" w:rsidRDefault="00FF0F35" w:rsidP="00301359">
            <w:r>
              <w:t>…</w:t>
            </w:r>
          </w:p>
        </w:tc>
      </w:tr>
    </w:tbl>
    <w:p w14:paraId="182F53CE" w14:textId="77777777" w:rsidR="00132132" w:rsidRDefault="00132132" w:rsidP="00DB5B5A">
      <w:pPr>
        <w:pStyle w:val="NumPar2"/>
        <w:numPr>
          <w:ilvl w:val="1"/>
          <w:numId w:val="2"/>
        </w:numPr>
        <w:spacing w:before="360"/>
        <w:ind w:left="720" w:hanging="720"/>
        <w:rPr>
          <w:b/>
        </w:rPr>
      </w:pPr>
      <w:r>
        <w:rPr>
          <w:b/>
        </w:rPr>
        <w:t>Undgåelse af en uforholdsmæssigt negativ påvirkning af konkurrencen og samhandelen</w:t>
      </w:r>
    </w:p>
    <w:p w14:paraId="6AAEB69D" w14:textId="77777777" w:rsidR="00684D63" w:rsidRDefault="00684D63" w:rsidP="00DB5B5A">
      <w:pPr>
        <w:pStyle w:val="NumPar3"/>
        <w:numPr>
          <w:ilvl w:val="2"/>
          <w:numId w:val="2"/>
        </w:numPr>
        <w:spacing w:before="240"/>
        <w:ind w:left="1440" w:hanging="720"/>
      </w:pPr>
      <w:r>
        <w:lastRenderedPageBreak/>
        <w:t>Forklar, hvordan fordrejninger af konkurrencen og samhandelen som følge af den anmeldte støtteordning begrænses til et minimum (punkt 120 i retningslinjerne)</w:t>
      </w:r>
      <w:r>
        <w:rPr>
          <w:rStyle w:val="FootnoteReference"/>
        </w:rPr>
        <w:footnoteReference w:id="25"/>
      </w:r>
      <w: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84D63" w14:paraId="689D389F" w14:textId="77777777" w:rsidTr="006F1156">
        <w:tc>
          <w:tcPr>
            <w:tcW w:w="7682" w:type="dxa"/>
            <w:shd w:val="clear" w:color="auto" w:fill="auto"/>
          </w:tcPr>
          <w:p w14:paraId="4BA08864" w14:textId="77777777" w:rsidR="00684D63" w:rsidRDefault="00684D63" w:rsidP="0085451F">
            <w:r>
              <w:t>…</w:t>
            </w:r>
          </w:p>
        </w:tc>
      </w:tr>
    </w:tbl>
    <w:p w14:paraId="729212DC" w14:textId="77777777" w:rsidR="00132132" w:rsidRDefault="007D23AA" w:rsidP="00DB5B5A">
      <w:pPr>
        <w:pStyle w:val="NumPar3"/>
        <w:numPr>
          <w:ilvl w:val="2"/>
          <w:numId w:val="2"/>
        </w:numPr>
        <w:spacing w:before="240"/>
        <w:ind w:left="1440" w:hanging="720"/>
      </w:pPr>
      <w:r>
        <w:t>Henvis til de relevante bestemmelser i retsgrundlaget, hvori det fastsættes, at den støtteydende myndighed, hvor der er tale om støtte ydet til individuelle investeringsprojekter inden for rammerne af en støtteordning, skal påse og bekræfte, at støtten ikke får åbenlyst negative konsekvenser såsom skabelse af overkapacitet på et marked i absolut tilbagegang (punkt 112-115 i retningslinjerne), virkninger, der strider mod samhørigheden (punkt 116-117 i retningslinjerne), eller flytning (punkt 118 i retningslinjerne) (punkt 121 i retningslinjerne):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D23AA" w14:paraId="0732DB84" w14:textId="77777777" w:rsidTr="006F1156">
        <w:tc>
          <w:tcPr>
            <w:tcW w:w="7682" w:type="dxa"/>
            <w:shd w:val="clear" w:color="auto" w:fill="auto"/>
          </w:tcPr>
          <w:p w14:paraId="68EA7FB9" w14:textId="77777777" w:rsidR="007D23AA" w:rsidRDefault="007D23AA" w:rsidP="00301359">
            <w:r>
              <w:t>…</w:t>
            </w:r>
          </w:p>
        </w:tc>
      </w:tr>
    </w:tbl>
    <w:p w14:paraId="451BFB5E" w14:textId="77777777" w:rsidR="00132132" w:rsidRPr="00DB5B5A" w:rsidRDefault="00132132" w:rsidP="001452D1">
      <w:pPr>
        <w:pStyle w:val="NumPar2"/>
        <w:numPr>
          <w:ilvl w:val="0"/>
          <w:numId w:val="2"/>
        </w:numPr>
        <w:spacing w:before="360"/>
        <w:ind w:left="709" w:hanging="709"/>
        <w:rPr>
          <w:b/>
        </w:rPr>
      </w:pPr>
      <w:r>
        <w:rPr>
          <w:b/>
        </w:rPr>
        <w:t>Gennemsigtighed</w:t>
      </w:r>
    </w:p>
    <w:p w14:paraId="5D8729A0" w14:textId="77777777" w:rsidR="0047707E" w:rsidRPr="004A0583" w:rsidRDefault="0047707E" w:rsidP="007F52B1">
      <w:pPr>
        <w:pStyle w:val="NumPar3"/>
        <w:numPr>
          <w:ilvl w:val="1"/>
          <w:numId w:val="2"/>
        </w:numPr>
        <w:spacing w:before="240"/>
        <w:ind w:left="1418" w:hanging="698"/>
      </w:pPr>
      <w:r>
        <w:t xml:space="preserve">Bekræft, at den fulde ordlyd i afgørelsen om at yde individuel støtte eller den godkendte støtteordning og dens gennemførelsesbestemmelser eller et link hertil </w:t>
      </w:r>
      <w:bookmarkStart w:id="2" w:name="_Ref44059869"/>
      <w:r>
        <w:t>og oplysninger om hver individuel støttetildeling på over 100 000 EUR vil blive offentliggjort efter strukturen i bilag VIII</w:t>
      </w:r>
      <w:bookmarkEnd w:id="2"/>
      <w:r>
        <w:t xml:space="preserve"> i Europa-Kommissionens modul for gennemsigtighed i statsstøtte ("TAM") eller på et omfattende statsstøttewebsted på nationalt eller regionalt plan</w:t>
      </w:r>
      <w:r>
        <w:rPr>
          <w:rStyle w:val="FootnoteReference"/>
        </w:rPr>
        <w:footnoteReference w:id="26"/>
      </w:r>
      <w:r>
        <w:t xml:space="preserve"> senest seks måneder efter den dato, hvor støtten blev tildelt, eller, hvis det drejer sig om støtte i form af skattefordele, senest et år efter udløbet af fristen for indgivelse af skatteangivelsen.</w:t>
      </w:r>
    </w:p>
    <w:p w14:paraId="2554CF38" w14:textId="3500E2E2" w:rsidR="0047707E" w:rsidRPr="004A0583" w:rsidRDefault="00FB274E" w:rsidP="0047707E">
      <w:pPr>
        <w:pStyle w:val="Normal127"/>
      </w:pPr>
      <w:r>
        <w:tab/>
      </w:r>
      <w:r>
        <w:fldChar w:fldCharType="begin">
          <w:ffData>
            <w:name w:val="Check1"/>
            <w:enabled/>
            <w:calcOnExit w:val="0"/>
            <w:checkBox>
              <w:sizeAuto/>
              <w:default w:val="0"/>
            </w:checkBox>
          </w:ffData>
        </w:fldChar>
      </w:r>
      <w:r>
        <w:instrText xml:space="preserve"> FORMCHECKBOX </w:instrText>
      </w:r>
      <w:r w:rsidR="001336BC">
        <w:fldChar w:fldCharType="separate"/>
      </w:r>
      <w:r>
        <w:fldChar w:fldCharType="end"/>
      </w:r>
      <w:r w:rsidR="00573DE7">
        <w:tab/>
      </w:r>
      <w:r>
        <w:t>Ja</w:t>
      </w:r>
    </w:p>
    <w:p w14:paraId="419E66FE" w14:textId="77777777" w:rsidR="0047707E" w:rsidRDefault="0047707E" w:rsidP="007F52B1">
      <w:pPr>
        <w:pStyle w:val="NumPar3"/>
        <w:numPr>
          <w:ilvl w:val="1"/>
          <w:numId w:val="2"/>
        </w:numPr>
        <w:spacing w:before="240"/>
        <w:ind w:left="1418" w:hanging="698"/>
      </w:pPr>
      <w:r>
        <w:t>Henvis til de relevante bestemmelser i retsgrundlaget, hvor det fastsættes, at den støtteydende myndighed som minimum skal offentliggøre følgende oplysninger om de anmeldte statsstøtteordninger i modulet for gennemsigtighed i statsstøtte ("TAM") eller på et omfattende statsstøttewebsted på nationalt eller regionalt plan</w:t>
      </w:r>
      <w:r>
        <w:rPr>
          <w:rStyle w:val="FootnoteReference"/>
        </w:rPr>
        <w:footnoteReference w:id="27"/>
      </w:r>
      <w:r>
        <w:t>: teksten til den anmeldte støtteordning og dens gennemførelsesbestemmelser, den støttende myndighed, de enkelte støttemodtagere, støttebeløbet pr. modtager og støtteintensiteten (punkt 136 i retningslinjerne).</w:t>
      </w:r>
    </w:p>
    <w:p w14:paraId="74E1FB55" w14:textId="77777777" w:rsidR="0047707E" w:rsidRDefault="0047707E" w:rsidP="00DB5B5A">
      <w:pPr>
        <w:pStyle w:val="NumPar3"/>
        <w:spacing w:before="240"/>
        <w:ind w:left="426"/>
      </w:pPr>
      <w:r>
        <w:t>Hvis der ikke er indført sådanne bestemmelser, begrund i så fald dette. Hvis sådanne bestemmelser ikke er indeholdt i retsgrundlaget for den anmeldte støtteordning, men i andre lovgivningsmæssige dokumenter, angives dette ligeledes:</w:t>
      </w:r>
    </w:p>
    <w:p w14:paraId="1C73DCA6" w14:textId="77777777" w:rsidR="0047707E" w:rsidRDefault="0047707E" w:rsidP="0047707E">
      <w:pPr>
        <w:pStyle w:val="NumPar3"/>
        <w:spacing w:before="240"/>
      </w:pP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122914C2" w14:textId="77777777" w:rsidTr="00DB5B5A">
        <w:tc>
          <w:tcPr>
            <w:tcW w:w="8674" w:type="dxa"/>
            <w:shd w:val="clear" w:color="auto" w:fill="auto"/>
          </w:tcPr>
          <w:p w14:paraId="23E48E05" w14:textId="77777777" w:rsidR="0047707E" w:rsidRDefault="0047707E" w:rsidP="007342D6">
            <w:r>
              <w:t>…</w:t>
            </w:r>
          </w:p>
        </w:tc>
      </w:tr>
    </w:tbl>
    <w:p w14:paraId="4D0E2021" w14:textId="77777777" w:rsidR="0047707E" w:rsidRDefault="0047707E" w:rsidP="00DB5B5A">
      <w:pPr>
        <w:pStyle w:val="NumPar3"/>
        <w:spacing w:before="240"/>
        <w:ind w:left="426"/>
      </w:pPr>
      <w:r>
        <w:t>Henvis til de relevante bestemmelser i retsgrundlaget, hvori det fastsættes, at ovennævnte oplysninger vil være frit tilgængelige for den almindelige offentlighed i mindst 10 år fra støttetildelingstidspunktet (punkt 140 i retningslinjerne):</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65A9F116" w14:textId="77777777" w:rsidTr="00DB5B5A">
        <w:tc>
          <w:tcPr>
            <w:tcW w:w="8674" w:type="dxa"/>
            <w:shd w:val="clear" w:color="auto" w:fill="auto"/>
          </w:tcPr>
          <w:p w14:paraId="31F38108" w14:textId="77777777" w:rsidR="0047707E" w:rsidRDefault="0047707E" w:rsidP="007342D6">
            <w:r>
              <w:t>…</w:t>
            </w:r>
          </w:p>
        </w:tc>
      </w:tr>
    </w:tbl>
    <w:p w14:paraId="4392C962" w14:textId="77777777" w:rsidR="00132132" w:rsidRDefault="00132132" w:rsidP="00590071">
      <w:pPr>
        <w:pStyle w:val="NumPar3"/>
        <w:ind w:left="1418"/>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180"/>
      </w:tblGrid>
      <w:tr w:rsidR="00132132" w14:paraId="70BFB833" w14:textId="77777777" w:rsidTr="00DB5B5A">
        <w:tc>
          <w:tcPr>
            <w:tcW w:w="9180" w:type="dxa"/>
            <w:tcBorders>
              <w:top w:val="single" w:sz="4" w:space="0" w:color="auto"/>
              <w:left w:val="single" w:sz="4" w:space="0" w:color="auto"/>
              <w:bottom w:val="single" w:sz="4" w:space="0" w:color="auto"/>
              <w:right w:val="single" w:sz="4" w:space="0" w:color="auto"/>
            </w:tcBorders>
            <w:shd w:val="pct15" w:color="auto" w:fill="FFFFFF"/>
          </w:tcPr>
          <w:p w14:paraId="7144A01F" w14:textId="77777777" w:rsidR="00132132" w:rsidRPr="00FC438A" w:rsidRDefault="00132132" w:rsidP="00DB5B5A">
            <w:pPr>
              <w:pStyle w:val="Heading1"/>
              <w:numPr>
                <w:ilvl w:val="0"/>
                <w:numId w:val="2"/>
              </w:numPr>
              <w:ind w:left="720" w:hanging="720"/>
            </w:pPr>
            <w:r>
              <w:t xml:space="preserve">Evaluering, rapportering og overvågning </w:t>
            </w:r>
          </w:p>
        </w:tc>
      </w:tr>
    </w:tbl>
    <w:p w14:paraId="060A6EF2" w14:textId="77777777" w:rsidR="00132132" w:rsidRDefault="00132132" w:rsidP="001452D1">
      <w:pPr>
        <w:pStyle w:val="NumPar2"/>
        <w:numPr>
          <w:ilvl w:val="1"/>
          <w:numId w:val="2"/>
        </w:numPr>
        <w:tabs>
          <w:tab w:val="left" w:pos="709"/>
        </w:tabs>
        <w:spacing w:before="360"/>
        <w:ind w:left="709" w:hanging="709"/>
        <w:rPr>
          <w:b/>
        </w:rPr>
      </w:pPr>
      <w:r>
        <w:rPr>
          <w:b/>
        </w:rPr>
        <w:t>Evaluering</w:t>
      </w:r>
    </w:p>
    <w:p w14:paraId="594EFB7A" w14:textId="77777777" w:rsidR="0047707E" w:rsidRDefault="0047707E" w:rsidP="001452D1">
      <w:pPr>
        <w:pStyle w:val="NumPar3"/>
        <w:numPr>
          <w:ilvl w:val="2"/>
          <w:numId w:val="2"/>
        </w:numPr>
        <w:spacing w:before="240"/>
        <w:ind w:left="1418" w:hanging="698"/>
      </w:pPr>
      <w:r>
        <w:t>Angiv SA-nummeret for alle tidligere og igangværende statsstøtteordninger med et lignende mål og det samme geografiske område (punkt 144 i retningslinjerne):</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476187D6"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46124EB0" w14:textId="77777777" w:rsidR="0047707E" w:rsidRDefault="0047707E" w:rsidP="007342D6">
            <w:r>
              <w:t>…</w:t>
            </w:r>
          </w:p>
        </w:tc>
      </w:tr>
    </w:tbl>
    <w:p w14:paraId="03A4E4AD" w14:textId="77777777" w:rsidR="0047707E" w:rsidRDefault="0047707E" w:rsidP="00DB5B5A">
      <w:pPr>
        <w:pStyle w:val="NumPar3"/>
        <w:spacing w:before="240"/>
        <w:ind w:left="709"/>
      </w:pPr>
      <w:r>
        <w:t>Har nogen af ovennævnte statsstøtteordninger været genstand for en efterfølgende evaluering (punkt 144 i retningslinjerne)?</w:t>
      </w:r>
    </w:p>
    <w:p w14:paraId="67E582B5" w14:textId="4C2E3F07" w:rsidR="0047707E" w:rsidRDefault="0047707E" w:rsidP="00573DE7">
      <w:pPr>
        <w:pStyle w:val="NumPar3"/>
        <w:spacing w:before="240"/>
        <w:ind w:left="426" w:firstLine="567"/>
      </w:pPr>
      <w:r>
        <w:fldChar w:fldCharType="begin">
          <w:ffData>
            <w:name w:val="Check1"/>
            <w:enabled/>
            <w:calcOnExit w:val="0"/>
            <w:checkBox>
              <w:sizeAuto/>
              <w:default w:val="0"/>
            </w:checkBox>
          </w:ffData>
        </w:fldChar>
      </w:r>
      <w:r>
        <w:instrText xml:space="preserve"> FORMCHECKBOX </w:instrText>
      </w:r>
      <w:r w:rsidR="001336BC">
        <w:fldChar w:fldCharType="separate"/>
      </w:r>
      <w:r>
        <w:fldChar w:fldCharType="end"/>
      </w:r>
      <w:r w:rsidR="00573DE7">
        <w:t xml:space="preserve"> </w:t>
      </w:r>
      <w:r>
        <w:t>Ja</w:t>
      </w:r>
    </w:p>
    <w:p w14:paraId="6AD44CFE" w14:textId="73BFD60C" w:rsidR="0047707E" w:rsidRDefault="0047707E" w:rsidP="00573DE7">
      <w:pPr>
        <w:pStyle w:val="NumPar3"/>
        <w:spacing w:before="240"/>
        <w:ind w:left="426" w:firstLine="567"/>
      </w:pPr>
      <w:r>
        <w:fldChar w:fldCharType="begin">
          <w:ffData>
            <w:name w:val="Check1"/>
            <w:enabled/>
            <w:calcOnExit w:val="0"/>
            <w:checkBox>
              <w:sizeAuto/>
              <w:default w:val="0"/>
            </w:checkBox>
          </w:ffData>
        </w:fldChar>
      </w:r>
      <w:r>
        <w:instrText xml:space="preserve"> FORMCHECKBOX </w:instrText>
      </w:r>
      <w:r w:rsidR="001336BC">
        <w:fldChar w:fldCharType="separate"/>
      </w:r>
      <w:r>
        <w:fldChar w:fldCharType="end"/>
      </w:r>
      <w:r w:rsidR="00573DE7">
        <w:t xml:space="preserve"> </w:t>
      </w:r>
      <w:r>
        <w:t>Nej</w:t>
      </w:r>
    </w:p>
    <w:p w14:paraId="6D9A940C" w14:textId="77777777" w:rsidR="0047707E" w:rsidRDefault="0047707E" w:rsidP="00DB5B5A">
      <w:pPr>
        <w:pStyle w:val="NumPar3"/>
        <w:spacing w:before="240"/>
        <w:ind w:left="709"/>
      </w:pPr>
      <w:r>
        <w:t>Hvis ja, giv da et kort resumé af de vigtigste resultater af den/de efterfølgende evaluering(er) (med en henvisning og et link, hvor det er relevant):</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38FA1241"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5E2E803A" w14:textId="77777777" w:rsidR="0047707E" w:rsidRDefault="0047707E" w:rsidP="00DB5B5A">
            <w:pPr>
              <w:ind w:left="709"/>
            </w:pPr>
            <w:r>
              <w:t>…</w:t>
            </w:r>
          </w:p>
        </w:tc>
      </w:tr>
    </w:tbl>
    <w:p w14:paraId="6C9B11A4" w14:textId="77777777" w:rsidR="0047707E" w:rsidRDefault="0047707E" w:rsidP="00DB5B5A">
      <w:pPr>
        <w:pStyle w:val="NumPar3"/>
        <w:spacing w:before="240"/>
        <w:ind w:left="709"/>
      </w:pPr>
      <w:r>
        <w:t>Beskriv, hvordan der er taget hensyn til resultaterne af disse evalueringer ved udformningen af den nye ordning:</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78D72E18"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1400AC1A" w14:textId="77777777" w:rsidR="0047707E" w:rsidRDefault="0047707E" w:rsidP="00DB5B5A">
            <w:pPr>
              <w:ind w:left="709"/>
            </w:pPr>
            <w:r>
              <w:t>…</w:t>
            </w:r>
          </w:p>
        </w:tc>
      </w:tr>
    </w:tbl>
    <w:p w14:paraId="721047F3" w14:textId="77777777" w:rsidR="0047707E" w:rsidRDefault="00877F82" w:rsidP="00D621FD">
      <w:pPr>
        <w:pStyle w:val="NumPar3"/>
        <w:numPr>
          <w:ilvl w:val="2"/>
          <w:numId w:val="2"/>
        </w:numPr>
        <w:spacing w:before="360"/>
        <w:ind w:left="1440" w:hanging="720"/>
      </w:pPr>
      <w:r>
        <w:t>Angiv, om statsstøttebudgettet for ordningen overstiger 150 mio. EUR i et givet år (punkt 143 i retningslinjerne):</w:t>
      </w:r>
    </w:p>
    <w:p w14:paraId="75A53195" w14:textId="4EF181DA" w:rsidR="0047707E" w:rsidRDefault="0047707E" w:rsidP="00573DE7">
      <w:pPr>
        <w:pStyle w:val="NumPar3"/>
        <w:tabs>
          <w:tab w:val="left" w:pos="1276"/>
        </w:tabs>
        <w:spacing w:before="240"/>
        <w:ind w:left="993" w:firstLine="567"/>
      </w:pPr>
      <w:r>
        <w:fldChar w:fldCharType="begin">
          <w:ffData>
            <w:name w:val="Check1"/>
            <w:enabled/>
            <w:calcOnExit w:val="0"/>
            <w:checkBox>
              <w:sizeAuto/>
              <w:default w:val="0"/>
            </w:checkBox>
          </w:ffData>
        </w:fldChar>
      </w:r>
      <w:r>
        <w:instrText xml:space="preserve"> FORMCHECKBOX </w:instrText>
      </w:r>
      <w:r w:rsidR="001336BC">
        <w:fldChar w:fldCharType="separate"/>
      </w:r>
      <w:r>
        <w:fldChar w:fldCharType="end"/>
      </w:r>
      <w:r w:rsidR="00573DE7">
        <w:t xml:space="preserve"> </w:t>
      </w:r>
      <w:r>
        <w:t>Ja</w:t>
      </w:r>
    </w:p>
    <w:p w14:paraId="5D6C0827" w14:textId="4344E409" w:rsidR="0047707E" w:rsidRDefault="0047707E" w:rsidP="00573DE7">
      <w:pPr>
        <w:pStyle w:val="NumPar3"/>
        <w:tabs>
          <w:tab w:val="left" w:pos="1276"/>
        </w:tabs>
        <w:spacing w:before="240"/>
        <w:ind w:left="993" w:firstLine="567"/>
      </w:pPr>
      <w:r>
        <w:fldChar w:fldCharType="begin">
          <w:ffData>
            <w:name w:val="Check1"/>
            <w:enabled/>
            <w:calcOnExit w:val="0"/>
            <w:checkBox>
              <w:sizeAuto/>
              <w:default w:val="0"/>
            </w:checkBox>
          </w:ffData>
        </w:fldChar>
      </w:r>
      <w:r>
        <w:instrText xml:space="preserve"> FORMCHECKBOX </w:instrText>
      </w:r>
      <w:r w:rsidR="001336BC">
        <w:fldChar w:fldCharType="separate"/>
      </w:r>
      <w:r>
        <w:fldChar w:fldCharType="end"/>
      </w:r>
      <w:r w:rsidR="00573DE7">
        <w:t xml:space="preserve"> </w:t>
      </w:r>
      <w:r>
        <w:t>Nej</w:t>
      </w:r>
    </w:p>
    <w:p w14:paraId="1481B715" w14:textId="77777777" w:rsidR="0047707E" w:rsidRDefault="00877F82" w:rsidP="0047707E">
      <w:pPr>
        <w:pStyle w:val="NumPar3"/>
        <w:spacing w:before="240"/>
        <w:ind w:left="1418"/>
      </w:pPr>
      <w:r>
        <w:t>Angiv, om statsstøttebudgettet for ordningen overstiger 750 mio. EUR i hele ordningens løbetid (dvs. den samlede varighed af ordningen og eventuelle tidligere ordninger, der dækker et lignende mål og det samme geografiske område, fra den 1. januar 2022):</w:t>
      </w:r>
    </w:p>
    <w:p w14:paraId="4F595E38" w14:textId="77777777" w:rsidR="0047707E" w:rsidRDefault="0047707E" w:rsidP="0047707E">
      <w:pPr>
        <w:pStyle w:val="NumPar3"/>
        <w:spacing w:before="240"/>
        <w:ind w:left="1418"/>
      </w:pPr>
      <w:r>
        <w:fldChar w:fldCharType="begin">
          <w:ffData>
            <w:name w:val="Check1"/>
            <w:enabled/>
            <w:calcOnExit w:val="0"/>
            <w:checkBox>
              <w:sizeAuto/>
              <w:default w:val="0"/>
            </w:checkBox>
          </w:ffData>
        </w:fldChar>
      </w:r>
      <w:r>
        <w:instrText xml:space="preserve"> FORMCHECKBOX </w:instrText>
      </w:r>
      <w:r w:rsidR="001336BC">
        <w:fldChar w:fldCharType="separate"/>
      </w:r>
      <w:r>
        <w:fldChar w:fldCharType="end"/>
      </w:r>
      <w:r>
        <w:t xml:space="preserve"> Ja</w:t>
      </w:r>
    </w:p>
    <w:p w14:paraId="32807006" w14:textId="77777777" w:rsidR="0047707E" w:rsidRDefault="0047707E" w:rsidP="00FC438A">
      <w:pPr>
        <w:pStyle w:val="NumPar3"/>
        <w:spacing w:before="240"/>
        <w:ind w:left="1418"/>
      </w:pPr>
      <w:r>
        <w:lastRenderedPageBreak/>
        <w:fldChar w:fldCharType="begin">
          <w:ffData>
            <w:name w:val="Check1"/>
            <w:enabled/>
            <w:calcOnExit w:val="0"/>
            <w:checkBox>
              <w:sizeAuto/>
              <w:default w:val="0"/>
            </w:checkBox>
          </w:ffData>
        </w:fldChar>
      </w:r>
      <w:r>
        <w:instrText xml:space="preserve"> FORMCHECKBOX </w:instrText>
      </w:r>
      <w:r w:rsidR="001336BC">
        <w:fldChar w:fldCharType="separate"/>
      </w:r>
      <w:r>
        <w:fldChar w:fldCharType="end"/>
      </w:r>
      <w:r>
        <w:t xml:space="preserve"> Nej</w:t>
      </w:r>
    </w:p>
    <w:p w14:paraId="04565C51" w14:textId="77777777" w:rsidR="0047707E" w:rsidRDefault="0047707E" w:rsidP="00AC71FD">
      <w:pPr>
        <w:pStyle w:val="NumPar3"/>
        <w:numPr>
          <w:ilvl w:val="2"/>
          <w:numId w:val="2"/>
        </w:numPr>
        <w:spacing w:before="240"/>
        <w:ind w:left="1418" w:hanging="720"/>
      </w:pPr>
      <w:r>
        <w:t>Angiv, om ordningen er (punkt 143 i retningslinjerne):</w:t>
      </w:r>
    </w:p>
    <w:p w14:paraId="00204381" w14:textId="77777777" w:rsidR="0047707E" w:rsidRDefault="0047707E" w:rsidP="0047707E">
      <w:pPr>
        <w:spacing w:before="120" w:after="120"/>
        <w:ind w:left="1701" w:hanging="283"/>
        <w:rPr>
          <w:szCs w:val="24"/>
        </w:rPr>
      </w:pPr>
      <w:r>
        <w:t>en ordning, der indeholder nye karakteristika</w:t>
      </w:r>
    </w:p>
    <w:p w14:paraId="70CA688D"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1336BC">
        <w:fldChar w:fldCharType="separate"/>
      </w:r>
      <w:r>
        <w:fldChar w:fldCharType="end"/>
      </w:r>
      <w:r>
        <w:t xml:space="preserve"> Ja</w:t>
      </w:r>
    </w:p>
    <w:p w14:paraId="2019EE60"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1336BC">
        <w:fldChar w:fldCharType="separate"/>
      </w:r>
      <w:r>
        <w:fldChar w:fldCharType="end"/>
      </w:r>
      <w:r>
        <w:t xml:space="preserve"> Nej</w:t>
      </w:r>
    </w:p>
    <w:p w14:paraId="1DDA9233" w14:textId="77777777" w:rsidR="0047707E" w:rsidRDefault="0047707E" w:rsidP="0047707E">
      <w:pPr>
        <w:spacing w:before="120" w:after="120"/>
        <w:ind w:left="1418"/>
        <w:rPr>
          <w:szCs w:val="24"/>
        </w:rPr>
      </w:pPr>
      <w:r>
        <w:t>en ordning, hvor der ventes betydelige ændringer på markeder, i teknologi eller lovgivning</w:t>
      </w:r>
    </w:p>
    <w:p w14:paraId="6527604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1336BC">
        <w:fldChar w:fldCharType="separate"/>
      </w:r>
      <w:r>
        <w:fldChar w:fldCharType="end"/>
      </w:r>
      <w:r>
        <w:t xml:space="preserve"> Ja</w:t>
      </w:r>
    </w:p>
    <w:p w14:paraId="32A57503"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1336BC">
        <w:fldChar w:fldCharType="separate"/>
      </w:r>
      <w:r>
        <w:fldChar w:fldCharType="end"/>
      </w:r>
      <w:r>
        <w:t xml:space="preserve"> Nej</w:t>
      </w:r>
    </w:p>
    <w:p w14:paraId="1086B92D" w14:textId="77777777" w:rsidR="0047707E" w:rsidRDefault="0047707E" w:rsidP="0047707E">
      <w:pPr>
        <w:spacing w:before="120" w:after="120"/>
        <w:ind w:left="1843" w:hanging="425"/>
        <w:rPr>
          <w:szCs w:val="24"/>
        </w:rPr>
      </w:pPr>
      <w:r>
        <w:t>en ordning, der planlægges evalueret, selv om de ovennævnte kriterier i 5.1.2. og 5.1.3. ikke er opfyldt</w:t>
      </w:r>
    </w:p>
    <w:p w14:paraId="1B7AB8F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1336BC">
        <w:fldChar w:fldCharType="separate"/>
      </w:r>
      <w:r>
        <w:fldChar w:fldCharType="end"/>
      </w:r>
      <w:r>
        <w:t xml:space="preserve"> Ja</w:t>
      </w:r>
    </w:p>
    <w:p w14:paraId="4E165F0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1336BC">
        <w:fldChar w:fldCharType="separate"/>
      </w:r>
      <w:r>
        <w:fldChar w:fldCharType="end"/>
      </w:r>
      <w:r>
        <w:t xml:space="preserve"> Nej</w:t>
      </w:r>
    </w:p>
    <w:p w14:paraId="33F426CB" w14:textId="1D07BA32" w:rsidR="0047707E" w:rsidRDefault="0047707E" w:rsidP="00E4134F">
      <w:pPr>
        <w:pStyle w:val="NumPar3"/>
        <w:ind w:left="1418"/>
        <w:rPr>
          <w:b/>
        </w:rPr>
      </w:pPr>
      <w:r>
        <w:t>Hvis der svares "Nej" på spørgsmålet i 5.1.1. og "Ja" på et af spørgsmålene i 5.1.2. eller 5.1.3., skal ordningen underkastes en efterfølgende evaluering (punkt 143 i retningslinjerne). Besvar i så fald det relevante spørgsmål i den generelle anmeldelsesformular med "Ja", angiv evalueringsperioden, og fremsend udkastet til evalueringsplan i bilag I — del III.8</w:t>
      </w:r>
      <w:r>
        <w:rPr>
          <w:color w:val="000000"/>
          <w:vertAlign w:val="superscript"/>
        </w:rPr>
        <w:footnoteReference w:id="28"/>
      </w:r>
      <w:r>
        <w:t>.</w:t>
      </w:r>
      <w:r>
        <w:rPr>
          <w:color w:val="000000"/>
        </w:rPr>
        <w:t xml:space="preserve"> </w:t>
      </w:r>
    </w:p>
    <w:p w14:paraId="3880FD42" w14:textId="77777777" w:rsidR="00132132" w:rsidRDefault="00132132" w:rsidP="00DB5B5A">
      <w:pPr>
        <w:pStyle w:val="NumPar2"/>
        <w:numPr>
          <w:ilvl w:val="1"/>
          <w:numId w:val="2"/>
        </w:numPr>
        <w:tabs>
          <w:tab w:val="left" w:pos="851"/>
        </w:tabs>
        <w:spacing w:before="360"/>
        <w:ind w:left="720" w:hanging="720"/>
        <w:rPr>
          <w:b/>
        </w:rPr>
      </w:pPr>
      <w:r>
        <w:rPr>
          <w:b/>
        </w:rPr>
        <w:t>Rapportering og overvågning</w:t>
      </w:r>
    </w:p>
    <w:p w14:paraId="478099B4" w14:textId="77777777" w:rsidR="00104EE1" w:rsidRDefault="00132132" w:rsidP="00AC71FD">
      <w:pPr>
        <w:pStyle w:val="NumPar3"/>
        <w:numPr>
          <w:ilvl w:val="2"/>
          <w:numId w:val="2"/>
        </w:numPr>
        <w:spacing w:before="240"/>
        <w:ind w:left="1418" w:hanging="720"/>
      </w:pPr>
      <w:r>
        <w:t>Bekræft, at du vil:</w:t>
      </w:r>
    </w:p>
    <w:p w14:paraId="471BF233" w14:textId="4F4B5021" w:rsidR="00104EE1" w:rsidRDefault="00104EE1" w:rsidP="00104EE1">
      <w:pPr>
        <w:numPr>
          <w:ilvl w:val="0"/>
          <w:numId w:val="25"/>
        </w:numPr>
        <w:rPr>
          <w:szCs w:val="24"/>
        </w:rPr>
      </w:pPr>
      <w:r>
        <w:t>indsende årlige rapporter til Kommissionen i overensstemmelse med Rådets forordning (EU) 2015/1589 af 13. juli 2015 og Kommissionens forordning (EF) nr. 794/2004 af 21. april 2004 om gennemførelse af Rådets forordning (EU) 2015/1589 om fastlæggelse af regler for anvendelsen af artikel 108 i traktaten om Den Europæiske Unions funktionsmåde og</w:t>
      </w:r>
    </w:p>
    <w:p w14:paraId="16275CC1" w14:textId="77777777" w:rsidR="00132132" w:rsidRDefault="00132132" w:rsidP="001D303A">
      <w:pPr>
        <w:ind w:left="1418"/>
        <w:rPr>
          <w:szCs w:val="24"/>
        </w:rPr>
      </w:pPr>
    </w:p>
    <w:p w14:paraId="7F1E23DD" w14:textId="2E48729A" w:rsidR="00954405" w:rsidRDefault="00132132" w:rsidP="00607A3B">
      <w:pPr>
        <w:ind w:left="2410" w:hanging="567"/>
        <w:rPr>
          <w:szCs w:val="24"/>
        </w:rPr>
      </w:pPr>
      <w:r>
        <w:rPr>
          <w:b/>
          <w:color w:val="000000"/>
        </w:rPr>
        <w:fldChar w:fldCharType="begin">
          <w:ffData>
            <w:name w:val="Check1"/>
            <w:enabled/>
            <w:calcOnExit w:val="0"/>
            <w:checkBox>
              <w:sizeAuto/>
              <w:default w:val="0"/>
            </w:checkBox>
          </w:ffData>
        </w:fldChar>
      </w:r>
      <w:r>
        <w:rPr>
          <w:b/>
          <w:color w:val="000000"/>
        </w:rPr>
        <w:instrText xml:space="preserve"> FORMCHECKBOX </w:instrText>
      </w:r>
      <w:r w:rsidR="001336BC">
        <w:rPr>
          <w:b/>
          <w:color w:val="000000"/>
        </w:rPr>
      </w:r>
      <w:r w:rsidR="001336BC">
        <w:rPr>
          <w:b/>
          <w:color w:val="000000"/>
        </w:rPr>
        <w:fldChar w:fldCharType="separate"/>
      </w:r>
      <w:r>
        <w:rPr>
          <w:b/>
          <w:color w:val="000000"/>
        </w:rPr>
        <w:fldChar w:fldCharType="end"/>
      </w:r>
      <w:r>
        <w:rPr>
          <w:b/>
          <w:color w:val="000000"/>
        </w:rPr>
        <w:t xml:space="preserve"> </w:t>
      </w:r>
      <w:r>
        <w:t>Ja</w:t>
      </w:r>
    </w:p>
    <w:p w14:paraId="7CC12627" w14:textId="77777777" w:rsidR="00132132" w:rsidRDefault="00877F82" w:rsidP="00104EE1">
      <w:pPr>
        <w:numPr>
          <w:ilvl w:val="0"/>
          <w:numId w:val="25"/>
        </w:numPr>
        <w:rPr>
          <w:szCs w:val="24"/>
        </w:rPr>
      </w:pPr>
      <w:r>
        <w:t>opbevare detaljerede fortegnelser, som indeholder de oplysninger og bilag, der er nødvendige for at fastslå, om alle forenelighedsbetingelser er opfyldt, i mindst 10 år fra datoen for tildeling af enhver støtte inden for rammerne af ordningen, og at disse fortegnelser vil blive udleveret til Kommissionen efter anmodning.</w:t>
      </w:r>
    </w:p>
    <w:p w14:paraId="18E1AEFD" w14:textId="2C6151F1" w:rsidR="00132132" w:rsidRDefault="00132132" w:rsidP="00607A3B">
      <w:pPr>
        <w:spacing w:before="240" w:after="240"/>
        <w:ind w:left="2410" w:hanging="567"/>
      </w:pPr>
      <w:r>
        <w:rPr>
          <w:color w:val="000000"/>
        </w:rPr>
        <w:fldChar w:fldCharType="begin">
          <w:ffData>
            <w:name w:val="Check1"/>
            <w:enabled/>
            <w:calcOnExit w:val="0"/>
            <w:checkBox>
              <w:sizeAuto/>
              <w:default w:val="0"/>
            </w:checkBox>
          </w:ffData>
        </w:fldChar>
      </w:r>
      <w:r>
        <w:rPr>
          <w:color w:val="000000"/>
        </w:rPr>
        <w:instrText xml:space="preserve"> FORMCHECKBOX </w:instrText>
      </w:r>
      <w:r w:rsidR="001336BC">
        <w:rPr>
          <w:color w:val="000000"/>
        </w:rPr>
      </w:r>
      <w:r w:rsidR="001336BC">
        <w:rPr>
          <w:color w:val="000000"/>
        </w:rPr>
        <w:fldChar w:fldCharType="separate"/>
      </w:r>
      <w:r>
        <w:rPr>
          <w:color w:val="000000"/>
        </w:rPr>
        <w:fldChar w:fldCharType="end"/>
      </w:r>
      <w:r>
        <w:rPr>
          <w:color w:val="000000"/>
        </w:rPr>
        <w:t xml:space="preserve"> </w:t>
      </w:r>
      <w:bookmarkStart w:id="3" w:name="_GoBack"/>
      <w:bookmarkEnd w:id="3"/>
      <w:r>
        <w:t xml:space="preserve">Ja </w:t>
      </w:r>
    </w:p>
    <w:sectPr w:rsidR="0013213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C79731" w16cid:durableId="2767EC5E"/>
  <w16cid:commentId w16cid:paraId="6D5153DF" w16cid:durableId="2767EC5F"/>
  <w16cid:commentId w16cid:paraId="41002E22" w16cid:durableId="2767EC60"/>
  <w16cid:commentId w16cid:paraId="018D79D2" w16cid:durableId="2767EC61"/>
  <w16cid:commentId w16cid:paraId="0279A572" w16cid:durableId="2767EC62"/>
  <w16cid:commentId w16cid:paraId="3C0DD2F0" w16cid:durableId="2767EC63"/>
  <w16cid:commentId w16cid:paraId="0FCCAA88" w16cid:durableId="2767EC64"/>
  <w16cid:commentId w16cid:paraId="0B93BABB" w16cid:durableId="2767EC65"/>
  <w16cid:commentId w16cid:paraId="39B6EC04" w16cid:durableId="2767EC66"/>
  <w16cid:commentId w16cid:paraId="77C1C3B3" w16cid:durableId="2767EC67"/>
  <w16cid:commentId w16cid:paraId="00B9CAF4" w16cid:durableId="2767F8E9"/>
  <w16cid:commentId w16cid:paraId="72AB94A8" w16cid:durableId="2767F8E8"/>
  <w16cid:commentId w16cid:paraId="3989204F" w16cid:durableId="2767EC68"/>
  <w16cid:commentId w16cid:paraId="79D57417" w16cid:durableId="2767EC69"/>
  <w16cid:commentId w16cid:paraId="55375763" w16cid:durableId="2767EC6A"/>
  <w16cid:commentId w16cid:paraId="4D2A1769" w16cid:durableId="2767EC6B"/>
  <w16cid:commentId w16cid:paraId="4508E6F3" w16cid:durableId="2767EC6C"/>
  <w16cid:commentId w16cid:paraId="36EADCB4" w16cid:durableId="2767EC6D"/>
  <w16cid:commentId w16cid:paraId="6416141D" w16cid:durableId="2767EC6E"/>
  <w16cid:commentId w16cid:paraId="69BC1DEB" w16cid:durableId="2767EC6F"/>
  <w16cid:commentId w16cid:paraId="090E922D" w16cid:durableId="2767EC70"/>
  <w16cid:commentId w16cid:paraId="4E0C87F0" w16cid:durableId="2767EC71"/>
  <w16cid:commentId w16cid:paraId="146B2493" w16cid:durableId="2767EC72"/>
  <w16cid:commentId w16cid:paraId="69E6F386" w16cid:durableId="2767EC73"/>
  <w16cid:commentId w16cid:paraId="450A28D0" w16cid:durableId="2767EC74"/>
  <w16cid:commentId w16cid:paraId="2FAA8BC2" w16cid:durableId="2767EC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677AD" w14:textId="77777777" w:rsidR="00B133A0" w:rsidRDefault="00B133A0" w:rsidP="00EF0533">
      <w:r>
        <w:separator/>
      </w:r>
    </w:p>
  </w:endnote>
  <w:endnote w:type="continuationSeparator" w:id="0">
    <w:p w14:paraId="5AB85169" w14:textId="77777777" w:rsidR="00B133A0" w:rsidRDefault="00B133A0" w:rsidP="00EF0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FAECA" w14:textId="77777777" w:rsidR="00B133A0" w:rsidRDefault="00B133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3371D" w14:textId="77777777" w:rsidR="00B133A0" w:rsidRDefault="00B133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DB465" w14:textId="77777777" w:rsidR="00B133A0" w:rsidRDefault="00B13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753A0" w14:textId="77777777" w:rsidR="00B133A0" w:rsidRDefault="00B133A0" w:rsidP="00EF0533">
      <w:r>
        <w:separator/>
      </w:r>
    </w:p>
  </w:footnote>
  <w:footnote w:type="continuationSeparator" w:id="0">
    <w:p w14:paraId="3492D621" w14:textId="77777777" w:rsidR="00B133A0" w:rsidRDefault="00B133A0" w:rsidP="00EF0533">
      <w:r>
        <w:continuationSeparator/>
      </w:r>
    </w:p>
  </w:footnote>
  <w:footnote w:id="1">
    <w:p w14:paraId="3A4A3D65" w14:textId="174DEEC9" w:rsidR="00B133A0" w:rsidRPr="00D47F00" w:rsidRDefault="00B133A0" w:rsidP="00D621FD">
      <w:pPr>
        <w:pStyle w:val="FootnoteText"/>
        <w:tabs>
          <w:tab w:val="clear" w:pos="357"/>
          <w:tab w:val="left" w:pos="284"/>
        </w:tabs>
        <w:spacing w:after="120"/>
        <w:ind w:left="284" w:hanging="284"/>
      </w:pPr>
      <w:r>
        <w:rPr>
          <w:rStyle w:val="FootnoteReference"/>
        </w:rPr>
        <w:footnoteRef/>
      </w:r>
      <w:r>
        <w:t xml:space="preserve"> </w:t>
      </w:r>
      <w:r>
        <w:tab/>
        <w:t xml:space="preserve">Retningslinjer for statsstøtte med regionalt sigte (EUT C </w:t>
      </w:r>
      <w:r>
        <w:rPr>
          <w:rStyle w:val="Emphasis"/>
          <w:i w:val="0"/>
        </w:rPr>
        <w:t>153 af 29.4.2021, s. 1</w:t>
      </w:r>
      <w:r>
        <w:t>).</w:t>
      </w:r>
    </w:p>
  </w:footnote>
  <w:footnote w:id="2">
    <w:p w14:paraId="4D22271A" w14:textId="23CE64F8"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Kommissionens forordning (EU) nr. 651/2014 af 17. juni 2014 om visse kategorier af støttes forenelighed med det indre marked i henhold til traktatens artikel 107 og 108 (</w:t>
      </w:r>
      <w:r>
        <w:rPr>
          <w:rStyle w:val="Emphasis"/>
          <w:i w:val="0"/>
        </w:rPr>
        <w:t>EUT L 187 af 26.6.2014, s. 1</w:t>
      </w:r>
      <w:r>
        <w:t>), som ændret.</w:t>
      </w:r>
    </w:p>
  </w:footnote>
  <w:footnote w:id="3">
    <w:p w14:paraId="3243015D" w14:textId="0993AE2C" w:rsidR="00B133A0" w:rsidRPr="00E4500B" w:rsidRDefault="00B133A0" w:rsidP="00D621FD">
      <w:pPr>
        <w:pStyle w:val="FootnoteText"/>
        <w:tabs>
          <w:tab w:val="clear" w:pos="357"/>
          <w:tab w:val="left" w:pos="284"/>
        </w:tabs>
        <w:spacing w:after="120"/>
        <w:ind w:left="284" w:hanging="284"/>
      </w:pPr>
      <w:r>
        <w:rPr>
          <w:rStyle w:val="FootnoteReference"/>
        </w:rPr>
        <w:footnoteRef/>
      </w:r>
      <w:r>
        <w:t xml:space="preserve"> </w:t>
      </w:r>
      <w:r>
        <w:tab/>
        <w:t xml:space="preserve">Kommissionens forordning (EU) nr. 1407/2013 af 18. december 2013 om anvendelse af artikel 107 og 108 i traktaten om Den Europæiske Unions funktionsmåde på de minimis-støtte (EUT L 352 af 24.12.2013, s. 1). </w:t>
      </w:r>
    </w:p>
  </w:footnote>
  <w:footnote w:id="4">
    <w:p w14:paraId="4F981C5C"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rPr>
        <w:footnoteRef/>
      </w:r>
      <w:r>
        <w:t xml:space="preserve"> </w:t>
      </w:r>
      <w:r>
        <w:tab/>
      </w:r>
      <w:r>
        <w:rPr>
          <w:color w:val="000000"/>
        </w:rPr>
        <w:t>Som defineret i rammebestemmelserne for statsstøtte til redning og omstrukturering af kriseramte ikke-finansielle virksomheder (EUT C 249 af 31.7.2014, s. 1).</w:t>
      </w:r>
    </w:p>
  </w:footnote>
  <w:footnote w:id="5">
    <w:p w14:paraId="1984CB84"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color w:val="000000"/>
        </w:rPr>
        <w:footnoteRef/>
      </w:r>
      <w:r>
        <w:rPr>
          <w:color w:val="000000"/>
        </w:rPr>
        <w:t xml:space="preserve"> </w:t>
      </w:r>
      <w:r>
        <w:tab/>
      </w:r>
      <w:r>
        <w:rPr>
          <w:color w:val="000000"/>
        </w:rPr>
        <w:t>Som defineret i bilag VI til retningslinjerne.</w:t>
      </w:r>
    </w:p>
  </w:footnote>
  <w:footnote w:id="6">
    <w:p w14:paraId="1680557B"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"Brunkul": lavkvalitets-C eller ortho-brunkul og lavkvalitets-B eller meta-lignit som defineret i det internationale kulklassificeringssystem, som er fastlagt af FN's Økonomiske Kommission for Europa.</w:t>
      </w:r>
    </w:p>
  </w:footnote>
  <w:footnote w:id="7">
    <w:p w14:paraId="545C10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"Kul": højkvalitets-, middelkvalitets- og lavkvalitetskul af kategori A og B som defineret i det internationale kulklassificeringssystem, som er fastlagt af FN's Økonomiske Kommission for Europa og præciseret i Rådets afgørelse af 10. december 2010 om statsstøtte til fremme af lukning af miner, der ikke er konkurrencedygtige (EUT L 336 af 21.12.2010, s. 24).</w:t>
      </w:r>
    </w:p>
  </w:footnote>
  <w:footnote w:id="8">
    <w:p w14:paraId="6B02F5C5"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Som omfattet af Europa-Parlamentets og Rådets forordning (EU) nr. 1379/2013 af 11. december 2013 om den fælles markedsordning for fiskevarer og akvakulturprodukter, om ændring af Rådets forordning (EF) nr. 1184/2006 og (EF) nr. 1224/2009 og om ophævelse af Rådets forordning (EF) nr. 104/2000 (EUT L 354 af 28.12.2013, s. 1).</w:t>
      </w:r>
    </w:p>
  </w:footnote>
  <w:footnote w:id="9">
    <w:p w14:paraId="6B9B68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Statsstøtte til primærproduktion, forarbejdning og afsætning af landbrugsprodukter, som resulterer i landbrugsprodukter, der er anført i bilag I til traktaten, og til skovbrug er underlagt retningslinjerne for statsstøtte i landbrugs- og skovbrugssektoren (EUT C 204 af 1.7.2014, s. 1).</w:t>
      </w:r>
    </w:p>
  </w:footnote>
  <w:footnote w:id="10">
    <w:p w14:paraId="4415F8C9" w14:textId="77777777" w:rsidR="00B133A0" w:rsidRPr="00F33754" w:rsidRDefault="00B133A0" w:rsidP="00D621FD">
      <w:pPr>
        <w:pStyle w:val="Footer"/>
        <w:tabs>
          <w:tab w:val="clear" w:pos="357"/>
          <w:tab w:val="left" w:pos="284"/>
        </w:tabs>
        <w:spacing w:after="120"/>
        <w:ind w:left="284" w:hanging="284"/>
        <w:jc w:val="both"/>
      </w:pPr>
      <w:r>
        <w:rPr>
          <w:rStyle w:val="FootnoteReference"/>
          <w:color w:val="000000"/>
        </w:rPr>
        <w:footnoteRef/>
      </w:r>
      <w:r>
        <w:rPr>
          <w:color w:val="000000"/>
        </w:rPr>
        <w:t xml:space="preserve"> </w:t>
      </w:r>
      <w:r>
        <w:tab/>
      </w:r>
      <w:r>
        <w:rPr>
          <w:color w:val="000000"/>
        </w:rPr>
        <w:t>Retningslinjerne gælder støtteforanstaltninger, der understøtter aktiviteter, som ikke er omfattet af traktatens artikel 42, men enten medfinansieres af Den Europæiske Landbrugsfond for Udvikling af Landdistrikterne (ELFUL) eller ydes som supplerende national finansiering til sådanne samfinansierede foranstaltninger, medmindre andet er fastsat i sektorreglerne.</w:t>
      </w:r>
    </w:p>
  </w:footnote>
  <w:footnote w:id="11">
    <w:p w14:paraId="19F60E04"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 xml:space="preserve"> </w:t>
      </w:r>
      <w:r>
        <w:tab/>
        <w:t>"Transport": transport af passagerer med fly, søtransport, ad vej eller jernbane eller indre vandveje eller godstransport for fremmed regning. Transportinfrastruktur, der er omfattet af specifikke retningslinjer, f.eks. lufthavne, er også udelukket fra disse retningslinjer (se meddelelse fra Kommissionen — Retningslinjer for statsstøtte til lufthavne og luftfartsselskaber (EUT C 99 af 4.4.2014, s. 3)).</w:t>
      </w:r>
    </w:p>
  </w:footnote>
  <w:footnote w:id="12">
    <w:p w14:paraId="0F845E83" w14:textId="77777777" w:rsidR="00B133A0" w:rsidRPr="00DB5B5A" w:rsidRDefault="00B133A0" w:rsidP="00607A3B">
      <w:pPr>
        <w:pStyle w:val="FootnoteText"/>
        <w:tabs>
          <w:tab w:val="clear" w:pos="357"/>
          <w:tab w:val="left" w:pos="284"/>
        </w:tabs>
        <w:spacing w:after="120"/>
        <w:ind w:left="284" w:hanging="284"/>
      </w:pPr>
      <w:r>
        <w:rPr>
          <w:rStyle w:val="FootnoteReference"/>
        </w:rPr>
        <w:footnoteRef/>
      </w:r>
      <w:r>
        <w:t xml:space="preserve"> </w:t>
      </w:r>
      <w:r>
        <w:tab/>
        <w:t>EU-retningslinjer for statsstøttereglernes anvendelse i forbindelse med hurtig etablering af bredbåndsnet (EUT C 25 af 26.1.2013, s. 1.)</w:t>
      </w:r>
    </w:p>
  </w:footnote>
  <w:footnote w:id="13">
    <w:p w14:paraId="642A7DC3"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 xml:space="preserve"> </w:t>
      </w:r>
      <w:r>
        <w:tab/>
        <w:t>Kommissionen vil vurdere foreneligheden af statsstøtte til energisektoren på grundlag af retningslinjerne for statsstøtte til miljøbeskyttelse og energi 2014-2020 (EUT C 200 af 28.6.2014, s. 1).</w:t>
      </w:r>
    </w:p>
  </w:footnote>
  <w:footnote w:id="14">
    <w:p w14:paraId="4D278831" w14:textId="400450AA" w:rsidR="00B133A0" w:rsidRPr="00527F99" w:rsidRDefault="00B133A0" w:rsidP="00D621FD">
      <w:pPr>
        <w:pStyle w:val="FootnoteText"/>
        <w:tabs>
          <w:tab w:val="clear" w:pos="357"/>
          <w:tab w:val="left" w:pos="284"/>
        </w:tabs>
        <w:spacing w:after="120"/>
        <w:ind w:left="284" w:hanging="284"/>
      </w:pPr>
      <w:r>
        <w:rPr>
          <w:rStyle w:val="FootnoteReference"/>
        </w:rPr>
        <w:footnoteRef/>
      </w:r>
      <w:r>
        <w:t xml:space="preserve"> </w:t>
      </w:r>
      <w:r>
        <w:tab/>
        <w:t>"SMV'er": små og mellemstore virksomheder, som opfylder kriterierne i Kommissionens henstilling af 6. maj 2003 om definitionen af mikrovirksomheder og små og mellemstore virksomheder (EUT L 124 af 20.5.2003, s. 36).</w:t>
      </w:r>
    </w:p>
  </w:footnote>
  <w:footnote w:id="15">
    <w:p w14:paraId="00A09E4A" w14:textId="77777777" w:rsidR="00B133A0" w:rsidRPr="0056721A" w:rsidRDefault="00B133A0" w:rsidP="00D621FD">
      <w:pPr>
        <w:pStyle w:val="FootnoteText"/>
        <w:tabs>
          <w:tab w:val="clear" w:pos="357"/>
          <w:tab w:val="left" w:pos="284"/>
        </w:tabs>
        <w:spacing w:after="120"/>
        <w:ind w:left="284" w:hanging="284"/>
      </w:pPr>
      <w:r>
        <w:rPr>
          <w:rStyle w:val="FootnoteReference"/>
        </w:rPr>
        <w:footnoteRef/>
      </w:r>
      <w:r>
        <w:t xml:space="preserve"> </w:t>
      </w:r>
      <w:r>
        <w:tab/>
        <w:t>Køb af en virksomheds aktier betragtes ikke i sig selv som en initialinvestering.</w:t>
      </w:r>
    </w:p>
  </w:footnote>
  <w:footnote w:id="16">
    <w:p w14:paraId="2CE5323C" w14:textId="77777777" w:rsidR="00B133A0" w:rsidRPr="008A59EC" w:rsidRDefault="00B133A0" w:rsidP="00D621FD">
      <w:pPr>
        <w:pStyle w:val="FootnoteText"/>
        <w:tabs>
          <w:tab w:val="clear" w:pos="357"/>
          <w:tab w:val="left" w:pos="284"/>
        </w:tabs>
        <w:spacing w:after="120"/>
        <w:ind w:left="284" w:hanging="284"/>
      </w:pPr>
      <w:r>
        <w:rPr>
          <w:rStyle w:val="FootnoteReference"/>
        </w:rPr>
        <w:footnoteRef/>
      </w:r>
      <w:r>
        <w:t xml:space="preserve"> </w:t>
      </w:r>
      <w:r>
        <w:tab/>
        <w:t>"samme eller lignende aktivitet": aktiviteter, der hører under den samme klassifikation (firecifret talkode) i den statistiske nomenklatur for økonomiske aktiviteter, NACE rev. 2.</w:t>
      </w:r>
    </w:p>
  </w:footnote>
  <w:footnote w:id="17">
    <w:p w14:paraId="3B72DCB4" w14:textId="77777777" w:rsidR="006A2C1A" w:rsidRPr="000D0DAA" w:rsidRDefault="006A2C1A" w:rsidP="006A2C1A">
      <w:pPr>
        <w:pStyle w:val="FootnoteText"/>
        <w:tabs>
          <w:tab w:val="clear" w:pos="357"/>
          <w:tab w:val="left" w:pos="284"/>
        </w:tabs>
        <w:spacing w:after="120"/>
        <w:ind w:left="284" w:hanging="284"/>
      </w:pPr>
      <w:r>
        <w:rPr>
          <w:rStyle w:val="FootnoteReference"/>
        </w:rPr>
        <w:footnoteRef/>
      </w:r>
      <w:r>
        <w:t xml:space="preserve"> </w:t>
      </w:r>
      <w:r>
        <w:tab/>
        <w:t>Køb af en virksomheds aktier betragtes ikke i sig selv som en initialinvestering, der skaber en ny økonomisk aktivitet</w:t>
      </w:r>
    </w:p>
  </w:footnote>
  <w:footnote w:id="18">
    <w:p w14:paraId="6FFFD3E0" w14:textId="77777777" w:rsidR="00B133A0" w:rsidRPr="00D35343" w:rsidRDefault="00B133A0" w:rsidP="00D621FD">
      <w:pPr>
        <w:pStyle w:val="FootnoteText"/>
        <w:tabs>
          <w:tab w:val="clear" w:pos="357"/>
          <w:tab w:val="left" w:pos="284"/>
        </w:tabs>
        <w:spacing w:after="120"/>
        <w:ind w:left="284" w:hanging="284"/>
      </w:pPr>
      <w:r>
        <w:rPr>
          <w:rStyle w:val="FootnoteReference"/>
        </w:rPr>
        <w:footnoteRef/>
      </w:r>
      <w:r>
        <w:t xml:space="preserve"> </w:t>
      </w:r>
      <w:r>
        <w:tab/>
        <w:t>Denne bestemmelse behøver ikke finde anvendelse på SMV'er eller på erhvervelse af en virksomhed.</w:t>
      </w:r>
    </w:p>
  </w:footnote>
  <w:footnote w:id="19">
    <w:p w14:paraId="44701EA7" w14:textId="77777777" w:rsidR="00B133A0" w:rsidRPr="006D6383" w:rsidRDefault="00B133A0" w:rsidP="00B209F9">
      <w:pPr>
        <w:pStyle w:val="FootnoteText"/>
        <w:tabs>
          <w:tab w:val="clear" w:pos="357"/>
          <w:tab w:val="left" w:pos="284"/>
        </w:tabs>
        <w:ind w:left="284" w:hanging="284"/>
      </w:pPr>
      <w:r>
        <w:rPr>
          <w:rStyle w:val="FootnoteReference"/>
        </w:rPr>
        <w:footnoteRef/>
      </w:r>
      <w:r>
        <w:t xml:space="preserve"> </w:t>
      </w:r>
      <w:r>
        <w:tab/>
        <w:t>Ifølge punkt 34 i retningslinjerne skal de støtteberettigede immaterielle aktiver, der kan medregnes med henblik på beregning af investeringsomkostningerne, fortsat være tilknyttet det berørte område og må ikke overføres til andre områder. I den forbindelse skal de immaterielle aktiver opfylde følgende betingelser:</w:t>
      </w:r>
    </w:p>
    <w:p w14:paraId="1C54C443" w14:textId="77777777" w:rsidR="00B133A0" w:rsidRDefault="00B133A0" w:rsidP="00B209F9">
      <w:pPr>
        <w:pStyle w:val="FootnoteText"/>
        <w:numPr>
          <w:ilvl w:val="0"/>
          <w:numId w:val="33"/>
        </w:numPr>
        <w:tabs>
          <w:tab w:val="clear" w:pos="357"/>
          <w:tab w:val="left" w:pos="709"/>
        </w:tabs>
        <w:ind w:left="709" w:hanging="425"/>
      </w:pPr>
      <w:r>
        <w:t>De skal udelukkende anvendes i den virksomhed, der modtager støtten.</w:t>
      </w:r>
    </w:p>
    <w:p w14:paraId="7AF9FEC6" w14:textId="77777777" w:rsidR="00B133A0" w:rsidRDefault="00B133A0" w:rsidP="00B209F9">
      <w:pPr>
        <w:pStyle w:val="FootnoteText"/>
        <w:numPr>
          <w:ilvl w:val="0"/>
          <w:numId w:val="33"/>
        </w:numPr>
        <w:tabs>
          <w:tab w:val="clear" w:pos="357"/>
          <w:tab w:val="left" w:pos="709"/>
        </w:tabs>
        <w:ind w:left="709" w:hanging="425"/>
      </w:pPr>
      <w:r>
        <w:t>De skal kunne afskrives.</w:t>
      </w:r>
    </w:p>
    <w:p w14:paraId="63AFFA39" w14:textId="77777777" w:rsidR="00B133A0" w:rsidRDefault="00B133A0" w:rsidP="00B209F9">
      <w:pPr>
        <w:pStyle w:val="FootnoteText"/>
        <w:numPr>
          <w:ilvl w:val="0"/>
          <w:numId w:val="33"/>
        </w:numPr>
        <w:tabs>
          <w:tab w:val="clear" w:pos="357"/>
          <w:tab w:val="left" w:pos="709"/>
        </w:tabs>
        <w:ind w:left="709" w:hanging="425"/>
      </w:pPr>
      <w:r>
        <w:t>De skal erhverves fra tredjeparter uden tilknytning til køberen og på markedsvilkår.</w:t>
      </w:r>
    </w:p>
    <w:p w14:paraId="711F4621" w14:textId="77777777" w:rsidR="00B133A0" w:rsidRPr="006D6383" w:rsidRDefault="00B133A0" w:rsidP="00B209F9">
      <w:pPr>
        <w:pStyle w:val="FootnoteText"/>
        <w:numPr>
          <w:ilvl w:val="0"/>
          <w:numId w:val="33"/>
        </w:numPr>
        <w:tabs>
          <w:tab w:val="clear" w:pos="357"/>
          <w:tab w:val="left" w:pos="709"/>
        </w:tabs>
        <w:spacing w:after="120"/>
        <w:ind w:left="709" w:hanging="425"/>
      </w:pPr>
      <w:r>
        <w:t>De skal indgå i den støttemodtagende virksomheds aktiver og forblive i det projekt, hvortil støtten ydes, i mindst fem år (tre år for SMV'er).</w:t>
      </w:r>
    </w:p>
  </w:footnote>
  <w:footnote w:id="20">
    <w:p w14:paraId="3A45C634" w14:textId="77777777" w:rsidR="00B133A0" w:rsidRDefault="00B133A0" w:rsidP="00D621FD">
      <w:pPr>
        <w:pStyle w:val="FootnoteText"/>
        <w:tabs>
          <w:tab w:val="clear" w:pos="357"/>
          <w:tab w:val="left" w:pos="284"/>
        </w:tabs>
        <w:spacing w:after="120"/>
        <w:ind w:left="284" w:hanging="284"/>
      </w:pPr>
      <w:r>
        <w:rPr>
          <w:vertAlign w:val="superscript"/>
          <w:lang w:val="en-GB"/>
        </w:rPr>
        <w:footnoteRef/>
      </w:r>
      <w:r>
        <w:t xml:space="preserve"> </w:t>
      </w:r>
      <w:r>
        <w:tab/>
        <w:t>Dette spørgsmål gælder ikke rentelettede lån, offentlige egenkapitallån eller offentlige kapitalindskud, som ikke stemmer overens med det markedsøkonomiske investorprincip, statsgarantier med elementer af støtte eller offentlig støtte ydet inden for rammerne af de minimis-reglen.</w:t>
      </w:r>
    </w:p>
  </w:footnote>
  <w:footnote w:id="21">
    <w:p w14:paraId="21D19641" w14:textId="77777777"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t>Beskrivelsen af den kontrafaktiske situation er troværdig, hvis den er realistisk og baseret på de beslutningsparametre, der var gældende på det tidspunkt, hvor støttemodtageren traf sin investeringsbeslutning.</w:t>
      </w:r>
    </w:p>
  </w:footnote>
  <w:footnote w:id="22">
    <w:p w14:paraId="007DFB88" w14:textId="77777777"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t>Her kan der henvises til bl.a. konsekvensanalyser af den foreslåede ordning eller efterfølgende evalueringer af lignende ordninger.</w:t>
      </w:r>
    </w:p>
  </w:footnote>
  <w:footnote w:id="23">
    <w:p w14:paraId="7C27418E" w14:textId="77777777" w:rsidR="00B133A0" w:rsidRPr="00F800EA" w:rsidRDefault="00B133A0" w:rsidP="00D621FD">
      <w:pPr>
        <w:pStyle w:val="FootnoteText"/>
        <w:tabs>
          <w:tab w:val="clear" w:pos="357"/>
          <w:tab w:val="left" w:pos="284"/>
        </w:tabs>
        <w:spacing w:after="120"/>
        <w:ind w:left="284" w:hanging="284"/>
      </w:pPr>
      <w:r>
        <w:rPr>
          <w:rStyle w:val="FootnoteReference"/>
        </w:rPr>
        <w:footnoteRef/>
      </w:r>
      <w:r>
        <w:t xml:space="preserve"> </w:t>
      </w:r>
      <w:r>
        <w:tab/>
        <w:t>F.eks. direkte tilskud, fritagelser for eller nedsættelser af afgifter, socialsikringsbidrag eller andre obligatoriske bidrag eller salg af fast ejendom, varer eller tjenester til gunstige priser.</w:t>
      </w:r>
    </w:p>
  </w:footnote>
  <w:footnote w:id="24">
    <w:p w14:paraId="090AEACA" w14:textId="77777777" w:rsidR="00B133A0" w:rsidRPr="001D303A" w:rsidRDefault="00B133A0" w:rsidP="00D621FD">
      <w:pPr>
        <w:pStyle w:val="FootnoteText"/>
        <w:tabs>
          <w:tab w:val="clear" w:pos="357"/>
          <w:tab w:val="left" w:pos="284"/>
        </w:tabs>
        <w:spacing w:after="120"/>
        <w:ind w:left="284" w:hanging="284"/>
      </w:pPr>
      <w:r>
        <w:rPr>
          <w:rStyle w:val="FootnoteReference"/>
        </w:rPr>
        <w:footnoteRef/>
      </w:r>
      <w:r>
        <w:t xml:space="preserve"> </w:t>
      </w:r>
      <w:r>
        <w:tab/>
        <w:t>F.eks. rentelettede lån eller rentetilskud, statsgarantier, erhvervelse af kapitalinteresser eller alternative kapitalindsprøjtninger på gunstige vilkår.</w:t>
      </w:r>
    </w:p>
  </w:footnote>
  <w:footnote w:id="25">
    <w:p w14:paraId="02DDEC54" w14:textId="77777777" w:rsidR="00B133A0" w:rsidRPr="004E27C0" w:rsidRDefault="00B133A0" w:rsidP="00D621FD">
      <w:pPr>
        <w:pStyle w:val="FootnoteText"/>
        <w:tabs>
          <w:tab w:val="clear" w:pos="357"/>
          <w:tab w:val="left" w:pos="284"/>
        </w:tabs>
        <w:spacing w:after="120"/>
        <w:ind w:left="284" w:hanging="284"/>
      </w:pPr>
      <w:r>
        <w:rPr>
          <w:rStyle w:val="FootnoteReference"/>
        </w:rPr>
        <w:footnoteRef/>
      </w:r>
      <w:r>
        <w:t xml:space="preserve"> </w:t>
      </w:r>
      <w:r>
        <w:tab/>
        <w:t>For at sætte Kommissionen i stand til at vurdere de sandsynlige negative virkninger kan medlemsstaterne eventuelt indsende en konsekvensanalyse sammen med efterfølgende evalueringer, der er foretaget for lignende ordninger.</w:t>
      </w:r>
    </w:p>
  </w:footnote>
  <w:footnote w:id="26">
    <w:p w14:paraId="16BFF4B0"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 xml:space="preserve"> </w:t>
      </w:r>
      <w:r>
        <w:tab/>
        <w:t>Som defineret i bilag III til Kommissionens forordning (EU) nr. 651/2014 af 17. juni 2014 om visse kategorier af støttes forenelighed med det indre marked i henhold til traktatens artikel 107 og 108.</w:t>
      </w:r>
    </w:p>
  </w:footnote>
  <w:footnote w:id="27">
    <w:p w14:paraId="5D1AB0D2"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 xml:space="preserve"> </w:t>
      </w:r>
      <w:r>
        <w:tab/>
        <w:t>Som defineret i bilag III til Kommissionens forordning (EU) nr. 651/2014 af 17. juni 2014 om visse kategorier af støttes forenelighed med det indre marked i henhold til traktatens artikel 107 og 108.</w:t>
      </w:r>
    </w:p>
  </w:footnote>
  <w:footnote w:id="28">
    <w:p w14:paraId="63FE5190" w14:textId="7DAFB27D" w:rsidR="00B133A0" w:rsidRDefault="00B133A0" w:rsidP="00D621FD">
      <w:pPr>
        <w:pStyle w:val="FootnoteText"/>
        <w:tabs>
          <w:tab w:val="clear" w:pos="357"/>
          <w:tab w:val="left" w:pos="284"/>
        </w:tabs>
        <w:spacing w:after="120"/>
        <w:ind w:left="284" w:hanging="284"/>
      </w:pPr>
      <w:r>
        <w:rPr>
          <w:rStyle w:val="FootnoteReference"/>
        </w:rPr>
        <w:footnoteRef/>
      </w:r>
      <w:r w:rsidRPr="00573DE7">
        <w:rPr>
          <w:lang w:val="en-IE"/>
        </w:rPr>
        <w:t xml:space="preserve"> </w:t>
      </w:r>
      <w:r w:rsidRPr="00573DE7">
        <w:rPr>
          <w:lang w:val="en-IE"/>
        </w:rPr>
        <w:tab/>
        <w:t xml:space="preserve">Vejledning findes i "Methodological guidance paper for evaluation in the field of State aid": </w:t>
      </w:r>
      <w:hyperlink r:id="rId1" w:history="1">
        <w:r w:rsidRPr="00573DE7">
          <w:rPr>
            <w:rStyle w:val="Hyperlink"/>
            <w:lang w:val="en-IE"/>
          </w:rPr>
          <w:t>https://competition-policy.ec.europa.eu/system/files/2021-04/modernisation_evaluation_methodology_en.pdf</w:t>
        </w:r>
      </w:hyperlink>
      <w:r w:rsidRPr="00573DE7">
        <w:rPr>
          <w:lang w:val="en-IE"/>
        </w:rPr>
        <w:t xml:space="preserve">.  </w:t>
      </w:r>
      <w:r>
        <w:t xml:space="preserve">Evalueringsplanen (bilag I — del III.8) indsendes ved brug af den formular, der findes på: </w:t>
      </w:r>
      <w:hyperlink r:id="rId2" w:history="1">
        <w:r>
          <w:rPr>
            <w:rStyle w:val="Hyperlink"/>
          </w:rPr>
          <w:t>https://competition-policy.ec.europa.eu/state-aid/legislation/forms-notifications-and-reporting_en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8A33F" w14:textId="77777777" w:rsidR="00B133A0" w:rsidRDefault="00B133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E6F47" w14:textId="77777777" w:rsidR="00B133A0" w:rsidRDefault="00B133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1155C" w14:textId="77777777" w:rsidR="00B133A0" w:rsidRDefault="00B133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6F49B8C"/>
    <w:lvl w:ilvl="0">
      <w:start w:val="1"/>
      <w:numFmt w:val="decimal"/>
      <w:lvlText w:val="%1."/>
      <w:lvlJc w:val="left"/>
      <w:pPr>
        <w:tabs>
          <w:tab w:val="num" w:pos="360"/>
        </w:tabs>
        <w:ind w:left="360" w:hanging="360"/>
      </w:pPr>
    </w:lvl>
  </w:abstractNum>
  <w:abstractNum w:abstractNumId="1" w15:restartNumberingAfterBreak="0">
    <w:nsid w:val="01914CC3"/>
    <w:multiLevelType w:val="hybridMultilevel"/>
    <w:tmpl w:val="58BCA7BC"/>
    <w:lvl w:ilvl="0" w:tplc="FA4E4EEE">
      <w:numFmt w:val="bullet"/>
      <w:lvlText w:val="-"/>
      <w:lvlJc w:val="left"/>
      <w:pPr>
        <w:ind w:left="2421" w:hanging="360"/>
      </w:pPr>
      <w:rPr>
        <w:rFonts w:ascii="Times New Roman" w:eastAsia="Times New Roman" w:hAnsi="Times New Roman" w:cs="Times New Roman" w:hint="default"/>
        <w:color w:val="000000"/>
      </w:rPr>
    </w:lvl>
    <w:lvl w:ilvl="1" w:tplc="67B29394">
      <w:start w:val="1"/>
      <w:numFmt w:val="bullet"/>
      <w:lvlText w:val="o"/>
      <w:lvlJc w:val="left"/>
      <w:pPr>
        <w:ind w:left="3213" w:hanging="360"/>
      </w:pPr>
      <w:rPr>
        <w:rFonts w:ascii="Courier New" w:hAnsi="Courier New" w:cs="Courier New" w:hint="default"/>
      </w:rPr>
    </w:lvl>
    <w:lvl w:ilvl="2" w:tplc="182E0CB2">
      <w:start w:val="1"/>
      <w:numFmt w:val="bullet"/>
      <w:lvlText w:val=""/>
      <w:lvlJc w:val="left"/>
      <w:pPr>
        <w:ind w:left="3933" w:hanging="360"/>
      </w:pPr>
      <w:rPr>
        <w:rFonts w:ascii="Wingdings" w:hAnsi="Wingdings" w:hint="default"/>
      </w:rPr>
    </w:lvl>
    <w:lvl w:ilvl="3" w:tplc="5A76F436">
      <w:start w:val="1"/>
      <w:numFmt w:val="bullet"/>
      <w:lvlText w:val=""/>
      <w:lvlJc w:val="left"/>
      <w:pPr>
        <w:ind w:left="4653" w:hanging="360"/>
      </w:pPr>
      <w:rPr>
        <w:rFonts w:ascii="Symbol" w:hAnsi="Symbol" w:hint="default"/>
      </w:rPr>
    </w:lvl>
    <w:lvl w:ilvl="4" w:tplc="4704D910">
      <w:start w:val="1"/>
      <w:numFmt w:val="bullet"/>
      <w:lvlText w:val="o"/>
      <w:lvlJc w:val="left"/>
      <w:pPr>
        <w:ind w:left="5373" w:hanging="360"/>
      </w:pPr>
      <w:rPr>
        <w:rFonts w:ascii="Courier New" w:hAnsi="Courier New" w:cs="Courier New" w:hint="default"/>
      </w:rPr>
    </w:lvl>
    <w:lvl w:ilvl="5" w:tplc="FA3C6C54">
      <w:start w:val="1"/>
      <w:numFmt w:val="bullet"/>
      <w:lvlText w:val=""/>
      <w:lvlJc w:val="left"/>
      <w:pPr>
        <w:ind w:left="6093" w:hanging="360"/>
      </w:pPr>
      <w:rPr>
        <w:rFonts w:ascii="Wingdings" w:hAnsi="Wingdings" w:hint="default"/>
      </w:rPr>
    </w:lvl>
    <w:lvl w:ilvl="6" w:tplc="37C29272">
      <w:start w:val="1"/>
      <w:numFmt w:val="bullet"/>
      <w:lvlText w:val=""/>
      <w:lvlJc w:val="left"/>
      <w:pPr>
        <w:ind w:left="6813" w:hanging="360"/>
      </w:pPr>
      <w:rPr>
        <w:rFonts w:ascii="Symbol" w:hAnsi="Symbol" w:hint="default"/>
      </w:rPr>
    </w:lvl>
    <w:lvl w:ilvl="7" w:tplc="89E8F036">
      <w:start w:val="1"/>
      <w:numFmt w:val="bullet"/>
      <w:lvlText w:val="o"/>
      <w:lvlJc w:val="left"/>
      <w:pPr>
        <w:ind w:left="7533" w:hanging="360"/>
      </w:pPr>
      <w:rPr>
        <w:rFonts w:ascii="Courier New" w:hAnsi="Courier New" w:cs="Courier New" w:hint="default"/>
      </w:rPr>
    </w:lvl>
    <w:lvl w:ilvl="8" w:tplc="DCD42A70">
      <w:start w:val="1"/>
      <w:numFmt w:val="bullet"/>
      <w:lvlText w:val=""/>
      <w:lvlJc w:val="left"/>
      <w:pPr>
        <w:ind w:left="8253" w:hanging="360"/>
      </w:pPr>
      <w:rPr>
        <w:rFonts w:ascii="Wingdings" w:hAnsi="Wingdings" w:hint="default"/>
      </w:rPr>
    </w:lvl>
  </w:abstractNum>
  <w:abstractNum w:abstractNumId="2" w15:restartNumberingAfterBreak="0">
    <w:nsid w:val="07AE43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pStyle w:val="NumPar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FD283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4D1B11"/>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2C4A5B"/>
    <w:multiLevelType w:val="multilevel"/>
    <w:tmpl w:val="0809001F"/>
    <w:lvl w:ilvl="0">
      <w:start w:val="1"/>
      <w:numFmt w:val="decimal"/>
      <w:lvlText w:val="%1."/>
      <w:lvlJc w:val="left"/>
      <w:pPr>
        <w:ind w:left="360" w:hanging="360"/>
      </w:pPr>
    </w:lvl>
    <w:lvl w:ilvl="1">
      <w:start w:val="1"/>
      <w:numFmt w:val="decimal"/>
      <w:lvlText w:val="%1.%2."/>
      <w:lvlJc w:val="left"/>
      <w:pPr>
        <w:ind w:left="1850"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C66808"/>
    <w:multiLevelType w:val="multilevel"/>
    <w:tmpl w:val="4FDC459E"/>
    <w:lvl w:ilvl="0">
      <w:start w:val="1"/>
      <w:numFmt w:val="decimal"/>
      <w:lvlText w:val="%1."/>
      <w:lvlJc w:val="left"/>
      <w:pPr>
        <w:ind w:left="720" w:hanging="72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9841730"/>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8E300D"/>
    <w:multiLevelType w:val="hybridMultilevel"/>
    <w:tmpl w:val="285838FC"/>
    <w:lvl w:ilvl="0" w:tplc="4F6E859C">
      <w:start w:val="1"/>
      <w:numFmt w:val="bullet"/>
      <w:lvlText w:val=""/>
      <w:lvlJc w:val="left"/>
      <w:pPr>
        <w:tabs>
          <w:tab w:val="num" w:pos="1778"/>
        </w:tabs>
        <w:ind w:left="1778" w:hanging="360"/>
      </w:pPr>
      <w:rPr>
        <w:rFonts w:ascii="Symbol" w:hAnsi="Symbol" w:hint="default"/>
      </w:rPr>
    </w:lvl>
    <w:lvl w:ilvl="1" w:tplc="08090003" w:tentative="1">
      <w:start w:val="1"/>
      <w:numFmt w:val="bullet"/>
      <w:lvlText w:val="o"/>
      <w:lvlJc w:val="left"/>
      <w:pPr>
        <w:tabs>
          <w:tab w:val="num" w:pos="2858"/>
        </w:tabs>
        <w:ind w:left="2858" w:hanging="360"/>
      </w:pPr>
      <w:rPr>
        <w:rFonts w:ascii="Courier New" w:hAnsi="Courier New" w:cs="Courier New" w:hint="default"/>
      </w:rPr>
    </w:lvl>
    <w:lvl w:ilvl="2" w:tplc="08090005" w:tentative="1">
      <w:start w:val="1"/>
      <w:numFmt w:val="bullet"/>
      <w:lvlText w:val=""/>
      <w:lvlJc w:val="left"/>
      <w:pPr>
        <w:tabs>
          <w:tab w:val="num" w:pos="3578"/>
        </w:tabs>
        <w:ind w:left="3578" w:hanging="360"/>
      </w:pPr>
      <w:rPr>
        <w:rFonts w:ascii="Wingdings" w:hAnsi="Wingdings" w:hint="default"/>
      </w:rPr>
    </w:lvl>
    <w:lvl w:ilvl="3" w:tplc="08090001" w:tentative="1">
      <w:start w:val="1"/>
      <w:numFmt w:val="bullet"/>
      <w:lvlText w:val=""/>
      <w:lvlJc w:val="left"/>
      <w:pPr>
        <w:tabs>
          <w:tab w:val="num" w:pos="4298"/>
        </w:tabs>
        <w:ind w:left="4298" w:hanging="360"/>
      </w:pPr>
      <w:rPr>
        <w:rFonts w:ascii="Symbol" w:hAnsi="Symbol" w:hint="default"/>
      </w:rPr>
    </w:lvl>
    <w:lvl w:ilvl="4" w:tplc="08090003" w:tentative="1">
      <w:start w:val="1"/>
      <w:numFmt w:val="bullet"/>
      <w:lvlText w:val="o"/>
      <w:lvlJc w:val="left"/>
      <w:pPr>
        <w:tabs>
          <w:tab w:val="num" w:pos="5018"/>
        </w:tabs>
        <w:ind w:left="5018" w:hanging="360"/>
      </w:pPr>
      <w:rPr>
        <w:rFonts w:ascii="Courier New" w:hAnsi="Courier New" w:cs="Courier New" w:hint="default"/>
      </w:rPr>
    </w:lvl>
    <w:lvl w:ilvl="5" w:tplc="08090005" w:tentative="1">
      <w:start w:val="1"/>
      <w:numFmt w:val="bullet"/>
      <w:lvlText w:val=""/>
      <w:lvlJc w:val="left"/>
      <w:pPr>
        <w:tabs>
          <w:tab w:val="num" w:pos="5738"/>
        </w:tabs>
        <w:ind w:left="5738" w:hanging="360"/>
      </w:pPr>
      <w:rPr>
        <w:rFonts w:ascii="Wingdings" w:hAnsi="Wingdings" w:hint="default"/>
      </w:rPr>
    </w:lvl>
    <w:lvl w:ilvl="6" w:tplc="08090001" w:tentative="1">
      <w:start w:val="1"/>
      <w:numFmt w:val="bullet"/>
      <w:lvlText w:val=""/>
      <w:lvlJc w:val="left"/>
      <w:pPr>
        <w:tabs>
          <w:tab w:val="num" w:pos="6458"/>
        </w:tabs>
        <w:ind w:left="6458" w:hanging="360"/>
      </w:pPr>
      <w:rPr>
        <w:rFonts w:ascii="Symbol" w:hAnsi="Symbol" w:hint="default"/>
      </w:rPr>
    </w:lvl>
    <w:lvl w:ilvl="7" w:tplc="08090003" w:tentative="1">
      <w:start w:val="1"/>
      <w:numFmt w:val="bullet"/>
      <w:lvlText w:val="o"/>
      <w:lvlJc w:val="left"/>
      <w:pPr>
        <w:tabs>
          <w:tab w:val="num" w:pos="7178"/>
        </w:tabs>
        <w:ind w:left="7178" w:hanging="360"/>
      </w:pPr>
      <w:rPr>
        <w:rFonts w:ascii="Courier New" w:hAnsi="Courier New" w:cs="Courier New" w:hint="default"/>
      </w:rPr>
    </w:lvl>
    <w:lvl w:ilvl="8" w:tplc="08090005" w:tentative="1">
      <w:start w:val="1"/>
      <w:numFmt w:val="bullet"/>
      <w:lvlText w:val=""/>
      <w:lvlJc w:val="left"/>
      <w:pPr>
        <w:tabs>
          <w:tab w:val="num" w:pos="7898"/>
        </w:tabs>
        <w:ind w:left="7898" w:hanging="360"/>
      </w:pPr>
      <w:rPr>
        <w:rFonts w:ascii="Wingdings" w:hAnsi="Wingdings" w:hint="default"/>
      </w:rPr>
    </w:lvl>
  </w:abstractNum>
  <w:abstractNum w:abstractNumId="9" w15:restartNumberingAfterBreak="0">
    <w:nsid w:val="23BB6657"/>
    <w:multiLevelType w:val="multilevel"/>
    <w:tmpl w:val="0809001F"/>
    <w:lvl w:ilvl="0">
      <w:start w:val="1"/>
      <w:numFmt w:val="decimal"/>
      <w:lvlText w:val="%1."/>
      <w:lvlJc w:val="left"/>
      <w:pPr>
        <w:ind w:left="360" w:hanging="360"/>
      </w:pPr>
      <w:rPr>
        <w:rFonts w:hint="default"/>
      </w:rPr>
    </w:lvl>
    <w:lvl w:ilvl="1">
      <w:start w:val="1"/>
      <w:numFmt w:val="decimal"/>
      <w:pStyle w:val="NormalKop11"/>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A5B30E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AFA7F9C"/>
    <w:multiLevelType w:val="multilevel"/>
    <w:tmpl w:val="EA569D2C"/>
    <w:lvl w:ilvl="0">
      <w:start w:val="1"/>
      <w:numFmt w:val="decimal"/>
      <w:lvlText w:val="%1."/>
      <w:lvlJc w:val="left"/>
      <w:pPr>
        <w:ind w:left="360" w:hanging="360"/>
      </w:pPr>
    </w:lvl>
    <w:lvl w:ilvl="1">
      <w:numFmt w:val="none"/>
      <w:pStyle w:val="NumPar2"/>
      <w:lvlText w:val=""/>
      <w:lvlJc w:val="left"/>
      <w:pPr>
        <w:tabs>
          <w:tab w:val="num" w:pos="360"/>
        </w:tabs>
      </w:pPr>
    </w:lvl>
    <w:lvl w:ilvl="2">
      <w:numFmt w:val="none"/>
      <w:lvlText w:val=""/>
      <w:lvlJc w:val="left"/>
      <w:pPr>
        <w:tabs>
          <w:tab w:val="num" w:pos="360"/>
        </w:tabs>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986C1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DB3518"/>
    <w:multiLevelType w:val="hybridMultilevel"/>
    <w:tmpl w:val="3FF28414"/>
    <w:lvl w:ilvl="0" w:tplc="C1BCC644">
      <w:start w:val="1"/>
      <w:numFmt w:val="bullet"/>
      <w:lvlText w:val=""/>
      <w:lvlJc w:val="left"/>
      <w:pPr>
        <w:ind w:left="1944" w:hanging="360"/>
      </w:pPr>
      <w:rPr>
        <w:rFonts w:ascii="Symbol" w:hAnsi="Symbol" w:hint="default"/>
      </w:rPr>
    </w:lvl>
    <w:lvl w:ilvl="1" w:tplc="9F8E87DC" w:tentative="1">
      <w:start w:val="1"/>
      <w:numFmt w:val="bullet"/>
      <w:lvlText w:val="o"/>
      <w:lvlJc w:val="left"/>
      <w:pPr>
        <w:ind w:left="2664" w:hanging="360"/>
      </w:pPr>
      <w:rPr>
        <w:rFonts w:ascii="Courier New" w:hAnsi="Courier New" w:cs="Courier New" w:hint="default"/>
      </w:rPr>
    </w:lvl>
    <w:lvl w:ilvl="2" w:tplc="77706AFE" w:tentative="1">
      <w:start w:val="1"/>
      <w:numFmt w:val="bullet"/>
      <w:lvlText w:val=""/>
      <w:lvlJc w:val="left"/>
      <w:pPr>
        <w:ind w:left="3384" w:hanging="360"/>
      </w:pPr>
      <w:rPr>
        <w:rFonts w:ascii="Wingdings" w:hAnsi="Wingdings" w:hint="default"/>
      </w:rPr>
    </w:lvl>
    <w:lvl w:ilvl="3" w:tplc="341C8F12" w:tentative="1">
      <w:start w:val="1"/>
      <w:numFmt w:val="bullet"/>
      <w:lvlText w:val=""/>
      <w:lvlJc w:val="left"/>
      <w:pPr>
        <w:ind w:left="4104" w:hanging="360"/>
      </w:pPr>
      <w:rPr>
        <w:rFonts w:ascii="Symbol" w:hAnsi="Symbol" w:hint="default"/>
      </w:rPr>
    </w:lvl>
    <w:lvl w:ilvl="4" w:tplc="3C481384" w:tentative="1">
      <w:start w:val="1"/>
      <w:numFmt w:val="bullet"/>
      <w:lvlText w:val="o"/>
      <w:lvlJc w:val="left"/>
      <w:pPr>
        <w:ind w:left="4824" w:hanging="360"/>
      </w:pPr>
      <w:rPr>
        <w:rFonts w:ascii="Courier New" w:hAnsi="Courier New" w:cs="Courier New" w:hint="default"/>
      </w:rPr>
    </w:lvl>
    <w:lvl w:ilvl="5" w:tplc="242C2656" w:tentative="1">
      <w:start w:val="1"/>
      <w:numFmt w:val="bullet"/>
      <w:lvlText w:val=""/>
      <w:lvlJc w:val="left"/>
      <w:pPr>
        <w:ind w:left="5544" w:hanging="360"/>
      </w:pPr>
      <w:rPr>
        <w:rFonts w:ascii="Wingdings" w:hAnsi="Wingdings" w:hint="default"/>
      </w:rPr>
    </w:lvl>
    <w:lvl w:ilvl="6" w:tplc="2B5607FE" w:tentative="1">
      <w:start w:val="1"/>
      <w:numFmt w:val="bullet"/>
      <w:lvlText w:val=""/>
      <w:lvlJc w:val="left"/>
      <w:pPr>
        <w:ind w:left="6264" w:hanging="360"/>
      </w:pPr>
      <w:rPr>
        <w:rFonts w:ascii="Symbol" w:hAnsi="Symbol" w:hint="default"/>
      </w:rPr>
    </w:lvl>
    <w:lvl w:ilvl="7" w:tplc="ECE6DA88" w:tentative="1">
      <w:start w:val="1"/>
      <w:numFmt w:val="bullet"/>
      <w:lvlText w:val="o"/>
      <w:lvlJc w:val="left"/>
      <w:pPr>
        <w:ind w:left="6984" w:hanging="360"/>
      </w:pPr>
      <w:rPr>
        <w:rFonts w:ascii="Courier New" w:hAnsi="Courier New" w:cs="Courier New" w:hint="default"/>
      </w:rPr>
    </w:lvl>
    <w:lvl w:ilvl="8" w:tplc="178A6006" w:tentative="1">
      <w:start w:val="1"/>
      <w:numFmt w:val="bullet"/>
      <w:lvlText w:val=""/>
      <w:lvlJc w:val="left"/>
      <w:pPr>
        <w:ind w:left="7704" w:hanging="360"/>
      </w:pPr>
      <w:rPr>
        <w:rFonts w:ascii="Wingdings" w:hAnsi="Wingdings" w:hint="default"/>
      </w:rPr>
    </w:lvl>
  </w:abstractNum>
  <w:abstractNum w:abstractNumId="14" w15:restartNumberingAfterBreak="0">
    <w:nsid w:val="38CF2DC2"/>
    <w:multiLevelType w:val="multilevel"/>
    <w:tmpl w:val="687862FE"/>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C52692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FC46F2"/>
    <w:multiLevelType w:val="hybridMultilevel"/>
    <w:tmpl w:val="ED1842D4"/>
    <w:lvl w:ilvl="0" w:tplc="489628E4">
      <w:start w:val="1"/>
      <w:numFmt w:val="bullet"/>
      <w:pStyle w:val="Normal127Bullet63"/>
      <w:lvlText w:val=""/>
      <w:lvlJc w:val="left"/>
      <w:pPr>
        <w:ind w:left="1797" w:hanging="360"/>
      </w:pPr>
      <w:rPr>
        <w:rFonts w:ascii="Symbol" w:hAnsi="Symbol" w:hint="default"/>
        <w:b w:val="0"/>
        <w:i w:val="0"/>
        <w:sz w:val="22"/>
      </w:rPr>
    </w:lvl>
    <w:lvl w:ilvl="1" w:tplc="3CC8568E">
      <w:start w:val="1"/>
      <w:numFmt w:val="bullet"/>
      <w:lvlText w:val="o"/>
      <w:lvlJc w:val="left"/>
      <w:pPr>
        <w:ind w:left="2517" w:hanging="360"/>
      </w:pPr>
      <w:rPr>
        <w:rFonts w:ascii="Courier New" w:hAnsi="Courier New" w:cs="Courier New" w:hint="default"/>
      </w:rPr>
    </w:lvl>
    <w:lvl w:ilvl="2" w:tplc="2092FC0E">
      <w:start w:val="1"/>
      <w:numFmt w:val="bullet"/>
      <w:lvlText w:val=""/>
      <w:lvlJc w:val="left"/>
      <w:pPr>
        <w:ind w:left="3237" w:hanging="360"/>
      </w:pPr>
      <w:rPr>
        <w:rFonts w:ascii="Wingdings" w:hAnsi="Wingdings" w:hint="default"/>
      </w:rPr>
    </w:lvl>
    <w:lvl w:ilvl="3" w:tplc="6DB666B0" w:tentative="1">
      <w:start w:val="1"/>
      <w:numFmt w:val="bullet"/>
      <w:lvlText w:val=""/>
      <w:lvlJc w:val="left"/>
      <w:pPr>
        <w:ind w:left="3957" w:hanging="360"/>
      </w:pPr>
      <w:rPr>
        <w:rFonts w:ascii="Symbol" w:hAnsi="Symbol" w:hint="default"/>
      </w:rPr>
    </w:lvl>
    <w:lvl w:ilvl="4" w:tplc="F96A01B0" w:tentative="1">
      <w:start w:val="1"/>
      <w:numFmt w:val="bullet"/>
      <w:lvlText w:val="o"/>
      <w:lvlJc w:val="left"/>
      <w:pPr>
        <w:ind w:left="4677" w:hanging="360"/>
      </w:pPr>
      <w:rPr>
        <w:rFonts w:ascii="Courier New" w:hAnsi="Courier New" w:cs="Courier New" w:hint="default"/>
      </w:rPr>
    </w:lvl>
    <w:lvl w:ilvl="5" w:tplc="158CE504" w:tentative="1">
      <w:start w:val="1"/>
      <w:numFmt w:val="bullet"/>
      <w:lvlText w:val=""/>
      <w:lvlJc w:val="left"/>
      <w:pPr>
        <w:ind w:left="5397" w:hanging="360"/>
      </w:pPr>
      <w:rPr>
        <w:rFonts w:ascii="Wingdings" w:hAnsi="Wingdings" w:hint="default"/>
      </w:rPr>
    </w:lvl>
    <w:lvl w:ilvl="6" w:tplc="5D98253C" w:tentative="1">
      <w:start w:val="1"/>
      <w:numFmt w:val="bullet"/>
      <w:lvlText w:val=""/>
      <w:lvlJc w:val="left"/>
      <w:pPr>
        <w:ind w:left="6117" w:hanging="360"/>
      </w:pPr>
      <w:rPr>
        <w:rFonts w:ascii="Symbol" w:hAnsi="Symbol" w:hint="default"/>
      </w:rPr>
    </w:lvl>
    <w:lvl w:ilvl="7" w:tplc="C4882E04" w:tentative="1">
      <w:start w:val="1"/>
      <w:numFmt w:val="bullet"/>
      <w:lvlText w:val="o"/>
      <w:lvlJc w:val="left"/>
      <w:pPr>
        <w:ind w:left="6837" w:hanging="360"/>
      </w:pPr>
      <w:rPr>
        <w:rFonts w:ascii="Courier New" w:hAnsi="Courier New" w:cs="Courier New" w:hint="default"/>
      </w:rPr>
    </w:lvl>
    <w:lvl w:ilvl="8" w:tplc="CFB851D4" w:tentative="1">
      <w:start w:val="1"/>
      <w:numFmt w:val="bullet"/>
      <w:lvlText w:val=""/>
      <w:lvlJc w:val="left"/>
      <w:pPr>
        <w:ind w:left="7557" w:hanging="360"/>
      </w:pPr>
      <w:rPr>
        <w:rFonts w:ascii="Wingdings" w:hAnsi="Wingdings" w:hint="default"/>
      </w:rPr>
    </w:lvl>
  </w:abstractNum>
  <w:abstractNum w:abstractNumId="17"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8" w15:restartNumberingAfterBreak="0">
    <w:nsid w:val="43EB5F4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A102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1AE08A3"/>
    <w:multiLevelType w:val="hybridMultilevel"/>
    <w:tmpl w:val="B8E25C7A"/>
    <w:lvl w:ilvl="0" w:tplc="C92298D4">
      <w:start w:val="1"/>
      <w:numFmt w:val="bullet"/>
      <w:lvlText w:val="–"/>
      <w:lvlJc w:val="left"/>
      <w:pPr>
        <w:ind w:left="720" w:hanging="360"/>
      </w:pPr>
      <w:rPr>
        <w:rFonts w:ascii="Times New Roman" w:hAnsi="Times New Roman" w:cs="Times New Roman" w:hint="default"/>
      </w:rPr>
    </w:lvl>
    <w:lvl w:ilvl="1" w:tplc="88FA5596">
      <w:start w:val="1"/>
      <w:numFmt w:val="bullet"/>
      <w:lvlText w:val="o"/>
      <w:lvlJc w:val="left"/>
      <w:pPr>
        <w:ind w:left="1440" w:hanging="360"/>
      </w:pPr>
      <w:rPr>
        <w:rFonts w:ascii="Courier New" w:hAnsi="Courier New" w:cs="Courier New" w:hint="default"/>
      </w:rPr>
    </w:lvl>
    <w:lvl w:ilvl="2" w:tplc="E59067A2">
      <w:start w:val="1"/>
      <w:numFmt w:val="bullet"/>
      <w:lvlText w:val=""/>
      <w:lvlJc w:val="left"/>
      <w:pPr>
        <w:ind w:left="2160" w:hanging="360"/>
      </w:pPr>
      <w:rPr>
        <w:rFonts w:ascii="Wingdings" w:hAnsi="Wingdings" w:hint="default"/>
      </w:rPr>
    </w:lvl>
    <w:lvl w:ilvl="3" w:tplc="12966DC2">
      <w:start w:val="1"/>
      <w:numFmt w:val="bullet"/>
      <w:lvlText w:val=""/>
      <w:lvlJc w:val="left"/>
      <w:pPr>
        <w:ind w:left="2880" w:hanging="360"/>
      </w:pPr>
      <w:rPr>
        <w:rFonts w:ascii="Symbol" w:hAnsi="Symbol" w:hint="default"/>
      </w:rPr>
    </w:lvl>
    <w:lvl w:ilvl="4" w:tplc="17B2625E">
      <w:start w:val="1"/>
      <w:numFmt w:val="bullet"/>
      <w:lvlText w:val="o"/>
      <w:lvlJc w:val="left"/>
      <w:pPr>
        <w:ind w:left="3600" w:hanging="360"/>
      </w:pPr>
      <w:rPr>
        <w:rFonts w:ascii="Courier New" w:hAnsi="Courier New" w:cs="Courier New" w:hint="default"/>
      </w:rPr>
    </w:lvl>
    <w:lvl w:ilvl="5" w:tplc="11F8C424">
      <w:start w:val="1"/>
      <w:numFmt w:val="bullet"/>
      <w:lvlText w:val=""/>
      <w:lvlJc w:val="left"/>
      <w:pPr>
        <w:ind w:left="4320" w:hanging="360"/>
      </w:pPr>
      <w:rPr>
        <w:rFonts w:ascii="Wingdings" w:hAnsi="Wingdings" w:hint="default"/>
      </w:rPr>
    </w:lvl>
    <w:lvl w:ilvl="6" w:tplc="2BC6B904">
      <w:start w:val="1"/>
      <w:numFmt w:val="bullet"/>
      <w:lvlText w:val=""/>
      <w:lvlJc w:val="left"/>
      <w:pPr>
        <w:ind w:left="5040" w:hanging="360"/>
      </w:pPr>
      <w:rPr>
        <w:rFonts w:ascii="Symbol" w:hAnsi="Symbol" w:hint="default"/>
      </w:rPr>
    </w:lvl>
    <w:lvl w:ilvl="7" w:tplc="5978DAB6">
      <w:start w:val="1"/>
      <w:numFmt w:val="bullet"/>
      <w:lvlText w:val="o"/>
      <w:lvlJc w:val="left"/>
      <w:pPr>
        <w:ind w:left="5760" w:hanging="360"/>
      </w:pPr>
      <w:rPr>
        <w:rFonts w:ascii="Courier New" w:hAnsi="Courier New" w:cs="Courier New" w:hint="default"/>
      </w:rPr>
    </w:lvl>
    <w:lvl w:ilvl="8" w:tplc="F1B4254A">
      <w:start w:val="1"/>
      <w:numFmt w:val="bullet"/>
      <w:lvlText w:val=""/>
      <w:lvlJc w:val="left"/>
      <w:pPr>
        <w:ind w:left="6480" w:hanging="360"/>
      </w:pPr>
      <w:rPr>
        <w:rFonts w:ascii="Wingdings" w:hAnsi="Wingdings" w:hint="default"/>
      </w:rPr>
    </w:lvl>
  </w:abstractNum>
  <w:abstractNum w:abstractNumId="21" w15:restartNumberingAfterBreak="0">
    <w:nsid w:val="62273D61"/>
    <w:multiLevelType w:val="hybridMultilevel"/>
    <w:tmpl w:val="5E1232C4"/>
    <w:lvl w:ilvl="0" w:tplc="8A60E8F4">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AEE683B"/>
    <w:multiLevelType w:val="hybridMultilevel"/>
    <w:tmpl w:val="E1D68A12"/>
    <w:lvl w:ilvl="0" w:tplc="402085BC">
      <w:start w:val="1"/>
      <w:numFmt w:val="decimal"/>
      <w:lvlText w:val="%1."/>
      <w:lvlJc w:val="left"/>
      <w:pPr>
        <w:ind w:left="72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E8653D2"/>
    <w:multiLevelType w:val="hybridMultilevel"/>
    <w:tmpl w:val="5B96E2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0FB0B13"/>
    <w:multiLevelType w:val="hybridMultilevel"/>
    <w:tmpl w:val="0C44CA52"/>
    <w:lvl w:ilvl="0" w:tplc="A14EABDE">
      <w:start w:val="1"/>
      <w:numFmt w:val="decimal"/>
      <w:lvlText w:val="%1."/>
      <w:lvlJc w:val="left"/>
      <w:pPr>
        <w:ind w:left="3240" w:hanging="360"/>
      </w:pPr>
    </w:lvl>
    <w:lvl w:ilvl="1" w:tplc="08090003" w:tentative="1">
      <w:start w:val="1"/>
      <w:numFmt w:val="lowerLetter"/>
      <w:lvlText w:val="%2."/>
      <w:lvlJc w:val="left"/>
      <w:pPr>
        <w:ind w:left="3960" w:hanging="360"/>
      </w:pPr>
    </w:lvl>
    <w:lvl w:ilvl="2" w:tplc="08090005" w:tentative="1">
      <w:start w:val="1"/>
      <w:numFmt w:val="lowerRoman"/>
      <w:lvlText w:val="%3."/>
      <w:lvlJc w:val="right"/>
      <w:pPr>
        <w:ind w:left="4680" w:hanging="180"/>
      </w:pPr>
    </w:lvl>
    <w:lvl w:ilvl="3" w:tplc="08090001" w:tentative="1">
      <w:start w:val="1"/>
      <w:numFmt w:val="decimal"/>
      <w:lvlText w:val="%4."/>
      <w:lvlJc w:val="left"/>
      <w:pPr>
        <w:ind w:left="5400" w:hanging="360"/>
      </w:pPr>
    </w:lvl>
    <w:lvl w:ilvl="4" w:tplc="08090003" w:tentative="1">
      <w:start w:val="1"/>
      <w:numFmt w:val="lowerLetter"/>
      <w:lvlText w:val="%5."/>
      <w:lvlJc w:val="left"/>
      <w:pPr>
        <w:ind w:left="6120" w:hanging="360"/>
      </w:pPr>
    </w:lvl>
    <w:lvl w:ilvl="5" w:tplc="08090005" w:tentative="1">
      <w:start w:val="1"/>
      <w:numFmt w:val="lowerRoman"/>
      <w:lvlText w:val="%6."/>
      <w:lvlJc w:val="right"/>
      <w:pPr>
        <w:ind w:left="6840" w:hanging="180"/>
      </w:pPr>
    </w:lvl>
    <w:lvl w:ilvl="6" w:tplc="08090001" w:tentative="1">
      <w:start w:val="1"/>
      <w:numFmt w:val="decimal"/>
      <w:lvlText w:val="%7."/>
      <w:lvlJc w:val="left"/>
      <w:pPr>
        <w:ind w:left="7560" w:hanging="360"/>
      </w:pPr>
    </w:lvl>
    <w:lvl w:ilvl="7" w:tplc="08090003" w:tentative="1">
      <w:start w:val="1"/>
      <w:numFmt w:val="lowerLetter"/>
      <w:lvlText w:val="%8."/>
      <w:lvlJc w:val="left"/>
      <w:pPr>
        <w:ind w:left="8280" w:hanging="360"/>
      </w:pPr>
    </w:lvl>
    <w:lvl w:ilvl="8" w:tplc="08090005" w:tentative="1">
      <w:start w:val="1"/>
      <w:numFmt w:val="lowerRoman"/>
      <w:lvlText w:val="%9."/>
      <w:lvlJc w:val="right"/>
      <w:pPr>
        <w:ind w:left="9000" w:hanging="180"/>
      </w:pPr>
    </w:lvl>
  </w:abstractNum>
  <w:abstractNum w:abstractNumId="25" w15:restartNumberingAfterBreak="0">
    <w:nsid w:val="76E57D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57D99"/>
    <w:multiLevelType w:val="multilevel"/>
    <w:tmpl w:val="080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9"/>
  </w:num>
  <w:num w:numId="3">
    <w:abstractNumId w:val="7"/>
  </w:num>
  <w:num w:numId="4">
    <w:abstractNumId w:val="24"/>
  </w:num>
  <w:num w:numId="5">
    <w:abstractNumId w:val="2"/>
  </w:num>
  <w:num w:numId="6">
    <w:abstractNumId w:val="16"/>
  </w:num>
  <w:num w:numId="7">
    <w:abstractNumId w:val="1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20"/>
  </w:num>
  <w:num w:numId="12">
    <w:abstractNumId w:val="11"/>
    <w:lvlOverride w:ilvl="0">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
  </w:num>
  <w:num w:numId="16">
    <w:abstractNumId w:val="13"/>
  </w:num>
  <w:num w:numId="17">
    <w:abstractNumId w:val="5"/>
  </w:num>
  <w:num w:numId="18">
    <w:abstractNumId w:val="25"/>
  </w:num>
  <w:num w:numId="19">
    <w:abstractNumId w:val="11"/>
  </w:num>
  <w:num w:numId="20">
    <w:abstractNumId w:val="4"/>
  </w:num>
  <w:num w:numId="21">
    <w:abstractNumId w:val="11"/>
  </w:num>
  <w:num w:numId="22">
    <w:abstractNumId w:val="15"/>
  </w:num>
  <w:num w:numId="23">
    <w:abstractNumId w:val="6"/>
  </w:num>
  <w:num w:numId="24">
    <w:abstractNumId w:val="26"/>
  </w:num>
  <w:num w:numId="25">
    <w:abstractNumId w:val="8"/>
  </w:num>
  <w:num w:numId="26">
    <w:abstractNumId w:val="0"/>
  </w:num>
  <w:num w:numId="27">
    <w:abstractNumId w:val="3"/>
  </w:num>
  <w:num w:numId="28">
    <w:abstractNumId w:val="11"/>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0"/>
  </w:num>
  <w:num w:numId="32">
    <w:abstractNumId w:val="12"/>
  </w:num>
  <w:num w:numId="33">
    <w:abstractNumId w:val="17"/>
  </w:num>
  <w:num w:numId="34">
    <w:abstractNumId w:val="14"/>
  </w:num>
  <w:num w:numId="35">
    <w:abstractNumId w:val="21"/>
  </w:num>
  <w:num w:numId="36">
    <w:abstractNumId w:val="22"/>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EF0533"/>
    <w:rsid w:val="00001608"/>
    <w:rsid w:val="00002AF9"/>
    <w:rsid w:val="00003889"/>
    <w:rsid w:val="00003D5F"/>
    <w:rsid w:val="000106E7"/>
    <w:rsid w:val="00031EF8"/>
    <w:rsid w:val="00041522"/>
    <w:rsid w:val="00047CDC"/>
    <w:rsid w:val="00055D55"/>
    <w:rsid w:val="00066072"/>
    <w:rsid w:val="00071A7F"/>
    <w:rsid w:val="0007604F"/>
    <w:rsid w:val="00093993"/>
    <w:rsid w:val="000956BB"/>
    <w:rsid w:val="00095A91"/>
    <w:rsid w:val="00097E25"/>
    <w:rsid w:val="000A145D"/>
    <w:rsid w:val="000B5939"/>
    <w:rsid w:val="000C4612"/>
    <w:rsid w:val="000C7C9C"/>
    <w:rsid w:val="000E47A7"/>
    <w:rsid w:val="000E5AB0"/>
    <w:rsid w:val="00104EE1"/>
    <w:rsid w:val="00132132"/>
    <w:rsid w:val="00132EB4"/>
    <w:rsid w:val="001336BC"/>
    <w:rsid w:val="00136638"/>
    <w:rsid w:val="0014254F"/>
    <w:rsid w:val="0014257D"/>
    <w:rsid w:val="001452D1"/>
    <w:rsid w:val="00146D13"/>
    <w:rsid w:val="00151F2B"/>
    <w:rsid w:val="00177A99"/>
    <w:rsid w:val="00184700"/>
    <w:rsid w:val="0019136F"/>
    <w:rsid w:val="00191CEF"/>
    <w:rsid w:val="00192320"/>
    <w:rsid w:val="001B2B78"/>
    <w:rsid w:val="001C2584"/>
    <w:rsid w:val="001C2914"/>
    <w:rsid w:val="001D303A"/>
    <w:rsid w:val="001D3657"/>
    <w:rsid w:val="001E018C"/>
    <w:rsid w:val="001E0E7C"/>
    <w:rsid w:val="001F008A"/>
    <w:rsid w:val="001F0D7E"/>
    <w:rsid w:val="00201555"/>
    <w:rsid w:val="00216490"/>
    <w:rsid w:val="00220898"/>
    <w:rsid w:val="00222819"/>
    <w:rsid w:val="00226419"/>
    <w:rsid w:val="00231F93"/>
    <w:rsid w:val="0023330C"/>
    <w:rsid w:val="00235E40"/>
    <w:rsid w:val="00236E99"/>
    <w:rsid w:val="00237959"/>
    <w:rsid w:val="00243159"/>
    <w:rsid w:val="00246E1D"/>
    <w:rsid w:val="002524CE"/>
    <w:rsid w:val="0025329E"/>
    <w:rsid w:val="00260697"/>
    <w:rsid w:val="00261077"/>
    <w:rsid w:val="002610D0"/>
    <w:rsid w:val="002619AC"/>
    <w:rsid w:val="0026392F"/>
    <w:rsid w:val="0026473A"/>
    <w:rsid w:val="002650DD"/>
    <w:rsid w:val="002706C9"/>
    <w:rsid w:val="00281807"/>
    <w:rsid w:val="002A1D69"/>
    <w:rsid w:val="002A2E1A"/>
    <w:rsid w:val="002A7DDA"/>
    <w:rsid w:val="002B48FB"/>
    <w:rsid w:val="002C6400"/>
    <w:rsid w:val="002D124D"/>
    <w:rsid w:val="002E570C"/>
    <w:rsid w:val="002E5811"/>
    <w:rsid w:val="002E6F0B"/>
    <w:rsid w:val="002F26DA"/>
    <w:rsid w:val="00301359"/>
    <w:rsid w:val="003051A1"/>
    <w:rsid w:val="0031204D"/>
    <w:rsid w:val="003245C6"/>
    <w:rsid w:val="00345C1D"/>
    <w:rsid w:val="00355D5B"/>
    <w:rsid w:val="003565F6"/>
    <w:rsid w:val="00362B5F"/>
    <w:rsid w:val="003740E7"/>
    <w:rsid w:val="0037592C"/>
    <w:rsid w:val="00375CB7"/>
    <w:rsid w:val="00380753"/>
    <w:rsid w:val="00397912"/>
    <w:rsid w:val="003A52F6"/>
    <w:rsid w:val="003F006C"/>
    <w:rsid w:val="003F2F3D"/>
    <w:rsid w:val="003F7791"/>
    <w:rsid w:val="003F7FBD"/>
    <w:rsid w:val="00420DB8"/>
    <w:rsid w:val="004232A2"/>
    <w:rsid w:val="00423F29"/>
    <w:rsid w:val="00465BEC"/>
    <w:rsid w:val="00475FF3"/>
    <w:rsid w:val="0047707E"/>
    <w:rsid w:val="004842C0"/>
    <w:rsid w:val="00485C14"/>
    <w:rsid w:val="0048671B"/>
    <w:rsid w:val="004948FE"/>
    <w:rsid w:val="004A0938"/>
    <w:rsid w:val="004A0CA0"/>
    <w:rsid w:val="004A1702"/>
    <w:rsid w:val="004B15F5"/>
    <w:rsid w:val="004C1DA4"/>
    <w:rsid w:val="004C7D22"/>
    <w:rsid w:val="004D4421"/>
    <w:rsid w:val="004E27C0"/>
    <w:rsid w:val="0052134F"/>
    <w:rsid w:val="005345F0"/>
    <w:rsid w:val="005424D1"/>
    <w:rsid w:val="0055420B"/>
    <w:rsid w:val="00561589"/>
    <w:rsid w:val="00573DE7"/>
    <w:rsid w:val="00576014"/>
    <w:rsid w:val="0057624E"/>
    <w:rsid w:val="00576A2B"/>
    <w:rsid w:val="00584251"/>
    <w:rsid w:val="00586454"/>
    <w:rsid w:val="00590071"/>
    <w:rsid w:val="005936C8"/>
    <w:rsid w:val="00595172"/>
    <w:rsid w:val="00597EDB"/>
    <w:rsid w:val="005A6804"/>
    <w:rsid w:val="005C7EB6"/>
    <w:rsid w:val="005D54EB"/>
    <w:rsid w:val="005D6890"/>
    <w:rsid w:val="005F061C"/>
    <w:rsid w:val="005F1537"/>
    <w:rsid w:val="00605885"/>
    <w:rsid w:val="00607A3B"/>
    <w:rsid w:val="0061749A"/>
    <w:rsid w:val="00646CE9"/>
    <w:rsid w:val="00647DDA"/>
    <w:rsid w:val="00650EFE"/>
    <w:rsid w:val="00656DB8"/>
    <w:rsid w:val="006608F1"/>
    <w:rsid w:val="0066202E"/>
    <w:rsid w:val="00662874"/>
    <w:rsid w:val="00665187"/>
    <w:rsid w:val="00682FAC"/>
    <w:rsid w:val="00684D63"/>
    <w:rsid w:val="00686623"/>
    <w:rsid w:val="006A1BC1"/>
    <w:rsid w:val="006A2C1A"/>
    <w:rsid w:val="006B5082"/>
    <w:rsid w:val="006C76B6"/>
    <w:rsid w:val="006D4360"/>
    <w:rsid w:val="006D56E7"/>
    <w:rsid w:val="006D6383"/>
    <w:rsid w:val="006D6CC1"/>
    <w:rsid w:val="006E1D61"/>
    <w:rsid w:val="006E7C6B"/>
    <w:rsid w:val="006F02B8"/>
    <w:rsid w:val="006F1156"/>
    <w:rsid w:val="00710773"/>
    <w:rsid w:val="00711434"/>
    <w:rsid w:val="007342D6"/>
    <w:rsid w:val="00752AE8"/>
    <w:rsid w:val="007567B3"/>
    <w:rsid w:val="007567CA"/>
    <w:rsid w:val="00756C49"/>
    <w:rsid w:val="0076223E"/>
    <w:rsid w:val="007722FB"/>
    <w:rsid w:val="00772C09"/>
    <w:rsid w:val="007933E2"/>
    <w:rsid w:val="00793571"/>
    <w:rsid w:val="00795E9C"/>
    <w:rsid w:val="007965FE"/>
    <w:rsid w:val="007D23AA"/>
    <w:rsid w:val="007D5519"/>
    <w:rsid w:val="007E4003"/>
    <w:rsid w:val="007F52B1"/>
    <w:rsid w:val="00801CFE"/>
    <w:rsid w:val="00805FE7"/>
    <w:rsid w:val="00807EF1"/>
    <w:rsid w:val="00817738"/>
    <w:rsid w:val="0082252D"/>
    <w:rsid w:val="0084003C"/>
    <w:rsid w:val="00844F88"/>
    <w:rsid w:val="00850419"/>
    <w:rsid w:val="008537D3"/>
    <w:rsid w:val="00853A29"/>
    <w:rsid w:val="0085451F"/>
    <w:rsid w:val="00861401"/>
    <w:rsid w:val="008615A5"/>
    <w:rsid w:val="00865EA3"/>
    <w:rsid w:val="00866373"/>
    <w:rsid w:val="00866F89"/>
    <w:rsid w:val="00873D40"/>
    <w:rsid w:val="0087629D"/>
    <w:rsid w:val="00877F82"/>
    <w:rsid w:val="008813CB"/>
    <w:rsid w:val="00885584"/>
    <w:rsid w:val="00892CAE"/>
    <w:rsid w:val="008A3FD1"/>
    <w:rsid w:val="008C2DA8"/>
    <w:rsid w:val="008C3BE6"/>
    <w:rsid w:val="008D4DE5"/>
    <w:rsid w:val="008E13A1"/>
    <w:rsid w:val="008F14FA"/>
    <w:rsid w:val="008F1650"/>
    <w:rsid w:val="008F2050"/>
    <w:rsid w:val="00914486"/>
    <w:rsid w:val="00923AD6"/>
    <w:rsid w:val="0093502A"/>
    <w:rsid w:val="009457C4"/>
    <w:rsid w:val="00952247"/>
    <w:rsid w:val="00954405"/>
    <w:rsid w:val="00963065"/>
    <w:rsid w:val="0096475D"/>
    <w:rsid w:val="00965830"/>
    <w:rsid w:val="0097021F"/>
    <w:rsid w:val="00984369"/>
    <w:rsid w:val="0099665B"/>
    <w:rsid w:val="009A319A"/>
    <w:rsid w:val="009A5623"/>
    <w:rsid w:val="009A78E0"/>
    <w:rsid w:val="009B27D2"/>
    <w:rsid w:val="009C02A6"/>
    <w:rsid w:val="009C529F"/>
    <w:rsid w:val="009C772B"/>
    <w:rsid w:val="009D27C1"/>
    <w:rsid w:val="009E28B0"/>
    <w:rsid w:val="009E59AD"/>
    <w:rsid w:val="009E7588"/>
    <w:rsid w:val="009F3A08"/>
    <w:rsid w:val="00A14EEB"/>
    <w:rsid w:val="00A16335"/>
    <w:rsid w:val="00A246AE"/>
    <w:rsid w:val="00A31735"/>
    <w:rsid w:val="00A3388C"/>
    <w:rsid w:val="00A40250"/>
    <w:rsid w:val="00A413B0"/>
    <w:rsid w:val="00A41A46"/>
    <w:rsid w:val="00A43EC2"/>
    <w:rsid w:val="00A845E5"/>
    <w:rsid w:val="00A9114F"/>
    <w:rsid w:val="00A91A92"/>
    <w:rsid w:val="00A924E9"/>
    <w:rsid w:val="00A92A7F"/>
    <w:rsid w:val="00AB2742"/>
    <w:rsid w:val="00AC71FD"/>
    <w:rsid w:val="00AD4F67"/>
    <w:rsid w:val="00AD74EB"/>
    <w:rsid w:val="00AE1ECA"/>
    <w:rsid w:val="00AE5269"/>
    <w:rsid w:val="00B133A0"/>
    <w:rsid w:val="00B209F9"/>
    <w:rsid w:val="00B22FBC"/>
    <w:rsid w:val="00B43816"/>
    <w:rsid w:val="00B63AE9"/>
    <w:rsid w:val="00B6611E"/>
    <w:rsid w:val="00B709AC"/>
    <w:rsid w:val="00B83F9B"/>
    <w:rsid w:val="00B8628D"/>
    <w:rsid w:val="00B9305B"/>
    <w:rsid w:val="00BB1994"/>
    <w:rsid w:val="00BB35A6"/>
    <w:rsid w:val="00BE798E"/>
    <w:rsid w:val="00BF4E88"/>
    <w:rsid w:val="00C0176B"/>
    <w:rsid w:val="00C03BD8"/>
    <w:rsid w:val="00C067AD"/>
    <w:rsid w:val="00C11BD1"/>
    <w:rsid w:val="00C17E17"/>
    <w:rsid w:val="00C207D5"/>
    <w:rsid w:val="00C36EDE"/>
    <w:rsid w:val="00C557F3"/>
    <w:rsid w:val="00C626A6"/>
    <w:rsid w:val="00C63AAD"/>
    <w:rsid w:val="00C64E3F"/>
    <w:rsid w:val="00C71374"/>
    <w:rsid w:val="00C9392E"/>
    <w:rsid w:val="00C9677E"/>
    <w:rsid w:val="00C96D08"/>
    <w:rsid w:val="00CB06B5"/>
    <w:rsid w:val="00CB4B02"/>
    <w:rsid w:val="00CB77C5"/>
    <w:rsid w:val="00CC404D"/>
    <w:rsid w:val="00CD5582"/>
    <w:rsid w:val="00CD74BE"/>
    <w:rsid w:val="00CE10A5"/>
    <w:rsid w:val="00CF01B5"/>
    <w:rsid w:val="00D054A1"/>
    <w:rsid w:val="00D065C4"/>
    <w:rsid w:val="00D10363"/>
    <w:rsid w:val="00D23668"/>
    <w:rsid w:val="00D25741"/>
    <w:rsid w:val="00D278EA"/>
    <w:rsid w:val="00D33FFB"/>
    <w:rsid w:val="00D354EA"/>
    <w:rsid w:val="00D40C9A"/>
    <w:rsid w:val="00D43DCB"/>
    <w:rsid w:val="00D47F00"/>
    <w:rsid w:val="00D56F28"/>
    <w:rsid w:val="00D621FD"/>
    <w:rsid w:val="00D6618A"/>
    <w:rsid w:val="00D71B37"/>
    <w:rsid w:val="00D72C71"/>
    <w:rsid w:val="00D85197"/>
    <w:rsid w:val="00D8604B"/>
    <w:rsid w:val="00D9300B"/>
    <w:rsid w:val="00D9551E"/>
    <w:rsid w:val="00D95C84"/>
    <w:rsid w:val="00DB1367"/>
    <w:rsid w:val="00DB5B5A"/>
    <w:rsid w:val="00DB6FA7"/>
    <w:rsid w:val="00DC112B"/>
    <w:rsid w:val="00DE49C3"/>
    <w:rsid w:val="00DF5193"/>
    <w:rsid w:val="00E00EDE"/>
    <w:rsid w:val="00E158B9"/>
    <w:rsid w:val="00E25CCF"/>
    <w:rsid w:val="00E4134F"/>
    <w:rsid w:val="00E47547"/>
    <w:rsid w:val="00E538B5"/>
    <w:rsid w:val="00E6341C"/>
    <w:rsid w:val="00E652C5"/>
    <w:rsid w:val="00E83586"/>
    <w:rsid w:val="00EB45F1"/>
    <w:rsid w:val="00EB5495"/>
    <w:rsid w:val="00EC6B66"/>
    <w:rsid w:val="00ED01DC"/>
    <w:rsid w:val="00EF0533"/>
    <w:rsid w:val="00EF584F"/>
    <w:rsid w:val="00F02231"/>
    <w:rsid w:val="00F02415"/>
    <w:rsid w:val="00F03841"/>
    <w:rsid w:val="00F0418E"/>
    <w:rsid w:val="00F12BCF"/>
    <w:rsid w:val="00F2243E"/>
    <w:rsid w:val="00F2604E"/>
    <w:rsid w:val="00F26604"/>
    <w:rsid w:val="00F330CB"/>
    <w:rsid w:val="00F411A0"/>
    <w:rsid w:val="00F85081"/>
    <w:rsid w:val="00F8611F"/>
    <w:rsid w:val="00F91DDE"/>
    <w:rsid w:val="00FB274E"/>
    <w:rsid w:val="00FB5689"/>
    <w:rsid w:val="00FC438A"/>
    <w:rsid w:val="00FD031D"/>
    <w:rsid w:val="00FD3BB2"/>
    <w:rsid w:val="00FE3973"/>
    <w:rsid w:val="00FF0F35"/>
    <w:rsid w:val="00FF3357"/>
    <w:rsid w:val="00FF6D57"/>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36E71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a-DK"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24D"/>
    <w:pPr>
      <w:jc w:val="both"/>
    </w:pPr>
    <w:rPr>
      <w:rFonts w:ascii="Times New Roman" w:hAnsi="Times New Roman"/>
      <w:sz w:val="24"/>
      <w:szCs w:val="22"/>
      <w:lang w:eastAsia="en-US"/>
    </w:rPr>
  </w:style>
  <w:style w:type="paragraph" w:styleId="Heading1">
    <w:name w:val="heading 1"/>
    <w:basedOn w:val="Normal"/>
    <w:next w:val="Normal"/>
    <w:link w:val="Heading1Char"/>
    <w:qFormat/>
    <w:rsid w:val="00EF0533"/>
    <w:pPr>
      <w:keepNext/>
      <w:numPr>
        <w:numId w:val="34"/>
      </w:numPr>
      <w:spacing w:before="240" w:after="240"/>
      <w:outlineLvl w:val="0"/>
    </w:pPr>
    <w:rPr>
      <w:rFonts w:eastAsia="Times New Roman" w:cs="Arial Unicode MS"/>
      <w:b/>
      <w:bCs/>
      <w:smallCaps/>
      <w:szCs w:val="24"/>
      <w:lang w:eastAsia="en-GB" w:bidi="si-LK"/>
    </w:rPr>
  </w:style>
  <w:style w:type="paragraph" w:styleId="Heading3">
    <w:name w:val="heading 3"/>
    <w:basedOn w:val="Normal"/>
    <w:next w:val="Normal"/>
    <w:link w:val="Heading3Char"/>
    <w:uiPriority w:val="9"/>
    <w:qFormat/>
    <w:rsid w:val="005936C8"/>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5936C8"/>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F0533"/>
    <w:rPr>
      <w:rFonts w:ascii="Times New Roman" w:eastAsia="Times New Roman" w:hAnsi="Times New Roman" w:cs="Arial Unicode MS"/>
      <w:b/>
      <w:bCs/>
      <w:smallCaps/>
      <w:sz w:val="24"/>
      <w:szCs w:val="24"/>
      <w:lang w:val="da-DK" w:bidi="si-LK"/>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rsid w:val="00EF0533"/>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D278EA"/>
    <w:pPr>
      <w:tabs>
        <w:tab w:val="left" w:pos="357"/>
      </w:tabs>
      <w:ind w:left="357" w:hanging="357"/>
    </w:pPr>
    <w:rPr>
      <w:rFonts w:eastAsia="Times New Roman" w:cs="Arial Unicode MS"/>
      <w:sz w:val="20"/>
      <w:szCs w:val="20"/>
      <w:lang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D278EA"/>
    <w:rPr>
      <w:rFonts w:ascii="Times New Roman" w:eastAsia="Times New Roman" w:hAnsi="Times New Roman" w:cs="Arial Unicode MS"/>
      <w:lang w:val="da-DK" w:bidi="si-LK"/>
    </w:rPr>
  </w:style>
  <w:style w:type="paragraph" w:customStyle="1" w:styleId="ChapterTitle">
    <w:name w:val="ChapterTitle"/>
    <w:basedOn w:val="Normal"/>
    <w:next w:val="Normal"/>
    <w:rsid w:val="001B2B78"/>
    <w:pPr>
      <w:keepNext/>
      <w:spacing w:before="120" w:after="360"/>
      <w:jc w:val="center"/>
    </w:pPr>
    <w:rPr>
      <w:rFonts w:eastAsia="Times New Roman" w:cs="Arial Unicode MS"/>
      <w:b/>
      <w:bCs/>
      <w:sz w:val="28"/>
      <w:szCs w:val="32"/>
      <w:lang w:eastAsia="en-GB" w:bidi="si-LK"/>
    </w:rPr>
  </w:style>
  <w:style w:type="paragraph" w:customStyle="1" w:styleId="Text2">
    <w:name w:val="Text 2"/>
    <w:basedOn w:val="Normal"/>
    <w:rsid w:val="00EF0533"/>
    <w:pPr>
      <w:tabs>
        <w:tab w:val="left" w:pos="2161"/>
      </w:tabs>
      <w:spacing w:after="240"/>
      <w:ind w:left="1077"/>
    </w:pPr>
    <w:rPr>
      <w:rFonts w:eastAsia="Times New Roman" w:cs="Arial Unicode MS"/>
      <w:szCs w:val="24"/>
      <w:lang w:eastAsia="en-GB" w:bidi="si-LK"/>
    </w:rPr>
  </w:style>
  <w:style w:type="paragraph" w:customStyle="1" w:styleId="NumPar2">
    <w:name w:val="NumPar 2"/>
    <w:basedOn w:val="Normal"/>
    <w:next w:val="Text2"/>
    <w:rsid w:val="00EF0533"/>
    <w:pPr>
      <w:numPr>
        <w:ilvl w:val="1"/>
        <w:numId w:val="1"/>
      </w:numPr>
      <w:spacing w:before="120" w:after="120"/>
    </w:pPr>
    <w:rPr>
      <w:rFonts w:eastAsia="Times New Roman" w:cs="Arial Unicode MS"/>
      <w:szCs w:val="24"/>
      <w:lang w:eastAsia="en-GB" w:bidi="si-LK"/>
    </w:rPr>
  </w:style>
  <w:style w:type="paragraph" w:styleId="ListNumber">
    <w:name w:val="List Number"/>
    <w:basedOn w:val="Normal"/>
    <w:rsid w:val="00EF0533"/>
    <w:pPr>
      <w:spacing w:after="240"/>
    </w:pPr>
    <w:rPr>
      <w:rFonts w:eastAsia="Times New Roman" w:cs="Arial Unicode MS"/>
      <w:szCs w:val="24"/>
      <w:lang w:eastAsia="en-GB" w:bidi="si-LK"/>
    </w:rPr>
  </w:style>
  <w:style w:type="paragraph" w:customStyle="1" w:styleId="NumPar3">
    <w:name w:val="NumPar 3"/>
    <w:basedOn w:val="NumPar2"/>
    <w:rsid w:val="00EF0533"/>
    <w:pPr>
      <w:numPr>
        <w:ilvl w:val="0"/>
        <w:numId w:val="0"/>
      </w:numPr>
      <w:ind w:left="720"/>
    </w:pPr>
  </w:style>
  <w:style w:type="paragraph" w:styleId="ListParagraph">
    <w:name w:val="List Paragraph"/>
    <w:basedOn w:val="Normal"/>
    <w:uiPriority w:val="34"/>
    <w:qFormat/>
    <w:rsid w:val="00C9392E"/>
    <w:pPr>
      <w:ind w:left="720"/>
    </w:pPr>
  </w:style>
  <w:style w:type="paragraph" w:customStyle="1" w:styleId="NormalKop111">
    <w:name w:val="Normal Kop 1.1.1"/>
    <w:basedOn w:val="Normal"/>
    <w:rsid w:val="00772C09"/>
    <w:pPr>
      <w:tabs>
        <w:tab w:val="left" w:pos="720"/>
        <w:tab w:val="left" w:pos="1440"/>
        <w:tab w:val="left" w:pos="1797"/>
      </w:tabs>
      <w:spacing w:before="240" w:after="120"/>
      <w:ind w:left="1440" w:hanging="720"/>
    </w:pPr>
    <w:rPr>
      <w:rFonts w:eastAsia="Times New Roman" w:cs="Arial Unicode MS"/>
      <w:szCs w:val="24"/>
      <w:lang w:eastAsia="en-GB" w:bidi="si-LK"/>
    </w:rPr>
  </w:style>
  <w:style w:type="paragraph" w:customStyle="1" w:styleId="Normal127Indent127">
    <w:name w:val="Normal 127 Indent 127"/>
    <w:basedOn w:val="NormalKop111"/>
    <w:qFormat/>
    <w:rsid w:val="00095A91"/>
    <w:pPr>
      <w:spacing w:before="120"/>
    </w:pPr>
  </w:style>
  <w:style w:type="character" w:customStyle="1" w:styleId="Heading3Char">
    <w:name w:val="Heading 3 Char"/>
    <w:link w:val="Heading3"/>
    <w:uiPriority w:val="9"/>
    <w:semiHidden/>
    <w:rsid w:val="005936C8"/>
    <w:rPr>
      <w:rFonts w:ascii="Cambria" w:eastAsia="Times New Roman" w:hAnsi="Cambria"/>
      <w:b/>
      <w:bCs/>
      <w:sz w:val="26"/>
      <w:szCs w:val="26"/>
      <w:lang w:eastAsia="en-US"/>
    </w:rPr>
  </w:style>
  <w:style w:type="paragraph" w:customStyle="1" w:styleId="NumPar4">
    <w:name w:val="NumPar 4"/>
    <w:basedOn w:val="Heading4"/>
    <w:next w:val="Normal"/>
    <w:rsid w:val="005936C8"/>
    <w:pPr>
      <w:keepNext w:val="0"/>
      <w:numPr>
        <w:ilvl w:val="3"/>
        <w:numId w:val="5"/>
      </w:numPr>
      <w:spacing w:before="0" w:after="240"/>
      <w:ind w:left="2880" w:hanging="960"/>
      <w:outlineLvl w:val="9"/>
    </w:pPr>
    <w:rPr>
      <w:rFonts w:ascii="Times New Roman" w:hAnsi="Times New Roman" w:cs="Arial Unicode MS"/>
      <w:b w:val="0"/>
      <w:bCs w:val="0"/>
      <w:sz w:val="24"/>
      <w:szCs w:val="24"/>
      <w:lang w:eastAsia="en-GB" w:bidi="si-LK"/>
    </w:rPr>
  </w:style>
  <w:style w:type="character" w:customStyle="1" w:styleId="Heading4Char">
    <w:name w:val="Heading 4 Char"/>
    <w:link w:val="Heading4"/>
    <w:uiPriority w:val="9"/>
    <w:semiHidden/>
    <w:rsid w:val="005936C8"/>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220898"/>
    <w:rPr>
      <w:rFonts w:ascii="Tahoma" w:hAnsi="Tahoma" w:cs="Tahoma"/>
      <w:sz w:val="16"/>
      <w:szCs w:val="16"/>
    </w:rPr>
  </w:style>
  <w:style w:type="character" w:customStyle="1" w:styleId="BalloonTextChar">
    <w:name w:val="Balloon Text Char"/>
    <w:link w:val="BalloonText"/>
    <w:uiPriority w:val="99"/>
    <w:semiHidden/>
    <w:rsid w:val="00220898"/>
    <w:rPr>
      <w:rFonts w:ascii="Tahoma" w:hAnsi="Tahoma" w:cs="Tahoma"/>
      <w:sz w:val="16"/>
      <w:szCs w:val="16"/>
      <w:lang w:eastAsia="en-US"/>
    </w:rPr>
  </w:style>
  <w:style w:type="character" w:styleId="CommentReference">
    <w:name w:val="annotation reference"/>
    <w:uiPriority w:val="99"/>
    <w:semiHidden/>
    <w:unhideWhenUsed/>
    <w:rsid w:val="00220898"/>
    <w:rPr>
      <w:sz w:val="16"/>
      <w:szCs w:val="16"/>
    </w:rPr>
  </w:style>
  <w:style w:type="paragraph" w:styleId="CommentText">
    <w:name w:val="annotation text"/>
    <w:basedOn w:val="Normal"/>
    <w:link w:val="CommentTextChar"/>
    <w:uiPriority w:val="99"/>
    <w:semiHidden/>
    <w:unhideWhenUsed/>
    <w:rsid w:val="00220898"/>
    <w:rPr>
      <w:sz w:val="20"/>
      <w:szCs w:val="20"/>
    </w:rPr>
  </w:style>
  <w:style w:type="character" w:customStyle="1" w:styleId="CommentTextChar">
    <w:name w:val="Comment Text Char"/>
    <w:link w:val="CommentText"/>
    <w:uiPriority w:val="99"/>
    <w:semiHidden/>
    <w:rsid w:val="00220898"/>
    <w:rPr>
      <w:lang w:eastAsia="en-US"/>
    </w:rPr>
  </w:style>
  <w:style w:type="paragraph" w:styleId="CommentSubject">
    <w:name w:val="annotation subject"/>
    <w:basedOn w:val="CommentText"/>
    <w:next w:val="CommentText"/>
    <w:link w:val="CommentSubjectChar"/>
    <w:uiPriority w:val="99"/>
    <w:semiHidden/>
    <w:unhideWhenUsed/>
    <w:rsid w:val="00220898"/>
    <w:rPr>
      <w:b/>
      <w:bCs/>
    </w:rPr>
  </w:style>
  <w:style w:type="character" w:customStyle="1" w:styleId="CommentSubjectChar">
    <w:name w:val="Comment Subject Char"/>
    <w:link w:val="CommentSubject"/>
    <w:uiPriority w:val="99"/>
    <w:semiHidden/>
    <w:rsid w:val="00220898"/>
    <w:rPr>
      <w:b/>
      <w:bCs/>
      <w:lang w:eastAsia="en-US"/>
    </w:rPr>
  </w:style>
  <w:style w:type="paragraph" w:customStyle="1" w:styleId="Normal127Bullet63">
    <w:name w:val="Normal 127 Bullet63"/>
    <w:basedOn w:val="Normal"/>
    <w:rsid w:val="00236E99"/>
    <w:pPr>
      <w:numPr>
        <w:numId w:val="6"/>
      </w:numPr>
      <w:tabs>
        <w:tab w:val="left" w:pos="720"/>
        <w:tab w:val="left" w:pos="1077"/>
        <w:tab w:val="left" w:pos="1440"/>
        <w:tab w:val="left" w:pos="1797"/>
        <w:tab w:val="left" w:pos="2161"/>
      </w:tabs>
      <w:ind w:left="1077" w:hanging="357"/>
    </w:pPr>
    <w:rPr>
      <w:rFonts w:eastAsia="Times New Roman" w:cs="Arial Unicode MS"/>
      <w:szCs w:val="24"/>
      <w:lang w:eastAsia="en-GB" w:bidi="si-LK"/>
    </w:rPr>
  </w:style>
  <w:style w:type="paragraph" w:customStyle="1" w:styleId="Normal127">
    <w:name w:val="Normal 127"/>
    <w:basedOn w:val="NormalKop111"/>
    <w:qFormat/>
    <w:rsid w:val="003051A1"/>
  </w:style>
  <w:style w:type="paragraph" w:customStyle="1" w:styleId="NormalKop11">
    <w:name w:val="Normal Kop 1.1"/>
    <w:basedOn w:val="Normal"/>
    <w:next w:val="Normal"/>
    <w:rsid w:val="00095A91"/>
    <w:pPr>
      <w:numPr>
        <w:ilvl w:val="1"/>
        <w:numId w:val="2"/>
      </w:numPr>
      <w:tabs>
        <w:tab w:val="left" w:pos="720"/>
        <w:tab w:val="left" w:pos="1077"/>
        <w:tab w:val="left" w:pos="1440"/>
        <w:tab w:val="left" w:pos="1797"/>
      </w:tabs>
      <w:spacing w:before="360" w:after="240"/>
      <w:ind w:left="720" w:hanging="720"/>
    </w:pPr>
    <w:rPr>
      <w:rFonts w:eastAsia="Times New Roman" w:cs="Arial Unicode MS"/>
      <w:szCs w:val="24"/>
      <w:lang w:eastAsia="en-GB" w:bidi="si-LK"/>
    </w:rPr>
  </w:style>
  <w:style w:type="table" w:styleId="TableGrid">
    <w:name w:val="Table Grid"/>
    <w:basedOn w:val="TableNormal"/>
    <w:uiPriority w:val="59"/>
    <w:rsid w:val="00F33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D6890"/>
    <w:pPr>
      <w:tabs>
        <w:tab w:val="left" w:pos="357"/>
        <w:tab w:val="left" w:pos="720"/>
        <w:tab w:val="left" w:pos="1077"/>
        <w:tab w:val="left" w:pos="1440"/>
        <w:tab w:val="left" w:pos="1797"/>
      </w:tabs>
      <w:ind w:left="357" w:hanging="357"/>
      <w:jc w:val="left"/>
    </w:pPr>
    <w:rPr>
      <w:sz w:val="20"/>
    </w:rPr>
  </w:style>
  <w:style w:type="character" w:customStyle="1" w:styleId="FooterChar">
    <w:name w:val="Footer Char"/>
    <w:link w:val="Footer"/>
    <w:uiPriority w:val="99"/>
    <w:rsid w:val="005D6890"/>
    <w:rPr>
      <w:rFonts w:ascii="Times New Roman" w:hAnsi="Times New Roman"/>
      <w:szCs w:val="22"/>
      <w:lang w:eastAsia="en-US"/>
    </w:rPr>
  </w:style>
  <w:style w:type="character" w:styleId="Strong">
    <w:name w:val="Strong"/>
    <w:uiPriority w:val="22"/>
    <w:qFormat/>
    <w:rsid w:val="00923AD6"/>
    <w:rPr>
      <w:b/>
      <w:bCs/>
    </w:rPr>
  </w:style>
  <w:style w:type="character" w:styleId="Emphasis">
    <w:name w:val="Emphasis"/>
    <w:uiPriority w:val="20"/>
    <w:qFormat/>
    <w:rsid w:val="00F0418E"/>
    <w:rPr>
      <w:i/>
      <w:iCs/>
    </w:rPr>
  </w:style>
  <w:style w:type="character" w:customStyle="1" w:styleId="FootnoteTextChar1">
    <w:name w:val="Footnote Text Char1"/>
    <w:semiHidden/>
    <w:rsid w:val="001F0D7E"/>
    <w:rPr>
      <w:rFonts w:ascii="Times New Roman" w:hAnsi="Times New Roman"/>
      <w:lang w:val="da-DK"/>
    </w:rPr>
  </w:style>
  <w:style w:type="character" w:styleId="Hyperlink">
    <w:name w:val="Hyperlink"/>
    <w:uiPriority w:val="99"/>
    <w:unhideWhenUsed/>
    <w:rsid w:val="0047707E"/>
    <w:rPr>
      <w:color w:val="0563C1"/>
      <w:u w:val="single"/>
    </w:rPr>
  </w:style>
  <w:style w:type="character" w:styleId="FollowedHyperlink">
    <w:name w:val="FollowedHyperlink"/>
    <w:uiPriority w:val="99"/>
    <w:semiHidden/>
    <w:unhideWhenUsed/>
    <w:rsid w:val="00281807"/>
    <w:rPr>
      <w:color w:val="954F72"/>
      <w:u w:val="single"/>
    </w:rPr>
  </w:style>
  <w:style w:type="paragraph" w:styleId="Header">
    <w:name w:val="header"/>
    <w:basedOn w:val="Normal"/>
    <w:link w:val="HeaderChar"/>
    <w:uiPriority w:val="99"/>
    <w:unhideWhenUsed/>
    <w:rsid w:val="00A845E5"/>
    <w:pPr>
      <w:tabs>
        <w:tab w:val="center" w:pos="4513"/>
        <w:tab w:val="right" w:pos="9026"/>
      </w:tabs>
    </w:pPr>
  </w:style>
  <w:style w:type="character" w:customStyle="1" w:styleId="HeaderChar">
    <w:name w:val="Header Char"/>
    <w:basedOn w:val="DefaultParagraphFont"/>
    <w:link w:val="Header"/>
    <w:uiPriority w:val="99"/>
    <w:rsid w:val="00A845E5"/>
    <w:rPr>
      <w:rFonts w:ascii="Times New Roman" w:hAnsi="Times New Roman"/>
      <w:sz w:val="24"/>
      <w:szCs w:val="22"/>
      <w:lang w:val="da-D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1251">
      <w:bodyDiv w:val="1"/>
      <w:marLeft w:val="0"/>
      <w:marRight w:val="0"/>
      <w:marTop w:val="0"/>
      <w:marBottom w:val="0"/>
      <w:divBdr>
        <w:top w:val="none" w:sz="0" w:space="0" w:color="auto"/>
        <w:left w:val="none" w:sz="0" w:space="0" w:color="auto"/>
        <w:bottom w:val="none" w:sz="0" w:space="0" w:color="auto"/>
        <w:right w:val="none" w:sz="0" w:space="0" w:color="auto"/>
      </w:divBdr>
    </w:div>
    <w:div w:id="58601575">
      <w:bodyDiv w:val="1"/>
      <w:marLeft w:val="0"/>
      <w:marRight w:val="0"/>
      <w:marTop w:val="0"/>
      <w:marBottom w:val="0"/>
      <w:divBdr>
        <w:top w:val="none" w:sz="0" w:space="0" w:color="auto"/>
        <w:left w:val="none" w:sz="0" w:space="0" w:color="auto"/>
        <w:bottom w:val="none" w:sz="0" w:space="0" w:color="auto"/>
        <w:right w:val="none" w:sz="0" w:space="0" w:color="auto"/>
      </w:divBdr>
    </w:div>
    <w:div w:id="87044496">
      <w:bodyDiv w:val="1"/>
      <w:marLeft w:val="0"/>
      <w:marRight w:val="0"/>
      <w:marTop w:val="0"/>
      <w:marBottom w:val="0"/>
      <w:divBdr>
        <w:top w:val="none" w:sz="0" w:space="0" w:color="auto"/>
        <w:left w:val="none" w:sz="0" w:space="0" w:color="auto"/>
        <w:bottom w:val="none" w:sz="0" w:space="0" w:color="auto"/>
        <w:right w:val="none" w:sz="0" w:space="0" w:color="auto"/>
      </w:divBdr>
    </w:div>
    <w:div w:id="183331262">
      <w:bodyDiv w:val="1"/>
      <w:marLeft w:val="0"/>
      <w:marRight w:val="0"/>
      <w:marTop w:val="0"/>
      <w:marBottom w:val="0"/>
      <w:divBdr>
        <w:top w:val="none" w:sz="0" w:space="0" w:color="auto"/>
        <w:left w:val="none" w:sz="0" w:space="0" w:color="auto"/>
        <w:bottom w:val="none" w:sz="0" w:space="0" w:color="auto"/>
        <w:right w:val="none" w:sz="0" w:space="0" w:color="auto"/>
      </w:divBdr>
    </w:div>
    <w:div w:id="622610792">
      <w:bodyDiv w:val="1"/>
      <w:marLeft w:val="0"/>
      <w:marRight w:val="0"/>
      <w:marTop w:val="0"/>
      <w:marBottom w:val="0"/>
      <w:divBdr>
        <w:top w:val="none" w:sz="0" w:space="0" w:color="auto"/>
        <w:left w:val="none" w:sz="0" w:space="0" w:color="auto"/>
        <w:bottom w:val="none" w:sz="0" w:space="0" w:color="auto"/>
        <w:right w:val="none" w:sz="0" w:space="0" w:color="auto"/>
      </w:divBdr>
    </w:div>
    <w:div w:id="722405469">
      <w:bodyDiv w:val="1"/>
      <w:marLeft w:val="0"/>
      <w:marRight w:val="0"/>
      <w:marTop w:val="0"/>
      <w:marBottom w:val="0"/>
      <w:divBdr>
        <w:top w:val="none" w:sz="0" w:space="0" w:color="auto"/>
        <w:left w:val="none" w:sz="0" w:space="0" w:color="auto"/>
        <w:bottom w:val="none" w:sz="0" w:space="0" w:color="auto"/>
        <w:right w:val="none" w:sz="0" w:space="0" w:color="auto"/>
      </w:divBdr>
    </w:div>
    <w:div w:id="841774431">
      <w:bodyDiv w:val="1"/>
      <w:marLeft w:val="0"/>
      <w:marRight w:val="0"/>
      <w:marTop w:val="0"/>
      <w:marBottom w:val="0"/>
      <w:divBdr>
        <w:top w:val="none" w:sz="0" w:space="0" w:color="auto"/>
        <w:left w:val="none" w:sz="0" w:space="0" w:color="auto"/>
        <w:bottom w:val="none" w:sz="0" w:space="0" w:color="auto"/>
        <w:right w:val="none" w:sz="0" w:space="0" w:color="auto"/>
      </w:divBdr>
    </w:div>
    <w:div w:id="846403421">
      <w:bodyDiv w:val="1"/>
      <w:marLeft w:val="0"/>
      <w:marRight w:val="0"/>
      <w:marTop w:val="0"/>
      <w:marBottom w:val="0"/>
      <w:divBdr>
        <w:top w:val="none" w:sz="0" w:space="0" w:color="auto"/>
        <w:left w:val="none" w:sz="0" w:space="0" w:color="auto"/>
        <w:bottom w:val="none" w:sz="0" w:space="0" w:color="auto"/>
        <w:right w:val="none" w:sz="0" w:space="0" w:color="auto"/>
      </w:divBdr>
    </w:div>
    <w:div w:id="894661316">
      <w:bodyDiv w:val="1"/>
      <w:marLeft w:val="0"/>
      <w:marRight w:val="0"/>
      <w:marTop w:val="0"/>
      <w:marBottom w:val="0"/>
      <w:divBdr>
        <w:top w:val="none" w:sz="0" w:space="0" w:color="auto"/>
        <w:left w:val="none" w:sz="0" w:space="0" w:color="auto"/>
        <w:bottom w:val="none" w:sz="0" w:space="0" w:color="auto"/>
        <w:right w:val="none" w:sz="0" w:space="0" w:color="auto"/>
      </w:divBdr>
    </w:div>
    <w:div w:id="1209342410">
      <w:bodyDiv w:val="1"/>
      <w:marLeft w:val="0"/>
      <w:marRight w:val="0"/>
      <w:marTop w:val="0"/>
      <w:marBottom w:val="0"/>
      <w:divBdr>
        <w:top w:val="none" w:sz="0" w:space="0" w:color="auto"/>
        <w:left w:val="none" w:sz="0" w:space="0" w:color="auto"/>
        <w:bottom w:val="none" w:sz="0" w:space="0" w:color="auto"/>
        <w:right w:val="none" w:sz="0" w:space="0" w:color="auto"/>
      </w:divBdr>
    </w:div>
    <w:div w:id="1224289903">
      <w:bodyDiv w:val="1"/>
      <w:marLeft w:val="0"/>
      <w:marRight w:val="0"/>
      <w:marTop w:val="0"/>
      <w:marBottom w:val="0"/>
      <w:divBdr>
        <w:top w:val="none" w:sz="0" w:space="0" w:color="auto"/>
        <w:left w:val="none" w:sz="0" w:space="0" w:color="auto"/>
        <w:bottom w:val="none" w:sz="0" w:space="0" w:color="auto"/>
        <w:right w:val="none" w:sz="0" w:space="0" w:color="auto"/>
      </w:divBdr>
    </w:div>
    <w:div w:id="1270120337">
      <w:bodyDiv w:val="1"/>
      <w:marLeft w:val="0"/>
      <w:marRight w:val="0"/>
      <w:marTop w:val="0"/>
      <w:marBottom w:val="0"/>
      <w:divBdr>
        <w:top w:val="none" w:sz="0" w:space="0" w:color="auto"/>
        <w:left w:val="none" w:sz="0" w:space="0" w:color="auto"/>
        <w:bottom w:val="none" w:sz="0" w:space="0" w:color="auto"/>
        <w:right w:val="none" w:sz="0" w:space="0" w:color="auto"/>
      </w:divBdr>
    </w:div>
    <w:div w:id="1314145405">
      <w:bodyDiv w:val="1"/>
      <w:marLeft w:val="0"/>
      <w:marRight w:val="0"/>
      <w:marTop w:val="0"/>
      <w:marBottom w:val="0"/>
      <w:divBdr>
        <w:top w:val="none" w:sz="0" w:space="0" w:color="auto"/>
        <w:left w:val="none" w:sz="0" w:space="0" w:color="auto"/>
        <w:bottom w:val="none" w:sz="0" w:space="0" w:color="auto"/>
        <w:right w:val="none" w:sz="0" w:space="0" w:color="auto"/>
      </w:divBdr>
    </w:div>
    <w:div w:id="1432817104">
      <w:bodyDiv w:val="1"/>
      <w:marLeft w:val="0"/>
      <w:marRight w:val="0"/>
      <w:marTop w:val="0"/>
      <w:marBottom w:val="0"/>
      <w:divBdr>
        <w:top w:val="none" w:sz="0" w:space="0" w:color="auto"/>
        <w:left w:val="none" w:sz="0" w:space="0" w:color="auto"/>
        <w:bottom w:val="none" w:sz="0" w:space="0" w:color="auto"/>
        <w:right w:val="none" w:sz="0" w:space="0" w:color="auto"/>
      </w:divBdr>
    </w:div>
    <w:div w:id="1513035536">
      <w:bodyDiv w:val="1"/>
      <w:marLeft w:val="0"/>
      <w:marRight w:val="0"/>
      <w:marTop w:val="0"/>
      <w:marBottom w:val="0"/>
      <w:divBdr>
        <w:top w:val="none" w:sz="0" w:space="0" w:color="auto"/>
        <w:left w:val="none" w:sz="0" w:space="0" w:color="auto"/>
        <w:bottom w:val="none" w:sz="0" w:space="0" w:color="auto"/>
        <w:right w:val="none" w:sz="0" w:space="0" w:color="auto"/>
      </w:divBdr>
    </w:div>
    <w:div w:id="1533572569">
      <w:bodyDiv w:val="1"/>
      <w:marLeft w:val="0"/>
      <w:marRight w:val="0"/>
      <w:marTop w:val="0"/>
      <w:marBottom w:val="0"/>
      <w:divBdr>
        <w:top w:val="none" w:sz="0" w:space="0" w:color="auto"/>
        <w:left w:val="none" w:sz="0" w:space="0" w:color="auto"/>
        <w:bottom w:val="none" w:sz="0" w:space="0" w:color="auto"/>
        <w:right w:val="none" w:sz="0" w:space="0" w:color="auto"/>
      </w:divBdr>
    </w:div>
    <w:div w:id="1554611295">
      <w:bodyDiv w:val="1"/>
      <w:marLeft w:val="0"/>
      <w:marRight w:val="0"/>
      <w:marTop w:val="0"/>
      <w:marBottom w:val="0"/>
      <w:divBdr>
        <w:top w:val="none" w:sz="0" w:space="0" w:color="auto"/>
        <w:left w:val="none" w:sz="0" w:space="0" w:color="auto"/>
        <w:bottom w:val="none" w:sz="0" w:space="0" w:color="auto"/>
        <w:right w:val="none" w:sz="0" w:space="0" w:color="auto"/>
      </w:divBdr>
    </w:div>
    <w:div w:id="1560363725">
      <w:bodyDiv w:val="1"/>
      <w:marLeft w:val="0"/>
      <w:marRight w:val="0"/>
      <w:marTop w:val="0"/>
      <w:marBottom w:val="0"/>
      <w:divBdr>
        <w:top w:val="none" w:sz="0" w:space="0" w:color="auto"/>
        <w:left w:val="none" w:sz="0" w:space="0" w:color="auto"/>
        <w:bottom w:val="none" w:sz="0" w:space="0" w:color="auto"/>
        <w:right w:val="none" w:sz="0" w:space="0" w:color="auto"/>
      </w:divBdr>
    </w:div>
    <w:div w:id="1602879773">
      <w:bodyDiv w:val="1"/>
      <w:marLeft w:val="0"/>
      <w:marRight w:val="0"/>
      <w:marTop w:val="0"/>
      <w:marBottom w:val="0"/>
      <w:divBdr>
        <w:top w:val="none" w:sz="0" w:space="0" w:color="auto"/>
        <w:left w:val="none" w:sz="0" w:space="0" w:color="auto"/>
        <w:bottom w:val="none" w:sz="0" w:space="0" w:color="auto"/>
        <w:right w:val="none" w:sz="0" w:space="0" w:color="auto"/>
      </w:divBdr>
    </w:div>
    <w:div w:id="1687438680">
      <w:bodyDiv w:val="1"/>
      <w:marLeft w:val="0"/>
      <w:marRight w:val="0"/>
      <w:marTop w:val="0"/>
      <w:marBottom w:val="0"/>
      <w:divBdr>
        <w:top w:val="none" w:sz="0" w:space="0" w:color="auto"/>
        <w:left w:val="none" w:sz="0" w:space="0" w:color="auto"/>
        <w:bottom w:val="none" w:sz="0" w:space="0" w:color="auto"/>
        <w:right w:val="none" w:sz="0" w:space="0" w:color="auto"/>
      </w:divBdr>
    </w:div>
    <w:div w:id="1720131200">
      <w:bodyDiv w:val="1"/>
      <w:marLeft w:val="0"/>
      <w:marRight w:val="0"/>
      <w:marTop w:val="0"/>
      <w:marBottom w:val="0"/>
      <w:divBdr>
        <w:top w:val="none" w:sz="0" w:space="0" w:color="auto"/>
        <w:left w:val="none" w:sz="0" w:space="0" w:color="auto"/>
        <w:bottom w:val="none" w:sz="0" w:space="0" w:color="auto"/>
        <w:right w:val="none" w:sz="0" w:space="0" w:color="auto"/>
      </w:divBdr>
    </w:div>
    <w:div w:id="1758792313">
      <w:bodyDiv w:val="1"/>
      <w:marLeft w:val="0"/>
      <w:marRight w:val="0"/>
      <w:marTop w:val="0"/>
      <w:marBottom w:val="0"/>
      <w:divBdr>
        <w:top w:val="none" w:sz="0" w:space="0" w:color="auto"/>
        <w:left w:val="none" w:sz="0" w:space="0" w:color="auto"/>
        <w:bottom w:val="none" w:sz="0" w:space="0" w:color="auto"/>
        <w:right w:val="none" w:sz="0" w:space="0" w:color="auto"/>
      </w:divBdr>
    </w:div>
    <w:div w:id="1760639552">
      <w:bodyDiv w:val="1"/>
      <w:marLeft w:val="0"/>
      <w:marRight w:val="0"/>
      <w:marTop w:val="0"/>
      <w:marBottom w:val="0"/>
      <w:divBdr>
        <w:top w:val="none" w:sz="0" w:space="0" w:color="auto"/>
        <w:left w:val="none" w:sz="0" w:space="0" w:color="auto"/>
        <w:bottom w:val="none" w:sz="0" w:space="0" w:color="auto"/>
        <w:right w:val="none" w:sz="0" w:space="0" w:color="auto"/>
      </w:divBdr>
    </w:div>
    <w:div w:id="1817070325">
      <w:bodyDiv w:val="1"/>
      <w:marLeft w:val="0"/>
      <w:marRight w:val="0"/>
      <w:marTop w:val="0"/>
      <w:marBottom w:val="0"/>
      <w:divBdr>
        <w:top w:val="none" w:sz="0" w:space="0" w:color="auto"/>
        <w:left w:val="none" w:sz="0" w:space="0" w:color="auto"/>
        <w:bottom w:val="none" w:sz="0" w:space="0" w:color="auto"/>
        <w:right w:val="none" w:sz="0" w:space="0" w:color="auto"/>
      </w:divBdr>
    </w:div>
    <w:div w:id="21414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competition-policy.ec.europa.eu/state-aid/legislation/forms-notifications-and-reporting_en" TargetMode="External"/><Relationship Id="rId1" Type="http://schemas.openxmlformats.org/officeDocument/2006/relationships/hyperlink" Target="https://competition-policy.ec.europa.eu/system/files/2021-04/modernisation_evaluation_methodology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3279E4-68B6-4B26-9229-D28AB5D5C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3721</Words>
  <Characters>18981</Characters>
  <Application>Microsoft Office Word</Application>
  <DocSecurity>0</DocSecurity>
  <Lines>451</Lines>
  <Paragraphs>244</Paragraphs>
  <ScaleCrop>false</ScaleCrop>
  <Company/>
  <LinksUpToDate>false</LinksUpToDate>
  <CharactersWithSpaces>22458</CharactersWithSpaces>
  <SharedDoc>false</SharedDoc>
  <HLinks>
    <vt:vector size="6" baseType="variant">
      <vt:variant>
        <vt:i4>1310750</vt:i4>
      </vt:variant>
      <vt:variant>
        <vt:i4>0</vt:i4>
      </vt:variant>
      <vt:variant>
        <vt:i4>0</vt:i4>
      </vt:variant>
      <vt:variant>
        <vt:i4>5</vt:i4>
      </vt:variant>
      <vt:variant>
        <vt:lpwstr>http://ec.europa.eu/competition/consultations/2013_state_aid_modernisation/index_en.html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2023-01-20T10:26:00Z</dcterms:created>
  <dcterms:modified xsi:type="dcterms:W3CDTF">2023-01-27T09:21:00Z</dcterms:modified>
</cp:coreProperties>
</file>