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ČÁST III. DOPLŇKOVÉ INFORMAČNÍ LISTY</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Část III.1.B</w:t>
            </w:r>
          </w:p>
          <w:p w14:paraId="6A102D4B" w14:textId="77777777" w:rsidR="00EF0533" w:rsidRDefault="009C772B" w:rsidP="003740E7">
            <w:pPr>
              <w:pStyle w:val="ChapterTitle"/>
              <w:spacing w:before="0" w:after="240"/>
            </w:pPr>
            <w:r>
              <w:t>Aktualizovaný* doplňkový informační list k režimům regionální investiční podpory</w:t>
            </w:r>
          </w:p>
          <w:p w14:paraId="09A68465" w14:textId="77777777" w:rsidR="00380753" w:rsidRPr="00380753" w:rsidRDefault="009C772B" w:rsidP="003740E7">
            <w:pPr>
              <w:jc w:val="left"/>
            </w:pPr>
            <w:r>
              <w:t>* dosud formálně nepřijato</w:t>
            </w:r>
          </w:p>
        </w:tc>
      </w:tr>
    </w:tbl>
    <w:p w14:paraId="1536E485" w14:textId="77777777" w:rsidR="00923AD6" w:rsidRDefault="00923AD6" w:rsidP="001B2B78"/>
    <w:p w14:paraId="75E982FA" w14:textId="77777777" w:rsidR="00EF0533" w:rsidRPr="00003889" w:rsidRDefault="00003889" w:rsidP="001B2B78">
      <w:r>
        <w:t>Tento doplňkový informační list není povinný. Nicméně se doporučuje ho vyplnit spolu s formulářem „Obecné informace“ za účelem oznámení jakýchkoli režimů investiční podpory, na které se vztahují pokyny k regionální státní podpoře použitelné od 1. ledna 2022 (pokyny k regionální podpoře).</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Oblast působnosti</w:t>
            </w:r>
          </w:p>
        </w:tc>
      </w:tr>
    </w:tbl>
    <w:p w14:paraId="64530B4D" w14:textId="77777777" w:rsidR="00EF0533" w:rsidRPr="00D070D1" w:rsidRDefault="00EF0533" w:rsidP="00095A91">
      <w:pPr>
        <w:pStyle w:val="NormalKop11"/>
      </w:pPr>
      <w:r>
        <w:t>Důvody pro oznámení režimu místo jeho zavedení podle obecného nařízení o blokových výjimkách</w:t>
      </w:r>
      <w:r>
        <w:rPr>
          <w:rStyle w:val="FootnoteReference"/>
          <w:color w:val="000000"/>
        </w:rPr>
        <w:footnoteReference w:id="2"/>
      </w:r>
      <w:r>
        <w:t xml:space="preserve"> nebo nařízení o podpoře </w:t>
      </w:r>
      <w:r>
        <w:rPr>
          <w:i/>
        </w:rPr>
        <w:t>de minimis</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207549">
        <w:rPr>
          <w:b/>
        </w:rPr>
      </w:r>
      <w:r w:rsidR="00207549">
        <w:rPr>
          <w:b/>
        </w:rPr>
        <w:fldChar w:fldCharType="separate"/>
      </w:r>
      <w:r>
        <w:rPr>
          <w:b/>
        </w:rPr>
        <w:fldChar w:fldCharType="end"/>
      </w:r>
      <w:r>
        <w:tab/>
        <w:t>Oznámení se týká režimu v určitém odvětví. V tom případě uveďte odvětví, na něž se režim vztahuje (kód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ab/>
        <w:t xml:space="preserve">Ostatní. Uveďte: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Oblast působnosti oznámeného režimu</w:t>
      </w:r>
    </w:p>
    <w:p w14:paraId="669E042A" w14:textId="77777777" w:rsidR="000956BB" w:rsidRPr="005C5DFC" w:rsidRDefault="000956BB" w:rsidP="000956BB">
      <w:pPr>
        <w:pStyle w:val="NumPar3"/>
        <w:numPr>
          <w:ilvl w:val="2"/>
          <w:numId w:val="2"/>
        </w:numPr>
        <w:ind w:left="1418" w:hanging="698"/>
      </w:pPr>
      <w:r>
        <w:t>Potvrďte, že právní základ oznámeného režimu zahrnuje povinnost oznámit Komisi jednotlivou podporu příjemci v případě, že podpora ze všech zdrojů překročí prahovou hodnotu oznamovací povinnosti pro jednotlivou podporu, kterou stanoví obecné nařízení o blokových výjimkách pro regionální investiční podporu (bod 22 pokynů k regionální podpoře).</w:t>
      </w:r>
    </w:p>
    <w:p w14:paraId="5712B87E" w14:textId="77777777" w:rsidR="000956BB" w:rsidRDefault="000956BB" w:rsidP="000956BB">
      <w:pPr>
        <w:pStyle w:val="NumPar3"/>
        <w:ind w:left="1418"/>
      </w:pPr>
      <w:r>
        <w:t xml:space="preserve">Uveďte odkaz na příslušné ustanovení právního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lastRenderedPageBreak/>
        <w:t>Potvrďte, že právní základ oznámeného režimu zahrnuje povinnost oznámit Komisi jednotlivou podporu příjemci, s výjimkou případů, kdy příjemce: 1) potvrdí, že během dvou let předcházejících podání žádosti o podporu neprovedl přemístění do provozovny, v níž se má uskutečnit počáteční investice, na kterou je podpora poskytována, a 2) zaváže se, že toto přemístění neprovede minimálně po dobu dvou let po dokončení počáteční investice. (bod 23 pokynů k regionální podpoře).</w:t>
      </w:r>
    </w:p>
    <w:p w14:paraId="095F8EF4" w14:textId="77777777" w:rsidR="00071A7F" w:rsidRDefault="00EF0533" w:rsidP="00EF0533">
      <w:pPr>
        <w:pStyle w:val="NumPar3"/>
        <w:ind w:left="1418"/>
      </w:pPr>
      <w:r>
        <w:t xml:space="preserve">Uveďte odkaz na příslušné ustanovení právního základu: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Potvrďte, že oznámený režim podpory stanoví, že regionální investiční podpora nebude poskytnuta kategoriím podniků a odvětví uvedeným níže. V každém případě uveďte příslušné ustanovení v právním základu režimu.</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Vyloučené kategorie podniků a odvětví</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Příslušné ustanovení v právním základu režimu</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Podniky v obtížích</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Odvětví oceli</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Odvětví hnědého uhlí</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Odvětví černého uhlí</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Rybolov a akvakultura</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Zemědělství</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t>Zpracování zemědělských produktů uvedených v příloze I Smlouvy o fungování EU</w:t>
            </w:r>
            <w:r>
              <w:rPr>
                <w:bCs/>
                <w:sz w:val="22"/>
                <w:szCs w:val="22"/>
                <w:vertAlign w:val="superscript"/>
              </w:rPr>
              <w:footnoteReference w:id="10"/>
            </w:r>
            <w:r>
              <w:rPr>
                <w:sz w:val="22"/>
              </w:rPr>
              <w:t xml:space="preserve"> na produkty uvedené ve zmíněné příloze I a/nebo jejich uvádění na trh</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Doprava</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lastRenderedPageBreak/>
              <w:t>Širokopásmové připojení</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Energetika</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Počáteční investice, způsobilé náklady a podpora</w:t>
            </w:r>
          </w:p>
        </w:tc>
      </w:tr>
    </w:tbl>
    <w:p w14:paraId="0568836A" w14:textId="77777777" w:rsidR="005936C8" w:rsidRPr="00D278EA" w:rsidRDefault="00BB1994" w:rsidP="00D278EA">
      <w:pPr>
        <w:pStyle w:val="NormalKop11"/>
        <w:rPr>
          <w:b/>
        </w:rPr>
      </w:pPr>
      <w:r>
        <w:rPr>
          <w:b/>
        </w:rPr>
        <w:t>Druhy počátečních investic, na něž se daný režim vztahuje</w:t>
      </w:r>
    </w:p>
    <w:p w14:paraId="15863B73" w14:textId="77777777" w:rsidR="00801CFE" w:rsidRPr="005C5DFC" w:rsidRDefault="00801CFE" w:rsidP="001D303A">
      <w:pPr>
        <w:pStyle w:val="NumPar3"/>
        <w:numPr>
          <w:ilvl w:val="2"/>
          <w:numId w:val="2"/>
        </w:numPr>
        <w:spacing w:before="240"/>
        <w:ind w:left="1440" w:hanging="720"/>
      </w:pPr>
      <w:r>
        <w:t>Jestliže se režim týká investic malých a středních podniků nebo velkých podniků</w:t>
      </w:r>
      <w:r>
        <w:rPr>
          <w:rStyle w:val="FootnoteReference"/>
        </w:rPr>
        <w:footnoteReference w:id="14"/>
      </w:r>
      <w:r>
        <w:t xml:space="preserve"> v oblastech podle písmene a) nebo investic malých a středních podniků v oblastech podle písmene c) (bod 45 pokynů k regionální podpoře), upřesněte kategorii/kategorie počátečních investic, jichž se oznámení týká (bod 19 odst. 13) pokynů k regionální podpoře): </w:t>
      </w:r>
    </w:p>
    <w:p w14:paraId="59A35842" w14:textId="1E36780C"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rsidR="00207549">
        <w:t xml:space="preserve"> </w:t>
      </w:r>
      <w:r>
        <w:t>založení nové provozovny,</w:t>
      </w:r>
    </w:p>
    <w:p w14:paraId="6A7DBFA1" w14:textId="0D98DF10"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rsidR="00207549">
        <w:t xml:space="preserve"> </w:t>
      </w:r>
      <w:r>
        <w:t>rozšíření kapacity stávající provozovny,</w:t>
      </w:r>
    </w:p>
    <w:p w14:paraId="752D73A7" w14:textId="69C2A990"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rsidR="00207549">
        <w:t xml:space="preserve"> </w:t>
      </w:r>
      <w:r>
        <w:t>rozšíření výrobního sortimentu provozovny o výrobky, které tato provozovna dříve nevyráběla,</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zásadní změny celkového výrobního procesu výrobku (výrobků), kterého (kterých) se investice do provozovny týká,</w:t>
      </w:r>
    </w:p>
    <w:p w14:paraId="77FD1B3E" w14:textId="755DE47D" w:rsidR="0026473A" w:rsidRDefault="00801CFE" w:rsidP="00146D13">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w:t>
      </w:r>
      <w:r>
        <w:tab/>
        <w:t>pořízení majetku patřícího provozovně, která byla uzavřena nebo by byla uzavřena, kdyby nedošlo k jejímu odkoupení</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Pokud se režim týká investic velkých podniků v oblasti podle písmene c), uveďte kategorii/kategorie počáteční investice, které se oznámení týká (bod 19 odst. 14) a bod 14 pokynů k regionální podpoře):</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w:t>
      </w:r>
      <w:r>
        <w:tab/>
        <w:t>založení nové provozovny,</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w:t>
      </w:r>
      <w:r>
        <w:tab/>
        <w:t>rozšíření činnosti provozovny za podmínky, že se u nové činnosti nejedná o stejnou nebo podobnou činnost</w:t>
      </w:r>
      <w:r>
        <w:rPr>
          <w:rStyle w:val="FootnoteReference"/>
        </w:rPr>
        <w:footnoteReference w:id="16"/>
      </w:r>
      <w:r>
        <w:t>, jaká byla v dané provozovně vykonávána původně,</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w:t>
      </w:r>
      <w:r>
        <w:tab/>
        <w:t xml:space="preserve">pořízení majetku patřícího provozovně, která byla uzavřena nebo by byla uzavřena, kdyby nedošlo k jejímu odkoupení, za podmínky, že </w:t>
      </w:r>
      <w:r>
        <w:lastRenderedPageBreak/>
        <w:t>nová činnost, jež má být vykonávána za použití nabytého majetku, není stejná jako činnost, kterou provozovna vykonávala před odkoupením, nebo není této činnosti podobná</w:t>
      </w:r>
      <w:r>
        <w:rPr>
          <w:rStyle w:val="FootnoteReference"/>
        </w:rPr>
        <w:footnoteReference w:id="17"/>
      </w:r>
      <w:r>
        <w:t>.</w:t>
      </w:r>
    </w:p>
    <w:p w14:paraId="123A6FE9" w14:textId="77777777" w:rsidR="005936C8" w:rsidRPr="00D23668" w:rsidRDefault="005936C8" w:rsidP="00D23668">
      <w:pPr>
        <w:pStyle w:val="NormalKop11"/>
        <w:rPr>
          <w:b/>
        </w:rPr>
      </w:pPr>
      <w:r>
        <w:rPr>
          <w:b/>
        </w:rPr>
        <w:t>Způsobilé náklady vypočtené na základě investičních nákladů</w:t>
      </w:r>
    </w:p>
    <w:p w14:paraId="66E3E5CE" w14:textId="1EEAD7A8" w:rsidR="0096475D" w:rsidRPr="0096475D" w:rsidRDefault="000C7C9C" w:rsidP="00B209F9">
      <w:pPr>
        <w:pStyle w:val="NumPar3"/>
        <w:numPr>
          <w:ilvl w:val="2"/>
          <w:numId w:val="2"/>
        </w:numPr>
        <w:spacing w:before="240"/>
      </w:pPr>
      <w:r>
        <w:t>Pokud se způsobilé náklady v rámci režimu vztahují k hmotnému majetku (bod 19 odst. 31) pokynů k regionální podpoře), uveďte, zda je hodnota investice stanovena jako procentní podíl nákladů na pozemky, budovy a výrobní prostory, strojní zařízení a vybavení:</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pozemky</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budovy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výrobní prostory / strojní zařízení / vybavení</w:t>
      </w:r>
    </w:p>
    <w:p w14:paraId="08F0994B" w14:textId="325FF7E9" w:rsidR="0096475D" w:rsidRPr="00540AF1" w:rsidRDefault="0096475D" w:rsidP="001E018C">
      <w:pPr>
        <w:pStyle w:val="Text2"/>
        <w:ind w:left="1843" w:hanging="425"/>
        <w:rPr>
          <w:rFonts w:cs="Times New Roman"/>
        </w:rPr>
      </w:pPr>
      <w:r>
        <w:t xml:space="preserve">Uveďte odkaz na příslušná ustanovení právního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t>Uveďte odkaz</w:t>
      </w:r>
      <w:r>
        <w:rPr>
          <w:color w:val="000000"/>
        </w:rPr>
        <w:t xml:space="preserve"> </w:t>
      </w:r>
      <w:bookmarkStart w:id="0" w:name="OLE_LINK1"/>
      <w:bookmarkStart w:id="1" w:name="OLE_LINK2"/>
      <w:r>
        <w:rPr>
          <w:color w:val="000000"/>
        </w:rPr>
        <w:t xml:space="preserve">na příslušné </w:t>
      </w:r>
      <w:bookmarkEnd w:id="0"/>
      <w:bookmarkEnd w:id="1"/>
      <w:r>
        <w:t>ustanovení právního základu, v němž je uvedeno, že by nabytý majetek měl být nový</w:t>
      </w:r>
      <w:r>
        <w:rPr>
          <w:rStyle w:val="FootnoteReference"/>
        </w:rPr>
        <w:footnoteReference w:id="18"/>
      </w:r>
      <w:r>
        <w:t>. (bod 27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t xml:space="preserve">Uveďte odkaz na příslušné ustanovení v právním základu, v němž je uvedeno, že v případě malých a středních podniků lze za způsobilé náklady považovat maximálně 50 % nákladů na přípravné studie nebo nákladů na poradenství vynaložených v souvislosti s investicí (bod 28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Uveďte odkaz na příslušné ustanovení právního základu, v němž je uvedeno, že v případě podpory poskytnuté velkým podnikům na zásadní změnu výrobního postupu převyšují způsobilé náklady odpisy majetku souvisejícího s činností, jež má být modernizována, za předcházející tři účetní období (bod 29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Uveďte odkaz na příslušné ustanovení právního základu, v němž je uvedeno, že v případě podpory poskytnuté na rozšíření sortimentu nebo činnosti stávající provozovny převyšují způsobilé náklady alespoň o 200 % účetní hodnotu znovu použitého majetku, která byla zaúčtována v účetním období předcházejícím roku, kdy byly práce zahájeny (bod 30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lastRenderedPageBreak/>
        <w:t xml:space="preserve">V případech zahrnujících pronájem hmotného majetku uveďte odkaz na příslušná ustanovení v právním základu, v nichž je uvedeno, že by měly být dodrženy níže uvedené podmínky (bod 31 pokynů k regionální podpoře). </w:t>
      </w:r>
    </w:p>
    <w:p w14:paraId="3CC0A357" w14:textId="77777777" w:rsidR="00216490" w:rsidRDefault="00216490" w:rsidP="00CB4B02">
      <w:pPr>
        <w:pStyle w:val="NumPar3"/>
        <w:ind w:left="1701" w:hanging="283"/>
      </w:pPr>
      <w:r>
        <w:t>•</w:t>
      </w:r>
      <w:r>
        <w:tab/>
        <w:t>v případě pozemků a budov musí pronájem pokračovat alespoň pět let po předpokládaném datu dokončení investice u velkých podniků a tři roky u podniků malých a středních,</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v případě výrobních prostor nebo strojního zařízení musí mít pronájem formu finančního leasingu a musí obsahovat povinnost příjemce podpory daný majetek po uplynutí doby pronájmu odkoupit.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Bod 32 pokynů k regionální podpoře stanoví, že v případě převzetí provozovny „</w:t>
      </w:r>
      <w:r>
        <w:rPr>
          <w:i/>
          <w:color w:val="000000"/>
        </w:rPr>
        <w:t>by v zásadě měly být zohledněny pouze náklady na nákup majetku od třetích osob, které nemají vazbu na kupujícího</w:t>
      </w:r>
      <w:r>
        <w:rPr>
          <w:color w:val="000000"/>
        </w:rPr>
        <w:t>.</w:t>
      </w:r>
      <w:r>
        <w:rPr>
          <w:i/>
          <w:color w:val="000000"/>
        </w:rPr>
        <w:t xml:space="preserve"> Jestliže se však malý podnik převádí na rodinného příslušníka původního vlastníka, nebo na zaměstnance, podmínka, že majetek musí být koupen od třetích osob, které nemají vazbu na kupujícího, se nepoužije. Transakce se musí uskutečnit za tržních podmínek. Pokud v souvislosti s pořízením provozovny dochází k další investici, na niž lze poskytnout regionální podporu, způsobilé náklady na tuto další investici se přičtou k nákladům na odkup majetku dané provozovny“.</w:t>
      </w:r>
      <w:r>
        <w:rPr>
          <w:color w:val="000000"/>
        </w:rPr>
        <w:t xml:space="preserve"> </w:t>
      </w:r>
    </w:p>
    <w:p w14:paraId="70A68FF7" w14:textId="77777777" w:rsidR="00CB4B02" w:rsidRDefault="00561589" w:rsidP="00D23668">
      <w:pPr>
        <w:pStyle w:val="NumPar3"/>
        <w:ind w:left="1418"/>
      </w:pPr>
      <w:r>
        <w:t xml:space="preserve">Pokud se uvedené požadavky vztahují na oznámený režim, uveďte odkaz na ustanovení právního základu, v nichž je uvedeno, že výše uvedené podmínky je nutno dodržet.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Pokud se způsobilé náklady v rámci režimu týkají nehmotného majetku (bod 19 odst. 15) pokynů k regionální podpoře), uveďte, zda je hodnota investic stanovena na základě výdajů vzniklých převodem technologie formou nabytí patentových práv, licencí, know-how nebo jiného duševního vlastnictví:</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patentová práva</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licence</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know-how</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jiné duševní vlastnictví</w:t>
      </w:r>
    </w:p>
    <w:p w14:paraId="78A2921B" w14:textId="5E1AB8D8" w:rsidR="005936C8" w:rsidRDefault="005936C8" w:rsidP="00D23668">
      <w:pPr>
        <w:pStyle w:val="Text2"/>
        <w:spacing w:before="120" w:after="120"/>
        <w:ind w:left="1418"/>
        <w:rPr>
          <w:rFonts w:cs="Times New Roman"/>
        </w:rPr>
      </w:pPr>
      <w:r>
        <w:t>Uveďte odkaz na příslušná ustanovení právního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Uveďte odkaz na příslušná ustanovení právního základu, v nichž je uvedeno, že u velkých podniků výdaje na způsobilé investice do nehmotného majetku nesmí přesáhnout 50 % celkových způsobilých investičních nákladů projektu (bod 33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lastRenderedPageBreak/>
        <w:t>Uveďte odkaz na příslušná ustanovení právního základu, v nichž je uvedeno, že by měly být dodrženy podmínky stanovené v bodě 34 pokynů k regionální podpoře</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Způsobilé náklady vypočtené na základě mzdových nákladů</w:t>
      </w:r>
    </w:p>
    <w:p w14:paraId="13E0BDA7" w14:textId="77777777" w:rsidR="00F330CB" w:rsidRPr="008C2DA8" w:rsidRDefault="009E28B0" w:rsidP="001452D1">
      <w:pPr>
        <w:pStyle w:val="NumPar3"/>
        <w:numPr>
          <w:ilvl w:val="2"/>
          <w:numId w:val="2"/>
        </w:numPr>
        <w:spacing w:before="240"/>
        <w:ind w:left="1418" w:hanging="698"/>
      </w:pPr>
      <w:r>
        <w:t>Uveďte odkaz na příslušná ustanovení právního základu, v nichž je uvedeno, jak by měly být stanoveny způsobilé náklady vypočtené na základě mzdových nákladů (bod 35 pokynů k regionální podpoře), jak by měl být vypočítán počet vytvořených pracovních míst ve smyslu bodu 19 odst. 16) pokynů k regionální podpoře a jak by měly být stanoveny mzdové náklady na zaměstnané osoby ve smyslu bodu 19 odst. 33)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Výpočet diskontovaných způsobilých nákladů</w:t>
      </w:r>
    </w:p>
    <w:p w14:paraId="647EE464" w14:textId="77777777" w:rsidR="00E538B5" w:rsidRPr="00CB4B02" w:rsidRDefault="00E538B5" w:rsidP="00B209F9">
      <w:pPr>
        <w:pStyle w:val="NumPar3"/>
        <w:numPr>
          <w:ilvl w:val="2"/>
          <w:numId w:val="2"/>
        </w:numPr>
        <w:spacing w:before="240"/>
        <w:rPr>
          <w:rFonts w:cs="Times New Roman"/>
        </w:rPr>
      </w:pPr>
      <w:r>
        <w:t>Uveďte, které formy podpory jsou v rámci režimu podpory povoleny:</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Granty. Uveďte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Půjčky. Uveďte, jak se vypočítá grantový ekvivalent, a poskytněte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Záruky. Uveďte, jak se vypočítá grantový ekvivalent, a poskytněte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 xml:space="preserve"> </w:t>
      </w:r>
      <w:r>
        <w:tab/>
        <w:t>Daňová zvýhodnění. Upřesněte druh opatření a uveďte, jak se vypočítá grantový ekvivalent. Uveďte rovněž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207549">
        <w:rPr>
          <w:rFonts w:cs="Times New Roman"/>
        </w:rPr>
      </w:r>
      <w:r w:rsidR="00207549">
        <w:rPr>
          <w:rFonts w:cs="Times New Roman"/>
        </w:rPr>
        <w:fldChar w:fldCharType="separate"/>
      </w:r>
      <w:r>
        <w:rPr>
          <w:rFonts w:cs="Times New Roman"/>
        </w:rPr>
        <w:fldChar w:fldCharType="end"/>
      </w:r>
      <w:r>
        <w:tab/>
        <w:t>Jiný druh podpory. Dále upřesněte a uveďte, jak se vypočítá grantový ekvivalent. Uveďte rovněž odkaz na příslušná ustanovení právního základu:</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lastRenderedPageBreak/>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Upřesněte rovněž, zda je režim podpory způsobilý pro spolufinancování z některého z fondů EU prováděných v rámci sdíleného řízení (dále jen „fondy“). Pokud ano, uveďte, v rámci jakého programu může být takové financování získáno. Rovněž uveďte výši finančních prostředků z fondů, z nichž bude podpora čerpána, jestliže je v této fázi známa.</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Uveďte odkaz na příslušná ustanovení právního základu, v nichž je uvedeno, že by orgán, který podporu poskytuje, měl před poskytnutím jednotlivé podpory v rámci oznámeného režimu zjistit, zda příjemce podpory (na úrovni skupiny) získal podporu pro jednu počáteční investici (nebo více počátečních investic) zahájenou (zahájených) v tomtéž regionu NUTS 3 v období tří let před datem zahájení prací na investičním projektu.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Uveďte odkaz na příslušná ustanovení právního základu, která uvádějí, že celková výše podpory, která bude poskytnuta v rámci režimu na každý počáteční investiční projekt, nepřekročí částku vyplývající z „maximální intenzity podpory“ (podle definice v bodě 19 odst. 19) pokynů k regionální podpoře) s ohledem na zvýšenou intenzitu podpory pro malé a střední podniky (vymezenou v bodě 186 pokynů k regionální podpoře) nebo v příslušných případech „upravenou výši podpory“ (podle definice v bodě 19 odst. 3)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Uveďte odkaz na příslušná ustanovení právního základu, která uvádějí, že pokud je jednotlivá podpora poskytována na základě několika režimů regionální podpory nebo ve spojení s podporou </w:t>
      </w:r>
      <w:r>
        <w:rPr>
          <w:i/>
        </w:rPr>
        <w:t>ad hoc</w:t>
      </w:r>
      <w:r>
        <w:t>, bude maximální intenzita podpory, která je na daný projekt povolena, předem vypočtena prvním orgánem poskytujícím podporu (bod 99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Pokud režim podpory umožňuje poskytnout podporu na počáteční investici vázanou na projekty v rámci Evropské územní spolupráce (EÚS), uveďte odkaz na příslušná ustanovení právního základu, která uvádějí (s odkazem na ustanovení v bodě 100 pokynů k regionální podpoře), jak bude stanovena maximální intenzita podpory použitelná pro daný projekt a pro různé dotčené příjemce.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Posouzení slučitelnosti režimu podpory</w:t>
            </w:r>
          </w:p>
        </w:tc>
      </w:tr>
    </w:tbl>
    <w:p w14:paraId="2C690D30" w14:textId="77777777" w:rsidR="006D4360" w:rsidRPr="007965FE" w:rsidRDefault="006D4360" w:rsidP="007965FE">
      <w:pPr>
        <w:pStyle w:val="NormalKop11"/>
        <w:rPr>
          <w:b/>
        </w:rPr>
      </w:pPr>
      <w:r>
        <w:rPr>
          <w:b/>
        </w:rPr>
        <w:t>Příspěvek k regionálnímu rozvoji, pozitivní účinky a potřeba státního zásahu</w:t>
      </w:r>
    </w:p>
    <w:p w14:paraId="552BABED" w14:textId="77777777" w:rsidR="006D4360" w:rsidRDefault="006D4360" w:rsidP="00B209F9">
      <w:pPr>
        <w:pStyle w:val="NumPar3"/>
        <w:numPr>
          <w:ilvl w:val="2"/>
          <w:numId w:val="2"/>
        </w:numPr>
        <w:spacing w:before="240"/>
        <w:ind w:left="1440" w:hanging="720"/>
      </w:pPr>
      <w:r>
        <w:lastRenderedPageBreak/>
        <w:t>Vysvětlete, jak je tento režim v souladu se strategií rozvoje dané oblasti a přispívá k její realizaci (bod 44 pokynů k regionální podpoře):</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Uveďte odkaz na příslušná ustanovení právního základu obsahující povinnost provést před poskytnutím podpory jednotlivým projektům u dotyčných investic posouzení dopadů na životní prostředí (EIA), pokud to vyžadují právní předpisy (bod 49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t>Vysvětlete, jak orgány poskytující podporu stanoví priority a vyberou investiční projekty v souladu s cíli daného režimu (např. na základě přístupu vycházejícího z formálního bodového ohodnocení) (bod 44 pokynů k regionální podpoře). Uveďte rovněž odkaz na příslušná ustanovení právního základu nebo jiné související správní akty.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Vysvětlete, jak orgán poskytující podporu na jednotlivé investiční projekty na základě oznámeného režimu stanoví, že vybraný projekt (vybrané projekty) přispívá (přispívají) k plnění cíle režimu, a tudíž i k plnění strategie rozvoje dané oblasti. (bod 46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Vysvětlete, jak bude uplatňováno ustanovení, které vyžaduje, aby jakákoli investice, na kterou byla poskytnuta podpora v rámci oznámeného režimu, byla po svém dokončení v dotčené oblasti zachována alespoň po dobu pěti let (v případě malých a středních podniků po dobu tří let) (bod 47 pokynů k regionální podpoře). Uveďte odkaz na příslušná ustanovení v právním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V případech, kdy je podpora poskytnutá v rámci oznámeného režimu počítána podle mzdových nákladů, vysvětlete, jak je uplatňováno ustanovení, které vyžaduje, aby pracovní místa byla vytvořena do tří let od dokončení investice a aby byla všechna pracovní místa vytvořená danou investicí v dotyčné oblasti zachována po dobu pěti let (v případě malých a středních podniků po dobu tří let) ode dne svého prvního obsazení (bod 36 pokynů k regionální podpoře). Uveďte odkaz na příslušná ustanovení v právním základu.</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Uveďte odkaz na příslušná ustanovení právního základu, v nichž je uvedeno, že příjemci musí poskytnout příspěvek ve výši alespoň 25 % způsobilých nákladů, a to z vlastních nebo externích zdrojů a způsobem, který nezahrnuje finanční podporu z veřejných zdrojů.</w:t>
      </w:r>
      <w:r>
        <w:rPr>
          <w:vertAlign w:val="superscript"/>
        </w:rPr>
        <w:footnoteReference w:id="20"/>
      </w:r>
      <w:r>
        <w:t xml:space="preserve"> (bod 48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lastRenderedPageBreak/>
        <w:t>Uveďte odkaz na příslušná ustanovení právního základu, z nichž vyplývá, že by režim měl dodržovat stropy podle mapy regionální podpory použitelné v době poskytnutí podpory (bod 88 pokynů k regionální podpoře). Uveďte rovněž odkaz na rozhodnutí Komise, kterým se schvaluje dotyčná mapa regionální podpory.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Motivační účinek režimu</w:t>
      </w:r>
    </w:p>
    <w:p w14:paraId="0D14DDD0" w14:textId="77777777" w:rsidR="00F02231" w:rsidRPr="00A43EC2" w:rsidRDefault="00F02231" w:rsidP="00FB274E">
      <w:pPr>
        <w:pStyle w:val="NumPar3"/>
        <w:numPr>
          <w:ilvl w:val="2"/>
          <w:numId w:val="2"/>
        </w:numPr>
        <w:spacing w:before="240"/>
        <w:ind w:left="1440" w:hanging="720"/>
        <w:rPr>
          <w:rFonts w:cs="Times New Roman"/>
        </w:rPr>
      </w:pPr>
      <w:r>
        <w:t>Uveďte odkaz na příslušná ustanovení právního základu, která uvádějí, že žádost o podporu musí být podána před zahájením prací na dotčeném investičním projektu (bod 62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Uveďte odkaz na příslušná ustanovení právního základu, která uvádějí, že žadatelé o podporu v rámci oznámeného režimu budou muset předložit standardní formulář žádosti vydaný orgánem poskytujícím podporu, v němž musí poskytnout hypotetické srovnání, co by se stalo v případě, že by podporu nezískali, a uvést, jaký scénář (</w:t>
      </w:r>
      <w:r>
        <w:rPr>
          <w:i/>
        </w:rPr>
        <w:t>scénář</w:t>
      </w:r>
      <w:r>
        <w:t xml:space="preserve"> 1 – rozhodnutí o investici nebo </w:t>
      </w:r>
      <w:r>
        <w:rPr>
          <w:i/>
        </w:rPr>
        <w:t>scénář</w:t>
      </w:r>
      <w:r>
        <w:t xml:space="preserve"> 2 – rozhodnutí o umístění) se použije (body 64 a 59 pokynů k regionální podpoře).</w:t>
      </w:r>
      <w:r>
        <w:rPr>
          <w:color w:val="000000"/>
        </w:rPr>
        <w:t xml:space="preserve"> Pokud se tento formulář žádosti liší od příkladu uvedeného v příloze VII pokynů k regionální podpoře, poskytněte kopii tohoto formuláře.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Uveďte odkaz na příslušná ustanovení právního základu, podle nichž musí velké podniky, které žádají o podporu v rámci oznámeného režimu, předložit písemné doklady, z nichž uvedené hypotetické srovnání vychází. (bod 65 pokynů k regionální podpoře). Vysvětlete také, jaký druh dokladů bude požadován.</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Uveďte odkaz na příslušná ustanovení právního základu, která uvádějí, že při posuzování jednotlivých žádostí o podporu musí orgán poskytující podporu provést kontrolu věrohodnosti poskytnutého hypotetického srovnání a ověřit, že regionální podpora má požadovaný motivační účinek, který odpovídá </w:t>
      </w:r>
      <w:r>
        <w:rPr>
          <w:i/>
          <w:iCs/>
        </w:rPr>
        <w:t>scénáři</w:t>
      </w:r>
      <w:r>
        <w:t xml:space="preserve"> </w:t>
      </w:r>
      <w:r>
        <w:rPr>
          <w:i/>
          <w:iCs/>
        </w:rPr>
        <w:t>1</w:t>
      </w:r>
      <w:r>
        <w:t xml:space="preserve"> nebo </w:t>
      </w:r>
      <w:r>
        <w:rPr>
          <w:i/>
          <w:iCs/>
        </w:rPr>
        <w:t>scénáři</w:t>
      </w:r>
      <w:r>
        <w:t xml:space="preserve"> </w:t>
      </w:r>
      <w:r>
        <w:rPr>
          <w:i/>
          <w:iCs/>
        </w:rPr>
        <w:t>2</w:t>
      </w:r>
      <w:r>
        <w:rPr>
          <w:rStyle w:val="FootnoteReference"/>
        </w:rPr>
        <w:footnoteReference w:id="21"/>
      </w:r>
      <w:r>
        <w:t xml:space="preserve"> (bod 66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Vhodnost režimu</w:t>
      </w:r>
    </w:p>
    <w:p w14:paraId="5713798C" w14:textId="77777777" w:rsidR="00485C14" w:rsidRDefault="00FE3973" w:rsidP="0026473A">
      <w:pPr>
        <w:pStyle w:val="NormalKop111"/>
        <w:numPr>
          <w:ilvl w:val="2"/>
          <w:numId w:val="2"/>
        </w:numPr>
        <w:ind w:left="1440" w:hanging="720"/>
      </w:pPr>
      <w:r>
        <w:t>Vysvětlete, proč je regionální podpora vhodným nástrojem, který napomůže rozvoji dané oblasti</w:t>
      </w:r>
      <w:r>
        <w:rPr>
          <w:rStyle w:val="FootnoteReference"/>
        </w:rPr>
        <w:footnoteReference w:id="22"/>
      </w:r>
      <w:r>
        <w:t xml:space="preserve"> (bod 80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lastRenderedPageBreak/>
              <w:t>…</w:t>
            </w:r>
          </w:p>
        </w:tc>
      </w:tr>
    </w:tbl>
    <w:p w14:paraId="040115FF" w14:textId="77777777" w:rsidR="00485C14" w:rsidRDefault="002C6400" w:rsidP="00DB5B5A">
      <w:pPr>
        <w:pStyle w:val="NumPar3"/>
        <w:numPr>
          <w:ilvl w:val="2"/>
          <w:numId w:val="2"/>
        </w:numPr>
        <w:spacing w:before="240"/>
        <w:ind w:left="1440" w:hanging="720"/>
      </w:pPr>
      <w:r>
        <w:t>Je-li režim určen pro konkrétní odvětví, prokažte výhody, které takový nástroj přináší oproti víceodvětvovému režimu nebo jiným nástrojům politiky (bod 81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Upřesněte, zda jednotlivá podpora v rámci oznámeného režimu bude poskytnuta:</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automaticky, pokud jsou splněny podmínky stanovené režimem, nebo</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na základě uvážení po rozhodnutí orgánů.</w:t>
      </w:r>
    </w:p>
    <w:p w14:paraId="05F07C80" w14:textId="77777777" w:rsidR="003F2F3D" w:rsidRDefault="00590071" w:rsidP="00590071">
      <w:pPr>
        <w:pStyle w:val="Text2"/>
        <w:ind w:left="1418"/>
      </w:pPr>
      <w:r>
        <w:t xml:space="preserve">Uveďte odkaz na příslušné ustanovení právního základu: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Jestliže je podpora udělena na základě uvážení, uveďte stručný popis použitých kritérií a přiložte kopii interních správních předpisů orgánu poskytujícího podporu použitelných pro udělování podpory:</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Je-li podpora v rámci režimu poskytována ve formě, která přináší přímou finanční výhodu</w:t>
      </w:r>
      <w:r>
        <w:rPr>
          <w:vertAlign w:val="superscript"/>
        </w:rPr>
        <w:footnoteReference w:id="23"/>
      </w:r>
      <w:r>
        <w:t>, prokažte, proč nejsou vhodné jiné, potenciálně méně rušivé formy podpory, jako jsou např. vratné zálohy nebo formy podpory založené na dluhových nebo kapitálových nástrojích</w:t>
      </w:r>
      <w:r>
        <w:rPr>
          <w:rStyle w:val="FootnoteReference"/>
        </w:rPr>
        <w:footnoteReference w:id="24"/>
      </w:r>
      <w:r>
        <w:t xml:space="preserve"> (bod 85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Motivační účinek a proporcionalita režimu</w:t>
      </w:r>
    </w:p>
    <w:p w14:paraId="348AF344" w14:textId="77777777" w:rsidR="00132132" w:rsidRDefault="00FF0F35" w:rsidP="00DB5B5A">
      <w:pPr>
        <w:pStyle w:val="NumPar3"/>
        <w:numPr>
          <w:ilvl w:val="2"/>
          <w:numId w:val="2"/>
        </w:numPr>
        <w:spacing w:before="240"/>
        <w:ind w:left="1440" w:hanging="720"/>
      </w:pPr>
      <w:r>
        <w:t xml:space="preserve">Uveďte odkaz na příslušná ustanovení právního základu, která uvádějí, že jednotlivá podpora poskytnutá velkým podnikům v rámci oznámeného režimu bude omezena na čisté dodatečné náklady na realizaci investice v dané oblasti v porovnání s hypotetickým scénářem, kdy by podpora nebyla poskytnuta, s využitím metody popsané v bodech 96 a 97 pokynů k regionální podpoře (bod 95 pokynů k regionální podpoře).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Zamezení nežádoucím negativním účinkům na hospodářskou soutěž a obchod</w:t>
      </w:r>
    </w:p>
    <w:p w14:paraId="6AAEB69D" w14:textId="77777777" w:rsidR="00684D63" w:rsidRDefault="00684D63" w:rsidP="00DB5B5A">
      <w:pPr>
        <w:pStyle w:val="NumPar3"/>
        <w:numPr>
          <w:ilvl w:val="2"/>
          <w:numId w:val="2"/>
        </w:numPr>
        <w:spacing w:before="240"/>
        <w:ind w:left="1440" w:hanging="720"/>
      </w:pPr>
      <w:r>
        <w:lastRenderedPageBreak/>
        <w:t>Vysvětlete, jak budou narušení hospodářské soutěže a obchodu způsobená oznámeným režimem podpory omezena na minimum (bod 120 pokynů k regionální podpoře)</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Uveďte odkazy na příslušná ustanovení v právním základu, v nichž je uvedeno, že při poskytování podpory v rámci režimu na jednotlivé projekty orgán poskytující podporu ověří a potvrdí, že podpora nevede ke zjevným negativním účinkům, mezi něž patří vytváření nadměrné kapacity na trhu, který je v absolutním poklesu (body 112–115 pokynů k regionální podpoře), negativní účinky na soudržnost (body 116–117 pokynů k regionální podpoře) nebo přemístění (bod 118 pokynů k regionální podpoře) (bod 121 pokynů k regionální podpoře).</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Transparentnost</w:t>
      </w:r>
    </w:p>
    <w:p w14:paraId="5D8729A0" w14:textId="77777777" w:rsidR="0047707E" w:rsidRPr="004A0583" w:rsidRDefault="0047707E" w:rsidP="007F52B1">
      <w:pPr>
        <w:pStyle w:val="NumPar3"/>
        <w:numPr>
          <w:ilvl w:val="1"/>
          <w:numId w:val="2"/>
        </w:numPr>
        <w:spacing w:before="240"/>
        <w:ind w:left="1418" w:hanging="698"/>
      </w:pPr>
      <w:r>
        <w:t xml:space="preserve">Potvrďte, že úplné znění rozhodnutí o poskytnutí jednotlivé podpory nebo schváleného režimu podpory a jeho prováděcích ustanovení nebo odkaz na ně, </w:t>
      </w:r>
      <w:bookmarkStart w:id="2" w:name="_Ref44059869"/>
      <w:r>
        <w:t>jakož i informace o každém poskytnutí jednotlivé podpory přesahující 100 000 EUR budou zveřejněny za použití struktury uvedené v příloze VIII</w:t>
      </w:r>
      <w:bookmarkEnd w:id="2"/>
      <w:r>
        <w:t xml:space="preserve"> v modulu Evropské komise pro transparentnost státní podpory (TAM) nebo na souhrnných internetových stránkách věnovaných státní podpoře na vnitrostátní nebo regionální úrovni</w:t>
      </w:r>
      <w:r>
        <w:rPr>
          <w:rStyle w:val="FootnoteReference"/>
        </w:rPr>
        <w:footnoteReference w:id="26"/>
      </w:r>
      <w:r>
        <w:t xml:space="preserve"> do šesti měsíců ode dne poskytnutí podpory, nebo v případě podpory ve formě daňového zvýhodnění ve lhůtě jednoho roku od data, k němuž se předkládá daňové </w:t>
      </w:r>
      <w:bookmarkStart w:id="3" w:name="_GoBack"/>
      <w:r>
        <w:t>přiznání</w:t>
      </w:r>
      <w:bookmarkEnd w:id="3"/>
      <w:r>
        <w:t>.</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w:t>
      </w:r>
      <w:r>
        <w:tab/>
        <w:t>ano</w:t>
      </w:r>
    </w:p>
    <w:p w14:paraId="419E66FE" w14:textId="77777777" w:rsidR="0047707E" w:rsidRDefault="0047707E" w:rsidP="007F52B1">
      <w:pPr>
        <w:pStyle w:val="NumPar3"/>
        <w:numPr>
          <w:ilvl w:val="1"/>
          <w:numId w:val="2"/>
        </w:numPr>
        <w:spacing w:before="240"/>
        <w:ind w:left="1418" w:hanging="698"/>
      </w:pPr>
      <w:r>
        <w:t>Uveďte odkazy na příslušná ustanovení v právním základu, v nichž je uvedeno, že orgán poskytující podporu by měl v modulu pro transparentnost státní podpory (TAM) nebo na souhrnných internetových stránkách věnovaných státní podpoře o oznámených režimech státní podpory zveřejnit na vnitrostátní nebo regionální úrovni</w:t>
      </w:r>
      <w:r>
        <w:rPr>
          <w:rStyle w:val="FootnoteReference"/>
        </w:rPr>
        <w:footnoteReference w:id="27"/>
      </w:r>
      <w:r>
        <w:t xml:space="preserve"> alespoň tyto informace: znění oznámeného režimu podpory a jeho prováděcích ustanovení, informace o orgánu poskytujícím podporu, jednotlivých příjemcích, výši podpory poskytované jednotlivým příjemcům a intenzitě podpory (bod 136 pokynů k regionální podpoře).</w:t>
      </w:r>
    </w:p>
    <w:p w14:paraId="74E1FB55" w14:textId="77777777" w:rsidR="0047707E" w:rsidRDefault="0047707E" w:rsidP="00DB5B5A">
      <w:pPr>
        <w:pStyle w:val="NumPar3"/>
        <w:spacing w:before="240"/>
        <w:ind w:left="426"/>
      </w:pPr>
      <w:r>
        <w:t>Pokud toto ustanovení neexistuje, uveďte důvody. Podobně uveďte, pokud tato ustanovení nejsou obsažena v právním základě oznámeného režimu, avšak jsou obsažena v jiných legislativních dokumentech:</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Uveďte odkazy na příslušná ustanovení v právním základě, podle nichž výše uvedené informace budou k dispozici široké veřejnosti bez omezení po dobu nejméně deseti let ode dne poskytnutí podpory. (bod 140 pokynů k regionální podpoře)</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Hodnocení, podávání zpráv a monitorování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Hodnocení</w:t>
      </w:r>
    </w:p>
    <w:p w14:paraId="594EFB7A" w14:textId="77777777" w:rsidR="0047707E" w:rsidRDefault="0047707E" w:rsidP="001452D1">
      <w:pPr>
        <w:pStyle w:val="NumPar3"/>
        <w:numPr>
          <w:ilvl w:val="2"/>
          <w:numId w:val="2"/>
        </w:numPr>
        <w:spacing w:before="240"/>
        <w:ind w:left="1418" w:hanging="698"/>
      </w:pPr>
      <w:r>
        <w:t>Uveďte číslo dozorového úřadu všech předchozích a probíhajících režimů státní podpory s podobným cílem a zeměpisnou oblastí (bod 144 pokynů k regionální podpoře):</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Byl některý z výše uvedených režimů státní podpory následně vyhodnocen? (bod 144 pokynů k regionální podpoře)</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ano</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ne</w:t>
      </w:r>
    </w:p>
    <w:p w14:paraId="6D9A940C" w14:textId="77777777" w:rsidR="0047707E" w:rsidRDefault="0047707E" w:rsidP="00DB5B5A">
      <w:pPr>
        <w:pStyle w:val="NumPar3"/>
        <w:spacing w:before="240"/>
        <w:ind w:left="709"/>
      </w:pPr>
      <w:r>
        <w:t>Pokud ano, uveďte stručné shrnutí hlavních výsledků následného (následných) hodnocení (případně s referenčním číslem a odkazem):</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t>Popište, jak byly výsledky těchto hodnocení zohledněny při navrhování nového režimu:</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Uveďte, zda rozpočet státní podpory režimu přesahuje 150 milionů EUR v kterémkoli daném roce (bod 143 pokynů k regionální podpoře):</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ano</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ne</w:t>
      </w:r>
    </w:p>
    <w:p w14:paraId="1481B715" w14:textId="77777777" w:rsidR="0047707E" w:rsidRDefault="00877F82" w:rsidP="0047707E">
      <w:pPr>
        <w:pStyle w:val="NumPar3"/>
        <w:spacing w:before="240"/>
        <w:ind w:left="1418"/>
      </w:pPr>
      <w:r>
        <w:t>Uveďte, zda rozpočet státní podpory režimu přesahuje 750 milionů EUR za celkovou dobu trvání režimu (tj. kombinované doby trvání režimu a jakéhokoli předchozího režimu, které se vztahují na podobný cíl a zeměpisnou oblast, a to počínaje 1. lednem 2022):</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ano</w:t>
      </w:r>
    </w:p>
    <w:p w14:paraId="32807006" w14:textId="77777777" w:rsidR="0047707E" w:rsidRDefault="0047707E" w:rsidP="00FC438A">
      <w:pPr>
        <w:pStyle w:val="NumPar3"/>
        <w:spacing w:before="240"/>
        <w:ind w:left="1418"/>
      </w:pPr>
      <w:r>
        <w:lastRenderedPageBreak/>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ne</w:t>
      </w:r>
    </w:p>
    <w:p w14:paraId="04565C51" w14:textId="77777777" w:rsidR="0047707E" w:rsidRDefault="0047707E" w:rsidP="00AC71FD">
      <w:pPr>
        <w:pStyle w:val="NumPar3"/>
        <w:numPr>
          <w:ilvl w:val="2"/>
          <w:numId w:val="2"/>
        </w:numPr>
        <w:spacing w:before="240"/>
        <w:ind w:left="1418" w:hanging="720"/>
      </w:pPr>
      <w:r>
        <w:t>Uveďte, zda je režim (bod 143 pokynů k regionální podpoře):</w:t>
      </w:r>
    </w:p>
    <w:p w14:paraId="00204381" w14:textId="77777777" w:rsidR="0047707E" w:rsidRDefault="0047707E" w:rsidP="0047707E">
      <w:pPr>
        <w:spacing w:before="120" w:after="120"/>
        <w:ind w:left="1701" w:hanging="283"/>
        <w:rPr>
          <w:szCs w:val="24"/>
        </w:rPr>
      </w:pPr>
      <w:r>
        <w:t>režimem s novými vlastnostmi?</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ano</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ne</w:t>
      </w:r>
    </w:p>
    <w:p w14:paraId="1DDA9233" w14:textId="77777777" w:rsidR="0047707E" w:rsidRDefault="0047707E" w:rsidP="0047707E">
      <w:pPr>
        <w:spacing w:before="120" w:after="120"/>
        <w:ind w:left="1418"/>
        <w:rPr>
          <w:szCs w:val="24"/>
        </w:rPr>
      </w:pPr>
      <w:r>
        <w:t>režimem, u něhož lze předpokládat významné změny na trhu, v technologiích nebo v právních předpisech?</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ano</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ne</w:t>
      </w:r>
    </w:p>
    <w:p w14:paraId="1086B92D" w14:textId="77777777" w:rsidR="0047707E" w:rsidRDefault="0047707E" w:rsidP="0047707E">
      <w:pPr>
        <w:spacing w:before="120" w:after="120"/>
        <w:ind w:left="1843" w:hanging="425"/>
        <w:rPr>
          <w:szCs w:val="24"/>
        </w:rPr>
      </w:pPr>
      <w:r>
        <w:t>režimem, který zvažujete pro hodnocení, třebaže neplatí kritéria výše uvedená v bodech 5.1.2 a 5.1.3?</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ano</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207549">
        <w:fldChar w:fldCharType="separate"/>
      </w:r>
      <w:r>
        <w:fldChar w:fldCharType="end"/>
      </w:r>
      <w:r>
        <w:t xml:space="preserve"> ne</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rPr>
          <w:rFonts w:ascii="EUAlbertina" w:hAnsi="EUAlbertina"/>
          <w:color w:val="000000"/>
        </w:rPr>
        <w:t>Je-li odpověď na otázku v bodě 5.1.1 „Ne“ a odpověď na kteroukoli z otázek uvedených v bodech 5.1.2 nebo 5.1.3 „Ano“, má se za to, že se na režim vztahuje následné hodnocení (bod 143 pokynů k regionální podpoře).</w:t>
      </w:r>
      <w:r>
        <w:t xml:space="preserve"> V takovém případě na příslušnou otázku v obecném oznamovacím formuláři odpovězte </w:t>
      </w:r>
      <w:r>
        <w:rPr>
          <w:color w:val="000000"/>
        </w:rPr>
        <w:t>„Ano“, uveďte dobu hodnocení a předložte návrh plánu hodnocení v příloze I – části III.8</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t>Podávání zpráv a monitorování</w:t>
      </w:r>
    </w:p>
    <w:p w14:paraId="478099B4" w14:textId="77777777" w:rsidR="00104EE1" w:rsidRDefault="00132132" w:rsidP="00AC71FD">
      <w:pPr>
        <w:pStyle w:val="NumPar3"/>
        <w:numPr>
          <w:ilvl w:val="2"/>
          <w:numId w:val="2"/>
        </w:numPr>
        <w:spacing w:before="240"/>
        <w:ind w:left="1418" w:hanging="720"/>
      </w:pPr>
      <w:r>
        <w:t>Potvrďte, že:</w:t>
      </w:r>
    </w:p>
    <w:p w14:paraId="471BF233" w14:textId="4F4B5021" w:rsidR="00104EE1" w:rsidRDefault="00104EE1" w:rsidP="00104EE1">
      <w:pPr>
        <w:numPr>
          <w:ilvl w:val="0"/>
          <w:numId w:val="25"/>
        </w:numPr>
        <w:rPr>
          <w:szCs w:val="24"/>
        </w:rPr>
      </w:pPr>
      <w:r>
        <w:t>v souladu s nařízením Rady (EU) 2015/1589 ze dne 13. července 2015 a nařízením Komise (ES) č. 794/2004 ze dne 21. dubna 2004, kterým se provádí nařízení Rady (EU) 2015/1589, kterým se stanoví prováděcí pravidla k článku 108 Smlouvy o fungování Evropské unie, Komisi předložíte výroční zprávy a</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207549">
        <w:rPr>
          <w:b/>
          <w:color w:val="000000"/>
        </w:rPr>
      </w:r>
      <w:r w:rsidR="00207549">
        <w:rPr>
          <w:b/>
          <w:color w:val="000000"/>
        </w:rPr>
        <w:fldChar w:fldCharType="separate"/>
      </w:r>
      <w:r>
        <w:rPr>
          <w:b/>
          <w:color w:val="000000"/>
        </w:rPr>
        <w:fldChar w:fldCharType="end"/>
      </w:r>
      <w:r>
        <w:rPr>
          <w:b/>
          <w:color w:val="000000"/>
        </w:rPr>
        <w:t xml:space="preserve"> </w:t>
      </w:r>
      <w:r>
        <w:tab/>
        <w:t>ano</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po dobu nejméně deseti let ode dne poskytnutí podpory v rámci režimu budete uchovávat podrobné záznamy obsahující informace a podklady nezbytné k prokázání toho, že jsou splněny všechny podmínky slučitelnosti, a že tyto záznamy budou Komisi na požádání poskytovány.</w:t>
      </w:r>
    </w:p>
    <w:p w14:paraId="18E1AEFD" w14:textId="77777777" w:rsidR="00132132" w:rsidRDefault="00132132" w:rsidP="00607A3B">
      <w:pPr>
        <w:spacing w:before="240" w:after="240"/>
        <w:ind w:left="2410" w:hanging="567"/>
      </w:pPr>
      <w:r>
        <w:rPr>
          <w:color w:val="000000"/>
        </w:rPr>
        <w:lastRenderedPageBreak/>
        <w:fldChar w:fldCharType="begin">
          <w:ffData>
            <w:name w:val="Check1"/>
            <w:enabled/>
            <w:calcOnExit w:val="0"/>
            <w:checkBox>
              <w:sizeAuto/>
              <w:default w:val="0"/>
            </w:checkBox>
          </w:ffData>
        </w:fldChar>
      </w:r>
      <w:r>
        <w:rPr>
          <w:color w:val="000000"/>
        </w:rPr>
        <w:instrText xml:space="preserve"> FORMCHECKBOX </w:instrText>
      </w:r>
      <w:r w:rsidR="00207549">
        <w:rPr>
          <w:color w:val="000000"/>
        </w:rPr>
      </w:r>
      <w:r w:rsidR="00207549">
        <w:rPr>
          <w:color w:val="000000"/>
        </w:rPr>
        <w:fldChar w:fldCharType="separate"/>
      </w:r>
      <w:r>
        <w:rPr>
          <w:color w:val="000000"/>
        </w:rPr>
        <w:fldChar w:fldCharType="end"/>
      </w:r>
      <w:r>
        <w:rPr>
          <w:color w:val="000000"/>
        </w:rPr>
        <w:t xml:space="preserve"> </w:t>
      </w:r>
      <w:r>
        <w:tab/>
        <w:t xml:space="preserve">ano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 xml:space="preserve"> </w:t>
      </w:r>
      <w:r>
        <w:tab/>
        <w:t>Pokyny k regionální státní podpoře (Úř. věst. C 153, 29.4.2021, s. 1).</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Nařízení Komise (EU) č. 651/2014 ze dne 17. června 2014, kterým se v souladu s články 107 a 108 Smlouvy prohlašují určité kategorie podpory za slučitelné s vnitřním trhem (</w:t>
      </w:r>
      <w:r>
        <w:rPr>
          <w:rStyle w:val="Emphasis"/>
          <w:i w:val="0"/>
        </w:rPr>
        <w:t>Úř. věst. L 187, 26.6.2014, s. 1</w:t>
      </w:r>
      <w:r>
        <w:t>), ve znění pozdějších předpisů.</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Nařízení Komise (EU) č. 1407/2013 ze dne 18. prosince 2013 o použití článků 107 a 108 Smlouvy o fungování Evropské unie na podporu </w:t>
      </w:r>
      <w:r>
        <w:rPr>
          <w:i/>
        </w:rPr>
        <w:t>de minimis</w:t>
      </w:r>
      <w:r>
        <w:t xml:space="preserve"> (Úř. věst. L 352, 24.12.2013, s.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t>Podle definice v pokynech pro státní podporu na záchranu a restrukturalizaci nefinančních podniků v obtížích (Úř. věst. C 249, 31.7.2014, s.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Jak je vymezeno v příloze VI pokynů k regionální podpoře.</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„Hnědým uhlím“ se rozumí uhlí nízké kvality kategorie C nebo ortolignit a uhlí nízké kvality kategorie B nebo metalignit, jak jsou definovány v mezinárodním systému kodifikace uhlí zavedeném Evropskou hospodářskou komisí Organizace spojených národů.</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„Černým uhlím“ se rozumí uhlí vysoké, střední a nízké kvality kategorie A a B, jak je definováno v mezinárodním systému kodifikace uhlí zavedeném Evropskou hospodářskou komisí Organizace spojených národů a jak jej upřesňuje rozhodnutí Rady ze dne 10. prosince 2010 o státní podpoře k usnadnění uzavírání nekonkurenceschopných uhelných dolů (Úř. věst. L 336, 21.12.2010, s.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Na toto odvětví se vztahuje nařízení Evropského parlamentu a Rady (EU) č. 1379/2013 ze dne 11. prosince 2013 o společné organizaci trhů s produkty rybolovu a akvakultury a o změně nařízení Rady (ES) č. 1184/2006 a (ES) č. 1224/2009 a o zrušení nařízení Rady (ES) č. 104/2000 (Úř. věst. L 354, 28.12.2013, s.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 xml:space="preserve"> </w:t>
      </w:r>
      <w:r>
        <w:tab/>
        <w:t>Na státní podporu prvovýroby, zpracování a uvádění na trh zemědělských produktů, jejichž výsledkem jsou zemědělské produkty, jak jsou stanoveny v příloze I Smlouvy, a na státní podporu lesnictví se použijí pravidla stanovená v pokynech ke státní podpoře v odvětví zemědělství (Úř. věst. C 204, 1.7.2014, s.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Pokyny k regionální podpoře se vztahují na režimy podpory – ve prospěch činností, které nespadají do oblasti působnosti článku 42 Smlouvy –, jež jsou spolufinancovány z Evropského zemědělského fondu pro rozvoj venkova (EZFRV), nebo jsou poskytovány jakožto vnitrostátní financování doplňující tato spolufinancovaná opatření, není-li v odvětvových pravidlech stanoveno jinak.</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Dopravou se rozumí letecká, námořní, silniční, železniční a vnitrozemská vodní přeprava cestujících nebo služby v oblasti nákladní dopravy pro cizí potřebu. Dopravní infrastruktura – jako například letiště –, na kterou se vztahují specifické pokyny, je z těchto pokynů rovněž vyloučena (viz sdělení Komise – Pokyny ke státní podpoře letišť a leteckých společností (Úř. věst. C 99, 4.4.2014, s.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 xml:space="preserve"> </w:t>
      </w:r>
      <w:r>
        <w:tab/>
        <w:t>Pokyny EU k použití pravidel státní podpory ve vztahu k rychlému zavádění širokopásmových sítí (Úř. věst. C 25, 26.1.2013, s.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 xml:space="preserve"> </w:t>
      </w:r>
      <w:r>
        <w:tab/>
        <w:t>Komise posoudí slučitelnost státní podpory v odvětví energetiky na základě pokynů pro státní podporu v oblasti životního prostředí a energetiky na období 2014–2020 (Úř. věst. C 200, 28.6.2014, s.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 xml:space="preserve"> </w:t>
      </w:r>
      <w:r>
        <w:tab/>
        <w:t>„Malým a středním podnikem“ se rozumí podnik, který splňuje podmínky vyplývající z doporučení Komise ze dne 6. května 2003 o definici mikropodniků, malých a středních podniků (Úř. věst. L 124, 20.5.2003, s.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 xml:space="preserve"> </w:t>
      </w:r>
      <w:r>
        <w:tab/>
        <w:t>Pouhé nabytí akcií podniku se nepokládá za počáteční investici.</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t>„Stejnou nebo podobnou činností“ se rozumí činnost spadající do stejné třídy (čtyřciferný číselný kód) statistické klasifikace ekonomických činností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 xml:space="preserve"> </w:t>
      </w:r>
      <w:r>
        <w:tab/>
        <w:t>Pouhé nabytí akcií podniku se nepokládá za počáteční investici, která vede ke vzniku nové hospodářské činnosti.</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 xml:space="preserve"> </w:t>
      </w:r>
      <w:r>
        <w:tab/>
        <w:t>Uvedené ustanovení nemusí platit pro malé a střední podniky nebo v případě převzetí provozovny.</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 xml:space="preserve"> </w:t>
      </w:r>
      <w:r>
        <w:tab/>
        <w:t>Bod 34 pokynů k regionální podpoře stanoví, že, nehmotný majetek, který lze zohlednit při výpočtu investičních nákladů, musí být i nadále spjat s danou oblastí a nesmí být převeden do jiných oblastí. V tomto smyslu musí nehmotný majetek splňovat tyto podmínky:</w:t>
      </w:r>
    </w:p>
    <w:p w14:paraId="1C54C443" w14:textId="77777777" w:rsidR="00B133A0" w:rsidRDefault="00B133A0" w:rsidP="00B209F9">
      <w:pPr>
        <w:pStyle w:val="FootnoteText"/>
        <w:numPr>
          <w:ilvl w:val="0"/>
          <w:numId w:val="33"/>
        </w:numPr>
        <w:tabs>
          <w:tab w:val="clear" w:pos="357"/>
          <w:tab w:val="left" w:pos="709"/>
        </w:tabs>
        <w:ind w:left="709" w:hanging="425"/>
      </w:pPr>
      <w:r>
        <w:t>musí být využíván výlučně v provozovně, která je příjemcem podpory;</w:t>
      </w:r>
    </w:p>
    <w:p w14:paraId="7AF9FEC6" w14:textId="77777777" w:rsidR="00B133A0" w:rsidRDefault="00B133A0" w:rsidP="00B209F9">
      <w:pPr>
        <w:pStyle w:val="FootnoteText"/>
        <w:numPr>
          <w:ilvl w:val="0"/>
          <w:numId w:val="33"/>
        </w:numPr>
        <w:tabs>
          <w:tab w:val="clear" w:pos="357"/>
          <w:tab w:val="left" w:pos="709"/>
        </w:tabs>
        <w:ind w:left="709" w:hanging="425"/>
      </w:pPr>
      <w:r>
        <w:t>musí podléhat odpisům;</w:t>
      </w:r>
    </w:p>
    <w:p w14:paraId="63AFFA39" w14:textId="77777777" w:rsidR="00B133A0" w:rsidRDefault="00B133A0" w:rsidP="00B209F9">
      <w:pPr>
        <w:pStyle w:val="FootnoteText"/>
        <w:numPr>
          <w:ilvl w:val="0"/>
          <w:numId w:val="33"/>
        </w:numPr>
        <w:tabs>
          <w:tab w:val="clear" w:pos="357"/>
          <w:tab w:val="left" w:pos="709"/>
        </w:tabs>
        <w:ind w:left="709" w:hanging="425"/>
      </w:pPr>
      <w:r>
        <w:t>musí být pořízen za tržních podmínek od třetích osob, které nemají vazbu na kupujícího;</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musí být součástí majetku podniku, jemuž je podpora poskytována, a musí být nadále spjat s projektem, na který byla podpora poskytnuta, po dobu alespoň pěti let (tří let v případě malých a středních podniků).</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 xml:space="preserve"> </w:t>
      </w:r>
      <w:r>
        <w:tab/>
        <w:t xml:space="preserve">Nevztahuje se to na dotované úvěry, veřejné půjčky vlastního kapitálu nebo veřejné podíly, které nesplňují zásadu tržního investora, ani státní záruky s prvky podpory, ani veřejnou podporu poskytnutou v rámci pravidla </w:t>
      </w:r>
      <w:r>
        <w:rPr>
          <w:i/>
        </w:rPr>
        <w:t>de minimis</w:t>
      </w:r>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Hypotetické srovnání je věrohodné, jestliže je autentické a týká se faktorů rozhodovacího procesu převládajících v okamžiku, kdy příjemce činí rozhodnutí o investici.</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Pro tento účel je možno odkázat mimo jiné na posouzení dopadů navrhovaného režimu nebo na následná hodnocení podobných režimů.</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 xml:space="preserve"> </w:t>
      </w:r>
      <w:r>
        <w:tab/>
        <w:t>Například přímé dotace, osvobození od daní, příspěvků na sociální zabezpečení nebo jiných povinných odvodů nebo jejich snížení nebo poskytnutí pozemků, dodávek zboží nebo služeb za výhodné ceny atd.</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 xml:space="preserve"> </w:t>
      </w:r>
      <w:r>
        <w:tab/>
        <w:t>Například úvěry s nízkou úrokovou sazbou, úrokové subvence, státní záruky, nákup akcií nebo jiná forma kapitálové injekce za výhodných podmínek.</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 xml:space="preserve"> </w:t>
      </w:r>
      <w:r>
        <w:tab/>
        <w:t>Členské státy by mohly předkládat veškerá posouzení dopadů, která mají k dispozici, jakož i následná hodnocení vypracovaná k podobným dřívějším režimům, aby Komisi umožnily posoudit pravděpodobné negativní účinky.</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Podle definice v příloze III nařízení Komise (EU) č. 651/2014 ze dne 17. června 2014, kterým se v souladu s články 107 a 108 Smlouvy prohlašují určité kategorie podpory za slučitelné s vnitřním trhem.</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 xml:space="preserve"> </w:t>
      </w:r>
      <w:r>
        <w:tab/>
        <w:t>Podle definice v příloze III nařízení Komise (EU) č. 651/2014 ze dne 17. června 2014, kterým se v souladu s články 107 a 108 Smlouvy prohlašují určité kategorie podpory za slučitelné s vnitřním trhem.</w:t>
      </w:r>
    </w:p>
  </w:footnote>
  <w:footnote w:id="28">
    <w:p w14:paraId="63FE5190" w14:textId="6C617B5F" w:rsidR="00B133A0" w:rsidRDefault="00B133A0" w:rsidP="00D621FD">
      <w:pPr>
        <w:pStyle w:val="FootnoteText"/>
        <w:tabs>
          <w:tab w:val="clear" w:pos="357"/>
          <w:tab w:val="left" w:pos="284"/>
        </w:tabs>
        <w:spacing w:after="120"/>
        <w:ind w:left="284" w:hanging="284"/>
      </w:pPr>
      <w:r>
        <w:rPr>
          <w:rStyle w:val="FootnoteReference"/>
        </w:rPr>
        <w:footnoteRef/>
      </w:r>
      <w:r>
        <w:t xml:space="preserve"> </w:t>
      </w:r>
      <w:r>
        <w:tab/>
        <w:t xml:space="preserve">Pokyny naleznete v metodických pokynech k hodnocení v oblasti státní podpory: </w:t>
      </w:r>
      <w:hyperlink r:id="rId1" w:history="1">
        <w:r>
          <w:rPr>
            <w:rStyle w:val="Hyperlink"/>
          </w:rPr>
          <w:t>https://competition-policy.ec.europa.eu/system/files/2021-04/modernisation_evaluation_methodology_en.pdf</w:t>
        </w:r>
      </w:hyperlink>
      <w:r w:rsidR="00207549">
        <w:t xml:space="preserve">. </w:t>
      </w:r>
      <w:r>
        <w:t xml:space="preserve">Plán hodnocení (příloha I – část III.8) by měl být předložen na formuláři, který je k dispozici na adrese: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removePersonalInformation/>
  <w:removeDateAndTime/>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07549"/>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cs-CZ"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cs-CZ"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cs-CZ"/>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8FB155-3CAF-4102-8827-2BCFB268F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3251</Words>
  <Characters>18830</Characters>
  <Application>Microsoft Office Word</Application>
  <DocSecurity>0</DocSecurity>
  <Lines>448</Lines>
  <Paragraphs>230</Paragraphs>
  <ScaleCrop>false</ScaleCrop>
  <Company/>
  <LinksUpToDate>false</LinksUpToDate>
  <CharactersWithSpaces>21851</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2023-01-26T15:50:00Z</dcterms:modified>
</cp:coreProperties>
</file>