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C6D4" w14:textId="77777777" w:rsidR="00FD28D7" w:rsidRDefault="00FD28D7">
      <w:pPr>
        <w:pStyle w:val="CRSeparator"/>
      </w:pPr>
    </w:p>
    <w:p w14:paraId="5579A7C1" w14:textId="77777777" w:rsidR="00FD28D7" w:rsidRDefault="00FD28D7">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372570CE" w14:textId="77777777" w:rsidR="00FD28D7" w:rsidRDefault="00FD28D7">
      <w:pPr>
        <w:pStyle w:val="Typedudocument"/>
      </w:pPr>
      <w:r>
        <w:t>UITVOERINGSVERORDENING (EU) 2023/914 VAN DE COMMISSIE</w:t>
      </w:r>
    </w:p>
    <w:p w14:paraId="32655293" w14:textId="77777777" w:rsidR="00FD28D7" w:rsidRDefault="00FD28D7">
      <w:pPr>
        <w:pStyle w:val="Datedadoption"/>
      </w:pPr>
      <w:r>
        <w:t>van 20 april 2023</w:t>
      </w:r>
    </w:p>
    <w:p w14:paraId="741D8CAB" w14:textId="77777777" w:rsidR="00FD28D7" w:rsidRDefault="00FD28D7">
      <w:pPr>
        <w:pStyle w:val="Titreobjet"/>
      </w:pPr>
      <w:r>
        <w:t>tot uitvoering van Verordening (EG) nr. 139/2004 van de Raad betreffende de controle op concentraties van ondernemingen en tot intrekking van Verordening (EG) nr. 802/2004 van de Commissie</w:t>
      </w:r>
    </w:p>
    <w:p w14:paraId="2CAA6FF6" w14:textId="77777777" w:rsidR="00FD28D7" w:rsidRDefault="00FD28D7">
      <w:pPr>
        <w:pStyle w:val="Sous-titreobjet"/>
      </w:pPr>
      <w:r>
        <w:t>(Voor de EER relevante tekst)</w:t>
      </w:r>
    </w:p>
    <w:p w14:paraId="21960351" w14:textId="77777777" w:rsidR="00FD28D7" w:rsidRDefault="00FD28D7">
      <w:pPr>
        <w:pStyle w:val="SectionTitle"/>
      </w:pPr>
      <w:r>
        <w:t>HOOFDSTUK I</w:t>
      </w:r>
    </w:p>
    <w:p w14:paraId="1309F0D4" w14:textId="77777777" w:rsidR="00FD28D7" w:rsidRDefault="00FD28D7">
      <w:pPr>
        <w:pStyle w:val="SectionTitle"/>
      </w:pPr>
      <w:r>
        <w:rPr>
          <w:i/>
          <w:iCs/>
        </w:rPr>
        <w:t>TOEPASSINGSGEBIED</w:t>
      </w:r>
    </w:p>
    <w:p w14:paraId="7F68A38B" w14:textId="77777777" w:rsidR="00FD28D7" w:rsidRDefault="00FD28D7">
      <w:pPr>
        <w:pStyle w:val="Titrearticle"/>
      </w:pPr>
      <w:r>
        <w:t>Artikel 1</w:t>
      </w:r>
    </w:p>
    <w:p w14:paraId="6C5703FA" w14:textId="77777777" w:rsidR="00FD28D7" w:rsidRDefault="00FD28D7">
      <w:r>
        <w:t>Deze verordening is van toepassing op de overeenkomstig Verordening (EG) nr. 139/2004 uitgevoerde controle op concentraties.</w:t>
      </w:r>
    </w:p>
    <w:p w14:paraId="61409105" w14:textId="77777777" w:rsidR="00FD28D7" w:rsidRDefault="00FD28D7">
      <w:pPr>
        <w:pStyle w:val="SectionTitle"/>
      </w:pPr>
      <w:r>
        <w:t>HOOFDSTUK II</w:t>
      </w:r>
    </w:p>
    <w:p w14:paraId="050848C2" w14:textId="77777777" w:rsidR="00FD28D7" w:rsidRDefault="00FD28D7">
      <w:pPr>
        <w:pStyle w:val="SectionTitle"/>
      </w:pPr>
      <w:r>
        <w:rPr>
          <w:i/>
          <w:iCs/>
        </w:rPr>
        <w:t>AANMELDINGEN EN ANDERE KENNISGEVINGEN</w:t>
      </w:r>
    </w:p>
    <w:p w14:paraId="29DBE915" w14:textId="77777777" w:rsidR="00FD28D7" w:rsidRDefault="00FD28D7">
      <w:pPr>
        <w:pStyle w:val="Titrearticle"/>
      </w:pPr>
      <w:r>
        <w:t>Artikel 2</w:t>
      </w:r>
    </w:p>
    <w:p w14:paraId="7489A3B7" w14:textId="77777777" w:rsidR="00FD28D7" w:rsidRDefault="00FD28D7">
      <w:pPr>
        <w:pStyle w:val="NormalCentered"/>
        <w:rPr>
          <w:b/>
          <w:bCs/>
        </w:rPr>
      </w:pPr>
      <w:r>
        <w:rPr>
          <w:b/>
          <w:bCs/>
        </w:rPr>
        <w:t>Tot indiening van aanmeldingen gerechtigden</w:t>
      </w:r>
    </w:p>
    <w:p w14:paraId="5F5AA28F" w14:textId="77777777" w:rsidR="00FD28D7" w:rsidRDefault="00FD28D7">
      <w:r>
        <w:t>1.</w:t>
      </w:r>
      <w:r>
        <w:tab/>
        <w:t>Aanmeldingen worden door de in artikel 4, lid 2, van Verordening (EG) nr. 139/2004 bedoelde personen of ondernemingen ingediend.</w:t>
      </w:r>
    </w:p>
    <w:p w14:paraId="331B2430" w14:textId="77777777" w:rsidR="00FD28D7" w:rsidRDefault="00FD28D7">
      <w:r>
        <w:t>2.</w:t>
      </w:r>
      <w:r>
        <w:tab/>
        <w:t>Wanneer daartoe gemachtigde externe vertegenwoordigers van personen of ondernemingen de aanmeldingen ondertekenen, tonen zij hun vertegenwoordigingsbevoegdheid met schriftelijke bewijsstukken aan.</w:t>
      </w:r>
    </w:p>
    <w:p w14:paraId="33480FEB" w14:textId="77777777" w:rsidR="00FD28D7" w:rsidRDefault="00FD28D7">
      <w:pPr>
        <w:pStyle w:val="Titrearticle"/>
      </w:pPr>
      <w:r>
        <w:t>Artikel 3</w:t>
      </w:r>
    </w:p>
    <w:p w14:paraId="6E9772F9" w14:textId="77777777" w:rsidR="00FD28D7" w:rsidRDefault="00FD28D7">
      <w:pPr>
        <w:pStyle w:val="NormalCentered"/>
        <w:rPr>
          <w:b/>
          <w:bCs/>
        </w:rPr>
      </w:pPr>
      <w:r>
        <w:rPr>
          <w:b/>
          <w:bCs/>
        </w:rPr>
        <w:t>Indiening van de aanmeldingen</w:t>
      </w:r>
    </w:p>
    <w:p w14:paraId="4322BB09" w14:textId="77777777" w:rsidR="00FD28D7" w:rsidRDefault="00FD28D7">
      <w:r>
        <w:t>1.</w:t>
      </w:r>
      <w:r>
        <w:tab/>
        <w:t>Aanmeldingen worden ingediend met behulp van het formulier CO in bijlage I. Onder de in bijlage II beschreven voorwaarden mogen aanmeldingen worden ingediend met behulp van een verkort formulier CO, zoals uiteengezet in die bijlage. Gemeenschappelijke aanmeldingen worden op slechts één enkel formulier ingediend.</w:t>
      </w:r>
    </w:p>
    <w:p w14:paraId="266E166C" w14:textId="77777777" w:rsidR="00FD28D7" w:rsidRDefault="00FD28D7">
      <w:r>
        <w:lastRenderedPageBreak/>
        <w:t>2.</w:t>
      </w:r>
      <w:r>
        <w:tab/>
        <w:t>De in lid 1 genoemde formulieren en alle relevante documenten ter staving worden bij de Commissie ingediend overeenkomstig artikel 22 en de instructies die de Commissie in het Publicatieblad van de Europese Unie heeft bekendgemaakt.</w:t>
      </w:r>
    </w:p>
    <w:p w14:paraId="685EF204" w14:textId="77777777" w:rsidR="00FD28D7" w:rsidRDefault="00FD28D7">
      <w:r>
        <w:t>3.</w:t>
      </w:r>
      <w:r>
        <w:tab/>
        <w:t>De aanmelding wordt in een van de officiële talen van de Unie opgesteld. Deze taal is ten aanzien van de aanmeldende partijen ook de taal waarin de procedure verloopt, alsmede die van alle daaropvolgende procedures met betrekking tot dezelfde concentratie. De bijgevoegde documenten worden in de oorspronkelijke taal ervan ingediend. Wanneer de oorspronkelijke taal van een document niet een van de officiële talen van de Unie is, wordt een vertaling in de taal van de procedure bijgevoegd.</w:t>
      </w:r>
    </w:p>
    <w:p w14:paraId="1D7779EB" w14:textId="77777777" w:rsidR="00FD28D7" w:rsidRDefault="00FD28D7">
      <w:r>
        <w:t>4.</w:t>
      </w:r>
      <w:r>
        <w:tab/>
        <w:t>Aanmeldingen die uit hoofde van artikel 57 van de Overeenkomst betreffende de Europese Economische Ruimte worden ingediend, mogen ook in een van de officiële talen van de EVA-Staten of in de werktaal van de Toezichthoudende Autoriteit van de EVA worden ingediend. Indien de taal die voor de aanmelding is gekozen, geen officiële taal van de Unie is, voegen de aanmeldende partijen bij elk door hen ingediend document een vertaling daarvan bij in een officiële taal van de Unie. De voor de vertaling gekozen taal</w:t>
      </w:r>
      <w:r>
        <w:t xml:space="preserve"> is bepalend voor de taal die door de Unie in de procedure ten aanzien van de aanmeldende partijen wordt gebruikt.</w:t>
      </w:r>
    </w:p>
    <w:p w14:paraId="0B8CE685" w14:textId="77777777" w:rsidR="00FD28D7" w:rsidRDefault="00FD28D7">
      <w:pPr>
        <w:pStyle w:val="Titrearticle"/>
      </w:pPr>
      <w:r>
        <w:t>Artikel 4</w:t>
      </w:r>
    </w:p>
    <w:p w14:paraId="37742DFF" w14:textId="77777777" w:rsidR="00FD28D7" w:rsidRDefault="00FD28D7">
      <w:pPr>
        <w:pStyle w:val="NormalCentered"/>
        <w:rPr>
          <w:b/>
          <w:bCs/>
        </w:rPr>
      </w:pPr>
      <w:r>
        <w:rPr>
          <w:b/>
          <w:bCs/>
        </w:rPr>
        <w:t>Te verstrekken informatie en documenten</w:t>
      </w:r>
    </w:p>
    <w:p w14:paraId="7F155385" w14:textId="77777777" w:rsidR="00FD28D7" w:rsidRDefault="00FD28D7">
      <w:r>
        <w:t>1.</w:t>
      </w:r>
      <w:r>
        <w:tab/>
        <w:t>De aanmelding bevat de informatie, met inbegrip van documenten, die wordt gevraagd in de desbetreffende formulieren in de bijlagen I en II. Deze informatie is correct en volledig.</w:t>
      </w:r>
    </w:p>
    <w:p w14:paraId="703204E2" w14:textId="77777777" w:rsidR="00FD28D7" w:rsidRDefault="00FD28D7">
      <w:r>
        <w:t>2.</w:t>
      </w:r>
      <w:r>
        <w:tab/>
        <w:t>De Commissie kan, op schriftelijk verzoek van de aanmeldende partijen, ontheffing verlenen van de verplichting om bepaalde informatie, met inbegrip van documenten, te verstrekken, of van andere in de bijlagen I en II vastgestelde verplichtingen, wanneer zij van oordeel is dat de naleving van die verplichtingen of vereisten niet nodig is voor het onderzoek van de zaak.</w:t>
      </w:r>
    </w:p>
    <w:p w14:paraId="49F23DC6" w14:textId="77777777" w:rsidR="00FD28D7" w:rsidRDefault="00FD28D7">
      <w:r>
        <w:t>3.</w:t>
      </w:r>
      <w:r>
        <w:tab/>
        <w:t>De Commissie bevestigt de aanmeldende partijen of hun vertegenwoordigers onverwijld schriftelijk de ontvangst van de aanmelding en van het antwoord op een door haar krachtens artikel 5, leden 2 en 3, gezonden brief.</w:t>
      </w:r>
    </w:p>
    <w:p w14:paraId="6D38AF84" w14:textId="77777777" w:rsidR="00FD28D7" w:rsidRDefault="00FD28D7">
      <w:pPr>
        <w:pStyle w:val="Titrearticle"/>
      </w:pPr>
      <w:r>
        <w:t>Artikel 5</w:t>
      </w:r>
    </w:p>
    <w:p w14:paraId="32B24BF2" w14:textId="77777777" w:rsidR="00FD28D7" w:rsidRDefault="00FD28D7">
      <w:pPr>
        <w:pStyle w:val="NormalCentered"/>
        <w:rPr>
          <w:b/>
          <w:bCs/>
        </w:rPr>
      </w:pPr>
      <w:r>
        <w:rPr>
          <w:b/>
          <w:bCs/>
        </w:rPr>
        <w:t>Datum van de aanmelding</w:t>
      </w:r>
    </w:p>
    <w:p w14:paraId="7D185974" w14:textId="77777777" w:rsidR="00FD28D7" w:rsidRDefault="00FD28D7">
      <w:r>
        <w:t>1.</w:t>
      </w:r>
      <w:r>
        <w:tab/>
        <w:t>Onverminderd de leden 2, 3 en 4 geldt als datum van de aanmelding de datum van ontvangst ervan door de Commissie.</w:t>
      </w:r>
    </w:p>
    <w:p w14:paraId="2A2CAF7A" w14:textId="77777777" w:rsidR="00FD28D7" w:rsidRDefault="00FD28D7">
      <w:r>
        <w:t>2.</w:t>
      </w:r>
      <w:r>
        <w:tab/>
        <w:t>Wanneer de informatie, met inbegrip van de documenten, in de aanmelding op een wezenlijk punt onvolledig is, stelt de Commissie de aanmeldende partijen of hun vertegenwoordigers daarvan onverwijld schriftelijk in kennis. In dit geval geldt het tijdstip waarop de Commissie de volledige informatie ontvangt, als datum van de aanmelding.</w:t>
      </w:r>
    </w:p>
    <w:p w14:paraId="0F54AA5F" w14:textId="77777777" w:rsidR="00FD28D7" w:rsidRDefault="00FD28D7">
      <w:r>
        <w:t>3.</w:t>
      </w:r>
      <w:r>
        <w:tab/>
        <w:t xml:space="preserve">Substantiële veranderingen in de in de aanmelding vermelde feiten die aan het licht komen na de aanmelding en die de aanmeldende partijen bekend zijn of behoren te zijn, of </w:t>
      </w:r>
      <w:r>
        <w:lastRenderedPageBreak/>
        <w:t>eventuele nieuwe informatie die aan het licht komt en die de aanmeldende partijen bekend is of behoort te zijn en die, indien bekend op het tijdstip van de aanmelding, had moeten worden aangemeld, worden de Commissie onverwijld meegedeeld. Voor zover deze substantiële veranderingen of nieuwe informatie een aanzienlijke invloed kunnen he</w:t>
      </w:r>
      <w:r>
        <w:t>bben op de beoordeling van de concentratie, kan de Commissie in deze gevallen het tijdstip waarop zij de desbetreffende informatie ontvangt, als datum van de aanmelding aanmerken. De Commissie stelt de aanmeldende partijen of hun vertegenwoordigers hiervan onverwijld schriftelijk in kennis.</w:t>
      </w:r>
    </w:p>
    <w:p w14:paraId="3E18CA31" w14:textId="77777777" w:rsidR="00FD28D7" w:rsidRDefault="00FD28D7">
      <w:r>
        <w:t>4.</w:t>
      </w:r>
      <w:r>
        <w:tab/>
        <w:t>Voor de toepassing van dit artikel wordt onjuiste of misleidende informatie beschouwd als onvolledige informatie, onverminderd artikel 14, lid 1, van Verordening (EG) nr. 139/2004.</w:t>
      </w:r>
    </w:p>
    <w:p w14:paraId="58117ECF" w14:textId="77777777" w:rsidR="00FD28D7" w:rsidRDefault="00FD28D7">
      <w:r>
        <w:t>5.</w:t>
      </w:r>
      <w:r>
        <w:tab/>
        <w:t>Wanneer de Commissie de aanmelding overeenkomstig artikel 4, lid 3, van Verordening (EG) nr. 139/2004 bekendmaakt, vermeldt zij de datum waarop zij de aanmelding heeft ontvangen. Wanneer ingevolge de leden 2, 3 en 4 van dit artikel een latere datum dan vermeld in deze bekendmaking als datum van de aanmelding geldt, vermeldt de Commissie die latere datum in een nieuwe bekendmaking.</w:t>
      </w:r>
    </w:p>
    <w:p w14:paraId="323AB034" w14:textId="77777777" w:rsidR="00FD28D7" w:rsidRDefault="00FD28D7">
      <w:pPr>
        <w:pStyle w:val="Titrearticle"/>
      </w:pPr>
      <w:r>
        <w:t>Artikel 6</w:t>
      </w:r>
    </w:p>
    <w:p w14:paraId="10868F0A" w14:textId="77777777" w:rsidR="00FD28D7" w:rsidRDefault="00FD28D7">
      <w:pPr>
        <w:pStyle w:val="NormalCentered"/>
        <w:rPr>
          <w:b/>
          <w:bCs/>
        </w:rPr>
      </w:pPr>
      <w:r>
        <w:rPr>
          <w:b/>
          <w:bCs/>
        </w:rPr>
        <w:t>Specifieke bepalingen in verband met gemotiveerde kennisgevingen, aanvullende aanmeldingen en verklaringen</w:t>
      </w:r>
    </w:p>
    <w:p w14:paraId="152A2570" w14:textId="77777777" w:rsidR="00FD28D7" w:rsidRDefault="00FD28D7">
      <w:r>
        <w:t>1.</w:t>
      </w:r>
      <w:r>
        <w:tab/>
      </w:r>
      <w:r>
        <w:t>Gemotiveerde kennisgevingen in de zin van artikel 4, leden 4 en 5, van Verordening (EG) nr. 139/2004 bevatten de in bijlage III bij deze verordening vereiste informatie, met inbegrip van documenten. De ingediende informatie is correct en volledig.</w:t>
      </w:r>
    </w:p>
    <w:p w14:paraId="0CEAF303" w14:textId="77777777" w:rsidR="00FD28D7" w:rsidRDefault="00FD28D7">
      <w:r>
        <w:t>2.</w:t>
      </w:r>
      <w:r>
        <w:tab/>
        <w:t>Artikel 2, artikel 3, lid 1, derde zin, artikel 3, leden 2, 3 en 4, artikel 4, artikel 5, leden 1 tot en met 4, en artikel 22 van deze verordening zijn van overeenkomstige toepassing voor gemotiveerde kennisgevingen in de zin van artikel 4, leden 4 en 5, van Verordening (EG) nr. 139/2004.</w:t>
      </w:r>
    </w:p>
    <w:p w14:paraId="2C796BD8" w14:textId="77777777" w:rsidR="00FD28D7" w:rsidRDefault="00FD28D7">
      <w:r>
        <w:t>3.</w:t>
      </w:r>
      <w:r>
        <w:tab/>
        <w:t>Artikel 2, artikel 3, lid 1, derde zin, artikel 3, leden 2, 3 en 4, artikel 4, artikel 5, leden 1 tot en met 4, en artikel 22 van deze verordening zijn van overeenkomstige toepassing voor aanvullende aanmeldingen en voor verklaringen in de zin van artikel 10, lid 5, van Verordening (EG) nr. 139/2004.</w:t>
      </w:r>
    </w:p>
    <w:p w14:paraId="492B0852" w14:textId="77777777" w:rsidR="00FD28D7" w:rsidRDefault="00FD28D7">
      <w:pPr>
        <w:pStyle w:val="SectionTitle"/>
      </w:pPr>
      <w:r>
        <w:t>HOOFDSTUK III</w:t>
      </w:r>
    </w:p>
    <w:p w14:paraId="12EB1D3D" w14:textId="77777777" w:rsidR="00FD28D7" w:rsidRDefault="00FD28D7">
      <w:pPr>
        <w:pStyle w:val="SectionTitle"/>
      </w:pPr>
      <w:r>
        <w:rPr>
          <w:i/>
          <w:iCs/>
        </w:rPr>
        <w:t>TERMIJNEN</w:t>
      </w:r>
    </w:p>
    <w:p w14:paraId="60CD72C4" w14:textId="77777777" w:rsidR="00FD28D7" w:rsidRDefault="00FD28D7">
      <w:pPr>
        <w:pStyle w:val="Titrearticle"/>
      </w:pPr>
      <w:r>
        <w:t>Artikel 7</w:t>
      </w:r>
    </w:p>
    <w:p w14:paraId="44B8BF97" w14:textId="77777777" w:rsidR="00FD28D7" w:rsidRDefault="00FD28D7">
      <w:pPr>
        <w:pStyle w:val="NormalCentered"/>
        <w:rPr>
          <w:b/>
          <w:bCs/>
        </w:rPr>
      </w:pPr>
      <w:r>
        <w:rPr>
          <w:b/>
          <w:bCs/>
        </w:rPr>
        <w:t>Aanvang van de termijnen</w:t>
      </w:r>
    </w:p>
    <w:p w14:paraId="7E9ADD64" w14:textId="77777777" w:rsidR="00FD28D7" w:rsidRDefault="00FD28D7">
      <w:r>
        <w:t>De termijnen gaan in op de werkdag, zoals omschreven in artikel 24 van deze verordening, die volgt op de gebeurtenis waarnaar de desbetreffende bepaling van Verordening (EG) nr. 139/2004 verwijst.</w:t>
      </w:r>
    </w:p>
    <w:p w14:paraId="162C47DB" w14:textId="77777777" w:rsidR="00FD28D7" w:rsidRDefault="00FD28D7">
      <w:pPr>
        <w:pStyle w:val="Titrearticle"/>
      </w:pPr>
      <w:r>
        <w:lastRenderedPageBreak/>
        <w:t>Artikel 8</w:t>
      </w:r>
    </w:p>
    <w:p w14:paraId="3BCD6038" w14:textId="77777777" w:rsidR="00FD28D7" w:rsidRDefault="00FD28D7">
      <w:pPr>
        <w:pStyle w:val="NormalCentered"/>
        <w:rPr>
          <w:b/>
          <w:bCs/>
        </w:rPr>
      </w:pPr>
      <w:r>
        <w:rPr>
          <w:b/>
          <w:bCs/>
        </w:rPr>
        <w:t>Verstrijken van de termijnen</w:t>
      </w:r>
    </w:p>
    <w:p w14:paraId="50F11F02" w14:textId="77777777" w:rsidR="00FD28D7" w:rsidRDefault="00FD28D7">
      <w:r>
        <w:t>1.</w:t>
      </w:r>
      <w:r>
        <w:tab/>
        <w:t>Een in werkdagen uitgedrukte termijn loopt af op het einde van de laatste werkdag van die termijn.</w:t>
      </w:r>
    </w:p>
    <w:p w14:paraId="4D3F6153" w14:textId="77777777" w:rsidR="00FD28D7" w:rsidRDefault="00FD28D7">
      <w:r>
        <w:t>2.</w:t>
      </w:r>
      <w:r>
        <w:tab/>
        <w:t>Een door de Commissie door middel van een kalenderdag vastgestelde termijn loopt af op het einde van die dag.</w:t>
      </w:r>
    </w:p>
    <w:p w14:paraId="13857F94" w14:textId="77777777" w:rsidR="00FD28D7" w:rsidRDefault="00FD28D7">
      <w:pPr>
        <w:pStyle w:val="Titrearticle"/>
      </w:pPr>
      <w:r>
        <w:t>Artikel 9</w:t>
      </w:r>
    </w:p>
    <w:p w14:paraId="037BFCC1" w14:textId="77777777" w:rsidR="00FD28D7" w:rsidRDefault="00FD28D7">
      <w:pPr>
        <w:pStyle w:val="NormalCentered"/>
        <w:rPr>
          <w:b/>
          <w:bCs/>
        </w:rPr>
      </w:pPr>
      <w:r>
        <w:rPr>
          <w:b/>
          <w:bCs/>
        </w:rPr>
        <w:t>Opschorting van de termijnen</w:t>
      </w:r>
    </w:p>
    <w:p w14:paraId="469C1D21" w14:textId="77777777" w:rsidR="00FD28D7" w:rsidRDefault="00FD28D7">
      <w:r>
        <w:t>1.</w:t>
      </w:r>
      <w:r>
        <w:tab/>
        <w:t>De in artikel 9, lid 4, en artikel 10, leden 1 en 3, van Verordening (EG) nr. 139/2004 bedoelde termijnen worden opgeschort indien de Commissie overeenkomstig artikel 11, lid 3, of artikel 13, lid 4, van die verordening een besluit moet vaststellen om een van de volgende redenen:</w:t>
      </w:r>
    </w:p>
    <w:p w14:paraId="6E164A7C" w14:textId="77777777" w:rsidR="00FD28D7" w:rsidRDefault="00FD28D7">
      <w:pPr>
        <w:pStyle w:val="Point0"/>
      </w:pPr>
      <w:r>
        <w:tab/>
        <w:t>(a)</w:t>
      </w:r>
      <w:r>
        <w:tab/>
        <w:t>de informatie die de Commissie overeenkomstig artikel 11, lid 2, van Verordening (EG) nr. 139/2004 aan een van de aanmeldende partijen of een andere betrokkene in de zin van artikel 11 van deze verordening heeft gevraagd, is niet of niet volledig binnen de door de Commissie gestelde termijn verstrekt;</w:t>
      </w:r>
    </w:p>
    <w:p w14:paraId="68346C88" w14:textId="77777777" w:rsidR="00FD28D7" w:rsidRDefault="00FD28D7">
      <w:pPr>
        <w:pStyle w:val="Point0"/>
      </w:pPr>
      <w:r>
        <w:tab/>
        <w:t>(b)</w:t>
      </w:r>
      <w:r>
        <w:tab/>
        <w:t>de informatie die de Commissie overeenkomstig artikel 11, lid 2, van Verordening (EG) nr. 139/2004 aan een derde heeft gevraagd, is niet of niet volledig binnen de door de Commissie gestelde termijn verstrekt door omstandigheden die aan een van de aanmeldende partijen of een andere betrokkene in de zin van artikel 11 van deze verordening kunnen worden toegerekend;</w:t>
      </w:r>
    </w:p>
    <w:p w14:paraId="3E34966A" w14:textId="77777777" w:rsidR="00FD28D7" w:rsidRDefault="00FD28D7">
      <w:pPr>
        <w:pStyle w:val="Point0"/>
      </w:pPr>
      <w:r>
        <w:tab/>
        <w:t>(c)</w:t>
      </w:r>
      <w:r>
        <w:tab/>
        <w:t>een van de aanmeldende partijen of een andere betrokkene in de zin van artikel 11 van deze verordening heeft geweigerd zich aan een door de Commissie op grond van artikel 13, lid 1, van Verordening (EG) nr. 139/2004 noodzakelijk geachte inspectie te onderwerpen of overeenkomstig artikel 13, lid 2, van die verordening aan die inspectie mee te werken;</w:t>
      </w:r>
    </w:p>
    <w:p w14:paraId="027B47C3" w14:textId="77777777" w:rsidR="00FD28D7" w:rsidRDefault="00FD28D7">
      <w:pPr>
        <w:pStyle w:val="Point0"/>
      </w:pPr>
      <w:r>
        <w:tab/>
        <w:t>(d)</w:t>
      </w:r>
      <w:r>
        <w:tab/>
        <w:t>de aanmeldende partijen hebben verzuimd de Commissie in kennis te stellen van substantiële veranderingen in de in de aanmelding vermelde feiten, of van nieuwe informatie als bedoeld in artikel 5, lid 3, van deze verordening.</w:t>
      </w:r>
    </w:p>
    <w:p w14:paraId="4E7CC2DB" w14:textId="77777777" w:rsidR="00FD28D7" w:rsidRDefault="00FD28D7">
      <w:r>
        <w:t>2.</w:t>
      </w:r>
      <w:r>
        <w:tab/>
        <w:t>De in artikel 9, lid 4, en artikel 10, leden 1 en 3, van Verordening (EG) nr. 139/2004 bedoelde termijnen worden opgeschort wanneer de Commissie een besluit overeenkomstig artikel 11, lid 3, van die verordening moet vaststellen, zonder eerst een eenvoudig informatieverzoek te doen, door omstandigheden die aan een van de bij de concentratie betrokken ondernemingen kunnen worden toegerekend.</w:t>
      </w:r>
    </w:p>
    <w:p w14:paraId="234C1C30" w14:textId="77777777" w:rsidR="00FD28D7" w:rsidRDefault="00FD28D7">
      <w:r>
        <w:t>3.</w:t>
      </w:r>
      <w:r>
        <w:tab/>
        <w:t>De in artikel 9, lid 4, en artikel 10, leden 1 en 3, van Verordening (EG) nr. 139/2004 bedoelde termijnen worden opgeschort:</w:t>
      </w:r>
    </w:p>
    <w:p w14:paraId="39E212A3" w14:textId="77777777" w:rsidR="00FD28D7" w:rsidRDefault="00FD28D7">
      <w:pPr>
        <w:pStyle w:val="Point0"/>
      </w:pPr>
      <w:r>
        <w:tab/>
        <w:t>(a)</w:t>
      </w:r>
      <w:r>
        <w:tab/>
        <w:t xml:space="preserve">in de in lid 1, punten a) en b), bedoelde gevallen, voor de periode tussen het verstrijken van de in het eenvoudig informatieverzoek gestelde termijn en de ontvangst van de bij besluit vereiste volledige en correcte informatie of het tijdstip </w:t>
      </w:r>
      <w:r>
        <w:lastRenderedPageBreak/>
        <w:t>waarop de Commissie de aanmeldende partijen ervan in kennis stelt dat de gevraagde informatie in het licht van de resultaten van haar lopende onderzoek of de marktontwikkelingen niet langer noodzakelijk is;</w:t>
      </w:r>
    </w:p>
    <w:p w14:paraId="30F1CFB5" w14:textId="77777777" w:rsidR="00FD28D7" w:rsidRDefault="00FD28D7">
      <w:pPr>
        <w:pStyle w:val="Point0"/>
      </w:pPr>
      <w:r>
        <w:tab/>
        <w:t>(b)</w:t>
      </w:r>
      <w:r>
        <w:tab/>
        <w:t>in de in lid 1, punt c), bedoelde gevallen, voor de periode tussen de vergeefse poging om de inspectie uit te voeren en de voltooiing van de bij besluit gelaste inspectie of het tijdstip waarop de Commissie de aanmeldende partijen ervan in kennis stelt dat de gelaste inspectie in het licht van de resultaten van haar lopende onderzoek of de marktontwikkelingen niet langer noodzakelijk is;</w:t>
      </w:r>
    </w:p>
    <w:p w14:paraId="47BA1A16" w14:textId="77777777" w:rsidR="00FD28D7" w:rsidRDefault="00FD28D7">
      <w:pPr>
        <w:pStyle w:val="Point0"/>
      </w:pPr>
      <w:r>
        <w:tab/>
        <w:t>(c)</w:t>
      </w:r>
      <w:r>
        <w:tab/>
        <w:t>in de in lid 1, punt d), bedoelde gevallen, voor de periode tussen het tijdstip waarop de verandering in de daarin vermelde feiten zich voordoet, en de ontvangst van de volledige en correcte informatie;</w:t>
      </w:r>
    </w:p>
    <w:p w14:paraId="498794D5" w14:textId="77777777" w:rsidR="00FD28D7" w:rsidRDefault="00FD28D7">
      <w:pPr>
        <w:pStyle w:val="Point0"/>
      </w:pPr>
      <w:r>
        <w:tab/>
        <w:t>(d)</w:t>
      </w:r>
      <w:r>
        <w:tab/>
        <w:t>in de in lid 2 bedoelde gevallen, voor de periode tussen het verstrijken van de in het eenvoudig informatieverzoek gestelde termijn en de ontvangst van de bij besluit vereiste volledige en correcte informatie of het tijdstip waarop de Commissie de aanmeldende partijen ervan in kennis stelt dat de gevraagde informatie in het licht van de resultaten van haar lopende onderzoek of de marktontwikkelingen niet langer noodzakelijk is.</w:t>
      </w:r>
    </w:p>
    <w:p w14:paraId="71659D39" w14:textId="77777777" w:rsidR="00FD28D7" w:rsidRDefault="00FD28D7">
      <w:r>
        <w:t>4.</w:t>
      </w:r>
      <w:r>
        <w:tab/>
        <w:t>De opschorting van de termijn gaat in op de werkdag volgend op de dag van de gebeurtenis die aanleiding gaf tot de opschorting. Zij verstrijkt op het einde van de dag waarop de reden voor de opschorting is weggevallen. Wanneer die dag geen werkdag is, verstrijkt de opschorting van de termijn op het einde van de volgende werkdag.</w:t>
      </w:r>
    </w:p>
    <w:p w14:paraId="624D787C" w14:textId="77777777" w:rsidR="00FD28D7" w:rsidRDefault="00FD28D7">
      <w:r>
        <w:t>5.</w:t>
      </w:r>
      <w:r>
        <w:tab/>
        <w:t>De Commissie verwerkt binnen een redelijke termijn alle gegevens die zij in het kader van haar onderzoek heeft ontvangen en op grond waarvan zij kan oordelen dat de gevraagde informatie of een gelaste inspectie in de zin van lid 3, punten a), b) en d), niet langer noodzakelijk is.</w:t>
      </w:r>
    </w:p>
    <w:p w14:paraId="511412B9" w14:textId="77777777" w:rsidR="00FD28D7" w:rsidRDefault="00FD28D7">
      <w:pPr>
        <w:pStyle w:val="Titrearticle"/>
      </w:pPr>
      <w:r>
        <w:t>Artikel 10</w:t>
      </w:r>
    </w:p>
    <w:p w14:paraId="0A1F2FB5" w14:textId="77777777" w:rsidR="00FD28D7" w:rsidRDefault="00FD28D7">
      <w:pPr>
        <w:pStyle w:val="NormalCentered"/>
        <w:rPr>
          <w:b/>
          <w:bCs/>
        </w:rPr>
      </w:pPr>
      <w:r>
        <w:rPr>
          <w:b/>
          <w:bCs/>
        </w:rPr>
        <w:t>Inachtneming van de termijnen</w:t>
      </w:r>
    </w:p>
    <w:p w14:paraId="6975E6D4" w14:textId="77777777" w:rsidR="00FD28D7" w:rsidRDefault="00FD28D7">
      <w:r>
        <w:t>1.</w:t>
      </w:r>
      <w:r>
        <w:tab/>
        <w:t>De in artikel 4, lid 4, vierde alinea, artikel 9, lid 4, artikel 10, leden 1 en 3, en artikel 22, lid 3, van Verordening (EG) nr. 139/2004 bedoelde termijnen worden geacht te zijn nageleefd indien de Commissie het besluit heeft genomen voordat de termijn verstrijkt.</w:t>
      </w:r>
    </w:p>
    <w:p w14:paraId="6B253612" w14:textId="77777777" w:rsidR="00FD28D7" w:rsidRDefault="00FD28D7">
      <w:r>
        <w:t>2.</w:t>
      </w:r>
      <w:r>
        <w:tab/>
        <w:t>De in artikel 4, lid 4, tweede alinea, artikel 4, lid 5, derde alinea, artikel 9, lid 2, artikel 22, lid 1, tweede alinea, en artikel 22, lid 2, tweede alinea, van Verordening (EG) nr. 139/2004 bedoelde termijnen worden geacht door de betrokken lidstaat te zijn nageleefd indien de lidstaat, voordat de termijn verstrijkt, de Commissie schriftelijk in kennis stelt of een schriftelijk verzoek indient dan wel zich daarbij aansluit, al naar gelang het geval.</w:t>
      </w:r>
    </w:p>
    <w:p w14:paraId="0D982F54" w14:textId="77777777" w:rsidR="00FD28D7" w:rsidRDefault="00FD28D7">
      <w:r>
        <w:t>3.</w:t>
      </w:r>
      <w:r>
        <w:tab/>
        <w:t>De in artikel 9, lid 6, van Verordening (EG) nr. 139/2004 bedoelde termijn wordt geacht te zijn nageleefd indien de bevoegde autoriteit van een betrokken lidstaat de betrokken onderneming overeenkomstig die bepaling in kennis stelt voordat de termijn verstrijkt.</w:t>
      </w:r>
    </w:p>
    <w:p w14:paraId="225C5474" w14:textId="77777777" w:rsidR="00FD28D7" w:rsidRDefault="00FD28D7">
      <w:pPr>
        <w:pStyle w:val="SectionTitle"/>
      </w:pPr>
      <w:r>
        <w:lastRenderedPageBreak/>
        <w:t>HOOFDSTUK IV</w:t>
      </w:r>
    </w:p>
    <w:p w14:paraId="4B209CB0" w14:textId="77777777" w:rsidR="00FD28D7" w:rsidRDefault="00FD28D7">
      <w:pPr>
        <w:pStyle w:val="SectionTitle"/>
      </w:pPr>
      <w:r>
        <w:t>UITOEFENING VAN HET RECHT TE WORDEN GEHOORD EN HOORZITTINGEN</w:t>
      </w:r>
    </w:p>
    <w:p w14:paraId="3D27EEC5" w14:textId="77777777" w:rsidR="00FD28D7" w:rsidRDefault="00FD28D7">
      <w:pPr>
        <w:pStyle w:val="Titrearticle"/>
      </w:pPr>
      <w:r>
        <w:t>Artikel 11</w:t>
      </w:r>
    </w:p>
    <w:p w14:paraId="3FFFC572" w14:textId="77777777" w:rsidR="00FD28D7" w:rsidRDefault="00FD28D7">
      <w:pPr>
        <w:pStyle w:val="NormalCentered"/>
        <w:rPr>
          <w:b/>
          <w:bCs/>
        </w:rPr>
      </w:pPr>
      <w:r>
        <w:rPr>
          <w:b/>
          <w:bCs/>
        </w:rPr>
        <w:t>Te horen partijen</w:t>
      </w:r>
    </w:p>
    <w:p w14:paraId="52468400" w14:textId="77777777" w:rsidR="00FD28D7" w:rsidRDefault="00FD28D7">
      <w:r>
        <w:t>Voor de toepassing van het recht te worden gehoord overeenkomstig artikel 18 van Verordening (EG) nr. 139/2004 worden de volgende partijen onderscheiden:</w:t>
      </w:r>
    </w:p>
    <w:p w14:paraId="7642C8D1" w14:textId="77777777" w:rsidR="00FD28D7" w:rsidRDefault="00FD28D7">
      <w:pPr>
        <w:pStyle w:val="Point0"/>
      </w:pPr>
      <w:r>
        <w:tab/>
        <w:t>(a)</w:t>
      </w:r>
      <w:r>
        <w:tab/>
        <w:t>de aanmeldende partijen, zijnde de personen of ondernemingen die overeenkomstig artikel 4, lid 2, van Verordening (EG) nr. 139/2004 een aanmelding indienen;</w:t>
      </w:r>
    </w:p>
    <w:p w14:paraId="7B1EEB70" w14:textId="77777777" w:rsidR="00FD28D7" w:rsidRDefault="00FD28D7">
      <w:pPr>
        <w:pStyle w:val="Point0"/>
      </w:pPr>
      <w:r>
        <w:tab/>
        <w:t>(b)</w:t>
      </w:r>
      <w:r>
        <w:tab/>
        <w:t>andere betrokkenen, zijnde andere partijen bij de voorgenomen concentratie dan de aanmeldende partijen, zoals de verkoper en de onderneming die het voorwerp van de concentratie is;</w:t>
      </w:r>
    </w:p>
    <w:p w14:paraId="6C3B2F15" w14:textId="77777777" w:rsidR="00FD28D7" w:rsidRDefault="00FD28D7">
      <w:pPr>
        <w:pStyle w:val="Point0"/>
      </w:pPr>
      <w:r>
        <w:tab/>
        <w:t>(c)</w:t>
      </w:r>
      <w:r>
        <w:tab/>
        <w:t>derden, zijnde natuurlijke personen of rechtspersonen, zoals afnemers, leveranciers en concurrenten, mits zij aantonen daarbij voldoende belang te hebben in de zin van artikel 18, lid 4, tweede zin, van Verordening (EG) nr. 139/2004, hetgeen in het bijzonder het geval is voor:</w:t>
      </w:r>
    </w:p>
    <w:p w14:paraId="358A1B29" w14:textId="77777777" w:rsidR="00FD28D7" w:rsidRDefault="00FD28D7">
      <w:pPr>
        <w:pStyle w:val="Point1"/>
      </w:pPr>
      <w:r>
        <w:tab/>
        <w:t>i)</w:t>
      </w:r>
      <w:r>
        <w:tab/>
        <w:t>leden van de bestuurs- of directieorganen van de betrokken ondernemingen of erkende vertegenwoordigers van de werknemers van deze ondernemingen;</w:t>
      </w:r>
    </w:p>
    <w:p w14:paraId="0E40C858" w14:textId="77777777" w:rsidR="00FD28D7" w:rsidRDefault="00FD28D7">
      <w:pPr>
        <w:pStyle w:val="Point1"/>
      </w:pPr>
      <w:r>
        <w:tab/>
        <w:t>ii)</w:t>
      </w:r>
      <w:r>
        <w:tab/>
        <w:t>consumentenorganisaties, wanneer de voorgenomen concentratie door eindgebruikers gebruikte producten of diensten betreft;</w:t>
      </w:r>
    </w:p>
    <w:p w14:paraId="66528047" w14:textId="77777777" w:rsidR="00FD28D7" w:rsidRDefault="00FD28D7">
      <w:pPr>
        <w:pStyle w:val="Point0"/>
      </w:pPr>
      <w:r>
        <w:tab/>
        <w:t>(d)</w:t>
      </w:r>
      <w:r>
        <w:tab/>
        <w:t>partijen ten aanzien waarvan de Commissie voornemens is een besluit op grond van artikel 14 of artikel 15 van Verordening (EG) nr. 139/2004 vast te stellen.</w:t>
      </w:r>
    </w:p>
    <w:p w14:paraId="0610195C" w14:textId="77777777" w:rsidR="00FD28D7" w:rsidRDefault="00FD28D7">
      <w:pPr>
        <w:pStyle w:val="Titrearticle"/>
      </w:pPr>
      <w:r>
        <w:t>Artikel 12</w:t>
      </w:r>
    </w:p>
    <w:p w14:paraId="32A991AD" w14:textId="77777777" w:rsidR="00FD28D7" w:rsidRDefault="00FD28D7">
      <w:pPr>
        <w:pStyle w:val="NormalCentered"/>
        <w:rPr>
          <w:b/>
          <w:bCs/>
        </w:rPr>
      </w:pPr>
      <w:r>
        <w:rPr>
          <w:b/>
          <w:bCs/>
        </w:rPr>
        <w:t>Besluiten tot opschorting van de totstandbrenging van concentraties</w:t>
      </w:r>
    </w:p>
    <w:p w14:paraId="2E46569E" w14:textId="77777777" w:rsidR="00FD28D7" w:rsidRDefault="00FD28D7">
      <w:r>
        <w:t>1.</w:t>
      </w:r>
      <w:r>
        <w:tab/>
        <w:t>Wanneer de Commissie voornemens is op grond van artikel 7, lid 3, van Verordening (EG) nr. 139/2004 een besluit vast te stellen dat voor een of meer van de partijen ongunstig is, doet zij de aanmeldende partijen en andere betrokkenen schriftelijk mededeling van haar bezwaren en stelt zij een termijn vast waarbinnen zij hun standpunt schriftelijk kenbaar kunnen maken.</w:t>
      </w:r>
    </w:p>
    <w:p w14:paraId="5B75AAC9" w14:textId="77777777" w:rsidR="00FD28D7" w:rsidRDefault="00FD28D7">
      <w:r>
        <w:t>2.</w:t>
      </w:r>
      <w:r>
        <w:tab/>
        <w:t xml:space="preserve">Wanneer de Commissie overeenkomstig artikel 18, lid 2, van Verordening (EG) nr. 139/2004 voorlopig een in lid 1 van dit artikel bedoeld besluit heeft vastgesteld zonder de aanmeldende partijen en andere betrokkenen in de gelegenheid te hebben gesteld hun </w:t>
      </w:r>
      <w:r>
        <w:lastRenderedPageBreak/>
        <w:t>standpunt kenbaar te maken, zendt zij hun onverwijld de tekst van het voorlopige besluit en stelt zij een termijn vast waarbinnen zij hun standpunt schriftelijk kenbaar kunnen maken.</w:t>
      </w:r>
    </w:p>
    <w:p w14:paraId="4C25D47C" w14:textId="77777777" w:rsidR="00FD28D7" w:rsidRDefault="00FD28D7">
      <w:r>
        <w:t>Zodra de aanmeldende partijen en andere betrokkenen hun standpunt kenbaar</w:t>
      </w:r>
      <w:r>
        <w:t xml:space="preserve"> hebben gemaakt, stelt de Commissie een eindbesluit vast waarbij zij het voorlopige besluit intrekt, wijzigt of bevestigt. Wanneer de aanmeldende partijen en andere betrokkenen hun standpunt niet binnen de vastgestelde termijn schriftelijk kenbaar maken, wordt het voorlopige besluit van de Commissie bij het verstrijken van deze termijn definitief.</w:t>
      </w:r>
    </w:p>
    <w:p w14:paraId="62556F5D" w14:textId="77777777" w:rsidR="00FD28D7" w:rsidRDefault="00FD28D7">
      <w:pPr>
        <w:pStyle w:val="Titrearticle"/>
      </w:pPr>
      <w:r>
        <w:t>Artikel 13</w:t>
      </w:r>
    </w:p>
    <w:p w14:paraId="029E2638" w14:textId="77777777" w:rsidR="00FD28D7" w:rsidRDefault="00FD28D7">
      <w:pPr>
        <w:pStyle w:val="NormalCentered"/>
        <w:rPr>
          <w:b/>
          <w:bCs/>
        </w:rPr>
      </w:pPr>
      <w:r>
        <w:rPr>
          <w:b/>
          <w:bCs/>
        </w:rPr>
        <w:t>Besluiten ten principale</w:t>
      </w:r>
    </w:p>
    <w:p w14:paraId="082CE73F" w14:textId="77777777" w:rsidR="00FD28D7" w:rsidRDefault="00FD28D7">
      <w:r>
        <w:t>1.</w:t>
      </w:r>
      <w:r>
        <w:tab/>
        <w:t>Wanneer de Commissie voornemens is een besluit op grond van artikel 6, lid 3, of artikel 8, leden 2 tot en met 6, van Verordening (EG) nr. 139/2004 vast te stellen, hoort zij de partijen overeenkomstig artikel 18, leden 1 en 3, van die verordening alvorens het Adviescomité te raadplegen.</w:t>
      </w:r>
    </w:p>
    <w:p w14:paraId="3DB01882" w14:textId="77777777" w:rsidR="00FD28D7" w:rsidRDefault="00FD28D7">
      <w:r>
        <w:t>Artikel 12, lid 2, van deze verordening is van overeenkomstige toepassing wanneer de Commissie op grond van artikel 8, lid 5, van Verordening (EG) nr. 139/2004 voorlopig een besluit heeft vastgesteld uit hoofde van artikel</w:t>
      </w:r>
      <w:r>
        <w:t> 18, lid 2, van die verordening.</w:t>
      </w:r>
    </w:p>
    <w:p w14:paraId="27A8FBAD" w14:textId="77777777" w:rsidR="00FD28D7" w:rsidRDefault="00FD28D7">
      <w:r>
        <w:t>2.</w:t>
      </w:r>
      <w:r>
        <w:tab/>
        <w:t>De Commissie doet de aanmeldende partijen in een mededeling van punten van bezwaar schriftelijk mededeling van haar bezwaren. Na het uitgaan van de mededeling van punten van bezwaar kan de Commissie een of meer aanvullende mededelingen van punten van bezwaar tot de aanmeldende partijen richten indien de Commissie nieuwe bezwaren wil aanvoeren of de intrinsieke aard van de eerder naar voren gebrachte bezwaren wil wijzigen.</w:t>
      </w:r>
    </w:p>
    <w:p w14:paraId="18CBD8D8" w14:textId="77777777" w:rsidR="00FD28D7" w:rsidRDefault="00FD28D7">
      <w:r>
        <w:t>De Commissie stelt in de mededeling van punten van bezwaar een termijn vast waarbinne</w:t>
      </w:r>
      <w:r>
        <w:t>n de aanmeldende partijen hun opmerkingen schriftelijk aan de Commissie kenbaar kunnen maken.</w:t>
      </w:r>
    </w:p>
    <w:p w14:paraId="5F4A8466" w14:textId="77777777" w:rsidR="00FD28D7" w:rsidRDefault="00FD28D7">
      <w:r>
        <w:t>De Commissie stelt de andere betrokken partijen schriftelijk in kennis van de in de eerste alinea bedoelde bezwaren en stelt een termijn vast waarbinnen die partijen de Commissie schriftelijk van hun opmerkingen op de hoogte kunnen brengen.</w:t>
      </w:r>
    </w:p>
    <w:p w14:paraId="48C62428" w14:textId="77777777" w:rsidR="00FD28D7" w:rsidRDefault="00FD28D7">
      <w:r>
        <w:t>De Commissie is niet verplicht rekening te houden met na het verstrijken van een door haar vastgestelde termijn ontvangen opmerkingen.</w:t>
      </w:r>
    </w:p>
    <w:p w14:paraId="7465E9F8" w14:textId="77777777" w:rsidR="00FD28D7" w:rsidRDefault="00FD28D7">
      <w:r>
        <w:t>3.</w:t>
      </w:r>
      <w:r>
        <w:tab/>
      </w:r>
      <w:r>
        <w:t>In hun schriftelijke opmerkingen kunnen de partijen tot wie de bezwaren zijn gericht of die van deze bezwaren in kennis zijn gesteld, alle hun bekende relevante feiten uiteenzetten en alle relevante documenten ter staving van de vermelde feiten bijvoegen. Zij kunnen ook voorstellen dat de Commissie personen hoort die deze feiten kunnen bevestigen. Zij delen hun opmerkingen aan de Commissie mee overeenkomstig artikel 22 en de instructies die de Commissie in het Publicatieblad van de Europese Unie heeft beken</w:t>
      </w:r>
      <w:r>
        <w:t>dgemaakt. De Commissie zendt de bevoegde autoriteiten van de lidstaten onverwijld een afschrift van deze schriftelijke opmerkingen.</w:t>
      </w:r>
    </w:p>
    <w:p w14:paraId="04CDCE53" w14:textId="77777777" w:rsidR="00FD28D7" w:rsidRDefault="00FD28D7">
      <w:r>
        <w:t>4.</w:t>
      </w:r>
      <w:r>
        <w:tab/>
        <w:t>Na het uitgaan van een mededeling van punten van bezwaar kan de Commissie een letter of facts tot de aanmeldende partijen richten, waarin zij hen op de hoogte brengt van aanvullende of nieuwe feiten of bewijzen die de Commissie wil gebruiken om reeds geformuleerde bezwaren te staven.</w:t>
      </w:r>
    </w:p>
    <w:p w14:paraId="66710A1C" w14:textId="77777777" w:rsidR="00FD28D7" w:rsidRDefault="00FD28D7">
      <w:r>
        <w:lastRenderedPageBreak/>
        <w:t>Bij het verzenden van een letter of facts stelt de Commissie een termijn vast waarbinnen de aanmeldende partijen haar hun opmerkingen schriftelijk kenbaar kunnen maken.</w:t>
      </w:r>
    </w:p>
    <w:p w14:paraId="199DCAB6" w14:textId="77777777" w:rsidR="00FD28D7" w:rsidRDefault="00FD28D7">
      <w:r>
        <w:t>5.</w:t>
      </w:r>
      <w:r>
        <w:tab/>
        <w:t>Wanneer de Commissie voornemens is een besluit op grond van artikel 14 of 15 van Verordening (EG) nr. 139/2004 vast te stellen, hoort zij overeenkomstig artikel 18, leden 1 en 3, van die verordening, alvorens het Adviescomité te raadplegen, de partijen tot wie zij voornemens is dat besluit te richten.</w:t>
      </w:r>
    </w:p>
    <w:p w14:paraId="5576693B" w14:textId="77777777" w:rsidR="00FD28D7" w:rsidRDefault="00FD28D7">
      <w:r>
        <w:t>De procedure van lid 2, eerste en tweede alinea, en de leden 3 en 4, is van overeenkomstige toepassing.</w:t>
      </w:r>
    </w:p>
    <w:p w14:paraId="3AAFD05B" w14:textId="77777777" w:rsidR="00FD28D7" w:rsidRDefault="00FD28D7">
      <w:pPr>
        <w:pStyle w:val="Titrearticle"/>
      </w:pPr>
      <w:r>
        <w:t>Artikel 14</w:t>
      </w:r>
    </w:p>
    <w:p w14:paraId="05D8F752" w14:textId="77777777" w:rsidR="00FD28D7" w:rsidRDefault="00FD28D7">
      <w:pPr>
        <w:pStyle w:val="NormalCentered"/>
        <w:rPr>
          <w:b/>
          <w:bCs/>
        </w:rPr>
      </w:pPr>
      <w:r>
        <w:rPr>
          <w:b/>
          <w:bCs/>
        </w:rPr>
        <w:t>Hoorzittingen</w:t>
      </w:r>
    </w:p>
    <w:p w14:paraId="6F94CA78" w14:textId="77777777" w:rsidR="00FD28D7" w:rsidRDefault="00FD28D7">
      <w:r>
        <w:t>1.</w:t>
      </w:r>
      <w:r>
        <w:tab/>
        <w:t>Wanneer de Commissie voornemens is een besluit vast te stellen op grond van artikel 6, lid 3, of artikel 8, leden 2 tot en met 6, van Verordening (EG) nr. 139/2004, stelt zij de aanmeldende partijen die daar in hun schriftelijke opmerkingen om hebben verzocht, in de gelegenheid tijdens een hoorzitting hun standpunt toe te lichten. Zij kan de aanmeldende partijen ook in andere stadia van de procedure in de gelegenheid stellen hun standpunt mondeling kenbaar te maken.</w:t>
      </w:r>
    </w:p>
    <w:p w14:paraId="3A285AF3" w14:textId="77777777" w:rsidR="00FD28D7" w:rsidRDefault="00FD28D7">
      <w:r>
        <w:t>2.</w:t>
      </w:r>
      <w:r>
        <w:tab/>
        <w:t>Wanneer de Commissie voornemens is een besluit vast te stellen op grond van artikel 6, lid 3, of artikel 8, leden 2 tot en met 6, van Verordening (EG) nr. 139/2004, stelt zij ook andere betrokkenen die daar in hun schriftelijke opmerkingen om hebben verzocht, in de gelegenheid tijdens een hoorzitting hun standpunt toe te lichten. Zij kan deze betrokkenen ook in andere stadia van de procedure in de gelegenheid stellen hun standpunt mondeling kenbaar te maken.</w:t>
      </w:r>
    </w:p>
    <w:p w14:paraId="3935F1C5" w14:textId="77777777" w:rsidR="00FD28D7" w:rsidRDefault="00FD28D7">
      <w:r>
        <w:t>3.</w:t>
      </w:r>
      <w:r>
        <w:tab/>
        <w:t>Wanneer de Commissie voornemens is een besluit vast te stellen op grond van artikel 14 of 15 van Verordening (EG) nr. 139/2004, stelt zij partijen aan wie zij voornemens is een geldboete of een dwangsom op te leggen, in de gelegenheid tijdens een hoorzitting hun standpunt toe te lichten, indien zij daar in hun schriftelijke opmerkingen om hebben verzocht. Zij kan deze partijen ook in andere stadia van de procedure in de gelegenheid stellen hun standpunt mondeling kenbaar te maken.</w:t>
      </w:r>
    </w:p>
    <w:p w14:paraId="6588F612" w14:textId="77777777" w:rsidR="00FD28D7" w:rsidRDefault="00FD28D7">
      <w:pPr>
        <w:pStyle w:val="Titrearticle"/>
      </w:pPr>
      <w:r>
        <w:t>Artikel 15</w:t>
      </w:r>
    </w:p>
    <w:p w14:paraId="5254F2C5" w14:textId="77777777" w:rsidR="00FD28D7" w:rsidRDefault="00FD28D7">
      <w:pPr>
        <w:pStyle w:val="NormalCentered"/>
        <w:rPr>
          <w:b/>
          <w:bCs/>
        </w:rPr>
      </w:pPr>
      <w:r>
        <w:rPr>
          <w:b/>
          <w:bCs/>
        </w:rPr>
        <w:t>Verloop van de hoorzitting</w:t>
      </w:r>
    </w:p>
    <w:p w14:paraId="1FF24E6E" w14:textId="77777777" w:rsidR="00FD28D7" w:rsidRDefault="00FD28D7">
      <w:r>
        <w:t>1.</w:t>
      </w:r>
      <w:r>
        <w:tab/>
        <w:t>De hoorzitting wordt door de raadadviseur-auditeur in volle onafhankelijkheid geleid.</w:t>
      </w:r>
    </w:p>
    <w:p w14:paraId="2DB783CA" w14:textId="77777777" w:rsidR="00FD28D7" w:rsidRDefault="00FD28D7">
      <w:r>
        <w:t>2.</w:t>
      </w:r>
      <w:r>
        <w:tab/>
        <w:t>De Commissie nodigt de personen die zij wil horen, uit om op de door haar bepaalde datum deel te nemen aan de hoorzitting.</w:t>
      </w:r>
    </w:p>
    <w:p w14:paraId="7447AE34" w14:textId="77777777" w:rsidR="00FD28D7" w:rsidRDefault="00FD28D7">
      <w:r>
        <w:t>3.</w:t>
      </w:r>
      <w:r>
        <w:tab/>
        <w:t>De Commissie nodigt de bevoegde autoriteiten van de lidstaten uit om aan hoorzittingen deel te nemen.</w:t>
      </w:r>
    </w:p>
    <w:p w14:paraId="7CF2E837" w14:textId="77777777" w:rsidR="00FD28D7" w:rsidRDefault="00FD28D7">
      <w:r>
        <w:t>4.</w:t>
      </w:r>
      <w:r>
        <w:tab/>
        <w:t xml:space="preserve">De uitgenodigde personen verschijnen in persoon of worden vertegenwoordigd door wettelijk of statutair daartoe gemachtigde vertegenwoordigers. Ondernemingen en </w:t>
      </w:r>
      <w:r>
        <w:lastRenderedPageBreak/>
        <w:t>ondernemersverenigingen mogen ook worden vertegenwoordigd door een naar behoren gemachtigd lid van hun vast personeel.</w:t>
      </w:r>
    </w:p>
    <w:p w14:paraId="0DC37268" w14:textId="77777777" w:rsidR="00FD28D7" w:rsidRDefault="00FD28D7">
      <w:r>
        <w:t>5.</w:t>
      </w:r>
      <w:r>
        <w:tab/>
        <w:t>Personen die door de Commissie worden gehoord, mogen zich laten bijstaan door hun juristen of door andere, door de raadadviseur-auditeur aanvaarde, gekwalificeerde en naar behoren gemachtigde personen.</w:t>
      </w:r>
    </w:p>
    <w:p w14:paraId="1E08ACF7" w14:textId="77777777" w:rsidR="00FD28D7" w:rsidRDefault="00FD28D7">
      <w:r>
        <w:t>6.</w:t>
      </w:r>
      <w:r>
        <w:tab/>
        <w:t>Hoorzittingen zijn niet openbaar. Eenieder kan afzonderlijk of in aanwezigheid van andere uitgenodigde personen worden gehoord, met inachtneming van het rechtmatige belang van de ondernemingen bij de bescherming van hun bedrijfsgeheimen en andere vertrouwelijke informatie.</w:t>
      </w:r>
    </w:p>
    <w:p w14:paraId="4DE04783" w14:textId="77777777" w:rsidR="00FD28D7" w:rsidRDefault="00FD28D7">
      <w:r>
        <w:t>7.</w:t>
      </w:r>
      <w:r>
        <w:tab/>
        <w:t>De raadadviseur-auditeur kan alle partijen in de zin van artikel 11, de diensten van de Commissie en de bevoegde autoriteiten van de lidstaten toestaan tijdens de hoorzitting vragen te stellen.</w:t>
      </w:r>
    </w:p>
    <w:p w14:paraId="302446E1" w14:textId="77777777" w:rsidR="00FD28D7" w:rsidRDefault="00FD28D7">
      <w:r>
        <w:t>8.</w:t>
      </w:r>
      <w:r>
        <w:tab/>
        <w:t>De raadadviseur-auditeur kan een voorbereidende vergadering met de partijen en de diensten van de Commissie beleggen om een efficiënte organisatie van de hoorzitting te vergemakkelijken.</w:t>
      </w:r>
    </w:p>
    <w:p w14:paraId="7ABFFADB" w14:textId="77777777" w:rsidR="00FD28D7" w:rsidRDefault="00FD28D7">
      <w:r>
        <w:t>9.</w:t>
      </w:r>
      <w:r>
        <w:tab/>
        <w:t>De verklaringen van eenieder die wordt gehoord, worden opgenomen. Desgevraagd wordt de opname van de hoorzitting beschikbaar gesteld aan de personen die deze hoorzitting hebben bijgewoond. Daarbij wordt rekening gehouden met het rechtmatige belang van de ondernemingen bij de bescherming van hun bedrijfsgeheimen en andere vertrouwelijke informatie.</w:t>
      </w:r>
    </w:p>
    <w:p w14:paraId="32078A96" w14:textId="77777777" w:rsidR="00FD28D7" w:rsidRDefault="00FD28D7">
      <w:pPr>
        <w:pStyle w:val="Titrearticle"/>
      </w:pPr>
      <w:r>
        <w:t>Artikel 16</w:t>
      </w:r>
    </w:p>
    <w:p w14:paraId="665C6D0A" w14:textId="77777777" w:rsidR="00FD28D7" w:rsidRDefault="00FD28D7">
      <w:pPr>
        <w:pStyle w:val="NormalCentered"/>
        <w:rPr>
          <w:b/>
          <w:bCs/>
        </w:rPr>
      </w:pPr>
      <w:r>
        <w:rPr>
          <w:b/>
          <w:bCs/>
        </w:rPr>
        <w:t>Het horen van derden</w:t>
      </w:r>
    </w:p>
    <w:p w14:paraId="02CFFC97" w14:textId="77777777" w:rsidR="00FD28D7" w:rsidRDefault="00FD28D7">
      <w:r>
        <w:t>1.</w:t>
      </w:r>
      <w:r>
        <w:tab/>
        <w:t>Indien derden verzoeken te worden gehoord, stelt de Commissie hen schriftelijk van de aard en het onderwerp van de procedure in kennis en stelt zij een termijn vast waarbinnen zij hun standpunt kenbaar kunnen maken.</w:t>
      </w:r>
    </w:p>
    <w:p w14:paraId="0019EC2D" w14:textId="77777777" w:rsidR="00FD28D7" w:rsidRDefault="00FD28D7">
      <w:r>
        <w:t>2.</w:t>
      </w:r>
      <w:r>
        <w:tab/>
        <w:t xml:space="preserve">Wanneer een mededeling van punten van bezwaar of een aanvullende mededeling van punten van bezwaar is uitgegaan, kan de Commissie derden een niet-vertrouwelijke versie van die mededeling toezenden of hen op een andere passende wijze op de hoogte brengen van de aard en het onderwerp van de procedure. Daartoe geven de aanmeldende partijen binnen vijf werkdagen na ontvangst van de mededeling van punten van bezwaar overeenkomstig artikel 18, lid 3, tweede en derde alinea, aan welke informatie in de punten van </w:t>
      </w:r>
      <w:r>
        <w:t>bezwaar zij als vertrouwelijk beschouwen. De Commissie verstrekt derden de niet-vertrouwelijke versie van de punten van bezwaar alleen voor gebruik in het kader van de desbetreffende procedure uit hoofde van Verordening (EG) nr. 139/2004. Derden aanvaarden deze gebruiksbeperking vóór ontvangst van de niet-vertrouwelijke versie van de punten van bezwaar.</w:t>
      </w:r>
    </w:p>
    <w:p w14:paraId="7D861A1E" w14:textId="77777777" w:rsidR="00FD28D7" w:rsidRDefault="00FD28D7">
      <w:r>
        <w:t>Indien er geen mededeling van punten van bezwaar is uitgegaan, is de Commissie niet verplicht de in lid 1 bedoelde derden informatie te verstrekken die verd</w:t>
      </w:r>
      <w:r>
        <w:t>er gaat dan de aard en het onderwerp van de procedure.</w:t>
      </w:r>
    </w:p>
    <w:p w14:paraId="1CA4E256" w14:textId="77777777" w:rsidR="00FD28D7" w:rsidRDefault="00FD28D7">
      <w:r>
        <w:t>3.</w:t>
      </w:r>
      <w:r>
        <w:tab/>
        <w:t xml:space="preserve">De in lid 1 bedoelde derden maken hun standpunt binnen de vastgestelde termijn schriftelijk kenbaar. De Commissie kan in voorkomend geval derden die daar in hun schriftelijke opmerkingen om hebben verzocht, in de gelegenheid stellen aan een hoorzitting </w:t>
      </w:r>
      <w:r>
        <w:lastRenderedPageBreak/>
        <w:t>deel te nemen. Zij kan ook in andere gevallen deze derden in de gelegenheid stellen hun standpunt mondeling kenbaar te maken.</w:t>
      </w:r>
    </w:p>
    <w:p w14:paraId="7C8BC64B" w14:textId="77777777" w:rsidR="00FD28D7" w:rsidRDefault="00FD28D7">
      <w:r>
        <w:t>4.</w:t>
      </w:r>
      <w:r>
        <w:tab/>
        <w:t>De Commissie kan andere natuurlijke personen of rechtspersonen verzoeken hun standpunt, zowel schriftelijk als mondeling, kenbaar te maken, onder meer tijdens een hoorzitting.</w:t>
      </w:r>
    </w:p>
    <w:p w14:paraId="19432F46" w14:textId="77777777" w:rsidR="00FD28D7" w:rsidRDefault="00FD28D7">
      <w:pPr>
        <w:pStyle w:val="SectionTitle"/>
      </w:pPr>
      <w:r>
        <w:t>HOOFDSTUK V</w:t>
      </w:r>
    </w:p>
    <w:p w14:paraId="41794601" w14:textId="77777777" w:rsidR="00FD28D7" w:rsidRDefault="00FD28D7">
      <w:pPr>
        <w:pStyle w:val="SectionTitle"/>
      </w:pPr>
      <w:r>
        <w:rPr>
          <w:i/>
          <w:iCs/>
        </w:rPr>
        <w:t>TOEGANG TOT HET DOSSIER EN BEHANDELING VAN VERTROUWELIJKE INFORMATIE</w:t>
      </w:r>
    </w:p>
    <w:p w14:paraId="647F6954" w14:textId="77777777" w:rsidR="00FD28D7" w:rsidRDefault="00FD28D7">
      <w:pPr>
        <w:pStyle w:val="Titrearticle"/>
      </w:pPr>
      <w:r>
        <w:t>Artikel 17</w:t>
      </w:r>
    </w:p>
    <w:p w14:paraId="06F8BAF9" w14:textId="77777777" w:rsidR="00FD28D7" w:rsidRDefault="00FD28D7">
      <w:pPr>
        <w:pStyle w:val="NormalCentered"/>
        <w:rPr>
          <w:b/>
          <w:bCs/>
        </w:rPr>
      </w:pPr>
      <w:r>
        <w:rPr>
          <w:b/>
          <w:bCs/>
        </w:rPr>
        <w:t>Toegang tot het dossier en gebruik van documenten</w:t>
      </w:r>
    </w:p>
    <w:p w14:paraId="0F2994D0" w14:textId="77777777" w:rsidR="00FD28D7" w:rsidRDefault="00FD28D7">
      <w:r>
        <w:t>1.</w:t>
      </w:r>
      <w:r>
        <w:tab/>
      </w:r>
      <w:r>
        <w:t>Op verzoek verleent de Commissie de partijen tot wie zij een mededeling van punten van bezwaar heeft gericht, toegang tot het dossier om hen in staat te stellen hun rechten van verweer uit te oefenen. De toegang wordt verleend nadat de Commissie de mededeling van punten van bezwaar ter kennis heeft gebracht van de aanmeldende partijen.</w:t>
      </w:r>
    </w:p>
    <w:p w14:paraId="493EA570" w14:textId="77777777" w:rsidR="00FD28D7" w:rsidRDefault="00FD28D7">
      <w:r>
        <w:t>2.</w:t>
      </w:r>
      <w:r>
        <w:tab/>
        <w:t>De Commissie verleent ook de andere betrokkenen die van de bezwaren in kennis zijn gesteld, desgevraagd toegang tot het dossier, voor zover dit nodig is om hun opmerkingen te kunnen voorbereiden.</w:t>
      </w:r>
    </w:p>
    <w:p w14:paraId="035D842C" w14:textId="77777777" w:rsidR="00FD28D7" w:rsidRDefault="00FD28D7">
      <w:r>
        <w:t>3.</w:t>
      </w:r>
      <w:r>
        <w:tab/>
        <w:t>Het recht van toegang tot het dossier geldt niet voor:</w:t>
      </w:r>
    </w:p>
    <w:p w14:paraId="35A42E3A" w14:textId="77777777" w:rsidR="00FD28D7" w:rsidRDefault="00FD28D7">
      <w:pPr>
        <w:pStyle w:val="Point0"/>
      </w:pPr>
      <w:r>
        <w:tab/>
        <w:t>(a)</w:t>
      </w:r>
      <w:r>
        <w:tab/>
        <w:t>vertrouwelijke informatie;</w:t>
      </w:r>
    </w:p>
    <w:p w14:paraId="768E4148" w14:textId="77777777" w:rsidR="00FD28D7" w:rsidRDefault="00FD28D7">
      <w:pPr>
        <w:pStyle w:val="Point0"/>
      </w:pPr>
      <w:r>
        <w:tab/>
        <w:t>(b)</w:t>
      </w:r>
      <w:r>
        <w:tab/>
        <w:t>interne documenten van de Commissie;</w:t>
      </w:r>
    </w:p>
    <w:p w14:paraId="4A6B5BAB" w14:textId="77777777" w:rsidR="00FD28D7" w:rsidRDefault="00FD28D7">
      <w:pPr>
        <w:pStyle w:val="Point0"/>
      </w:pPr>
      <w:r>
        <w:tab/>
        <w:t>(c)</w:t>
      </w:r>
      <w:r>
        <w:tab/>
        <w:t>interne documenten van de bevoegde autoriteiten van de lidstaten;</w:t>
      </w:r>
    </w:p>
    <w:p w14:paraId="13A89A59" w14:textId="77777777" w:rsidR="00FD28D7" w:rsidRDefault="00FD28D7">
      <w:pPr>
        <w:pStyle w:val="Point0"/>
      </w:pPr>
      <w:r>
        <w:tab/>
        <w:t>(d)</w:t>
      </w:r>
      <w:r>
        <w:tab/>
        <w:t>correspondentie tussen de Commissie en de bevoegde autoriteiten van de lidstaten;</w:t>
      </w:r>
    </w:p>
    <w:p w14:paraId="4635F909" w14:textId="77777777" w:rsidR="00FD28D7" w:rsidRDefault="00FD28D7">
      <w:pPr>
        <w:pStyle w:val="Point0"/>
      </w:pPr>
      <w:r>
        <w:tab/>
        <w:t>(e)</w:t>
      </w:r>
      <w:r>
        <w:tab/>
        <w:t>correspondentie tussen de bevoegde autoriteiten van de lidstaten, en</w:t>
      </w:r>
    </w:p>
    <w:p w14:paraId="1F9FAAA9" w14:textId="77777777" w:rsidR="00FD28D7" w:rsidRDefault="00FD28D7">
      <w:pPr>
        <w:pStyle w:val="Point0"/>
      </w:pPr>
      <w:r>
        <w:tab/>
        <w:t>(f)</w:t>
      </w:r>
      <w:r>
        <w:tab/>
        <w:t>correspondentie tussen de Commissie en andere mededingingsautoriteiten.</w:t>
      </w:r>
    </w:p>
    <w:p w14:paraId="4B62C772" w14:textId="77777777" w:rsidR="00FD28D7" w:rsidRDefault="00FD28D7">
      <w:r>
        <w:t>4.</w:t>
      </w:r>
      <w:r>
        <w:tab/>
        <w:t>Documenten die via toegang tot het dossier uit hoofde van dit artikel zijn verkregen, mogen slechts worden gebruikt ten behoeve van de betrokken procedure op grond van Verordening (EG) nr. 139/2004.</w:t>
      </w:r>
    </w:p>
    <w:p w14:paraId="278A4724" w14:textId="77777777" w:rsidR="00FD28D7" w:rsidRDefault="00FD28D7">
      <w:pPr>
        <w:pStyle w:val="Titrearticle"/>
      </w:pPr>
      <w:r>
        <w:t>Artikel 18</w:t>
      </w:r>
    </w:p>
    <w:p w14:paraId="7ED80B0A" w14:textId="77777777" w:rsidR="00FD28D7" w:rsidRDefault="00FD28D7">
      <w:pPr>
        <w:pStyle w:val="NormalCentered"/>
        <w:rPr>
          <w:b/>
          <w:bCs/>
        </w:rPr>
      </w:pPr>
      <w:r>
        <w:rPr>
          <w:b/>
          <w:bCs/>
        </w:rPr>
        <w:t>Behandeling van vertrouwelijke informatie</w:t>
      </w:r>
    </w:p>
    <w:p w14:paraId="412C6C1A" w14:textId="77777777" w:rsidR="00FD28D7" w:rsidRDefault="00FD28D7">
      <w:r>
        <w:t>1.</w:t>
      </w:r>
      <w:r>
        <w:tab/>
        <w:t>Informatie, met inbegrip van documenten, wordt door de Commissie niet meegedeeld of toegankelijk gemaakt voor zover:</w:t>
      </w:r>
    </w:p>
    <w:p w14:paraId="603C09D2" w14:textId="77777777" w:rsidR="00FD28D7" w:rsidRDefault="00FD28D7">
      <w:pPr>
        <w:pStyle w:val="Point0"/>
      </w:pPr>
      <w:r>
        <w:lastRenderedPageBreak/>
        <w:tab/>
        <w:t>(a)</w:t>
      </w:r>
      <w:r>
        <w:tab/>
        <w:t>die bedrijfsgeheimen of anderszins vertrouwelijke informatie bevat, en</w:t>
      </w:r>
    </w:p>
    <w:p w14:paraId="7A519819" w14:textId="77777777" w:rsidR="00FD28D7" w:rsidRDefault="00FD28D7">
      <w:pPr>
        <w:pStyle w:val="Point0"/>
      </w:pPr>
      <w:r>
        <w:tab/>
        <w:t>(b)</w:t>
      </w:r>
      <w:r>
        <w:tab/>
        <w:t>de openbaarmaking van de informatie door de Commissie niet noodzakelijk wordt geacht voor de procedure.</w:t>
      </w:r>
    </w:p>
    <w:p w14:paraId="2744FCFB" w14:textId="77777777" w:rsidR="00FD28D7" w:rsidRDefault="00FD28D7">
      <w:r>
        <w:t>2.</w:t>
      </w:r>
      <w:r>
        <w:tab/>
        <w:t xml:space="preserve">Personen, ondernemingen of ondernemersverenigingen die overeenkomstig de artikelen 12, 13 en 16 van deze verordening hun standpunten of opmerkingen kenbaar maken of die informatie verschaffen overeenkomstig artikel 11 van Verordening (EG) nr. 139/2004, of die nadien in de loop van diezelfde procedure informatie aan de Commissie verschaffen, geven de elementen die zij vertrouwelijk achten, onder opgave van redenen, duidelijk aan en verstrekken een afzonderlijke, niet-vertrouwelijke versie binnen de door de </w:t>
      </w:r>
      <w:r>
        <w:t>Commissie vastgestelde termijn.</w:t>
      </w:r>
    </w:p>
    <w:p w14:paraId="1CA9F371" w14:textId="77777777" w:rsidR="00FD28D7" w:rsidRDefault="00FD28D7">
      <w:r>
        <w:t>3.</w:t>
      </w:r>
      <w:r>
        <w:tab/>
        <w:t>Onverminderd lid 2 kan de Commissie van de in artikel 3 van Verordening (EG) nr. 139/2004 bedoelde personen, ondernemingen en ondernemersverenigingen verlangen dat zij in alle gevallen waarin zij documenten of verklaringen overeenkomstig Verordening (EG) nr. 139/2004 meedelen of hebben meegedeeld, de documenten of delen van documenten aangeven die volgens hen bedrijfsgeheimen of andere hun toebehorende vertrouwelijke informatie bevatten, en aangeven ten aanzien van welke ondernemingen die documenten als ve</w:t>
      </w:r>
      <w:r>
        <w:t>rtrouwelijk moeten worden beschouwd.</w:t>
      </w:r>
    </w:p>
    <w:p w14:paraId="3EECE9C0" w14:textId="77777777" w:rsidR="00FD28D7" w:rsidRDefault="00FD28D7">
      <w:r>
        <w:t>De Commissie kan ook van de in artikel 3 van Verordening (EG) nr. 139/2004 bedoelde personen, ondernemingen en ondernemersverenigingen verlangen dat zij aangeven welke delen van een mededeling van punten van bezwaar, van een samenvatting van een zaak of van een door de Commissie vastgesteld besluit volgens hen bedrijfsgeheimen bevatten.</w:t>
      </w:r>
    </w:p>
    <w:p w14:paraId="21D05154" w14:textId="77777777" w:rsidR="00FD28D7" w:rsidRDefault="00FD28D7">
      <w:r>
        <w:t>Wanneer informatie als bedrijfsgeheimen of andere vertrouwelijke informatie wordt aangemerkt, geven de personen, ondernemingen en ondernemersverenigingen de redenen daarvoor op en verstrekken zij een afzonderlijke, niet-vertrouwelijke versie binnen de door de Commissie vastgestelde termijn.</w:t>
      </w:r>
    </w:p>
    <w:p w14:paraId="4FCCD08B" w14:textId="77777777" w:rsidR="00FD28D7" w:rsidRDefault="00FD28D7">
      <w:r>
        <w:t>4.</w:t>
      </w:r>
      <w:r>
        <w:tab/>
        <w:t>Wanneer personen, ondernemingen of ondernemersverenigingen lid 2 of lid 3 niet naleven, mag de Commissie ervan uitgaan dat de betrokken documenten of verklaringen geen vertrouwelijke informatie bevatten.</w:t>
      </w:r>
    </w:p>
    <w:p w14:paraId="7F6933D7" w14:textId="77777777" w:rsidR="00FD28D7" w:rsidRDefault="00FD28D7">
      <w:pPr>
        <w:pStyle w:val="SectionTitle"/>
      </w:pPr>
      <w:r>
        <w:t>HOOFDSTUK VI</w:t>
      </w:r>
    </w:p>
    <w:p w14:paraId="01F6CD06" w14:textId="77777777" w:rsidR="00FD28D7" w:rsidRDefault="00FD28D7">
      <w:pPr>
        <w:pStyle w:val="SectionTitle"/>
      </w:pPr>
      <w:r>
        <w:rPr>
          <w:i/>
          <w:iCs/>
        </w:rPr>
        <w:t>DOOR DE BETROKKEN ONDERNEMINGEN AANGEBODEN VERBINTENISSEN</w:t>
      </w:r>
    </w:p>
    <w:p w14:paraId="742413DA" w14:textId="77777777" w:rsidR="00FD28D7" w:rsidRDefault="00FD28D7">
      <w:pPr>
        <w:pStyle w:val="Titrearticle"/>
      </w:pPr>
      <w:r>
        <w:t>Artikel 19</w:t>
      </w:r>
    </w:p>
    <w:p w14:paraId="271A86A3" w14:textId="77777777" w:rsidR="00FD28D7" w:rsidRDefault="00FD28D7">
      <w:pPr>
        <w:pStyle w:val="NormalCentered"/>
        <w:rPr>
          <w:b/>
          <w:bCs/>
        </w:rPr>
      </w:pPr>
      <w:r>
        <w:rPr>
          <w:b/>
          <w:bCs/>
        </w:rPr>
        <w:t>Termijnen voor de indiening van verbintenissen</w:t>
      </w:r>
    </w:p>
    <w:p w14:paraId="3FABF01C" w14:textId="77777777" w:rsidR="00FD28D7" w:rsidRDefault="00FD28D7">
      <w:r>
        <w:t>1.</w:t>
      </w:r>
      <w:r>
        <w:tab/>
        <w:t>De door de betrokken ondernemingen overeenkomstig artikel 6, lid 2, van Verordening (EG) nr. 139/2004 aangeboden verbintenissen worden binnen twintig werkdagen na de datum van ontvangst van de aanmelding bij de Commissie ingediend.</w:t>
      </w:r>
    </w:p>
    <w:p w14:paraId="4227344B" w14:textId="77777777" w:rsidR="00FD28D7" w:rsidRDefault="00FD28D7">
      <w:r>
        <w:lastRenderedPageBreak/>
        <w:t>2.</w:t>
      </w:r>
      <w:r>
        <w:tab/>
        <w:t>De door de betrokken ondernemingen overeenkomstig artikel 8, lid 2, van Verordening (EG) nr. 139/2004 aangeboden verbintenissen worden binnen 65 werkdagen na de dag waarop de procedure is ingeleid, bij de Commissie ingediend.</w:t>
      </w:r>
    </w:p>
    <w:p w14:paraId="750DFE14" w14:textId="77777777" w:rsidR="00FD28D7" w:rsidRDefault="00FD28D7">
      <w:r>
        <w:t xml:space="preserve">Wanneer de betrokken ondernemingen eerst verbintenissen aanbieden binnen 55 werkdagen na de dag waarop de procedure is ingeleid, maar 55 of meer werkdagen na die dag een gewijzigde versie van de verbintenissen indienen, worden de gewijzigde verbintenissen geacht nieuwe verbintenissen </w:t>
      </w:r>
      <w:r>
        <w:t>te zijn voor de toepassing van artikel 10, lid 3, tweede zin, van Verordening (EG) nr. 139/2004.</w:t>
      </w:r>
    </w:p>
    <w:p w14:paraId="34D9477E" w14:textId="77777777" w:rsidR="00FD28D7" w:rsidRDefault="00FD28D7">
      <w:r>
        <w:t>Wanneer overeenkomstig artikel 10, lid 3, tweede alinea, van Verordening (EG) nr. 139/2004 de periode voor het vaststellen van een besluit overeenkomstig artikel 8, leden 1, 2 en 3, wordt verlengd, wordt de termijn van 65 werkdagen voor het indienen van verbintenissen automatisch met hetzelfde aantal werkdagen verlengd.</w:t>
      </w:r>
    </w:p>
    <w:p w14:paraId="0E987AED" w14:textId="77777777" w:rsidR="00FD28D7" w:rsidRDefault="00FD28D7">
      <w:r>
        <w:t>In uitzonderlijke omstandigheden kan de Commissie ermee instemmen verbintenissen in overweging te nemen die na het verstrijken van de in dit artikel vastgestelde indieningstermijn zijn aangeboden. Bij haar beslissing of zij in dergelijke omstandigheden aangeboden verbintenissen in overweging neemt, houdt de Commissie er in het bijzonder rekening mee dat moet worden voldaan aan de vereisten van artikel 19, lid 5, van Verordening (EG) nr. 139/2004.</w:t>
      </w:r>
    </w:p>
    <w:p w14:paraId="0AB09AE3" w14:textId="77777777" w:rsidR="00FD28D7" w:rsidRDefault="00FD28D7">
      <w:r>
        <w:t>3.</w:t>
      </w:r>
      <w:r>
        <w:tab/>
        <w:t>De artikelen 7, 8 en 9 zijn van overeenkomstige toepassing.</w:t>
      </w:r>
    </w:p>
    <w:p w14:paraId="3432A033" w14:textId="77777777" w:rsidR="00FD28D7" w:rsidRDefault="00FD28D7">
      <w:pPr>
        <w:pStyle w:val="Titrearticle"/>
      </w:pPr>
      <w:r>
        <w:t>Artikel 20</w:t>
      </w:r>
    </w:p>
    <w:p w14:paraId="1538A50A" w14:textId="77777777" w:rsidR="00FD28D7" w:rsidRDefault="00FD28D7">
      <w:pPr>
        <w:pStyle w:val="NormalCentered"/>
        <w:rPr>
          <w:b/>
          <w:bCs/>
        </w:rPr>
      </w:pPr>
      <w:r>
        <w:rPr>
          <w:b/>
          <w:bCs/>
        </w:rPr>
        <w:t>Procedure voor het indienen van verbintenissen</w:t>
      </w:r>
    </w:p>
    <w:p w14:paraId="39202250" w14:textId="77777777" w:rsidR="00FD28D7" w:rsidRDefault="00FD28D7">
      <w:r>
        <w:t>1.</w:t>
      </w:r>
      <w:r>
        <w:tab/>
        <w:t>De door de betrokken ondernemingen overeenkomstig artikel 6, lid 2, of artikel 8, lid 2, van Verordening (EG) nr. 139/2004 aangeboden verbintenissen worden bij de Commissie ingediend in overeenstemming met artikel 22 en de instructies die de Commissie in het Publicatieblad van de Europese Unie heeft bekendgemaakt. De Commissie zendt deze verbintenissen onverwijld toe aan de bevoegde autoriteiten van de lidstaten.</w:t>
      </w:r>
    </w:p>
    <w:p w14:paraId="20D11AF3" w14:textId="77777777" w:rsidR="00FD28D7" w:rsidRDefault="00FD28D7">
      <w:r>
        <w:t>2.</w:t>
      </w:r>
      <w:r>
        <w:tab/>
        <w:t>Naast de vereisten van lid 1 dienen de betrokken ondernemingen, tegelijk met het aanbieden van verbintenissen overeenkomstig artikel 6, lid 2, of artikel 8, lid 2, van Verordening (EG) nr. 139/2004, de in het in bijlage IV bij deze verordening opgenomen formulier RM verlangde informatie in overeenkomstig artikel 22 en de instructies die de Commissie in het Publicatieblad van de Europese Unie heeft bekendgemaakt. De ingediende informatie is correct en volledig.</w:t>
      </w:r>
    </w:p>
    <w:p w14:paraId="1103A57C" w14:textId="77777777" w:rsidR="00FD28D7" w:rsidRDefault="00FD28D7">
      <w:r>
        <w:t>Artikel 4 is van overeenkomstige toepassing op</w:t>
      </w:r>
      <w:r>
        <w:t xml:space="preserve"> het formulier RM waarvan de overeenkomstig artikel 6, lid 2, of artikel 8, lid 2, van Verordening (EG) nr. 139/2004 aangeboden verbintenissen vergezeld gaan.</w:t>
      </w:r>
    </w:p>
    <w:p w14:paraId="53F04B48" w14:textId="77777777" w:rsidR="00FD28D7" w:rsidRDefault="00FD28D7">
      <w:r>
        <w:t>3.</w:t>
      </w:r>
      <w:r>
        <w:tab/>
        <w:t>Bij het aanbieden van verbintenissen overeenkomstig artikel 6, lid 2, of artikel 8, lid 2, van Verordening (EG) nr. 139/2004 geven de betrokken ondernemingen tegelijkertijd duidelijk de informatie aan die zij vertrouwelijk achten, onder opgave van redenen, en verstrekken een afzonderlijke, niet-vertrouwelijke versie.</w:t>
      </w:r>
    </w:p>
    <w:p w14:paraId="4484DCB4" w14:textId="77777777" w:rsidR="00FD28D7" w:rsidRDefault="00FD28D7">
      <w:r>
        <w:lastRenderedPageBreak/>
        <w:t>4.</w:t>
      </w:r>
      <w:r>
        <w:tab/>
        <w:t>Verbintenissen die overeenkomstig artikel 6, lid 2, of artikel 8, lid 2, van Verordening (EG) nr. 139/2004 worden aangeboden, worden ondertekend door de aanmeldende partijen en door alle andere betrokkenen aan wie door de verbintenissen verplichtingen worden opgelegd.</w:t>
      </w:r>
    </w:p>
    <w:p w14:paraId="3813AD2C" w14:textId="77777777" w:rsidR="00FD28D7" w:rsidRDefault="00FD28D7">
      <w:r>
        <w:t>5.</w:t>
      </w:r>
      <w:r>
        <w:tab/>
        <w:t xml:space="preserve">Na de vaststelling van een besluit overeenkomstig artikel 6, lid 2, of artikel 8, lid 2, van Verordening (EG) nr. 139/2004 wordt op de website van directoraat-generaal Concurrentie van de Commissie onverwijld een niet-vertrouwelijke versie van de verbintenissen bekendgemaakt. Daartoe verstrekken de aanmeldende partijen de Commissie binnen vijf werkdagen na de vaststelling van het in artikel 6, lid 2, of artikel 8, lid 2, van Verordening (EG) nr. 139/2004 bedoelde besluit een niet-vertrouwelijke versie van </w:t>
      </w:r>
      <w:r>
        <w:t>de verbintenissen.</w:t>
      </w:r>
    </w:p>
    <w:p w14:paraId="65E74B45" w14:textId="77777777" w:rsidR="00FD28D7" w:rsidRDefault="00FD28D7">
      <w:pPr>
        <w:pStyle w:val="Titrearticle"/>
      </w:pPr>
      <w:r>
        <w:t>Artikel 21</w:t>
      </w:r>
    </w:p>
    <w:p w14:paraId="753F918C" w14:textId="77777777" w:rsidR="00FD28D7" w:rsidRDefault="00FD28D7">
      <w:pPr>
        <w:pStyle w:val="NormalCentered"/>
        <w:rPr>
          <w:b/>
          <w:bCs/>
        </w:rPr>
      </w:pPr>
      <w:r>
        <w:rPr>
          <w:b/>
          <w:bCs/>
        </w:rPr>
        <w:t>Trustees</w:t>
      </w:r>
    </w:p>
    <w:p w14:paraId="22BF8EE3" w14:textId="77777777" w:rsidR="00FD28D7" w:rsidRDefault="00FD28D7">
      <w:r>
        <w:t>1.</w:t>
      </w:r>
      <w:r>
        <w:tab/>
        <w:t>De door de betrokken ondernemingen overeenkomstig artikel 6, lid 2, of artikel 8, lid 2, van Verordening (EG) nr. 139/2004 aangeboden verbintenissen kunnen de benoeming omvatten van een of meer onafhankelijke gevolmachtigden (</w:t>
      </w:r>
      <w:r>
        <w:t>“</w:t>
      </w:r>
      <w:r>
        <w:t>trustees</w:t>
      </w:r>
      <w:r>
        <w:t>”</w:t>
      </w:r>
      <w:r>
        <w:t>) op kosten van de betrokken ondernemingen die de Commissie bijstaan bij het toezicht op de inachtneming van de verbintenissen of de verbintenissen uitvoeren. De trustees kunnen worden benoemd door de partijen, na goedkeuring door de Commissie, of door de Commissie. De trustees voeren hun taken onder toezicht van de Commissie uit.</w:t>
      </w:r>
    </w:p>
    <w:p w14:paraId="29D96B04" w14:textId="77777777" w:rsidR="00FD28D7" w:rsidRDefault="00FD28D7">
      <w:r>
        <w:t>2.</w:t>
      </w:r>
      <w:r>
        <w:tab/>
        <w:t>De Commissie kan aan haar besluit uit hoofde van artikel 6, lid 2, of artikel 8, lid 2, van Verordening (EG) nr. 139/2004 voorwaarden of verplichtingen met betrekking tot de in lid 1 bedoelde trustees verbinden.</w:t>
      </w:r>
    </w:p>
    <w:p w14:paraId="14EB360C" w14:textId="77777777" w:rsidR="00FD28D7" w:rsidRDefault="00FD28D7">
      <w:pPr>
        <w:pStyle w:val="SectionTitle"/>
      </w:pPr>
      <w:r>
        <w:t>HOOFDSTUK VII</w:t>
      </w:r>
    </w:p>
    <w:p w14:paraId="1E8529AD" w14:textId="77777777" w:rsidR="00FD28D7" w:rsidRDefault="00FD28D7">
      <w:pPr>
        <w:pStyle w:val="SectionTitle"/>
      </w:pPr>
      <w:r>
        <w:rPr>
          <w:i/>
          <w:iCs/>
        </w:rPr>
        <w:t>DIVERSE BEPALINGEN</w:t>
      </w:r>
    </w:p>
    <w:p w14:paraId="759C97FA" w14:textId="77777777" w:rsidR="00FD28D7" w:rsidRDefault="00FD28D7">
      <w:pPr>
        <w:pStyle w:val="Titrearticle"/>
      </w:pPr>
      <w:r>
        <w:t>Artikel 22</w:t>
      </w:r>
    </w:p>
    <w:p w14:paraId="137F52A0" w14:textId="77777777" w:rsidR="00FD28D7" w:rsidRDefault="00FD28D7">
      <w:pPr>
        <w:pStyle w:val="NormalCentered"/>
        <w:rPr>
          <w:b/>
          <w:bCs/>
        </w:rPr>
      </w:pPr>
      <w:r>
        <w:rPr>
          <w:b/>
          <w:bCs/>
        </w:rPr>
        <w:t>Toezending en ondertekening van documenten</w:t>
      </w:r>
    </w:p>
    <w:p w14:paraId="169180E5" w14:textId="77777777" w:rsidR="00FD28D7" w:rsidRDefault="00FD28D7">
      <w:r>
        <w:t>1.</w:t>
      </w:r>
      <w:r>
        <w:tab/>
        <w:t>De toezending van documenten aan en door de Commissie gebeurt via digitale middelen, behalve wanneer de Commissie er bij wijze van uitzondering mee instemt dat andere, in de leden 6 en 7 genoemde middelen worden gebruikt.</w:t>
      </w:r>
    </w:p>
    <w:p w14:paraId="670A9094" w14:textId="77777777" w:rsidR="00FD28D7" w:rsidRDefault="00FD28D7">
      <w:r>
        <w:t>2.</w:t>
      </w:r>
      <w:r>
        <w:tab/>
        <w:t xml:space="preserve">Wanneer een handtekening vereist is, moeten de documenten die digitaal worden ingediend, worden ondertekend met ten minste één gekwalificeerde elektronische handtekening (QES) die voldoet aan de vereisten van Verordening (EU) nr. 910/2014 (de </w:t>
      </w:r>
      <w:r>
        <w:t>“</w:t>
      </w:r>
      <w:r>
        <w:t>eIDAS-verordening</w:t>
      </w:r>
      <w:r>
        <w:t>”</w:t>
      </w:r>
      <w:r>
        <w:t>)</w:t>
      </w:r>
      <w:r>
        <w:rPr>
          <w:rStyle w:val="FootnoteReference"/>
        </w:rPr>
        <w:footnoteReference w:id="1"/>
      </w:r>
      <w:r>
        <w:t xml:space="preserve"> en de toekomstige wijzigingen daarvan.</w:t>
      </w:r>
    </w:p>
    <w:p w14:paraId="1B59713C" w14:textId="77777777" w:rsidR="00FD28D7" w:rsidRDefault="00FD28D7">
      <w:r>
        <w:lastRenderedPageBreak/>
        <w:t>3.</w:t>
      </w:r>
      <w:r>
        <w:tab/>
        <w:t>Gedetailleerde technische specificaties betreffende de wijze van toezending en ondertekening worden bekendgemaakt in het Publicatieblad van de Europese Unie en beschikbaar gesteld op de website van directoraat-generaal Concurrentie van de Commissie.</w:t>
      </w:r>
    </w:p>
    <w:p w14:paraId="5159BAC0" w14:textId="77777777" w:rsidR="00FD28D7" w:rsidRDefault="00FD28D7">
      <w:r>
        <w:t>4.</w:t>
      </w:r>
      <w:r>
        <w:tab/>
        <w:t>Met uitzondering van de in de bijlagen I, II en III opgenomen formulieren worden alle documenten die op een werkdag elektronisch aan de Commissie worden toegezonden, geacht te zijn ontvangen op de dag van verzending, op voorwaarde dat er een automatische ontvangstbevestiging op het tijdstempel zichtbaar is ter bevestiging dat ze die dag zijn ontvangen. De in de bijlagen I, II en III opgenomen formulieren die op een werkdag elektronisch aan de Commissie worden toegezonden, worden geacht te zijn ontvangen op</w:t>
      </w:r>
      <w:r>
        <w:t xml:space="preserve"> de dag van verzending, op voorwaarde dat er een automatische ontvangstbevestiging op het tijdstempel zichtbaar is ter bevestiging dat ze die dag of tijdens de op de website van DG Concurrentie aangegeven openingstijden zijn ontvangen. De in de bijlagen I, II en III opgenomen formulieren die elektronisch aan de Commissie worden toegezonden op een werkdag na de op de website van DG Concurrentie aangegeven openingstijden, worden geacht te zijn ontvangen op de volgende werkdag. Alle documenten die buiten een w</w:t>
      </w:r>
      <w:r>
        <w:t>erkdag elektronisch aan de Commissie worden toegezonden, worden geacht te zijn ontvangen op de volgende werkdag.</w:t>
      </w:r>
    </w:p>
    <w:p w14:paraId="7A5E3B2D" w14:textId="77777777" w:rsidR="00FD28D7" w:rsidRDefault="00FD28D7">
      <w:r>
        <w:t>5.</w:t>
      </w:r>
      <w:r>
        <w:tab/>
        <w:t>Elektronisch aan de Commissie toegezonden documenten worden geacht niet te zijn ontvangen indien de documenten of delen daarvan:</w:t>
      </w:r>
    </w:p>
    <w:p w14:paraId="0C112EFA" w14:textId="77777777" w:rsidR="00FD28D7" w:rsidRDefault="00FD28D7">
      <w:pPr>
        <w:pStyle w:val="Point0"/>
      </w:pPr>
      <w:r>
        <w:tab/>
        <w:t>(a)</w:t>
      </w:r>
      <w:r>
        <w:tab/>
        <w:t>onbruikbaar (beschadigd) zijn;</w:t>
      </w:r>
    </w:p>
    <w:p w14:paraId="0A43E997" w14:textId="77777777" w:rsidR="00FD28D7" w:rsidRDefault="00FD28D7">
      <w:pPr>
        <w:pStyle w:val="Point0"/>
      </w:pPr>
      <w:r>
        <w:tab/>
        <w:t>(b)</w:t>
      </w:r>
      <w:r>
        <w:tab/>
        <w:t>virussen, malware of andere bedreigingen bevatten;</w:t>
      </w:r>
    </w:p>
    <w:p w14:paraId="6A65053E" w14:textId="77777777" w:rsidR="00FD28D7" w:rsidRDefault="00FD28D7">
      <w:pPr>
        <w:pStyle w:val="Point0"/>
      </w:pPr>
      <w:r>
        <w:tab/>
        <w:t>(c)</w:t>
      </w:r>
      <w:r>
        <w:tab/>
      </w:r>
      <w:r>
        <w:t>elektronische handtekeningen bevatten waarvan de geldigheid niet door de Commissie kan worden geverifieerd.</w:t>
      </w:r>
    </w:p>
    <w:p w14:paraId="40870EFD" w14:textId="77777777" w:rsidR="00FD28D7" w:rsidRDefault="00FD28D7">
      <w:r>
        <w:t>In die gevallen stelt de Commissie de afzender daarvan onverwijld in kennis.</w:t>
      </w:r>
    </w:p>
    <w:p w14:paraId="1856D63B" w14:textId="77777777" w:rsidR="00FD28D7" w:rsidRDefault="00FD28D7">
      <w:r>
        <w:t>6.</w:t>
      </w:r>
      <w:r>
        <w:tab/>
        <w:t>Documenten die per aangetekende post aan de Commissie worden toegezonden, worden geacht te zijn ontvangen op de dag van aankomst op het adres dat is bekendgemaakt in het Publicatieblad van de Europese Unie. Dit adres wordt ook vermeld op de website van directoraat-generaal Concurrentie van de Commissie.</w:t>
      </w:r>
    </w:p>
    <w:p w14:paraId="56655280" w14:textId="77777777" w:rsidR="00FD28D7" w:rsidRDefault="00FD28D7">
      <w:r>
        <w:t>7.</w:t>
      </w:r>
      <w:r>
        <w:tab/>
        <w:t>Documenten die persoonlijk bij de Commissie worden afgegeven, worden geacht te zijn ontvangen op de dag van aankomst op het adres dat is bekendgemaakt in het Publicatieblad van de Europese Unie, mits dit door de Commissie in een ontvangstbevestiging wordt bevestigd. Dit adres wordt ook vermeld op de website van directoraat-generaal Concurrentie van de Commissie.</w:t>
      </w:r>
    </w:p>
    <w:p w14:paraId="081AD3C4" w14:textId="77777777" w:rsidR="00FD28D7" w:rsidRDefault="00FD28D7">
      <w:pPr>
        <w:pStyle w:val="Titrearticle"/>
      </w:pPr>
      <w:r>
        <w:t>Artikel 23</w:t>
      </w:r>
    </w:p>
    <w:p w14:paraId="083AC2D3" w14:textId="77777777" w:rsidR="00FD28D7" w:rsidRDefault="00FD28D7">
      <w:pPr>
        <w:pStyle w:val="NormalCentered"/>
        <w:rPr>
          <w:b/>
          <w:bCs/>
        </w:rPr>
      </w:pPr>
      <w:r>
        <w:rPr>
          <w:b/>
          <w:bCs/>
        </w:rPr>
        <w:t>Vaststelling van termijnen</w:t>
      </w:r>
    </w:p>
    <w:p w14:paraId="5150CA1B" w14:textId="77777777" w:rsidR="00FD28D7" w:rsidRDefault="00FD28D7">
      <w:r>
        <w:t>1.</w:t>
      </w:r>
      <w:r>
        <w:tab/>
        <w:t>Bij de vaststelling van de in artikel 12, leden 1, en 2, artikel 13, lid 2, en artikel 16, lid 1, bedoelde termijnen houdt de Commissie rekening met de urgentie van de zaak en met de tijd die aanmeldende partijen, andere betrokkenen of derden nodig hebben om hun standpunten of opmerkingen op te stellen. De Commissie houdt ook rekening met de feestdagen in het land waar de aanmeldende partijen, de andere betrokkenen of de derden zijn gevestigd.</w:t>
      </w:r>
    </w:p>
    <w:p w14:paraId="23664327" w14:textId="77777777" w:rsidR="00FD28D7" w:rsidRDefault="00FD28D7">
      <w:r>
        <w:lastRenderedPageBreak/>
        <w:t>2.</w:t>
      </w:r>
      <w:r>
        <w:tab/>
        <w:t>Termijnen worden aangeduid met precieze kalenderdagen.</w:t>
      </w:r>
    </w:p>
    <w:p w14:paraId="252B04BD" w14:textId="77777777" w:rsidR="00FD28D7" w:rsidRDefault="00FD28D7">
      <w:pPr>
        <w:pStyle w:val="Titrearticle"/>
      </w:pPr>
      <w:r>
        <w:t>Artikel 24</w:t>
      </w:r>
    </w:p>
    <w:p w14:paraId="7E618AC4" w14:textId="77777777" w:rsidR="00FD28D7" w:rsidRDefault="00FD28D7">
      <w:pPr>
        <w:pStyle w:val="NormalCentered"/>
        <w:rPr>
          <w:b/>
          <w:bCs/>
        </w:rPr>
      </w:pPr>
      <w:r>
        <w:rPr>
          <w:b/>
          <w:bCs/>
        </w:rPr>
        <w:t>Werkdagen</w:t>
      </w:r>
    </w:p>
    <w:p w14:paraId="7F1585AC" w14:textId="77777777" w:rsidR="00FD28D7" w:rsidRDefault="00FD28D7">
      <w:r>
        <w:t xml:space="preserve">Onder </w:t>
      </w:r>
      <w:r>
        <w:t>“</w:t>
      </w:r>
      <w:r>
        <w:t>werkdagen</w:t>
      </w:r>
      <w:r>
        <w:t>”</w:t>
      </w:r>
      <w:r>
        <w:t xml:space="preserve"> wordt in Verordening (EG) nr. 139/2004 en in deze verordening verstaan, alle dagen met uitzondering van zaterdagen, zondagen en vakantiedagen van de Commissie zoals die vóór het begin van elk jaar in het Publicatieblad van de Europese Unie worden bekendgemaakt.</w:t>
      </w:r>
    </w:p>
    <w:p w14:paraId="77B61D14" w14:textId="77777777" w:rsidR="00FD28D7" w:rsidRDefault="00FD28D7">
      <w:pPr>
        <w:pStyle w:val="Titrearticle"/>
      </w:pPr>
      <w:r>
        <w:t>Artikel 25</w:t>
      </w:r>
    </w:p>
    <w:p w14:paraId="20868360" w14:textId="77777777" w:rsidR="00FD28D7" w:rsidRDefault="00FD28D7">
      <w:pPr>
        <w:pStyle w:val="NormalCentered"/>
        <w:rPr>
          <w:b/>
          <w:bCs/>
        </w:rPr>
      </w:pPr>
      <w:r>
        <w:rPr>
          <w:b/>
          <w:bCs/>
        </w:rPr>
        <w:t>Intrekking en overgangsbepalingen</w:t>
      </w:r>
    </w:p>
    <w:p w14:paraId="636ABE22" w14:textId="77777777" w:rsidR="00FD28D7" w:rsidRDefault="00FD28D7">
      <w:r>
        <w:t>1.</w:t>
      </w:r>
      <w:r>
        <w:tab/>
        <w:t>Onverminderd lid 2 wordt Verordening (EG) nr. 802/2004 met ingang van 1 september 2023 ingetrokken.</w:t>
      </w:r>
    </w:p>
    <w:p w14:paraId="110D0A67" w14:textId="77777777" w:rsidR="00FD28D7" w:rsidRDefault="00FD28D7">
      <w:r>
        <w:t>Verwijzingen naar de ingetrokken verordening gelden als verwijzingen naar deze verordening.</w:t>
      </w:r>
    </w:p>
    <w:p w14:paraId="3C54C20C" w14:textId="77777777" w:rsidR="00FD28D7" w:rsidRDefault="00FD28D7">
      <w:r>
        <w:t>2.</w:t>
      </w:r>
      <w:r>
        <w:tab/>
        <w:t>Verordening (EG) nr. 802/2004 blijft van toepassing op concentraties die binnen het toepassingsgebied van Verordening (EG) nr. 139/2004 vallen en zijn aangemeld op of vóór 31 augustus 2023.</w:t>
      </w:r>
    </w:p>
    <w:p w14:paraId="1AA51BC8" w14:textId="77777777" w:rsidR="00FD28D7" w:rsidRDefault="00FD28D7">
      <w:pPr>
        <w:pStyle w:val="Titrearticle"/>
      </w:pPr>
      <w:r>
        <w:t>Artikel 26</w:t>
      </w:r>
    </w:p>
    <w:p w14:paraId="4B277DD4" w14:textId="77777777" w:rsidR="00FD28D7" w:rsidRDefault="00FD28D7">
      <w:pPr>
        <w:pStyle w:val="NormalCentered"/>
        <w:rPr>
          <w:b/>
          <w:bCs/>
        </w:rPr>
      </w:pPr>
      <w:r>
        <w:rPr>
          <w:b/>
          <w:bCs/>
        </w:rPr>
        <w:t>Inwerkingtreding</w:t>
      </w:r>
    </w:p>
    <w:p w14:paraId="4513145E" w14:textId="77777777" w:rsidR="00FD28D7" w:rsidRDefault="00FD28D7">
      <w:r>
        <w:t>Deze verordening treedt in werking op 1 september 2023.</w:t>
      </w:r>
    </w:p>
    <w:p w14:paraId="080138A3" w14:textId="77777777" w:rsidR="00FD28D7" w:rsidRDefault="00FD28D7">
      <w:pPr>
        <w:pStyle w:val="Applicationdirecte"/>
      </w:pPr>
      <w:r>
        <w:t>Deze verordening is verbindend in al haar onderdelen en is rechtstreeks toepasselijk in elke lidstaat.</w:t>
      </w:r>
    </w:p>
    <w:p w14:paraId="31E67A91" w14:textId="77777777" w:rsidR="00FD28D7" w:rsidRDefault="00FD28D7">
      <w:pPr>
        <w:adjustRightInd w:val="0"/>
        <w:spacing w:before="0" w:after="0"/>
        <w:jc w:val="left"/>
        <w:rPr>
          <w:lang w:val="en-US"/>
        </w:rPr>
        <w:sectPr w:rsidR="00000000">
          <w:footerReference w:type="default" r:id="rId7"/>
          <w:pgSz w:w="11906" w:h="16838"/>
          <w:pgMar w:top="1134" w:right="1418" w:bottom="1134" w:left="1418" w:header="709" w:footer="709" w:gutter="0"/>
          <w:pgNumType w:start="0"/>
          <w:cols w:space="709"/>
        </w:sectPr>
      </w:pPr>
    </w:p>
    <w:p w14:paraId="2D4DE104" w14:textId="77777777" w:rsidR="00FD28D7" w:rsidRDefault="00FD28D7">
      <w:pPr>
        <w:pStyle w:val="Annexetitreacte"/>
      </w:pPr>
      <w:r>
        <w:lastRenderedPageBreak/>
        <w:t>BIJLAGE IV</w:t>
      </w:r>
    </w:p>
    <w:p w14:paraId="1FBE2967" w14:textId="77777777" w:rsidR="00FD28D7" w:rsidRDefault="00FD28D7">
      <w:pPr>
        <w:pStyle w:val="NormalCentered"/>
        <w:rPr>
          <w:b/>
          <w:bCs/>
        </w:rPr>
      </w:pPr>
      <w:r>
        <w:rPr>
          <w:b/>
          <w:bCs/>
        </w:rPr>
        <w:t>FORMULIER BETREFFENDE INFORMATIE OVER OVEREENKOMSTIG ARTIKEL 6, LID 2, EN ARTIKEL 8, LID 2, VAN VERORDENING (EG) NR. 139/2004 VAN DE RAAD INGEDIENDE VERBINTENISSEN</w:t>
      </w:r>
    </w:p>
    <w:p w14:paraId="5D470AD0" w14:textId="77777777" w:rsidR="00FD28D7" w:rsidRDefault="00FD28D7">
      <w:pPr>
        <w:pStyle w:val="NormalCentered"/>
        <w:rPr>
          <w:b/>
          <w:bCs/>
        </w:rPr>
      </w:pPr>
      <w:r>
        <w:rPr>
          <w:b/>
          <w:bCs/>
        </w:rPr>
        <w:t>(FORMULIER RM)</w:t>
      </w:r>
    </w:p>
    <w:p w14:paraId="0976C8D3" w14:textId="77777777" w:rsidR="00FD28D7" w:rsidRDefault="00FD28D7" w:rsidP="00960D28">
      <w:pPr>
        <w:pStyle w:val="ManualHeading1"/>
        <w:numPr>
          <w:ilvl w:val="0"/>
          <w:numId w:val="0"/>
        </w:numPr>
        <w:ind w:left="851" w:hanging="851"/>
      </w:pPr>
      <w:r>
        <w:t>INLEIDING</w:t>
      </w:r>
    </w:p>
    <w:p w14:paraId="2D02F269" w14:textId="77777777" w:rsidR="00FD28D7" w:rsidRDefault="00FD28D7">
      <w:r>
        <w:t>(1)</w:t>
      </w:r>
      <w:r>
        <w:tab/>
        <w:t>Dit formulier geeft aan welke gegevens en documenten de betrokken ondernemingen moeten indienen wanneer zij verbintenissen aanbieden overeenkomstig artikel 6, lid 2, of artikel 8, lid 2, van Verordening (EG) nr. 139/2004</w:t>
      </w:r>
      <w:r>
        <w:rPr>
          <w:rStyle w:val="FootnoteReference"/>
        </w:rPr>
        <w:footnoteReference w:id="2"/>
      </w:r>
      <w:r>
        <w:t>. De Commissie heeft de verlangde gegevens nodig om te kunnen nagaan of de concentratie, dankzij de verbintenissen, met de interne markt verenigbaar kan worden verklaard, doordat die verbintenissen beletten dat de daadwerkelijke mededinging op significante wijze wordt belemmerd. De hoeveelheid verlangde informatie varieert naargelang het type en de structuur van de voorgestelde corrigerende maatregel. Zo zijn bijvoorbeeld voor corrigerende maatregelen in de vorm van een afsplitsing doorgaans gedetailleerder</w:t>
      </w:r>
      <w:r>
        <w:t>e gegevens nodig dan bij afstoting van zelfstandig functionerende bedrijfsonderdelen.</w:t>
      </w:r>
    </w:p>
    <w:p w14:paraId="651A82FB" w14:textId="77777777" w:rsidR="00FD28D7" w:rsidRDefault="00FD28D7">
      <w:r>
        <w:t>(2)</w:t>
      </w:r>
      <w:r>
        <w:tab/>
        <w:t>De in het formulier RM gevraagde informatie moet worden verstrekt in de juiste rubriek van dat formulier en moet correct en volledig zijn.</w:t>
      </w:r>
    </w:p>
    <w:p w14:paraId="451FB30C" w14:textId="77777777" w:rsidR="00FD28D7" w:rsidRDefault="00FD28D7">
      <w:r>
        <w:t>(3)</w:t>
      </w:r>
      <w:r>
        <w:tab/>
        <w:t>Overeenkomstig artikel 5, lid 4, en artikel 6, lid 2, van Uitvoeringsverordening (EU) 2023/914 van de Commissie tot uitvoering van Verordening (EG) nr. 139/2004 van de Raad betreffende de controle op concentraties van ondernemingen</w:t>
      </w:r>
      <w:r>
        <w:rPr>
          <w:rStyle w:val="FootnoteReference"/>
        </w:rPr>
        <w:footnoteReference w:id="3"/>
      </w:r>
      <w:r>
        <w:t xml:space="preserve"> (</w:t>
      </w:r>
      <w:r>
        <w:t>“</w:t>
      </w:r>
      <w:r>
        <w:t>de uitvoeringsverordening</w:t>
      </w:r>
      <w:r>
        <w:t>”</w:t>
      </w:r>
      <w:r>
        <w:t>) zal onjuiste of misleidende informatie in formulier RM met onvolledige informatie worden gelijkgesteld.</w:t>
      </w:r>
    </w:p>
    <w:p w14:paraId="6C24A15B" w14:textId="77777777" w:rsidR="00FD28D7" w:rsidRDefault="00FD28D7">
      <w:r>
        <w:t>(4)</w:t>
      </w:r>
      <w:r>
        <w:tab/>
        <w:t>Volgens artikel 14, lid 1, punt a), van de concentratieverordening kunnen aan partijen die een kennisgeving doen en die, opzettelijk of uit onachtzaamheid, onjuiste of misleidende informatie verstrekken, geldboeten tot 1 % van de totale omzet van de betrokken onderneming worden opgelegd.</w:t>
      </w:r>
    </w:p>
    <w:p w14:paraId="544F23A2" w14:textId="77777777" w:rsidR="00FD28D7" w:rsidRDefault="00FD28D7">
      <w:r>
        <w:t>(5)</w:t>
      </w:r>
      <w:r>
        <w:tab/>
        <w:t>De Commissie kan, overeenkomstig artikel 6, lid 3, punt a), en artikel 8, lid 6, punt a), van de concentratieverordening, haar besluit waarbij een aangemelde concentratie verenigbaar werd verklaard, intrekken wanneer dit berust op onjuiste informatie waarvoor een van de partijen bij de concentratie verantwoordelijk is.</w:t>
      </w:r>
    </w:p>
    <w:p w14:paraId="7B16D630" w14:textId="77777777" w:rsidR="00FD28D7" w:rsidRDefault="00FD28D7">
      <w:r>
        <w:t>(6)</w:t>
      </w:r>
      <w:r>
        <w:tab/>
        <w:t>Overeenkomstig artikel 4, lid 2, en artikel 20, lid 2, van de uitvoeringsverordening kan de Commissie u ontheffing verlenen van de verplichting om op het formulier RM bepaalde informatie (of bepaalde documenten) te verstrekken. De Commissie kan u ook ontheffing verlenen voor andere eisen indien zij van mening is dat de naleving van die verplichtingen of eisen niet noodzakelijk is voor het onderzoek van de zaak. In dat geval kunnen de kennisgevende partijen de Commissie verzoeken hen te ontheffen van de ver</w:t>
      </w:r>
      <w:r>
        <w:t xml:space="preserve">plichting de desbetreffende informatie te verstrekken of van andere eisen in het formulier RM met betrekking tot die informatie. De Commissie staat open voor voorafgaand overleg met de partijen over dergelijke verzoeken. </w:t>
      </w:r>
    </w:p>
    <w:p w14:paraId="3623F58F" w14:textId="77777777" w:rsidR="00FD28D7" w:rsidRDefault="00FD28D7">
      <w:r>
        <w:t>Persoonsgegevens die in dit formulier RM worden verstrekt, zullen worden verwerkt overeenkomstig Verordening (EU) 2018/1725 van het Europees Parlement en de Raad</w:t>
      </w:r>
      <w:r>
        <w:rPr>
          <w:rStyle w:val="FootnoteReference"/>
        </w:rPr>
        <w:footnoteReference w:id="4"/>
      </w:r>
      <w:r>
        <w:t>.</w:t>
      </w:r>
    </w:p>
    <w:p w14:paraId="1C904E30" w14:textId="77777777" w:rsidR="00FD28D7" w:rsidRDefault="00FD28D7">
      <w:r>
        <w:t xml:space="preserve">Het formulier RM moet worden ondertekend door personen die rechtens gemachtigd zijn om te handelen namens elk van de aanmeldende partijen en/of namens een andere partij die de verbintenissen ondertekent of door een of meer daartoe gemachtigde externe vertegenwoordigers van de aanmeldende partij(en) en/of een andere partij die de verbintenissen ondertekent. De technische specificaties en instructies betreffende handtekeningen zullen van tijd tot tijd in het </w:t>
      </w:r>
      <w:r>
        <w:rPr>
          <w:i/>
          <w:iCs/>
        </w:rPr>
        <w:t>Publicatieblad van de Europese Unie</w:t>
      </w:r>
      <w:r>
        <w:t xml:space="preserve"> worden bekendgemaakt.</w:t>
      </w:r>
    </w:p>
    <w:p w14:paraId="671435BE" w14:textId="77777777" w:rsidR="00FD28D7" w:rsidRDefault="00FD28D7" w:rsidP="00960D28">
      <w:pPr>
        <w:pStyle w:val="ManualHeading1"/>
        <w:numPr>
          <w:ilvl w:val="0"/>
          <w:numId w:val="0"/>
        </w:numPr>
        <w:ind w:left="851" w:hanging="851"/>
      </w:pPr>
      <w:r>
        <w:t>RUBRIEK 1</w:t>
      </w:r>
    </w:p>
    <w:p w14:paraId="0D5E9D9B" w14:textId="77777777" w:rsidR="00FD28D7" w:rsidRDefault="00FD28D7" w:rsidP="00960D28">
      <w:pPr>
        <w:pStyle w:val="ManualHeading2"/>
        <w:numPr>
          <w:ilvl w:val="0"/>
          <w:numId w:val="0"/>
        </w:numPr>
        <w:ind w:left="851" w:hanging="851"/>
      </w:pPr>
      <w:r>
        <w:rPr>
          <w:i/>
          <w:iCs/>
        </w:rPr>
        <w:t>SAMENVATTING VAN DE VERBINTENISSEN</w:t>
      </w:r>
    </w:p>
    <w:p w14:paraId="01D10626" w14:textId="77777777" w:rsidR="00FD28D7" w:rsidRDefault="00FD28D7">
      <w:r>
        <w:t>1.</w:t>
      </w:r>
      <w:r>
        <w:tab/>
        <w:t>Geef een niet-vertrouwelijke samenvatting van de aard en omvang van de aangeboden verbintenissen. De Commissie kan deze samenvatting gebruiken om voor de aangeboden verbintenissen een markttest bij derden uit te voeren.</w:t>
      </w:r>
    </w:p>
    <w:p w14:paraId="4AE5942E" w14:textId="77777777" w:rsidR="00FD28D7" w:rsidRDefault="00FD28D7" w:rsidP="00960D28">
      <w:pPr>
        <w:pStyle w:val="ManualHeading1"/>
        <w:numPr>
          <w:ilvl w:val="0"/>
          <w:numId w:val="0"/>
        </w:numPr>
        <w:ind w:left="851" w:hanging="851"/>
      </w:pPr>
      <w:r>
        <w:t>RUBRIEK 2</w:t>
      </w:r>
    </w:p>
    <w:p w14:paraId="64728147" w14:textId="77777777" w:rsidR="00FD28D7" w:rsidRDefault="00FD28D7" w:rsidP="00960D28">
      <w:pPr>
        <w:pStyle w:val="ManualHeading2"/>
        <w:numPr>
          <w:ilvl w:val="0"/>
          <w:numId w:val="0"/>
        </w:numPr>
        <w:ind w:left="851" w:hanging="851"/>
      </w:pPr>
      <w:r>
        <w:rPr>
          <w:i/>
          <w:iCs/>
        </w:rPr>
        <w:t>ZIJN DE VERBINTENISSEN GESCHIKT OM MEDEDINGINGSBEZWAREN WEG TE NEMEN?</w:t>
      </w:r>
    </w:p>
    <w:p w14:paraId="17D66619" w14:textId="77777777" w:rsidR="00FD28D7" w:rsidRDefault="00FD28D7">
      <w:r>
        <w:t>2.</w:t>
      </w:r>
      <w:r>
        <w:tab/>
        <w:t>Verstrek informatie waaruit blijkt dat de aangeboden verbintenissen geschikt zijn om de door de Commissie vastgestelde significante belemmering van een daadwerkelijke mededinging weg te nemen.</w:t>
      </w:r>
    </w:p>
    <w:p w14:paraId="171796BD" w14:textId="77777777" w:rsidR="00FD28D7" w:rsidRDefault="00FD28D7" w:rsidP="00960D28">
      <w:pPr>
        <w:pStyle w:val="ManualHeading1"/>
        <w:numPr>
          <w:ilvl w:val="0"/>
          <w:numId w:val="0"/>
        </w:numPr>
        <w:ind w:left="851" w:hanging="851"/>
      </w:pPr>
      <w:r>
        <w:t>RUBRIEK 3</w:t>
      </w:r>
    </w:p>
    <w:p w14:paraId="7EFE9956" w14:textId="77777777" w:rsidR="00FD28D7" w:rsidRDefault="00FD28D7" w:rsidP="00960D28">
      <w:pPr>
        <w:pStyle w:val="ManualHeading2"/>
        <w:numPr>
          <w:ilvl w:val="0"/>
          <w:numId w:val="0"/>
        </w:numPr>
        <w:ind w:left="851" w:hanging="851"/>
      </w:pPr>
      <w:r>
        <w:rPr>
          <w:i/>
          <w:iCs/>
        </w:rPr>
        <w:t>AFWIJKING VAN MODELTEKSTEN</w:t>
      </w:r>
    </w:p>
    <w:p w14:paraId="084D7FCB" w14:textId="77777777" w:rsidR="00FD28D7" w:rsidRDefault="00FD28D7">
      <w:r>
        <w:t>3.</w:t>
      </w:r>
      <w:r>
        <w:tab/>
        <w:t>Verstrek een bijlage waarin u eventuele afwijkingen aangeeft van de aangeboden verbintenissen ten opzichte van de tekst met geactualiseerde modelverbintenissen die op de website van DG COMP is bekendgemaakt.</w:t>
      </w:r>
    </w:p>
    <w:p w14:paraId="202C327D" w14:textId="77777777" w:rsidR="00FD28D7" w:rsidRDefault="00FD28D7" w:rsidP="00960D28">
      <w:pPr>
        <w:pStyle w:val="ManualHeading1"/>
        <w:numPr>
          <w:ilvl w:val="0"/>
          <w:numId w:val="0"/>
        </w:numPr>
        <w:ind w:left="851" w:hanging="851"/>
      </w:pPr>
      <w:r>
        <w:t>RUBRIEK 4</w:t>
      </w:r>
    </w:p>
    <w:p w14:paraId="5A99B189" w14:textId="77777777" w:rsidR="00FD28D7" w:rsidRDefault="00FD28D7" w:rsidP="00960D28">
      <w:pPr>
        <w:pStyle w:val="ManualHeading2"/>
        <w:numPr>
          <w:ilvl w:val="0"/>
          <w:numId w:val="0"/>
        </w:numPr>
        <w:ind w:left="851" w:hanging="851"/>
      </w:pPr>
      <w:r>
        <w:rPr>
          <w:i/>
          <w:iCs/>
        </w:rPr>
        <w:t>GEGEVENS OVER EEN AF TE STOTEN BEDRIJFSONDERDEEL</w:t>
      </w:r>
    </w:p>
    <w:p w14:paraId="553CC396" w14:textId="77777777" w:rsidR="00FD28D7" w:rsidRDefault="00FD28D7">
      <w:r>
        <w:t>4.</w:t>
      </w:r>
      <w:r>
        <w:tab/>
        <w:t>Bestaan de aangeboden verbintenissen in de afstoting van een bedrijfsonderdeel, verstrek dan de volgende informatie en documenten.</w:t>
      </w:r>
    </w:p>
    <w:p w14:paraId="17284423" w14:textId="77777777" w:rsidR="00FD28D7" w:rsidRDefault="00FD28D7" w:rsidP="00960D28">
      <w:pPr>
        <w:pStyle w:val="ManualHeading2"/>
        <w:numPr>
          <w:ilvl w:val="0"/>
          <w:numId w:val="0"/>
        </w:numPr>
        <w:ind w:left="851" w:hanging="851"/>
      </w:pPr>
      <w:r>
        <w:rPr>
          <w:i/>
          <w:iCs/>
        </w:rPr>
        <w:t>Algemene informatie over het af te stoten bedrijfsonderdeel</w:t>
      </w:r>
    </w:p>
    <w:p w14:paraId="7ECAA2BE" w14:textId="77777777" w:rsidR="00FD28D7" w:rsidRDefault="00FD28D7">
      <w:r>
        <w:t>De volgende informatie moet worden verstrekt voor alle aspecten van de huidige bedrijfsvoering (d.w.z. vóór de afstoting) van het af te stoten bedrijfsonderdeel en reeds voor de toekomst geplande veranderingen.</w:t>
      </w:r>
    </w:p>
    <w:p w14:paraId="3ED23D6C" w14:textId="77777777" w:rsidR="00FD28D7" w:rsidRDefault="00FD28D7">
      <w:r>
        <w:t>4.1.</w:t>
      </w:r>
      <w:r>
        <w:tab/>
        <w:t>Beschrijf de juridische structuur van het af te stoten bedrijfsonderdeel en geef het organogram van de onderneming waarbij u uitlegt waar het af te stoten bedrijfsonderdeel wordt geïntegreerd. Beschrijf de entiteiten die deel uitmaken van het af te stoten bedrijfsonderdeel, vermeld hun statutaire zetel en hun plaats van werkelijke leiding, de algemene organisatiestructuur en andere relevante gegevens betreffende de administratieve structuur van het af te stoten bedrijfsonderdeel. Als het af te stoten bedri</w:t>
      </w:r>
      <w:r>
        <w:t>jfsonderdeel een afsplitsing betreft, moet al deze informatie ook worden verstrekt voor het gehele bedrijf waarvan het af te stoten bedrijfsonderdeel zal worden afgesplitst.</w:t>
      </w:r>
    </w:p>
    <w:p w14:paraId="228B2F61" w14:textId="77777777" w:rsidR="00FD28D7" w:rsidRDefault="00FD28D7">
      <w:r>
        <w:t>4.2.</w:t>
      </w:r>
      <w:r>
        <w:tab/>
        <w:t>Geef aan of, en zo ja welke, juridische obstakels er zijn voor de overdracht van het af te stoten bedrijfsonderdeel of de af te stoten activa, daaronder begrepen rechten van derden en vereiste bestuurlijke goedkeuringen enz.</w:t>
      </w:r>
    </w:p>
    <w:p w14:paraId="50A5593B" w14:textId="77777777" w:rsidR="00FD28D7" w:rsidRDefault="00FD28D7">
      <w:r>
        <w:t>4.3.</w:t>
      </w:r>
      <w:r>
        <w:tab/>
        <w:t>Beschrijf de volledige waardeketen van de producten die door het bedrijfsonderdeel worden geproduceerd of van de diensten die door het af te stoten bedrijfsonderdeel worden verricht, met inbegrip van de locatie van de bijbehorende installaties. Geef een lijst met een beschrijving geeft van de geproduceerde producten of de verrichte diensten, met name hun technische en andere kenmerken, de betrokken merken, de omzet die met elk van deze producten of diensten wordt behaald, en alle innovaties of activiteiten</w:t>
      </w:r>
      <w:r>
        <w:t xml:space="preserve"> op het gebied van O&amp;O, producten in de productpijplijn of nieuwe producten die klaar zijn voor lancering en diensten die gepland staan. Als het af te stoten bedrijfsonderdeel een afsplitsing betreft, moet al deze informatie ook worden verstrekt voor het gehele bedrijf waarvan het af te stoten bedrijfsonderdeel zal worden afgesplitst.</w:t>
      </w:r>
    </w:p>
    <w:p w14:paraId="725D00BA" w14:textId="77777777" w:rsidR="00FD28D7" w:rsidRDefault="00FD28D7">
      <w:r>
        <w:t>4.4.</w:t>
      </w:r>
      <w:r>
        <w:tab/>
        <w:t xml:space="preserve">Beschrijf het niveau waarop de essentiële functies van het af te stoten bedrijfsonderdeel (bv. O&amp;O, productie, marketing en verkoop, logistiek, relaties met klanten, relaties met leveranciers, IT-systemen) worden vervuld indien deze niet op het niveau van het af te stoten bedrijfsonderdeel worden vervuld. Geef in uw beschrijving de rol die elk van deze andere niveaus speelt, de relaties met het af te stoten bedrijfsonderdeel en de voor deze functie ingezette middelen (zoals medewerkers, activa, financiële </w:t>
      </w:r>
      <w:r>
        <w:t>middelen).</w:t>
      </w:r>
    </w:p>
    <w:p w14:paraId="74F1C6AB" w14:textId="77777777" w:rsidR="00FD28D7" w:rsidRDefault="00FD28D7">
      <w:r>
        <w:t>4.5.</w:t>
      </w:r>
      <w:r>
        <w:tab/>
        <w:t>Beschrijf in de detail de banden tussen het af te stoten bedrijfsonderdeel en andere entiteiten die onder de zeggenschap van de partijen bij de concentratie staan (ongeacht de richting van de band), zoals:</w:t>
      </w:r>
    </w:p>
    <w:p w14:paraId="7A5F8BEC" w14:textId="77777777" w:rsidR="00FD28D7" w:rsidRDefault="00FD28D7">
      <w:pPr>
        <w:pStyle w:val="Point0"/>
      </w:pPr>
      <w:r>
        <w:tab/>
        <w:t>(a)</w:t>
      </w:r>
      <w:r>
        <w:tab/>
      </w:r>
      <w:r>
        <w:t>levering, productie, distributie, dienstverlening, O&amp;O of andere contracten;</w:t>
      </w:r>
    </w:p>
    <w:p w14:paraId="3E87DC0A" w14:textId="77777777" w:rsidR="00FD28D7" w:rsidRDefault="00FD28D7">
      <w:pPr>
        <w:pStyle w:val="Point0"/>
      </w:pPr>
      <w:r>
        <w:tab/>
        <w:t>(b)</w:t>
      </w:r>
      <w:r>
        <w:tab/>
        <w:t>gedeelde materiële of immateriële activa;</w:t>
      </w:r>
    </w:p>
    <w:p w14:paraId="7D11367C" w14:textId="77777777" w:rsidR="00FD28D7" w:rsidRDefault="00FD28D7">
      <w:pPr>
        <w:pStyle w:val="Point0"/>
      </w:pPr>
      <w:r>
        <w:tab/>
        <w:t>(c)</w:t>
      </w:r>
      <w:r>
        <w:tab/>
        <w:t>gedeelde of gedetacheerde medewerkers;</w:t>
      </w:r>
    </w:p>
    <w:p w14:paraId="18641E7F" w14:textId="77777777" w:rsidR="00FD28D7" w:rsidRDefault="00FD28D7">
      <w:pPr>
        <w:pStyle w:val="Point0"/>
      </w:pPr>
      <w:r>
        <w:tab/>
        <w:t>(d)</w:t>
      </w:r>
      <w:r>
        <w:tab/>
        <w:t>gedeelde IT- of andere systemen;</w:t>
      </w:r>
    </w:p>
    <w:p w14:paraId="53F2B3E5" w14:textId="77777777" w:rsidR="00FD28D7" w:rsidRDefault="00FD28D7">
      <w:pPr>
        <w:pStyle w:val="Point0"/>
      </w:pPr>
      <w:r>
        <w:tab/>
        <w:t>(e)</w:t>
      </w:r>
      <w:r>
        <w:tab/>
        <w:t>gedeelde klanten.</w:t>
      </w:r>
    </w:p>
    <w:p w14:paraId="20EC3627" w14:textId="77777777" w:rsidR="00FD28D7" w:rsidRDefault="00FD28D7">
      <w:r>
        <w:t>4.6.</w:t>
      </w:r>
      <w:r>
        <w:tab/>
        <w:t>Geef een algemene beschrijving van alle relevante materiële en immateriële activa die worden gebruikt door of eigendom zijn van het af te stoten bedrijfsonderdeel. Vermeld daarbij steeds zeker intellectuele-eigendomsrechten en merken. Als het af te stoten bedrijfsonderdeel een afsplitsing betreft, moet al deze informatie ook worden verstrekt voor het gehele bedrijf waarvan het af te stoten bedrijfsonderdeel zal worden afgesplitst.</w:t>
      </w:r>
    </w:p>
    <w:p w14:paraId="20E64778" w14:textId="77777777" w:rsidR="00FD28D7" w:rsidRDefault="00FD28D7">
      <w:r>
        <w:t>4.7.</w:t>
      </w:r>
      <w:r>
        <w:tab/>
        <w:t>Verstrek een organisatieschema met het aantal medewerkers is vermeld dat momenteel op elk van de functies van het af te stoten bedrijfsonderdeel wordt ingezet, en een lijst van de medewerkers die onmisbaar zijn voor het functioneren van het af te stoten bedrijfsonderdeel, met een beschrijving van hun functies. Als het af te stoten bedrijfsonderdeel een afsplitsing betreft, moet al deze informatie ook worden verstrekt voor het gehele bedrijf waarvan het af te stoten bedrijfsonderdeel zal worden afgesplitst.</w:t>
      </w:r>
    </w:p>
    <w:p w14:paraId="3D507D24" w14:textId="77777777" w:rsidR="00FD28D7" w:rsidRDefault="00FD28D7">
      <w:r>
        <w:t>4.8.</w:t>
      </w:r>
      <w:r>
        <w:tab/>
        <w:t>Beschrijf de klanten van het af te stoten bedrijfsonderdeel, daaronder begrepen een lijst van klanten, een beschrijving van de gegevensbestanden en bescheiden die in dat verband beschikbaar zijn, en vermeld de totale omzet die het af te stoten bedrijfsonderdeel met elk van de klanten behaalt (in EUR en als percentage van de totale omzet van het af te stoten bedrijfsonderdeel). Als het af te stoten bedrijfsonderdeel een afsplitsing betreft, moet al deze informatie ook worden verstrekt voor het gehele bedrij</w:t>
      </w:r>
      <w:r>
        <w:t>f waarvan het af te stoten bedrijfsonderdeel zal worden afgesplitst.</w:t>
      </w:r>
    </w:p>
    <w:p w14:paraId="53DDB0E8" w14:textId="77777777" w:rsidR="00FD28D7" w:rsidRDefault="00FD28D7">
      <w:r>
        <w:t>4.9.</w:t>
      </w:r>
      <w:r>
        <w:tab/>
        <w:t>Verschaf alle relevante financiële gegevens voor het af te stoten bedrijfsonderdeel, daaronder begrepen de in de voorbije drie boekjaren behaalde omzet en de ebitda, en de prognose voor de komende twee boekjaren. Verstrek, indien beschikbaar, het huidige bedrijfsplan of strategisch plan voor het af te stoten bedrijfsonderdeel, met inbegrip van eventuele prognoses. Als het af te stoten bedrijfsonderdeel een afsplitsing betreft, moet alle informatie ook worden verstrekt voor het gehele bedrijf waarvan het af</w:t>
      </w:r>
      <w:r>
        <w:t xml:space="preserve"> te stoten bedrijfsonderdeel zal worden afgesplitst.</w:t>
      </w:r>
    </w:p>
    <w:p w14:paraId="7AD8A485" w14:textId="77777777" w:rsidR="00FD28D7" w:rsidRDefault="00FD28D7">
      <w:r>
        <w:t>4.10.</w:t>
      </w:r>
      <w:r>
        <w:tab/>
        <w:t>Geef een lijst met een beschrijving van alle wijzigingen die zich de voorbije twee jaar hebben voorgedaan in de organisatie van het af te stoten bedrijfsonderdeel of in de banden met andere ondernemingen die onder de zeggenschap van de partijen staan. Als het af te stoten bedrijfsonderdeel een afsplitsing betreft, moet alle informatie ook worden verstrekt voor het gehele bedrijf waarvan het af te stoten bedrijfsonderdeel zal worden afgesplitst.</w:t>
      </w:r>
    </w:p>
    <w:p w14:paraId="642C8643" w14:textId="77777777" w:rsidR="00FD28D7" w:rsidRDefault="00FD28D7">
      <w:r>
        <w:t>4.11.</w:t>
      </w:r>
      <w:r>
        <w:tab/>
        <w:t>Geef een lijst met een beschrijving geeft van alle wijzigingen die voor de komende twee jaar gepland staan in de organisatie van het af te stoten bedrijfsonderdeel of in de banden met andere ondernemingen die onder de zeggenschap van de partijen staan. Als het af te stoten bedrijfsonderdeel een afsplitsing betreft, moet al deze informatie ook worden verstrekt voor het gehele bedrijf waarvan het af te stoten bedrijfsonderdeel zal worden afgesplitst.</w:t>
      </w:r>
    </w:p>
    <w:p w14:paraId="1B27B399" w14:textId="77777777" w:rsidR="00FD28D7" w:rsidRDefault="00FD28D7" w:rsidP="00960D28">
      <w:pPr>
        <w:pStyle w:val="ManualHeading2"/>
        <w:numPr>
          <w:ilvl w:val="0"/>
          <w:numId w:val="0"/>
        </w:numPr>
        <w:ind w:left="851" w:hanging="851"/>
      </w:pPr>
      <w:r>
        <w:rPr>
          <w:i/>
          <w:iCs/>
        </w:rPr>
        <w:t>Informatie over het bedrijfsonderdeel zoals dat in de aangeboden verbintenissen is beschreven en vergelijking met het bedrijfsonderdeel zoals dat momenteel wordt geëxploiteerd</w:t>
      </w:r>
    </w:p>
    <w:p w14:paraId="5D21C6B4" w14:textId="77777777" w:rsidR="00FD28D7" w:rsidRDefault="00FD28D7">
      <w:r>
        <w:t>4.12.</w:t>
      </w:r>
      <w:r>
        <w:tab/>
        <w:t>Zet, op basis van uw antwoorden op de vragen 4.1 tot en met 4.11 hierboven, alle verschillen uiteen tussen i) het af te stoten bedrijfsonderdeel zoals beschreven in de aangeboden verbintenissen, en ii) het af te stoten bedrijfsonderdeel zoals dat momenteel wordt geëxploiteerd. Geef (in voorkomend geval) een volledige lijst van alle materiële en immateriële activa, medewerkers, installaties, contracten, producten, O&amp;O, producten in de productpijplijn, gedeelde dienstverlening enz. die momenteel worden gepro</w:t>
      </w:r>
      <w:r>
        <w:t>duceerd, gebruikt of waarop het af te stoten bedrijfsonderdeel op een andere manier een beroep doet, maar die niet zijn opgenomen in de verbintenissen.</w:t>
      </w:r>
    </w:p>
    <w:p w14:paraId="73D0C439" w14:textId="77777777" w:rsidR="00FD28D7" w:rsidRDefault="00FD28D7" w:rsidP="00960D28">
      <w:pPr>
        <w:pStyle w:val="ManualHeading2"/>
        <w:numPr>
          <w:ilvl w:val="0"/>
          <w:numId w:val="0"/>
        </w:numPr>
        <w:ind w:left="851" w:hanging="851"/>
      </w:pPr>
      <w:r>
        <w:rPr>
          <w:i/>
          <w:iCs/>
        </w:rPr>
        <w:t>Verwerving door een geschikte koper</w:t>
      </w:r>
    </w:p>
    <w:p w14:paraId="2B04C0EF" w14:textId="77777777" w:rsidR="00FD28D7" w:rsidRDefault="00FD28D7">
      <w:r>
        <w:t>4.13.</w:t>
      </w:r>
      <w:r>
        <w:tab/>
        <w:t>Leg uit waarom het af te stoten bedrijfsonderdeel volgens u wellicht door een geschikte koper zal worden verworven binnen het in de aangeboden verbintenissen voorgestelde tijdsbestek.</w:t>
      </w:r>
    </w:p>
    <w:p w14:paraId="706A5EF9" w14:textId="77777777" w:rsidR="00FD28D7" w:rsidRDefault="00FD28D7" w:rsidP="00960D28">
      <w:pPr>
        <w:pStyle w:val="ManualHeading1"/>
        <w:numPr>
          <w:ilvl w:val="0"/>
          <w:numId w:val="0"/>
        </w:numPr>
        <w:ind w:left="851" w:hanging="851"/>
      </w:pPr>
      <w:r>
        <w:t>RUBRIEK 5</w:t>
      </w:r>
    </w:p>
    <w:p w14:paraId="3BCA619B" w14:textId="77777777" w:rsidR="00FD28D7" w:rsidRDefault="00FD28D7" w:rsidP="00960D28">
      <w:pPr>
        <w:pStyle w:val="ManualHeading2"/>
        <w:numPr>
          <w:ilvl w:val="0"/>
          <w:numId w:val="0"/>
        </w:numPr>
        <w:ind w:left="851" w:hanging="851"/>
      </w:pPr>
      <w:r>
        <w:rPr>
          <w:i/>
          <w:iCs/>
        </w:rPr>
        <w:t>VERKLARING</w:t>
      </w:r>
    </w:p>
    <w:p w14:paraId="5E0F478E" w14:textId="77777777" w:rsidR="00FD28D7" w:rsidRDefault="00FD28D7">
      <w:r>
        <w:t>Het formulier RM moet worden besloten met onderstaande verklaring, die moet worden ondertekend door of namens alle aanmeldende partijen en andere partijen die de verbintenissen ondertekenen:</w:t>
      </w:r>
    </w:p>
    <w:p w14:paraId="0B390109" w14:textId="77777777" w:rsidR="00FD28D7" w:rsidRDefault="00FD28D7">
      <w:r>
        <w:t>“</w:t>
      </w:r>
      <w:r>
        <w:rPr>
          <w:i/>
          <w:iCs/>
        </w:rPr>
        <w:t>De aanmeldende partijen en andere partijen die de verbintenissen ondertekenen verklaren dat, naar hun beste weten, de in deze aanmelding verstrekte informatie met de werkelijkheid overeenstemt en juist en volledig is, dat met de werkelijkheid overeenstemmende en volledige exemplaren van de in het formulier RM verlangde documenten zijn overgelegd en dat alle ramingen als zodanig zijn aangegeven en hun beste ramingen van de betrokken feiten zijn, alsmede dat alle geuite meningen oprecht zijn. Zij hebben kenni</w:t>
      </w:r>
      <w:r>
        <w:rPr>
          <w:i/>
          <w:iCs/>
        </w:rPr>
        <w:t>s genomen van artikel 14, lid 1, punt a), van de concentratieverordening.</w:t>
      </w:r>
      <w:r>
        <w:t>”</w:t>
      </w:r>
    </w:p>
    <w:p w14:paraId="24E95FB5" w14:textId="77777777" w:rsidR="00FD28D7" w:rsidRDefault="00FD28D7">
      <w:r>
        <w:t>Voor digitaal ondertekende formulieren dienen de volgende velden slechts ter informatie. Zij moeten overeenstemmen met de metadata van de bijbehorende elektronische handtekening(en).</w:t>
      </w:r>
    </w:p>
    <w:p w14:paraId="28096764" w14:textId="77777777" w:rsidR="00FD28D7" w:rsidRDefault="00FD28D7">
      <w:r>
        <w:t>Datum:</w:t>
      </w:r>
    </w:p>
    <w:tbl>
      <w:tblPr>
        <w:tblW w:w="0" w:type="auto"/>
        <w:tblInd w:w="-113" w:type="dxa"/>
        <w:tblLayout w:type="fixed"/>
        <w:tblLook w:val="0000" w:firstRow="0" w:lastRow="0" w:firstColumn="0" w:lastColumn="0" w:noHBand="0" w:noVBand="0"/>
      </w:tblPr>
      <w:tblGrid>
        <w:gridCol w:w="4272"/>
        <w:gridCol w:w="5014"/>
      </w:tblGrid>
      <w:tr w:rsidR="00000000" w14:paraId="0AF7597A" w14:textId="77777777">
        <w:tblPrEx>
          <w:tblCellMar>
            <w:top w:w="0" w:type="dxa"/>
            <w:bottom w:w="0" w:type="dxa"/>
          </w:tblCellMar>
        </w:tblPrEx>
        <w:tc>
          <w:tcPr>
            <w:tcW w:w="4272" w:type="dxa"/>
            <w:tcBorders>
              <w:top w:val="single" w:sz="2" w:space="0" w:color="auto"/>
              <w:left w:val="single" w:sz="2" w:space="0" w:color="auto"/>
              <w:bottom w:val="single" w:sz="2" w:space="0" w:color="auto"/>
              <w:right w:val="single" w:sz="2" w:space="0" w:color="auto"/>
            </w:tcBorders>
          </w:tcPr>
          <w:p w14:paraId="0BD0297E" w14:textId="77777777" w:rsidR="00FD28D7" w:rsidRDefault="00FD28D7">
            <w:pPr>
              <w:pStyle w:val="NormalLeft"/>
            </w:pPr>
            <w:r>
              <w:t>[ondertekenaar 1]</w:t>
            </w:r>
          </w:p>
          <w:p w14:paraId="4BD48929" w14:textId="77777777" w:rsidR="00FD28D7" w:rsidRDefault="00FD28D7">
            <w:pPr>
              <w:pStyle w:val="NormalLeft"/>
            </w:pPr>
            <w:r>
              <w:t>Naam:</w:t>
            </w:r>
          </w:p>
          <w:p w14:paraId="339EC130" w14:textId="77777777" w:rsidR="00FD28D7" w:rsidRDefault="00FD28D7">
            <w:pPr>
              <w:pStyle w:val="NormalLeft"/>
            </w:pPr>
            <w:r>
              <w:t>Organisatie:</w:t>
            </w:r>
          </w:p>
          <w:p w14:paraId="6C66195D" w14:textId="77777777" w:rsidR="00FD28D7" w:rsidRDefault="00FD28D7">
            <w:pPr>
              <w:pStyle w:val="NormalLeft"/>
            </w:pPr>
            <w:r>
              <w:t>Functie:</w:t>
            </w:r>
          </w:p>
          <w:p w14:paraId="23E7F734" w14:textId="77777777" w:rsidR="00FD28D7" w:rsidRDefault="00FD28D7">
            <w:pPr>
              <w:pStyle w:val="NormalLeft"/>
            </w:pPr>
            <w:r>
              <w:t>Adres:</w:t>
            </w:r>
          </w:p>
          <w:p w14:paraId="15034775" w14:textId="77777777" w:rsidR="00FD28D7" w:rsidRDefault="00FD28D7">
            <w:pPr>
              <w:pStyle w:val="NormalLeft"/>
            </w:pPr>
            <w:r>
              <w:t>Tel.:</w:t>
            </w:r>
          </w:p>
          <w:p w14:paraId="39D90482" w14:textId="77777777" w:rsidR="00FD28D7" w:rsidRDefault="00FD28D7">
            <w:pPr>
              <w:pStyle w:val="NormalLeft"/>
            </w:pPr>
            <w:r>
              <w:t>E-mail:</w:t>
            </w:r>
          </w:p>
          <w:p w14:paraId="558EC11F" w14:textId="77777777" w:rsidR="00FD28D7" w:rsidRDefault="00FD28D7">
            <w:pPr>
              <w:pStyle w:val="NormalLeft"/>
            </w:pPr>
            <w:r>
              <w:t>[</w:t>
            </w:r>
            <w:r>
              <w:t>“</w:t>
            </w:r>
            <w:r>
              <w:t>e-handtekening</w:t>
            </w:r>
            <w:r>
              <w:t>”</w:t>
            </w:r>
            <w:r>
              <w:t xml:space="preserve"> / handtekening]</w:t>
            </w:r>
          </w:p>
        </w:tc>
        <w:tc>
          <w:tcPr>
            <w:tcW w:w="5014" w:type="dxa"/>
            <w:tcBorders>
              <w:top w:val="single" w:sz="2" w:space="0" w:color="auto"/>
              <w:left w:val="single" w:sz="2" w:space="0" w:color="auto"/>
              <w:bottom w:val="single" w:sz="2" w:space="0" w:color="auto"/>
              <w:right w:val="single" w:sz="2" w:space="0" w:color="auto"/>
            </w:tcBorders>
          </w:tcPr>
          <w:p w14:paraId="6093B08E" w14:textId="77777777" w:rsidR="00FD28D7" w:rsidRDefault="00FD28D7">
            <w:pPr>
              <w:pStyle w:val="NormalLeft"/>
            </w:pPr>
            <w:r>
              <w:t>[ondertekenaar 2 (indien van toepassing)]</w:t>
            </w:r>
          </w:p>
          <w:p w14:paraId="1CE91FD0" w14:textId="77777777" w:rsidR="00FD28D7" w:rsidRDefault="00FD28D7">
            <w:pPr>
              <w:pStyle w:val="NormalLeft"/>
            </w:pPr>
            <w:r>
              <w:t>Naam:</w:t>
            </w:r>
          </w:p>
          <w:p w14:paraId="36763B71" w14:textId="77777777" w:rsidR="00FD28D7" w:rsidRDefault="00FD28D7">
            <w:pPr>
              <w:pStyle w:val="NormalLeft"/>
            </w:pPr>
            <w:r>
              <w:t>Organisatie:</w:t>
            </w:r>
          </w:p>
          <w:p w14:paraId="70D31F76" w14:textId="77777777" w:rsidR="00FD28D7" w:rsidRDefault="00FD28D7">
            <w:pPr>
              <w:pStyle w:val="NormalLeft"/>
            </w:pPr>
            <w:r>
              <w:t>Functie:</w:t>
            </w:r>
          </w:p>
          <w:p w14:paraId="6E6AE1A8" w14:textId="77777777" w:rsidR="00FD28D7" w:rsidRDefault="00FD28D7">
            <w:pPr>
              <w:pStyle w:val="NormalLeft"/>
            </w:pPr>
            <w:r>
              <w:t>Adres:</w:t>
            </w:r>
          </w:p>
          <w:p w14:paraId="155FEA89" w14:textId="77777777" w:rsidR="00FD28D7" w:rsidRDefault="00FD28D7">
            <w:pPr>
              <w:pStyle w:val="NormalLeft"/>
            </w:pPr>
            <w:r>
              <w:t>Tel.:</w:t>
            </w:r>
          </w:p>
          <w:p w14:paraId="1BB55107" w14:textId="77777777" w:rsidR="00FD28D7" w:rsidRDefault="00FD28D7">
            <w:pPr>
              <w:pStyle w:val="NormalLeft"/>
            </w:pPr>
            <w:r>
              <w:t>E-mail:</w:t>
            </w:r>
          </w:p>
          <w:p w14:paraId="15F2496B" w14:textId="77777777" w:rsidR="00FD28D7" w:rsidRDefault="00FD28D7">
            <w:pPr>
              <w:pStyle w:val="NormalLeft"/>
            </w:pPr>
            <w:r>
              <w:t>[</w:t>
            </w:r>
            <w:r>
              <w:t>“</w:t>
            </w:r>
            <w:r>
              <w:t>e-handtekening</w:t>
            </w:r>
            <w:r>
              <w:t>”</w:t>
            </w:r>
            <w:r>
              <w:t xml:space="preserve"> / handtekening]</w:t>
            </w:r>
          </w:p>
        </w:tc>
      </w:tr>
    </w:tbl>
    <w:p w14:paraId="4E305B5C" w14:textId="77777777" w:rsidR="00FD28D7" w:rsidRDefault="00FD28D7"/>
    <w:p w14:paraId="6666EBA1" w14:textId="77777777" w:rsidR="00FD28D7" w:rsidRDefault="00FD28D7" w:rsidP="00FD28D7">
      <w:pPr>
        <w:adjustRightInd w:val="0"/>
        <w:spacing w:before="0" w:after="0"/>
        <w:jc w:val="left"/>
        <w:rPr>
          <w:lang w:val="en-US"/>
        </w:rPr>
      </w:pPr>
    </w:p>
    <w:sectPr w:rsidR="00000000" w:rsidSect="00FD28D7">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E085" w14:textId="77777777" w:rsidR="00FD28D7" w:rsidRDefault="00FD28D7">
      <w:pPr>
        <w:spacing w:before="0" w:after="0"/>
      </w:pPr>
      <w:r>
        <w:separator/>
      </w:r>
    </w:p>
  </w:endnote>
  <w:endnote w:type="continuationSeparator" w:id="0">
    <w:p w14:paraId="6205BCFE" w14:textId="77777777" w:rsidR="00FD28D7" w:rsidRDefault="00FD28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26D6" w14:textId="77777777" w:rsidR="00FD28D7" w:rsidRDefault="00FD28D7">
    <w:pPr>
      <w:pStyle w:val="Footer"/>
    </w:pPr>
    <w:r>
      <w:tab/>
    </w:r>
    <w:r>
      <w:fldChar w:fldCharType="begin"/>
    </w:r>
    <w:r>
      <w:instrText xml:space="preserve"> PAGE  \* MERGEFORMAT </w:instrText>
    </w:r>
    <w:r>
      <w:fldChar w:fldCharType="separate"/>
    </w:r>
    <w:r>
      <w:rPr>
        <w:noProof/>
      </w:rPr>
      <w:t>2</w:t>
    </w:r>
    <w:r>
      <w:fldChar w:fldCharType="end"/>
    </w:r>
    <w:r>
      <w:tab/>
    </w:r>
    <w:r>
      <w:fldChar w:fldCharType="begin"/>
    </w:r>
    <w:r>
      <w:instrText xml:space="preserve"> DOCPROPERTY "Classification" \* MERGEFORMAT </w:instrText>
    </w:r>
    <w:r>
      <w:fldChar w:fldCharType="separate"/>
    </w:r>
    <w: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8751" w14:textId="77777777" w:rsidR="00FD28D7" w:rsidRDefault="00FD28D7">
      <w:pPr>
        <w:spacing w:before="0" w:after="0"/>
      </w:pPr>
      <w:r>
        <w:separator/>
      </w:r>
    </w:p>
  </w:footnote>
  <w:footnote w:type="continuationSeparator" w:id="0">
    <w:p w14:paraId="7949EE91" w14:textId="77777777" w:rsidR="00FD28D7" w:rsidRDefault="00FD28D7">
      <w:pPr>
        <w:spacing w:before="0" w:after="0"/>
      </w:pPr>
      <w:r>
        <w:continuationSeparator/>
      </w:r>
    </w:p>
  </w:footnote>
  <w:footnote w:id="1">
    <w:p w14:paraId="0BDF2111" w14:textId="77777777" w:rsidR="00FD28D7" w:rsidRDefault="00FD28D7">
      <w:pPr>
        <w:pStyle w:val="FootnoteText"/>
      </w:pPr>
      <w:r>
        <w:rPr>
          <w:rStyle w:val="FootnoteReference"/>
          <w:lang w:val="en-US"/>
        </w:rPr>
        <w:footnoteRef/>
      </w:r>
      <w:r>
        <w:rPr>
          <w:lang w:val="en-US"/>
        </w:rPr>
        <w:tab/>
      </w:r>
      <w:r>
        <w:t>Verordening (EU) nr. 910/2014 van het Europees Parlement en de Raad van 23 juli 2014 betreffende elektronische identificatie en vertrouwensdiensten voor elektronische transacties in de interne markt en tot intrekking van Richtlijn 1999/93/EG (PB L 257 van 28.8.2014, blz. 73).</w:t>
      </w:r>
    </w:p>
  </w:footnote>
  <w:footnote w:id="2">
    <w:p w14:paraId="30A9DF13" w14:textId="77777777" w:rsidR="00FD28D7" w:rsidRDefault="00FD28D7">
      <w:pPr>
        <w:pStyle w:val="FootnoteText"/>
      </w:pPr>
      <w:r>
        <w:rPr>
          <w:rStyle w:val="FootnoteReference"/>
          <w:lang w:val="en-US"/>
        </w:rPr>
        <w:footnoteRef/>
      </w:r>
      <w:r>
        <w:rPr>
          <w:lang w:val="en-US"/>
        </w:rPr>
        <w:tab/>
      </w:r>
      <w:r>
        <w:t>Verordening (EG) nr. </w:t>
      </w:r>
      <w:r>
        <w:t xml:space="preserve">139/2004 van de Raad van 20 januari 2004 betreffende de controle op concentraties van ondernemingen (de </w:t>
      </w:r>
      <w:r>
        <w:t>“</w:t>
      </w:r>
      <w:r>
        <w:t>concentratieverordening</w:t>
      </w:r>
      <w:r>
        <w:t>”</w:t>
      </w:r>
      <w:r>
        <w:t>) (PB L 24 van 29.1.2004, blz. 1).</w:t>
      </w:r>
    </w:p>
  </w:footnote>
  <w:footnote w:id="3">
    <w:p w14:paraId="7FDFAB06" w14:textId="77777777" w:rsidR="00FD28D7" w:rsidRDefault="00FD28D7">
      <w:pPr>
        <w:pStyle w:val="FootnoteText"/>
      </w:pPr>
      <w:r>
        <w:rPr>
          <w:rStyle w:val="FootnoteReference"/>
          <w:lang w:val="en-US"/>
        </w:rPr>
        <w:footnoteRef/>
      </w:r>
      <w:r>
        <w:rPr>
          <w:lang w:val="en-US"/>
        </w:rPr>
        <w:tab/>
      </w:r>
      <w:r>
        <w:t>Zie blz. 22 van dit Publicatieblad.</w:t>
      </w:r>
    </w:p>
  </w:footnote>
  <w:footnote w:id="4">
    <w:p w14:paraId="42B0FE30" w14:textId="77777777" w:rsidR="00FD28D7" w:rsidRDefault="00FD28D7">
      <w:pPr>
        <w:pStyle w:val="FootnoteText"/>
      </w:pPr>
      <w:r>
        <w:rPr>
          <w:rStyle w:val="FootnoteReference"/>
          <w:lang w:val="en-US"/>
        </w:rPr>
        <w:footnoteRef/>
      </w:r>
      <w:r>
        <w:rPr>
          <w:lang w:val="en-US"/>
        </w:rPr>
        <w:tab/>
      </w:r>
      <w:r>
        <w:t>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 (PB L 295 van 21.11.2018, blz. 39), beschikbaar op EUR-Lex - 32018R1725 - EN - EUR-Lex (europa.eu). Zie ook een privacyverklaring voor ond</w:t>
      </w:r>
      <w:r>
        <w:t>erzoeken van concentratiezaken op: https://ec.europa.eu/competition-policy/system/files/2021-05/privacy_statement_mergers_nl.pdf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544489776">
    <w:abstractNumId w:val="9"/>
  </w:num>
  <w:num w:numId="2" w16cid:durableId="345595869">
    <w:abstractNumId w:val="7"/>
  </w:num>
  <w:num w:numId="3" w16cid:durableId="2082631931">
    <w:abstractNumId w:val="6"/>
  </w:num>
  <w:num w:numId="4" w16cid:durableId="358551685">
    <w:abstractNumId w:val="5"/>
  </w:num>
  <w:num w:numId="5" w16cid:durableId="1601907647">
    <w:abstractNumId w:val="4"/>
  </w:num>
  <w:num w:numId="6" w16cid:durableId="1925144521">
    <w:abstractNumId w:val="8"/>
  </w:num>
  <w:num w:numId="7" w16cid:durableId="2050373408">
    <w:abstractNumId w:val="3"/>
  </w:num>
  <w:num w:numId="8" w16cid:durableId="175969307">
    <w:abstractNumId w:val="2"/>
  </w:num>
  <w:num w:numId="9" w16cid:durableId="76486743">
    <w:abstractNumId w:val="1"/>
  </w:num>
  <w:num w:numId="10" w16cid:durableId="1753702343">
    <w:abstractNumId w:val="0"/>
  </w:num>
  <w:num w:numId="11" w16cid:durableId="611136992">
    <w:abstractNumId w:val="13"/>
  </w:num>
  <w:num w:numId="12" w16cid:durableId="2127038534">
    <w:abstractNumId w:val="12"/>
  </w:num>
  <w:num w:numId="13" w16cid:durableId="278725194">
    <w:abstractNumId w:val="11"/>
  </w:num>
  <w:num w:numId="14" w16cid:durableId="15825">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2443410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en bijlage , punt 1, onder a)"/>
    <w:docVar w:name="CR_Ref1" w:val="2776/2024 Art. 1 en bijlage , punt 1, onder b)"/>
    <w:docVar w:name="CR_Ref10" w:val="2776/2024 Art. 1 en bijlage , punt 2, onder d)"/>
    <w:docVar w:name="CR_Ref11" w:val="2776/2024 Art. 1 en bijlage , punt 2, onder e)"/>
    <w:docVar w:name="CR_Ref12" w:val="2776/2024 Art. 1 en bijlage , punt 2, onder f)"/>
    <w:docVar w:name="CR_Ref13" w:val="2776/2024 Art. 1 en bijlage , punt 2, onder i)"/>
    <w:docVar w:name="CR_Ref14" w:val="2776/2024 Art. 1 en bijlage , punt 2, onder g)"/>
    <w:docVar w:name="CR_Ref15" w:val="2776/2024 Art. 1 en bijlage , punt 2, onder j)"/>
    <w:docVar w:name="CR_Ref16" w:val="2776/2024 Art. 1 en bijlage , punt 2, onder k)"/>
    <w:docVar w:name="CR_Ref17" w:val="2776/2024 Art. 1 en bijlage , punt 2, onder l)"/>
    <w:docVar w:name="CR_Ref18" w:val="2776/2024 Art. 1 en bijlage , punt 2, onder n)"/>
    <w:docVar w:name="CR_Ref19" w:val="2776/2024 Art. 1 en bijlage , punt 2, onder s)"/>
    <w:docVar w:name="CR_Ref2" w:val="2776/2024 Art. 1 en bijlage , punt 1, onder c)"/>
    <w:docVar w:name="CR_Ref20" w:val="2776/2024 Art. 1 en bijlage , punt 2, onder t)"/>
    <w:docVar w:name="CR_Ref21" w:val="2776/2024 Art. 1 en bijlage , punt 2, onder p)"/>
    <w:docVar w:name="CR_Ref22" w:val="2776/2024 Art. 1 en bijlage , punt 2, onder q)"/>
    <w:docVar w:name="CR_Ref23" w:val="2776/2024 Art. 1 en bijlage , punt 2, onder u)"/>
    <w:docVar w:name="CR_Ref24" w:val="2776/2024 Art. 1 en bijlage , punt 3, onder a)"/>
    <w:docVar w:name="CR_Ref25" w:val="2776/2024 Art. 1 en bijlage , punt 3, onder b)"/>
    <w:docVar w:name="CR_Ref3" w:val="2776/2024 Art. 1 en bijlage , punt 1, onder f)"/>
    <w:docVar w:name="CR_Ref4" w:val="2776/2024 Art. 1 en bijlage , punt 1, onder g)"/>
    <w:docVar w:name="CR_Ref5" w:val="2776/2024 Art. 1 en bijlage , punt 1, onder e)"/>
    <w:docVar w:name="CR_Ref6" w:val="2776/2024 Art. 1 en bijlage , punt 1, onder h)"/>
    <w:docVar w:name="CR_Ref7" w:val="2776/2024 Art. 1 en bijlage , punt 2, onder a)"/>
    <w:docVar w:name="CR_Ref8" w:val="2776/2024 Art. 1 en bijlage , punt 2, onder b)"/>
    <w:docVar w:name="CR_Ref9" w:val="2776/2024 Art. 1 en bijlage , punt 2, onder c)"/>
    <w:docVar w:name="CR_RefCount" w:val="26"/>
    <w:docVar w:name="DQCStatus" w:val="Red"/>
    <w:docVar w:name="LW_DocType" w:val="COM"/>
  </w:docVars>
  <w:rsids>
    <w:rsidRoot w:val="003031C6"/>
    <w:rsid w:val="003031C6"/>
    <w:rsid w:val="003B2289"/>
    <w:rsid w:val="00960D28"/>
    <w:rsid w:val="00FD28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3FAE8F"/>
  <w14:defaultImageDpi w14:val="0"/>
  <w15:docId w15:val="{167E7B0D-1CAD-4496-825D-C0E13ADE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2</TotalTime>
  <Pages>20</Pages>
  <Words>7288</Words>
  <Characters>41690</Characters>
  <Application>Microsoft Office Word</Application>
  <DocSecurity>0</DocSecurity>
  <Lines>1389</Lines>
  <Paragraphs>583</Paragraphs>
  <ScaleCrop>false</ScaleCrop>
  <Company/>
  <LinksUpToDate>false</LinksUpToDate>
  <CharactersWithSpaces>48395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2025-02-05T15:43:00Z</dcterms:created>
  <dcterms:modified xsi:type="dcterms:W3CDTF">2025-02-05T15:43:00Z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2025-02-05T15:43:56Z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6848b1ed-29e6-4ba2-a502-7198b48c2572</vt:lpwstr>
  </property>
  <property fmtid="{D5CDD505-2E9C-101B-9397-08002B2CF9AE}" pid="15" name="MSIP_Label_6bd9ddd1-4d20-43f6-abfa-fc3c07406f94_ContentBits">
    <vt:lpwstr>0</vt:lpwstr>
  </property>
</Properties>
</file>