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7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423"/>
      </w:tblGrid>
      <w:tr w:rsidR="00FE7E77" w:rsidRPr="009B24D2" w:rsidTr="003E182A">
        <w:trPr>
          <w:cantSplit/>
          <w:trHeight w:val="1118"/>
        </w:trPr>
        <w:tc>
          <w:tcPr>
            <w:tcW w:w="7423" w:type="dxa"/>
          </w:tcPr>
          <w:p w:rsidR="00FE7E77" w:rsidRPr="009B24D2" w:rsidRDefault="00B5798E" w:rsidP="00B5798E">
            <w:pPr>
              <w:pStyle w:val="DocumentHeading"/>
              <w:rPr>
                <w:b w:val="0"/>
              </w:rPr>
            </w:pPr>
            <w:bookmarkStart w:id="0" w:name="_GoBack" w:colFirst="0" w:colLast="0"/>
            <w:r>
              <w:rPr>
                <w:lang w:val="en-US"/>
              </w:rPr>
              <w:t>Danish comments to the p</w:t>
            </w:r>
            <w:r w:rsidR="00D30537" w:rsidRPr="00D30537">
              <w:rPr>
                <w:lang w:val="en-US"/>
              </w:rPr>
              <w:t xml:space="preserve">ublic consultation </w:t>
            </w:r>
            <w:r>
              <w:rPr>
                <w:lang w:val="en-US"/>
              </w:rPr>
              <w:t>for the revision of the</w:t>
            </w:r>
            <w:r w:rsidR="00D30537" w:rsidRPr="00D30537">
              <w:rPr>
                <w:lang w:val="en-US"/>
              </w:rPr>
              <w:t xml:space="preserve"> </w:t>
            </w:r>
            <w:r w:rsidR="00D30537">
              <w:t>G</w:t>
            </w:r>
            <w:r w:rsidR="009B24D2">
              <w:t>uidelines on State aid for Envi</w:t>
            </w:r>
            <w:r w:rsidR="005C233B">
              <w:t>ronmental protection and Energy</w:t>
            </w:r>
            <w:r>
              <w:t xml:space="preserve"> 2014-2020</w:t>
            </w:r>
          </w:p>
        </w:tc>
      </w:tr>
    </w:tbl>
    <w:bookmarkEnd w:id="0"/>
    <w:p w:rsidR="00987B2B" w:rsidRDefault="00987B2B" w:rsidP="003E182A">
      <w:pPr>
        <w:widowControl w:val="0"/>
        <w:jc w:val="both"/>
      </w:pPr>
      <w:r>
        <w:t xml:space="preserve">The Danish Government welcomes the opportunity to </w:t>
      </w:r>
      <w:r w:rsidR="00531027">
        <w:t xml:space="preserve">comment on </w:t>
      </w:r>
      <w:r>
        <w:t xml:space="preserve">the </w:t>
      </w:r>
      <w:r w:rsidR="00531027">
        <w:t xml:space="preserve">European Commission’s </w:t>
      </w:r>
      <w:r w:rsidR="005C233B">
        <w:t xml:space="preserve">public consultation </w:t>
      </w:r>
      <w:r w:rsidR="00B5798E">
        <w:t>for</w:t>
      </w:r>
      <w:r w:rsidR="005C233B">
        <w:t xml:space="preserve"> the </w:t>
      </w:r>
      <w:r w:rsidR="009E2955">
        <w:t xml:space="preserve">revision of the </w:t>
      </w:r>
      <w:r w:rsidR="005C233B">
        <w:t>guidelines on State aid for Environmental protection and Energy</w:t>
      </w:r>
      <w:r>
        <w:t xml:space="preserve">. </w:t>
      </w:r>
    </w:p>
    <w:p w:rsidR="00987B2B" w:rsidRDefault="00987B2B" w:rsidP="003E182A">
      <w:pPr>
        <w:widowControl w:val="0"/>
        <w:jc w:val="both"/>
        <w:rPr>
          <w:lang w:val="en-US"/>
        </w:rPr>
      </w:pPr>
    </w:p>
    <w:p w:rsidR="00987B2B" w:rsidRDefault="00987B2B" w:rsidP="003E182A">
      <w:pPr>
        <w:widowControl w:val="0"/>
        <w:jc w:val="both"/>
        <w:rPr>
          <w:lang w:val="en-US"/>
        </w:rPr>
      </w:pPr>
      <w:r>
        <w:rPr>
          <w:lang w:val="en-US"/>
        </w:rPr>
        <w:t xml:space="preserve">The </w:t>
      </w:r>
      <w:r w:rsidR="00D30537">
        <w:t>Guidelines on State aid for Environmental protection and Energy (EEAG)</w:t>
      </w:r>
      <w:r>
        <w:rPr>
          <w:lang w:val="en-US"/>
        </w:rPr>
        <w:t xml:space="preserve"> has played and </w:t>
      </w:r>
      <w:r w:rsidR="00D30537">
        <w:rPr>
          <w:lang w:val="en-US"/>
        </w:rPr>
        <w:t xml:space="preserve">will </w:t>
      </w:r>
      <w:r>
        <w:rPr>
          <w:lang w:val="en-US"/>
        </w:rPr>
        <w:t>continu</w:t>
      </w:r>
      <w:r w:rsidR="005C233B">
        <w:rPr>
          <w:lang w:val="en-US"/>
        </w:rPr>
        <w:t xml:space="preserve">e to </w:t>
      </w:r>
      <w:r>
        <w:rPr>
          <w:lang w:val="en-US"/>
        </w:rPr>
        <w:t>play an important role</w:t>
      </w:r>
      <w:r w:rsidR="00901652">
        <w:rPr>
          <w:lang w:val="en-US"/>
        </w:rPr>
        <w:t>,</w:t>
      </w:r>
      <w:r>
        <w:rPr>
          <w:lang w:val="en-US"/>
        </w:rPr>
        <w:t xml:space="preserve"> not only in relation to the r</w:t>
      </w:r>
      <w:r w:rsidR="00D30537">
        <w:rPr>
          <w:lang w:val="en-US"/>
        </w:rPr>
        <w:t>egulation of the internal market and ensuring fair competition</w:t>
      </w:r>
      <w:r>
        <w:rPr>
          <w:lang w:val="en-US"/>
        </w:rPr>
        <w:t xml:space="preserve">, but </w:t>
      </w:r>
      <w:r w:rsidR="005C233B">
        <w:rPr>
          <w:lang w:val="en-US"/>
        </w:rPr>
        <w:t>also</w:t>
      </w:r>
      <w:r w:rsidR="0001225F">
        <w:rPr>
          <w:lang w:val="en-US"/>
        </w:rPr>
        <w:t xml:space="preserve"> </w:t>
      </w:r>
      <w:r w:rsidR="00531027">
        <w:rPr>
          <w:lang w:val="en-US"/>
        </w:rPr>
        <w:t xml:space="preserve">in </w:t>
      </w:r>
      <w:r>
        <w:rPr>
          <w:lang w:val="en-US"/>
        </w:rPr>
        <w:t xml:space="preserve">relation to </w:t>
      </w:r>
      <w:r w:rsidR="00862B98">
        <w:rPr>
          <w:lang w:val="en-US"/>
        </w:rPr>
        <w:t>support</w:t>
      </w:r>
      <w:r w:rsidR="00A27531">
        <w:rPr>
          <w:lang w:val="en-US"/>
        </w:rPr>
        <w:t xml:space="preserve">ing the European Union’s </w:t>
      </w:r>
      <w:r>
        <w:rPr>
          <w:lang w:val="en-US"/>
        </w:rPr>
        <w:t xml:space="preserve">energy and climate targets and objectives. </w:t>
      </w:r>
    </w:p>
    <w:p w:rsidR="00987B2B" w:rsidRDefault="00987B2B" w:rsidP="003E182A">
      <w:pPr>
        <w:widowControl w:val="0"/>
        <w:jc w:val="both"/>
        <w:rPr>
          <w:lang w:val="en-US"/>
        </w:rPr>
      </w:pPr>
    </w:p>
    <w:p w:rsidR="009E2955" w:rsidRDefault="00987B2B" w:rsidP="003E182A">
      <w:pPr>
        <w:widowControl w:val="0"/>
        <w:jc w:val="both"/>
      </w:pPr>
      <w:r>
        <w:t>It is</w:t>
      </w:r>
      <w:r w:rsidR="005C233B">
        <w:t xml:space="preserve"> </w:t>
      </w:r>
      <w:r w:rsidR="00A27531">
        <w:t xml:space="preserve">therefore </w:t>
      </w:r>
      <w:r w:rsidR="00531027">
        <w:t xml:space="preserve">especially </w:t>
      </w:r>
      <w:r>
        <w:t xml:space="preserve">important that the </w:t>
      </w:r>
      <w:r w:rsidR="005C233B">
        <w:t xml:space="preserve">upcoming revision </w:t>
      </w:r>
      <w:r>
        <w:t xml:space="preserve">of the EEAG </w:t>
      </w:r>
      <w:r w:rsidR="00247388">
        <w:t xml:space="preserve">and GBER </w:t>
      </w:r>
      <w:r w:rsidR="005C233B">
        <w:t>take</w:t>
      </w:r>
      <w:r>
        <w:t xml:space="preserve"> into consideration that </w:t>
      </w:r>
      <w:r w:rsidR="00A27531">
        <w:t xml:space="preserve">the European Union </w:t>
      </w:r>
      <w:r w:rsidR="00247388">
        <w:t xml:space="preserve">as a whole has set </w:t>
      </w:r>
      <w:r w:rsidR="005C233B">
        <w:t>a target to reach climate neutrality by 2050</w:t>
      </w:r>
      <w:r w:rsidR="00247388">
        <w:t xml:space="preserve"> and</w:t>
      </w:r>
      <w:r w:rsidR="00D9787A">
        <w:t xml:space="preserve"> has adopted</w:t>
      </w:r>
      <w:r w:rsidR="005C233B">
        <w:t xml:space="preserve"> </w:t>
      </w:r>
      <w:r>
        <w:t xml:space="preserve">ambitious energy and climate targets for </w:t>
      </w:r>
      <w:r w:rsidR="00247388">
        <w:t>2030</w:t>
      </w:r>
      <w:r w:rsidR="009E2955">
        <w:t xml:space="preserve">. </w:t>
      </w:r>
      <w:r w:rsidR="00531027">
        <w:t xml:space="preserve">The European Council </w:t>
      </w:r>
      <w:r w:rsidR="00B16B2D">
        <w:t xml:space="preserve">agreed </w:t>
      </w:r>
      <w:r w:rsidR="00247388">
        <w:t xml:space="preserve">as late as </w:t>
      </w:r>
      <w:r w:rsidR="00531027">
        <w:t xml:space="preserve">in December 2020 to </w:t>
      </w:r>
      <w:r w:rsidR="00B16B2D">
        <w:t xml:space="preserve">increase </w:t>
      </w:r>
      <w:r w:rsidR="00531027">
        <w:t xml:space="preserve">EU’s </w:t>
      </w:r>
      <w:r w:rsidR="009E2955">
        <w:t>climate target for 2030 to at least 55 percent</w:t>
      </w:r>
      <w:r w:rsidR="00B16B2D">
        <w:t xml:space="preserve">. It </w:t>
      </w:r>
      <w:r w:rsidR="00D9787A">
        <w:t xml:space="preserve">is therefore necessary to supplement </w:t>
      </w:r>
      <w:r w:rsidR="00531027">
        <w:t xml:space="preserve">the </w:t>
      </w:r>
      <w:r w:rsidR="00D9787A">
        <w:t xml:space="preserve">European Green Deal and the </w:t>
      </w:r>
      <w:r w:rsidR="00531027">
        <w:t xml:space="preserve">upcoming </w:t>
      </w:r>
      <w:r w:rsidR="00040FBC">
        <w:t>“fit-for-55-package”</w:t>
      </w:r>
      <w:r w:rsidR="003A4DCB">
        <w:t>,</w:t>
      </w:r>
      <w:r w:rsidR="00040FBC">
        <w:t xml:space="preserve"> </w:t>
      </w:r>
      <w:r w:rsidR="00B16B2D">
        <w:t>which will focus on implementing the</w:t>
      </w:r>
      <w:r w:rsidR="00247388">
        <w:t xml:space="preserve"> new climate</w:t>
      </w:r>
      <w:r w:rsidR="00B16B2D">
        <w:t xml:space="preserve"> target into relevant sector legislation</w:t>
      </w:r>
      <w:r w:rsidR="003A4DCB">
        <w:t>,</w:t>
      </w:r>
      <w:r w:rsidR="00B16B2D">
        <w:t xml:space="preserve"> by a strengthened, modernized and future proof state aid </w:t>
      </w:r>
      <w:r w:rsidR="003A4DCB">
        <w:t>legislation</w:t>
      </w:r>
      <w:r w:rsidR="00B16B2D">
        <w:t xml:space="preserve"> </w:t>
      </w:r>
      <w:r w:rsidR="003A4DCB">
        <w:t xml:space="preserve">that can </w:t>
      </w:r>
      <w:r w:rsidR="00B16B2D">
        <w:t xml:space="preserve">support </w:t>
      </w:r>
      <w:r w:rsidR="00531027">
        <w:t>the green transition in the Member States</w:t>
      </w:r>
      <w:r w:rsidR="00247388">
        <w:t xml:space="preserve"> and</w:t>
      </w:r>
      <w:r w:rsidR="003A4DCB">
        <w:t xml:space="preserve"> ensure the </w:t>
      </w:r>
      <w:r w:rsidR="00B16B2D">
        <w:t xml:space="preserve">necessary investments in </w:t>
      </w:r>
      <w:r w:rsidR="003A4DCB">
        <w:t>renewable energy, including new</w:t>
      </w:r>
      <w:r w:rsidR="00247388">
        <w:t xml:space="preserve"> renewable energy </w:t>
      </w:r>
      <w:r w:rsidR="00B16B2D">
        <w:t>technologies</w:t>
      </w:r>
      <w:r w:rsidR="003A4DCB">
        <w:t xml:space="preserve">. </w:t>
      </w:r>
    </w:p>
    <w:p w:rsidR="001F6A59" w:rsidRDefault="001F6A59" w:rsidP="003E182A">
      <w:pPr>
        <w:widowControl w:val="0"/>
        <w:jc w:val="both"/>
      </w:pPr>
    </w:p>
    <w:p w:rsidR="001F6A59" w:rsidRDefault="001F6A59" w:rsidP="003E182A">
      <w:pPr>
        <w:widowControl w:val="0"/>
        <w:jc w:val="both"/>
      </w:pPr>
      <w:r>
        <w:t xml:space="preserve">The Danish Government would also </w:t>
      </w:r>
      <w:r w:rsidR="00A27531">
        <w:t xml:space="preserve">like to </w:t>
      </w:r>
      <w:r>
        <w:t xml:space="preserve">refer to </w:t>
      </w:r>
      <w:r w:rsidR="007D0006">
        <w:t xml:space="preserve">its previous </w:t>
      </w:r>
      <w:r>
        <w:t xml:space="preserve">comments </w:t>
      </w:r>
      <w:r w:rsidR="007D0006">
        <w:t xml:space="preserve">from September </w:t>
      </w:r>
      <w:r>
        <w:t xml:space="preserve">2019 to the revision of the guidelines as part of the fitness check-exercise. </w:t>
      </w:r>
    </w:p>
    <w:p w:rsidR="00531027" w:rsidRDefault="00531027" w:rsidP="003E182A">
      <w:pPr>
        <w:widowControl w:val="0"/>
        <w:jc w:val="both"/>
      </w:pPr>
    </w:p>
    <w:p w:rsidR="00987B2B" w:rsidRPr="00614095" w:rsidRDefault="00247388" w:rsidP="003E182A">
      <w:pPr>
        <w:widowControl w:val="0"/>
        <w:jc w:val="both"/>
        <w:rPr>
          <w:i/>
        </w:rPr>
      </w:pPr>
      <w:r>
        <w:rPr>
          <w:i/>
        </w:rPr>
        <w:t>T</w:t>
      </w:r>
      <w:r w:rsidR="00901652">
        <w:rPr>
          <w:i/>
        </w:rPr>
        <w:t xml:space="preserve">he </w:t>
      </w:r>
      <w:r w:rsidR="003D14A3">
        <w:rPr>
          <w:i/>
        </w:rPr>
        <w:t>current</w:t>
      </w:r>
      <w:r w:rsidR="00987B2B" w:rsidRPr="00614095">
        <w:rPr>
          <w:i/>
        </w:rPr>
        <w:t xml:space="preserve"> </w:t>
      </w:r>
      <w:r w:rsidR="00901652">
        <w:rPr>
          <w:i/>
        </w:rPr>
        <w:t>EEAG</w:t>
      </w:r>
    </w:p>
    <w:p w:rsidR="00987B2B" w:rsidRDefault="003A4DCB" w:rsidP="003E182A">
      <w:pPr>
        <w:widowControl w:val="0"/>
        <w:jc w:val="both"/>
        <w:rPr>
          <w:sz w:val="19"/>
          <w:szCs w:val="19"/>
          <w:lang w:val="en-US"/>
        </w:rPr>
      </w:pPr>
      <w:r>
        <w:t xml:space="preserve">The Danish Government </w:t>
      </w:r>
      <w:r w:rsidR="00987B2B">
        <w:t xml:space="preserve">is of the opinion that the key principle of the </w:t>
      </w:r>
      <w:r w:rsidR="004E63AF">
        <w:t xml:space="preserve">EEAG </w:t>
      </w:r>
      <w:r w:rsidR="00987B2B">
        <w:t xml:space="preserve">concerning aid for energy from renewable sources should be maintained, thus establishing that aid as a main rule only can be granted </w:t>
      </w:r>
      <w:r w:rsidR="00987B2B" w:rsidRPr="008A7156">
        <w:rPr>
          <w:sz w:val="19"/>
          <w:szCs w:val="19"/>
          <w:lang w:val="en-US"/>
        </w:rPr>
        <w:t>in a competitive bidding process on the basis of clear, transparent and non-discriminatory criteria, unless</w:t>
      </w:r>
      <w:r w:rsidR="00987B2B">
        <w:rPr>
          <w:sz w:val="19"/>
          <w:szCs w:val="19"/>
          <w:lang w:val="en-US"/>
        </w:rPr>
        <w:t xml:space="preserve"> certain explicitly described circumstances are in place, cf. </w:t>
      </w:r>
      <w:r w:rsidR="00D9787A">
        <w:rPr>
          <w:sz w:val="19"/>
          <w:szCs w:val="19"/>
          <w:lang w:val="en-US"/>
        </w:rPr>
        <w:t>A</w:t>
      </w:r>
      <w:r w:rsidR="004E63AF">
        <w:rPr>
          <w:sz w:val="19"/>
          <w:szCs w:val="19"/>
          <w:lang w:val="en-US"/>
        </w:rPr>
        <w:t xml:space="preserve">rticle </w:t>
      </w:r>
      <w:r w:rsidR="00987B2B">
        <w:rPr>
          <w:sz w:val="19"/>
          <w:szCs w:val="19"/>
          <w:lang w:val="en-US"/>
        </w:rPr>
        <w:t xml:space="preserve">126. </w:t>
      </w:r>
      <w:r w:rsidR="00210785">
        <w:rPr>
          <w:sz w:val="19"/>
          <w:szCs w:val="19"/>
          <w:lang w:val="en-US"/>
        </w:rPr>
        <w:t xml:space="preserve">Technology-neutral bidding processes are future proof and key in the green transition of the energy sector. </w:t>
      </w:r>
      <w:r w:rsidR="00987B2B">
        <w:rPr>
          <w:sz w:val="19"/>
          <w:szCs w:val="19"/>
          <w:lang w:val="en-US"/>
        </w:rPr>
        <w:t>The existing option to limit a bidding process to specific technologies</w:t>
      </w:r>
      <w:r w:rsidR="00210785">
        <w:rPr>
          <w:sz w:val="19"/>
          <w:szCs w:val="19"/>
          <w:lang w:val="en-US"/>
        </w:rPr>
        <w:t xml:space="preserve"> should only be maintained as long as </w:t>
      </w:r>
      <w:r w:rsidR="00987B2B">
        <w:rPr>
          <w:sz w:val="19"/>
          <w:szCs w:val="19"/>
          <w:lang w:val="en-US"/>
        </w:rPr>
        <w:t xml:space="preserve">an open </w:t>
      </w:r>
      <w:r w:rsidR="00D9787A">
        <w:rPr>
          <w:sz w:val="19"/>
          <w:szCs w:val="19"/>
          <w:lang w:val="en-US"/>
        </w:rPr>
        <w:t>process, which includes all technologies,</w:t>
      </w:r>
      <w:r w:rsidR="00987B2B">
        <w:rPr>
          <w:sz w:val="19"/>
          <w:szCs w:val="19"/>
          <w:lang w:val="en-US"/>
        </w:rPr>
        <w:t xml:space="preserve"> would lead to a suboptimal result</w:t>
      </w:r>
      <w:r w:rsidR="00076715">
        <w:rPr>
          <w:sz w:val="19"/>
          <w:szCs w:val="19"/>
          <w:lang w:val="en-US"/>
        </w:rPr>
        <w:t>.</w:t>
      </w:r>
    </w:p>
    <w:p w:rsidR="0001225F" w:rsidRDefault="0001225F" w:rsidP="003E182A">
      <w:pPr>
        <w:widowControl w:val="0"/>
        <w:jc w:val="both"/>
        <w:rPr>
          <w:sz w:val="19"/>
          <w:szCs w:val="19"/>
          <w:lang w:val="en-US"/>
        </w:rPr>
      </w:pPr>
    </w:p>
    <w:p w:rsidR="00987B2B" w:rsidRDefault="00D9787A" w:rsidP="003E182A">
      <w:pPr>
        <w:widowControl w:val="0"/>
        <w:jc w:val="both"/>
        <w:rPr>
          <w:i/>
        </w:rPr>
      </w:pPr>
      <w:r w:rsidRPr="00D9787A">
        <w:rPr>
          <w:i/>
        </w:rPr>
        <w:t>Cross-border opening of aid schemes</w:t>
      </w:r>
    </w:p>
    <w:p w:rsidR="00D9787A" w:rsidRDefault="00D9787A" w:rsidP="003E182A">
      <w:pPr>
        <w:widowControl w:val="0"/>
        <w:jc w:val="both"/>
      </w:pPr>
      <w:r>
        <w:t>Even though cross-border opening of aid schemes could increase e.g. the competition and minimize the risk of competitive advantages to firms located in Member States with greater financial resources, the disadvantages would be even larger.</w:t>
      </w:r>
      <w:r w:rsidR="00340887">
        <w:t xml:space="preserve"> Not least, the complexity of constructing such aid schemes, the challenges attached to monitoring, enforcement etc., but also – and most importantly – the risk </w:t>
      </w:r>
      <w:r w:rsidR="002837F0">
        <w:lastRenderedPageBreak/>
        <w:t xml:space="preserve">this could cause </w:t>
      </w:r>
      <w:r w:rsidR="00340887">
        <w:t>for the green transition and future de</w:t>
      </w:r>
      <w:r w:rsidR="002837F0">
        <w:t>ploy</w:t>
      </w:r>
      <w:r w:rsidR="00340887">
        <w:t>ment of renewable energy in Member States</w:t>
      </w:r>
      <w:r w:rsidR="002837F0">
        <w:t>,</w:t>
      </w:r>
      <w:r w:rsidR="00340887">
        <w:t xml:space="preserve"> if Member States where forced to open aid schemes</w:t>
      </w:r>
      <w:r w:rsidR="002837F0">
        <w:t xml:space="preserve"> and not was able to decide</w:t>
      </w:r>
      <w:r w:rsidR="00E62E23">
        <w:t xml:space="preserve"> on a fully voluntary basis where new renewable energy should be deployed</w:t>
      </w:r>
      <w:r w:rsidR="00340887">
        <w:t xml:space="preserve">. </w:t>
      </w:r>
    </w:p>
    <w:p w:rsidR="00E62E23" w:rsidRDefault="00E62E23" w:rsidP="003E182A">
      <w:pPr>
        <w:widowControl w:val="0"/>
        <w:jc w:val="both"/>
      </w:pPr>
    </w:p>
    <w:p w:rsidR="00E62E23" w:rsidRDefault="00E62E23" w:rsidP="003E182A">
      <w:pPr>
        <w:widowControl w:val="0"/>
        <w:jc w:val="both"/>
      </w:pPr>
      <w:r>
        <w:t xml:space="preserve">The Danish Government will strongly recommend that the cross-border opening of aid schemes will continue to be voluntary, just as it is already stated in the Directive on Renewable Energy </w:t>
      </w:r>
      <w:r w:rsidRPr="00162BAC">
        <w:rPr>
          <w:lang w:val="en-US"/>
        </w:rPr>
        <w:t>(2018/2001/EU)</w:t>
      </w:r>
      <w:r>
        <w:t xml:space="preserve">. It will be possible to ensure the competition and minimize any risks attached hereto with other measures, e.g. by </w:t>
      </w:r>
      <w:r w:rsidR="001F6A59">
        <w:t>public tenders and competitive bidding processes</w:t>
      </w:r>
      <w:r>
        <w:t>.</w:t>
      </w:r>
    </w:p>
    <w:p w:rsidR="00D9787A" w:rsidRPr="00D9787A" w:rsidRDefault="00D9787A" w:rsidP="003E182A">
      <w:pPr>
        <w:widowControl w:val="0"/>
        <w:jc w:val="both"/>
        <w:rPr>
          <w:i/>
        </w:rPr>
      </w:pPr>
    </w:p>
    <w:p w:rsidR="00987B2B" w:rsidRPr="00614095" w:rsidRDefault="00987B2B" w:rsidP="003E182A">
      <w:pPr>
        <w:widowControl w:val="0"/>
        <w:jc w:val="both"/>
        <w:rPr>
          <w:i/>
        </w:rPr>
      </w:pPr>
      <w:r w:rsidRPr="00614095">
        <w:rPr>
          <w:i/>
        </w:rPr>
        <w:t>Alignment with the revised Renewable Energy Directive</w:t>
      </w:r>
    </w:p>
    <w:p w:rsidR="00FF4F07" w:rsidRDefault="00FF4F07" w:rsidP="003E182A">
      <w:pPr>
        <w:widowControl w:val="0"/>
        <w:jc w:val="both"/>
        <w:rPr>
          <w:lang w:val="en-US"/>
        </w:rPr>
      </w:pPr>
      <w:r w:rsidRPr="00162BAC">
        <w:rPr>
          <w:lang w:val="en-US"/>
        </w:rPr>
        <w:t xml:space="preserve">With the revised Renewable </w:t>
      </w:r>
      <w:r w:rsidR="001F6A59" w:rsidRPr="00162BAC">
        <w:rPr>
          <w:lang w:val="en-US"/>
        </w:rPr>
        <w:t>Energy, which enters into force in 2021</w:t>
      </w:r>
      <w:r w:rsidR="001F6A59">
        <w:rPr>
          <w:lang w:val="en-US"/>
        </w:rPr>
        <w:t xml:space="preserve">, </w:t>
      </w:r>
      <w:r w:rsidR="001F6A59" w:rsidRPr="00162BAC">
        <w:rPr>
          <w:lang w:val="en-US"/>
        </w:rPr>
        <w:t>the legislation</w:t>
      </w:r>
      <w:r w:rsidRPr="00162BAC">
        <w:rPr>
          <w:lang w:val="en-US"/>
        </w:rPr>
        <w:t xml:space="preserve"> concerning renewable energy has been brought up to date, and a number of new requirements to renewable energy technologies, criteria etc. have now been included in the EU legislation. This “modernisation” of the directive can raise questions whether the EEAG and GBER still are satisfactory aligned with the rules on renewable energy.</w:t>
      </w:r>
    </w:p>
    <w:p w:rsidR="00FF4F07" w:rsidRPr="00162BAC" w:rsidRDefault="00FF4F07" w:rsidP="003E182A">
      <w:pPr>
        <w:widowControl w:val="0"/>
        <w:jc w:val="both"/>
        <w:rPr>
          <w:lang w:val="en-US"/>
        </w:rPr>
      </w:pPr>
    </w:p>
    <w:p w:rsidR="00FF4F07" w:rsidRPr="00162BAC" w:rsidRDefault="00FF4F07" w:rsidP="003E182A">
      <w:pPr>
        <w:pStyle w:val="Opstilling-punkttegn"/>
        <w:widowControl w:val="0"/>
        <w:numPr>
          <w:ilvl w:val="0"/>
          <w:numId w:val="21"/>
        </w:numPr>
        <w:jc w:val="both"/>
      </w:pPr>
      <w:r w:rsidRPr="00162BAC">
        <w:rPr>
          <w:i/>
        </w:rPr>
        <w:t>The sustainable criteria</w:t>
      </w:r>
      <w:r w:rsidRPr="00162BAC">
        <w:t xml:space="preserve">: Denmark would appreciate further guidance on possible connections between the sustainability criteria in the Renewable Energy Directive </w:t>
      </w:r>
      <w:r>
        <w:t xml:space="preserve">(RED II) </w:t>
      </w:r>
      <w:r w:rsidRPr="00162BAC">
        <w:t xml:space="preserve">and state aid regulation. There is a need to clarify that it will be possible for Member States to make use of additional national sustainability criteria for e.g. biomass and biogas used for electricity, heating and cooling, </w:t>
      </w:r>
      <w:r w:rsidRPr="00162BAC">
        <w:rPr>
          <w:szCs w:val="20"/>
          <w:lang w:val="en-US"/>
        </w:rPr>
        <w:t xml:space="preserve">industrial purposes, upgrading for injection in gas grid, </w:t>
      </w:r>
      <w:r w:rsidRPr="00162BAC">
        <w:t xml:space="preserve">and link the compliance of the national sustainability criteria to existing aid schemes. </w:t>
      </w:r>
    </w:p>
    <w:p w:rsidR="00FF4F07" w:rsidRPr="00162BAC" w:rsidRDefault="00FF4F07" w:rsidP="003E182A">
      <w:pPr>
        <w:widowControl w:val="0"/>
        <w:jc w:val="both"/>
        <w:rPr>
          <w:lang w:val="en-US"/>
        </w:rPr>
      </w:pPr>
    </w:p>
    <w:p w:rsidR="00FF4F07" w:rsidRPr="00CE7976" w:rsidRDefault="00FF4F07" w:rsidP="003E182A">
      <w:pPr>
        <w:pStyle w:val="Opstilling-punkttegn"/>
        <w:widowControl w:val="0"/>
        <w:numPr>
          <w:ilvl w:val="0"/>
          <w:numId w:val="21"/>
        </w:numPr>
        <w:jc w:val="both"/>
      </w:pPr>
      <w:r w:rsidRPr="00CE7976">
        <w:rPr>
          <w:i/>
          <w:iCs/>
        </w:rPr>
        <w:t>Guarantees of origin</w:t>
      </w:r>
      <w:r w:rsidRPr="00CE7976">
        <w:t>: The extensive use of guarantees of origin in R</w:t>
      </w:r>
      <w:r>
        <w:t>ED II</w:t>
      </w:r>
      <w:r w:rsidR="00E44AF4">
        <w:t xml:space="preserve"> </w:t>
      </w:r>
      <w:r w:rsidRPr="00CE7976">
        <w:t xml:space="preserve">raises questions about how to implement these in connection with state aid regulations. </w:t>
      </w:r>
      <w:r w:rsidRPr="00CE7976">
        <w:rPr>
          <w:lang w:val="en-US"/>
        </w:rPr>
        <w:t xml:space="preserve">According to </w:t>
      </w:r>
      <w:r w:rsidR="00E44AF4">
        <w:rPr>
          <w:lang w:val="en-US"/>
        </w:rPr>
        <w:t xml:space="preserve">RED II </w:t>
      </w:r>
      <w:r w:rsidR="00B5798E">
        <w:rPr>
          <w:lang w:val="en-US"/>
        </w:rPr>
        <w:t>A</w:t>
      </w:r>
      <w:r w:rsidR="00E44AF4">
        <w:rPr>
          <w:lang w:val="en-US"/>
        </w:rPr>
        <w:t xml:space="preserve">rticle 19 (Guarantees of Origin), </w:t>
      </w:r>
      <w:r w:rsidRPr="00CE7976">
        <w:rPr>
          <w:lang w:val="en-US"/>
        </w:rPr>
        <w:t xml:space="preserve">Member States shall ensure that when a producer receives financial support from a support scheme, the market value of the guarantee of origin for the same production is taken into account appropriately in the relevant support scheme. </w:t>
      </w:r>
      <w:r w:rsidR="00E44AF4">
        <w:rPr>
          <w:lang w:val="en-US"/>
        </w:rPr>
        <w:t xml:space="preserve">It is foreseen in the implementation of </w:t>
      </w:r>
      <w:r w:rsidRPr="00CE7976">
        <w:rPr>
          <w:lang w:val="en-US"/>
        </w:rPr>
        <w:t>RED II</w:t>
      </w:r>
      <w:r w:rsidR="00E44AF4">
        <w:rPr>
          <w:lang w:val="en-US"/>
        </w:rPr>
        <w:t xml:space="preserve">, including </w:t>
      </w:r>
      <w:r w:rsidR="00B5798E">
        <w:rPr>
          <w:lang w:val="en-US"/>
        </w:rPr>
        <w:t>A</w:t>
      </w:r>
      <w:r w:rsidR="00E44AF4">
        <w:rPr>
          <w:lang w:val="en-US"/>
        </w:rPr>
        <w:t>rticle 19,</w:t>
      </w:r>
      <w:r w:rsidRPr="00CE7976">
        <w:rPr>
          <w:lang w:val="en-US"/>
        </w:rPr>
        <w:t xml:space="preserve"> in</w:t>
      </w:r>
      <w:r w:rsidR="00E44AF4">
        <w:rPr>
          <w:lang w:val="en-US"/>
        </w:rPr>
        <w:t>to</w:t>
      </w:r>
      <w:r w:rsidRPr="00CE7976">
        <w:rPr>
          <w:lang w:val="en-US"/>
        </w:rPr>
        <w:t xml:space="preserve"> Danish law that most of the future financial support to new </w:t>
      </w:r>
      <w:r w:rsidR="00E44AF4">
        <w:rPr>
          <w:lang w:val="en-US"/>
        </w:rPr>
        <w:t>renewable energy</w:t>
      </w:r>
      <w:r w:rsidRPr="00CE7976">
        <w:rPr>
          <w:lang w:val="en-US"/>
        </w:rPr>
        <w:t xml:space="preserve"> production capacity </w:t>
      </w:r>
      <w:r>
        <w:rPr>
          <w:lang w:val="en-US"/>
        </w:rPr>
        <w:t xml:space="preserve">will be granted </w:t>
      </w:r>
      <w:r w:rsidRPr="00CE7976">
        <w:rPr>
          <w:lang w:val="en-US"/>
        </w:rPr>
        <w:t>through a tender procedure. Therefore, the market value of the guarantee of origin will be taken into account. We expect that the future state aid framework will embrace this approach.   </w:t>
      </w:r>
    </w:p>
    <w:p w:rsidR="00FF4F07" w:rsidRPr="00162BAC" w:rsidRDefault="00FF4F07" w:rsidP="003E182A">
      <w:pPr>
        <w:widowControl w:val="0"/>
        <w:jc w:val="both"/>
        <w:rPr>
          <w:lang w:val="en-US"/>
        </w:rPr>
      </w:pPr>
    </w:p>
    <w:p w:rsidR="00E44AF4" w:rsidRDefault="00FF4F07" w:rsidP="003E182A">
      <w:pPr>
        <w:pStyle w:val="Opstilling-punkttegn"/>
        <w:widowControl w:val="0"/>
        <w:numPr>
          <w:ilvl w:val="0"/>
          <w:numId w:val="21"/>
        </w:numPr>
        <w:jc w:val="both"/>
      </w:pPr>
      <w:r w:rsidRPr="00DD37B4">
        <w:rPr>
          <w:i/>
        </w:rPr>
        <w:t>Biofuels</w:t>
      </w:r>
      <w:r w:rsidRPr="00162BAC">
        <w:t>: The current scope and defin</w:t>
      </w:r>
      <w:r>
        <w:t xml:space="preserve">itions in the guidelines should </w:t>
      </w:r>
      <w:r w:rsidRPr="00162BAC">
        <w:t>be considered in order to accommodate e.g. renewable liquid and gaseous transport fuels of non-biological origin and recycled carbon fuels. In connection with these fuels</w:t>
      </w:r>
      <w:r>
        <w:t>,</w:t>
      </w:r>
      <w:r w:rsidRPr="00162BAC">
        <w:t xml:space="preserve"> it should be considered to include not only production, but also conversion of energy. In general</w:t>
      </w:r>
      <w:r>
        <w:t>,</w:t>
      </w:r>
      <w:r w:rsidRPr="00162BAC">
        <w:t xml:space="preserve"> it is from a Danish point of view still necessary, to carry on the absolute ban on aid for food-based biofuels, which enters into </w:t>
      </w:r>
      <w:r w:rsidRPr="00162BAC">
        <w:lastRenderedPageBreak/>
        <w:t>force from 2021</w:t>
      </w:r>
      <w:r w:rsidRPr="00DD37B4">
        <w:rPr>
          <w:lang w:val="en-US"/>
        </w:rPr>
        <w:t xml:space="preserve">. </w:t>
      </w:r>
      <w:r w:rsidR="00DD37B4" w:rsidRPr="00DD37B4">
        <w:rPr>
          <w:lang w:val="en-US"/>
        </w:rPr>
        <w:t xml:space="preserve">However, when </w:t>
      </w:r>
      <w:r w:rsidR="00E44AF4" w:rsidRPr="00DD37B4">
        <w:rPr>
          <w:lang w:val="en-US"/>
        </w:rPr>
        <w:t>it comes to supporting the use of instruments as CO2 taxes which have shown to be a valuable supplement to reach the EU’s renewables energy targets for the transport sector, the rules should be made more flexible, e.g. by, to a larger extent, allowing for aid for biofuels covered by a supply or blending obligation.</w:t>
      </w:r>
      <w:r w:rsidR="00E44AF4" w:rsidRPr="007817B1">
        <w:t xml:space="preserve"> </w:t>
      </w:r>
    </w:p>
    <w:p w:rsidR="00E44AF4" w:rsidRDefault="00E44AF4" w:rsidP="003E182A">
      <w:pPr>
        <w:pStyle w:val="Opstilling-punkttegn"/>
        <w:widowControl w:val="0"/>
        <w:numPr>
          <w:ilvl w:val="0"/>
          <w:numId w:val="0"/>
        </w:numPr>
        <w:tabs>
          <w:tab w:val="left" w:pos="1304"/>
        </w:tabs>
        <w:jc w:val="both"/>
      </w:pPr>
    </w:p>
    <w:p w:rsidR="0001225F" w:rsidRPr="00E62E23" w:rsidRDefault="0001225F" w:rsidP="003E182A">
      <w:pPr>
        <w:widowControl w:val="0"/>
        <w:jc w:val="both"/>
        <w:rPr>
          <w:i/>
        </w:rPr>
      </w:pPr>
      <w:r w:rsidRPr="00E62E23">
        <w:rPr>
          <w:i/>
        </w:rPr>
        <w:t>Future proof guidelines</w:t>
      </w:r>
    </w:p>
    <w:p w:rsidR="0001225F" w:rsidRDefault="0001225F" w:rsidP="003E182A">
      <w:pPr>
        <w:widowControl w:val="0"/>
        <w:jc w:val="both"/>
      </w:pPr>
      <w:r>
        <w:t>The speed at which technologies develop underlines the need to try to future proof and include further technologies, not only in the EEAG, but also in the GBER, as the time factor is very important in relation to the development of new schemes.</w:t>
      </w:r>
      <w:r w:rsidRPr="002412FE">
        <w:t xml:space="preserve"> </w:t>
      </w:r>
      <w:r>
        <w:t>In this respect, Denmark would especially highlight the following:</w:t>
      </w:r>
    </w:p>
    <w:p w:rsidR="0001225F" w:rsidRPr="0075561F" w:rsidRDefault="0001225F" w:rsidP="003E182A">
      <w:pPr>
        <w:pStyle w:val="Opstilling-punkttegn"/>
        <w:widowControl w:val="0"/>
        <w:numPr>
          <w:ilvl w:val="0"/>
          <w:numId w:val="0"/>
        </w:numPr>
        <w:tabs>
          <w:tab w:val="left" w:pos="1304"/>
        </w:tabs>
        <w:jc w:val="both"/>
      </w:pPr>
    </w:p>
    <w:p w:rsidR="00FF4F07" w:rsidRPr="00DD37B4" w:rsidRDefault="00FF4F07" w:rsidP="003E182A">
      <w:pPr>
        <w:pStyle w:val="Opstilling-punkttegn"/>
        <w:widowControl w:val="0"/>
        <w:numPr>
          <w:ilvl w:val="0"/>
          <w:numId w:val="21"/>
        </w:numPr>
        <w:jc w:val="both"/>
        <w:rPr>
          <w:lang w:val="en-US"/>
        </w:rPr>
      </w:pPr>
      <w:r w:rsidRPr="00162BAC">
        <w:rPr>
          <w:i/>
          <w:lang w:val="en-US"/>
        </w:rPr>
        <w:t>P</w:t>
      </w:r>
      <w:r w:rsidR="00DD37B4">
        <w:rPr>
          <w:i/>
          <w:lang w:val="en-US"/>
        </w:rPr>
        <w:t>ower-to-X (P</w:t>
      </w:r>
      <w:r w:rsidRPr="00162BAC">
        <w:rPr>
          <w:i/>
          <w:lang w:val="en-US"/>
        </w:rPr>
        <w:t>t</w:t>
      </w:r>
      <w:r>
        <w:rPr>
          <w:i/>
          <w:lang w:val="en-US"/>
        </w:rPr>
        <w:t>X</w:t>
      </w:r>
      <w:r w:rsidR="00DD37B4">
        <w:rPr>
          <w:i/>
          <w:lang w:val="en-US"/>
        </w:rPr>
        <w:t>)</w:t>
      </w:r>
      <w:r w:rsidRPr="00162BAC">
        <w:rPr>
          <w:rStyle w:val="Fodnotehenvisning"/>
          <w:lang w:val="en-US"/>
        </w:rPr>
        <w:footnoteReference w:id="1"/>
      </w:r>
      <w:r w:rsidRPr="00162BAC">
        <w:rPr>
          <w:i/>
          <w:lang w:val="en-US"/>
        </w:rPr>
        <w:t xml:space="preserve">: </w:t>
      </w:r>
      <w:r w:rsidRPr="00162BAC">
        <w:rPr>
          <w:lang w:val="en-US"/>
        </w:rPr>
        <w:t>The rules on</w:t>
      </w:r>
      <w:r w:rsidRPr="00162BAC">
        <w:rPr>
          <w:i/>
          <w:lang w:val="en-US"/>
        </w:rPr>
        <w:t xml:space="preserve"> </w:t>
      </w:r>
      <w:r w:rsidRPr="00162BAC">
        <w:rPr>
          <w:lang w:val="en-US"/>
        </w:rPr>
        <w:t xml:space="preserve">state aid to PtX based on electricity from renewable energy sources are not </w:t>
      </w:r>
      <w:r>
        <w:rPr>
          <w:lang w:val="en-US"/>
        </w:rPr>
        <w:t xml:space="preserve">sufficiently </w:t>
      </w:r>
      <w:r w:rsidRPr="00162BAC">
        <w:rPr>
          <w:lang w:val="en-US"/>
        </w:rPr>
        <w:t xml:space="preserve">clear in the EEAG. However, in the 2020 hydrogen strategy for a climate-neutral Europe, the European Commission highlights the need for a revision of the state aid framework as well as the current RED II. </w:t>
      </w:r>
      <w:r w:rsidR="00B5798E">
        <w:rPr>
          <w:lang w:val="en-US"/>
        </w:rPr>
        <w:t>It is important that PtX (</w:t>
      </w:r>
      <w:r w:rsidR="00A82574">
        <w:rPr>
          <w:lang w:val="en-US"/>
        </w:rPr>
        <w:t xml:space="preserve">based on </w:t>
      </w:r>
      <w:r w:rsidR="00B5798E">
        <w:rPr>
          <w:lang w:val="en-US"/>
        </w:rPr>
        <w:t xml:space="preserve">renewable hydrogen) is handled by EEAG, and not only by the rules relating to IPCEI-projects. </w:t>
      </w:r>
      <w:r w:rsidRPr="00162BAC">
        <w:t>Producing fuels by converting renewable electricity require large amounts of renewable electricity from e.g. wind turbines or solar panels. The consumption of electricity for production of hydrogen and other fuels is considered flexible and can help provide flexibility on the consumption of electricity that better matches the volatile nature of electricity production on wind and solar. A clarification in the EEAG on the method to document that electricity provided through the grid qualify as renewable would be most helpful and could enable to ensure that the rapid growth in renewable capacity is met by the needed flexible demand.</w:t>
      </w:r>
    </w:p>
    <w:p w:rsidR="00DD37B4" w:rsidRDefault="00DD37B4" w:rsidP="003E182A">
      <w:pPr>
        <w:pStyle w:val="Listeafsnit"/>
        <w:widowControl w:val="0"/>
        <w:rPr>
          <w:lang w:val="en-US"/>
        </w:rPr>
      </w:pPr>
    </w:p>
    <w:p w:rsidR="00FF4F07" w:rsidRDefault="00FF4F07" w:rsidP="003E182A">
      <w:pPr>
        <w:pStyle w:val="Opstilling-punkttegn"/>
        <w:widowControl w:val="0"/>
        <w:numPr>
          <w:ilvl w:val="0"/>
          <w:numId w:val="21"/>
        </w:numPr>
        <w:jc w:val="both"/>
        <w:rPr>
          <w:lang w:val="en-US"/>
        </w:rPr>
      </w:pPr>
      <w:r w:rsidRPr="00DD37B4">
        <w:rPr>
          <w:i/>
          <w:lang w:val="en-US"/>
        </w:rPr>
        <w:t xml:space="preserve">Methodology on calculation of </w:t>
      </w:r>
      <w:r w:rsidR="00DD37B4">
        <w:rPr>
          <w:i/>
          <w:lang w:val="en-US"/>
        </w:rPr>
        <w:t>renewable energy</w:t>
      </w:r>
      <w:r w:rsidRPr="00DD37B4">
        <w:rPr>
          <w:lang w:val="en-US"/>
        </w:rPr>
        <w:t xml:space="preserve">: In RED II </w:t>
      </w:r>
      <w:r w:rsidR="0001225F">
        <w:rPr>
          <w:lang w:val="en-US"/>
        </w:rPr>
        <w:t>A</w:t>
      </w:r>
      <w:r w:rsidRPr="00DD37B4">
        <w:rPr>
          <w:lang w:val="en-US"/>
        </w:rPr>
        <w:t xml:space="preserve">rticle 27, the Directive stipulates forthcoming detailed rules by which economic operators are to comply with the proportion of </w:t>
      </w:r>
      <w:r w:rsidR="00DD37B4">
        <w:rPr>
          <w:lang w:val="en-US"/>
        </w:rPr>
        <w:t>renewable energy</w:t>
      </w:r>
      <w:r w:rsidRPr="00DD37B4">
        <w:rPr>
          <w:lang w:val="en-US"/>
        </w:rPr>
        <w:t xml:space="preserve"> for electricity in producing PtX. The guidelines should include this methodology in how to calculate the </w:t>
      </w:r>
      <w:r w:rsidR="00DD37B4">
        <w:rPr>
          <w:lang w:val="en-US"/>
        </w:rPr>
        <w:t>renewable energy</w:t>
      </w:r>
      <w:r w:rsidRPr="00DD37B4">
        <w:rPr>
          <w:lang w:val="en-US"/>
        </w:rPr>
        <w:t xml:space="preserve"> part of aid to PtX.</w:t>
      </w:r>
    </w:p>
    <w:p w:rsidR="00FA6B64" w:rsidRDefault="00FA6B64" w:rsidP="003E182A">
      <w:pPr>
        <w:pStyle w:val="Listeafsnit"/>
        <w:widowControl w:val="0"/>
        <w:rPr>
          <w:lang w:val="en-US"/>
        </w:rPr>
      </w:pPr>
    </w:p>
    <w:p w:rsidR="00FA6B64" w:rsidRPr="00E044CE" w:rsidRDefault="00FA6B64" w:rsidP="003E182A">
      <w:pPr>
        <w:pStyle w:val="Opstilling-punkttegn"/>
        <w:widowControl w:val="0"/>
        <w:numPr>
          <w:ilvl w:val="0"/>
          <w:numId w:val="21"/>
        </w:numPr>
        <w:jc w:val="both"/>
        <w:rPr>
          <w:lang w:val="en-US"/>
        </w:rPr>
      </w:pPr>
      <w:r w:rsidRPr="00FA6B64">
        <w:rPr>
          <w:i/>
          <w:lang w:val="en-US"/>
        </w:rPr>
        <w:t>Conversion and storage facilities for renewable energy</w:t>
      </w:r>
      <w:r w:rsidRPr="00CE7976">
        <w:rPr>
          <w:lang w:val="en-US"/>
        </w:rPr>
        <w:t xml:space="preserve">: There is an increasing need to demonstrate and promote the market penetration of industrial scale solutions to convert and store “excess” electricity produced from natural fluctuating </w:t>
      </w:r>
      <w:r>
        <w:rPr>
          <w:lang w:val="en-US"/>
        </w:rPr>
        <w:t xml:space="preserve">renewable energy sources </w:t>
      </w:r>
      <w:r w:rsidRPr="00CE7976">
        <w:rPr>
          <w:lang w:val="en-US"/>
        </w:rPr>
        <w:t>as wind and solar in order to balance - or “bridge the gap” -</w:t>
      </w:r>
      <w:r>
        <w:rPr>
          <w:lang w:val="en-US"/>
        </w:rPr>
        <w:t xml:space="preserve"> </w:t>
      </w:r>
      <w:r w:rsidRPr="00CE7976">
        <w:rPr>
          <w:lang w:val="en-US"/>
        </w:rPr>
        <w:t xml:space="preserve">between electricity production and consumption/end-use. The </w:t>
      </w:r>
      <w:r w:rsidRPr="00CE7976">
        <w:rPr>
          <w:lang w:val="en-US"/>
        </w:rPr>
        <w:lastRenderedPageBreak/>
        <w:t xml:space="preserve">development of flexible and cross-sectorial solutions to handle this challenge is crucial as a </w:t>
      </w:r>
      <w:r w:rsidRPr="00FA6B64">
        <w:rPr>
          <w:i/>
          <w:iCs/>
        </w:rPr>
        <w:t xml:space="preserve">prerequisite for </w:t>
      </w:r>
      <w:r w:rsidRPr="00CE7976">
        <w:rPr>
          <w:lang w:val="en-US"/>
        </w:rPr>
        <w:t>the green transition of the electricity supply both in physical and - not least - economical terms. The use of PtX-technologies as the production and storage of hydrogen is one example. As the market failure is the risk associated with testing and apply</w:t>
      </w:r>
      <w:r>
        <w:rPr>
          <w:lang w:val="en-US"/>
        </w:rPr>
        <w:t>ing of new and innovative</w:t>
      </w:r>
      <w:r w:rsidRPr="00CE7976">
        <w:rPr>
          <w:lang w:val="en-US"/>
        </w:rPr>
        <w:t xml:space="preserve"> conversion and storage solutions in the sector, this challenge should be embraced by the future state aid framework by allowi</w:t>
      </w:r>
      <w:r>
        <w:rPr>
          <w:lang w:val="en-US"/>
        </w:rPr>
        <w:t>ng investment grants inter alia.</w:t>
      </w:r>
      <w:r w:rsidRPr="00E044CE">
        <w:rPr>
          <w:lang w:val="en-US"/>
        </w:rPr>
        <w:t xml:space="preserve"> Some articles in the present GBER seems to contain conditions that are not fully compatible with the aim to promote the mentioned technologies</w:t>
      </w:r>
      <w:r w:rsidRPr="00FA6B64">
        <w:rPr>
          <w:lang w:val="en-US"/>
        </w:rPr>
        <w:t xml:space="preserve"> </w:t>
      </w:r>
      <w:r w:rsidRPr="00E044CE">
        <w:rPr>
          <w:lang w:val="en-US"/>
        </w:rPr>
        <w:t xml:space="preserve">especially when they have reached a state of maturity that is beyond the coverage of </w:t>
      </w:r>
      <w:r>
        <w:rPr>
          <w:lang w:val="en-US"/>
        </w:rPr>
        <w:t>A</w:t>
      </w:r>
      <w:r w:rsidRPr="00E044CE">
        <w:rPr>
          <w:lang w:val="en-US"/>
        </w:rPr>
        <w:t>rticle 25 regarding R&amp;D and Innovation.</w:t>
      </w:r>
    </w:p>
    <w:p w:rsidR="00FA6B64" w:rsidRDefault="00FA6B64" w:rsidP="003E182A">
      <w:pPr>
        <w:pStyle w:val="Listeafsnit"/>
        <w:widowControl w:val="0"/>
        <w:rPr>
          <w:lang w:val="en-US"/>
        </w:rPr>
      </w:pPr>
    </w:p>
    <w:p w:rsidR="00FA6B64" w:rsidRDefault="00FA6B64" w:rsidP="003E182A">
      <w:pPr>
        <w:pStyle w:val="Opstilling-punkttegn"/>
        <w:widowControl w:val="0"/>
        <w:numPr>
          <w:ilvl w:val="0"/>
          <w:numId w:val="21"/>
        </w:numPr>
        <w:jc w:val="both"/>
      </w:pPr>
      <w:r>
        <w:t xml:space="preserve">The GBER is a very useful instrument to designing and implementing aid schemes within a reasonable period. In order to make the regulation even more applicable to the needs of the green transition it would be useful to supplement the current regulation with possibilities that can accommodate new technological developments even better. </w:t>
      </w:r>
      <w:r w:rsidRPr="00523389">
        <w:t>The possibility of higher aid intensity to micro and small companies – including marketing expenses – would be highly relevant in order to support the development of inno</w:t>
      </w:r>
      <w:r>
        <w:t>vative energy technology</w:t>
      </w:r>
      <w:r w:rsidRPr="00523389">
        <w:t>.</w:t>
      </w:r>
      <w:r>
        <w:t xml:space="preserve"> Furthermore, it should be considered to raise the notification thresholds in order to alleviate administrative burdens. </w:t>
      </w:r>
    </w:p>
    <w:p w:rsidR="00FF4F07" w:rsidRDefault="00FF4F07" w:rsidP="003E182A">
      <w:pPr>
        <w:widowControl w:val="0"/>
        <w:jc w:val="both"/>
      </w:pPr>
    </w:p>
    <w:p w:rsidR="00DF147A" w:rsidRDefault="0001225F" w:rsidP="003E182A">
      <w:pPr>
        <w:widowControl w:val="0"/>
        <w:jc w:val="both"/>
        <w:rPr>
          <w:i/>
        </w:rPr>
      </w:pPr>
      <w:r w:rsidRPr="00E62E23">
        <w:rPr>
          <w:i/>
        </w:rPr>
        <w:t>Other important aspects</w:t>
      </w:r>
    </w:p>
    <w:p w:rsidR="00E62E23" w:rsidRPr="00E62E23" w:rsidRDefault="00FA6B64" w:rsidP="003E182A">
      <w:pPr>
        <w:widowControl w:val="0"/>
        <w:jc w:val="both"/>
      </w:pPr>
      <w:r>
        <w:t>Besides,</w:t>
      </w:r>
      <w:r w:rsidR="00E11A2F">
        <w:t xml:space="preserve"> the general viewpoints concerning key principles in the EEAG that should continue, the alignment with RED II </w:t>
      </w:r>
      <w:r>
        <w:t xml:space="preserve">and ensuring a future proof legislation </w:t>
      </w:r>
      <w:r w:rsidR="00E11A2F">
        <w:t xml:space="preserve">the following </w:t>
      </w:r>
      <w:r>
        <w:t xml:space="preserve">modernisation </w:t>
      </w:r>
      <w:r w:rsidR="00E11A2F">
        <w:t xml:space="preserve">aspects </w:t>
      </w:r>
      <w:r w:rsidR="00B5798E">
        <w:t>– w</w:t>
      </w:r>
      <w:r w:rsidR="00E11A2F">
        <w:t xml:space="preserve">hich are important to take into consideration when the EEAG </w:t>
      </w:r>
      <w:r>
        <w:t>and GBER are</w:t>
      </w:r>
      <w:r w:rsidR="00E11A2F">
        <w:t xml:space="preserve"> revised</w:t>
      </w:r>
      <w:r w:rsidR="00B5798E">
        <w:t xml:space="preserve"> – should be highlighted as well</w:t>
      </w:r>
      <w:r w:rsidR="00E11A2F">
        <w:t>.</w:t>
      </w:r>
    </w:p>
    <w:p w:rsidR="00E62E23" w:rsidRPr="00E62E23" w:rsidRDefault="00E62E23" w:rsidP="003E182A">
      <w:pPr>
        <w:widowControl w:val="0"/>
        <w:jc w:val="both"/>
        <w:rPr>
          <w:i/>
        </w:rPr>
      </w:pPr>
    </w:p>
    <w:p w:rsidR="00DF147A" w:rsidRDefault="00E11A2F" w:rsidP="003E182A">
      <w:pPr>
        <w:pStyle w:val="Opstilling-punkttegn"/>
        <w:widowControl w:val="0"/>
        <w:tabs>
          <w:tab w:val="num" w:pos="360"/>
        </w:tabs>
        <w:ind w:left="360" w:hanging="360"/>
        <w:jc w:val="both"/>
        <w:rPr>
          <w:lang w:val="en-US"/>
        </w:rPr>
      </w:pPr>
      <w:r>
        <w:rPr>
          <w:i/>
        </w:rPr>
        <w:t>C</w:t>
      </w:r>
      <w:r w:rsidR="00DF147A">
        <w:rPr>
          <w:i/>
        </w:rPr>
        <w:t xml:space="preserve">oherence with the </w:t>
      </w:r>
      <w:r w:rsidR="00DF147A" w:rsidRPr="00CE7976">
        <w:rPr>
          <w:i/>
        </w:rPr>
        <w:t>Clean Energy for All</w:t>
      </w:r>
      <w:r w:rsidR="00DF147A">
        <w:rPr>
          <w:i/>
        </w:rPr>
        <w:t xml:space="preserve"> package</w:t>
      </w:r>
      <w:r w:rsidR="00DF147A" w:rsidRPr="00CE7976">
        <w:rPr>
          <w:i/>
        </w:rPr>
        <w:t xml:space="preserve"> and the European Green Deal:</w:t>
      </w:r>
      <w:r w:rsidR="00DF147A">
        <w:t xml:space="preserve"> T</w:t>
      </w:r>
      <w:r w:rsidR="00DF147A" w:rsidRPr="00CE7976">
        <w:rPr>
          <w:lang w:val="en-US"/>
        </w:rPr>
        <w:t xml:space="preserve">he </w:t>
      </w:r>
      <w:r w:rsidR="00DF147A" w:rsidRPr="00DF147A">
        <w:rPr>
          <w:lang w:val="en-US"/>
        </w:rPr>
        <w:t>Clean Energy for All</w:t>
      </w:r>
      <w:r w:rsidR="00DF147A" w:rsidRPr="00CE7976">
        <w:rPr>
          <w:lang w:val="en-US"/>
        </w:rPr>
        <w:t xml:space="preserve"> package co</w:t>
      </w:r>
      <w:r w:rsidR="00DF147A">
        <w:rPr>
          <w:lang w:val="en-US"/>
        </w:rPr>
        <w:t xml:space="preserve">ntain </w:t>
      </w:r>
      <w:r w:rsidR="00DF147A" w:rsidRPr="00CE7976">
        <w:rPr>
          <w:lang w:val="en-US"/>
        </w:rPr>
        <w:t xml:space="preserve">articles </w:t>
      </w:r>
      <w:r w:rsidR="00DF147A">
        <w:rPr>
          <w:lang w:val="en-US"/>
        </w:rPr>
        <w:t>that could have</w:t>
      </w:r>
      <w:r w:rsidR="00DF147A" w:rsidRPr="00CE7976">
        <w:rPr>
          <w:lang w:val="en-US"/>
        </w:rPr>
        <w:t xml:space="preserve"> implications for state aid, e.g. capacity mechanisms and the more general need to ensure provision of flexibility from a security of supply perspective and measures to underpin electrification across various sectors. </w:t>
      </w:r>
      <w:r w:rsidR="00DF147A">
        <w:rPr>
          <w:lang w:val="en-US"/>
        </w:rPr>
        <w:t xml:space="preserve">A </w:t>
      </w:r>
      <w:r w:rsidR="00DF147A" w:rsidRPr="00CE7976">
        <w:rPr>
          <w:lang w:val="en-US"/>
        </w:rPr>
        <w:t xml:space="preserve">more general clarification of the relationship between the EEAG and the legislation covered by the </w:t>
      </w:r>
      <w:r w:rsidR="00DF147A" w:rsidRPr="00CE7976">
        <w:rPr>
          <w:i/>
          <w:lang w:val="en-US"/>
        </w:rPr>
        <w:t xml:space="preserve">Clean Energy for All </w:t>
      </w:r>
      <w:r w:rsidR="00DF147A" w:rsidRPr="00CE7976">
        <w:rPr>
          <w:lang w:val="en-US"/>
        </w:rPr>
        <w:t xml:space="preserve">package as well as measures covered by the </w:t>
      </w:r>
      <w:r w:rsidR="00DF147A" w:rsidRPr="00CE7976">
        <w:rPr>
          <w:i/>
          <w:lang w:val="en-US"/>
        </w:rPr>
        <w:t>European Green Deal</w:t>
      </w:r>
      <w:r w:rsidR="00DF147A">
        <w:rPr>
          <w:lang w:val="en-US"/>
        </w:rPr>
        <w:t xml:space="preserve"> is recommended.</w:t>
      </w:r>
    </w:p>
    <w:p w:rsidR="00DF147A" w:rsidRDefault="00DF147A" w:rsidP="003E182A">
      <w:pPr>
        <w:pStyle w:val="Opstilling-punkttegn"/>
        <w:widowControl w:val="0"/>
        <w:numPr>
          <w:ilvl w:val="0"/>
          <w:numId w:val="0"/>
        </w:numPr>
        <w:ind w:left="360"/>
        <w:jc w:val="both"/>
        <w:rPr>
          <w:lang w:val="en-US"/>
        </w:rPr>
      </w:pPr>
    </w:p>
    <w:p w:rsidR="00DF147A" w:rsidRPr="008910CE" w:rsidRDefault="00DF147A" w:rsidP="003E182A">
      <w:pPr>
        <w:pStyle w:val="Opstilling-punkttegn"/>
        <w:widowControl w:val="0"/>
        <w:tabs>
          <w:tab w:val="num" w:pos="360"/>
        </w:tabs>
        <w:ind w:left="360" w:hanging="360"/>
        <w:jc w:val="both"/>
        <w:rPr>
          <w:lang w:val="en-US"/>
        </w:rPr>
      </w:pPr>
      <w:r w:rsidRPr="00A1190D">
        <w:rPr>
          <w:i/>
          <w:lang w:val="en-US"/>
        </w:rPr>
        <w:t>EEAG and GBER</w:t>
      </w:r>
      <w:r>
        <w:rPr>
          <w:i/>
          <w:lang w:val="en-US"/>
        </w:rPr>
        <w:t>’s</w:t>
      </w:r>
      <w:r w:rsidRPr="00A1190D">
        <w:rPr>
          <w:i/>
          <w:lang w:val="en-US"/>
        </w:rPr>
        <w:t xml:space="preserve"> </w:t>
      </w:r>
      <w:r>
        <w:rPr>
          <w:i/>
          <w:lang w:val="en-US"/>
        </w:rPr>
        <w:t xml:space="preserve">coherence with the </w:t>
      </w:r>
      <w:r w:rsidRPr="00A1190D">
        <w:rPr>
          <w:i/>
          <w:lang w:val="en-US"/>
        </w:rPr>
        <w:t>sector regulation on energy</w:t>
      </w:r>
      <w:r w:rsidRPr="008910CE">
        <w:rPr>
          <w:lang w:val="en-US"/>
        </w:rPr>
        <w:t xml:space="preserve">: </w:t>
      </w:r>
      <w:r>
        <w:rPr>
          <w:lang w:val="en-US"/>
        </w:rPr>
        <w:t xml:space="preserve">It </w:t>
      </w:r>
      <w:r w:rsidR="00E11A2F">
        <w:rPr>
          <w:lang w:val="en-US"/>
        </w:rPr>
        <w:t xml:space="preserve">is </w:t>
      </w:r>
      <w:r w:rsidRPr="008910CE">
        <w:rPr>
          <w:rFonts w:cs="Arial"/>
          <w:iCs/>
          <w:szCs w:val="20"/>
          <w:lang w:val="en-US"/>
        </w:rPr>
        <w:t>suggest</w:t>
      </w:r>
      <w:r>
        <w:rPr>
          <w:rFonts w:cs="Arial"/>
          <w:iCs/>
          <w:szCs w:val="20"/>
          <w:lang w:val="en-US"/>
        </w:rPr>
        <w:t xml:space="preserve">ed to align </w:t>
      </w:r>
      <w:r w:rsidRPr="008910CE">
        <w:rPr>
          <w:rFonts w:cs="Arial"/>
          <w:iCs/>
          <w:szCs w:val="20"/>
          <w:lang w:val="en-US"/>
        </w:rPr>
        <w:t>the state aid r</w:t>
      </w:r>
      <w:r>
        <w:rPr>
          <w:rFonts w:cs="Arial"/>
          <w:iCs/>
          <w:szCs w:val="20"/>
          <w:lang w:val="en-US"/>
        </w:rPr>
        <w:t xml:space="preserve">ules </w:t>
      </w:r>
      <w:r w:rsidRPr="008910CE">
        <w:rPr>
          <w:rFonts w:cs="Arial"/>
          <w:iCs/>
          <w:szCs w:val="20"/>
          <w:lang w:val="en-US"/>
        </w:rPr>
        <w:t xml:space="preserve">with </w:t>
      </w:r>
      <w:r w:rsidR="00E11A2F">
        <w:rPr>
          <w:rFonts w:cs="Arial"/>
          <w:iCs/>
          <w:szCs w:val="20"/>
          <w:lang w:val="en-US"/>
        </w:rPr>
        <w:t xml:space="preserve">other </w:t>
      </w:r>
      <w:r w:rsidRPr="008910CE">
        <w:rPr>
          <w:rFonts w:cs="Arial"/>
          <w:iCs/>
          <w:szCs w:val="20"/>
          <w:lang w:val="en-US"/>
        </w:rPr>
        <w:t>sector regulation on energy, including the Energy Efficiency Directive, the Directive of Energy Performance of Buildings, and the Renewable Energy Directive, to support the principle of energy efficiency first.</w:t>
      </w:r>
      <w:r>
        <w:rPr>
          <w:rFonts w:cs="Arial"/>
          <w:iCs/>
          <w:szCs w:val="20"/>
          <w:lang w:val="en-US"/>
        </w:rPr>
        <w:t xml:space="preserve"> </w:t>
      </w:r>
    </w:p>
    <w:p w:rsidR="00DF147A" w:rsidRDefault="00DF147A" w:rsidP="003E182A">
      <w:pPr>
        <w:pStyle w:val="Opstilling-punkttegn"/>
        <w:widowControl w:val="0"/>
        <w:numPr>
          <w:ilvl w:val="0"/>
          <w:numId w:val="0"/>
        </w:numPr>
        <w:jc w:val="both"/>
        <w:rPr>
          <w:i/>
          <w:lang w:val="en-US"/>
        </w:rPr>
      </w:pPr>
    </w:p>
    <w:p w:rsidR="00DF147A" w:rsidRPr="00162BAC" w:rsidRDefault="00DF147A" w:rsidP="003E182A">
      <w:pPr>
        <w:pStyle w:val="Opstilling-punkttegn"/>
        <w:widowControl w:val="0"/>
        <w:tabs>
          <w:tab w:val="num" w:pos="360"/>
        </w:tabs>
        <w:ind w:left="360" w:hanging="360"/>
        <w:jc w:val="both"/>
        <w:rPr>
          <w:i/>
          <w:lang w:val="en-US"/>
        </w:rPr>
      </w:pPr>
      <w:r w:rsidRPr="00162BAC">
        <w:rPr>
          <w:i/>
          <w:lang w:val="en-US"/>
        </w:rPr>
        <w:t>Bidding process for biogas</w:t>
      </w:r>
      <w:r>
        <w:rPr>
          <w:i/>
          <w:lang w:val="en-US"/>
        </w:rPr>
        <w:t xml:space="preserve">: </w:t>
      </w:r>
      <w:r>
        <w:rPr>
          <w:lang w:val="en-US"/>
        </w:rPr>
        <w:t>Gu</w:t>
      </w:r>
      <w:r w:rsidRPr="00162BAC">
        <w:rPr>
          <w:lang w:val="en-US"/>
        </w:rPr>
        <w:t xml:space="preserve">idance in the new EEAG with regard to promoting biogas and methane produced by electrolysis and based on renewable energy </w:t>
      </w:r>
      <w:r w:rsidRPr="00162BAC">
        <w:rPr>
          <w:lang w:val="en-US"/>
        </w:rPr>
        <w:lastRenderedPageBreak/>
        <w:t>sources in a tender scheme for renewable gases</w:t>
      </w:r>
      <w:r>
        <w:rPr>
          <w:lang w:val="en-US"/>
        </w:rPr>
        <w:t xml:space="preserve"> would be appreciated</w:t>
      </w:r>
      <w:r w:rsidRPr="00162BAC">
        <w:rPr>
          <w:lang w:val="en-US"/>
        </w:rPr>
        <w:t xml:space="preserve">.  </w:t>
      </w:r>
    </w:p>
    <w:p w:rsidR="00DF147A" w:rsidRPr="00071710" w:rsidRDefault="00DF147A" w:rsidP="003E182A">
      <w:pPr>
        <w:widowControl w:val="0"/>
        <w:jc w:val="both"/>
        <w:rPr>
          <w:color w:val="006CAF" w:themeColor="accent6" w:themeShade="BF"/>
          <w:lang w:val="en-US"/>
        </w:rPr>
      </w:pPr>
    </w:p>
    <w:p w:rsidR="00DF147A" w:rsidRPr="00CE7976" w:rsidRDefault="00DF147A" w:rsidP="003E182A">
      <w:pPr>
        <w:pStyle w:val="Listeafsnit"/>
        <w:widowControl w:val="0"/>
        <w:numPr>
          <w:ilvl w:val="0"/>
          <w:numId w:val="22"/>
        </w:numPr>
        <w:jc w:val="both"/>
        <w:rPr>
          <w:i/>
          <w:u w:val="single"/>
          <w:lang w:val="en-US"/>
        </w:rPr>
      </w:pPr>
      <w:r w:rsidRPr="00CE7976">
        <w:rPr>
          <w:i/>
          <w:lang w:val="en-US"/>
        </w:rPr>
        <w:t xml:space="preserve">GBER </w:t>
      </w:r>
      <w:r w:rsidR="00356A6D">
        <w:rPr>
          <w:i/>
          <w:lang w:val="en-US"/>
        </w:rPr>
        <w:t>A</w:t>
      </w:r>
      <w:r w:rsidRPr="00CE7976">
        <w:rPr>
          <w:i/>
          <w:lang w:val="en-US"/>
        </w:rPr>
        <w:t>rticle 41:</w:t>
      </w:r>
      <w:r w:rsidRPr="00CE7976">
        <w:rPr>
          <w:lang w:val="en-US"/>
        </w:rPr>
        <w:t xml:space="preserve"> The article covers investment aid for the promotion of energy from renewable sources. However, </w:t>
      </w:r>
      <w:r>
        <w:rPr>
          <w:lang w:val="en-US"/>
        </w:rPr>
        <w:t xml:space="preserve">the </w:t>
      </w:r>
      <w:r w:rsidR="00356A6D">
        <w:rPr>
          <w:lang w:val="en-US"/>
        </w:rPr>
        <w:t xml:space="preserve">article seems </w:t>
      </w:r>
      <w:r>
        <w:rPr>
          <w:lang w:val="en-US"/>
        </w:rPr>
        <w:t xml:space="preserve">only </w:t>
      </w:r>
      <w:r w:rsidR="00356A6D">
        <w:rPr>
          <w:lang w:val="en-US"/>
        </w:rPr>
        <w:t xml:space="preserve">to be </w:t>
      </w:r>
      <w:r>
        <w:rPr>
          <w:lang w:val="en-US"/>
        </w:rPr>
        <w:t xml:space="preserve">applicable to </w:t>
      </w:r>
      <w:r w:rsidRPr="00CE7976">
        <w:rPr>
          <w:i/>
          <w:lang w:val="en-US"/>
        </w:rPr>
        <w:t>production</w:t>
      </w:r>
      <w:r w:rsidRPr="00CE7976">
        <w:rPr>
          <w:lang w:val="en-US"/>
        </w:rPr>
        <w:t xml:space="preserve"> of renewable energy. The conversion and storage technologies do not concern the energy production itself, but support the general deployment of </w:t>
      </w:r>
      <w:r w:rsidR="00356A6D">
        <w:rPr>
          <w:lang w:val="en-US"/>
        </w:rPr>
        <w:t>renewable energy.</w:t>
      </w:r>
      <w:r w:rsidRPr="00CE7976">
        <w:rPr>
          <w:lang w:val="en-US"/>
        </w:rPr>
        <w:t xml:space="preserve"> </w:t>
      </w:r>
      <w:r>
        <w:rPr>
          <w:lang w:val="en-US"/>
        </w:rPr>
        <w:t xml:space="preserve">In </w:t>
      </w:r>
      <w:r w:rsidRPr="00CE7976">
        <w:rPr>
          <w:lang w:val="en-US"/>
        </w:rPr>
        <w:t xml:space="preserve">this </w:t>
      </w:r>
      <w:r w:rsidR="00356A6D" w:rsidRPr="00CE7976">
        <w:rPr>
          <w:lang w:val="en-US"/>
        </w:rPr>
        <w:t>way,</w:t>
      </w:r>
      <w:r w:rsidRPr="00CE7976">
        <w:rPr>
          <w:lang w:val="en-US"/>
        </w:rPr>
        <w:t xml:space="preserve"> </w:t>
      </w:r>
      <w:r>
        <w:rPr>
          <w:lang w:val="en-US"/>
        </w:rPr>
        <w:t xml:space="preserve">these </w:t>
      </w:r>
      <w:r w:rsidRPr="00CE7976">
        <w:rPr>
          <w:lang w:val="en-US"/>
        </w:rPr>
        <w:t>technologies also promot</w:t>
      </w:r>
      <w:r>
        <w:rPr>
          <w:lang w:val="en-US"/>
        </w:rPr>
        <w:t xml:space="preserve">e </w:t>
      </w:r>
      <w:r w:rsidRPr="00CE7976">
        <w:rPr>
          <w:lang w:val="en-US"/>
        </w:rPr>
        <w:t xml:space="preserve">the production of primary energy from </w:t>
      </w:r>
      <w:r w:rsidR="00356A6D">
        <w:rPr>
          <w:lang w:val="en-US"/>
        </w:rPr>
        <w:t>renewable energy sources</w:t>
      </w:r>
      <w:r w:rsidRPr="00CE7976">
        <w:rPr>
          <w:lang w:val="en-US"/>
        </w:rPr>
        <w:t xml:space="preserve">. If this interpretation is correct, </w:t>
      </w:r>
      <w:r w:rsidR="00356A6D">
        <w:rPr>
          <w:lang w:val="en-US"/>
        </w:rPr>
        <w:t>it is proposed to include</w:t>
      </w:r>
      <w:r w:rsidRPr="00CE7976">
        <w:rPr>
          <w:lang w:val="en-US"/>
        </w:rPr>
        <w:t xml:space="preserve"> </w:t>
      </w:r>
      <w:r>
        <w:rPr>
          <w:lang w:val="en-US"/>
        </w:rPr>
        <w:t xml:space="preserve">aid for conversion and storage technologies in the future within GBER section 7 “Aid for environmental protection” or directly in </w:t>
      </w:r>
      <w:r w:rsidR="00356A6D">
        <w:rPr>
          <w:lang w:val="en-US"/>
        </w:rPr>
        <w:t>A</w:t>
      </w:r>
      <w:r>
        <w:rPr>
          <w:lang w:val="en-US"/>
        </w:rPr>
        <w:t>rticle 41.</w:t>
      </w:r>
    </w:p>
    <w:p w:rsidR="00DF147A" w:rsidRPr="00071710" w:rsidRDefault="00DF147A" w:rsidP="003E182A">
      <w:pPr>
        <w:widowControl w:val="0"/>
        <w:jc w:val="both"/>
        <w:rPr>
          <w:color w:val="006CAF" w:themeColor="accent6" w:themeShade="BF"/>
          <w:lang w:val="en-US"/>
        </w:rPr>
      </w:pPr>
      <w:r w:rsidRPr="00071710">
        <w:rPr>
          <w:color w:val="006CAF" w:themeColor="accent6" w:themeShade="BF"/>
          <w:lang w:val="en-US"/>
        </w:rPr>
        <w:t xml:space="preserve"> </w:t>
      </w:r>
    </w:p>
    <w:p w:rsidR="00DF147A" w:rsidRDefault="00DF147A" w:rsidP="003E182A">
      <w:pPr>
        <w:pStyle w:val="Listeafsnit"/>
        <w:widowControl w:val="0"/>
        <w:numPr>
          <w:ilvl w:val="0"/>
          <w:numId w:val="22"/>
        </w:numPr>
        <w:jc w:val="both"/>
        <w:rPr>
          <w:lang w:val="en-US"/>
        </w:rPr>
      </w:pPr>
      <w:r w:rsidRPr="00CE7976">
        <w:rPr>
          <w:i/>
          <w:lang w:val="en-US"/>
        </w:rPr>
        <w:t xml:space="preserve">GBER </w:t>
      </w:r>
      <w:r w:rsidR="00356A6D">
        <w:rPr>
          <w:i/>
          <w:lang w:val="en-US"/>
        </w:rPr>
        <w:t>A</w:t>
      </w:r>
      <w:r w:rsidRPr="00CE7976">
        <w:rPr>
          <w:i/>
          <w:lang w:val="en-US"/>
        </w:rPr>
        <w:t xml:space="preserve">rticle 48: </w:t>
      </w:r>
      <w:r w:rsidRPr="00CE7976">
        <w:rPr>
          <w:lang w:val="en-US"/>
        </w:rPr>
        <w:t xml:space="preserve">The above mentioned projects might fall within the scope of energy infrastructure </w:t>
      </w:r>
      <w:r>
        <w:rPr>
          <w:lang w:val="en-US"/>
        </w:rPr>
        <w:t xml:space="preserve">as defined </w:t>
      </w:r>
      <w:r w:rsidRPr="00CE7976">
        <w:rPr>
          <w:lang w:val="en-US"/>
        </w:rPr>
        <w:t>in Article 48(2): “</w:t>
      </w:r>
      <w:r w:rsidRPr="00CE7976">
        <w:rPr>
          <w:i/>
          <w:lang w:val="en-US"/>
        </w:rPr>
        <w:t>Electricity storage, defined as facilities used for storing electricity on a permanent or temporary basis in above-ground or underground infrastructure or geological sites, provided they are directly connected to high-voltage transmission lines for a voltage of 110 kV or more”</w:t>
      </w:r>
      <w:r w:rsidRPr="00CE7976">
        <w:rPr>
          <w:lang w:val="en-US"/>
        </w:rPr>
        <w:t>. However, as the relevant projects will not in all cases be directly connected to high-voltage transmission lines the present definition might be a “bottle</w:t>
      </w:r>
      <w:r w:rsidR="00356A6D">
        <w:rPr>
          <w:lang w:val="en-US"/>
        </w:rPr>
        <w:t>neck”. It is in general recognis</w:t>
      </w:r>
      <w:r w:rsidRPr="00CE7976">
        <w:rPr>
          <w:lang w:val="en-US"/>
        </w:rPr>
        <w:t>ed by the Commission that a more “local” approach to match electricity production versus end-use can be to the benefit of the overall electricity system as wel</w:t>
      </w:r>
      <w:r>
        <w:rPr>
          <w:lang w:val="en-US"/>
        </w:rPr>
        <w:t xml:space="preserve">l as to the rural development. </w:t>
      </w:r>
      <w:r w:rsidRPr="00CE7976">
        <w:rPr>
          <w:lang w:val="en-US"/>
        </w:rPr>
        <w:t>In addition</w:t>
      </w:r>
      <w:r>
        <w:rPr>
          <w:lang w:val="en-US"/>
        </w:rPr>
        <w:t>,</w:t>
      </w:r>
      <w:r w:rsidRPr="00CE7976">
        <w:rPr>
          <w:lang w:val="en-US"/>
        </w:rPr>
        <w:t xml:space="preserve"> there might also be a challenge in fulfilling the condition set in Article 48 (3), which states that: </w:t>
      </w:r>
      <w:r w:rsidRPr="00E11A2F">
        <w:rPr>
          <w:i/>
          <w:lang w:val="en-US"/>
        </w:rPr>
        <w:t>“The infrastructure shall be subject to full tariff and access regulation according to internal energy market legislation”.</w:t>
      </w:r>
      <w:r w:rsidRPr="00CE7976">
        <w:rPr>
          <w:lang w:val="en-US"/>
        </w:rPr>
        <w:t xml:space="preserve"> </w:t>
      </w:r>
      <w:r w:rsidR="00E11A2F">
        <w:rPr>
          <w:lang w:val="en-US"/>
        </w:rPr>
        <w:t>T</w:t>
      </w:r>
      <w:r w:rsidRPr="00CE7976">
        <w:rPr>
          <w:lang w:val="en-US"/>
        </w:rPr>
        <w:t xml:space="preserve">he different regulations should </w:t>
      </w:r>
      <w:r w:rsidR="00E11A2F">
        <w:rPr>
          <w:lang w:val="en-US"/>
        </w:rPr>
        <w:t xml:space="preserve">therefore </w:t>
      </w:r>
      <w:r w:rsidRPr="00CE7976">
        <w:rPr>
          <w:lang w:val="en-US"/>
        </w:rPr>
        <w:t>be aligned to promote the market penetration of the appropriate storage and conversion technologies.</w:t>
      </w:r>
    </w:p>
    <w:p w:rsidR="00DF147A" w:rsidRPr="00E044CE" w:rsidRDefault="00DF147A" w:rsidP="003E182A">
      <w:pPr>
        <w:pStyle w:val="Listeafsnit"/>
        <w:widowControl w:val="0"/>
        <w:ind w:left="360"/>
        <w:jc w:val="both"/>
        <w:rPr>
          <w:lang w:val="en-US"/>
        </w:rPr>
      </w:pPr>
    </w:p>
    <w:p w:rsidR="00DF147A" w:rsidRPr="00356A6D" w:rsidRDefault="00DF147A" w:rsidP="003E182A">
      <w:pPr>
        <w:pStyle w:val="Listeafsnit"/>
        <w:widowControl w:val="0"/>
        <w:numPr>
          <w:ilvl w:val="0"/>
          <w:numId w:val="22"/>
        </w:numPr>
        <w:jc w:val="both"/>
        <w:rPr>
          <w:lang w:val="en-US"/>
        </w:rPr>
      </w:pPr>
      <w:r w:rsidRPr="00356A6D">
        <w:rPr>
          <w:rFonts w:cs="Arial"/>
          <w:i/>
          <w:iCs/>
          <w:szCs w:val="20"/>
          <w:lang w:val="en-US"/>
        </w:rPr>
        <w:t>Conversion from renewable sources to renewable sources</w:t>
      </w:r>
      <w:r w:rsidR="00356A6D" w:rsidRPr="00356A6D">
        <w:rPr>
          <w:rFonts w:cs="Arial"/>
          <w:i/>
          <w:iCs/>
          <w:szCs w:val="20"/>
          <w:lang w:val="en-US"/>
        </w:rPr>
        <w:t xml:space="preserve">: </w:t>
      </w:r>
      <w:r w:rsidR="00E11A2F">
        <w:rPr>
          <w:rFonts w:cs="Arial"/>
          <w:iCs/>
          <w:szCs w:val="20"/>
          <w:lang w:val="en-US"/>
        </w:rPr>
        <w:t xml:space="preserve">It would be highly appreciated if </w:t>
      </w:r>
      <w:r w:rsidRPr="00356A6D">
        <w:rPr>
          <w:lang w:val="en-US"/>
        </w:rPr>
        <w:t xml:space="preserve">possibilities for Member States to provide state aid within the scope of EEAG and GBER for conversions from one renewable energy source to another renewable energy source that is considered more beneficial to the environment or climate e.g. with regard to CO2 reductions </w:t>
      </w:r>
      <w:r w:rsidR="00FA6B64">
        <w:rPr>
          <w:lang w:val="en-US"/>
        </w:rPr>
        <w:t>is clarified</w:t>
      </w:r>
      <w:r w:rsidRPr="00356A6D">
        <w:rPr>
          <w:lang w:val="en-US"/>
        </w:rPr>
        <w:t>.</w:t>
      </w:r>
    </w:p>
    <w:p w:rsidR="00DF147A" w:rsidRPr="00356A6D" w:rsidRDefault="00DF147A" w:rsidP="003E182A">
      <w:pPr>
        <w:pStyle w:val="Listeafsnit"/>
        <w:widowControl w:val="0"/>
        <w:ind w:left="360"/>
        <w:jc w:val="both"/>
        <w:rPr>
          <w:i/>
          <w:lang w:val="en-US"/>
        </w:rPr>
      </w:pPr>
    </w:p>
    <w:p w:rsidR="00DF147A" w:rsidRDefault="00DF147A" w:rsidP="003E182A">
      <w:pPr>
        <w:pStyle w:val="Listeafsnit"/>
        <w:widowControl w:val="0"/>
        <w:numPr>
          <w:ilvl w:val="0"/>
          <w:numId w:val="24"/>
        </w:numPr>
        <w:jc w:val="both"/>
        <w:rPr>
          <w:lang w:val="en-US"/>
        </w:rPr>
      </w:pPr>
      <w:r w:rsidRPr="00356A6D">
        <w:rPr>
          <w:i/>
          <w:lang w:val="en-US"/>
        </w:rPr>
        <w:t>Energy Efficiency Directives Article 7 and CO</w:t>
      </w:r>
      <w:r w:rsidRPr="00356A6D">
        <w:rPr>
          <w:i/>
          <w:vertAlign w:val="subscript"/>
          <w:lang w:val="en-US"/>
        </w:rPr>
        <w:t>2</w:t>
      </w:r>
      <w:r w:rsidRPr="00356A6D">
        <w:rPr>
          <w:i/>
          <w:lang w:val="en-US"/>
        </w:rPr>
        <w:t xml:space="preserve"> reductions</w:t>
      </w:r>
      <w:r w:rsidR="00356A6D" w:rsidRPr="00356A6D">
        <w:rPr>
          <w:i/>
          <w:lang w:val="en-US"/>
        </w:rPr>
        <w:t xml:space="preserve">: </w:t>
      </w:r>
      <w:r w:rsidRPr="00356A6D">
        <w:rPr>
          <w:lang w:val="en-US"/>
        </w:rPr>
        <w:t xml:space="preserve">It seems unclear whether-and-how Member States are to reduce the reported savings coming from planned subsidy schemes for free-rider effect, when these subsidy schemes constitute state aid, and therefore comply with the provisions of GBER regarding incentive effect. </w:t>
      </w:r>
      <w:r w:rsidR="00356A6D">
        <w:rPr>
          <w:lang w:val="en-US"/>
        </w:rPr>
        <w:t>There is possible</w:t>
      </w:r>
      <w:r w:rsidRPr="00356A6D">
        <w:rPr>
          <w:lang w:val="en-US"/>
        </w:rPr>
        <w:t xml:space="preserve"> a conflict between a correction for free-rider effect, and meeting the provisions of the GBER regarding incentive effect of the aid</w:t>
      </w:r>
      <w:r w:rsidR="00356A6D">
        <w:rPr>
          <w:lang w:val="en-US"/>
        </w:rPr>
        <w:t xml:space="preserve">. Further guidance within the GBER </w:t>
      </w:r>
      <w:r w:rsidRPr="00356A6D">
        <w:rPr>
          <w:lang w:val="en-US"/>
        </w:rPr>
        <w:t xml:space="preserve">would </w:t>
      </w:r>
      <w:r w:rsidR="00356A6D">
        <w:rPr>
          <w:lang w:val="en-US"/>
        </w:rPr>
        <w:t xml:space="preserve">therefore be </w:t>
      </w:r>
      <w:r w:rsidRPr="00356A6D">
        <w:rPr>
          <w:lang w:val="en-US"/>
        </w:rPr>
        <w:t>appreciate on how to operate safely in accordance with both sets of rules.</w:t>
      </w:r>
    </w:p>
    <w:p w:rsidR="00EB05EB" w:rsidRDefault="00EB05EB" w:rsidP="00EB05EB">
      <w:pPr>
        <w:pStyle w:val="Listeafsnit"/>
        <w:widowControl w:val="0"/>
        <w:ind w:left="360"/>
        <w:jc w:val="both"/>
        <w:rPr>
          <w:lang w:val="en-US"/>
        </w:rPr>
      </w:pPr>
    </w:p>
    <w:p w:rsidR="00EB05EB" w:rsidRPr="00EB05EB" w:rsidRDefault="00EB05EB" w:rsidP="00EB05EB">
      <w:pPr>
        <w:pStyle w:val="Listeafsnit"/>
        <w:widowControl w:val="0"/>
        <w:numPr>
          <w:ilvl w:val="0"/>
          <w:numId w:val="24"/>
        </w:numPr>
        <w:jc w:val="both"/>
        <w:rPr>
          <w:lang w:val="en-US"/>
        </w:rPr>
      </w:pPr>
      <w:r w:rsidRPr="00EB05EB">
        <w:rPr>
          <w:i/>
          <w:lang w:val="en-US"/>
        </w:rPr>
        <w:t>Inserting a transition period for already approved aid schemes</w:t>
      </w:r>
      <w:r w:rsidRPr="00EB05EB">
        <w:rPr>
          <w:lang w:val="en-US"/>
        </w:rPr>
        <w:t xml:space="preserve">: It is important that the revised guidelines contain a proper transition period as regards aid schemes that has been approved on the basis of the present guidelines and </w:t>
      </w:r>
      <w:r w:rsidRPr="00EB05EB">
        <w:rPr>
          <w:lang w:val="en-US"/>
        </w:rPr>
        <w:lastRenderedPageBreak/>
        <w:t xml:space="preserve">requirements. The purpose behind this will be to ensure that already approved aid schemes which still fulfil the general criteria for what constitutes legal state aid and which still is considered important for the green transition and the continued efforts for reducing greenhouse gas emissions could be prolonged despite the approval has been made according to the “old” requirements. </w:t>
      </w:r>
    </w:p>
    <w:p w:rsidR="00EB05EB" w:rsidRPr="00EB05EB" w:rsidRDefault="00EB05EB" w:rsidP="00EB05EB">
      <w:pPr>
        <w:widowControl w:val="0"/>
        <w:jc w:val="both"/>
        <w:rPr>
          <w:lang w:val="en-US"/>
        </w:rPr>
      </w:pPr>
    </w:p>
    <w:p w:rsidR="00987B2B" w:rsidRPr="00987B2B" w:rsidRDefault="00987B2B" w:rsidP="003E182A">
      <w:pPr>
        <w:widowControl w:val="0"/>
        <w:jc w:val="both"/>
        <w:rPr>
          <w:i/>
        </w:rPr>
      </w:pPr>
      <w:r w:rsidRPr="00987B2B">
        <w:rPr>
          <w:i/>
        </w:rPr>
        <w:t>Concluding remarks</w:t>
      </w:r>
    </w:p>
    <w:p w:rsidR="00247388" w:rsidRDefault="00987B2B" w:rsidP="003E182A">
      <w:pPr>
        <w:widowControl w:val="0"/>
        <w:jc w:val="both"/>
      </w:pPr>
      <w:r>
        <w:t xml:space="preserve">In conclusion, the Danish Government finds it of </w:t>
      </w:r>
      <w:r w:rsidR="00B5798E">
        <w:t>great</w:t>
      </w:r>
      <w:r>
        <w:t xml:space="preserve"> importance </w:t>
      </w:r>
      <w:r w:rsidR="001F6A59">
        <w:t xml:space="preserve">to make sure that the </w:t>
      </w:r>
      <w:r w:rsidR="009B24D2">
        <w:t>EEAG and GBER</w:t>
      </w:r>
      <w:r>
        <w:t xml:space="preserve"> </w:t>
      </w:r>
      <w:r w:rsidR="001F6A59">
        <w:t>in the future are not only strengthen, modernised and able to handle new technologies as long as the</w:t>
      </w:r>
      <w:r w:rsidR="00B5798E">
        <w:t>y are</w:t>
      </w:r>
      <w:r w:rsidR="001F6A59">
        <w:t xml:space="preserve"> develop</w:t>
      </w:r>
      <w:r w:rsidR="00B5798E">
        <w:t>ed</w:t>
      </w:r>
      <w:r w:rsidR="001F6A59">
        <w:t>, but also continue as the main purpose to support</w:t>
      </w:r>
      <w:r w:rsidR="00FA6B64">
        <w:t xml:space="preserve"> the European Union’s ambitious climate and energy policy</w:t>
      </w:r>
      <w:r w:rsidR="001F6A59">
        <w:t>.</w:t>
      </w:r>
    </w:p>
    <w:sectPr w:rsidR="00247388" w:rsidSect="003E182A">
      <w:headerReference w:type="default" r:id="rId7"/>
      <w:footerReference w:type="even" r:id="rId8"/>
      <w:footerReference w:type="default" r:id="rId9"/>
      <w:headerReference w:type="first" r:id="rId10"/>
      <w:footerReference w:type="first" r:id="rId11"/>
      <w:pgSz w:w="11906" w:h="16838" w:code="9"/>
      <w:pgMar w:top="2404" w:right="3260" w:bottom="1560" w:left="1247" w:header="459" w:footer="76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F10" w:rsidRDefault="005E2F10">
      <w:r>
        <w:separator/>
      </w:r>
    </w:p>
  </w:endnote>
  <w:endnote w:type="continuationSeparator" w:id="0">
    <w:p w:rsidR="005E2F10" w:rsidRDefault="005E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E958C2">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6BA" w:rsidRPr="00D136BA" w:rsidRDefault="00E958C2">
    <w:pPr>
      <w:pStyle w:val="Sidefod"/>
      <w:rPr>
        <w:b/>
        <w:sz w:val="16"/>
      </w:rPr>
    </w:pPr>
    <w:bookmarkStart w:id="1" w:name="LAN_Page_1"/>
    <w:r>
      <w:rPr>
        <w:rStyle w:val="Sidetal"/>
      </w:rPr>
      <w:t>Side</w:t>
    </w:r>
    <w:bookmarkEnd w:id="1"/>
    <w:r w:rsidR="00D136BA" w:rsidRPr="00D136BA">
      <w:rPr>
        <w:rStyle w:val="Sidetal"/>
      </w:rPr>
      <w:t xml:space="preserve"> </w:t>
    </w:r>
    <w:r w:rsidR="005515B4" w:rsidRPr="00D136BA">
      <w:rPr>
        <w:rStyle w:val="Sidetal"/>
      </w:rPr>
      <w:fldChar w:fldCharType="begin"/>
    </w:r>
    <w:r w:rsidR="005515B4" w:rsidRPr="00D136BA">
      <w:rPr>
        <w:rStyle w:val="Sidetal"/>
      </w:rPr>
      <w:instrText xml:space="preserve"> PAGE  </w:instrText>
    </w:r>
    <w:r w:rsidR="005515B4" w:rsidRPr="00D136BA">
      <w:rPr>
        <w:rStyle w:val="Sidetal"/>
      </w:rPr>
      <w:fldChar w:fldCharType="separate"/>
    </w:r>
    <w:r w:rsidR="006B5490">
      <w:rPr>
        <w:rStyle w:val="Sidetal"/>
        <w:noProof/>
      </w:rPr>
      <w:t>6</w:t>
    </w:r>
    <w:r w:rsidR="005515B4" w:rsidRPr="00D136BA">
      <w:rPr>
        <w:rStyle w:val="Sidetal"/>
      </w:rPr>
      <w:fldChar w:fldCharType="end"/>
    </w:r>
    <w:r w:rsidR="005515B4" w:rsidRPr="00D136BA">
      <w:rPr>
        <w:rStyle w:val="Sidetal"/>
      </w:rPr>
      <w:t>/</w:t>
    </w:r>
    <w:r w:rsidR="005515B4">
      <w:rPr>
        <w:rStyle w:val="Sidetal"/>
      </w:rPr>
      <w:fldChar w:fldCharType="begin"/>
    </w:r>
    <w:r w:rsidR="005515B4">
      <w:rPr>
        <w:rStyle w:val="Sidetal"/>
      </w:rPr>
      <w:instrText xml:space="preserve"> NUMPAGES  </w:instrText>
    </w:r>
    <w:r w:rsidR="005515B4">
      <w:rPr>
        <w:rStyle w:val="Sidetal"/>
      </w:rPr>
      <w:fldChar w:fldCharType="separate"/>
    </w:r>
    <w:r w:rsidR="006B5490">
      <w:rPr>
        <w:rStyle w:val="Sidetal"/>
        <w:noProof/>
      </w:rPr>
      <w:t>6</w:t>
    </w:r>
    <w:r w:rsidR="005515B4">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6EE" w:rsidRPr="002536EE" w:rsidRDefault="002536EE" w:rsidP="002536EE">
    <w:pPr>
      <w:pStyle w:val="Sidefod"/>
      <w:ind w:right="-1673"/>
      <w:jc w:val="right"/>
      <w:rPr>
        <w:sz w:val="16"/>
      </w:rPr>
    </w:pPr>
    <w:r w:rsidRPr="002536EE">
      <w:rPr>
        <w:sz w:val="16"/>
      </w:rPr>
      <w:t xml:space="preserve">Side </w:t>
    </w:r>
    <w:r w:rsidRPr="002536EE">
      <w:rPr>
        <w:sz w:val="16"/>
      </w:rPr>
      <w:fldChar w:fldCharType="begin"/>
    </w:r>
    <w:r w:rsidRPr="002536EE">
      <w:rPr>
        <w:sz w:val="16"/>
      </w:rPr>
      <w:instrText>PAGE  \* Arabic  \* MERGEFORMAT</w:instrText>
    </w:r>
    <w:r w:rsidRPr="002536EE">
      <w:rPr>
        <w:sz w:val="16"/>
      </w:rPr>
      <w:fldChar w:fldCharType="separate"/>
    </w:r>
    <w:r w:rsidR="006B5490">
      <w:rPr>
        <w:noProof/>
        <w:sz w:val="16"/>
      </w:rPr>
      <w:t>1</w:t>
    </w:r>
    <w:r w:rsidRPr="002536EE">
      <w:rPr>
        <w:sz w:val="16"/>
      </w:rPr>
      <w:fldChar w:fldCharType="end"/>
    </w:r>
    <w:r w:rsidRPr="002536EE">
      <w:rPr>
        <w:sz w:val="16"/>
      </w:rPr>
      <w:t>/</w:t>
    </w:r>
    <w:r w:rsidRPr="002536EE">
      <w:rPr>
        <w:sz w:val="16"/>
      </w:rPr>
      <w:fldChar w:fldCharType="begin"/>
    </w:r>
    <w:r w:rsidRPr="002536EE">
      <w:rPr>
        <w:sz w:val="16"/>
      </w:rPr>
      <w:instrText>NUMPAGES  \* Arabic  \* MERGEFORMAT</w:instrText>
    </w:r>
    <w:r w:rsidRPr="002536EE">
      <w:rPr>
        <w:sz w:val="16"/>
      </w:rPr>
      <w:fldChar w:fldCharType="separate"/>
    </w:r>
    <w:r w:rsidR="006B5490">
      <w:rPr>
        <w:noProof/>
        <w:sz w:val="16"/>
      </w:rPr>
      <w:t>6</w:t>
    </w:r>
    <w:r w:rsidRPr="002536EE">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F10" w:rsidRDefault="005E2F10">
      <w:r>
        <w:separator/>
      </w:r>
    </w:p>
  </w:footnote>
  <w:footnote w:type="continuationSeparator" w:id="0">
    <w:p w:rsidR="005E2F10" w:rsidRDefault="005E2F10">
      <w:r>
        <w:continuationSeparator/>
      </w:r>
    </w:p>
  </w:footnote>
  <w:footnote w:id="1">
    <w:p w:rsidR="00FF4F07" w:rsidRPr="00071710" w:rsidRDefault="00FF4F07" w:rsidP="00B5798E">
      <w:pPr>
        <w:pStyle w:val="Fodnotetekst"/>
        <w:spacing w:line="240" w:lineRule="auto"/>
        <w:jc w:val="both"/>
        <w:rPr>
          <w:lang w:val="en-US"/>
        </w:rPr>
      </w:pPr>
      <w:r>
        <w:rPr>
          <w:rStyle w:val="Fodnotehenvisning"/>
        </w:rPr>
        <w:footnoteRef/>
      </w:r>
      <w:r w:rsidRPr="00071710">
        <w:rPr>
          <w:lang w:val="en-US"/>
        </w:rPr>
        <w:t xml:space="preserve"> </w:t>
      </w:r>
      <w:r w:rsidRPr="00071710">
        <w:rPr>
          <w:i/>
          <w:lang w:val="en-US"/>
        </w:rPr>
        <w:t>Hydrogen PtX technologies</w:t>
      </w:r>
      <w:r>
        <w:rPr>
          <w:i/>
          <w:lang w:val="en-US"/>
        </w:rPr>
        <w:t>:</w:t>
      </w:r>
      <w:r w:rsidRPr="00071710">
        <w:rPr>
          <w:i/>
          <w:lang w:val="en-US"/>
        </w:rPr>
        <w:t xml:space="preserve"> </w:t>
      </w:r>
      <w:r w:rsidRPr="00071710">
        <w:rPr>
          <w:iCs/>
        </w:rPr>
        <w:t>PtX is a general term for a wide range of fuels and other products produced by electricity. Common for all of the PtX products are that they include hydrogen produced by electrolysis. Renewable hydrogen can be used directly for industrial processes, transport etc., or be used for production of synthetic fuels and gasses, methanol or ammonia for shipping as mentioned in the European Commission’s hydrogen strategy for a climate neutral Europe, production of jet fuel, electro-methane for the gas</w:t>
      </w:r>
      <w:r>
        <w:rPr>
          <w:iCs/>
        </w:rPr>
        <w:t xml:space="preserve"> </w:t>
      </w:r>
      <w:r w:rsidRPr="00071710">
        <w:rPr>
          <w:iCs/>
        </w:rPr>
        <w:t xml:space="preserve">system or products as fertilizers for agriculture. </w:t>
      </w:r>
    </w:p>
    <w:p w:rsidR="00FF4F07" w:rsidRPr="00071710" w:rsidRDefault="00FF4F07" w:rsidP="00FF4F07">
      <w:pPr>
        <w:pStyle w:val="Fodnoteteks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6EE" w:rsidRDefault="009B24D2">
    <w:pPr>
      <w:pStyle w:val="Sidehoved"/>
    </w:pPr>
    <w:r>
      <w:rPr>
        <w:noProof/>
        <w:lang w:val="da-DK" w:eastAsia="da-DK"/>
      </w:rPr>
      <w:drawing>
        <wp:anchor distT="0" distB="0" distL="114300" distR="114300" simplePos="0" relativeHeight="251663360" behindDoc="0" locked="0" layoutInCell="1" allowOverlap="1">
          <wp:simplePos x="0" y="0"/>
          <wp:positionH relativeFrom="margin">
            <wp:posOffset>3258185</wp:posOffset>
          </wp:positionH>
          <wp:positionV relativeFrom="margin">
            <wp:posOffset>-1234440</wp:posOffset>
          </wp:positionV>
          <wp:extent cx="3147060" cy="914400"/>
          <wp:effectExtent l="0" t="0" r="0" b="0"/>
          <wp:wrapSquare wrapText="bothSides"/>
          <wp:docPr id="2" name="Billede 2" descr="C:\Users\B013968\AppData\Local\Temp\Temp4_DanskEngelsk_logopakke_version02.zip\EFKM_logo_UK\jpg\KEFM_RGB_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013968\AppData\Local\Temp\Temp4_DanskEngelsk_logopakke_version02.zip\EFKM_logo_UK\jpg\KEFM_RGB_U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47060" cy="9144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C2" w:rsidRPr="00910563" w:rsidRDefault="009B24D2" w:rsidP="00E958C2">
    <w:pPr>
      <w:tabs>
        <w:tab w:val="left" w:pos="10065"/>
      </w:tabs>
    </w:pPr>
    <w:r>
      <w:rPr>
        <w:noProof/>
        <w:lang w:val="da-DK" w:eastAsia="da-DK"/>
      </w:rPr>
      <w:drawing>
        <wp:anchor distT="0" distB="0" distL="114300" distR="114300" simplePos="0" relativeHeight="251662336" behindDoc="0" locked="0" layoutInCell="1" allowOverlap="1" wp14:anchorId="72666967" wp14:editId="5DE69465">
          <wp:simplePos x="0" y="0"/>
          <wp:positionH relativeFrom="margin">
            <wp:posOffset>3319145</wp:posOffset>
          </wp:positionH>
          <wp:positionV relativeFrom="margin">
            <wp:posOffset>-1181100</wp:posOffset>
          </wp:positionV>
          <wp:extent cx="3147060" cy="914400"/>
          <wp:effectExtent l="0" t="0" r="0" b="0"/>
          <wp:wrapSquare wrapText="bothSides"/>
          <wp:docPr id="3" name="Billede 3" descr="C:\Users\B013968\AppData\Local\Temp\Temp4_DanskEngelsk_logopakke_version02.zip\EFKM_logo_UK\jpg\KEFM_RGB_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013968\AppData\Local\Temp\Temp4_DanskEngelsk_logopakke_version02.zip\EFKM_logo_UK\jpg\KEFM_RGB_U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47060" cy="914400"/>
                  </a:xfrm>
                  <a:prstGeom prst="rect">
                    <a:avLst/>
                  </a:prstGeom>
                  <a:noFill/>
                  <a:ln>
                    <a:noFill/>
                  </a:ln>
                </pic:spPr>
              </pic:pic>
            </a:graphicData>
          </a:graphic>
        </wp:anchor>
      </w:drawing>
    </w:r>
    <w:r w:rsidR="00E958C2" w:rsidRPr="00910563">
      <w:rPr>
        <w:noProof/>
        <w:lang w:val="da-DK" w:eastAsia="da-DK"/>
      </w:rPr>
      <mc:AlternateContent>
        <mc:Choice Requires="wps">
          <w:drawing>
            <wp:anchor distT="0" distB="0" distL="114300" distR="114300" simplePos="0" relativeHeight="251659264" behindDoc="0" locked="1" layoutInCell="1" allowOverlap="1" wp14:anchorId="112A9A7D" wp14:editId="2A7555B9">
              <wp:simplePos x="0" y="0"/>
              <wp:positionH relativeFrom="rightMargin">
                <wp:align>right</wp:align>
              </wp:positionH>
              <wp:positionV relativeFrom="page">
                <wp:posOffset>1533525</wp:posOffset>
              </wp:positionV>
              <wp:extent cx="1854000" cy="2361600"/>
              <wp:effectExtent l="0" t="0" r="13335" b="635"/>
              <wp:wrapNone/>
              <wp:docPr id="1" name="Kolofon"/>
              <wp:cNvGraphicFramePr/>
              <a:graphic xmlns:a="http://schemas.openxmlformats.org/drawingml/2006/main">
                <a:graphicData uri="http://schemas.microsoft.com/office/word/2010/wordprocessingShape">
                  <wps:wsp>
                    <wps:cNvSpPr txBox="1"/>
                    <wps:spPr>
                      <a:xfrm>
                        <a:off x="0" y="0"/>
                        <a:ext cx="1854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E958C2" w:rsidTr="000A21D0">
                            <w:trPr>
                              <w:cantSplit/>
                              <w:trHeight w:val="2778"/>
                            </w:trPr>
                            <w:tc>
                              <w:tcPr>
                                <w:tcW w:w="2126" w:type="dxa"/>
                                <w:tcMar>
                                  <w:top w:w="34" w:type="dxa"/>
                                  <w:left w:w="0" w:type="dxa"/>
                                  <w:bottom w:w="28" w:type="dxa"/>
                                  <w:right w:w="0" w:type="dxa"/>
                                </w:tcMar>
                              </w:tcPr>
                              <w:p w:rsidR="00E958C2" w:rsidRPr="00987B2B" w:rsidRDefault="00E958C2" w:rsidP="00E6558F">
                                <w:pPr>
                                  <w:pStyle w:val="Kolofonoverskrift"/>
                                  <w:rPr>
                                    <w:lang w:val="da-DK"/>
                                  </w:rPr>
                                </w:pPr>
                                <w:bookmarkStart w:id="2" w:name="LAN_Date"/>
                                <w:r w:rsidRPr="00987B2B">
                                  <w:rPr>
                                    <w:lang w:val="da-DK"/>
                                  </w:rPr>
                                  <w:t>Dat</w:t>
                                </w:r>
                                <w:r w:rsidR="009B24D2">
                                  <w:rPr>
                                    <w:lang w:val="da-DK"/>
                                  </w:rPr>
                                  <w:t>e</w:t>
                                </w:r>
                                <w:bookmarkEnd w:id="2"/>
                              </w:p>
                              <w:p w:rsidR="00E958C2" w:rsidRPr="00987B2B" w:rsidRDefault="006B5490">
                                <w:pPr>
                                  <w:pStyle w:val="Kolofontekst"/>
                                  <w:rPr>
                                    <w:lang w:val="da-DK"/>
                                  </w:rPr>
                                </w:pPr>
                                <w:bookmarkStart w:id="3" w:name="FLD_DocumentDate"/>
                                <w:r>
                                  <w:rPr>
                                    <w:lang w:val="da-DK"/>
                                  </w:rPr>
                                  <w:t>7</w:t>
                                </w:r>
                                <w:r w:rsidR="00D30537">
                                  <w:rPr>
                                    <w:lang w:val="da-DK"/>
                                  </w:rPr>
                                  <w:t xml:space="preserve"> January</w:t>
                                </w:r>
                                <w:r w:rsidR="002412FE">
                                  <w:rPr>
                                    <w:lang w:val="da-DK"/>
                                  </w:rPr>
                                  <w:t xml:space="preserve"> </w:t>
                                </w:r>
                                <w:r w:rsidR="00E958C2" w:rsidRPr="00987B2B">
                                  <w:rPr>
                                    <w:lang w:val="da-DK"/>
                                  </w:rPr>
                                  <w:t>20</w:t>
                                </w:r>
                                <w:r w:rsidR="00D30537">
                                  <w:rPr>
                                    <w:lang w:val="da-DK"/>
                                  </w:rPr>
                                  <w:t>2</w:t>
                                </w:r>
                                <w:r w:rsidR="00E958C2" w:rsidRPr="00987B2B">
                                  <w:rPr>
                                    <w:lang w:val="da-DK"/>
                                  </w:rPr>
                                  <w:t>1</w:t>
                                </w:r>
                                <w:bookmarkEnd w:id="3"/>
                              </w:p>
                              <w:p w:rsidR="00E958C2" w:rsidRPr="00987B2B" w:rsidRDefault="00E958C2">
                                <w:pPr>
                                  <w:pStyle w:val="Kolofontekst"/>
                                  <w:rPr>
                                    <w:lang w:val="da-DK"/>
                                  </w:rPr>
                                </w:pPr>
                              </w:p>
                              <w:p w:rsidR="00E958C2" w:rsidRDefault="00E958C2" w:rsidP="009B24D2">
                                <w:pPr>
                                  <w:pStyle w:val="Kolofontekst"/>
                                </w:pPr>
                              </w:p>
                            </w:tc>
                          </w:tr>
                        </w:tbl>
                        <w:p w:rsidR="00E958C2" w:rsidRDefault="00E958C2" w:rsidP="00E958C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2A9A7D" id="_x0000_t202" coordsize="21600,21600" o:spt="202" path="m,l,21600r21600,l21600,xe">
              <v:stroke joinstyle="miter"/>
              <v:path gradientshapeok="t" o:connecttype="rect"/>
            </v:shapetype>
            <v:shape id="Kolofon" o:spid="_x0000_s1026" type="#_x0000_t202" style="position:absolute;margin-left:94.8pt;margin-top:120.75pt;width:146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E958C2" w:rsidTr="000A21D0">
                      <w:trPr>
                        <w:cantSplit/>
                        <w:trHeight w:val="2778"/>
                      </w:trPr>
                      <w:tc>
                        <w:tcPr>
                          <w:tcW w:w="2126" w:type="dxa"/>
                          <w:tcMar>
                            <w:top w:w="34" w:type="dxa"/>
                            <w:left w:w="0" w:type="dxa"/>
                            <w:bottom w:w="28" w:type="dxa"/>
                            <w:right w:w="0" w:type="dxa"/>
                          </w:tcMar>
                        </w:tcPr>
                        <w:p w:rsidR="00E958C2" w:rsidRPr="00987B2B" w:rsidRDefault="00E958C2" w:rsidP="00E6558F">
                          <w:pPr>
                            <w:pStyle w:val="Kolofonoverskrift"/>
                            <w:rPr>
                              <w:lang w:val="da-DK"/>
                            </w:rPr>
                          </w:pPr>
                          <w:bookmarkStart w:id="4" w:name="LAN_Date"/>
                          <w:r w:rsidRPr="00987B2B">
                            <w:rPr>
                              <w:lang w:val="da-DK"/>
                            </w:rPr>
                            <w:t>Dat</w:t>
                          </w:r>
                          <w:r w:rsidR="009B24D2">
                            <w:rPr>
                              <w:lang w:val="da-DK"/>
                            </w:rPr>
                            <w:t>e</w:t>
                          </w:r>
                          <w:bookmarkEnd w:id="4"/>
                        </w:p>
                        <w:p w:rsidR="00E958C2" w:rsidRPr="00987B2B" w:rsidRDefault="006B5490">
                          <w:pPr>
                            <w:pStyle w:val="Kolofontekst"/>
                            <w:rPr>
                              <w:lang w:val="da-DK"/>
                            </w:rPr>
                          </w:pPr>
                          <w:bookmarkStart w:id="5" w:name="FLD_DocumentDate"/>
                          <w:r>
                            <w:rPr>
                              <w:lang w:val="da-DK"/>
                            </w:rPr>
                            <w:t>7</w:t>
                          </w:r>
                          <w:r w:rsidR="00D30537">
                            <w:rPr>
                              <w:lang w:val="da-DK"/>
                            </w:rPr>
                            <w:t xml:space="preserve"> January</w:t>
                          </w:r>
                          <w:r w:rsidR="002412FE">
                            <w:rPr>
                              <w:lang w:val="da-DK"/>
                            </w:rPr>
                            <w:t xml:space="preserve"> </w:t>
                          </w:r>
                          <w:r w:rsidR="00E958C2" w:rsidRPr="00987B2B">
                            <w:rPr>
                              <w:lang w:val="da-DK"/>
                            </w:rPr>
                            <w:t>20</w:t>
                          </w:r>
                          <w:r w:rsidR="00D30537">
                            <w:rPr>
                              <w:lang w:val="da-DK"/>
                            </w:rPr>
                            <w:t>2</w:t>
                          </w:r>
                          <w:r w:rsidR="00E958C2" w:rsidRPr="00987B2B">
                            <w:rPr>
                              <w:lang w:val="da-DK"/>
                            </w:rPr>
                            <w:t>1</w:t>
                          </w:r>
                          <w:bookmarkEnd w:id="5"/>
                        </w:p>
                        <w:p w:rsidR="00E958C2" w:rsidRPr="00987B2B" w:rsidRDefault="00E958C2">
                          <w:pPr>
                            <w:pStyle w:val="Kolofontekst"/>
                            <w:rPr>
                              <w:lang w:val="da-DK"/>
                            </w:rPr>
                          </w:pPr>
                        </w:p>
                        <w:p w:rsidR="00E958C2" w:rsidRDefault="00E958C2" w:rsidP="009B24D2">
                          <w:pPr>
                            <w:pStyle w:val="Kolofontekst"/>
                          </w:pPr>
                        </w:p>
                      </w:tc>
                    </w:tr>
                  </w:tbl>
                  <w:p w:rsidR="00E958C2" w:rsidRDefault="00E958C2" w:rsidP="00E958C2"/>
                </w:txbxContent>
              </v:textbox>
              <w10:wrap anchorx="margin" anchory="page"/>
              <w10:anchorlock/>
            </v:shape>
          </w:pict>
        </mc:Fallback>
      </mc:AlternateContent>
    </w:r>
  </w:p>
  <w:p w:rsidR="00483B1F" w:rsidRDefault="00483B1F"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A09C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2D7B3F"/>
    <w:multiLevelType w:val="multilevel"/>
    <w:tmpl w:val="B9847BC8"/>
    <w:lvl w:ilvl="0">
      <w:start w:val="1"/>
      <w:numFmt w:val="decimal"/>
      <w:pStyle w:val="Tabel-ListNumber"/>
      <w:lvlText w:val="%1."/>
      <w:lvlJc w:val="left"/>
      <w:pPr>
        <w:ind w:left="340" w:hanging="170"/>
      </w:pPr>
      <w:rPr>
        <w:rFonts w:hint="default"/>
      </w:rPr>
    </w:lvl>
    <w:lvl w:ilvl="1">
      <w:start w:val="1"/>
      <w:numFmt w:val="lowerLetter"/>
      <w:lvlText w:val="%2."/>
      <w:lvlJc w:val="left"/>
      <w:pPr>
        <w:ind w:left="510" w:hanging="170"/>
      </w:pPr>
      <w:rPr>
        <w:rFonts w:hint="default"/>
      </w:rPr>
    </w:lvl>
    <w:lvl w:ilvl="2">
      <w:start w:val="1"/>
      <w:numFmt w:val="lowerRoman"/>
      <w:lvlText w:val="%3."/>
      <w:lvlJc w:val="right"/>
      <w:pPr>
        <w:ind w:left="680" w:hanging="170"/>
      </w:pPr>
      <w:rPr>
        <w:rFonts w:hint="default"/>
      </w:rPr>
    </w:lvl>
    <w:lvl w:ilvl="3">
      <w:start w:val="1"/>
      <w:numFmt w:val="decimal"/>
      <w:lvlText w:val="%4."/>
      <w:lvlJc w:val="left"/>
      <w:pPr>
        <w:ind w:left="850" w:hanging="170"/>
      </w:pPr>
      <w:rPr>
        <w:rFonts w:hint="default"/>
      </w:rPr>
    </w:lvl>
    <w:lvl w:ilvl="4">
      <w:start w:val="1"/>
      <w:numFmt w:val="lowerLetter"/>
      <w:lvlText w:val="%5."/>
      <w:lvlJc w:val="left"/>
      <w:pPr>
        <w:ind w:left="1020" w:hanging="170"/>
      </w:pPr>
      <w:rPr>
        <w:rFonts w:hint="default"/>
      </w:rPr>
    </w:lvl>
    <w:lvl w:ilvl="5">
      <w:start w:val="1"/>
      <w:numFmt w:val="lowerRoman"/>
      <w:lvlText w:val="%6."/>
      <w:lvlJc w:val="right"/>
      <w:pPr>
        <w:ind w:left="1190" w:hanging="170"/>
      </w:pPr>
      <w:rPr>
        <w:rFonts w:hint="default"/>
      </w:rPr>
    </w:lvl>
    <w:lvl w:ilvl="6">
      <w:start w:val="1"/>
      <w:numFmt w:val="decimal"/>
      <w:lvlText w:val="%7."/>
      <w:lvlJc w:val="left"/>
      <w:pPr>
        <w:ind w:left="1360" w:hanging="170"/>
      </w:pPr>
      <w:rPr>
        <w:rFonts w:hint="default"/>
      </w:rPr>
    </w:lvl>
    <w:lvl w:ilvl="7">
      <w:start w:val="1"/>
      <w:numFmt w:val="lowerLetter"/>
      <w:lvlText w:val="%8."/>
      <w:lvlJc w:val="left"/>
      <w:pPr>
        <w:ind w:left="1530" w:hanging="170"/>
      </w:pPr>
      <w:rPr>
        <w:rFonts w:hint="default"/>
      </w:rPr>
    </w:lvl>
    <w:lvl w:ilvl="8">
      <w:start w:val="1"/>
      <w:numFmt w:val="lowerRoman"/>
      <w:lvlText w:val="%9."/>
      <w:lvlJc w:val="right"/>
      <w:pPr>
        <w:ind w:left="1700" w:hanging="170"/>
      </w:pPr>
      <w:rPr>
        <w:rFonts w:hint="default"/>
      </w:r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190D3896"/>
    <w:multiLevelType w:val="hybridMultilevel"/>
    <w:tmpl w:val="0B82C88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4" w15:restartNumberingAfterBreak="0">
    <w:nsid w:val="20004DAA"/>
    <w:multiLevelType w:val="hybridMultilevel"/>
    <w:tmpl w:val="5EFC447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3F403CA1"/>
    <w:multiLevelType w:val="multilevel"/>
    <w:tmpl w:val="5B4CF44C"/>
    <w:lvl w:ilvl="0">
      <w:start w:val="1"/>
      <w:numFmt w:val="bullet"/>
      <w:pStyle w:val="Tabel-ListBullet"/>
      <w:lvlText w:val=""/>
      <w:lvlJc w:val="left"/>
      <w:pPr>
        <w:ind w:left="340" w:hanging="170"/>
      </w:pPr>
      <w:rPr>
        <w:rFonts w:ascii="Symbol" w:hAnsi="Symbol" w:hint="default"/>
      </w:rPr>
    </w:lvl>
    <w:lvl w:ilvl="1">
      <w:start w:val="1"/>
      <w:numFmt w:val="bullet"/>
      <w:lvlText w:val="o"/>
      <w:lvlJc w:val="left"/>
      <w:pPr>
        <w:ind w:left="510" w:hanging="170"/>
      </w:pPr>
      <w:rPr>
        <w:rFonts w:ascii="Courier New" w:hAnsi="Courier New" w:hint="default"/>
      </w:rPr>
    </w:lvl>
    <w:lvl w:ilvl="2">
      <w:start w:val="1"/>
      <w:numFmt w:val="bullet"/>
      <w:lvlText w:val=""/>
      <w:lvlJc w:val="left"/>
      <w:pPr>
        <w:ind w:left="680" w:hanging="170"/>
      </w:pPr>
      <w:rPr>
        <w:rFonts w:ascii="Wingdings" w:hAnsi="Wingdings" w:hint="default"/>
      </w:rPr>
    </w:lvl>
    <w:lvl w:ilvl="3">
      <w:start w:val="1"/>
      <w:numFmt w:val="bullet"/>
      <w:lvlText w:val=""/>
      <w:lvlJc w:val="left"/>
      <w:pPr>
        <w:ind w:left="850" w:hanging="170"/>
      </w:pPr>
      <w:rPr>
        <w:rFonts w:ascii="Symbol" w:hAnsi="Symbol" w:hint="default"/>
      </w:rPr>
    </w:lvl>
    <w:lvl w:ilvl="4">
      <w:start w:val="1"/>
      <w:numFmt w:val="bullet"/>
      <w:lvlText w:val="o"/>
      <w:lvlJc w:val="left"/>
      <w:pPr>
        <w:ind w:left="1020" w:hanging="170"/>
      </w:pPr>
      <w:rPr>
        <w:rFonts w:ascii="Courier New" w:hAnsi="Courier New" w:cs="Courier New" w:hint="default"/>
      </w:rPr>
    </w:lvl>
    <w:lvl w:ilvl="5">
      <w:start w:val="1"/>
      <w:numFmt w:val="bullet"/>
      <w:lvlText w:val=""/>
      <w:lvlJc w:val="left"/>
      <w:pPr>
        <w:ind w:left="1190" w:hanging="170"/>
      </w:pPr>
      <w:rPr>
        <w:rFonts w:ascii="Wingdings" w:hAnsi="Wingdings" w:hint="default"/>
      </w:rPr>
    </w:lvl>
    <w:lvl w:ilvl="6">
      <w:start w:val="1"/>
      <w:numFmt w:val="bullet"/>
      <w:lvlText w:val=""/>
      <w:lvlJc w:val="left"/>
      <w:pPr>
        <w:ind w:left="1360" w:hanging="170"/>
      </w:pPr>
      <w:rPr>
        <w:rFonts w:ascii="Symbol" w:hAnsi="Symbol" w:hint="default"/>
      </w:rPr>
    </w:lvl>
    <w:lvl w:ilvl="7">
      <w:start w:val="1"/>
      <w:numFmt w:val="bullet"/>
      <w:lvlText w:val="o"/>
      <w:lvlJc w:val="left"/>
      <w:pPr>
        <w:ind w:left="1530" w:hanging="170"/>
      </w:pPr>
      <w:rPr>
        <w:rFonts w:ascii="Courier New" w:hAnsi="Courier New" w:cs="Courier New" w:hint="default"/>
      </w:rPr>
    </w:lvl>
    <w:lvl w:ilvl="8">
      <w:start w:val="1"/>
      <w:numFmt w:val="bullet"/>
      <w:lvlText w:val=""/>
      <w:lvlJc w:val="left"/>
      <w:pPr>
        <w:ind w:left="1700" w:hanging="170"/>
      </w:pPr>
      <w:rPr>
        <w:rFonts w:ascii="Wingdings" w:hAnsi="Wingdings" w:hint="default"/>
      </w:rPr>
    </w:lvl>
  </w:abstractNum>
  <w:abstractNum w:abstractNumId="18" w15:restartNumberingAfterBreak="0">
    <w:nsid w:val="4A80653D"/>
    <w:multiLevelType w:val="hybridMultilevel"/>
    <w:tmpl w:val="02A028F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9"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10"/>
  </w:num>
  <w:num w:numId="12">
    <w:abstractNumId w:val="19"/>
  </w:num>
  <w:num w:numId="13">
    <w:abstractNumId w:val="16"/>
  </w:num>
  <w:num w:numId="14">
    <w:abstractNumId w:val="8"/>
  </w:num>
  <w:num w:numId="15">
    <w:abstractNumId w:val="17"/>
  </w:num>
  <w:num w:numId="16">
    <w:abstractNumId w:val="11"/>
  </w:num>
  <w:num w:numId="17">
    <w:abstractNumId w:val="17"/>
  </w:num>
  <w:num w:numId="18">
    <w:abstractNumId w:val="11"/>
  </w:num>
  <w:num w:numId="19">
    <w:abstractNumId w:val="17"/>
  </w:num>
  <w:num w:numId="20">
    <w:abstractNumId w:val="11"/>
  </w:num>
  <w:num w:numId="21">
    <w:abstractNumId w:val="9"/>
  </w:num>
  <w:num w:numId="22">
    <w:abstractNumId w:val="18"/>
  </w:num>
  <w:num w:numId="23">
    <w:abstractNumId w:val="14"/>
  </w:num>
  <w:num w:numId="24">
    <w:abstractNumId w:val="1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8C2"/>
    <w:rsid w:val="00002EA0"/>
    <w:rsid w:val="00003636"/>
    <w:rsid w:val="00005FAA"/>
    <w:rsid w:val="0001225F"/>
    <w:rsid w:val="0001457C"/>
    <w:rsid w:val="0001528D"/>
    <w:rsid w:val="000166A0"/>
    <w:rsid w:val="00022A7D"/>
    <w:rsid w:val="00030051"/>
    <w:rsid w:val="00037E7E"/>
    <w:rsid w:val="00040FBC"/>
    <w:rsid w:val="00060BC5"/>
    <w:rsid w:val="000647F2"/>
    <w:rsid w:val="00070BA1"/>
    <w:rsid w:val="00073466"/>
    <w:rsid w:val="00074F1A"/>
    <w:rsid w:val="000758FD"/>
    <w:rsid w:val="00076715"/>
    <w:rsid w:val="00080180"/>
    <w:rsid w:val="00082404"/>
    <w:rsid w:val="000825EC"/>
    <w:rsid w:val="00096AA1"/>
    <w:rsid w:val="000A1C92"/>
    <w:rsid w:val="000A26F5"/>
    <w:rsid w:val="000A4B97"/>
    <w:rsid w:val="000A7219"/>
    <w:rsid w:val="000B26E7"/>
    <w:rsid w:val="000B2E5E"/>
    <w:rsid w:val="000B5461"/>
    <w:rsid w:val="000C0594"/>
    <w:rsid w:val="000C13E6"/>
    <w:rsid w:val="000C3D52"/>
    <w:rsid w:val="000C45B7"/>
    <w:rsid w:val="000C62D3"/>
    <w:rsid w:val="000D0F4C"/>
    <w:rsid w:val="000D1CF4"/>
    <w:rsid w:val="000D5FBF"/>
    <w:rsid w:val="000D600E"/>
    <w:rsid w:val="000E3992"/>
    <w:rsid w:val="000E717B"/>
    <w:rsid w:val="000F0B81"/>
    <w:rsid w:val="001062D0"/>
    <w:rsid w:val="00114DE6"/>
    <w:rsid w:val="00120331"/>
    <w:rsid w:val="001210A9"/>
    <w:rsid w:val="0012393D"/>
    <w:rsid w:val="001354CC"/>
    <w:rsid w:val="00135D78"/>
    <w:rsid w:val="0014150F"/>
    <w:rsid w:val="00144670"/>
    <w:rsid w:val="0014616C"/>
    <w:rsid w:val="00150899"/>
    <w:rsid w:val="00152CB8"/>
    <w:rsid w:val="00156908"/>
    <w:rsid w:val="00160721"/>
    <w:rsid w:val="00166183"/>
    <w:rsid w:val="001743E7"/>
    <w:rsid w:val="001A3455"/>
    <w:rsid w:val="001A4D56"/>
    <w:rsid w:val="001A58BF"/>
    <w:rsid w:val="001A6CB5"/>
    <w:rsid w:val="001A7E4B"/>
    <w:rsid w:val="001B3F10"/>
    <w:rsid w:val="001B58FC"/>
    <w:rsid w:val="001B72A9"/>
    <w:rsid w:val="001C2544"/>
    <w:rsid w:val="001C417D"/>
    <w:rsid w:val="001C4328"/>
    <w:rsid w:val="001D1196"/>
    <w:rsid w:val="001D19D8"/>
    <w:rsid w:val="001E38EF"/>
    <w:rsid w:val="001E7F16"/>
    <w:rsid w:val="001F3A47"/>
    <w:rsid w:val="001F6A59"/>
    <w:rsid w:val="001F763E"/>
    <w:rsid w:val="00200B86"/>
    <w:rsid w:val="0020134B"/>
    <w:rsid w:val="0020402C"/>
    <w:rsid w:val="002044E3"/>
    <w:rsid w:val="00204BF4"/>
    <w:rsid w:val="00210785"/>
    <w:rsid w:val="00211AC9"/>
    <w:rsid w:val="00212497"/>
    <w:rsid w:val="00213B48"/>
    <w:rsid w:val="002239C6"/>
    <w:rsid w:val="00225534"/>
    <w:rsid w:val="00227D7B"/>
    <w:rsid w:val="00235C1F"/>
    <w:rsid w:val="002366E2"/>
    <w:rsid w:val="00236D01"/>
    <w:rsid w:val="00240730"/>
    <w:rsid w:val="002412FE"/>
    <w:rsid w:val="00247388"/>
    <w:rsid w:val="002536EE"/>
    <w:rsid w:val="002540C8"/>
    <w:rsid w:val="002629A8"/>
    <w:rsid w:val="00262B4B"/>
    <w:rsid w:val="002639DB"/>
    <w:rsid w:val="00264240"/>
    <w:rsid w:val="002654F9"/>
    <w:rsid w:val="00267F76"/>
    <w:rsid w:val="0027546B"/>
    <w:rsid w:val="002837F0"/>
    <w:rsid w:val="00283D52"/>
    <w:rsid w:val="00284176"/>
    <w:rsid w:val="00293240"/>
    <w:rsid w:val="002933E6"/>
    <w:rsid w:val="0029629D"/>
    <w:rsid w:val="00297355"/>
    <w:rsid w:val="002A29B1"/>
    <w:rsid w:val="002A7860"/>
    <w:rsid w:val="002C042D"/>
    <w:rsid w:val="002C4595"/>
    <w:rsid w:val="002C4D00"/>
    <w:rsid w:val="002D00C9"/>
    <w:rsid w:val="002D268E"/>
    <w:rsid w:val="002D7F0F"/>
    <w:rsid w:val="003001A2"/>
    <w:rsid w:val="00310C3C"/>
    <w:rsid w:val="00313642"/>
    <w:rsid w:val="00315AC9"/>
    <w:rsid w:val="00320951"/>
    <w:rsid w:val="003209AA"/>
    <w:rsid w:val="00322BBE"/>
    <w:rsid w:val="00326ED5"/>
    <w:rsid w:val="00331970"/>
    <w:rsid w:val="00334562"/>
    <w:rsid w:val="00340887"/>
    <w:rsid w:val="00343A37"/>
    <w:rsid w:val="00345FA9"/>
    <w:rsid w:val="00350582"/>
    <w:rsid w:val="003558D9"/>
    <w:rsid w:val="00356A6D"/>
    <w:rsid w:val="00362EAC"/>
    <w:rsid w:val="00365BC4"/>
    <w:rsid w:val="003819FF"/>
    <w:rsid w:val="00385C06"/>
    <w:rsid w:val="00386D0C"/>
    <w:rsid w:val="003A3350"/>
    <w:rsid w:val="003A3369"/>
    <w:rsid w:val="003A44A9"/>
    <w:rsid w:val="003A4DCB"/>
    <w:rsid w:val="003B1D8D"/>
    <w:rsid w:val="003B52ED"/>
    <w:rsid w:val="003B6C74"/>
    <w:rsid w:val="003C67E6"/>
    <w:rsid w:val="003D14A3"/>
    <w:rsid w:val="003D203B"/>
    <w:rsid w:val="003D3CB2"/>
    <w:rsid w:val="003D518E"/>
    <w:rsid w:val="003E06B4"/>
    <w:rsid w:val="003E09D1"/>
    <w:rsid w:val="003E1377"/>
    <w:rsid w:val="003E182A"/>
    <w:rsid w:val="003E3617"/>
    <w:rsid w:val="003F0D75"/>
    <w:rsid w:val="0040506D"/>
    <w:rsid w:val="00406784"/>
    <w:rsid w:val="00406AF1"/>
    <w:rsid w:val="00407C2F"/>
    <w:rsid w:val="0041385B"/>
    <w:rsid w:val="00415BC0"/>
    <w:rsid w:val="004208E6"/>
    <w:rsid w:val="004232F9"/>
    <w:rsid w:val="00433A1E"/>
    <w:rsid w:val="00440668"/>
    <w:rsid w:val="004421D7"/>
    <w:rsid w:val="00447238"/>
    <w:rsid w:val="00447B83"/>
    <w:rsid w:val="00450475"/>
    <w:rsid w:val="00457882"/>
    <w:rsid w:val="00460B5A"/>
    <w:rsid w:val="0046600E"/>
    <w:rsid w:val="00467E79"/>
    <w:rsid w:val="00476722"/>
    <w:rsid w:val="00481EEB"/>
    <w:rsid w:val="00483B1F"/>
    <w:rsid w:val="0048414C"/>
    <w:rsid w:val="00495993"/>
    <w:rsid w:val="004A3AAA"/>
    <w:rsid w:val="004A4315"/>
    <w:rsid w:val="004B1035"/>
    <w:rsid w:val="004B5995"/>
    <w:rsid w:val="004B5AC3"/>
    <w:rsid w:val="004B6A8B"/>
    <w:rsid w:val="004C0742"/>
    <w:rsid w:val="004C237E"/>
    <w:rsid w:val="004C491E"/>
    <w:rsid w:val="004C63FE"/>
    <w:rsid w:val="004D23C9"/>
    <w:rsid w:val="004D6645"/>
    <w:rsid w:val="004E0690"/>
    <w:rsid w:val="004E33EF"/>
    <w:rsid w:val="004E562B"/>
    <w:rsid w:val="004E63AF"/>
    <w:rsid w:val="004E642A"/>
    <w:rsid w:val="004E7C82"/>
    <w:rsid w:val="004F7C92"/>
    <w:rsid w:val="005009DC"/>
    <w:rsid w:val="00500EFC"/>
    <w:rsid w:val="00501E2E"/>
    <w:rsid w:val="0050723A"/>
    <w:rsid w:val="0051781E"/>
    <w:rsid w:val="00520971"/>
    <w:rsid w:val="005267CB"/>
    <w:rsid w:val="00531027"/>
    <w:rsid w:val="00531869"/>
    <w:rsid w:val="00533E4D"/>
    <w:rsid w:val="00535B7D"/>
    <w:rsid w:val="005515B4"/>
    <w:rsid w:val="00554FAA"/>
    <w:rsid w:val="005630B4"/>
    <w:rsid w:val="00563773"/>
    <w:rsid w:val="005650F2"/>
    <w:rsid w:val="005672CB"/>
    <w:rsid w:val="00567318"/>
    <w:rsid w:val="00576B90"/>
    <w:rsid w:val="0058155D"/>
    <w:rsid w:val="00590A5B"/>
    <w:rsid w:val="00590C13"/>
    <w:rsid w:val="0059175F"/>
    <w:rsid w:val="0059560E"/>
    <w:rsid w:val="00596C25"/>
    <w:rsid w:val="005A01E1"/>
    <w:rsid w:val="005A0290"/>
    <w:rsid w:val="005A29CB"/>
    <w:rsid w:val="005A50B9"/>
    <w:rsid w:val="005C233B"/>
    <w:rsid w:val="005C51A1"/>
    <w:rsid w:val="005D2B26"/>
    <w:rsid w:val="005D3CF2"/>
    <w:rsid w:val="005D543F"/>
    <w:rsid w:val="005D7152"/>
    <w:rsid w:val="005E2F10"/>
    <w:rsid w:val="005E352B"/>
    <w:rsid w:val="005E4484"/>
    <w:rsid w:val="005F172E"/>
    <w:rsid w:val="005F61FB"/>
    <w:rsid w:val="00604DC5"/>
    <w:rsid w:val="006067F0"/>
    <w:rsid w:val="006079D5"/>
    <w:rsid w:val="00610541"/>
    <w:rsid w:val="00610A43"/>
    <w:rsid w:val="00612296"/>
    <w:rsid w:val="006161E8"/>
    <w:rsid w:val="006217FF"/>
    <w:rsid w:val="00623A75"/>
    <w:rsid w:val="006308FC"/>
    <w:rsid w:val="0063273A"/>
    <w:rsid w:val="00632DB3"/>
    <w:rsid w:val="00632EB9"/>
    <w:rsid w:val="00641AE1"/>
    <w:rsid w:val="00655780"/>
    <w:rsid w:val="00656763"/>
    <w:rsid w:val="00656C96"/>
    <w:rsid w:val="006665A1"/>
    <w:rsid w:val="006706E8"/>
    <w:rsid w:val="0067771A"/>
    <w:rsid w:val="0068124A"/>
    <w:rsid w:val="00684B85"/>
    <w:rsid w:val="0068783F"/>
    <w:rsid w:val="00696E85"/>
    <w:rsid w:val="006A18C5"/>
    <w:rsid w:val="006B5490"/>
    <w:rsid w:val="006D09A7"/>
    <w:rsid w:val="006E7F1D"/>
    <w:rsid w:val="006F3EB3"/>
    <w:rsid w:val="006F4DCD"/>
    <w:rsid w:val="00702FF2"/>
    <w:rsid w:val="0070301E"/>
    <w:rsid w:val="00703B66"/>
    <w:rsid w:val="00705800"/>
    <w:rsid w:val="00705EAB"/>
    <w:rsid w:val="00706ECC"/>
    <w:rsid w:val="00723455"/>
    <w:rsid w:val="00724762"/>
    <w:rsid w:val="00724D6D"/>
    <w:rsid w:val="0072743F"/>
    <w:rsid w:val="0073474C"/>
    <w:rsid w:val="0073754C"/>
    <w:rsid w:val="007432C0"/>
    <w:rsid w:val="0074716F"/>
    <w:rsid w:val="0074737F"/>
    <w:rsid w:val="00753673"/>
    <w:rsid w:val="007540BD"/>
    <w:rsid w:val="00761069"/>
    <w:rsid w:val="00762205"/>
    <w:rsid w:val="0076323D"/>
    <w:rsid w:val="00764201"/>
    <w:rsid w:val="00771DD5"/>
    <w:rsid w:val="0077461D"/>
    <w:rsid w:val="00776AE5"/>
    <w:rsid w:val="007817B1"/>
    <w:rsid w:val="007830BE"/>
    <w:rsid w:val="007940C9"/>
    <w:rsid w:val="00796312"/>
    <w:rsid w:val="007B1B23"/>
    <w:rsid w:val="007B1EF4"/>
    <w:rsid w:val="007B21FA"/>
    <w:rsid w:val="007B2ADE"/>
    <w:rsid w:val="007B3940"/>
    <w:rsid w:val="007D0006"/>
    <w:rsid w:val="007D492E"/>
    <w:rsid w:val="007E0C49"/>
    <w:rsid w:val="007E3A3B"/>
    <w:rsid w:val="007E51F2"/>
    <w:rsid w:val="007E5E97"/>
    <w:rsid w:val="007E7688"/>
    <w:rsid w:val="007F4A4B"/>
    <w:rsid w:val="007F560D"/>
    <w:rsid w:val="007F770C"/>
    <w:rsid w:val="008005E1"/>
    <w:rsid w:val="00802CB9"/>
    <w:rsid w:val="00807BA4"/>
    <w:rsid w:val="00821133"/>
    <w:rsid w:val="008324B0"/>
    <w:rsid w:val="00832EDA"/>
    <w:rsid w:val="008351B7"/>
    <w:rsid w:val="008407EC"/>
    <w:rsid w:val="0084333E"/>
    <w:rsid w:val="0084379B"/>
    <w:rsid w:val="00844CA9"/>
    <w:rsid w:val="00847491"/>
    <w:rsid w:val="00850194"/>
    <w:rsid w:val="008559E9"/>
    <w:rsid w:val="00860D2C"/>
    <w:rsid w:val="00861CBA"/>
    <w:rsid w:val="00862B98"/>
    <w:rsid w:val="00863B4C"/>
    <w:rsid w:val="008671B4"/>
    <w:rsid w:val="00872AC0"/>
    <w:rsid w:val="00875531"/>
    <w:rsid w:val="00882741"/>
    <w:rsid w:val="00892B13"/>
    <w:rsid w:val="008A0A91"/>
    <w:rsid w:val="008A1C6B"/>
    <w:rsid w:val="008B1B83"/>
    <w:rsid w:val="008B1FC7"/>
    <w:rsid w:val="008B3854"/>
    <w:rsid w:val="008B3ADA"/>
    <w:rsid w:val="008C5F4A"/>
    <w:rsid w:val="008E3990"/>
    <w:rsid w:val="008F272E"/>
    <w:rsid w:val="008F6B2B"/>
    <w:rsid w:val="00901652"/>
    <w:rsid w:val="00906916"/>
    <w:rsid w:val="0092327E"/>
    <w:rsid w:val="0092514B"/>
    <w:rsid w:val="009264AA"/>
    <w:rsid w:val="00944EE8"/>
    <w:rsid w:val="009461F0"/>
    <w:rsid w:val="009601F5"/>
    <w:rsid w:val="00963E43"/>
    <w:rsid w:val="00970F21"/>
    <w:rsid w:val="00974070"/>
    <w:rsid w:val="00975F3B"/>
    <w:rsid w:val="0098382A"/>
    <w:rsid w:val="00987B2B"/>
    <w:rsid w:val="009943CD"/>
    <w:rsid w:val="00994E91"/>
    <w:rsid w:val="009B24D2"/>
    <w:rsid w:val="009B2646"/>
    <w:rsid w:val="009C37F8"/>
    <w:rsid w:val="009C6BB2"/>
    <w:rsid w:val="009E27B6"/>
    <w:rsid w:val="009E2955"/>
    <w:rsid w:val="009E7920"/>
    <w:rsid w:val="009F368F"/>
    <w:rsid w:val="009F4367"/>
    <w:rsid w:val="009F7033"/>
    <w:rsid w:val="00A03CE6"/>
    <w:rsid w:val="00A03E48"/>
    <w:rsid w:val="00A07154"/>
    <w:rsid w:val="00A11F5A"/>
    <w:rsid w:val="00A158CB"/>
    <w:rsid w:val="00A27531"/>
    <w:rsid w:val="00A34B40"/>
    <w:rsid w:val="00A36292"/>
    <w:rsid w:val="00A36D64"/>
    <w:rsid w:val="00A44A6B"/>
    <w:rsid w:val="00A51DBA"/>
    <w:rsid w:val="00A5408B"/>
    <w:rsid w:val="00A556CE"/>
    <w:rsid w:val="00A67D37"/>
    <w:rsid w:val="00A72DDE"/>
    <w:rsid w:val="00A82574"/>
    <w:rsid w:val="00A85ECD"/>
    <w:rsid w:val="00A923E2"/>
    <w:rsid w:val="00A964CE"/>
    <w:rsid w:val="00A96C60"/>
    <w:rsid w:val="00AA4437"/>
    <w:rsid w:val="00AB363A"/>
    <w:rsid w:val="00AC35D6"/>
    <w:rsid w:val="00AD678B"/>
    <w:rsid w:val="00AE41A1"/>
    <w:rsid w:val="00AE5A17"/>
    <w:rsid w:val="00AE6621"/>
    <w:rsid w:val="00AF5AF6"/>
    <w:rsid w:val="00B13BB6"/>
    <w:rsid w:val="00B16B2D"/>
    <w:rsid w:val="00B24C73"/>
    <w:rsid w:val="00B2565D"/>
    <w:rsid w:val="00B30727"/>
    <w:rsid w:val="00B31D57"/>
    <w:rsid w:val="00B358B3"/>
    <w:rsid w:val="00B441D7"/>
    <w:rsid w:val="00B53900"/>
    <w:rsid w:val="00B54207"/>
    <w:rsid w:val="00B5798E"/>
    <w:rsid w:val="00B62F98"/>
    <w:rsid w:val="00B67E21"/>
    <w:rsid w:val="00B734BB"/>
    <w:rsid w:val="00B77950"/>
    <w:rsid w:val="00B80700"/>
    <w:rsid w:val="00B82D8F"/>
    <w:rsid w:val="00B86940"/>
    <w:rsid w:val="00B87347"/>
    <w:rsid w:val="00B90A33"/>
    <w:rsid w:val="00B91712"/>
    <w:rsid w:val="00B91D48"/>
    <w:rsid w:val="00B932C3"/>
    <w:rsid w:val="00BA35F7"/>
    <w:rsid w:val="00BA7059"/>
    <w:rsid w:val="00BB40C8"/>
    <w:rsid w:val="00BB6985"/>
    <w:rsid w:val="00BC6602"/>
    <w:rsid w:val="00BD787B"/>
    <w:rsid w:val="00BE0CE4"/>
    <w:rsid w:val="00BE7D68"/>
    <w:rsid w:val="00BF101A"/>
    <w:rsid w:val="00C004D4"/>
    <w:rsid w:val="00C03ED1"/>
    <w:rsid w:val="00C13AE4"/>
    <w:rsid w:val="00C1503E"/>
    <w:rsid w:val="00C16955"/>
    <w:rsid w:val="00C21584"/>
    <w:rsid w:val="00C2184A"/>
    <w:rsid w:val="00C22C94"/>
    <w:rsid w:val="00C26117"/>
    <w:rsid w:val="00C3559B"/>
    <w:rsid w:val="00C35D2F"/>
    <w:rsid w:val="00C41BBD"/>
    <w:rsid w:val="00C44620"/>
    <w:rsid w:val="00C53CED"/>
    <w:rsid w:val="00C57362"/>
    <w:rsid w:val="00C57CA7"/>
    <w:rsid w:val="00C617FE"/>
    <w:rsid w:val="00C64F3D"/>
    <w:rsid w:val="00C7051E"/>
    <w:rsid w:val="00C70BEA"/>
    <w:rsid w:val="00C71B04"/>
    <w:rsid w:val="00C766CC"/>
    <w:rsid w:val="00C76B7D"/>
    <w:rsid w:val="00C815C2"/>
    <w:rsid w:val="00C8406C"/>
    <w:rsid w:val="00C87AAA"/>
    <w:rsid w:val="00C90B9E"/>
    <w:rsid w:val="00CA543F"/>
    <w:rsid w:val="00CA6429"/>
    <w:rsid w:val="00CA6ADF"/>
    <w:rsid w:val="00CB52EA"/>
    <w:rsid w:val="00CB5C14"/>
    <w:rsid w:val="00CB723C"/>
    <w:rsid w:val="00CC03CB"/>
    <w:rsid w:val="00CC12A8"/>
    <w:rsid w:val="00CC6892"/>
    <w:rsid w:val="00CD31FE"/>
    <w:rsid w:val="00CD4F1D"/>
    <w:rsid w:val="00CE1EC6"/>
    <w:rsid w:val="00CE5201"/>
    <w:rsid w:val="00CF1627"/>
    <w:rsid w:val="00CF760D"/>
    <w:rsid w:val="00D008ED"/>
    <w:rsid w:val="00D01984"/>
    <w:rsid w:val="00D01EDA"/>
    <w:rsid w:val="00D06E14"/>
    <w:rsid w:val="00D136BA"/>
    <w:rsid w:val="00D16472"/>
    <w:rsid w:val="00D30537"/>
    <w:rsid w:val="00D321C9"/>
    <w:rsid w:val="00D37FC2"/>
    <w:rsid w:val="00D43DB0"/>
    <w:rsid w:val="00D52754"/>
    <w:rsid w:val="00D570C5"/>
    <w:rsid w:val="00D922CF"/>
    <w:rsid w:val="00D951B4"/>
    <w:rsid w:val="00D9787A"/>
    <w:rsid w:val="00DA32B3"/>
    <w:rsid w:val="00DA6734"/>
    <w:rsid w:val="00DB56B3"/>
    <w:rsid w:val="00DD37B4"/>
    <w:rsid w:val="00DD6178"/>
    <w:rsid w:val="00DE24BE"/>
    <w:rsid w:val="00DE5B21"/>
    <w:rsid w:val="00DE7479"/>
    <w:rsid w:val="00DF128B"/>
    <w:rsid w:val="00DF147A"/>
    <w:rsid w:val="00DF2F94"/>
    <w:rsid w:val="00DF38B3"/>
    <w:rsid w:val="00DF7966"/>
    <w:rsid w:val="00E11688"/>
    <w:rsid w:val="00E11A2F"/>
    <w:rsid w:val="00E2201C"/>
    <w:rsid w:val="00E26EAA"/>
    <w:rsid w:val="00E27CC3"/>
    <w:rsid w:val="00E30FCA"/>
    <w:rsid w:val="00E327B1"/>
    <w:rsid w:val="00E36F97"/>
    <w:rsid w:val="00E42057"/>
    <w:rsid w:val="00E44AF4"/>
    <w:rsid w:val="00E44C4F"/>
    <w:rsid w:val="00E62BEE"/>
    <w:rsid w:val="00E62E23"/>
    <w:rsid w:val="00E63075"/>
    <w:rsid w:val="00E644BF"/>
    <w:rsid w:val="00E73A40"/>
    <w:rsid w:val="00E806E3"/>
    <w:rsid w:val="00E81697"/>
    <w:rsid w:val="00E928D4"/>
    <w:rsid w:val="00E94852"/>
    <w:rsid w:val="00E958C2"/>
    <w:rsid w:val="00EA4D25"/>
    <w:rsid w:val="00EA576F"/>
    <w:rsid w:val="00EA72C5"/>
    <w:rsid w:val="00EB0255"/>
    <w:rsid w:val="00EB05EB"/>
    <w:rsid w:val="00EB2751"/>
    <w:rsid w:val="00EB3838"/>
    <w:rsid w:val="00EB4C77"/>
    <w:rsid w:val="00EB68CC"/>
    <w:rsid w:val="00EC2095"/>
    <w:rsid w:val="00EC50A3"/>
    <w:rsid w:val="00EC5E51"/>
    <w:rsid w:val="00EC76B0"/>
    <w:rsid w:val="00ED48AE"/>
    <w:rsid w:val="00ED551A"/>
    <w:rsid w:val="00ED7D84"/>
    <w:rsid w:val="00EE65A7"/>
    <w:rsid w:val="00EF48EC"/>
    <w:rsid w:val="00EF6016"/>
    <w:rsid w:val="00F05E03"/>
    <w:rsid w:val="00F15AD4"/>
    <w:rsid w:val="00F2061A"/>
    <w:rsid w:val="00F30057"/>
    <w:rsid w:val="00F34750"/>
    <w:rsid w:val="00F34829"/>
    <w:rsid w:val="00F46114"/>
    <w:rsid w:val="00F47554"/>
    <w:rsid w:val="00F47B3A"/>
    <w:rsid w:val="00F602C8"/>
    <w:rsid w:val="00F62595"/>
    <w:rsid w:val="00F7168A"/>
    <w:rsid w:val="00F71C13"/>
    <w:rsid w:val="00F77228"/>
    <w:rsid w:val="00F90081"/>
    <w:rsid w:val="00F90567"/>
    <w:rsid w:val="00F91352"/>
    <w:rsid w:val="00F922ED"/>
    <w:rsid w:val="00FA43AC"/>
    <w:rsid w:val="00FA5187"/>
    <w:rsid w:val="00FA6B64"/>
    <w:rsid w:val="00FB7ADE"/>
    <w:rsid w:val="00FC164F"/>
    <w:rsid w:val="00FD2036"/>
    <w:rsid w:val="00FE0932"/>
    <w:rsid w:val="00FE16BB"/>
    <w:rsid w:val="00FE45B3"/>
    <w:rsid w:val="00FE7E77"/>
    <w:rsid w:val="00FF4F07"/>
    <w:rsid w:val="00FF6E0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7A4C7E"/>
  <w15:docId w15:val="{0474F7B8-7D22-494A-ADCE-E2892EA99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a-DK" w:eastAsia="da-DK"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887"/>
    <w:rPr>
      <w:rFonts w:eastAsiaTheme="minorHAnsi" w:cstheme="minorBidi"/>
      <w:szCs w:val="22"/>
      <w:lang w:val="en-GB" w:eastAsia="en-US"/>
    </w:rPr>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3B1D8D"/>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3B1D8D"/>
    <w:pPr>
      <w:keepNext/>
      <w:keepLines/>
      <w:spacing w:before="260"/>
      <w:contextualSpacing/>
      <w:outlineLvl w:val="2"/>
    </w:pPr>
    <w:rPr>
      <w:rFonts w:eastAsiaTheme="majorEastAsia" w:cstheme="majorBidi"/>
      <w:b/>
      <w:bCs/>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D136BA"/>
    <w:rPr>
      <w:rFonts w:ascii="Arial" w:hAnsi="Arial"/>
      <w:b/>
      <w:sz w:val="16"/>
    </w:rPr>
  </w:style>
  <w:style w:type="table" w:styleId="Tabel-Gitter">
    <w:name w:val="Table Grid"/>
    <w:basedOn w:val="Tabel-Normal"/>
    <w:uiPriority w:val="99"/>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link w:val="FodnotetekstTegn"/>
    <w:uiPriority w:val="9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B24C73"/>
    <w:pPr>
      <w:tabs>
        <w:tab w:val="clear" w:pos="4819"/>
        <w:tab w:val="clear" w:pos="9638"/>
        <w:tab w:val="left" w:pos="261"/>
      </w:tabs>
      <w:spacing w:line="192" w:lineRule="atLeast"/>
      <w:ind w:right="0"/>
    </w:pPr>
    <w:rPr>
      <w:rFonts w:cs="Arial"/>
      <w:noProof/>
      <w:sz w:val="16"/>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90081"/>
    <w:rPr>
      <w:rFonts w:ascii="Tahoma" w:hAnsi="Tahoma" w:cs="Tahoma"/>
      <w:sz w:val="16"/>
      <w:szCs w:val="16"/>
    </w:rPr>
  </w:style>
  <w:style w:type="paragraph" w:customStyle="1" w:styleId="Kolofontekst">
    <w:name w:val="Kolofontekst"/>
    <w:basedOn w:val="Normal"/>
    <w:uiPriority w:val="9"/>
    <w:semiHidden/>
    <w:rsid w:val="00D136BA"/>
    <w:pPr>
      <w:spacing w:line="192" w:lineRule="atLeast"/>
    </w:pPr>
    <w:rPr>
      <w:sz w:val="16"/>
    </w:rPr>
  </w:style>
  <w:style w:type="paragraph" w:customStyle="1" w:styleId="Template-Address">
    <w:name w:val="Template - Address"/>
    <w:basedOn w:val="Template"/>
    <w:uiPriority w:val="9"/>
    <w:semiHidden/>
    <w:rsid w:val="005630B4"/>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3B1D8D"/>
    <w:rPr>
      <w:rFonts w:eastAsiaTheme="majorEastAsia" w:cstheme="majorBidi"/>
      <w:b/>
      <w:bCs/>
      <w:szCs w:val="26"/>
    </w:rPr>
  </w:style>
  <w:style w:type="character" w:customStyle="1" w:styleId="Overskrift3Tegn">
    <w:name w:val="Overskrift 3 Tegn"/>
    <w:basedOn w:val="Standardskrifttypeiafsnit"/>
    <w:link w:val="Overskrift3"/>
    <w:uiPriority w:val="1"/>
    <w:rsid w:val="003B1D8D"/>
    <w:rPr>
      <w:rFonts w:eastAsiaTheme="majorEastAsia" w:cstheme="majorBidi"/>
      <w:b/>
      <w:bCs/>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97A7"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97A7"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97A7"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97A7"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97A7"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97A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97A7" w:themeColor="accent1" w:shadow="1"/>
        <w:left w:val="single" w:sz="2" w:space="10" w:color="0097A7" w:themeColor="accent1" w:shadow="1"/>
        <w:bottom w:val="single" w:sz="2" w:space="10" w:color="0097A7" w:themeColor="accent1" w:shadow="1"/>
        <w:right w:val="single" w:sz="2" w:space="10" w:color="0097A7" w:themeColor="accent1" w:shadow="1"/>
      </w:pBdr>
      <w:ind w:left="1152" w:right="1152"/>
    </w:pPr>
    <w:rPr>
      <w:rFonts w:asciiTheme="minorHAnsi" w:eastAsiaTheme="minorEastAsia" w:hAnsiTheme="minorHAnsi"/>
      <w:i/>
      <w:iCs/>
      <w:color w:val="0097A7"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uiPriority w:val="99"/>
    <w:semiHidden/>
    <w:rsid w:val="00F90081"/>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uiPriority w:val="99"/>
    <w:semiHidden/>
    <w:rsid w:val="00F90081"/>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uiPriority w:val="99"/>
    <w:semiHidden/>
    <w:rsid w:val="00F90081"/>
    <w:rPr>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F90081"/>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uiPriority w:val="99"/>
    <w:semiHidden/>
    <w:rsid w:val="00F90081"/>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90081"/>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F90081"/>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F90081"/>
    <w:rPr>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4E0690"/>
    <w:pPr>
      <w:keepNext/>
      <w:keepLines/>
      <w:spacing w:before="170" w:line="230" w:lineRule="atLeast"/>
      <w:ind w:left="170" w:right="170"/>
      <w:contextualSpacing/>
    </w:pPr>
    <w:rPr>
      <w:b/>
      <w:bCs/>
      <w:color w:val="0097A7" w:themeColor="accent1"/>
      <w:sz w:val="15"/>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uiPriority w:val="99"/>
    <w:semiHidden/>
    <w:rsid w:val="00F90081"/>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AF8FF" w:themeFill="accent1" w:themeFillTint="33"/>
    </w:tcPr>
    <w:tblStylePr w:type="firstRow">
      <w:rPr>
        <w:b/>
        <w:bCs/>
      </w:rPr>
      <w:tblPr/>
      <w:tcPr>
        <w:shd w:val="clear" w:color="auto" w:fill="75F1FF" w:themeFill="accent1" w:themeFillTint="66"/>
      </w:tcPr>
    </w:tblStylePr>
    <w:tblStylePr w:type="lastRow">
      <w:rPr>
        <w:b/>
        <w:bCs/>
        <w:color w:val="000000" w:themeColor="text1"/>
      </w:rPr>
      <w:tblPr/>
      <w:tcPr>
        <w:shd w:val="clear" w:color="auto" w:fill="75F1FF" w:themeFill="accent1" w:themeFillTint="66"/>
      </w:tcPr>
    </w:tblStylePr>
    <w:tblStylePr w:type="firstCol">
      <w:rPr>
        <w:color w:val="FFFFFF" w:themeColor="background1"/>
      </w:rPr>
      <w:tblPr/>
      <w:tcPr>
        <w:shd w:val="clear" w:color="auto" w:fill="00707D" w:themeFill="accent1" w:themeFillShade="BF"/>
      </w:tcPr>
    </w:tblStylePr>
    <w:tblStylePr w:type="lastCol">
      <w:rPr>
        <w:color w:val="FFFFFF" w:themeColor="background1"/>
      </w:rPr>
      <w:tblPr/>
      <w:tcPr>
        <w:shd w:val="clear" w:color="auto" w:fill="00707D" w:themeFill="accent1" w:themeFillShade="BF"/>
      </w:tc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1F4FC" w:themeFill="accent2" w:themeFillTint="33"/>
    </w:tcPr>
    <w:tblStylePr w:type="firstRow">
      <w:rPr>
        <w:b/>
        <w:bCs/>
      </w:rPr>
      <w:tblPr/>
      <w:tcPr>
        <w:shd w:val="clear" w:color="auto" w:fill="63EAF8" w:themeFill="accent2" w:themeFillTint="66"/>
      </w:tcPr>
    </w:tblStylePr>
    <w:tblStylePr w:type="lastRow">
      <w:rPr>
        <w:b/>
        <w:bCs/>
        <w:color w:val="000000" w:themeColor="text1"/>
      </w:rPr>
      <w:tblPr/>
      <w:tcPr>
        <w:shd w:val="clear" w:color="auto" w:fill="63EAF8" w:themeFill="accent2" w:themeFillTint="66"/>
      </w:tcPr>
    </w:tblStylePr>
    <w:tblStylePr w:type="firstCol">
      <w:rPr>
        <w:color w:val="FFFFFF" w:themeColor="background1"/>
      </w:rPr>
      <w:tblPr/>
      <w:tcPr>
        <w:shd w:val="clear" w:color="auto" w:fill="03444B" w:themeFill="accent2" w:themeFillShade="BF"/>
      </w:tcPr>
    </w:tblStylePr>
    <w:tblStylePr w:type="lastCol">
      <w:rPr>
        <w:color w:val="FFFFFF" w:themeColor="background1"/>
      </w:rPr>
      <w:tblPr/>
      <w:tcPr>
        <w:shd w:val="clear" w:color="auto" w:fill="03444B" w:themeFill="accent2" w:themeFillShade="BF"/>
      </w:tc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DCDC" w:themeFill="accent3" w:themeFillTint="33"/>
    </w:tcPr>
    <w:tblStylePr w:type="firstRow">
      <w:rPr>
        <w:b/>
        <w:bCs/>
      </w:rPr>
      <w:tblPr/>
      <w:tcPr>
        <w:shd w:val="clear" w:color="auto" w:fill="FFB9B9" w:themeFill="accent3" w:themeFillTint="66"/>
      </w:tcPr>
    </w:tblStylePr>
    <w:tblStylePr w:type="lastRow">
      <w:rPr>
        <w:b/>
        <w:bCs/>
        <w:color w:val="000000" w:themeColor="text1"/>
      </w:rPr>
      <w:tblPr/>
      <w:tcPr>
        <w:shd w:val="clear" w:color="auto" w:fill="FFB9B9" w:themeFill="accent3" w:themeFillTint="66"/>
      </w:tcPr>
    </w:tblStylePr>
    <w:tblStylePr w:type="firstCol">
      <w:rPr>
        <w:color w:val="FFFFFF" w:themeColor="background1"/>
      </w:rPr>
      <w:tblPr/>
      <w:tcPr>
        <w:shd w:val="clear" w:color="auto" w:fill="FC0000" w:themeFill="accent3" w:themeFillShade="BF"/>
      </w:tcPr>
    </w:tblStylePr>
    <w:tblStylePr w:type="lastCol">
      <w:rPr>
        <w:color w:val="FFFFFF" w:themeColor="background1"/>
      </w:rPr>
      <w:tblPr/>
      <w:tcPr>
        <w:shd w:val="clear" w:color="auto" w:fill="FC0000" w:themeFill="accent3" w:themeFillShade="BF"/>
      </w:tc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6F2" w:themeFill="accent4" w:themeFillTint="33"/>
    </w:tcPr>
    <w:tblStylePr w:type="firstRow">
      <w:rPr>
        <w:b/>
        <w:bCs/>
      </w:rPr>
      <w:tblPr/>
      <w:tcPr>
        <w:shd w:val="clear" w:color="auto" w:fill="C1ADE5" w:themeFill="accent4" w:themeFillTint="66"/>
      </w:tcPr>
    </w:tblStylePr>
    <w:tblStylePr w:type="lastRow">
      <w:rPr>
        <w:b/>
        <w:bCs/>
        <w:color w:val="000000" w:themeColor="text1"/>
      </w:rPr>
      <w:tblPr/>
      <w:tcPr>
        <w:shd w:val="clear" w:color="auto" w:fill="C1ADE5" w:themeFill="accent4" w:themeFillTint="66"/>
      </w:tcPr>
    </w:tblStylePr>
    <w:tblStylePr w:type="firstCol">
      <w:rPr>
        <w:color w:val="FFFFFF" w:themeColor="background1"/>
      </w:rPr>
      <w:tblPr/>
      <w:tcPr>
        <w:shd w:val="clear" w:color="auto" w:fill="4C2B88" w:themeFill="accent4" w:themeFillShade="BF"/>
      </w:tcPr>
    </w:tblStylePr>
    <w:tblStylePr w:type="lastCol">
      <w:rPr>
        <w:color w:val="FFFFFF" w:themeColor="background1"/>
      </w:rPr>
      <w:tblPr/>
      <w:tcPr>
        <w:shd w:val="clear" w:color="auto" w:fill="4C2B88" w:themeFill="accent4" w:themeFillShade="BF"/>
      </w:tc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CCF8" w:themeFill="accent5" w:themeFillTint="33"/>
    </w:tcPr>
    <w:tblStylePr w:type="firstRow">
      <w:rPr>
        <w:b/>
        <w:bCs/>
      </w:rPr>
      <w:tblPr/>
      <w:tcPr>
        <w:shd w:val="clear" w:color="auto" w:fill="7899F2" w:themeFill="accent5" w:themeFillTint="66"/>
      </w:tcPr>
    </w:tblStylePr>
    <w:tblStylePr w:type="lastRow">
      <w:rPr>
        <w:b/>
        <w:bCs/>
        <w:color w:val="000000" w:themeColor="text1"/>
      </w:rPr>
      <w:tblPr/>
      <w:tcPr>
        <w:shd w:val="clear" w:color="auto" w:fill="7899F2" w:themeFill="accent5" w:themeFillTint="66"/>
      </w:tcPr>
    </w:tblStylePr>
    <w:tblStylePr w:type="firstCol">
      <w:rPr>
        <w:color w:val="FFFFFF" w:themeColor="background1"/>
      </w:rPr>
      <w:tblPr/>
      <w:tcPr>
        <w:shd w:val="clear" w:color="auto" w:fill="092162" w:themeFill="accent5" w:themeFillShade="BF"/>
      </w:tcPr>
    </w:tblStylePr>
    <w:tblStylePr w:type="lastCol">
      <w:rPr>
        <w:color w:val="FFFFFF" w:themeColor="background1"/>
      </w:rPr>
      <w:tblPr/>
      <w:tcPr>
        <w:shd w:val="clear" w:color="auto" w:fill="092162" w:themeFill="accent5" w:themeFillShade="BF"/>
      </w:tc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7E9FF" w:themeFill="accent6" w:themeFillTint="33"/>
    </w:tcPr>
    <w:tblStylePr w:type="firstRow">
      <w:rPr>
        <w:b/>
        <w:bCs/>
      </w:rPr>
      <w:tblPr/>
      <w:tcPr>
        <w:shd w:val="clear" w:color="auto" w:fill="90D4FF" w:themeFill="accent6" w:themeFillTint="66"/>
      </w:tcPr>
    </w:tblStylePr>
    <w:tblStylePr w:type="lastRow">
      <w:rPr>
        <w:b/>
        <w:bCs/>
        <w:color w:val="000000" w:themeColor="text1"/>
      </w:rPr>
      <w:tblPr/>
      <w:tcPr>
        <w:shd w:val="clear" w:color="auto" w:fill="90D4FF" w:themeFill="accent6" w:themeFillTint="66"/>
      </w:tcPr>
    </w:tblStylePr>
    <w:tblStylePr w:type="firstCol">
      <w:rPr>
        <w:color w:val="FFFFFF" w:themeColor="background1"/>
      </w:rPr>
      <w:tblPr/>
      <w:tcPr>
        <w:shd w:val="clear" w:color="auto" w:fill="006CAF" w:themeFill="accent6" w:themeFillShade="BF"/>
      </w:tcPr>
    </w:tblStylePr>
    <w:tblStylePr w:type="lastCol">
      <w:rPr>
        <w:color w:val="FFFFFF" w:themeColor="background1"/>
      </w:rPr>
      <w:tblPr/>
      <w:tcPr>
        <w:shd w:val="clear" w:color="auto" w:fill="006CAF" w:themeFill="accent6" w:themeFillShade="BF"/>
      </w:tc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DFBFF" w:themeFill="accen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6FF" w:themeFill="accent1" w:themeFillTint="3F"/>
      </w:tcPr>
    </w:tblStylePr>
    <w:tblStylePr w:type="band1Horz">
      <w:tblPr/>
      <w:tcPr>
        <w:shd w:val="clear" w:color="auto" w:fill="BAF8FF"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8FAFD" w:themeFill="accent2"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EF2FB" w:themeFill="accent2" w:themeFillTint="3F"/>
      </w:tcPr>
    </w:tblStylePr>
    <w:tblStylePr w:type="band1Horz">
      <w:tblPr/>
      <w:tcPr>
        <w:shd w:val="clear" w:color="auto" w:fill="B1F4FC"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FFEEEE" w:themeFill="accent3" w:themeFillTint="19"/>
    </w:tcPr>
    <w:tblStylePr w:type="firstRow">
      <w:rPr>
        <w:b/>
        <w:bCs/>
        <w:color w:val="FFFFFF" w:themeColor="background1"/>
      </w:rPr>
      <w:tblPr/>
      <w:tcPr>
        <w:tcBorders>
          <w:bottom w:val="single" w:sz="12" w:space="0" w:color="FFFFFF" w:themeColor="background1"/>
        </w:tcBorders>
        <w:shd w:val="clear" w:color="auto" w:fill="522E92" w:themeFill="accent4" w:themeFillShade="CC"/>
      </w:tcPr>
    </w:tblStylePr>
    <w:tblStylePr w:type="lastRow">
      <w:rPr>
        <w:b/>
        <w:bCs/>
        <w:color w:val="522E9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4D4" w:themeFill="accent3" w:themeFillTint="3F"/>
      </w:tcPr>
    </w:tblStylePr>
    <w:tblStylePr w:type="band1Horz">
      <w:tblPr/>
      <w:tcPr>
        <w:shd w:val="clear" w:color="auto" w:fill="FFDCDC"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FEAF8" w:themeFill="accent4" w:themeFillTint="19"/>
    </w:tcPr>
    <w:tblStylePr w:type="firstRow">
      <w:rPr>
        <w:b/>
        <w:bCs/>
        <w:color w:val="FFFFFF" w:themeColor="background1"/>
      </w:rPr>
      <w:tblPr/>
      <w:tcPr>
        <w:tcBorders>
          <w:bottom w:val="single" w:sz="12" w:space="0" w:color="FFFFFF" w:themeColor="background1"/>
        </w:tcBorders>
        <w:shd w:val="clear" w:color="auto" w:fill="FF0E0E" w:themeFill="accent3" w:themeFillShade="CC"/>
      </w:tcPr>
    </w:tblStylePr>
    <w:tblStylePr w:type="lastRow">
      <w:rPr>
        <w:b/>
        <w:bCs/>
        <w:color w:val="FF0E0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CCEF" w:themeFill="accent4" w:themeFillTint="3F"/>
      </w:tcPr>
    </w:tblStylePr>
    <w:tblStylePr w:type="band1Horz">
      <w:tblPr/>
      <w:tcPr>
        <w:shd w:val="clear" w:color="auto" w:fill="DFD6F2"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DEE6FC" w:themeFill="accent5" w:themeFillTint="19"/>
    </w:tcPr>
    <w:tblStylePr w:type="firstRow">
      <w:rPr>
        <w:b/>
        <w:bCs/>
        <w:color w:val="FFFFFF" w:themeColor="background1"/>
      </w:rPr>
      <w:tblPr/>
      <w:tcPr>
        <w:tcBorders>
          <w:bottom w:val="single" w:sz="12" w:space="0" w:color="FFFFFF" w:themeColor="background1"/>
        </w:tcBorders>
        <w:shd w:val="clear" w:color="auto" w:fill="0073BB" w:themeFill="accent6" w:themeFillShade="CC"/>
      </w:tcPr>
    </w:tblStylePr>
    <w:tblStylePr w:type="lastRow">
      <w:rPr>
        <w:b/>
        <w:bCs/>
        <w:color w:val="0073B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C0F7" w:themeFill="accent5" w:themeFillTint="3F"/>
      </w:tcPr>
    </w:tblStylePr>
    <w:tblStylePr w:type="band1Horz">
      <w:tblPr/>
      <w:tcPr>
        <w:shd w:val="clear" w:color="auto" w:fill="BBCCF8"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E3F4FF" w:themeFill="accent6" w:themeFillTint="19"/>
    </w:tcPr>
    <w:tblStylePr w:type="firstRow">
      <w:rPr>
        <w:b/>
        <w:bCs/>
        <w:color w:val="FFFFFF" w:themeColor="background1"/>
      </w:rPr>
      <w:tblPr/>
      <w:tcPr>
        <w:tcBorders>
          <w:bottom w:val="single" w:sz="12" w:space="0" w:color="FFFFFF" w:themeColor="background1"/>
        </w:tcBorders>
        <w:shd w:val="clear" w:color="auto" w:fill="092368" w:themeFill="accent5" w:themeFillShade="CC"/>
      </w:tcPr>
    </w:tblStylePr>
    <w:tblStylePr w:type="lastRow">
      <w:rPr>
        <w:b/>
        <w:bCs/>
        <w:color w:val="0923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E5FF" w:themeFill="accent6" w:themeFillTint="3F"/>
      </w:tcPr>
    </w:tblStylePr>
    <w:tblStylePr w:type="band1Horz">
      <w:tblPr/>
      <w:tcPr>
        <w:shd w:val="clear" w:color="auto" w:fill="C7E9FF"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97A7" w:themeColor="accent1"/>
        <w:bottom w:val="single" w:sz="4" w:space="0" w:color="0097A7" w:themeColor="accent1"/>
        <w:right w:val="single" w:sz="4" w:space="0" w:color="0097A7" w:themeColor="accent1"/>
        <w:insideH w:val="single" w:sz="4" w:space="0" w:color="FFFFFF" w:themeColor="background1"/>
        <w:insideV w:val="single" w:sz="4" w:space="0" w:color="FFFFFF" w:themeColor="background1"/>
      </w:tblBorders>
    </w:tblPr>
    <w:tcPr>
      <w:shd w:val="clear" w:color="auto" w:fill="DDFBFF" w:themeFill="accen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64" w:themeFill="accent1" w:themeFillShade="99"/>
      </w:tcPr>
    </w:tblStylePr>
    <w:tblStylePr w:type="firstCol">
      <w:rPr>
        <w:color w:val="FFFFFF" w:themeColor="background1"/>
      </w:rPr>
      <w:tblPr/>
      <w:tcPr>
        <w:tcBorders>
          <w:top w:val="nil"/>
          <w:left w:val="nil"/>
          <w:bottom w:val="nil"/>
          <w:right w:val="nil"/>
          <w:insideH w:val="single" w:sz="4" w:space="0" w:color="005A64" w:themeColor="accent1" w:themeShade="99"/>
          <w:insideV w:val="nil"/>
        </w:tcBorders>
        <w:shd w:val="clear" w:color="auto" w:fill="005A6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A64" w:themeFill="accent1" w:themeFillShade="99"/>
      </w:tcPr>
    </w:tblStylePr>
    <w:tblStylePr w:type="band1Vert">
      <w:tblPr/>
      <w:tcPr>
        <w:shd w:val="clear" w:color="auto" w:fill="75F1FF" w:themeFill="accent1" w:themeFillTint="66"/>
      </w:tcPr>
    </w:tblStylePr>
    <w:tblStylePr w:type="band1Horz">
      <w:tblPr/>
      <w:tcPr>
        <w:shd w:val="clear" w:color="auto" w:fill="54EE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45C65" w:themeColor="accent2"/>
        <w:bottom w:val="single" w:sz="4" w:space="0" w:color="045C65" w:themeColor="accent2"/>
        <w:right w:val="single" w:sz="4" w:space="0" w:color="045C65" w:themeColor="accent2"/>
        <w:insideH w:val="single" w:sz="4" w:space="0" w:color="FFFFFF" w:themeColor="background1"/>
        <w:insideV w:val="single" w:sz="4" w:space="0" w:color="FFFFFF" w:themeColor="background1"/>
      </w:tblBorders>
    </w:tblPr>
    <w:tcPr>
      <w:shd w:val="clear" w:color="auto" w:fill="D8FAFD" w:themeFill="accent2"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2373C" w:themeFill="accent2" w:themeFillShade="99"/>
      </w:tcPr>
    </w:tblStylePr>
    <w:tblStylePr w:type="firstCol">
      <w:rPr>
        <w:color w:val="FFFFFF" w:themeColor="background1"/>
      </w:rPr>
      <w:tblPr/>
      <w:tcPr>
        <w:tcBorders>
          <w:top w:val="nil"/>
          <w:left w:val="nil"/>
          <w:bottom w:val="nil"/>
          <w:right w:val="nil"/>
          <w:insideH w:val="single" w:sz="4" w:space="0" w:color="02373C" w:themeColor="accent2" w:themeShade="99"/>
          <w:insideV w:val="nil"/>
        </w:tcBorders>
        <w:shd w:val="clear" w:color="auto" w:fill="02373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2373C" w:themeFill="accent2" w:themeFillShade="99"/>
      </w:tcPr>
    </w:tblStylePr>
    <w:tblStylePr w:type="band1Vert">
      <w:tblPr/>
      <w:tcPr>
        <w:shd w:val="clear" w:color="auto" w:fill="63EAF8" w:themeFill="accent2" w:themeFillTint="66"/>
      </w:tcPr>
    </w:tblStylePr>
    <w:tblStylePr w:type="band1Horz">
      <w:tblPr/>
      <w:tcPr>
        <w:shd w:val="clear" w:color="auto" w:fill="3CE5F7"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673AB7" w:themeColor="accent4"/>
        <w:left w:val="single" w:sz="4" w:space="0" w:color="FF5252" w:themeColor="accent3"/>
        <w:bottom w:val="single" w:sz="4" w:space="0" w:color="FF5252" w:themeColor="accent3"/>
        <w:right w:val="single" w:sz="4" w:space="0" w:color="FF5252" w:themeColor="accent3"/>
        <w:insideH w:val="single" w:sz="4" w:space="0" w:color="FFFFFF" w:themeColor="background1"/>
        <w:insideV w:val="single" w:sz="4" w:space="0" w:color="FFFFFF" w:themeColor="background1"/>
      </w:tblBorders>
    </w:tblPr>
    <w:tcPr>
      <w:shd w:val="clear" w:color="auto" w:fill="FFEEEE" w:themeFill="accent3" w:themeFillTint="19"/>
    </w:tcPr>
    <w:tblStylePr w:type="firstRow">
      <w:rPr>
        <w:b/>
        <w:bCs/>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0000" w:themeFill="accent3" w:themeFillShade="99"/>
      </w:tcPr>
    </w:tblStylePr>
    <w:tblStylePr w:type="firstCol">
      <w:rPr>
        <w:color w:val="FFFFFF" w:themeColor="background1"/>
      </w:rPr>
      <w:tblPr/>
      <w:tcPr>
        <w:tcBorders>
          <w:top w:val="nil"/>
          <w:left w:val="nil"/>
          <w:bottom w:val="nil"/>
          <w:right w:val="nil"/>
          <w:insideH w:val="single" w:sz="4" w:space="0" w:color="CA0000" w:themeColor="accent3" w:themeShade="99"/>
          <w:insideV w:val="nil"/>
        </w:tcBorders>
        <w:shd w:val="clear" w:color="auto" w:fill="CA00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CA0000" w:themeFill="accent3" w:themeFillShade="99"/>
      </w:tcPr>
    </w:tblStylePr>
    <w:tblStylePr w:type="band1Vert">
      <w:tblPr/>
      <w:tcPr>
        <w:shd w:val="clear" w:color="auto" w:fill="FFB9B9" w:themeFill="accent3" w:themeFillTint="66"/>
      </w:tcPr>
    </w:tblStylePr>
    <w:tblStylePr w:type="band1Horz">
      <w:tblPr/>
      <w:tcPr>
        <w:shd w:val="clear" w:color="auto" w:fill="FFA8A8"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FF5252" w:themeColor="accent3"/>
        <w:left w:val="single" w:sz="4" w:space="0" w:color="673AB7" w:themeColor="accent4"/>
        <w:bottom w:val="single" w:sz="4" w:space="0" w:color="673AB7" w:themeColor="accent4"/>
        <w:right w:val="single" w:sz="4" w:space="0" w:color="673AB7" w:themeColor="accent4"/>
        <w:insideH w:val="single" w:sz="4" w:space="0" w:color="FFFFFF" w:themeColor="background1"/>
        <w:insideV w:val="single" w:sz="4" w:space="0" w:color="FFFFFF" w:themeColor="background1"/>
      </w:tblBorders>
    </w:tblPr>
    <w:tcPr>
      <w:shd w:val="clear" w:color="auto" w:fill="EFEAF8" w:themeFill="accent4" w:themeFillTint="19"/>
    </w:tcPr>
    <w:tblStylePr w:type="firstRow">
      <w:rPr>
        <w:b/>
        <w:bCs/>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226D" w:themeFill="accent4" w:themeFillShade="99"/>
      </w:tcPr>
    </w:tblStylePr>
    <w:tblStylePr w:type="firstCol">
      <w:rPr>
        <w:color w:val="FFFFFF" w:themeColor="background1"/>
      </w:rPr>
      <w:tblPr/>
      <w:tcPr>
        <w:tcBorders>
          <w:top w:val="nil"/>
          <w:left w:val="nil"/>
          <w:bottom w:val="nil"/>
          <w:right w:val="nil"/>
          <w:insideH w:val="single" w:sz="4" w:space="0" w:color="3D226D" w:themeColor="accent4" w:themeShade="99"/>
          <w:insideV w:val="nil"/>
        </w:tcBorders>
        <w:shd w:val="clear" w:color="auto" w:fill="3D226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226D" w:themeFill="accent4" w:themeFillShade="99"/>
      </w:tcPr>
    </w:tblStylePr>
    <w:tblStylePr w:type="band1Vert">
      <w:tblPr/>
      <w:tcPr>
        <w:shd w:val="clear" w:color="auto" w:fill="C1ADE5" w:themeFill="accent4" w:themeFillTint="66"/>
      </w:tcPr>
    </w:tblStylePr>
    <w:tblStylePr w:type="band1Horz">
      <w:tblPr/>
      <w:tcPr>
        <w:shd w:val="clear" w:color="auto" w:fill="B299DE"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0091EA" w:themeColor="accent6"/>
        <w:left w:val="single" w:sz="4" w:space="0" w:color="0C2D83" w:themeColor="accent5"/>
        <w:bottom w:val="single" w:sz="4" w:space="0" w:color="0C2D83" w:themeColor="accent5"/>
        <w:right w:val="single" w:sz="4" w:space="0" w:color="0C2D83" w:themeColor="accent5"/>
        <w:insideH w:val="single" w:sz="4" w:space="0" w:color="FFFFFF" w:themeColor="background1"/>
        <w:insideV w:val="single" w:sz="4" w:space="0" w:color="FFFFFF" w:themeColor="background1"/>
      </w:tblBorders>
    </w:tblPr>
    <w:tcPr>
      <w:shd w:val="clear" w:color="auto" w:fill="DEE6FC" w:themeFill="accent5" w:themeFillTint="19"/>
    </w:tcPr>
    <w:tblStylePr w:type="firstRow">
      <w:rPr>
        <w:b/>
        <w:bCs/>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A4E" w:themeFill="accent5" w:themeFillShade="99"/>
      </w:tcPr>
    </w:tblStylePr>
    <w:tblStylePr w:type="firstCol">
      <w:rPr>
        <w:color w:val="FFFFFF" w:themeColor="background1"/>
      </w:rPr>
      <w:tblPr/>
      <w:tcPr>
        <w:tcBorders>
          <w:top w:val="nil"/>
          <w:left w:val="nil"/>
          <w:bottom w:val="nil"/>
          <w:right w:val="nil"/>
          <w:insideH w:val="single" w:sz="4" w:space="0" w:color="071A4E" w:themeColor="accent5" w:themeShade="99"/>
          <w:insideV w:val="nil"/>
        </w:tcBorders>
        <w:shd w:val="clear" w:color="auto" w:fill="071A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71A4E" w:themeFill="accent5" w:themeFillShade="99"/>
      </w:tcPr>
    </w:tblStylePr>
    <w:tblStylePr w:type="band1Vert">
      <w:tblPr/>
      <w:tcPr>
        <w:shd w:val="clear" w:color="auto" w:fill="7899F2" w:themeFill="accent5" w:themeFillTint="66"/>
      </w:tcPr>
    </w:tblStylePr>
    <w:tblStylePr w:type="band1Horz">
      <w:tblPr/>
      <w:tcPr>
        <w:shd w:val="clear" w:color="auto" w:fill="5781EF"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0C2D83" w:themeColor="accent5"/>
        <w:left w:val="single" w:sz="4" w:space="0" w:color="0091EA" w:themeColor="accent6"/>
        <w:bottom w:val="single" w:sz="4" w:space="0" w:color="0091EA" w:themeColor="accent6"/>
        <w:right w:val="single" w:sz="4" w:space="0" w:color="0091EA" w:themeColor="accent6"/>
        <w:insideH w:val="single" w:sz="4" w:space="0" w:color="FFFFFF" w:themeColor="background1"/>
        <w:insideV w:val="single" w:sz="4" w:space="0" w:color="FFFFFF" w:themeColor="background1"/>
      </w:tblBorders>
    </w:tblPr>
    <w:tcPr>
      <w:shd w:val="clear" w:color="auto" w:fill="E3F4FF" w:themeFill="accent6" w:themeFillTint="19"/>
    </w:tcPr>
    <w:tblStylePr w:type="firstRow">
      <w:rPr>
        <w:b/>
        <w:bCs/>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68C" w:themeFill="accent6" w:themeFillShade="99"/>
      </w:tcPr>
    </w:tblStylePr>
    <w:tblStylePr w:type="firstCol">
      <w:rPr>
        <w:color w:val="FFFFFF" w:themeColor="background1"/>
      </w:rPr>
      <w:tblPr/>
      <w:tcPr>
        <w:tcBorders>
          <w:top w:val="nil"/>
          <w:left w:val="nil"/>
          <w:bottom w:val="nil"/>
          <w:right w:val="nil"/>
          <w:insideH w:val="single" w:sz="4" w:space="0" w:color="00568C" w:themeColor="accent6" w:themeShade="99"/>
          <w:insideV w:val="nil"/>
        </w:tcBorders>
        <w:shd w:val="clear" w:color="auto" w:fill="00568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68C" w:themeFill="accent6" w:themeFillShade="99"/>
      </w:tcPr>
    </w:tblStylePr>
    <w:tblStylePr w:type="band1Vert">
      <w:tblPr/>
      <w:tcPr>
        <w:shd w:val="clear" w:color="auto" w:fill="90D4FF" w:themeFill="accent6" w:themeFillTint="66"/>
      </w:tcPr>
    </w:tblStylePr>
    <w:tblStylePr w:type="band1Horz">
      <w:tblPr/>
      <w:tcPr>
        <w:shd w:val="clear" w:color="auto" w:fill="75CAFF"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F90081"/>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uiPriority w:val="99"/>
    <w:semiHidden/>
    <w:rsid w:val="00F90081"/>
    <w:rPr>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97A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5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07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07D" w:themeFill="accent1" w:themeFillShade="BF"/>
      </w:tcPr>
    </w:tblStylePr>
    <w:tblStylePr w:type="band1Vert">
      <w:tblPr/>
      <w:tcPr>
        <w:tcBorders>
          <w:top w:val="nil"/>
          <w:left w:val="nil"/>
          <w:bottom w:val="nil"/>
          <w:right w:val="nil"/>
          <w:insideH w:val="nil"/>
          <w:insideV w:val="nil"/>
        </w:tcBorders>
        <w:shd w:val="clear" w:color="auto" w:fill="00707D" w:themeFill="accent1" w:themeFillShade="BF"/>
      </w:tcPr>
    </w:tblStylePr>
    <w:tblStylePr w:type="band1Horz">
      <w:tblPr/>
      <w:tcPr>
        <w:tcBorders>
          <w:top w:val="nil"/>
          <w:left w:val="nil"/>
          <w:bottom w:val="nil"/>
          <w:right w:val="nil"/>
          <w:insideH w:val="nil"/>
          <w:insideV w:val="nil"/>
        </w:tcBorders>
        <w:shd w:val="clear" w:color="auto" w:fill="00707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45C6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2D3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3444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3444B" w:themeFill="accent2" w:themeFillShade="BF"/>
      </w:tcPr>
    </w:tblStylePr>
    <w:tblStylePr w:type="band1Vert">
      <w:tblPr/>
      <w:tcPr>
        <w:tcBorders>
          <w:top w:val="nil"/>
          <w:left w:val="nil"/>
          <w:bottom w:val="nil"/>
          <w:right w:val="nil"/>
          <w:insideH w:val="nil"/>
          <w:insideV w:val="nil"/>
        </w:tcBorders>
        <w:shd w:val="clear" w:color="auto" w:fill="03444B" w:themeFill="accent2" w:themeFillShade="BF"/>
      </w:tcPr>
    </w:tblStylePr>
    <w:tblStylePr w:type="band1Horz">
      <w:tblPr/>
      <w:tcPr>
        <w:tcBorders>
          <w:top w:val="nil"/>
          <w:left w:val="nil"/>
          <w:bottom w:val="nil"/>
          <w:right w:val="nil"/>
          <w:insideH w:val="nil"/>
          <w:insideV w:val="nil"/>
        </w:tcBorders>
        <w:shd w:val="clear" w:color="auto" w:fill="03444B"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FF525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700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FC00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FC0000" w:themeFill="accent3" w:themeFillShade="BF"/>
      </w:tcPr>
    </w:tblStylePr>
    <w:tblStylePr w:type="band1Vert">
      <w:tblPr/>
      <w:tcPr>
        <w:tcBorders>
          <w:top w:val="nil"/>
          <w:left w:val="nil"/>
          <w:bottom w:val="nil"/>
          <w:right w:val="nil"/>
          <w:insideH w:val="nil"/>
          <w:insideV w:val="nil"/>
        </w:tcBorders>
        <w:shd w:val="clear" w:color="auto" w:fill="FC0000" w:themeFill="accent3" w:themeFillShade="BF"/>
      </w:tcPr>
    </w:tblStylePr>
    <w:tblStylePr w:type="band1Horz">
      <w:tblPr/>
      <w:tcPr>
        <w:tcBorders>
          <w:top w:val="nil"/>
          <w:left w:val="nil"/>
          <w:bottom w:val="nil"/>
          <w:right w:val="nil"/>
          <w:insideH w:val="nil"/>
          <w:insideV w:val="nil"/>
        </w:tcBorders>
        <w:shd w:val="clear" w:color="auto" w:fill="FC0000"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673AB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1D5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2B8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2B88" w:themeFill="accent4" w:themeFillShade="BF"/>
      </w:tcPr>
    </w:tblStylePr>
    <w:tblStylePr w:type="band1Vert">
      <w:tblPr/>
      <w:tcPr>
        <w:tcBorders>
          <w:top w:val="nil"/>
          <w:left w:val="nil"/>
          <w:bottom w:val="nil"/>
          <w:right w:val="nil"/>
          <w:insideH w:val="nil"/>
          <w:insideV w:val="nil"/>
        </w:tcBorders>
        <w:shd w:val="clear" w:color="auto" w:fill="4C2B88" w:themeFill="accent4" w:themeFillShade="BF"/>
      </w:tcPr>
    </w:tblStylePr>
    <w:tblStylePr w:type="band1Horz">
      <w:tblPr/>
      <w:tcPr>
        <w:tcBorders>
          <w:top w:val="nil"/>
          <w:left w:val="nil"/>
          <w:bottom w:val="nil"/>
          <w:right w:val="nil"/>
          <w:insideH w:val="nil"/>
          <w:insideV w:val="nil"/>
        </w:tcBorders>
        <w:shd w:val="clear" w:color="auto" w:fill="4C2B88"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0C2D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16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921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92162" w:themeFill="accent5" w:themeFillShade="BF"/>
      </w:tcPr>
    </w:tblStylePr>
    <w:tblStylePr w:type="band1Vert">
      <w:tblPr/>
      <w:tcPr>
        <w:tcBorders>
          <w:top w:val="nil"/>
          <w:left w:val="nil"/>
          <w:bottom w:val="nil"/>
          <w:right w:val="nil"/>
          <w:insideH w:val="nil"/>
          <w:insideV w:val="nil"/>
        </w:tcBorders>
        <w:shd w:val="clear" w:color="auto" w:fill="092162" w:themeFill="accent5" w:themeFillShade="BF"/>
      </w:tcPr>
    </w:tblStylePr>
    <w:tblStylePr w:type="band1Horz">
      <w:tblPr/>
      <w:tcPr>
        <w:tcBorders>
          <w:top w:val="nil"/>
          <w:left w:val="nil"/>
          <w:bottom w:val="nil"/>
          <w:right w:val="nil"/>
          <w:insideH w:val="nil"/>
          <w:insideV w:val="nil"/>
        </w:tcBorders>
        <w:shd w:val="clear" w:color="auto" w:fill="092162"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0091E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87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6CA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6CAF" w:themeFill="accent6" w:themeFillShade="BF"/>
      </w:tcPr>
    </w:tblStylePr>
    <w:tblStylePr w:type="band1Vert">
      <w:tblPr/>
      <w:tcPr>
        <w:tcBorders>
          <w:top w:val="nil"/>
          <w:left w:val="nil"/>
          <w:bottom w:val="nil"/>
          <w:right w:val="nil"/>
          <w:insideH w:val="nil"/>
          <w:insideV w:val="nil"/>
        </w:tcBorders>
        <w:shd w:val="clear" w:color="auto" w:fill="006CAF" w:themeFill="accent6" w:themeFillShade="BF"/>
      </w:tcPr>
    </w:tblStylePr>
    <w:tblStylePr w:type="band1Horz">
      <w:tblPr/>
      <w:tcPr>
        <w:tcBorders>
          <w:top w:val="nil"/>
          <w:left w:val="nil"/>
          <w:bottom w:val="nil"/>
          <w:right w:val="nil"/>
          <w:insideH w:val="nil"/>
          <w:insideV w:val="nil"/>
        </w:tcBorders>
        <w:shd w:val="clear" w:color="auto" w:fill="006CAF"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uiPriority w:val="99"/>
    <w:semiHidden/>
    <w:rsid w:val="00F90081"/>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F90081"/>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uiPriority w:val="99"/>
    <w:semiHidden/>
    <w:rsid w:val="00F90081"/>
  </w:style>
  <w:style w:type="character" w:styleId="Fremhv">
    <w:name w:val="Emphasis"/>
    <w:basedOn w:val="Standardskrifttypeiafsnit"/>
    <w:uiPriority w:val="20"/>
    <w:qFormat/>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uiPriority w:val="99"/>
    <w:semiHidden/>
    <w:rsid w:val="00F90081"/>
    <w:rPr>
      <w:i/>
      <w:iCs/>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F90081"/>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97A7" w:themeColor="accent1"/>
    </w:rPr>
  </w:style>
  <w:style w:type="paragraph" w:styleId="Strktcitat">
    <w:name w:val="Intense Quote"/>
    <w:basedOn w:val="Normal"/>
    <w:next w:val="Normal"/>
    <w:link w:val="StrktcitatTegn"/>
    <w:uiPriority w:val="99"/>
    <w:semiHidden/>
    <w:qFormat/>
    <w:rsid w:val="00225534"/>
    <w:pPr>
      <w:pBdr>
        <w:bottom w:val="single" w:sz="4" w:space="4" w:color="0097A7" w:themeColor="accent1"/>
      </w:pBdr>
      <w:spacing w:before="200" w:after="280"/>
      <w:ind w:left="936" w:right="936"/>
    </w:pPr>
    <w:rPr>
      <w:b/>
      <w:bCs/>
      <w:i/>
      <w:iCs/>
      <w:color w:val="0097A7" w:themeColor="accent1"/>
    </w:rPr>
  </w:style>
  <w:style w:type="character" w:customStyle="1" w:styleId="StrktcitatTegn">
    <w:name w:val="Stærkt citat Tegn"/>
    <w:basedOn w:val="Standardskrifttypeiafsnit"/>
    <w:link w:val="Strktcitat"/>
    <w:uiPriority w:val="99"/>
    <w:semiHidden/>
    <w:rsid w:val="00F90081"/>
    <w:rPr>
      <w:b/>
      <w:bCs/>
      <w:i/>
      <w:iCs/>
      <w:color w:val="0097A7" w:themeColor="accent1"/>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18" w:space="0" w:color="0097A7" w:themeColor="accent1"/>
          <w:right w:val="single" w:sz="8" w:space="0" w:color="0097A7" w:themeColor="accent1"/>
          <w:insideH w:val="nil"/>
          <w:insideV w:val="single" w:sz="8" w:space="0" w:color="0097A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insideH w:val="nil"/>
          <w:insideV w:val="single" w:sz="8" w:space="0" w:color="0097A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shd w:val="clear" w:color="auto" w:fill="AAF6FF" w:themeFill="accent1" w:themeFillTint="3F"/>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shd w:val="clear" w:color="auto" w:fill="AAF6FF" w:themeFill="accent1" w:themeFillTint="3F"/>
      </w:tcPr>
    </w:tblStylePr>
    <w:tblStylePr w:type="band2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18" w:space="0" w:color="045C65" w:themeColor="accent2"/>
          <w:right w:val="single" w:sz="8" w:space="0" w:color="045C65" w:themeColor="accent2"/>
          <w:insideH w:val="nil"/>
          <w:insideV w:val="single" w:sz="8" w:space="0" w:color="045C6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insideH w:val="nil"/>
          <w:insideV w:val="single" w:sz="8" w:space="0" w:color="045C6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shd w:val="clear" w:color="auto" w:fill="9EF2FB" w:themeFill="accent2" w:themeFillTint="3F"/>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shd w:val="clear" w:color="auto" w:fill="9EF2FB" w:themeFill="accent2" w:themeFillTint="3F"/>
      </w:tcPr>
    </w:tblStylePr>
    <w:tblStylePr w:type="band2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18" w:space="0" w:color="FF5252" w:themeColor="accent3"/>
          <w:right w:val="single" w:sz="8" w:space="0" w:color="FF5252" w:themeColor="accent3"/>
          <w:insideH w:val="nil"/>
          <w:insideV w:val="single" w:sz="8" w:space="0" w:color="FF52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insideH w:val="nil"/>
          <w:insideV w:val="single" w:sz="8" w:space="0" w:color="FF52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shd w:val="clear" w:color="auto" w:fill="FFD4D4" w:themeFill="accent3" w:themeFillTint="3F"/>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shd w:val="clear" w:color="auto" w:fill="FFD4D4" w:themeFill="accent3" w:themeFillTint="3F"/>
      </w:tcPr>
    </w:tblStylePr>
    <w:tblStylePr w:type="band2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18" w:space="0" w:color="673AB7" w:themeColor="accent4"/>
          <w:right w:val="single" w:sz="8" w:space="0" w:color="673AB7" w:themeColor="accent4"/>
          <w:insideH w:val="nil"/>
          <w:insideV w:val="single" w:sz="8" w:space="0" w:color="673AB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insideH w:val="nil"/>
          <w:insideV w:val="single" w:sz="8" w:space="0" w:color="673AB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shd w:val="clear" w:color="auto" w:fill="D8CCEF" w:themeFill="accent4" w:themeFillTint="3F"/>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shd w:val="clear" w:color="auto" w:fill="D8CCEF" w:themeFill="accent4" w:themeFillTint="3F"/>
      </w:tcPr>
    </w:tblStylePr>
    <w:tblStylePr w:type="band2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18" w:space="0" w:color="0C2D83" w:themeColor="accent5"/>
          <w:right w:val="single" w:sz="8" w:space="0" w:color="0C2D83" w:themeColor="accent5"/>
          <w:insideH w:val="nil"/>
          <w:insideV w:val="single" w:sz="8" w:space="0" w:color="0C2D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insideH w:val="nil"/>
          <w:insideV w:val="single" w:sz="8" w:space="0" w:color="0C2D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shd w:val="clear" w:color="auto" w:fill="ABC0F7" w:themeFill="accent5" w:themeFillTint="3F"/>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shd w:val="clear" w:color="auto" w:fill="ABC0F7" w:themeFill="accent5" w:themeFillTint="3F"/>
      </w:tcPr>
    </w:tblStylePr>
    <w:tblStylePr w:type="band2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18" w:space="0" w:color="0091EA" w:themeColor="accent6"/>
          <w:right w:val="single" w:sz="8" w:space="0" w:color="0091EA" w:themeColor="accent6"/>
          <w:insideH w:val="nil"/>
          <w:insideV w:val="single" w:sz="8" w:space="0" w:color="0091E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insideH w:val="nil"/>
          <w:insideV w:val="single" w:sz="8" w:space="0" w:color="0091E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shd w:val="clear" w:color="auto" w:fill="BAE5FF" w:themeFill="accent6" w:themeFillTint="3F"/>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shd w:val="clear" w:color="auto" w:fill="BAE5FF" w:themeFill="accent6" w:themeFillTint="3F"/>
      </w:tcPr>
    </w:tblStylePr>
    <w:tblStylePr w:type="band2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pPr>
        <w:spacing w:before="0" w:after="0" w:line="240" w:lineRule="auto"/>
      </w:pPr>
      <w:rPr>
        <w:b/>
        <w:bCs/>
        <w:color w:val="FFFFFF" w:themeColor="background1"/>
      </w:rPr>
      <w:tblPr/>
      <w:tcPr>
        <w:shd w:val="clear" w:color="auto" w:fill="0097A7" w:themeFill="accent1"/>
      </w:tcPr>
    </w:tblStylePr>
    <w:tblStylePr w:type="lastRow">
      <w:pPr>
        <w:spacing w:before="0" w:after="0" w:line="240" w:lineRule="auto"/>
      </w:pPr>
      <w:rPr>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tcBorders>
      </w:tcPr>
    </w:tblStylePr>
    <w:tblStylePr w:type="firstCol">
      <w:rPr>
        <w:b/>
        <w:bCs/>
      </w:rPr>
    </w:tblStylePr>
    <w:tblStylePr w:type="lastCol">
      <w:rPr>
        <w:b/>
        <w:bCs/>
      </w:r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pPr>
        <w:spacing w:before="0" w:after="0" w:line="240" w:lineRule="auto"/>
      </w:pPr>
      <w:rPr>
        <w:b/>
        <w:bCs/>
        <w:color w:val="FFFFFF" w:themeColor="background1"/>
      </w:rPr>
      <w:tblPr/>
      <w:tcPr>
        <w:shd w:val="clear" w:color="auto" w:fill="045C65" w:themeFill="accent2"/>
      </w:tcPr>
    </w:tblStylePr>
    <w:tblStylePr w:type="lastRow">
      <w:pPr>
        <w:spacing w:before="0" w:after="0" w:line="240" w:lineRule="auto"/>
      </w:pPr>
      <w:rPr>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tcBorders>
      </w:tcPr>
    </w:tblStylePr>
    <w:tblStylePr w:type="firstCol">
      <w:rPr>
        <w:b/>
        <w:bCs/>
      </w:rPr>
    </w:tblStylePr>
    <w:tblStylePr w:type="lastCol">
      <w:rPr>
        <w:b/>
        <w:bCs/>
      </w:r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pPr>
        <w:spacing w:before="0" w:after="0" w:line="240" w:lineRule="auto"/>
      </w:pPr>
      <w:rPr>
        <w:b/>
        <w:bCs/>
        <w:color w:val="FFFFFF" w:themeColor="background1"/>
      </w:rPr>
      <w:tblPr/>
      <w:tcPr>
        <w:shd w:val="clear" w:color="auto" w:fill="FF5252" w:themeFill="accent3"/>
      </w:tcPr>
    </w:tblStylePr>
    <w:tblStylePr w:type="lastRow">
      <w:pPr>
        <w:spacing w:before="0" w:after="0" w:line="240" w:lineRule="auto"/>
      </w:pPr>
      <w:rPr>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tcBorders>
      </w:tcPr>
    </w:tblStylePr>
    <w:tblStylePr w:type="firstCol">
      <w:rPr>
        <w:b/>
        <w:bCs/>
      </w:rPr>
    </w:tblStylePr>
    <w:tblStylePr w:type="lastCol">
      <w:rPr>
        <w:b/>
        <w:bCs/>
      </w:r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pPr>
        <w:spacing w:before="0" w:after="0" w:line="240" w:lineRule="auto"/>
      </w:pPr>
      <w:rPr>
        <w:b/>
        <w:bCs/>
        <w:color w:val="FFFFFF" w:themeColor="background1"/>
      </w:rPr>
      <w:tblPr/>
      <w:tcPr>
        <w:shd w:val="clear" w:color="auto" w:fill="673AB7" w:themeFill="accent4"/>
      </w:tcPr>
    </w:tblStylePr>
    <w:tblStylePr w:type="lastRow">
      <w:pPr>
        <w:spacing w:before="0" w:after="0" w:line="240" w:lineRule="auto"/>
      </w:pPr>
      <w:rPr>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tcBorders>
      </w:tcPr>
    </w:tblStylePr>
    <w:tblStylePr w:type="firstCol">
      <w:rPr>
        <w:b/>
        <w:bCs/>
      </w:rPr>
    </w:tblStylePr>
    <w:tblStylePr w:type="lastCol">
      <w:rPr>
        <w:b/>
        <w:bCs/>
      </w:r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pPr>
        <w:spacing w:before="0" w:after="0" w:line="240" w:lineRule="auto"/>
      </w:pPr>
      <w:rPr>
        <w:b/>
        <w:bCs/>
        <w:color w:val="FFFFFF" w:themeColor="background1"/>
      </w:rPr>
      <w:tblPr/>
      <w:tcPr>
        <w:shd w:val="clear" w:color="auto" w:fill="0C2D83" w:themeFill="accent5"/>
      </w:tcPr>
    </w:tblStylePr>
    <w:tblStylePr w:type="lastRow">
      <w:pPr>
        <w:spacing w:before="0" w:after="0" w:line="240" w:lineRule="auto"/>
      </w:pPr>
      <w:rPr>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tcBorders>
      </w:tcPr>
    </w:tblStylePr>
    <w:tblStylePr w:type="firstCol">
      <w:rPr>
        <w:b/>
        <w:bCs/>
      </w:rPr>
    </w:tblStylePr>
    <w:tblStylePr w:type="lastCol">
      <w:rPr>
        <w:b/>
        <w:bCs/>
      </w:r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pPr>
        <w:spacing w:before="0" w:after="0" w:line="240" w:lineRule="auto"/>
      </w:pPr>
      <w:rPr>
        <w:b/>
        <w:bCs/>
        <w:color w:val="FFFFFF" w:themeColor="background1"/>
      </w:rPr>
      <w:tblPr/>
      <w:tcPr>
        <w:shd w:val="clear" w:color="auto" w:fill="0091EA" w:themeFill="accent6"/>
      </w:tcPr>
    </w:tblStylePr>
    <w:tblStylePr w:type="lastRow">
      <w:pPr>
        <w:spacing w:before="0" w:after="0" w:line="240" w:lineRule="auto"/>
      </w:pPr>
      <w:rPr>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tcBorders>
      </w:tcPr>
    </w:tblStylePr>
    <w:tblStylePr w:type="firstCol">
      <w:rPr>
        <w:b/>
        <w:bCs/>
      </w:rPr>
    </w:tblStylePr>
    <w:tblStylePr w:type="lastCol">
      <w:rPr>
        <w:b/>
        <w:bCs/>
      </w:r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707D" w:themeColor="accent1" w:themeShade="BF"/>
    </w:rPr>
    <w:tblPr>
      <w:tblStyleRowBandSize w:val="1"/>
      <w:tblStyleColBandSize w:val="1"/>
      <w:tblBorders>
        <w:top w:val="single" w:sz="8" w:space="0" w:color="0097A7" w:themeColor="accent1"/>
        <w:bottom w:val="single" w:sz="8" w:space="0" w:color="0097A7" w:themeColor="accent1"/>
      </w:tblBorders>
    </w:tblPr>
    <w:tblStylePr w:type="fir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la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left w:val="nil"/>
          <w:right w:val="nil"/>
          <w:insideH w:val="nil"/>
          <w:insideV w:val="nil"/>
        </w:tcBorders>
        <w:shd w:val="clear" w:color="auto" w:fill="AAF6FF"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3444B" w:themeColor="accent2" w:themeShade="BF"/>
    </w:rPr>
    <w:tblPr>
      <w:tblStyleRowBandSize w:val="1"/>
      <w:tblStyleColBandSize w:val="1"/>
      <w:tblBorders>
        <w:top w:val="single" w:sz="8" w:space="0" w:color="045C65" w:themeColor="accent2"/>
        <w:bottom w:val="single" w:sz="8" w:space="0" w:color="045C65" w:themeColor="accent2"/>
      </w:tblBorders>
    </w:tblPr>
    <w:tblStylePr w:type="fir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la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left w:val="nil"/>
          <w:right w:val="nil"/>
          <w:insideH w:val="nil"/>
          <w:insideV w:val="nil"/>
        </w:tcBorders>
        <w:shd w:val="clear" w:color="auto" w:fill="9EF2FB"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FC0000" w:themeColor="accent3" w:themeShade="BF"/>
    </w:rPr>
    <w:tblPr>
      <w:tblStyleRowBandSize w:val="1"/>
      <w:tblStyleColBandSize w:val="1"/>
      <w:tblBorders>
        <w:top w:val="single" w:sz="8" w:space="0" w:color="FF5252" w:themeColor="accent3"/>
        <w:bottom w:val="single" w:sz="8" w:space="0" w:color="FF5252" w:themeColor="accent3"/>
      </w:tblBorders>
    </w:tblPr>
    <w:tblStylePr w:type="fir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la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left w:val="nil"/>
          <w:right w:val="nil"/>
          <w:insideH w:val="nil"/>
          <w:insideV w:val="nil"/>
        </w:tcBorders>
        <w:shd w:val="clear" w:color="auto" w:fill="FFD4D4"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4C2B88" w:themeColor="accent4" w:themeShade="BF"/>
    </w:rPr>
    <w:tblPr>
      <w:tblStyleRowBandSize w:val="1"/>
      <w:tblStyleColBandSize w:val="1"/>
      <w:tblBorders>
        <w:top w:val="single" w:sz="8" w:space="0" w:color="673AB7" w:themeColor="accent4"/>
        <w:bottom w:val="single" w:sz="8" w:space="0" w:color="673AB7" w:themeColor="accent4"/>
      </w:tblBorders>
    </w:tblPr>
    <w:tblStylePr w:type="fir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la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left w:val="nil"/>
          <w:right w:val="nil"/>
          <w:insideH w:val="nil"/>
          <w:insideV w:val="nil"/>
        </w:tcBorders>
        <w:shd w:val="clear" w:color="auto" w:fill="D8CCE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092162" w:themeColor="accent5" w:themeShade="BF"/>
    </w:rPr>
    <w:tblPr>
      <w:tblStyleRowBandSize w:val="1"/>
      <w:tblStyleColBandSize w:val="1"/>
      <w:tblBorders>
        <w:top w:val="single" w:sz="8" w:space="0" w:color="0C2D83" w:themeColor="accent5"/>
        <w:bottom w:val="single" w:sz="8" w:space="0" w:color="0C2D83" w:themeColor="accent5"/>
      </w:tblBorders>
    </w:tblPr>
    <w:tblStylePr w:type="fir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la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left w:val="nil"/>
          <w:right w:val="nil"/>
          <w:insideH w:val="nil"/>
          <w:insideV w:val="nil"/>
        </w:tcBorders>
        <w:shd w:val="clear" w:color="auto" w:fill="ABC0F7"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006CAF" w:themeColor="accent6" w:themeShade="BF"/>
    </w:rPr>
    <w:tblPr>
      <w:tblStyleRowBandSize w:val="1"/>
      <w:tblStyleColBandSize w:val="1"/>
      <w:tblBorders>
        <w:top w:val="single" w:sz="8" w:space="0" w:color="0091EA" w:themeColor="accent6"/>
        <w:bottom w:val="single" w:sz="8" w:space="0" w:color="0091EA" w:themeColor="accent6"/>
      </w:tblBorders>
    </w:tblPr>
    <w:tblStylePr w:type="fir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la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left w:val="nil"/>
          <w:right w:val="nil"/>
          <w:insideH w:val="nil"/>
          <w:insideV w:val="nil"/>
        </w:tcBorders>
        <w:shd w:val="clear" w:color="auto" w:fill="BAE5FF"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99"/>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F90081"/>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insideV w:val="single" w:sz="8" w:space="0" w:color="00E4FD" w:themeColor="accent1" w:themeTint="BF"/>
      </w:tblBorders>
    </w:tblPr>
    <w:tcPr>
      <w:shd w:val="clear" w:color="auto" w:fill="AAF6FF" w:themeFill="accent1" w:themeFillTint="3F"/>
    </w:tcPr>
    <w:tblStylePr w:type="firstRow">
      <w:rPr>
        <w:b/>
        <w:bCs/>
      </w:rPr>
    </w:tblStylePr>
    <w:tblStylePr w:type="lastRow">
      <w:rPr>
        <w:b/>
        <w:bCs/>
      </w:rPr>
      <w:tblPr/>
      <w:tcPr>
        <w:tcBorders>
          <w:top w:val="single" w:sz="18" w:space="0" w:color="00E4FD" w:themeColor="accent1" w:themeTint="BF"/>
        </w:tcBorders>
      </w:tcPr>
    </w:tblStylePr>
    <w:tblStylePr w:type="firstCol">
      <w:rPr>
        <w:b/>
        <w:bCs/>
      </w:rPr>
    </w:tblStylePr>
    <w:tblStylePr w:type="lastCol">
      <w:rPr>
        <w:b/>
        <w:bCs/>
      </w:r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insideV w:val="single" w:sz="8" w:space="0" w:color="08B4C6" w:themeColor="accent2" w:themeTint="BF"/>
      </w:tblBorders>
    </w:tblPr>
    <w:tcPr>
      <w:shd w:val="clear" w:color="auto" w:fill="9EF2FB" w:themeFill="accent2" w:themeFillTint="3F"/>
    </w:tcPr>
    <w:tblStylePr w:type="firstRow">
      <w:rPr>
        <w:b/>
        <w:bCs/>
      </w:rPr>
    </w:tblStylePr>
    <w:tblStylePr w:type="lastRow">
      <w:rPr>
        <w:b/>
        <w:bCs/>
      </w:rPr>
      <w:tblPr/>
      <w:tcPr>
        <w:tcBorders>
          <w:top w:val="single" w:sz="18" w:space="0" w:color="08B4C6" w:themeColor="accent2" w:themeTint="BF"/>
        </w:tcBorders>
      </w:tcPr>
    </w:tblStylePr>
    <w:tblStylePr w:type="firstCol">
      <w:rPr>
        <w:b/>
        <w:bCs/>
      </w:rPr>
    </w:tblStylePr>
    <w:tblStylePr w:type="lastCol">
      <w:rPr>
        <w:b/>
        <w:bCs/>
      </w:r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insideV w:val="single" w:sz="8" w:space="0" w:color="FF7D7D" w:themeColor="accent3" w:themeTint="BF"/>
      </w:tblBorders>
    </w:tblPr>
    <w:tcPr>
      <w:shd w:val="clear" w:color="auto" w:fill="FFD4D4" w:themeFill="accent3" w:themeFillTint="3F"/>
    </w:tcPr>
    <w:tblStylePr w:type="firstRow">
      <w:rPr>
        <w:b/>
        <w:bCs/>
      </w:rPr>
    </w:tblStylePr>
    <w:tblStylePr w:type="lastRow">
      <w:rPr>
        <w:b/>
        <w:bCs/>
      </w:rPr>
      <w:tblPr/>
      <w:tcPr>
        <w:tcBorders>
          <w:top w:val="single" w:sz="18" w:space="0" w:color="FF7D7D" w:themeColor="accent3" w:themeTint="BF"/>
        </w:tcBorders>
      </w:tcPr>
    </w:tblStylePr>
    <w:tblStylePr w:type="firstCol">
      <w:rPr>
        <w:b/>
        <w:bCs/>
      </w:rPr>
    </w:tblStylePr>
    <w:tblStylePr w:type="lastCol">
      <w:rPr>
        <w:b/>
        <w:bCs/>
      </w:r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insideV w:val="single" w:sz="8" w:space="0" w:color="8B65CE" w:themeColor="accent4" w:themeTint="BF"/>
      </w:tblBorders>
    </w:tblPr>
    <w:tcPr>
      <w:shd w:val="clear" w:color="auto" w:fill="D8CCEF" w:themeFill="accent4" w:themeFillTint="3F"/>
    </w:tcPr>
    <w:tblStylePr w:type="firstRow">
      <w:rPr>
        <w:b/>
        <w:bCs/>
      </w:rPr>
    </w:tblStylePr>
    <w:tblStylePr w:type="lastRow">
      <w:rPr>
        <w:b/>
        <w:bCs/>
      </w:rPr>
      <w:tblPr/>
      <w:tcPr>
        <w:tcBorders>
          <w:top w:val="single" w:sz="18" w:space="0" w:color="8B65CE" w:themeColor="accent4" w:themeTint="BF"/>
        </w:tcBorders>
      </w:tcPr>
    </w:tblStylePr>
    <w:tblStylePr w:type="firstCol">
      <w:rPr>
        <w:b/>
        <w:bCs/>
      </w:rPr>
    </w:tblStylePr>
    <w:tblStylePr w:type="lastCol">
      <w:rPr>
        <w:b/>
        <w:bCs/>
      </w:r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insideV w:val="single" w:sz="8" w:space="0" w:color="1349D7" w:themeColor="accent5" w:themeTint="BF"/>
      </w:tblBorders>
    </w:tblPr>
    <w:tcPr>
      <w:shd w:val="clear" w:color="auto" w:fill="ABC0F7" w:themeFill="accent5" w:themeFillTint="3F"/>
    </w:tcPr>
    <w:tblStylePr w:type="firstRow">
      <w:rPr>
        <w:b/>
        <w:bCs/>
      </w:rPr>
    </w:tblStylePr>
    <w:tblStylePr w:type="lastRow">
      <w:rPr>
        <w:b/>
        <w:bCs/>
      </w:rPr>
      <w:tblPr/>
      <w:tcPr>
        <w:tcBorders>
          <w:top w:val="single" w:sz="18" w:space="0" w:color="1349D7" w:themeColor="accent5" w:themeTint="BF"/>
        </w:tcBorders>
      </w:tcPr>
    </w:tblStylePr>
    <w:tblStylePr w:type="firstCol">
      <w:rPr>
        <w:b/>
        <w:bCs/>
      </w:rPr>
    </w:tblStylePr>
    <w:tblStylePr w:type="lastCol">
      <w:rPr>
        <w:b/>
        <w:bCs/>
      </w:r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insideV w:val="single" w:sz="8" w:space="0" w:color="30B0FF" w:themeColor="accent6" w:themeTint="BF"/>
      </w:tblBorders>
    </w:tblPr>
    <w:tcPr>
      <w:shd w:val="clear" w:color="auto" w:fill="BAE5FF" w:themeFill="accent6" w:themeFillTint="3F"/>
    </w:tcPr>
    <w:tblStylePr w:type="firstRow">
      <w:rPr>
        <w:b/>
        <w:bCs/>
      </w:rPr>
    </w:tblStylePr>
    <w:tblStylePr w:type="lastRow">
      <w:rPr>
        <w:b/>
        <w:bCs/>
      </w:rPr>
      <w:tblPr/>
      <w:tcPr>
        <w:tcBorders>
          <w:top w:val="single" w:sz="18" w:space="0" w:color="30B0FF" w:themeColor="accent6" w:themeTint="BF"/>
        </w:tcBorders>
      </w:tcPr>
    </w:tblStylePr>
    <w:tblStylePr w:type="firstCol">
      <w:rPr>
        <w:b/>
        <w:bCs/>
      </w:rPr>
    </w:tblStylePr>
    <w:tblStylePr w:type="lastCol">
      <w:rPr>
        <w:b/>
        <w:bCs/>
      </w:r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cPr>
      <w:shd w:val="clear" w:color="auto" w:fill="AAF6FF" w:themeFill="accent1" w:themeFillTint="3F"/>
    </w:tcPr>
    <w:tblStylePr w:type="firstRow">
      <w:rPr>
        <w:b/>
        <w:bCs/>
        <w:color w:val="000000" w:themeColor="text1"/>
      </w:rPr>
      <w:tblPr/>
      <w:tcPr>
        <w:shd w:val="clear" w:color="auto" w:fill="DDFB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8FF" w:themeFill="accent1" w:themeFillTint="33"/>
      </w:tcPr>
    </w:tblStylePr>
    <w:tblStylePr w:type="band1Vert">
      <w:tblPr/>
      <w:tcPr>
        <w:shd w:val="clear" w:color="auto" w:fill="54EEFF" w:themeFill="accent1" w:themeFillTint="7F"/>
      </w:tcPr>
    </w:tblStylePr>
    <w:tblStylePr w:type="band1Horz">
      <w:tblPr/>
      <w:tcPr>
        <w:tcBorders>
          <w:insideH w:val="single" w:sz="6" w:space="0" w:color="0097A7" w:themeColor="accent1"/>
          <w:insideV w:val="single" w:sz="6" w:space="0" w:color="0097A7" w:themeColor="accent1"/>
        </w:tcBorders>
        <w:shd w:val="clear" w:color="auto" w:fill="54EE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cPr>
      <w:shd w:val="clear" w:color="auto" w:fill="9EF2FB" w:themeFill="accent2" w:themeFillTint="3F"/>
    </w:tcPr>
    <w:tblStylePr w:type="firstRow">
      <w:rPr>
        <w:b/>
        <w:bCs/>
        <w:color w:val="000000" w:themeColor="text1"/>
      </w:rPr>
      <w:tblPr/>
      <w:tcPr>
        <w:shd w:val="clear" w:color="auto" w:fill="D8FAF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1F4FC" w:themeFill="accent2" w:themeFillTint="33"/>
      </w:tcPr>
    </w:tblStylePr>
    <w:tblStylePr w:type="band1Vert">
      <w:tblPr/>
      <w:tcPr>
        <w:shd w:val="clear" w:color="auto" w:fill="3CE5F7" w:themeFill="accent2" w:themeFillTint="7F"/>
      </w:tcPr>
    </w:tblStylePr>
    <w:tblStylePr w:type="band1Horz">
      <w:tblPr/>
      <w:tcPr>
        <w:tcBorders>
          <w:insideH w:val="single" w:sz="6" w:space="0" w:color="045C65" w:themeColor="accent2"/>
          <w:insideV w:val="single" w:sz="6" w:space="0" w:color="045C65" w:themeColor="accent2"/>
        </w:tcBorders>
        <w:shd w:val="clear" w:color="auto" w:fill="3CE5F7"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cPr>
      <w:shd w:val="clear" w:color="auto" w:fill="FFD4D4" w:themeFill="accent3" w:themeFillTint="3F"/>
    </w:tcPr>
    <w:tblStylePr w:type="firstRow">
      <w:rPr>
        <w:b/>
        <w:bCs/>
        <w:color w:val="000000" w:themeColor="text1"/>
      </w:rPr>
      <w:tblPr/>
      <w:tcPr>
        <w:shd w:val="clear" w:color="auto" w:fill="FFEE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CDC" w:themeFill="accent3" w:themeFillTint="33"/>
      </w:tcPr>
    </w:tblStylePr>
    <w:tblStylePr w:type="band1Vert">
      <w:tblPr/>
      <w:tcPr>
        <w:shd w:val="clear" w:color="auto" w:fill="FFA8A8" w:themeFill="accent3" w:themeFillTint="7F"/>
      </w:tcPr>
    </w:tblStylePr>
    <w:tblStylePr w:type="band1Horz">
      <w:tblPr/>
      <w:tcPr>
        <w:tcBorders>
          <w:insideH w:val="single" w:sz="6" w:space="0" w:color="FF5252" w:themeColor="accent3"/>
          <w:insideV w:val="single" w:sz="6" w:space="0" w:color="FF5252" w:themeColor="accent3"/>
        </w:tcBorders>
        <w:shd w:val="clear" w:color="auto" w:fill="FFA8A8"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cPr>
      <w:shd w:val="clear" w:color="auto" w:fill="D8CCEF" w:themeFill="accent4" w:themeFillTint="3F"/>
    </w:tcPr>
    <w:tblStylePr w:type="firstRow">
      <w:rPr>
        <w:b/>
        <w:bCs/>
        <w:color w:val="000000" w:themeColor="text1"/>
      </w:rPr>
      <w:tblPr/>
      <w:tcPr>
        <w:shd w:val="clear" w:color="auto" w:fill="EFEA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6F2" w:themeFill="accent4" w:themeFillTint="33"/>
      </w:tcPr>
    </w:tblStylePr>
    <w:tblStylePr w:type="band1Vert">
      <w:tblPr/>
      <w:tcPr>
        <w:shd w:val="clear" w:color="auto" w:fill="B299DE" w:themeFill="accent4" w:themeFillTint="7F"/>
      </w:tcPr>
    </w:tblStylePr>
    <w:tblStylePr w:type="band1Horz">
      <w:tblPr/>
      <w:tcPr>
        <w:tcBorders>
          <w:insideH w:val="single" w:sz="6" w:space="0" w:color="673AB7" w:themeColor="accent4"/>
          <w:insideV w:val="single" w:sz="6" w:space="0" w:color="673AB7" w:themeColor="accent4"/>
        </w:tcBorders>
        <w:shd w:val="clear" w:color="auto" w:fill="B299DE"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cPr>
      <w:shd w:val="clear" w:color="auto" w:fill="ABC0F7" w:themeFill="accent5" w:themeFillTint="3F"/>
    </w:tcPr>
    <w:tblStylePr w:type="firstRow">
      <w:rPr>
        <w:b/>
        <w:bCs/>
        <w:color w:val="000000" w:themeColor="text1"/>
      </w:rPr>
      <w:tblPr/>
      <w:tcPr>
        <w:shd w:val="clear" w:color="auto" w:fill="DEE6F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CCF8" w:themeFill="accent5" w:themeFillTint="33"/>
      </w:tcPr>
    </w:tblStylePr>
    <w:tblStylePr w:type="band1Vert">
      <w:tblPr/>
      <w:tcPr>
        <w:shd w:val="clear" w:color="auto" w:fill="5781EF" w:themeFill="accent5" w:themeFillTint="7F"/>
      </w:tcPr>
    </w:tblStylePr>
    <w:tblStylePr w:type="band1Horz">
      <w:tblPr/>
      <w:tcPr>
        <w:tcBorders>
          <w:insideH w:val="single" w:sz="6" w:space="0" w:color="0C2D83" w:themeColor="accent5"/>
          <w:insideV w:val="single" w:sz="6" w:space="0" w:color="0C2D83" w:themeColor="accent5"/>
        </w:tcBorders>
        <w:shd w:val="clear" w:color="auto" w:fill="5781EF"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cPr>
      <w:shd w:val="clear" w:color="auto" w:fill="BAE5FF" w:themeFill="accent6" w:themeFillTint="3F"/>
    </w:tcPr>
    <w:tblStylePr w:type="firstRow">
      <w:rPr>
        <w:b/>
        <w:bCs/>
        <w:color w:val="000000" w:themeColor="text1"/>
      </w:rPr>
      <w:tblPr/>
      <w:tcPr>
        <w:shd w:val="clear" w:color="auto" w:fill="E3F4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9FF" w:themeFill="accent6" w:themeFillTint="33"/>
      </w:tcPr>
    </w:tblStylePr>
    <w:tblStylePr w:type="band1Vert">
      <w:tblPr/>
      <w:tcPr>
        <w:shd w:val="clear" w:color="auto" w:fill="75CAFF" w:themeFill="accent6" w:themeFillTint="7F"/>
      </w:tcPr>
    </w:tblStylePr>
    <w:tblStylePr w:type="band1Horz">
      <w:tblPr/>
      <w:tcPr>
        <w:tcBorders>
          <w:insideH w:val="single" w:sz="6" w:space="0" w:color="0091EA" w:themeColor="accent6"/>
          <w:insideV w:val="single" w:sz="6" w:space="0" w:color="0091EA" w:themeColor="accent6"/>
        </w:tcBorders>
        <w:shd w:val="clear" w:color="auto" w:fill="75CA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7A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7A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4EE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4EEF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EF2F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45C6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45C6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CE5F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CE5F7"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4D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525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525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A8A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A8A8"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CC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3AB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3AB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99D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99DE"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C0F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C2D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C2D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81E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81EF"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AE5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1E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1E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CA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CAFF"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97A7" w:themeColor="accent1"/>
        <w:bottom w:val="single" w:sz="8" w:space="0" w:color="0097A7" w:themeColor="accent1"/>
      </w:tblBorders>
    </w:tblPr>
    <w:tblStylePr w:type="firstRow">
      <w:rPr>
        <w:rFonts w:asciiTheme="majorHAnsi" w:eastAsiaTheme="majorEastAsia" w:hAnsiTheme="majorHAnsi" w:cstheme="majorBidi"/>
      </w:rPr>
      <w:tblPr/>
      <w:tcPr>
        <w:tcBorders>
          <w:top w:val="nil"/>
          <w:bottom w:val="single" w:sz="8" w:space="0" w:color="0097A7" w:themeColor="accent1"/>
        </w:tcBorders>
      </w:tcPr>
    </w:tblStylePr>
    <w:tblStylePr w:type="lastRow">
      <w:rPr>
        <w:b/>
        <w:bCs/>
        <w:color w:val="1F497D" w:themeColor="text2"/>
      </w:rPr>
      <w:tblPr/>
      <w:tcPr>
        <w:tcBorders>
          <w:top w:val="single" w:sz="8" w:space="0" w:color="0097A7" w:themeColor="accent1"/>
          <w:bottom w:val="single" w:sz="8" w:space="0" w:color="0097A7" w:themeColor="accent1"/>
        </w:tcBorders>
      </w:tcPr>
    </w:tblStylePr>
    <w:tblStylePr w:type="firstCol">
      <w:rPr>
        <w:b/>
        <w:bCs/>
      </w:rPr>
    </w:tblStylePr>
    <w:tblStylePr w:type="lastCol">
      <w:rPr>
        <w:b/>
        <w:bCs/>
      </w:rPr>
      <w:tblPr/>
      <w:tcPr>
        <w:tcBorders>
          <w:top w:val="single" w:sz="8" w:space="0" w:color="0097A7" w:themeColor="accent1"/>
          <w:bottom w:val="single" w:sz="8" w:space="0" w:color="0097A7" w:themeColor="accent1"/>
        </w:tcBorders>
      </w:tcPr>
    </w:tblStylePr>
    <w:tblStylePr w:type="band1Vert">
      <w:tblPr/>
      <w:tcPr>
        <w:shd w:val="clear" w:color="auto" w:fill="AAF6FF" w:themeFill="accent1" w:themeFillTint="3F"/>
      </w:tcPr>
    </w:tblStylePr>
    <w:tblStylePr w:type="band1Horz">
      <w:tblPr/>
      <w:tcPr>
        <w:shd w:val="clear" w:color="auto" w:fill="AAF6FF"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45C65" w:themeColor="accent2"/>
        <w:bottom w:val="single" w:sz="8" w:space="0" w:color="045C65" w:themeColor="accent2"/>
      </w:tblBorders>
    </w:tblPr>
    <w:tblStylePr w:type="firstRow">
      <w:rPr>
        <w:rFonts w:asciiTheme="majorHAnsi" w:eastAsiaTheme="majorEastAsia" w:hAnsiTheme="majorHAnsi" w:cstheme="majorBidi"/>
      </w:rPr>
      <w:tblPr/>
      <w:tcPr>
        <w:tcBorders>
          <w:top w:val="nil"/>
          <w:bottom w:val="single" w:sz="8" w:space="0" w:color="045C65" w:themeColor="accent2"/>
        </w:tcBorders>
      </w:tcPr>
    </w:tblStylePr>
    <w:tblStylePr w:type="lastRow">
      <w:rPr>
        <w:b/>
        <w:bCs/>
        <w:color w:val="1F497D" w:themeColor="text2"/>
      </w:rPr>
      <w:tblPr/>
      <w:tcPr>
        <w:tcBorders>
          <w:top w:val="single" w:sz="8" w:space="0" w:color="045C65" w:themeColor="accent2"/>
          <w:bottom w:val="single" w:sz="8" w:space="0" w:color="045C65" w:themeColor="accent2"/>
        </w:tcBorders>
      </w:tcPr>
    </w:tblStylePr>
    <w:tblStylePr w:type="firstCol">
      <w:rPr>
        <w:b/>
        <w:bCs/>
      </w:rPr>
    </w:tblStylePr>
    <w:tblStylePr w:type="lastCol">
      <w:rPr>
        <w:b/>
        <w:bCs/>
      </w:rPr>
      <w:tblPr/>
      <w:tcPr>
        <w:tcBorders>
          <w:top w:val="single" w:sz="8" w:space="0" w:color="045C65" w:themeColor="accent2"/>
          <w:bottom w:val="single" w:sz="8" w:space="0" w:color="045C65" w:themeColor="accent2"/>
        </w:tcBorders>
      </w:tcPr>
    </w:tblStylePr>
    <w:tblStylePr w:type="band1Vert">
      <w:tblPr/>
      <w:tcPr>
        <w:shd w:val="clear" w:color="auto" w:fill="9EF2FB" w:themeFill="accent2" w:themeFillTint="3F"/>
      </w:tcPr>
    </w:tblStylePr>
    <w:tblStylePr w:type="band1Horz">
      <w:tblPr/>
      <w:tcPr>
        <w:shd w:val="clear" w:color="auto" w:fill="9EF2FB"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FF5252" w:themeColor="accent3"/>
        <w:bottom w:val="single" w:sz="8" w:space="0" w:color="FF5252" w:themeColor="accent3"/>
      </w:tblBorders>
    </w:tblPr>
    <w:tblStylePr w:type="firstRow">
      <w:rPr>
        <w:rFonts w:asciiTheme="majorHAnsi" w:eastAsiaTheme="majorEastAsia" w:hAnsiTheme="majorHAnsi" w:cstheme="majorBidi"/>
      </w:rPr>
      <w:tblPr/>
      <w:tcPr>
        <w:tcBorders>
          <w:top w:val="nil"/>
          <w:bottom w:val="single" w:sz="8" w:space="0" w:color="FF5252" w:themeColor="accent3"/>
        </w:tcBorders>
      </w:tcPr>
    </w:tblStylePr>
    <w:tblStylePr w:type="lastRow">
      <w:rPr>
        <w:b/>
        <w:bCs/>
        <w:color w:val="1F497D" w:themeColor="text2"/>
      </w:rPr>
      <w:tblPr/>
      <w:tcPr>
        <w:tcBorders>
          <w:top w:val="single" w:sz="8" w:space="0" w:color="FF5252" w:themeColor="accent3"/>
          <w:bottom w:val="single" w:sz="8" w:space="0" w:color="FF5252" w:themeColor="accent3"/>
        </w:tcBorders>
      </w:tcPr>
    </w:tblStylePr>
    <w:tblStylePr w:type="firstCol">
      <w:rPr>
        <w:b/>
        <w:bCs/>
      </w:rPr>
    </w:tblStylePr>
    <w:tblStylePr w:type="lastCol">
      <w:rPr>
        <w:b/>
        <w:bCs/>
      </w:rPr>
      <w:tblPr/>
      <w:tcPr>
        <w:tcBorders>
          <w:top w:val="single" w:sz="8" w:space="0" w:color="FF5252" w:themeColor="accent3"/>
          <w:bottom w:val="single" w:sz="8" w:space="0" w:color="FF5252" w:themeColor="accent3"/>
        </w:tcBorders>
      </w:tcPr>
    </w:tblStylePr>
    <w:tblStylePr w:type="band1Vert">
      <w:tblPr/>
      <w:tcPr>
        <w:shd w:val="clear" w:color="auto" w:fill="FFD4D4" w:themeFill="accent3" w:themeFillTint="3F"/>
      </w:tcPr>
    </w:tblStylePr>
    <w:tblStylePr w:type="band1Horz">
      <w:tblPr/>
      <w:tcPr>
        <w:shd w:val="clear" w:color="auto" w:fill="FFD4D4"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673AB7" w:themeColor="accent4"/>
        <w:bottom w:val="single" w:sz="8" w:space="0" w:color="673AB7" w:themeColor="accent4"/>
      </w:tblBorders>
    </w:tblPr>
    <w:tblStylePr w:type="firstRow">
      <w:rPr>
        <w:rFonts w:asciiTheme="majorHAnsi" w:eastAsiaTheme="majorEastAsia" w:hAnsiTheme="majorHAnsi" w:cstheme="majorBidi"/>
      </w:rPr>
      <w:tblPr/>
      <w:tcPr>
        <w:tcBorders>
          <w:top w:val="nil"/>
          <w:bottom w:val="single" w:sz="8" w:space="0" w:color="673AB7" w:themeColor="accent4"/>
        </w:tcBorders>
      </w:tcPr>
    </w:tblStylePr>
    <w:tblStylePr w:type="lastRow">
      <w:rPr>
        <w:b/>
        <w:bCs/>
        <w:color w:val="1F497D" w:themeColor="text2"/>
      </w:rPr>
      <w:tblPr/>
      <w:tcPr>
        <w:tcBorders>
          <w:top w:val="single" w:sz="8" w:space="0" w:color="673AB7" w:themeColor="accent4"/>
          <w:bottom w:val="single" w:sz="8" w:space="0" w:color="673AB7" w:themeColor="accent4"/>
        </w:tcBorders>
      </w:tcPr>
    </w:tblStylePr>
    <w:tblStylePr w:type="firstCol">
      <w:rPr>
        <w:b/>
        <w:bCs/>
      </w:rPr>
    </w:tblStylePr>
    <w:tblStylePr w:type="lastCol">
      <w:rPr>
        <w:b/>
        <w:bCs/>
      </w:rPr>
      <w:tblPr/>
      <w:tcPr>
        <w:tcBorders>
          <w:top w:val="single" w:sz="8" w:space="0" w:color="673AB7" w:themeColor="accent4"/>
          <w:bottom w:val="single" w:sz="8" w:space="0" w:color="673AB7" w:themeColor="accent4"/>
        </w:tcBorders>
      </w:tcPr>
    </w:tblStylePr>
    <w:tblStylePr w:type="band1Vert">
      <w:tblPr/>
      <w:tcPr>
        <w:shd w:val="clear" w:color="auto" w:fill="D8CCEF" w:themeFill="accent4" w:themeFillTint="3F"/>
      </w:tcPr>
    </w:tblStylePr>
    <w:tblStylePr w:type="band1Horz">
      <w:tblPr/>
      <w:tcPr>
        <w:shd w:val="clear" w:color="auto" w:fill="D8CCE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0C2D83" w:themeColor="accent5"/>
        <w:bottom w:val="single" w:sz="8" w:space="0" w:color="0C2D83" w:themeColor="accent5"/>
      </w:tblBorders>
    </w:tblPr>
    <w:tblStylePr w:type="firstRow">
      <w:rPr>
        <w:rFonts w:asciiTheme="majorHAnsi" w:eastAsiaTheme="majorEastAsia" w:hAnsiTheme="majorHAnsi" w:cstheme="majorBidi"/>
      </w:rPr>
      <w:tblPr/>
      <w:tcPr>
        <w:tcBorders>
          <w:top w:val="nil"/>
          <w:bottom w:val="single" w:sz="8" w:space="0" w:color="0C2D83" w:themeColor="accent5"/>
        </w:tcBorders>
      </w:tcPr>
    </w:tblStylePr>
    <w:tblStylePr w:type="lastRow">
      <w:rPr>
        <w:b/>
        <w:bCs/>
        <w:color w:val="1F497D" w:themeColor="text2"/>
      </w:rPr>
      <w:tblPr/>
      <w:tcPr>
        <w:tcBorders>
          <w:top w:val="single" w:sz="8" w:space="0" w:color="0C2D83" w:themeColor="accent5"/>
          <w:bottom w:val="single" w:sz="8" w:space="0" w:color="0C2D83" w:themeColor="accent5"/>
        </w:tcBorders>
      </w:tcPr>
    </w:tblStylePr>
    <w:tblStylePr w:type="firstCol">
      <w:rPr>
        <w:b/>
        <w:bCs/>
      </w:rPr>
    </w:tblStylePr>
    <w:tblStylePr w:type="lastCol">
      <w:rPr>
        <w:b/>
        <w:bCs/>
      </w:rPr>
      <w:tblPr/>
      <w:tcPr>
        <w:tcBorders>
          <w:top w:val="single" w:sz="8" w:space="0" w:color="0C2D83" w:themeColor="accent5"/>
          <w:bottom w:val="single" w:sz="8" w:space="0" w:color="0C2D83" w:themeColor="accent5"/>
        </w:tcBorders>
      </w:tcPr>
    </w:tblStylePr>
    <w:tblStylePr w:type="band1Vert">
      <w:tblPr/>
      <w:tcPr>
        <w:shd w:val="clear" w:color="auto" w:fill="ABC0F7" w:themeFill="accent5" w:themeFillTint="3F"/>
      </w:tcPr>
    </w:tblStylePr>
    <w:tblStylePr w:type="band1Horz">
      <w:tblPr/>
      <w:tcPr>
        <w:shd w:val="clear" w:color="auto" w:fill="ABC0F7"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0091EA" w:themeColor="accent6"/>
        <w:bottom w:val="single" w:sz="8" w:space="0" w:color="0091EA" w:themeColor="accent6"/>
      </w:tblBorders>
    </w:tblPr>
    <w:tblStylePr w:type="firstRow">
      <w:rPr>
        <w:rFonts w:asciiTheme="majorHAnsi" w:eastAsiaTheme="majorEastAsia" w:hAnsiTheme="majorHAnsi" w:cstheme="majorBidi"/>
      </w:rPr>
      <w:tblPr/>
      <w:tcPr>
        <w:tcBorders>
          <w:top w:val="nil"/>
          <w:bottom w:val="single" w:sz="8" w:space="0" w:color="0091EA" w:themeColor="accent6"/>
        </w:tcBorders>
      </w:tcPr>
    </w:tblStylePr>
    <w:tblStylePr w:type="lastRow">
      <w:rPr>
        <w:b/>
        <w:bCs/>
        <w:color w:val="1F497D" w:themeColor="text2"/>
      </w:rPr>
      <w:tblPr/>
      <w:tcPr>
        <w:tcBorders>
          <w:top w:val="single" w:sz="8" w:space="0" w:color="0091EA" w:themeColor="accent6"/>
          <w:bottom w:val="single" w:sz="8" w:space="0" w:color="0091EA" w:themeColor="accent6"/>
        </w:tcBorders>
      </w:tcPr>
    </w:tblStylePr>
    <w:tblStylePr w:type="firstCol">
      <w:rPr>
        <w:b/>
        <w:bCs/>
      </w:rPr>
    </w:tblStylePr>
    <w:tblStylePr w:type="lastCol">
      <w:rPr>
        <w:b/>
        <w:bCs/>
      </w:rPr>
      <w:tblPr/>
      <w:tcPr>
        <w:tcBorders>
          <w:top w:val="single" w:sz="8" w:space="0" w:color="0091EA" w:themeColor="accent6"/>
          <w:bottom w:val="single" w:sz="8" w:space="0" w:color="0091EA" w:themeColor="accent6"/>
        </w:tcBorders>
      </w:tcPr>
    </w:tblStylePr>
    <w:tblStylePr w:type="band1Vert">
      <w:tblPr/>
      <w:tcPr>
        <w:shd w:val="clear" w:color="auto" w:fill="BAE5FF" w:themeFill="accent6" w:themeFillTint="3F"/>
      </w:tcPr>
    </w:tblStylePr>
    <w:tblStylePr w:type="band1Horz">
      <w:tblPr/>
      <w:tcPr>
        <w:shd w:val="clear" w:color="auto" w:fill="BAE5FF"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rPr>
        <w:sz w:val="24"/>
        <w:szCs w:val="24"/>
      </w:rPr>
      <w:tblPr/>
      <w:tcPr>
        <w:tcBorders>
          <w:top w:val="nil"/>
          <w:left w:val="nil"/>
          <w:bottom w:val="single" w:sz="24" w:space="0" w:color="0097A7" w:themeColor="accent1"/>
          <w:right w:val="nil"/>
          <w:insideH w:val="nil"/>
          <w:insideV w:val="nil"/>
        </w:tcBorders>
        <w:shd w:val="clear" w:color="auto" w:fill="FFFFFF" w:themeFill="background1"/>
      </w:tcPr>
    </w:tblStylePr>
    <w:tblStylePr w:type="lastRow">
      <w:tblPr/>
      <w:tcPr>
        <w:tcBorders>
          <w:top w:val="single" w:sz="8" w:space="0" w:color="0097A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7A7" w:themeColor="accent1"/>
          <w:insideH w:val="nil"/>
          <w:insideV w:val="nil"/>
        </w:tcBorders>
        <w:shd w:val="clear" w:color="auto" w:fill="FFFFFF" w:themeFill="background1"/>
      </w:tcPr>
    </w:tblStylePr>
    <w:tblStylePr w:type="lastCol">
      <w:tblPr/>
      <w:tcPr>
        <w:tcBorders>
          <w:top w:val="nil"/>
          <w:left w:val="single" w:sz="8" w:space="0" w:color="0097A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top w:val="nil"/>
          <w:bottom w:val="nil"/>
          <w:insideH w:val="nil"/>
          <w:insideV w:val="nil"/>
        </w:tcBorders>
        <w:shd w:val="clear" w:color="auto" w:fill="AAF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rPr>
        <w:sz w:val="24"/>
        <w:szCs w:val="24"/>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tblPr/>
      <w:tcPr>
        <w:tcBorders>
          <w:top w:val="single" w:sz="8" w:space="0" w:color="045C65"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45C65" w:themeColor="accent2"/>
          <w:insideH w:val="nil"/>
          <w:insideV w:val="nil"/>
        </w:tcBorders>
        <w:shd w:val="clear" w:color="auto" w:fill="FFFFFF" w:themeFill="background1"/>
      </w:tcPr>
    </w:tblStylePr>
    <w:tblStylePr w:type="lastCol">
      <w:tblPr/>
      <w:tcPr>
        <w:tcBorders>
          <w:top w:val="nil"/>
          <w:left w:val="single" w:sz="8" w:space="0" w:color="045C6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top w:val="nil"/>
          <w:bottom w:val="nil"/>
          <w:insideH w:val="nil"/>
          <w:insideV w:val="nil"/>
        </w:tcBorders>
        <w:shd w:val="clear" w:color="auto" w:fill="9EF2F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rPr>
        <w:sz w:val="24"/>
        <w:szCs w:val="24"/>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tblPr/>
      <w:tcPr>
        <w:tcBorders>
          <w:top w:val="single" w:sz="8" w:space="0" w:color="FF525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5252" w:themeColor="accent3"/>
          <w:insideH w:val="nil"/>
          <w:insideV w:val="nil"/>
        </w:tcBorders>
        <w:shd w:val="clear" w:color="auto" w:fill="FFFFFF" w:themeFill="background1"/>
      </w:tcPr>
    </w:tblStylePr>
    <w:tblStylePr w:type="lastCol">
      <w:tblPr/>
      <w:tcPr>
        <w:tcBorders>
          <w:top w:val="nil"/>
          <w:left w:val="single" w:sz="8" w:space="0" w:color="FF525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top w:val="nil"/>
          <w:bottom w:val="nil"/>
          <w:insideH w:val="nil"/>
          <w:insideV w:val="nil"/>
        </w:tcBorders>
        <w:shd w:val="clear" w:color="auto" w:fill="FFD4D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rPr>
        <w:sz w:val="24"/>
        <w:szCs w:val="24"/>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tblPr/>
      <w:tcPr>
        <w:tcBorders>
          <w:top w:val="single" w:sz="8" w:space="0" w:color="673AB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3AB7" w:themeColor="accent4"/>
          <w:insideH w:val="nil"/>
          <w:insideV w:val="nil"/>
        </w:tcBorders>
        <w:shd w:val="clear" w:color="auto" w:fill="FFFFFF" w:themeFill="background1"/>
      </w:tcPr>
    </w:tblStylePr>
    <w:tblStylePr w:type="lastCol">
      <w:tblPr/>
      <w:tcPr>
        <w:tcBorders>
          <w:top w:val="nil"/>
          <w:left w:val="single" w:sz="8" w:space="0" w:color="673AB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top w:val="nil"/>
          <w:bottom w:val="nil"/>
          <w:insideH w:val="nil"/>
          <w:insideV w:val="nil"/>
        </w:tcBorders>
        <w:shd w:val="clear" w:color="auto" w:fill="D8CC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rPr>
        <w:sz w:val="24"/>
        <w:szCs w:val="24"/>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tblPr/>
      <w:tcPr>
        <w:tcBorders>
          <w:top w:val="single" w:sz="8" w:space="0" w:color="0C2D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C2D83" w:themeColor="accent5"/>
          <w:insideH w:val="nil"/>
          <w:insideV w:val="nil"/>
        </w:tcBorders>
        <w:shd w:val="clear" w:color="auto" w:fill="FFFFFF" w:themeFill="background1"/>
      </w:tcPr>
    </w:tblStylePr>
    <w:tblStylePr w:type="lastCol">
      <w:tblPr/>
      <w:tcPr>
        <w:tcBorders>
          <w:top w:val="nil"/>
          <w:left w:val="single" w:sz="8" w:space="0" w:color="0C2D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top w:val="nil"/>
          <w:bottom w:val="nil"/>
          <w:insideH w:val="nil"/>
          <w:insideV w:val="nil"/>
        </w:tcBorders>
        <w:shd w:val="clear" w:color="auto" w:fill="ABC0F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rPr>
        <w:sz w:val="24"/>
        <w:szCs w:val="24"/>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tblPr/>
      <w:tcPr>
        <w:tcBorders>
          <w:top w:val="single" w:sz="8" w:space="0" w:color="0091E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1EA" w:themeColor="accent6"/>
          <w:insideH w:val="nil"/>
          <w:insideV w:val="nil"/>
        </w:tcBorders>
        <w:shd w:val="clear" w:color="auto" w:fill="FFFFFF" w:themeFill="background1"/>
      </w:tcPr>
    </w:tblStylePr>
    <w:tblStylePr w:type="lastCol">
      <w:tblPr/>
      <w:tcPr>
        <w:tcBorders>
          <w:top w:val="nil"/>
          <w:left w:val="single" w:sz="8" w:space="0" w:color="0091E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top w:val="nil"/>
          <w:bottom w:val="nil"/>
          <w:insideH w:val="nil"/>
          <w:insideV w:val="nil"/>
        </w:tcBorders>
        <w:shd w:val="clear" w:color="auto" w:fill="BAE5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tblBorders>
    </w:tblPr>
    <w:tblStylePr w:type="firstRow">
      <w:pPr>
        <w:spacing w:before="0" w:after="0" w:line="240" w:lineRule="auto"/>
      </w:pPr>
      <w:rPr>
        <w:b/>
        <w:bCs/>
        <w:color w:val="FFFFFF" w:themeColor="background1"/>
      </w:rPr>
      <w:tblPr/>
      <w:tcPr>
        <w:tc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shd w:val="clear" w:color="auto" w:fill="0097A7" w:themeFill="accent1"/>
      </w:tcPr>
    </w:tblStylePr>
    <w:tblStylePr w:type="lastRow">
      <w:pPr>
        <w:spacing w:before="0" w:after="0" w:line="240" w:lineRule="auto"/>
      </w:pPr>
      <w:rPr>
        <w:b/>
        <w:bCs/>
      </w:rPr>
      <w:tblPr/>
      <w:tcPr>
        <w:tcBorders>
          <w:top w:val="double" w:sz="6"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tcPr>
    </w:tblStylePr>
    <w:tblStylePr w:type="firstCol">
      <w:rPr>
        <w:b/>
        <w:bCs/>
      </w:rPr>
    </w:tblStylePr>
    <w:tblStylePr w:type="lastCol">
      <w:rPr>
        <w:b/>
        <w:bCs/>
      </w:rPr>
    </w:tblStylePr>
    <w:tblStylePr w:type="band1Vert">
      <w:tblPr/>
      <w:tcPr>
        <w:shd w:val="clear" w:color="auto" w:fill="AAF6FF" w:themeFill="accent1" w:themeFillTint="3F"/>
      </w:tcPr>
    </w:tblStylePr>
    <w:tblStylePr w:type="band1Horz">
      <w:tblPr/>
      <w:tcPr>
        <w:tcBorders>
          <w:insideH w:val="nil"/>
          <w:insideV w:val="nil"/>
        </w:tcBorders>
        <w:shd w:val="clear" w:color="auto" w:fill="AAF6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tblBorders>
    </w:tblPr>
    <w:tblStylePr w:type="firstRow">
      <w:pPr>
        <w:spacing w:before="0" w:after="0" w:line="240" w:lineRule="auto"/>
      </w:pPr>
      <w:rPr>
        <w:b/>
        <w:bCs/>
        <w:color w:val="FFFFFF" w:themeColor="background1"/>
      </w:rPr>
      <w:tblPr/>
      <w:tcPr>
        <w:tc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shd w:val="clear" w:color="auto" w:fill="045C65" w:themeFill="accent2"/>
      </w:tcPr>
    </w:tblStylePr>
    <w:tblStylePr w:type="lastRow">
      <w:pPr>
        <w:spacing w:before="0" w:after="0" w:line="240" w:lineRule="auto"/>
      </w:pPr>
      <w:rPr>
        <w:b/>
        <w:bCs/>
      </w:rPr>
      <w:tblPr/>
      <w:tcPr>
        <w:tcBorders>
          <w:top w:val="double" w:sz="6"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tcPr>
    </w:tblStylePr>
    <w:tblStylePr w:type="firstCol">
      <w:rPr>
        <w:b/>
        <w:bCs/>
      </w:rPr>
    </w:tblStylePr>
    <w:tblStylePr w:type="lastCol">
      <w:rPr>
        <w:b/>
        <w:bCs/>
      </w:rPr>
    </w:tblStylePr>
    <w:tblStylePr w:type="band1Vert">
      <w:tblPr/>
      <w:tcPr>
        <w:shd w:val="clear" w:color="auto" w:fill="9EF2FB" w:themeFill="accent2" w:themeFillTint="3F"/>
      </w:tcPr>
    </w:tblStylePr>
    <w:tblStylePr w:type="band1Horz">
      <w:tblPr/>
      <w:tcPr>
        <w:tcBorders>
          <w:insideH w:val="nil"/>
          <w:insideV w:val="nil"/>
        </w:tcBorders>
        <w:shd w:val="clear" w:color="auto" w:fill="9EF2FB"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tblBorders>
    </w:tblPr>
    <w:tblStylePr w:type="firstRow">
      <w:pPr>
        <w:spacing w:before="0" w:after="0" w:line="240" w:lineRule="auto"/>
      </w:pPr>
      <w:rPr>
        <w:b/>
        <w:bCs/>
        <w:color w:val="FFFFFF" w:themeColor="background1"/>
      </w:rPr>
      <w:tblPr/>
      <w:tcPr>
        <w:tc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shd w:val="clear" w:color="auto" w:fill="FF5252" w:themeFill="accent3"/>
      </w:tcPr>
    </w:tblStylePr>
    <w:tblStylePr w:type="lastRow">
      <w:pPr>
        <w:spacing w:before="0" w:after="0" w:line="240" w:lineRule="auto"/>
      </w:pPr>
      <w:rPr>
        <w:b/>
        <w:bCs/>
      </w:rPr>
      <w:tblPr/>
      <w:tcPr>
        <w:tcBorders>
          <w:top w:val="double" w:sz="6"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D4D4" w:themeFill="accent3" w:themeFillTint="3F"/>
      </w:tcPr>
    </w:tblStylePr>
    <w:tblStylePr w:type="band1Horz">
      <w:tblPr/>
      <w:tcPr>
        <w:tcBorders>
          <w:insideH w:val="nil"/>
          <w:insideV w:val="nil"/>
        </w:tcBorders>
        <w:shd w:val="clear" w:color="auto" w:fill="FFD4D4"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tblBorders>
    </w:tblPr>
    <w:tblStylePr w:type="firstRow">
      <w:pPr>
        <w:spacing w:before="0" w:after="0" w:line="240" w:lineRule="auto"/>
      </w:pPr>
      <w:rPr>
        <w:b/>
        <w:bCs/>
        <w:color w:val="FFFFFF" w:themeColor="background1"/>
      </w:rPr>
      <w:tblPr/>
      <w:tcPr>
        <w:tc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shd w:val="clear" w:color="auto" w:fill="673AB7" w:themeFill="accent4"/>
      </w:tcPr>
    </w:tblStylePr>
    <w:tblStylePr w:type="lastRow">
      <w:pPr>
        <w:spacing w:before="0" w:after="0" w:line="240" w:lineRule="auto"/>
      </w:pPr>
      <w:rPr>
        <w:b/>
        <w:bCs/>
      </w:rPr>
      <w:tblPr/>
      <w:tcPr>
        <w:tcBorders>
          <w:top w:val="double" w:sz="6"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CCEF" w:themeFill="accent4" w:themeFillTint="3F"/>
      </w:tcPr>
    </w:tblStylePr>
    <w:tblStylePr w:type="band1Horz">
      <w:tblPr/>
      <w:tcPr>
        <w:tcBorders>
          <w:insideH w:val="nil"/>
          <w:insideV w:val="nil"/>
        </w:tcBorders>
        <w:shd w:val="clear" w:color="auto" w:fill="D8CCE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tblBorders>
    </w:tblPr>
    <w:tblStylePr w:type="firstRow">
      <w:pPr>
        <w:spacing w:before="0" w:after="0" w:line="240" w:lineRule="auto"/>
      </w:pPr>
      <w:rPr>
        <w:b/>
        <w:bCs/>
        <w:color w:val="FFFFFF" w:themeColor="background1"/>
      </w:rPr>
      <w:tblPr/>
      <w:tcPr>
        <w:tc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shd w:val="clear" w:color="auto" w:fill="0C2D83" w:themeFill="accent5"/>
      </w:tcPr>
    </w:tblStylePr>
    <w:tblStylePr w:type="lastRow">
      <w:pPr>
        <w:spacing w:before="0" w:after="0" w:line="240" w:lineRule="auto"/>
      </w:pPr>
      <w:rPr>
        <w:b/>
        <w:bCs/>
      </w:rPr>
      <w:tblPr/>
      <w:tcPr>
        <w:tcBorders>
          <w:top w:val="double" w:sz="6"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C0F7" w:themeFill="accent5" w:themeFillTint="3F"/>
      </w:tcPr>
    </w:tblStylePr>
    <w:tblStylePr w:type="band1Horz">
      <w:tblPr/>
      <w:tcPr>
        <w:tcBorders>
          <w:insideH w:val="nil"/>
          <w:insideV w:val="nil"/>
        </w:tcBorders>
        <w:shd w:val="clear" w:color="auto" w:fill="ABC0F7"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tblBorders>
    </w:tblPr>
    <w:tblStylePr w:type="firstRow">
      <w:pPr>
        <w:spacing w:before="0" w:after="0" w:line="240" w:lineRule="auto"/>
      </w:pPr>
      <w:rPr>
        <w:b/>
        <w:bCs/>
        <w:color w:val="FFFFFF" w:themeColor="background1"/>
      </w:rPr>
      <w:tblPr/>
      <w:tcPr>
        <w:tc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shd w:val="clear" w:color="auto" w:fill="0091EA" w:themeFill="accent6"/>
      </w:tcPr>
    </w:tblStylePr>
    <w:tblStylePr w:type="lastRow">
      <w:pPr>
        <w:spacing w:before="0" w:after="0" w:line="240" w:lineRule="auto"/>
      </w:pPr>
      <w:rPr>
        <w:b/>
        <w:bCs/>
      </w:rPr>
      <w:tblPr/>
      <w:tcPr>
        <w:tcBorders>
          <w:top w:val="double" w:sz="6"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AE5FF" w:themeFill="accent6" w:themeFillTint="3F"/>
      </w:tcPr>
    </w:tblStylePr>
    <w:tblStylePr w:type="band1Horz">
      <w:tblPr/>
      <w:tcPr>
        <w:tcBorders>
          <w:insideH w:val="nil"/>
          <w:insideV w:val="nil"/>
        </w:tcBorders>
        <w:shd w:val="clear" w:color="auto" w:fill="BAE5FF"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7A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7A7" w:themeFill="accent1"/>
      </w:tcPr>
    </w:tblStylePr>
    <w:tblStylePr w:type="lastCol">
      <w:rPr>
        <w:b/>
        <w:bCs/>
        <w:color w:val="FFFFFF" w:themeColor="background1"/>
      </w:rPr>
      <w:tblPr/>
      <w:tcPr>
        <w:tcBorders>
          <w:left w:val="nil"/>
          <w:right w:val="nil"/>
          <w:insideH w:val="nil"/>
          <w:insideV w:val="nil"/>
        </w:tcBorders>
        <w:shd w:val="clear" w:color="auto" w:fill="0097A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45C6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45C65" w:themeFill="accent2"/>
      </w:tcPr>
    </w:tblStylePr>
    <w:tblStylePr w:type="lastCol">
      <w:rPr>
        <w:b/>
        <w:bCs/>
        <w:color w:val="FFFFFF" w:themeColor="background1"/>
      </w:rPr>
      <w:tblPr/>
      <w:tcPr>
        <w:tcBorders>
          <w:left w:val="nil"/>
          <w:right w:val="nil"/>
          <w:insideH w:val="nil"/>
          <w:insideV w:val="nil"/>
        </w:tcBorders>
        <w:shd w:val="clear" w:color="auto" w:fill="045C6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525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5252" w:themeFill="accent3"/>
      </w:tcPr>
    </w:tblStylePr>
    <w:tblStylePr w:type="lastCol">
      <w:rPr>
        <w:b/>
        <w:bCs/>
        <w:color w:val="FFFFFF" w:themeColor="background1"/>
      </w:rPr>
      <w:tblPr/>
      <w:tcPr>
        <w:tcBorders>
          <w:left w:val="nil"/>
          <w:right w:val="nil"/>
          <w:insideH w:val="nil"/>
          <w:insideV w:val="nil"/>
        </w:tcBorders>
        <w:shd w:val="clear" w:color="auto" w:fill="FF525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3AB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3AB7" w:themeFill="accent4"/>
      </w:tcPr>
    </w:tblStylePr>
    <w:tblStylePr w:type="lastCol">
      <w:rPr>
        <w:b/>
        <w:bCs/>
        <w:color w:val="FFFFFF" w:themeColor="background1"/>
      </w:rPr>
      <w:tblPr/>
      <w:tcPr>
        <w:tcBorders>
          <w:left w:val="nil"/>
          <w:right w:val="nil"/>
          <w:insideH w:val="nil"/>
          <w:insideV w:val="nil"/>
        </w:tcBorders>
        <w:shd w:val="clear" w:color="auto" w:fill="673AB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C2D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C2D83" w:themeFill="accent5"/>
      </w:tcPr>
    </w:tblStylePr>
    <w:tblStylePr w:type="lastCol">
      <w:rPr>
        <w:b/>
        <w:bCs/>
        <w:color w:val="FFFFFF" w:themeColor="background1"/>
      </w:rPr>
      <w:tblPr/>
      <w:tcPr>
        <w:tcBorders>
          <w:left w:val="nil"/>
          <w:right w:val="nil"/>
          <w:insideH w:val="nil"/>
          <w:insideV w:val="nil"/>
        </w:tcBorders>
        <w:shd w:val="clear" w:color="auto" w:fill="0C2D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1E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1EA" w:themeFill="accent6"/>
      </w:tcPr>
    </w:tblStylePr>
    <w:tblStylePr w:type="lastCol">
      <w:rPr>
        <w:b/>
        <w:bCs/>
        <w:color w:val="FFFFFF" w:themeColor="background1"/>
      </w:rPr>
      <w:tblPr/>
      <w:tcPr>
        <w:tcBorders>
          <w:left w:val="nil"/>
          <w:right w:val="nil"/>
          <w:insideH w:val="nil"/>
          <w:insideV w:val="nil"/>
        </w:tcBorders>
        <w:shd w:val="clear" w:color="auto" w:fill="0091E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F90081"/>
    <w:rPr>
      <w:rFonts w:asciiTheme="majorHAnsi" w:eastAsiaTheme="majorEastAsia" w:hAnsiTheme="majorHAnsi" w:cstheme="majorBidi"/>
      <w:sz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uiPriority w:val="99"/>
    <w:semiHidden/>
    <w:rsid w:val="00F90081"/>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F90081"/>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F90081"/>
    <w:rPr>
      <w:i/>
      <w:iCs/>
      <w:color w:val="000000" w:themeColor="text1"/>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F90081"/>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F90081"/>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99"/>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99"/>
    <w:semiHidden/>
    <w:rsid w:val="00F90081"/>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99"/>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99"/>
    <w:semiHidden/>
    <w:rsid w:val="00D136BA"/>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rPr>
  </w:style>
  <w:style w:type="paragraph" w:styleId="Indholdsfortegnelse1">
    <w:name w:val="toc 1"/>
    <w:basedOn w:val="Normal"/>
    <w:next w:val="Normal"/>
    <w:uiPriority w:val="9"/>
    <w:semiHidden/>
    <w:rsid w:val="00C16955"/>
    <w:pPr>
      <w:tabs>
        <w:tab w:val="right" w:leader="dot" w:pos="6861"/>
      </w:tabs>
      <w:spacing w:before="120"/>
      <w:ind w:right="567"/>
    </w:pPr>
    <w:rPr>
      <w:b/>
      <w:szCs w:val="18"/>
    </w:rPr>
  </w:style>
  <w:style w:type="paragraph" w:styleId="Indholdsfortegnelse2">
    <w:name w:val="toc 2"/>
    <w:basedOn w:val="Normal"/>
    <w:next w:val="Normal"/>
    <w:uiPriority w:val="9"/>
    <w:semiHidden/>
    <w:rsid w:val="00C16955"/>
    <w:pPr>
      <w:tabs>
        <w:tab w:val="right" w:leader="dot" w:pos="6861"/>
      </w:tabs>
      <w:ind w:right="567"/>
    </w:pPr>
    <w:rPr>
      <w:szCs w:val="18"/>
    </w:rPr>
  </w:style>
  <w:style w:type="paragraph" w:styleId="Indholdsfortegnelse3">
    <w:name w:val="toc 3"/>
    <w:basedOn w:val="Normal"/>
    <w:next w:val="Normal"/>
    <w:uiPriority w:val="9"/>
    <w:semiHidden/>
    <w:rsid w:val="00C16955"/>
    <w:pPr>
      <w:tabs>
        <w:tab w:val="right" w:leader="dot" w:pos="6861"/>
      </w:tabs>
      <w:ind w:left="851" w:right="567"/>
    </w:pPr>
    <w:rPr>
      <w:szCs w:val="18"/>
    </w:rPr>
  </w:style>
  <w:style w:type="paragraph" w:styleId="Indholdsfortegnelse4">
    <w:name w:val="toc 4"/>
    <w:basedOn w:val="Normal"/>
    <w:next w:val="Normal"/>
    <w:uiPriority w:val="9"/>
    <w:semiHidden/>
    <w:rsid w:val="00C16955"/>
    <w:pPr>
      <w:tabs>
        <w:tab w:val="right" w:leader="dot" w:pos="6861"/>
      </w:tabs>
      <w:ind w:left="851" w:right="567"/>
    </w:pPr>
    <w:rPr>
      <w:szCs w:val="18"/>
    </w:rPr>
  </w:style>
  <w:style w:type="paragraph" w:styleId="Indholdsfortegnelse5">
    <w:name w:val="toc 5"/>
    <w:basedOn w:val="Normal"/>
    <w:next w:val="Normal"/>
    <w:uiPriority w:val="9"/>
    <w:semiHidden/>
    <w:rsid w:val="00C16955"/>
    <w:pPr>
      <w:tabs>
        <w:tab w:val="right" w:leader="dot" w:pos="6861"/>
      </w:tabs>
      <w:ind w:left="851" w:right="567"/>
    </w:pPr>
    <w:rPr>
      <w:szCs w:val="18"/>
    </w:rPr>
  </w:style>
  <w:style w:type="paragraph" w:styleId="Indholdsfortegnelse6">
    <w:name w:val="toc 6"/>
    <w:basedOn w:val="Normal"/>
    <w:next w:val="Normal"/>
    <w:uiPriority w:val="9"/>
    <w:semiHidden/>
    <w:rsid w:val="00C16955"/>
    <w:pPr>
      <w:tabs>
        <w:tab w:val="right" w:leader="dot" w:pos="6861"/>
      </w:tabs>
      <w:ind w:left="851" w:right="567"/>
    </w:pPr>
    <w:rPr>
      <w:szCs w:val="18"/>
    </w:rPr>
  </w:style>
  <w:style w:type="paragraph" w:styleId="Indholdsfortegnelse7">
    <w:name w:val="toc 7"/>
    <w:basedOn w:val="Normal"/>
    <w:next w:val="Normal"/>
    <w:uiPriority w:val="9"/>
    <w:semiHidden/>
    <w:rsid w:val="00C16955"/>
    <w:pPr>
      <w:tabs>
        <w:tab w:val="right" w:leader="dot" w:pos="6861"/>
      </w:tabs>
      <w:ind w:left="851" w:right="567"/>
    </w:pPr>
    <w:rPr>
      <w:szCs w:val="18"/>
    </w:rPr>
  </w:style>
  <w:style w:type="paragraph" w:styleId="Indholdsfortegnelse8">
    <w:name w:val="toc 8"/>
    <w:basedOn w:val="Normal"/>
    <w:next w:val="Normal"/>
    <w:uiPriority w:val="9"/>
    <w:semiHidden/>
    <w:rsid w:val="00C16955"/>
    <w:pPr>
      <w:tabs>
        <w:tab w:val="right" w:leader="dot" w:pos="6861"/>
      </w:tabs>
      <w:ind w:left="851" w:right="567"/>
    </w:pPr>
    <w:rPr>
      <w:szCs w:val="18"/>
    </w:rPr>
  </w:style>
  <w:style w:type="paragraph" w:styleId="Indholdsfortegnelse9">
    <w:name w:val="toc 9"/>
    <w:basedOn w:val="Normal"/>
    <w:next w:val="Normal"/>
    <w:uiPriority w:val="9"/>
    <w:semiHidden/>
    <w:rsid w:val="00C16955"/>
    <w:pPr>
      <w:tabs>
        <w:tab w:val="right" w:leader="dot" w:pos="6861"/>
      </w:tabs>
      <w:ind w:left="851" w:right="567"/>
    </w:pPr>
    <w:rPr>
      <w:szCs w:val="18"/>
    </w:rPr>
  </w:style>
  <w:style w:type="paragraph" w:styleId="Overskrift">
    <w:name w:val="TOC Heading"/>
    <w:basedOn w:val="Normal"/>
    <w:next w:val="Normal"/>
    <w:uiPriority w:val="9"/>
    <w:semiHidden/>
    <w:rsid w:val="00C16955"/>
    <w:pPr>
      <w:spacing w:after="520" w:line="360" w:lineRule="atLeast"/>
    </w:pPr>
    <w:rPr>
      <w:sz w:val="28"/>
      <w:szCs w:val="18"/>
    </w:rPr>
  </w:style>
  <w:style w:type="character" w:customStyle="1" w:styleId="ParadigmeKommentar">
    <w:name w:val="ParadigmeKommentar"/>
    <w:basedOn w:val="ForklarendeTekst"/>
    <w:uiPriority w:val="7"/>
    <w:rsid w:val="00B82D8F"/>
    <w:rPr>
      <w:rFonts w:ascii="Arial" w:hAnsi="Arial"/>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2"/>
    <w:rsid w:val="00B82D8F"/>
    <w:pPr>
      <w:spacing w:before="0"/>
    </w:pPr>
    <w:rPr>
      <w:sz w:val="20"/>
    </w:rPr>
  </w:style>
  <w:style w:type="paragraph" w:customStyle="1" w:styleId="Template-Virksomhedsnavn">
    <w:name w:val="Template - Virksomhedsnavn"/>
    <w:basedOn w:val="Template"/>
    <w:next w:val="Template-Address"/>
    <w:uiPriority w:val="9"/>
    <w:semiHidden/>
    <w:rsid w:val="00D136BA"/>
    <w:pPr>
      <w:spacing w:after="192"/>
      <w:contextualSpacing/>
    </w:pPr>
    <w:rPr>
      <w:b/>
    </w:rPr>
  </w:style>
  <w:style w:type="paragraph" w:customStyle="1" w:styleId="Kolofonoverskrift">
    <w:name w:val="Kolofonoverskrift"/>
    <w:basedOn w:val="Kolofontekst"/>
    <w:uiPriority w:val="9"/>
    <w:semiHidden/>
    <w:rsid w:val="00D136BA"/>
    <w:rPr>
      <w:b/>
    </w:rPr>
  </w:style>
  <w:style w:type="character" w:customStyle="1" w:styleId="SidefodTegn">
    <w:name w:val="Sidefod Tegn"/>
    <w:basedOn w:val="Standardskrifttypeiafsnit"/>
    <w:link w:val="Sidefod"/>
    <w:uiPriority w:val="99"/>
    <w:semiHidden/>
    <w:rsid w:val="007F560D"/>
    <w:rPr>
      <w:sz w:val="14"/>
    </w:rPr>
  </w:style>
  <w:style w:type="paragraph" w:customStyle="1" w:styleId="BoksOverskrift">
    <w:name w:val="Boks Overskrift"/>
    <w:basedOn w:val="Normal"/>
    <w:uiPriority w:val="4"/>
    <w:rsid w:val="004E0690"/>
    <w:pPr>
      <w:keepNext/>
      <w:keepLines/>
      <w:spacing w:after="210" w:line="210" w:lineRule="atLeast"/>
      <w:ind w:left="170" w:right="170"/>
      <w:contextualSpacing/>
    </w:pPr>
    <w:rPr>
      <w:b/>
      <w:sz w:val="15"/>
    </w:rPr>
  </w:style>
  <w:style w:type="paragraph" w:customStyle="1" w:styleId="BoksTekst">
    <w:name w:val="Boks Tekst"/>
    <w:basedOn w:val="Normal"/>
    <w:uiPriority w:val="4"/>
    <w:rsid w:val="004E0690"/>
    <w:pPr>
      <w:spacing w:after="210" w:line="210" w:lineRule="atLeast"/>
      <w:ind w:left="170" w:right="170"/>
    </w:pPr>
    <w:rPr>
      <w:sz w:val="14"/>
      <w:lang w:val="en-US"/>
    </w:rPr>
  </w:style>
  <w:style w:type="paragraph" w:customStyle="1" w:styleId="Tabel-ListBullet">
    <w:name w:val="Tabel - List Bullet"/>
    <w:basedOn w:val="Tabel"/>
    <w:uiPriority w:val="4"/>
    <w:rsid w:val="00022A7D"/>
    <w:pPr>
      <w:numPr>
        <w:numId w:val="19"/>
      </w:numPr>
      <w:spacing w:before="0" w:after="0"/>
      <w:ind w:right="0"/>
      <w:contextualSpacing/>
    </w:pPr>
    <w:rPr>
      <w:rFonts w:cs="Arial"/>
      <w:szCs w:val="22"/>
    </w:rPr>
  </w:style>
  <w:style w:type="paragraph" w:customStyle="1" w:styleId="Tabel-ListNumber">
    <w:name w:val="Tabel - List Number"/>
    <w:basedOn w:val="Tabel"/>
    <w:uiPriority w:val="4"/>
    <w:rsid w:val="00022A7D"/>
    <w:pPr>
      <w:numPr>
        <w:numId w:val="20"/>
      </w:numPr>
      <w:spacing w:before="0" w:after="0"/>
      <w:ind w:right="0"/>
      <w:contextualSpacing/>
    </w:pPr>
  </w:style>
  <w:style w:type="paragraph" w:customStyle="1" w:styleId="Default">
    <w:name w:val="Default"/>
    <w:rsid w:val="0050723A"/>
    <w:pPr>
      <w:autoSpaceDE w:val="0"/>
      <w:autoSpaceDN w:val="0"/>
      <w:adjustRightInd w:val="0"/>
      <w:spacing w:line="240" w:lineRule="auto"/>
    </w:pPr>
    <w:rPr>
      <w:rFonts w:cs="Arial"/>
      <w:color w:val="000000"/>
      <w:sz w:val="24"/>
      <w:szCs w:val="24"/>
    </w:rPr>
  </w:style>
  <w:style w:type="character" w:customStyle="1" w:styleId="FodnotetekstTegn">
    <w:name w:val="Fodnotetekst Tegn"/>
    <w:basedOn w:val="Standardskrifttypeiafsnit"/>
    <w:link w:val="Fodnotetekst"/>
    <w:uiPriority w:val="99"/>
    <w:semiHidden/>
    <w:rsid w:val="00FF4F07"/>
    <w:rPr>
      <w:rFonts w:eastAsia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324390">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Cover,%20breve%20og%20notater\Notat.dotx" TargetMode="External"/></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Notat.dotx</Template>
  <TotalTime>0</TotalTime>
  <Pages>6</Pages>
  <Words>2310</Words>
  <Characters>12618</Characters>
  <Application>Microsoft Office Word</Application>
  <DocSecurity>4</DocSecurity>
  <Lines>229</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Miljøministeriet</Company>
  <LinksUpToDate>false</LinksUpToDate>
  <CharactersWithSpaces>14889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Susanne Bo Christensen</dc:creator>
  <cp:lastModifiedBy>Susanne Bo Christensen</cp:lastModifiedBy>
  <cp:revision>2</cp:revision>
  <cp:lastPrinted>2019-08-28T14:08:00Z</cp:lastPrinted>
  <dcterms:created xsi:type="dcterms:W3CDTF">2021-01-07T07:31:00Z</dcterms:created>
  <dcterms:modified xsi:type="dcterms:W3CDTF">2021-01-07T07:31:00Z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Notat</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43657</vt:lpwstr>
  </property>
  <property fmtid="{D5CDD505-2E9C-101B-9397-08002B2CF9AE}" pid="14" name="sdDocumentDateFormat">
    <vt:lpwstr>da-DK:d. MMMM yyyy</vt:lpwstr>
  </property>
  <property fmtid="{D5CDD505-2E9C-101B-9397-08002B2CF9AE}" pid="15" name="SD_DocumentLanguageString">
    <vt:lpwstr>Dansk</vt:lpwstr>
  </property>
  <property fmtid="{D5CDD505-2E9C-101B-9397-08002B2CF9AE}" pid="16" name="SD_CtlText_Usersettings_Userprofile">
    <vt:lpwstr>Sus</vt:lpwstr>
  </property>
  <property fmtid="{D5CDD505-2E9C-101B-9397-08002B2CF9AE}" pid="17" name="SD_CtlText_Generelt_EkstraInitialer">
    <vt:lpwstr/>
  </property>
  <property fmtid="{D5CDD505-2E9C-101B-9397-08002B2CF9AE}" pid="18" name="SD_CtlText_Generelt_CaseNoInDepartment">
    <vt:lpwstr>2019-</vt:lpwstr>
  </property>
  <property fmtid="{D5CDD505-2E9C-101B-9397-08002B2CF9AE}" pid="19" name="SD_UserprofileName">
    <vt:lpwstr>Sus</vt:lpwstr>
  </property>
  <property fmtid="{D5CDD505-2E9C-101B-9397-08002B2CF9AE}" pid="20" name="SD_Office_OFF_ID">
    <vt:lpwstr>32</vt:lpwstr>
  </property>
  <property fmtid="{D5CDD505-2E9C-101B-9397-08002B2CF9AE}" pid="21" name="CurrentOfficeID">
    <vt:lpwstr>32</vt:lpwstr>
  </property>
  <property fmtid="{D5CDD505-2E9C-101B-9397-08002B2CF9AE}" pid="22" name="SD_Office_OFF_Organisation">
    <vt:lpwstr>EFKM</vt:lpwstr>
  </property>
  <property fmtid="{D5CDD505-2E9C-101B-9397-08002B2CF9AE}" pid="23" name="SD_Office_OFF_ArtworkDefinition">
    <vt:lpwstr>EFKM</vt:lpwstr>
  </property>
  <property fmtid="{D5CDD505-2E9C-101B-9397-08002B2CF9AE}" pid="24" name="SD_Office_OFF_LogoFileName">
    <vt:lpwstr>EFKM</vt:lpwstr>
  </property>
  <property fmtid="{D5CDD505-2E9C-101B-9397-08002B2CF9AE}" pid="25" name="SD_Office_OFF_Institution">
    <vt:lpwstr>Energi-, Forsynings- og 
Klimaministeriet</vt:lpwstr>
  </property>
  <property fmtid="{D5CDD505-2E9C-101B-9397-08002B2CF9AE}" pid="26" name="SD_Office_OFF_Institution_EN">
    <vt:lpwstr>Danish Ministry of Energy, Utilities and Climate</vt:lpwstr>
  </property>
  <property fmtid="{D5CDD505-2E9C-101B-9397-08002B2CF9AE}" pid="27" name="SD_Office_OFF_kontor">
    <vt:lpwstr>EUK</vt:lpwstr>
  </property>
  <property fmtid="{D5CDD505-2E9C-101B-9397-08002B2CF9AE}" pid="28" name="SD_Office_OFF_Department">
    <vt:lpwstr>EU-kontoret</vt:lpwstr>
  </property>
  <property fmtid="{D5CDD505-2E9C-101B-9397-08002B2CF9AE}" pid="29" name="SD_Office_OFF_Department_EN">
    <vt:lpwstr>EU Department</vt:lpwstr>
  </property>
  <property fmtid="{D5CDD505-2E9C-101B-9397-08002B2CF9AE}" pid="30" name="SD_Office_OFF_OfficeLeadtext">
    <vt:lpwstr>Kontor</vt:lpwstr>
  </property>
  <property fmtid="{D5CDD505-2E9C-101B-9397-08002B2CF9AE}" pid="31" name="SD_Office_OFF_OfficeLeadtext_EN">
    <vt:lpwstr>Office</vt:lpwstr>
  </property>
  <property fmtid="{D5CDD505-2E9C-101B-9397-08002B2CF9AE}" pid="32" name="SD_Office_OFF_Footertext">
    <vt:lpwstr/>
  </property>
  <property fmtid="{D5CDD505-2E9C-101B-9397-08002B2CF9AE}" pid="33" name="SD_Office_OFF_Address">
    <vt:lpwstr>Holmens Kanal 20
1060 København K</vt:lpwstr>
  </property>
  <property fmtid="{D5CDD505-2E9C-101B-9397-08002B2CF9AE}" pid="34" name="SD_Office_OFF_Address_EN">
    <vt:lpwstr>Holmens Kanal 20
1060 Copenhagen K</vt:lpwstr>
  </property>
  <property fmtid="{D5CDD505-2E9C-101B-9397-08002B2CF9AE}" pid="35" name="SD_Office_OFF_AddressCollected">
    <vt:lpwstr>Holmens Kanal 18</vt:lpwstr>
  </property>
  <property fmtid="{D5CDD505-2E9C-101B-9397-08002B2CF9AE}" pid="36" name="SD_Office_OFF_Phone">
    <vt:lpwstr>+45 3392 2805</vt:lpwstr>
  </property>
  <property fmtid="{D5CDD505-2E9C-101B-9397-08002B2CF9AE}" pid="37" name="SD_Office_OFF_Phone_EN">
    <vt:lpwstr>+45 3392 2805</vt:lpwstr>
  </property>
  <property fmtid="{D5CDD505-2E9C-101B-9397-08002B2CF9AE}" pid="38" name="SD_Office_OFF_Fax">
    <vt:lpwstr/>
  </property>
  <property fmtid="{D5CDD505-2E9C-101B-9397-08002B2CF9AE}" pid="39" name="SD_Office_OFF_Email">
    <vt:lpwstr>efkm@efkm.dk</vt:lpwstr>
  </property>
  <property fmtid="{D5CDD505-2E9C-101B-9397-08002B2CF9AE}" pid="40" name="SD_Office_OFF_Web">
    <vt:lpwstr>www.efkm.dk</vt:lpwstr>
  </property>
  <property fmtid="{D5CDD505-2E9C-101B-9397-08002B2CF9AE}" pid="41" name="SD_Office_OFF_CVR">
    <vt:lpwstr/>
  </property>
  <property fmtid="{D5CDD505-2E9C-101B-9397-08002B2CF9AE}" pid="42" name="SD_Office_OFF_EAN">
    <vt:lpwstr/>
  </property>
  <property fmtid="{D5CDD505-2E9C-101B-9397-08002B2CF9AE}" pid="43" name="LastCompletedArtworkDefinition">
    <vt:lpwstr>EFKM</vt:lpwstr>
  </property>
  <property fmtid="{D5CDD505-2E9C-101B-9397-08002B2CF9AE}" pid="44" name="USR_Name">
    <vt:lpwstr>Susanne Bo Christensen</vt:lpwstr>
  </property>
  <property fmtid="{D5CDD505-2E9C-101B-9397-08002B2CF9AE}" pid="45" name="USR_Initials">
    <vt:lpwstr>SUBCH</vt:lpwstr>
  </property>
  <property fmtid="{D5CDD505-2E9C-101B-9397-08002B2CF9AE}" pid="46" name="USR_Title">
    <vt:lpwstr>Chefkonsulent</vt:lpwstr>
  </property>
  <property fmtid="{D5CDD505-2E9C-101B-9397-08002B2CF9AE}" pid="47" name="USR_DirectPhone">
    <vt:lpwstr>+45 41 72 91 80</vt:lpwstr>
  </property>
  <property fmtid="{D5CDD505-2E9C-101B-9397-08002B2CF9AE}" pid="48" name="USR_Mobile">
    <vt:lpwstr/>
  </property>
  <property fmtid="{D5CDD505-2E9C-101B-9397-08002B2CF9AE}" pid="49" name="USR_Email">
    <vt:lpwstr>subch@efkm.dk</vt:lpwstr>
  </property>
  <property fmtid="{D5CDD505-2E9C-101B-9397-08002B2CF9AE}" pid="50" name="DocumentInfoFinished">
    <vt:lpwstr>True</vt:lpwstr>
  </property>
</Properties>
</file>