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291C9" w14:textId="5EA132FF" w:rsidR="00B27982" w:rsidRPr="00F172AF" w:rsidRDefault="00B27982" w:rsidP="00B27982">
      <w:pPr>
        <w:pStyle w:val="Normaalweb"/>
        <w:spacing w:before="121" w:beforeAutospacing="0" w:after="0" w:afterAutospacing="0"/>
        <w:jc w:val="center"/>
        <w:rPr>
          <w:rFonts w:asciiTheme="minorHAnsi" w:hAnsiTheme="minorHAnsi" w:cstheme="minorHAnsi"/>
          <w:b/>
          <w:bCs/>
          <w:color w:val="000000"/>
          <w:sz w:val="32"/>
          <w:szCs w:val="32"/>
          <w:lang w:val="en-US"/>
        </w:rPr>
      </w:pPr>
      <w:r w:rsidRPr="008160EB">
        <w:rPr>
          <w:rFonts w:asciiTheme="minorHAnsi" w:hAnsiTheme="minorHAnsi" w:cstheme="minorHAnsi"/>
          <w:b/>
          <w:bCs/>
          <w:color w:val="000000"/>
          <w:sz w:val="32"/>
          <w:szCs w:val="32"/>
          <w:lang w:val="en-US"/>
        </w:rPr>
        <w:t xml:space="preserve">Wetlands International European Association’s feedback to </w:t>
      </w:r>
      <w:r w:rsidRPr="008160EB">
        <w:rPr>
          <w:rFonts w:asciiTheme="minorHAnsi" w:hAnsiTheme="minorHAnsi" w:cstheme="minorHAnsi"/>
          <w:b/>
          <w:bCs/>
          <w:color w:val="000000"/>
          <w:sz w:val="32"/>
          <w:szCs w:val="32"/>
          <w:lang w:val="en-US"/>
        </w:rPr>
        <w:t xml:space="preserve">the </w:t>
      </w:r>
      <w:r w:rsidR="00F172AF" w:rsidRPr="00F172AF">
        <w:rPr>
          <w:rFonts w:asciiTheme="minorHAnsi" w:hAnsiTheme="minorHAnsi" w:cstheme="minorHAnsi"/>
          <w:b/>
          <w:bCs/>
          <w:color w:val="000000"/>
          <w:sz w:val="32"/>
          <w:szCs w:val="32"/>
          <w:lang w:val="en-US"/>
        </w:rPr>
        <w:t>Public Consultation for the Revision of the Guidelines on State aid for Environmental protection and Energy 2014-2020 (EEAG)</w:t>
      </w:r>
    </w:p>
    <w:p w14:paraId="613A0BA3" w14:textId="2A2063D5" w:rsidR="00B27982" w:rsidRPr="008160EB" w:rsidRDefault="00B27982" w:rsidP="00B27982">
      <w:pPr>
        <w:pStyle w:val="Normaalweb"/>
        <w:spacing w:before="121" w:beforeAutospacing="0" w:after="0" w:afterAutospacing="0"/>
        <w:jc w:val="center"/>
        <w:rPr>
          <w:rFonts w:asciiTheme="minorHAnsi" w:hAnsiTheme="minorHAnsi" w:cstheme="minorHAnsi"/>
          <w:b/>
          <w:bCs/>
          <w:color w:val="000000"/>
          <w:sz w:val="22"/>
          <w:szCs w:val="22"/>
          <w:lang w:val="en-US"/>
        </w:rPr>
      </w:pPr>
      <w:r w:rsidRPr="008160EB">
        <w:rPr>
          <w:rFonts w:asciiTheme="minorHAnsi" w:hAnsiTheme="minorHAnsi" w:cstheme="minorHAnsi"/>
          <w:b/>
          <w:bCs/>
          <w:color w:val="000000"/>
          <w:sz w:val="22"/>
          <w:szCs w:val="22"/>
          <w:lang w:val="en-US"/>
        </w:rPr>
        <w:t>6</w:t>
      </w:r>
      <w:r w:rsidRPr="008160EB">
        <w:rPr>
          <w:rFonts w:asciiTheme="minorHAnsi" w:hAnsiTheme="minorHAnsi" w:cstheme="minorHAnsi"/>
          <w:b/>
          <w:bCs/>
          <w:color w:val="000000"/>
          <w:sz w:val="22"/>
          <w:szCs w:val="22"/>
          <w:vertAlign w:val="superscript"/>
          <w:lang w:val="en-US"/>
        </w:rPr>
        <w:t>th</w:t>
      </w:r>
      <w:r w:rsidRPr="008160EB">
        <w:rPr>
          <w:rFonts w:asciiTheme="minorHAnsi" w:hAnsiTheme="minorHAnsi" w:cstheme="minorHAnsi"/>
          <w:b/>
          <w:bCs/>
          <w:color w:val="000000"/>
          <w:sz w:val="22"/>
          <w:szCs w:val="22"/>
          <w:lang w:val="en-US"/>
        </w:rPr>
        <w:t xml:space="preserve"> of January 2021</w:t>
      </w:r>
    </w:p>
    <w:p w14:paraId="7527AF89" w14:textId="77777777" w:rsidR="00B27982" w:rsidRPr="008160EB" w:rsidRDefault="00B27982" w:rsidP="00B27982">
      <w:pPr>
        <w:spacing w:after="0" w:line="240" w:lineRule="auto"/>
        <w:rPr>
          <w:rFonts w:eastAsia="Times New Roman" w:cstheme="minorHAnsi"/>
          <w:color w:val="000000"/>
          <w:lang w:val="en-US" w:eastAsia="nl-NL"/>
        </w:rPr>
      </w:pPr>
    </w:p>
    <w:tbl>
      <w:tblPr>
        <w:tblStyle w:val="Tabelraster"/>
        <w:tblW w:w="0" w:type="auto"/>
        <w:tblLook w:val="04A0" w:firstRow="1" w:lastRow="0" w:firstColumn="1" w:lastColumn="0" w:noHBand="0" w:noVBand="1"/>
      </w:tblPr>
      <w:tblGrid>
        <w:gridCol w:w="9062"/>
      </w:tblGrid>
      <w:tr w:rsidR="004A0B55" w14:paraId="0662A61B" w14:textId="77777777" w:rsidTr="004A0B55">
        <w:tc>
          <w:tcPr>
            <w:tcW w:w="9062" w:type="dxa"/>
          </w:tcPr>
          <w:p w14:paraId="0A417516" w14:textId="77777777" w:rsidR="004A0B55" w:rsidRPr="006D0548" w:rsidRDefault="004A0B55" w:rsidP="004A0B55">
            <w:pPr>
              <w:rPr>
                <w:rFonts w:eastAsia="Times New Roman" w:cstheme="minorHAnsi"/>
                <w:b/>
                <w:bCs/>
                <w:color w:val="000000"/>
                <w:sz w:val="24"/>
                <w:szCs w:val="24"/>
                <w:u w:val="single"/>
                <w:lang w:val="en-US" w:eastAsia="nl-NL"/>
              </w:rPr>
            </w:pPr>
            <w:r w:rsidRPr="006D0548">
              <w:rPr>
                <w:rFonts w:eastAsia="Times New Roman" w:cstheme="minorHAnsi"/>
                <w:b/>
                <w:bCs/>
                <w:color w:val="000000"/>
                <w:sz w:val="24"/>
                <w:szCs w:val="24"/>
                <w:u w:val="single"/>
                <w:lang w:val="en-US" w:eastAsia="nl-NL"/>
              </w:rPr>
              <w:t>Key asks:</w:t>
            </w:r>
          </w:p>
          <w:p w14:paraId="0C357169" w14:textId="77777777" w:rsidR="004A0B55" w:rsidRDefault="004A0B55" w:rsidP="004A0B55">
            <w:pPr>
              <w:rPr>
                <w:rFonts w:eastAsia="Times New Roman" w:cstheme="minorHAnsi"/>
                <w:color w:val="000000"/>
                <w:lang w:val="en-US" w:eastAsia="nl-NL"/>
              </w:rPr>
            </w:pPr>
          </w:p>
          <w:p w14:paraId="794C8742" w14:textId="77777777" w:rsidR="004A0B55" w:rsidRDefault="004A0B55" w:rsidP="004A0B55">
            <w:pPr>
              <w:pStyle w:val="Lijstalinea"/>
              <w:numPr>
                <w:ilvl w:val="0"/>
                <w:numId w:val="5"/>
              </w:numPr>
              <w:rPr>
                <w:rFonts w:eastAsia="Times New Roman" w:cstheme="minorHAnsi"/>
                <w:color w:val="000000"/>
                <w:lang w:val="en-US" w:eastAsia="nl-NL"/>
              </w:rPr>
            </w:pPr>
            <w:r w:rsidRPr="0087018F">
              <w:rPr>
                <w:rFonts w:eastAsia="Times New Roman" w:cstheme="minorHAnsi"/>
                <w:color w:val="000000"/>
                <w:lang w:val="en-US" w:eastAsia="nl-NL"/>
              </w:rPr>
              <w:t xml:space="preserve">We ask the Commission to use the opportunity of the EEAG consultation to take measures to prevent environmentally harmful subsidies. </w:t>
            </w:r>
          </w:p>
          <w:p w14:paraId="07EDDF13" w14:textId="77777777" w:rsidR="004A0B55" w:rsidRPr="006D0548" w:rsidRDefault="004A0B55" w:rsidP="004A0B55">
            <w:pPr>
              <w:pStyle w:val="Lijstalinea"/>
              <w:numPr>
                <w:ilvl w:val="0"/>
                <w:numId w:val="5"/>
              </w:numPr>
              <w:rPr>
                <w:rFonts w:eastAsia="Times New Roman" w:cstheme="minorHAnsi"/>
                <w:lang w:val="en-US" w:eastAsia="nl-NL"/>
              </w:rPr>
            </w:pPr>
            <w:r w:rsidRPr="006D0548">
              <w:rPr>
                <w:rFonts w:eastAsia="Times New Roman" w:cstheme="minorHAnsi"/>
                <w:lang w:val="en-US" w:eastAsia="nl-NL"/>
              </w:rPr>
              <w:t>There is no clear provision by which State aid for illegally permitted projects is systematically halted or prevented, and this needs to be changed in the new EEAG.</w:t>
            </w:r>
          </w:p>
          <w:p w14:paraId="4B938530" w14:textId="6440F378" w:rsidR="004A0B55" w:rsidRPr="006D0548" w:rsidRDefault="00966B87" w:rsidP="004A0B55">
            <w:pPr>
              <w:pStyle w:val="Lijstalinea"/>
              <w:numPr>
                <w:ilvl w:val="0"/>
                <w:numId w:val="5"/>
              </w:numPr>
              <w:rPr>
                <w:rFonts w:eastAsia="Times New Roman" w:cstheme="minorHAnsi"/>
                <w:lang w:val="en-US" w:eastAsia="nl-NL"/>
              </w:rPr>
            </w:pPr>
            <w:r>
              <w:rPr>
                <w:rFonts w:eastAsia="Times New Roman" w:cstheme="minorHAnsi"/>
                <w:lang w:val="en-US" w:eastAsia="nl-NL"/>
              </w:rPr>
              <w:t>T</w:t>
            </w:r>
            <w:r w:rsidR="004A0B55" w:rsidRPr="006D0548">
              <w:rPr>
                <w:rFonts w:eastAsia="Times New Roman" w:cstheme="minorHAnsi"/>
                <w:lang w:val="en-US" w:eastAsia="nl-NL"/>
              </w:rPr>
              <w:t>he EEAG needs to clearly stipulate, that no incentives for hydropower may be provided in countries which have not achieved the goals of the WFD, even for very small plants. </w:t>
            </w:r>
          </w:p>
          <w:p w14:paraId="75695F7F" w14:textId="4607769A" w:rsidR="004A0B55" w:rsidRPr="006D0548" w:rsidRDefault="00966B87" w:rsidP="004A0B55">
            <w:pPr>
              <w:pStyle w:val="Lijstalinea"/>
              <w:numPr>
                <w:ilvl w:val="0"/>
                <w:numId w:val="5"/>
              </w:numPr>
              <w:rPr>
                <w:rFonts w:eastAsia="Times New Roman" w:cstheme="minorHAnsi"/>
                <w:lang w:val="en-US" w:eastAsia="nl-NL"/>
              </w:rPr>
            </w:pPr>
            <w:r>
              <w:rPr>
                <w:rFonts w:eastAsia="Times New Roman" w:cstheme="minorHAnsi"/>
                <w:lang w:val="en-US" w:eastAsia="nl-NL"/>
              </w:rPr>
              <w:t>T</w:t>
            </w:r>
            <w:r w:rsidR="004A0B55" w:rsidRPr="00B27982">
              <w:rPr>
                <w:rFonts w:eastAsia="Times New Roman" w:cstheme="minorHAnsi"/>
                <w:lang w:val="en-US" w:eastAsia="nl-NL"/>
              </w:rPr>
              <w:t xml:space="preserve">he EEAG needs to clearly state that any energy/environment projects or sectors subject to EC infringement procedures, ongoing investigations that may lead to infringement procedures, or national level court cases related to </w:t>
            </w:r>
            <w:r w:rsidR="00717568">
              <w:rPr>
                <w:rFonts w:eastAsia="Times New Roman" w:cstheme="minorHAnsi"/>
                <w:lang w:val="en-US" w:eastAsia="nl-NL"/>
              </w:rPr>
              <w:t xml:space="preserve">the </w:t>
            </w:r>
            <w:r>
              <w:rPr>
                <w:rFonts w:eastAsia="Times New Roman" w:cstheme="minorHAnsi"/>
                <w:lang w:val="en-US" w:eastAsia="nl-NL"/>
              </w:rPr>
              <w:t xml:space="preserve">environmental and nature </w:t>
            </w:r>
            <w:r w:rsidR="004A0B55" w:rsidRPr="00B27982">
              <w:rPr>
                <w:rFonts w:eastAsia="Times New Roman" w:cstheme="minorHAnsi"/>
                <w:lang w:val="en-US" w:eastAsia="nl-NL"/>
              </w:rPr>
              <w:t>Directives may not receive incentive payments until the issue is resolved.</w:t>
            </w:r>
          </w:p>
          <w:p w14:paraId="66817BE7" w14:textId="77777777" w:rsidR="004A0B55" w:rsidRPr="006D0548" w:rsidRDefault="004A0B55" w:rsidP="004A0B55">
            <w:pPr>
              <w:pStyle w:val="Lijstalinea"/>
              <w:numPr>
                <w:ilvl w:val="0"/>
                <w:numId w:val="5"/>
              </w:numPr>
              <w:spacing w:before="121"/>
              <w:rPr>
                <w:rFonts w:eastAsia="Times New Roman" w:cstheme="minorHAnsi"/>
                <w:lang w:val="en-US" w:eastAsia="nl-NL"/>
              </w:rPr>
            </w:pPr>
            <w:r w:rsidRPr="00B27982">
              <w:rPr>
                <w:rFonts w:eastAsia="Times New Roman" w:cstheme="minorHAnsi"/>
                <w:lang w:val="en-US" w:eastAsia="nl-NL"/>
              </w:rPr>
              <w:t>As well as environmental acquis, it is important for State aid to be granted only to projects complying also with other EU rules, such as on procurement.</w:t>
            </w:r>
          </w:p>
          <w:p w14:paraId="107B34FF" w14:textId="25192D50" w:rsidR="004A0B55" w:rsidRPr="006D0548" w:rsidRDefault="004A0B55" w:rsidP="004A0B55">
            <w:pPr>
              <w:pStyle w:val="Lijstalinea"/>
              <w:numPr>
                <w:ilvl w:val="0"/>
                <w:numId w:val="5"/>
              </w:numPr>
              <w:spacing w:before="121"/>
              <w:rPr>
                <w:rFonts w:eastAsia="Times New Roman" w:cstheme="minorHAnsi"/>
                <w:lang w:val="en-US" w:eastAsia="nl-NL"/>
              </w:rPr>
            </w:pPr>
            <w:r w:rsidRPr="006D0548">
              <w:rPr>
                <w:rFonts w:cstheme="minorHAnsi"/>
                <w:lang w:val="en-US"/>
              </w:rPr>
              <w:t>There should be no threshold for f</w:t>
            </w:r>
            <w:r w:rsidRPr="006D0548">
              <w:rPr>
                <w:rFonts w:eastAsia="Times New Roman" w:cstheme="minorHAnsi"/>
                <w:lang w:val="en-US" w:eastAsia="nl-NL"/>
              </w:rPr>
              <w:t>eed-in tariff schemes for hydropower plants</w:t>
            </w:r>
            <w:r w:rsidR="00562B86">
              <w:rPr>
                <w:rFonts w:eastAsia="Times New Roman" w:cstheme="minorHAnsi"/>
                <w:lang w:val="en-US" w:eastAsia="nl-NL"/>
              </w:rPr>
              <w:t xml:space="preserve">, as </w:t>
            </w:r>
            <w:r w:rsidR="00562B86" w:rsidRPr="00EC5204">
              <w:rPr>
                <w:rFonts w:eastAsia="Times New Roman" w:cstheme="minorHAnsi"/>
                <w:color w:val="000000"/>
                <w:lang w:val="en-US" w:eastAsia="nl-NL"/>
              </w:rPr>
              <w:t xml:space="preserve">it has </w:t>
            </w:r>
            <w:r w:rsidR="003A080D">
              <w:rPr>
                <w:rFonts w:eastAsia="Times New Roman" w:cstheme="minorHAnsi"/>
                <w:color w:val="000000"/>
                <w:lang w:val="en-US" w:eastAsia="nl-NL"/>
              </w:rPr>
              <w:t xml:space="preserve">been </w:t>
            </w:r>
            <w:r w:rsidR="00562B86" w:rsidRPr="00EC5204">
              <w:rPr>
                <w:rFonts w:eastAsia="Times New Roman" w:cstheme="minorHAnsi"/>
                <w:color w:val="000000"/>
                <w:lang w:val="en-US" w:eastAsia="nl-NL"/>
              </w:rPr>
              <w:t xml:space="preserve">proven that providing feed-in tariffs incentivizes overdevelopment of small plants, with high cumulative </w:t>
            </w:r>
            <w:r w:rsidR="00562B86">
              <w:rPr>
                <w:rFonts w:cstheme="minorHAnsi"/>
                <w:color w:val="000000"/>
                <w:lang w:val="en-US"/>
              </w:rPr>
              <w:t xml:space="preserve">environmental </w:t>
            </w:r>
            <w:r w:rsidR="00562B86" w:rsidRPr="00EC5204">
              <w:rPr>
                <w:rFonts w:eastAsia="Times New Roman" w:cstheme="minorHAnsi"/>
                <w:color w:val="000000"/>
                <w:lang w:val="en-US" w:eastAsia="nl-NL"/>
              </w:rPr>
              <w:t>impacts</w:t>
            </w:r>
            <w:r w:rsidR="00CD639A">
              <w:rPr>
                <w:rFonts w:eastAsia="Times New Roman" w:cstheme="minorHAnsi"/>
                <w:color w:val="000000"/>
                <w:lang w:val="en-US" w:eastAsia="nl-NL"/>
              </w:rPr>
              <w:t xml:space="preserve"> and</w:t>
            </w:r>
            <w:r w:rsidR="00562B86" w:rsidRPr="00EC5204">
              <w:rPr>
                <w:rFonts w:eastAsia="Times New Roman" w:cstheme="minorHAnsi"/>
                <w:color w:val="000000"/>
                <w:lang w:val="en-US" w:eastAsia="nl-NL"/>
              </w:rPr>
              <w:t xml:space="preserve"> a low contribution to electricity generation</w:t>
            </w:r>
            <w:r w:rsidR="00562B86">
              <w:rPr>
                <w:rFonts w:eastAsia="Times New Roman" w:cstheme="minorHAnsi"/>
                <w:color w:val="000000"/>
                <w:lang w:val="en-US" w:eastAsia="nl-NL"/>
              </w:rPr>
              <w:t>.</w:t>
            </w:r>
          </w:p>
          <w:p w14:paraId="1DF2CB01" w14:textId="77777777" w:rsidR="004A0B55" w:rsidRDefault="004A0B55" w:rsidP="00B27982">
            <w:pPr>
              <w:rPr>
                <w:rFonts w:eastAsia="Times New Roman" w:cstheme="minorHAnsi"/>
                <w:b/>
                <w:bCs/>
                <w:color w:val="000000"/>
                <w:sz w:val="24"/>
                <w:szCs w:val="24"/>
                <w:u w:val="single"/>
                <w:lang w:val="en-US" w:eastAsia="nl-NL"/>
              </w:rPr>
            </w:pPr>
          </w:p>
        </w:tc>
      </w:tr>
    </w:tbl>
    <w:p w14:paraId="48FA2EAB" w14:textId="77777777" w:rsidR="004A0B55" w:rsidRDefault="004A0B55" w:rsidP="00B27982">
      <w:pPr>
        <w:spacing w:after="0" w:line="240" w:lineRule="auto"/>
        <w:rPr>
          <w:rFonts w:eastAsia="Times New Roman" w:cstheme="minorHAnsi"/>
          <w:b/>
          <w:bCs/>
          <w:color w:val="000000"/>
          <w:sz w:val="24"/>
          <w:szCs w:val="24"/>
          <w:u w:val="single"/>
          <w:lang w:val="en-US" w:eastAsia="nl-NL"/>
        </w:rPr>
      </w:pPr>
    </w:p>
    <w:p w14:paraId="6A32E3CA" w14:textId="159FB0A9" w:rsidR="00B27982" w:rsidRPr="00B27982" w:rsidRDefault="008160EB" w:rsidP="00B27982">
      <w:pPr>
        <w:spacing w:after="0" w:line="240" w:lineRule="auto"/>
        <w:rPr>
          <w:rFonts w:eastAsia="Times New Roman" w:cstheme="minorHAnsi"/>
          <w:lang w:val="en-US" w:eastAsia="nl-NL"/>
        </w:rPr>
      </w:pPr>
      <w:r w:rsidRPr="008160EB">
        <w:rPr>
          <w:rFonts w:eastAsia="Times New Roman" w:cstheme="minorHAnsi"/>
          <w:color w:val="000000"/>
          <w:lang w:val="en-US" w:eastAsia="nl-NL"/>
        </w:rPr>
        <w:t>T</w:t>
      </w:r>
      <w:r w:rsidR="00B27982" w:rsidRPr="00B27982">
        <w:rPr>
          <w:rFonts w:eastAsia="Times New Roman" w:cstheme="minorHAnsi"/>
          <w:color w:val="000000"/>
          <w:lang w:val="en-US" w:eastAsia="nl-NL"/>
        </w:rPr>
        <w:t>he fitness check did not fully capture all the issues at stake, particularly with regard to ensuring that the provisions on compliance with EU environmental legislation are fulfilled. In our opinion, the following improvements are needed:</w:t>
      </w:r>
    </w:p>
    <w:p w14:paraId="08D09CCF" w14:textId="59B69732" w:rsidR="00B27982" w:rsidRPr="000C7A12" w:rsidRDefault="00B27982" w:rsidP="008160EB">
      <w:pPr>
        <w:spacing w:after="0" w:line="240" w:lineRule="auto"/>
        <w:rPr>
          <w:rFonts w:eastAsia="Times New Roman" w:cstheme="minorHAnsi"/>
          <w:color w:val="000000"/>
          <w:sz w:val="24"/>
          <w:szCs w:val="24"/>
          <w:u w:val="single"/>
          <w:lang w:val="en-US" w:eastAsia="nl-NL"/>
        </w:rPr>
      </w:pPr>
      <w:r w:rsidRPr="00B27982">
        <w:rPr>
          <w:rFonts w:eastAsia="Times New Roman" w:cstheme="minorHAnsi"/>
          <w:sz w:val="24"/>
          <w:szCs w:val="24"/>
          <w:lang w:val="en-US" w:eastAsia="nl-NL"/>
        </w:rPr>
        <w:br/>
      </w:r>
      <w:r w:rsidRPr="00B27982">
        <w:rPr>
          <w:rFonts w:eastAsia="Times New Roman" w:cstheme="minorHAnsi"/>
          <w:b/>
          <w:bCs/>
          <w:color w:val="000000"/>
          <w:sz w:val="24"/>
          <w:szCs w:val="24"/>
          <w:u w:val="single"/>
          <w:lang w:val="en-US" w:eastAsia="nl-NL"/>
        </w:rPr>
        <w:t>Coherence with EU environmental and procurement legislation</w:t>
      </w:r>
    </w:p>
    <w:p w14:paraId="34996FB4" w14:textId="61154A4F" w:rsidR="00B27982" w:rsidRPr="00B27982" w:rsidRDefault="00B27982" w:rsidP="00B27982">
      <w:pPr>
        <w:spacing w:after="0" w:line="240" w:lineRule="auto"/>
        <w:textAlignment w:val="baseline"/>
        <w:rPr>
          <w:rFonts w:eastAsia="Times New Roman" w:cstheme="minorHAnsi"/>
          <w:color w:val="000000"/>
          <w:lang w:val="en-US" w:eastAsia="nl-NL"/>
        </w:rPr>
      </w:pPr>
      <w:r w:rsidRPr="00B27982">
        <w:rPr>
          <w:rFonts w:eastAsia="Times New Roman" w:cstheme="minorHAnsi"/>
          <w:color w:val="000000"/>
          <w:lang w:val="en-US" w:eastAsia="nl-NL"/>
        </w:rPr>
        <w:t xml:space="preserve"> Paragraphs (7) and (117) of the EEAG require compliance with EU environmental legislation: </w:t>
      </w:r>
    </w:p>
    <w:p w14:paraId="49F4F471" w14:textId="77777777" w:rsidR="00DB3808" w:rsidRDefault="00DB3808" w:rsidP="00B27982">
      <w:pPr>
        <w:spacing w:after="0" w:line="240" w:lineRule="auto"/>
        <w:rPr>
          <w:rFonts w:eastAsia="Times New Roman" w:cstheme="minorHAnsi"/>
          <w:i/>
          <w:iCs/>
          <w:color w:val="000000"/>
          <w:lang w:val="en-US" w:eastAsia="nl-NL"/>
        </w:rPr>
      </w:pPr>
    </w:p>
    <w:p w14:paraId="7D5F148B" w14:textId="7D1C83B0" w:rsidR="00B27982" w:rsidRDefault="00B27982" w:rsidP="00B27982">
      <w:pPr>
        <w:spacing w:after="0" w:line="240" w:lineRule="auto"/>
        <w:rPr>
          <w:rFonts w:eastAsia="Times New Roman" w:cstheme="minorHAnsi"/>
          <w:i/>
          <w:iCs/>
          <w:color w:val="000000"/>
          <w:lang w:val="en-US" w:eastAsia="nl-NL"/>
        </w:rPr>
      </w:pPr>
      <w:r w:rsidRPr="00B27982">
        <w:rPr>
          <w:rFonts w:eastAsia="Times New Roman" w:cstheme="minorHAnsi"/>
          <w:i/>
          <w:iCs/>
          <w:color w:val="000000"/>
          <w:lang w:val="en-US" w:eastAsia="nl-NL"/>
        </w:rPr>
        <w:t>“(7) To avoid that State aid measures lead to environmental harm, in particular Member States must also ensure compliance with Union environmental legislation and carry out an environmental impact assessment when it is required by Union law and ensure all relevant permits.” </w:t>
      </w:r>
    </w:p>
    <w:p w14:paraId="5C2E73C7" w14:textId="77777777" w:rsidR="00DB3808" w:rsidRPr="00B27982" w:rsidRDefault="00DB3808" w:rsidP="00B27982">
      <w:pPr>
        <w:spacing w:after="0" w:line="240" w:lineRule="auto"/>
        <w:rPr>
          <w:rFonts w:eastAsia="Times New Roman" w:cstheme="minorHAnsi"/>
          <w:lang w:val="en-US" w:eastAsia="nl-NL"/>
        </w:rPr>
      </w:pPr>
    </w:p>
    <w:p w14:paraId="43A415A0" w14:textId="77777777" w:rsidR="00B27982" w:rsidRPr="00B27982" w:rsidRDefault="00B27982" w:rsidP="00B27982">
      <w:pPr>
        <w:spacing w:after="0" w:line="240" w:lineRule="auto"/>
        <w:rPr>
          <w:rFonts w:eastAsia="Times New Roman" w:cstheme="minorHAnsi"/>
          <w:lang w:val="en-US" w:eastAsia="nl-NL"/>
        </w:rPr>
      </w:pPr>
      <w:r w:rsidRPr="00B27982">
        <w:rPr>
          <w:rFonts w:eastAsia="Times New Roman" w:cstheme="minorHAnsi"/>
          <w:i/>
          <w:iCs/>
          <w:color w:val="000000"/>
          <w:lang w:val="en-US" w:eastAsia="nl-NL"/>
        </w:rPr>
        <w:t>“(117) With regard to aid for the production of hydropower, its impact can be twofold: on the one hand, such aid has a positive impact in terms of low GHG emissions, on the other hand, it might also have a negative impact on water systems and biodiversity. Therefore, when granting aid for the production of hydropower, Member States must respect Directive 2000/60/EC (61) and in particular Article 4(7) thereof, which lays down criteria in relation to allowing new modifications of bodies of water.”</w:t>
      </w:r>
    </w:p>
    <w:p w14:paraId="08DE8228" w14:textId="77777777" w:rsidR="00B27982" w:rsidRPr="00B27982" w:rsidRDefault="00B27982" w:rsidP="00B27982">
      <w:pPr>
        <w:spacing w:after="0" w:line="240" w:lineRule="auto"/>
        <w:rPr>
          <w:rFonts w:eastAsia="Times New Roman" w:cstheme="minorHAnsi"/>
          <w:lang w:val="en-US" w:eastAsia="nl-NL"/>
        </w:rPr>
      </w:pPr>
    </w:p>
    <w:p w14:paraId="1F516D68" w14:textId="77777777" w:rsidR="00F96B70" w:rsidRDefault="00B27982" w:rsidP="00B27982">
      <w:pPr>
        <w:spacing w:after="0" w:line="240" w:lineRule="auto"/>
        <w:rPr>
          <w:rFonts w:eastAsia="Times New Roman" w:cstheme="minorHAnsi"/>
          <w:color w:val="000000"/>
          <w:lang w:val="en-US" w:eastAsia="nl-NL"/>
        </w:rPr>
      </w:pPr>
      <w:r w:rsidRPr="00B27982">
        <w:rPr>
          <w:rFonts w:eastAsia="Times New Roman" w:cstheme="minorHAnsi"/>
          <w:color w:val="000000"/>
          <w:lang w:val="en-US" w:eastAsia="nl-NL"/>
        </w:rPr>
        <w:t xml:space="preserve">However the implementation of these provisions is not adequate in reality. While the EU’s environmental acquis is in any case binding for energy projects, support schemes still award support </w:t>
      </w:r>
      <w:r w:rsidRPr="00B27982">
        <w:rPr>
          <w:rFonts w:eastAsia="Times New Roman" w:cstheme="minorHAnsi"/>
          <w:color w:val="000000"/>
          <w:lang w:val="en-US" w:eastAsia="nl-NL"/>
        </w:rPr>
        <w:lastRenderedPageBreak/>
        <w:t xml:space="preserve">for projects which contravene the acquis. This particularly applies to hydropower. For example, the </w:t>
      </w:r>
      <w:hyperlink r:id="rId8" w:history="1">
        <w:r w:rsidRPr="00B27982">
          <w:rPr>
            <w:rFonts w:eastAsia="Times New Roman" w:cstheme="minorHAnsi"/>
            <w:color w:val="1155CC"/>
            <w:u w:val="single"/>
            <w:lang w:val="en-US" w:eastAsia="nl-NL"/>
          </w:rPr>
          <w:t>EC in 2015 opened a case against Romania for failure to apply the environmental acquis to small hydropower plants</w:t>
        </w:r>
      </w:hyperlink>
      <w:r w:rsidRPr="00B27982">
        <w:rPr>
          <w:rFonts w:eastAsia="Times New Roman" w:cstheme="minorHAnsi"/>
          <w:color w:val="000000"/>
          <w:lang w:val="en-US" w:eastAsia="nl-NL"/>
        </w:rPr>
        <w:t xml:space="preserve">, but there is no mechanism in place to ensure that the affected plants no longer receive incentives. The recent </w:t>
      </w:r>
      <w:hyperlink r:id="rId9" w:history="1">
        <w:r w:rsidRPr="00B27982">
          <w:rPr>
            <w:rFonts w:eastAsia="Times New Roman" w:cstheme="minorHAnsi"/>
            <w:color w:val="1155CC"/>
            <w:u w:val="single"/>
            <w:lang w:val="en-US" w:eastAsia="nl-NL"/>
          </w:rPr>
          <w:t>EC letter of formal notice to Croatia on inadequate application of the Habitats Directive in the case of wind farms</w:t>
        </w:r>
      </w:hyperlink>
      <w:r w:rsidRPr="00B27982">
        <w:rPr>
          <w:rFonts w:eastAsia="Times New Roman" w:cstheme="minorHAnsi"/>
          <w:color w:val="000000"/>
          <w:lang w:val="en-US" w:eastAsia="nl-NL"/>
        </w:rPr>
        <w:t xml:space="preserve"> shows that this also applies to other renewables. </w:t>
      </w:r>
    </w:p>
    <w:p w14:paraId="2E64321B" w14:textId="77777777" w:rsidR="00F96B70" w:rsidRDefault="00F96B70" w:rsidP="00B27982">
      <w:pPr>
        <w:spacing w:after="0" w:line="240" w:lineRule="auto"/>
        <w:rPr>
          <w:rFonts w:eastAsia="Times New Roman" w:cstheme="minorHAnsi"/>
          <w:color w:val="000000"/>
          <w:lang w:val="en-US" w:eastAsia="nl-NL"/>
        </w:rPr>
      </w:pPr>
    </w:p>
    <w:p w14:paraId="5B33E2A4" w14:textId="11DEE0D6" w:rsidR="00B27982" w:rsidRPr="00B27982" w:rsidRDefault="00B27982" w:rsidP="00B27982">
      <w:pPr>
        <w:spacing w:after="0" w:line="240" w:lineRule="auto"/>
        <w:rPr>
          <w:rFonts w:eastAsia="Times New Roman" w:cstheme="minorHAnsi"/>
          <w:lang w:val="en-US" w:eastAsia="nl-NL"/>
        </w:rPr>
      </w:pPr>
      <w:r w:rsidRPr="00B27982">
        <w:rPr>
          <w:rFonts w:eastAsia="Times New Roman" w:cstheme="minorHAnsi"/>
          <w:b/>
          <w:bCs/>
          <w:lang w:val="en-US" w:eastAsia="nl-NL"/>
        </w:rPr>
        <w:t>There is no clear provision by which State aid for illegally permitted projects is systematically halted or prevented, and this needs to be changed in the new EEAG.</w:t>
      </w:r>
    </w:p>
    <w:p w14:paraId="708A8A90" w14:textId="77777777" w:rsidR="00B27982" w:rsidRPr="00B27982" w:rsidRDefault="00B27982" w:rsidP="00B27982">
      <w:pPr>
        <w:spacing w:after="0" w:line="240" w:lineRule="auto"/>
        <w:rPr>
          <w:rFonts w:eastAsia="Times New Roman" w:cstheme="minorHAnsi"/>
          <w:lang w:val="en-US" w:eastAsia="nl-NL"/>
        </w:rPr>
      </w:pPr>
    </w:p>
    <w:p w14:paraId="0DF2A01D" w14:textId="64D76A9D" w:rsidR="00B27982" w:rsidRPr="00B27982" w:rsidRDefault="00B27982" w:rsidP="00B27982">
      <w:pPr>
        <w:spacing w:after="0" w:line="240" w:lineRule="auto"/>
        <w:rPr>
          <w:rFonts w:eastAsia="Times New Roman" w:cstheme="minorHAnsi"/>
          <w:lang w:val="en-US" w:eastAsia="nl-NL"/>
        </w:rPr>
      </w:pPr>
      <w:r w:rsidRPr="00B27982">
        <w:rPr>
          <w:rFonts w:eastAsia="Times New Roman" w:cstheme="minorHAnsi"/>
          <w:lang w:val="en-US" w:eastAsia="nl-NL"/>
        </w:rPr>
        <w:t>In reality, the exemptions in Art. 4 of the Water Framework Directive (WFD) are over-applied and endanger the achievement of the Directive’s goals. As the EC’s 5</w:t>
      </w:r>
      <w:r w:rsidRPr="00B27982">
        <w:rPr>
          <w:rFonts w:eastAsia="Times New Roman" w:cstheme="minorHAnsi"/>
          <w:vertAlign w:val="superscript"/>
          <w:lang w:val="en-US" w:eastAsia="nl-NL"/>
        </w:rPr>
        <w:t>th</w:t>
      </w:r>
      <w:r w:rsidR="001E2335" w:rsidRPr="00562B86">
        <w:rPr>
          <w:rFonts w:eastAsia="Times New Roman" w:cstheme="minorHAnsi"/>
          <w:lang w:val="en-US" w:eastAsia="nl-NL"/>
        </w:rPr>
        <w:t xml:space="preserve"> </w:t>
      </w:r>
      <w:r w:rsidRPr="00B27982">
        <w:rPr>
          <w:rFonts w:eastAsia="Times New Roman" w:cstheme="minorHAnsi"/>
          <w:lang w:val="en-US" w:eastAsia="nl-NL"/>
        </w:rPr>
        <w:t>WFD implementation report</w:t>
      </w:r>
      <w:r w:rsidR="00CC04DA" w:rsidRPr="00562B86">
        <w:rPr>
          <w:rFonts w:eastAsia="Times New Roman" w:cstheme="minorHAnsi"/>
          <w:lang w:val="en-US" w:eastAsia="nl-NL"/>
        </w:rPr>
        <w:t xml:space="preserve"> (</w:t>
      </w:r>
      <w:r w:rsidR="00CC04DA" w:rsidRPr="00562B86">
        <w:rPr>
          <w:lang w:val="en-US"/>
        </w:rPr>
        <w:t>COM(2019) 95 final</w:t>
      </w:r>
      <w:r w:rsidR="00CC04DA" w:rsidRPr="00562B86">
        <w:rPr>
          <w:lang w:val="en-US"/>
        </w:rPr>
        <w:t>)</w:t>
      </w:r>
      <w:r w:rsidRPr="00B27982">
        <w:rPr>
          <w:rFonts w:eastAsia="Times New Roman" w:cstheme="minorHAnsi"/>
          <w:lang w:val="en-US" w:eastAsia="nl-NL"/>
        </w:rPr>
        <w:t xml:space="preserve"> put it in February 2019:</w:t>
      </w:r>
    </w:p>
    <w:p w14:paraId="2FF53E4B" w14:textId="77777777" w:rsidR="00B27982" w:rsidRPr="00B27982" w:rsidRDefault="00B27982" w:rsidP="00B27982">
      <w:pPr>
        <w:spacing w:after="0" w:line="240" w:lineRule="auto"/>
        <w:rPr>
          <w:rFonts w:eastAsia="Times New Roman" w:cstheme="minorHAnsi"/>
          <w:lang w:val="en-US" w:eastAsia="nl-NL"/>
        </w:rPr>
      </w:pPr>
    </w:p>
    <w:p w14:paraId="6E63A134" w14:textId="77777777" w:rsidR="00B27982" w:rsidRPr="00B27982" w:rsidRDefault="00B27982" w:rsidP="00B27982">
      <w:pPr>
        <w:spacing w:after="0" w:line="240" w:lineRule="auto"/>
        <w:rPr>
          <w:rFonts w:eastAsia="Times New Roman" w:cstheme="minorHAnsi"/>
          <w:lang w:val="en-US" w:eastAsia="nl-NL"/>
        </w:rPr>
      </w:pPr>
      <w:r w:rsidRPr="00B27982">
        <w:rPr>
          <w:rFonts w:eastAsia="Times New Roman" w:cstheme="minorHAnsi"/>
          <w:i/>
          <w:iCs/>
          <w:lang w:val="en-US" w:eastAsia="nl-NL"/>
        </w:rPr>
        <w:t>“The exemptions foreseen in Article 4 of the WFD currently cover around half of Europe’s water bodies. This mainly concerns natural water bodies, but increasingly also heavily modified and artificial water bodies, next to new physical modifications. Whilst the justifications for such exemptions have overall improved, their persistent wide use is an indicator of the significant efforts still needed to achieve good status or potential by 2027.</w:t>
      </w:r>
      <w:r w:rsidRPr="00B27982">
        <w:rPr>
          <w:rFonts w:eastAsia="Times New Roman" w:cstheme="minorHAnsi"/>
          <w:lang w:val="en-US" w:eastAsia="nl-NL"/>
        </w:rPr>
        <w:t>”</w:t>
      </w:r>
    </w:p>
    <w:p w14:paraId="7F2C3F8C" w14:textId="77777777" w:rsidR="00B27982" w:rsidRPr="00B27982" w:rsidRDefault="00B27982" w:rsidP="00B27982">
      <w:pPr>
        <w:spacing w:after="0" w:line="240" w:lineRule="auto"/>
        <w:rPr>
          <w:rFonts w:eastAsia="Times New Roman" w:cstheme="minorHAnsi"/>
          <w:lang w:val="en-US" w:eastAsia="nl-NL"/>
        </w:rPr>
      </w:pPr>
    </w:p>
    <w:p w14:paraId="5F8EE135" w14:textId="0AE0A3A4" w:rsidR="00B27982" w:rsidRPr="00B27982" w:rsidRDefault="00B27982" w:rsidP="00B27982">
      <w:pPr>
        <w:spacing w:after="0" w:line="240" w:lineRule="auto"/>
        <w:rPr>
          <w:rFonts w:eastAsia="Times New Roman" w:cstheme="minorHAnsi"/>
          <w:lang w:val="en-US" w:eastAsia="nl-NL"/>
        </w:rPr>
      </w:pPr>
      <w:r w:rsidRPr="00B27982">
        <w:rPr>
          <w:rFonts w:eastAsia="Times New Roman" w:cstheme="minorHAnsi"/>
          <w:lang w:val="en-US" w:eastAsia="nl-NL"/>
        </w:rPr>
        <w:t xml:space="preserve">DG COMP’s State aid decisions for incentive schemes do not demonstrate deep analysis of whether countries properly apply </w:t>
      </w:r>
      <w:proofErr w:type="spellStart"/>
      <w:r w:rsidRPr="00B27982">
        <w:rPr>
          <w:rFonts w:eastAsia="Times New Roman" w:cstheme="minorHAnsi"/>
          <w:lang w:val="en-US" w:eastAsia="nl-NL"/>
        </w:rPr>
        <w:t>eg.</w:t>
      </w:r>
      <w:proofErr w:type="spellEnd"/>
      <w:r w:rsidRPr="00B27982">
        <w:rPr>
          <w:rFonts w:eastAsia="Times New Roman" w:cstheme="minorHAnsi"/>
          <w:lang w:val="en-US" w:eastAsia="nl-NL"/>
        </w:rPr>
        <w:t xml:space="preserve"> Article 4(7). It appears to mainly rely on pledges from the countries themselves. While incentives for hydropower have declined in many EU Member States, they are still encouraging overdevelopment of small hydropower plants in some countries, particularly Italy, and also in the EU accession countries. This issue is seriously affecting public acceptance of renewable energy per se and is leading to degradation of riparian habitats and species in hundreds of kilometers of river stretches.</w:t>
      </w:r>
      <w:r w:rsidR="0017199B" w:rsidRPr="00562B86">
        <w:rPr>
          <w:rStyle w:val="Voetnootmarkering"/>
          <w:rFonts w:eastAsia="Times New Roman" w:cstheme="minorHAnsi"/>
          <w:lang w:val="en-US" w:eastAsia="nl-NL"/>
        </w:rPr>
        <w:footnoteReference w:id="1"/>
      </w:r>
    </w:p>
    <w:p w14:paraId="07629822" w14:textId="77777777" w:rsidR="00B27982" w:rsidRPr="00B27982" w:rsidRDefault="00B27982" w:rsidP="00B27982">
      <w:pPr>
        <w:spacing w:after="0" w:line="240" w:lineRule="auto"/>
        <w:rPr>
          <w:rFonts w:eastAsia="Times New Roman" w:cstheme="minorHAnsi"/>
          <w:lang w:val="en-US" w:eastAsia="nl-NL"/>
        </w:rPr>
      </w:pPr>
    </w:p>
    <w:p w14:paraId="6C72F6B6" w14:textId="77777777" w:rsidR="00B27982" w:rsidRPr="00B27982" w:rsidRDefault="00B27982" w:rsidP="00B27982">
      <w:pPr>
        <w:spacing w:after="0" w:line="240" w:lineRule="auto"/>
        <w:rPr>
          <w:rFonts w:eastAsia="Times New Roman" w:cstheme="minorHAnsi"/>
          <w:b/>
          <w:bCs/>
          <w:lang w:val="en-US" w:eastAsia="nl-NL"/>
        </w:rPr>
      </w:pPr>
      <w:r w:rsidRPr="00B27982">
        <w:rPr>
          <w:rFonts w:eastAsia="Times New Roman" w:cstheme="minorHAnsi"/>
          <w:lang w:val="en-US" w:eastAsia="nl-NL"/>
        </w:rPr>
        <w:t xml:space="preserve">Just as Art. 3 of the RED rightly states that </w:t>
      </w:r>
      <w:r w:rsidRPr="00B27982">
        <w:rPr>
          <w:rFonts w:eastAsia="Times New Roman" w:cstheme="minorHAnsi"/>
          <w:i/>
          <w:iCs/>
          <w:lang w:val="en-US" w:eastAsia="nl-NL"/>
        </w:rPr>
        <w:t>“Member States shall grant no support for renewable energy produced from the incineration of waste if the separate collection obligations laid down in that Directive have not been complied with</w:t>
      </w:r>
      <w:r w:rsidRPr="00B27982">
        <w:rPr>
          <w:rFonts w:eastAsia="Times New Roman" w:cstheme="minorHAnsi"/>
          <w:lang w:val="en-US" w:eastAsia="nl-NL"/>
        </w:rPr>
        <w:t xml:space="preserve">”, </w:t>
      </w:r>
      <w:r w:rsidRPr="00B27982">
        <w:rPr>
          <w:rFonts w:eastAsia="Times New Roman" w:cstheme="minorHAnsi"/>
          <w:b/>
          <w:bCs/>
          <w:lang w:val="en-US" w:eastAsia="nl-NL"/>
        </w:rPr>
        <w:t>the EEAG also needs to clearly stipulate, that no incentives for hydropower may be provided in countries which have not achieved the goals of the WFD, even for very small plants. </w:t>
      </w:r>
    </w:p>
    <w:p w14:paraId="116FA453" w14:textId="77777777" w:rsidR="00B27982" w:rsidRPr="00B27982" w:rsidRDefault="00B27982" w:rsidP="00B27982">
      <w:pPr>
        <w:spacing w:after="0" w:line="240" w:lineRule="auto"/>
        <w:rPr>
          <w:rFonts w:eastAsia="Times New Roman" w:cstheme="minorHAnsi"/>
          <w:lang w:val="en-US" w:eastAsia="nl-NL"/>
        </w:rPr>
      </w:pPr>
    </w:p>
    <w:p w14:paraId="02FFAF8A" w14:textId="77777777" w:rsidR="00B27982" w:rsidRPr="00B27982" w:rsidRDefault="00B27982" w:rsidP="00B27982">
      <w:pPr>
        <w:spacing w:after="0" w:line="240" w:lineRule="auto"/>
        <w:rPr>
          <w:rFonts w:eastAsia="Times New Roman" w:cstheme="minorHAnsi"/>
          <w:lang w:val="en-US" w:eastAsia="nl-NL"/>
        </w:rPr>
      </w:pPr>
      <w:r w:rsidRPr="00B27982">
        <w:rPr>
          <w:rFonts w:eastAsia="Times New Roman" w:cstheme="minorHAnsi"/>
          <w:lang w:val="en-US" w:eastAsia="nl-NL"/>
        </w:rPr>
        <w:t>Likewise, in order to ensure joined-up legislation, and to make sure that renewable energy projects developed in breach of the EIA, Birds or Habitats Directives, do not receive incentives</w:t>
      </w:r>
      <w:r w:rsidRPr="00B27982">
        <w:rPr>
          <w:rFonts w:eastAsia="Times New Roman" w:cstheme="minorHAnsi"/>
          <w:b/>
          <w:bCs/>
          <w:lang w:val="en-US" w:eastAsia="nl-NL"/>
        </w:rPr>
        <w:t>, the EEAG needs to clearly state that any energy/environment projects or sectors subject to EC infringement procedures, ongoing investigations that may lead to infringement procedures, or national level court cases related to the above Directives may not receive incentive payments until the issue is resolved.</w:t>
      </w:r>
    </w:p>
    <w:p w14:paraId="25FDFB21" w14:textId="77777777" w:rsidR="00B27982" w:rsidRPr="00B27982" w:rsidRDefault="00B27982" w:rsidP="00B27982">
      <w:pPr>
        <w:spacing w:after="0" w:line="240" w:lineRule="auto"/>
        <w:rPr>
          <w:rFonts w:eastAsia="Times New Roman" w:cstheme="minorHAnsi"/>
          <w:lang w:val="en-US" w:eastAsia="nl-NL"/>
        </w:rPr>
      </w:pPr>
    </w:p>
    <w:p w14:paraId="1B97EB19" w14:textId="77777777" w:rsidR="00B27982" w:rsidRPr="00B27982" w:rsidRDefault="00B27982" w:rsidP="00B27982">
      <w:pPr>
        <w:spacing w:after="200" w:line="240" w:lineRule="auto"/>
        <w:rPr>
          <w:rFonts w:eastAsia="Times New Roman" w:cstheme="minorHAnsi"/>
          <w:lang w:val="en-US" w:eastAsia="nl-NL"/>
        </w:rPr>
      </w:pPr>
      <w:r w:rsidRPr="00B27982">
        <w:rPr>
          <w:rFonts w:eastAsia="Times New Roman" w:cstheme="minorHAnsi"/>
          <w:b/>
          <w:bCs/>
          <w:lang w:val="en-US" w:eastAsia="nl-NL"/>
        </w:rPr>
        <w:lastRenderedPageBreak/>
        <w:t>As well as environmental acquis, it is important for State aid to be granted only to projects complying also with other EU rules, such as on procurement</w:t>
      </w:r>
      <w:r w:rsidRPr="00B27982">
        <w:rPr>
          <w:rFonts w:eastAsia="Times New Roman" w:cstheme="minorHAnsi"/>
          <w:lang w:val="en-US" w:eastAsia="nl-NL"/>
        </w:rPr>
        <w:t xml:space="preserve">. </w:t>
      </w:r>
      <w:hyperlink r:id="rId10" w:history="1">
        <w:r w:rsidRPr="00B27982">
          <w:rPr>
            <w:rFonts w:eastAsia="Times New Roman" w:cstheme="minorHAnsi"/>
            <w:color w:val="1155CC"/>
            <w:u w:val="single"/>
            <w:lang w:val="en-US" w:eastAsia="nl-NL"/>
          </w:rPr>
          <w:t>In 2019 the European Commission called on eight Member States to comply with EU concessions law regarding hydropower</w:t>
        </w:r>
      </w:hyperlink>
      <w:r w:rsidRPr="00B27982">
        <w:rPr>
          <w:rFonts w:eastAsia="Times New Roman" w:cstheme="minorHAnsi"/>
          <w:color w:val="000000"/>
          <w:lang w:val="en-US" w:eastAsia="nl-NL"/>
        </w:rPr>
        <w:t>. Given the potential for lack of transparency in the award of concessions to lead to nepotism or corruption, projects whose concessions were awarded through non-compliant processes should not be allowed to be granted State aid.</w:t>
      </w:r>
    </w:p>
    <w:p w14:paraId="40F176E0" w14:textId="36E68594" w:rsidR="00B27982" w:rsidRPr="008160EB" w:rsidRDefault="00B27982">
      <w:pPr>
        <w:rPr>
          <w:rFonts w:cstheme="minorHAnsi"/>
          <w:lang w:val="en-US"/>
        </w:rPr>
      </w:pPr>
    </w:p>
    <w:p w14:paraId="486C283F" w14:textId="60101FBD" w:rsidR="00B27982" w:rsidRPr="000C7A12" w:rsidRDefault="00B27982" w:rsidP="00B27982">
      <w:pPr>
        <w:spacing w:after="200" w:line="240" w:lineRule="auto"/>
        <w:textAlignment w:val="baseline"/>
        <w:rPr>
          <w:rFonts w:eastAsia="Times New Roman" w:cstheme="minorHAnsi"/>
          <w:b/>
          <w:bCs/>
          <w:color w:val="000000"/>
          <w:sz w:val="24"/>
          <w:szCs w:val="24"/>
          <w:u w:val="single"/>
          <w:lang w:val="en-US" w:eastAsia="nl-NL"/>
        </w:rPr>
      </w:pPr>
      <w:r w:rsidRPr="00B27982">
        <w:rPr>
          <w:rFonts w:eastAsia="Times New Roman" w:cstheme="minorHAnsi"/>
          <w:b/>
          <w:bCs/>
          <w:color w:val="000000"/>
          <w:sz w:val="24"/>
          <w:szCs w:val="24"/>
          <w:u w:val="single"/>
          <w:lang w:val="en-US" w:eastAsia="nl-NL"/>
        </w:rPr>
        <w:t>Thresholds for renewable energy auctions and feed-in tariffs</w:t>
      </w:r>
    </w:p>
    <w:p w14:paraId="7BFC89BA" w14:textId="461C5816" w:rsidR="00B27982" w:rsidRPr="00B27982" w:rsidRDefault="00B27982" w:rsidP="00B27982">
      <w:pPr>
        <w:spacing w:after="200" w:line="240" w:lineRule="auto"/>
        <w:textAlignment w:val="baseline"/>
        <w:rPr>
          <w:rFonts w:eastAsia="Times New Roman" w:cstheme="minorHAnsi"/>
          <w:b/>
          <w:bCs/>
          <w:color w:val="000000"/>
          <w:lang w:val="en-US" w:eastAsia="nl-NL"/>
        </w:rPr>
      </w:pPr>
      <w:r w:rsidRPr="00B27982">
        <w:rPr>
          <w:rFonts w:eastAsia="Times New Roman" w:cstheme="minorHAnsi"/>
          <w:color w:val="000000"/>
          <w:lang w:val="en-US" w:eastAsia="nl-NL"/>
        </w:rPr>
        <w:t>The current exceptions to the requirements to carry out auctions for renewable energy operating aid are not sufficient to allow the development of energy communities. Although the Clean Energy for all Europeans Package recognizes the environmental, economic and social benefits of energy communities, the current State aid rules limit their access to support schemes, as some of these projects are larger than the 500 kW general threshold.</w:t>
      </w:r>
    </w:p>
    <w:p w14:paraId="223C9C9C" w14:textId="77777777" w:rsidR="00B27982" w:rsidRPr="00B27982" w:rsidRDefault="00B27982" w:rsidP="00B27982">
      <w:pPr>
        <w:spacing w:after="0" w:line="240" w:lineRule="auto"/>
        <w:rPr>
          <w:rFonts w:eastAsia="Times New Roman" w:cstheme="minorHAnsi"/>
          <w:lang w:val="en-US" w:eastAsia="nl-NL"/>
        </w:rPr>
      </w:pPr>
      <w:r w:rsidRPr="00B27982">
        <w:rPr>
          <w:rFonts w:eastAsia="Times New Roman" w:cstheme="minorHAnsi"/>
          <w:color w:val="000000"/>
          <w:lang w:val="en-US" w:eastAsia="nl-NL"/>
        </w:rPr>
        <w:t xml:space="preserve">Auctions are difficult for energy communities to participate effectively in, because the auction criteria are often based on cost, which is not something energy communities can usually compete on. The costs, administration, and timelines for decision-making may also prevent energy communities from participation. </w:t>
      </w:r>
      <w:r w:rsidRPr="00B27982">
        <w:rPr>
          <w:rFonts w:eastAsia="Times New Roman" w:cstheme="minorHAnsi"/>
          <w:b/>
          <w:bCs/>
          <w:color w:val="000000"/>
          <w:lang w:val="en-US" w:eastAsia="nl-NL"/>
        </w:rPr>
        <w:t>The EEAG therefore needs to consider whether to raise the threshold for exempting energy communities from auctions, or to stipulate a specific regime</w:t>
      </w:r>
      <w:r w:rsidRPr="00B27982">
        <w:rPr>
          <w:rFonts w:eastAsia="Times New Roman" w:cstheme="minorHAnsi"/>
          <w:color w:val="000000"/>
          <w:lang w:val="en-US" w:eastAsia="nl-NL"/>
        </w:rPr>
        <w:t xml:space="preserve"> for renewable energy communities such as reserving specific capacity available in auctions for them.</w:t>
      </w:r>
    </w:p>
    <w:p w14:paraId="7A6969BF" w14:textId="3269B187" w:rsidR="00DD6D3F" w:rsidRPr="002803EB" w:rsidRDefault="00B27982" w:rsidP="002803EB">
      <w:pPr>
        <w:pStyle w:val="Normaalweb"/>
        <w:spacing w:before="121" w:beforeAutospacing="0" w:after="0" w:afterAutospacing="0"/>
        <w:rPr>
          <w:rFonts w:asciiTheme="minorHAnsi" w:hAnsiTheme="minorHAnsi" w:cstheme="minorHAnsi"/>
          <w:sz w:val="22"/>
          <w:szCs w:val="22"/>
          <w:lang w:val="en-US"/>
        </w:rPr>
      </w:pPr>
      <w:r w:rsidRPr="00EC5204">
        <w:rPr>
          <w:rFonts w:asciiTheme="minorHAnsi" w:hAnsiTheme="minorHAnsi" w:cstheme="minorHAnsi"/>
          <w:sz w:val="22"/>
          <w:szCs w:val="22"/>
          <w:lang w:val="en-US"/>
        </w:rPr>
        <w:br/>
      </w:r>
      <w:r w:rsidRPr="00EC5204">
        <w:rPr>
          <w:rFonts w:asciiTheme="minorHAnsi" w:hAnsiTheme="minorHAnsi" w:cstheme="minorHAnsi"/>
          <w:color w:val="000000"/>
          <w:sz w:val="22"/>
          <w:szCs w:val="22"/>
          <w:lang w:val="en-US"/>
        </w:rPr>
        <w:t xml:space="preserve">On the other hand, the 500 kW threshold may be too high for hydropower plants, as it has </w:t>
      </w:r>
      <w:r w:rsidR="00775F53">
        <w:rPr>
          <w:rFonts w:asciiTheme="minorHAnsi" w:hAnsiTheme="minorHAnsi" w:cstheme="minorHAnsi"/>
          <w:color w:val="000000"/>
          <w:sz w:val="22"/>
          <w:szCs w:val="22"/>
          <w:lang w:val="en-US"/>
        </w:rPr>
        <w:t xml:space="preserve">been </w:t>
      </w:r>
      <w:r w:rsidRPr="00EC5204">
        <w:rPr>
          <w:rFonts w:asciiTheme="minorHAnsi" w:hAnsiTheme="minorHAnsi" w:cstheme="minorHAnsi"/>
          <w:color w:val="000000"/>
          <w:sz w:val="22"/>
          <w:szCs w:val="22"/>
          <w:lang w:val="en-US"/>
        </w:rPr>
        <w:t xml:space="preserve">proven in practice that providing feed-in tariffs </w:t>
      </w:r>
      <w:r w:rsidR="0006189C" w:rsidRPr="00EC5204">
        <w:rPr>
          <w:rFonts w:asciiTheme="minorHAnsi" w:hAnsiTheme="minorHAnsi" w:cstheme="minorHAnsi"/>
          <w:color w:val="000000"/>
          <w:sz w:val="22"/>
          <w:szCs w:val="22"/>
          <w:lang w:val="en-US"/>
        </w:rPr>
        <w:t>incentivizes</w:t>
      </w:r>
      <w:r w:rsidRPr="00EC5204">
        <w:rPr>
          <w:rFonts w:asciiTheme="minorHAnsi" w:hAnsiTheme="minorHAnsi" w:cstheme="minorHAnsi"/>
          <w:color w:val="000000"/>
          <w:sz w:val="22"/>
          <w:szCs w:val="22"/>
          <w:lang w:val="en-US"/>
        </w:rPr>
        <w:t xml:space="preserve"> overdevelopment of small plants, with high cumulative </w:t>
      </w:r>
      <w:r w:rsidR="002D717E">
        <w:rPr>
          <w:rFonts w:asciiTheme="minorHAnsi" w:hAnsiTheme="minorHAnsi" w:cstheme="minorHAnsi"/>
          <w:color w:val="000000"/>
          <w:sz w:val="22"/>
          <w:szCs w:val="22"/>
          <w:lang w:val="en-US"/>
        </w:rPr>
        <w:t xml:space="preserve">environmental </w:t>
      </w:r>
      <w:r w:rsidRPr="00EC5204">
        <w:rPr>
          <w:rFonts w:asciiTheme="minorHAnsi" w:hAnsiTheme="minorHAnsi" w:cstheme="minorHAnsi"/>
          <w:color w:val="000000"/>
          <w:sz w:val="22"/>
          <w:szCs w:val="22"/>
          <w:lang w:val="en-US"/>
        </w:rPr>
        <w:t>impacts, a low contribution to electricity generation, and without the adequate application of the environmental acquis.</w:t>
      </w:r>
      <w:r w:rsidR="0076267A" w:rsidRPr="00EC5204">
        <w:rPr>
          <w:rStyle w:val="Voetnootmarkering"/>
          <w:rFonts w:asciiTheme="minorHAnsi" w:hAnsiTheme="minorHAnsi" w:cstheme="minorHAnsi"/>
          <w:color w:val="000000"/>
          <w:lang w:val="en-US"/>
        </w:rPr>
        <w:footnoteReference w:id="2"/>
      </w:r>
      <w:r w:rsidRPr="00EC5204">
        <w:rPr>
          <w:rFonts w:asciiTheme="minorHAnsi" w:hAnsiTheme="minorHAnsi" w:cstheme="minorHAnsi"/>
          <w:color w:val="000000"/>
          <w:sz w:val="22"/>
          <w:szCs w:val="22"/>
          <w:lang w:val="en-US"/>
        </w:rPr>
        <w:t xml:space="preserve"> </w:t>
      </w:r>
      <w:r w:rsidRPr="008160EB">
        <w:rPr>
          <w:rFonts w:asciiTheme="minorHAnsi" w:hAnsiTheme="minorHAnsi" w:cstheme="minorHAnsi"/>
          <w:color w:val="000000"/>
          <w:sz w:val="22"/>
          <w:szCs w:val="22"/>
          <w:lang w:val="en-US"/>
        </w:rPr>
        <w:t xml:space="preserve">An example of a very small plant causing damage in a Natura 2000 area is the </w:t>
      </w:r>
      <w:hyperlink r:id="rId11" w:history="1">
        <w:proofErr w:type="spellStart"/>
        <w:r w:rsidRPr="008160EB">
          <w:rPr>
            <w:rFonts w:asciiTheme="minorHAnsi" w:hAnsiTheme="minorHAnsi" w:cstheme="minorHAnsi"/>
            <w:color w:val="1155CC"/>
            <w:sz w:val="22"/>
            <w:szCs w:val="22"/>
            <w:u w:val="single"/>
            <w:lang w:val="en-US"/>
          </w:rPr>
          <w:t>Dabrova</w:t>
        </w:r>
        <w:proofErr w:type="spellEnd"/>
        <w:r w:rsidRPr="008160EB">
          <w:rPr>
            <w:rFonts w:asciiTheme="minorHAnsi" w:hAnsiTheme="minorHAnsi" w:cstheme="minorHAnsi"/>
            <w:color w:val="1155CC"/>
            <w:sz w:val="22"/>
            <w:szCs w:val="22"/>
            <w:u w:val="single"/>
            <w:lang w:val="en-US"/>
          </w:rPr>
          <w:t xml:space="preserve"> Dolina hydropower plant</w:t>
        </w:r>
      </w:hyperlink>
      <w:r w:rsidRPr="008160EB">
        <w:rPr>
          <w:rFonts w:asciiTheme="minorHAnsi" w:hAnsiTheme="minorHAnsi" w:cstheme="minorHAnsi"/>
          <w:color w:val="000000"/>
          <w:sz w:val="22"/>
          <w:szCs w:val="22"/>
          <w:lang w:val="en-US"/>
        </w:rPr>
        <w:t xml:space="preserve"> in Croatia, with an installed capacity of only 250 kW.</w:t>
      </w:r>
      <w:r w:rsidR="00227EE6">
        <w:rPr>
          <w:rFonts w:asciiTheme="minorHAnsi" w:hAnsiTheme="minorHAnsi" w:cstheme="minorHAnsi"/>
          <w:color w:val="000000"/>
          <w:sz w:val="22"/>
          <w:szCs w:val="22"/>
          <w:lang w:val="en-US"/>
        </w:rPr>
        <w:t xml:space="preserve"> </w:t>
      </w:r>
      <w:r w:rsidR="00227EE6" w:rsidRPr="00F06162">
        <w:rPr>
          <w:rFonts w:asciiTheme="minorHAnsi" w:hAnsiTheme="minorHAnsi" w:cstheme="minorHAnsi"/>
          <w:b/>
          <w:bCs/>
          <w:color w:val="000000"/>
          <w:sz w:val="22"/>
          <w:szCs w:val="22"/>
          <w:lang w:val="en-US"/>
        </w:rPr>
        <w:t>The current capacity threshold for feed-in tariffs (and auctions) may be retained for some technologies but it is not suitable for hydropower.</w:t>
      </w:r>
      <w:r w:rsidR="00227EE6">
        <w:rPr>
          <w:rFonts w:asciiTheme="minorHAnsi" w:hAnsiTheme="minorHAnsi" w:cstheme="minorHAnsi"/>
          <w:color w:val="000000"/>
          <w:sz w:val="22"/>
          <w:szCs w:val="22"/>
          <w:lang w:val="en-US"/>
        </w:rPr>
        <w:t xml:space="preserve"> </w:t>
      </w:r>
      <w:r w:rsidRPr="00EC5204">
        <w:rPr>
          <w:rFonts w:asciiTheme="minorHAnsi" w:hAnsiTheme="minorHAnsi" w:cstheme="minorHAnsi"/>
          <w:b/>
          <w:bCs/>
          <w:color w:val="000000"/>
          <w:sz w:val="22"/>
          <w:szCs w:val="22"/>
          <w:lang w:val="en-US"/>
        </w:rPr>
        <w:t>Therefore</w:t>
      </w:r>
      <w:r w:rsidR="00DD6D3F" w:rsidRPr="00EC5204">
        <w:rPr>
          <w:rFonts w:asciiTheme="minorHAnsi" w:hAnsiTheme="minorHAnsi" w:cstheme="minorHAnsi"/>
          <w:b/>
          <w:bCs/>
          <w:color w:val="000000"/>
          <w:sz w:val="22"/>
          <w:szCs w:val="22"/>
          <w:lang w:val="en-US"/>
        </w:rPr>
        <w:t>,</w:t>
      </w:r>
      <w:r w:rsidR="00DD6D3F" w:rsidRPr="00EC5204">
        <w:rPr>
          <w:rFonts w:asciiTheme="minorHAnsi" w:hAnsiTheme="minorHAnsi" w:cstheme="minorHAnsi"/>
          <w:b/>
          <w:bCs/>
          <w:sz w:val="22"/>
          <w:szCs w:val="22"/>
          <w:lang w:val="en-US"/>
        </w:rPr>
        <w:t xml:space="preserve"> </w:t>
      </w:r>
      <w:r w:rsidR="006F1377" w:rsidRPr="00EC5204">
        <w:rPr>
          <w:rFonts w:asciiTheme="minorHAnsi" w:hAnsiTheme="minorHAnsi" w:cstheme="minorHAnsi"/>
          <w:b/>
          <w:bCs/>
          <w:sz w:val="22"/>
          <w:szCs w:val="22"/>
          <w:lang w:val="en-US"/>
        </w:rPr>
        <w:t xml:space="preserve">there should be </w:t>
      </w:r>
      <w:r w:rsidR="00F550E4">
        <w:rPr>
          <w:rFonts w:asciiTheme="minorHAnsi" w:hAnsiTheme="minorHAnsi" w:cstheme="minorHAnsi"/>
          <w:b/>
          <w:bCs/>
          <w:sz w:val="22"/>
          <w:szCs w:val="22"/>
          <w:lang w:val="en-US"/>
        </w:rPr>
        <w:t xml:space="preserve">no threshold </w:t>
      </w:r>
      <w:r w:rsidR="006F1377" w:rsidRPr="00EC5204">
        <w:rPr>
          <w:rFonts w:asciiTheme="minorHAnsi" w:hAnsiTheme="minorHAnsi" w:cstheme="minorHAnsi"/>
          <w:b/>
          <w:bCs/>
          <w:sz w:val="22"/>
          <w:szCs w:val="22"/>
          <w:lang w:val="en-US"/>
        </w:rPr>
        <w:t xml:space="preserve">for </w:t>
      </w:r>
      <w:r w:rsidR="00DD6D3F" w:rsidRPr="00EC5204">
        <w:rPr>
          <w:rFonts w:asciiTheme="minorHAnsi" w:hAnsiTheme="minorHAnsi" w:cstheme="minorHAnsi"/>
          <w:b/>
          <w:bCs/>
          <w:sz w:val="22"/>
          <w:szCs w:val="22"/>
          <w:lang w:val="en-US"/>
        </w:rPr>
        <w:t>f</w:t>
      </w:r>
      <w:r w:rsidR="00DD6D3F" w:rsidRPr="00EC5204">
        <w:rPr>
          <w:rFonts w:asciiTheme="minorHAnsi" w:hAnsiTheme="minorHAnsi" w:cstheme="minorHAnsi"/>
          <w:b/>
          <w:bCs/>
          <w:color w:val="000000"/>
          <w:sz w:val="22"/>
          <w:szCs w:val="22"/>
          <w:lang w:val="en-US"/>
        </w:rPr>
        <w:t xml:space="preserve">eed-in tariff schemes for </w:t>
      </w:r>
      <w:r w:rsidR="00DD6D3F" w:rsidRPr="00EC5204">
        <w:rPr>
          <w:rFonts w:asciiTheme="minorHAnsi" w:hAnsiTheme="minorHAnsi" w:cstheme="minorHAnsi"/>
          <w:b/>
          <w:bCs/>
          <w:color w:val="000000"/>
          <w:sz w:val="22"/>
          <w:szCs w:val="22"/>
          <w:lang w:val="en-US"/>
        </w:rPr>
        <w:t>hydropower plants</w:t>
      </w:r>
      <w:r w:rsidR="00F15762" w:rsidRPr="00EC5204">
        <w:rPr>
          <w:rFonts w:asciiTheme="minorHAnsi" w:hAnsiTheme="minorHAnsi" w:cstheme="minorHAnsi"/>
          <w:b/>
          <w:bCs/>
          <w:color w:val="000000"/>
          <w:sz w:val="22"/>
          <w:szCs w:val="22"/>
          <w:lang w:val="en-US"/>
        </w:rPr>
        <w:t>.</w:t>
      </w:r>
    </w:p>
    <w:p w14:paraId="41304709" w14:textId="77777777" w:rsidR="0076267A" w:rsidRPr="0076267A" w:rsidRDefault="0076267A">
      <w:pPr>
        <w:rPr>
          <w:rFonts w:eastAsia="Times New Roman" w:cstheme="minorHAnsi"/>
          <w:b/>
          <w:bCs/>
          <w:color w:val="000000"/>
          <w:lang w:val="en-US" w:eastAsia="nl-NL"/>
        </w:rPr>
      </w:pPr>
    </w:p>
    <w:p w14:paraId="26A943F7" w14:textId="77777777" w:rsidR="00200946" w:rsidRDefault="00200946" w:rsidP="001A6E3D">
      <w:pPr>
        <w:spacing w:line="240" w:lineRule="auto"/>
        <w:rPr>
          <w:rFonts w:cstheme="minorHAnsi"/>
          <w:b/>
          <w:bCs/>
          <w:lang w:val="en-US"/>
        </w:rPr>
      </w:pPr>
    </w:p>
    <w:p w14:paraId="2F14B19D" w14:textId="77777777" w:rsidR="00200946" w:rsidRDefault="00200946" w:rsidP="001A6E3D">
      <w:pPr>
        <w:spacing w:line="240" w:lineRule="auto"/>
        <w:rPr>
          <w:rFonts w:cstheme="minorHAnsi"/>
          <w:b/>
          <w:bCs/>
          <w:lang w:val="en-US"/>
        </w:rPr>
      </w:pPr>
    </w:p>
    <w:p w14:paraId="16650C0E" w14:textId="46A124FC" w:rsidR="001A6E3D" w:rsidRDefault="001A6E3D" w:rsidP="001A6E3D">
      <w:pPr>
        <w:spacing w:line="240" w:lineRule="auto"/>
        <w:rPr>
          <w:rFonts w:cstheme="minorHAnsi"/>
          <w:lang w:val="en-US"/>
        </w:rPr>
      </w:pPr>
      <w:r w:rsidRPr="001A6E3D">
        <w:rPr>
          <w:rFonts w:cstheme="minorHAnsi"/>
          <w:b/>
          <w:bCs/>
          <w:lang w:val="en-US"/>
        </w:rPr>
        <w:t>Contact:</w:t>
      </w:r>
      <w:r w:rsidR="005E4A7C">
        <w:rPr>
          <w:rFonts w:cstheme="minorHAnsi"/>
          <w:b/>
          <w:bCs/>
          <w:lang w:val="en-US"/>
        </w:rPr>
        <w:br/>
      </w:r>
      <w:r w:rsidRPr="001A6E3D">
        <w:rPr>
          <w:rFonts w:cstheme="minorHAnsi"/>
          <w:lang w:val="en-US"/>
        </w:rPr>
        <w:t>Eef Silver</w:t>
      </w:r>
      <w:r w:rsidR="00B158AC">
        <w:rPr>
          <w:rFonts w:cstheme="minorHAnsi"/>
          <w:lang w:val="en-US"/>
        </w:rPr>
        <w:br/>
      </w:r>
      <w:r w:rsidRPr="001A6E3D">
        <w:rPr>
          <w:rFonts w:cstheme="minorHAnsi"/>
          <w:lang w:val="en-US"/>
        </w:rPr>
        <w:t>Policy Officer Water &amp; Rivers</w:t>
      </w:r>
      <w:r w:rsidR="00B158AC">
        <w:rPr>
          <w:rFonts w:cstheme="minorHAnsi"/>
          <w:lang w:val="en-US"/>
        </w:rPr>
        <w:br/>
      </w:r>
      <w:hyperlink r:id="rId12" w:history="1">
        <w:r w:rsidRPr="00F86DFF">
          <w:rPr>
            <w:rStyle w:val="Hyperlink"/>
            <w:rFonts w:cstheme="minorHAnsi"/>
            <w:lang w:val="en-US"/>
          </w:rPr>
          <w:t>Eef.Silver@wetlands.org</w:t>
        </w:r>
      </w:hyperlink>
      <w:r>
        <w:rPr>
          <w:rFonts w:cstheme="minorHAnsi"/>
          <w:lang w:val="en-US"/>
        </w:rPr>
        <w:t xml:space="preserve"> </w:t>
      </w:r>
    </w:p>
    <w:p w14:paraId="42A51CB0" w14:textId="37441A5D" w:rsidR="009B0729" w:rsidRPr="008160EB" w:rsidRDefault="001A6E3D" w:rsidP="001A6E3D">
      <w:pPr>
        <w:spacing w:line="276" w:lineRule="auto"/>
        <w:rPr>
          <w:rFonts w:cstheme="minorHAnsi"/>
          <w:lang w:val="en-US"/>
        </w:rPr>
      </w:pPr>
      <w:r w:rsidRPr="001A6E3D">
        <w:rPr>
          <w:rFonts w:cstheme="minorHAnsi"/>
          <w:lang w:val="en-US"/>
        </w:rPr>
        <w:t xml:space="preserve">Wetlands International – European Association is an Association of 10 NGOs from 6 European countries, working together to raise awareness about wetland ecosystems and to advocate the sustainable use of wetlands for people and nature. More information on: </w:t>
      </w:r>
      <w:hyperlink r:id="rId13" w:history="1">
        <w:r w:rsidR="00E23346" w:rsidRPr="00F86DFF">
          <w:rPr>
            <w:rStyle w:val="Hyperlink"/>
            <w:rFonts w:cstheme="minorHAnsi"/>
            <w:lang w:val="en-US"/>
          </w:rPr>
          <w:t>http://europe.wetlands.org</w:t>
        </w:r>
      </w:hyperlink>
      <w:r w:rsidRPr="001A6E3D">
        <w:rPr>
          <w:rFonts w:cstheme="minorHAnsi"/>
          <w:lang w:val="en-US"/>
        </w:rPr>
        <w:t>.</w:t>
      </w:r>
    </w:p>
    <w:sectPr w:rsidR="009B0729" w:rsidRPr="008160EB">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25094" w14:textId="77777777" w:rsidR="009B0729" w:rsidRDefault="009B0729" w:rsidP="009B0729">
      <w:pPr>
        <w:spacing w:after="0" w:line="240" w:lineRule="auto"/>
      </w:pPr>
      <w:r>
        <w:separator/>
      </w:r>
    </w:p>
  </w:endnote>
  <w:endnote w:type="continuationSeparator" w:id="0">
    <w:p w14:paraId="1A15BD56" w14:textId="77777777" w:rsidR="009B0729" w:rsidRDefault="009B0729" w:rsidP="009B0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1456544"/>
      <w:docPartObj>
        <w:docPartGallery w:val="Page Numbers (Bottom of Page)"/>
        <w:docPartUnique/>
      </w:docPartObj>
    </w:sdtPr>
    <w:sdtContent>
      <w:p w14:paraId="14DB82FA" w14:textId="5B848D6B" w:rsidR="000C7A12" w:rsidRDefault="000C7A12">
        <w:pPr>
          <w:pStyle w:val="Voettekst"/>
          <w:jc w:val="center"/>
        </w:pPr>
        <w:r>
          <w:fldChar w:fldCharType="begin"/>
        </w:r>
        <w:r>
          <w:instrText>PAGE   \* MERGEFORMAT</w:instrText>
        </w:r>
        <w:r>
          <w:fldChar w:fldCharType="separate"/>
        </w:r>
        <w:r>
          <w:t>2</w:t>
        </w:r>
        <w:r>
          <w:fldChar w:fldCharType="end"/>
        </w:r>
      </w:p>
    </w:sdtContent>
  </w:sdt>
  <w:p w14:paraId="714722B0" w14:textId="77777777" w:rsidR="000C7A12" w:rsidRDefault="000C7A1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8692F4" w14:textId="77777777" w:rsidR="009B0729" w:rsidRDefault="009B0729" w:rsidP="009B0729">
      <w:pPr>
        <w:spacing w:after="0" w:line="240" w:lineRule="auto"/>
      </w:pPr>
      <w:r>
        <w:separator/>
      </w:r>
    </w:p>
  </w:footnote>
  <w:footnote w:type="continuationSeparator" w:id="0">
    <w:p w14:paraId="2A432A43" w14:textId="77777777" w:rsidR="009B0729" w:rsidRDefault="009B0729" w:rsidP="009B0729">
      <w:pPr>
        <w:spacing w:after="0" w:line="240" w:lineRule="auto"/>
      </w:pPr>
      <w:r>
        <w:continuationSeparator/>
      </w:r>
    </w:p>
  </w:footnote>
  <w:footnote w:id="1">
    <w:p w14:paraId="66F290B5" w14:textId="7FE66282" w:rsidR="0017199B" w:rsidRDefault="0017199B">
      <w:pPr>
        <w:pStyle w:val="Voetnoottekst"/>
        <w:rPr>
          <w:lang w:val="en-US"/>
        </w:rPr>
      </w:pPr>
      <w:r>
        <w:rPr>
          <w:rStyle w:val="Voetnootmarkering"/>
        </w:rPr>
        <w:footnoteRef/>
      </w:r>
      <w:r w:rsidRPr="0017199B">
        <w:rPr>
          <w:lang w:val="en-US"/>
        </w:rPr>
        <w:t xml:space="preserve"> See for example these studies:</w:t>
      </w:r>
    </w:p>
    <w:p w14:paraId="74E87BFC" w14:textId="4E6AD87D" w:rsidR="00CF463E" w:rsidRDefault="00706588" w:rsidP="0017199B">
      <w:pPr>
        <w:pStyle w:val="Voetnoottekst"/>
        <w:numPr>
          <w:ilvl w:val="0"/>
          <w:numId w:val="3"/>
        </w:numPr>
        <w:rPr>
          <w:lang w:val="en-US"/>
        </w:rPr>
      </w:pPr>
      <w:hyperlink r:id="rId1" w:history="1">
        <w:r w:rsidRPr="00F86DFF">
          <w:rPr>
            <w:rStyle w:val="Hyperlink"/>
            <w:lang w:val="en-US"/>
          </w:rPr>
          <w:t>https://balkanrivers.net/sites/default/files/Riverwatch_Black_catalogue_PDF.pdf</w:t>
        </w:r>
      </w:hyperlink>
      <w:r>
        <w:rPr>
          <w:lang w:val="en-US"/>
        </w:rPr>
        <w:t xml:space="preserve"> (impact of small HPPs)</w:t>
      </w:r>
    </w:p>
    <w:p w14:paraId="66362EF2" w14:textId="7C78DDDB" w:rsidR="00A812A4" w:rsidRDefault="00CF463E" w:rsidP="0017199B">
      <w:pPr>
        <w:pStyle w:val="Voetnoottekst"/>
        <w:numPr>
          <w:ilvl w:val="0"/>
          <w:numId w:val="3"/>
        </w:numPr>
        <w:rPr>
          <w:lang w:val="en-US"/>
        </w:rPr>
      </w:pPr>
      <w:hyperlink r:id="rId2" w:history="1">
        <w:r w:rsidRPr="00F86DFF">
          <w:rPr>
            <w:rStyle w:val="Hyperlink"/>
            <w:lang w:val="en-US"/>
          </w:rPr>
          <w:t>https://balkanrivers.net/sites/default/files/European%20Hydropower%20report%202019_w.pdf</w:t>
        </w:r>
      </w:hyperlink>
    </w:p>
    <w:p w14:paraId="7F0CDEDD" w14:textId="6D632363" w:rsidR="00A812A4" w:rsidRDefault="00CF463E" w:rsidP="0017199B">
      <w:pPr>
        <w:pStyle w:val="Voetnoottekst"/>
        <w:numPr>
          <w:ilvl w:val="0"/>
          <w:numId w:val="3"/>
        </w:numPr>
        <w:rPr>
          <w:lang w:val="en-US"/>
        </w:rPr>
      </w:pPr>
      <w:hyperlink r:id="rId3" w:history="1">
        <w:r w:rsidRPr="00F86DFF">
          <w:rPr>
            <w:rStyle w:val="Hyperlink"/>
            <w:lang w:val="en-US"/>
          </w:rPr>
          <w:t>https://balkanrivers.net/sites/default/files/MedRiverAssessment-Full-Study.pdf</w:t>
        </w:r>
      </w:hyperlink>
      <w:r>
        <w:rPr>
          <w:lang w:val="en-US"/>
        </w:rPr>
        <w:t xml:space="preserve"> </w:t>
      </w:r>
    </w:p>
    <w:p w14:paraId="0F5188F9" w14:textId="4AFD2662" w:rsidR="00CF463E" w:rsidRDefault="00CF463E" w:rsidP="0017199B">
      <w:pPr>
        <w:pStyle w:val="Voetnoottekst"/>
        <w:numPr>
          <w:ilvl w:val="0"/>
          <w:numId w:val="3"/>
        </w:numPr>
        <w:rPr>
          <w:lang w:val="en-US"/>
        </w:rPr>
      </w:pPr>
      <w:hyperlink r:id="rId4" w:history="1">
        <w:r w:rsidRPr="00F86DFF">
          <w:rPr>
            <w:rStyle w:val="Hyperlink"/>
            <w:lang w:val="en-US"/>
          </w:rPr>
          <w:t>https://balkanrivers.net/Threatened_Fish_MedBasin.pdf</w:t>
        </w:r>
      </w:hyperlink>
      <w:r>
        <w:rPr>
          <w:lang w:val="en-US"/>
        </w:rPr>
        <w:t xml:space="preserve"> (impact on fish species) </w:t>
      </w:r>
    </w:p>
    <w:p w14:paraId="6CB664C7" w14:textId="715D4DA0" w:rsidR="00037312" w:rsidRPr="0017199B" w:rsidRDefault="00037312" w:rsidP="0017199B">
      <w:pPr>
        <w:pStyle w:val="Voetnoottekst"/>
        <w:numPr>
          <w:ilvl w:val="0"/>
          <w:numId w:val="3"/>
        </w:numPr>
        <w:rPr>
          <w:lang w:val="en-US"/>
        </w:rPr>
      </w:pPr>
      <w:hyperlink r:id="rId5" w:history="1">
        <w:r w:rsidRPr="00F86DFF">
          <w:rPr>
            <w:rStyle w:val="Hyperlink"/>
            <w:lang w:val="en-US"/>
          </w:rPr>
          <w:t>https://v2.balkanrivers.net/sites/default/files/broken-rivers.pdf</w:t>
        </w:r>
      </w:hyperlink>
      <w:r>
        <w:rPr>
          <w:lang w:val="en-US"/>
        </w:rPr>
        <w:t xml:space="preserve"> (</w:t>
      </w:r>
      <w:r w:rsidRPr="00037312">
        <w:rPr>
          <w:lang w:val="en-US"/>
        </w:rPr>
        <w:t>The impact of European-financed small hydropower plants on pristine Balkan landscapes</w:t>
      </w:r>
      <w:r>
        <w:rPr>
          <w:lang w:val="en-US"/>
        </w:rPr>
        <w:t>)</w:t>
      </w:r>
    </w:p>
  </w:footnote>
  <w:footnote w:id="2">
    <w:p w14:paraId="58D3362F" w14:textId="261CB5CB" w:rsidR="0076267A" w:rsidRPr="0076267A" w:rsidRDefault="0076267A">
      <w:pPr>
        <w:pStyle w:val="Voetnoottekst"/>
        <w:rPr>
          <w:lang w:val="en-US"/>
        </w:rPr>
      </w:pPr>
      <w:r>
        <w:rPr>
          <w:rStyle w:val="Voetnootmarkering"/>
        </w:rPr>
        <w:footnoteRef/>
      </w:r>
      <w:r w:rsidRPr="0076267A">
        <w:rPr>
          <w:lang w:val="en-US"/>
        </w:rPr>
        <w:t xml:space="preserve"> </w:t>
      </w:r>
      <w:r>
        <w:rPr>
          <w:lang w:val="en-US"/>
        </w:rPr>
        <w:t xml:space="preserve">See </w:t>
      </w:r>
      <w:hyperlink r:id="rId6" w:history="1">
        <w:r w:rsidRPr="00F86DFF">
          <w:rPr>
            <w:rStyle w:val="Hyperlink"/>
            <w:rFonts w:eastAsia="Times New Roman" w:cstheme="minorHAnsi"/>
            <w:lang w:val="en-US" w:eastAsia="nl-NL"/>
          </w:rPr>
          <w:t>https://bankwatch.org/wp-content/uploads/2019/09/who-pays-who-profits.pdf</w:t>
        </w:r>
      </w:hyperlink>
      <w:r>
        <w:rPr>
          <w:rFonts w:eastAsia="Times New Roman" w:cstheme="minorHAnsi"/>
          <w:color w:val="000000"/>
          <w:lang w:val="en-US" w:eastAsia="nl-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3E042" w14:textId="6AECA843" w:rsidR="009B0729" w:rsidRDefault="009B0729" w:rsidP="009B0729">
    <w:pPr>
      <w:pStyle w:val="Koptekst"/>
    </w:pPr>
    <w:r>
      <w:rPr>
        <w:noProof/>
      </w:rPr>
      <w:drawing>
        <wp:anchor distT="0" distB="0" distL="114300" distR="114300" simplePos="0" relativeHeight="251658240" behindDoc="0" locked="0" layoutInCell="1" allowOverlap="1" wp14:anchorId="0A6D3B8D" wp14:editId="5DB80B3F">
          <wp:simplePos x="0" y="0"/>
          <wp:positionH relativeFrom="column">
            <wp:posOffset>3805555</wp:posOffset>
          </wp:positionH>
          <wp:positionV relativeFrom="paragraph">
            <wp:posOffset>-1905</wp:posOffset>
          </wp:positionV>
          <wp:extent cx="1950720" cy="880745"/>
          <wp:effectExtent l="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1950720" cy="8807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9C023B"/>
    <w:multiLevelType w:val="hybridMultilevel"/>
    <w:tmpl w:val="994C9A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2B10042"/>
    <w:multiLevelType w:val="hybridMultilevel"/>
    <w:tmpl w:val="46C6AD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40A0057"/>
    <w:multiLevelType w:val="multilevel"/>
    <w:tmpl w:val="93209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6FB67A8"/>
    <w:multiLevelType w:val="hybridMultilevel"/>
    <w:tmpl w:val="B71E6D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BC120EE"/>
    <w:multiLevelType w:val="multilevel"/>
    <w:tmpl w:val="16A88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982"/>
    <w:rsid w:val="00037312"/>
    <w:rsid w:val="0006189C"/>
    <w:rsid w:val="000C7A12"/>
    <w:rsid w:val="0017199B"/>
    <w:rsid w:val="001A6E3D"/>
    <w:rsid w:val="001D0700"/>
    <w:rsid w:val="001E2335"/>
    <w:rsid w:val="00200946"/>
    <w:rsid w:val="0020690A"/>
    <w:rsid w:val="00227EE6"/>
    <w:rsid w:val="00240C0E"/>
    <w:rsid w:val="002803EB"/>
    <w:rsid w:val="002D717E"/>
    <w:rsid w:val="002E4B10"/>
    <w:rsid w:val="003A080D"/>
    <w:rsid w:val="004A0B55"/>
    <w:rsid w:val="00562B86"/>
    <w:rsid w:val="00577A86"/>
    <w:rsid w:val="005E4A7C"/>
    <w:rsid w:val="006579F4"/>
    <w:rsid w:val="006850E4"/>
    <w:rsid w:val="006D0548"/>
    <w:rsid w:val="006F1377"/>
    <w:rsid w:val="00706588"/>
    <w:rsid w:val="00717568"/>
    <w:rsid w:val="0076267A"/>
    <w:rsid w:val="00775F53"/>
    <w:rsid w:val="007A6CFF"/>
    <w:rsid w:val="008160EB"/>
    <w:rsid w:val="0087018F"/>
    <w:rsid w:val="00877462"/>
    <w:rsid w:val="008F191E"/>
    <w:rsid w:val="00966B87"/>
    <w:rsid w:val="009B0729"/>
    <w:rsid w:val="009F32A0"/>
    <w:rsid w:val="009F6AEC"/>
    <w:rsid w:val="00A76B07"/>
    <w:rsid w:val="00A812A4"/>
    <w:rsid w:val="00B158AC"/>
    <w:rsid w:val="00B21006"/>
    <w:rsid w:val="00B27982"/>
    <w:rsid w:val="00B34432"/>
    <w:rsid w:val="00B62B44"/>
    <w:rsid w:val="00BB289B"/>
    <w:rsid w:val="00CC04DA"/>
    <w:rsid w:val="00CD639A"/>
    <w:rsid w:val="00CF463E"/>
    <w:rsid w:val="00D244DE"/>
    <w:rsid w:val="00DB3808"/>
    <w:rsid w:val="00DD6D3F"/>
    <w:rsid w:val="00E23346"/>
    <w:rsid w:val="00EB59E3"/>
    <w:rsid w:val="00EC5204"/>
    <w:rsid w:val="00F06162"/>
    <w:rsid w:val="00F15762"/>
    <w:rsid w:val="00F172AF"/>
    <w:rsid w:val="00F550E4"/>
    <w:rsid w:val="00F96B70"/>
    <w:rsid w:val="00F97D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F673C"/>
  <w15:chartTrackingRefBased/>
  <w15:docId w15:val="{AFD20375-FC88-4D64-A2A0-C2E56EDAA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2798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B27982"/>
    <w:rPr>
      <w:color w:val="0000FF"/>
      <w:u w:val="single"/>
    </w:rPr>
  </w:style>
  <w:style w:type="paragraph" w:styleId="Koptekst">
    <w:name w:val="header"/>
    <w:basedOn w:val="Standaard"/>
    <w:link w:val="KoptekstChar"/>
    <w:uiPriority w:val="99"/>
    <w:unhideWhenUsed/>
    <w:rsid w:val="009B072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B0729"/>
  </w:style>
  <w:style w:type="paragraph" w:styleId="Voettekst">
    <w:name w:val="footer"/>
    <w:basedOn w:val="Standaard"/>
    <w:link w:val="VoettekstChar"/>
    <w:uiPriority w:val="99"/>
    <w:unhideWhenUsed/>
    <w:rsid w:val="009B072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B0729"/>
  </w:style>
  <w:style w:type="character" w:styleId="Onopgelostemelding">
    <w:name w:val="Unresolved Mention"/>
    <w:basedOn w:val="Standaardalinea-lettertype"/>
    <w:uiPriority w:val="99"/>
    <w:semiHidden/>
    <w:unhideWhenUsed/>
    <w:rsid w:val="009B0729"/>
    <w:rPr>
      <w:color w:val="605E5C"/>
      <w:shd w:val="clear" w:color="auto" w:fill="E1DFDD"/>
    </w:rPr>
  </w:style>
  <w:style w:type="paragraph" w:styleId="Voetnoottekst">
    <w:name w:val="footnote text"/>
    <w:basedOn w:val="Standaard"/>
    <w:link w:val="VoetnoottekstChar"/>
    <w:uiPriority w:val="99"/>
    <w:semiHidden/>
    <w:unhideWhenUsed/>
    <w:rsid w:val="0017199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17199B"/>
    <w:rPr>
      <w:sz w:val="20"/>
      <w:szCs w:val="20"/>
    </w:rPr>
  </w:style>
  <w:style w:type="character" w:styleId="Voetnootmarkering">
    <w:name w:val="footnote reference"/>
    <w:basedOn w:val="Standaardalinea-lettertype"/>
    <w:uiPriority w:val="99"/>
    <w:semiHidden/>
    <w:unhideWhenUsed/>
    <w:rsid w:val="0017199B"/>
    <w:rPr>
      <w:vertAlign w:val="superscript"/>
    </w:rPr>
  </w:style>
  <w:style w:type="paragraph" w:styleId="Lijstalinea">
    <w:name w:val="List Paragraph"/>
    <w:basedOn w:val="Standaard"/>
    <w:uiPriority w:val="34"/>
    <w:qFormat/>
    <w:rsid w:val="0087018F"/>
    <w:pPr>
      <w:ind w:left="720"/>
      <w:contextualSpacing/>
    </w:pPr>
  </w:style>
  <w:style w:type="table" w:styleId="Tabelraster">
    <w:name w:val="Table Grid"/>
    <w:basedOn w:val="Standaardtabel"/>
    <w:uiPriority w:val="39"/>
    <w:rsid w:val="004A0B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3124207">
      <w:bodyDiv w:val="1"/>
      <w:marLeft w:val="0"/>
      <w:marRight w:val="0"/>
      <w:marTop w:val="0"/>
      <w:marBottom w:val="0"/>
      <w:divBdr>
        <w:top w:val="none" w:sz="0" w:space="0" w:color="auto"/>
        <w:left w:val="none" w:sz="0" w:space="0" w:color="auto"/>
        <w:bottom w:val="none" w:sz="0" w:space="0" w:color="auto"/>
        <w:right w:val="none" w:sz="0" w:space="0" w:color="auto"/>
      </w:divBdr>
    </w:div>
    <w:div w:id="1636373265">
      <w:bodyDiv w:val="1"/>
      <w:marLeft w:val="0"/>
      <w:marRight w:val="0"/>
      <w:marTop w:val="0"/>
      <w:marBottom w:val="0"/>
      <w:divBdr>
        <w:top w:val="none" w:sz="0" w:space="0" w:color="auto"/>
        <w:left w:val="none" w:sz="0" w:space="0" w:color="auto"/>
        <w:bottom w:val="none" w:sz="0" w:space="0" w:color="auto"/>
        <w:right w:val="none" w:sz="0" w:space="0" w:color="auto"/>
      </w:divBdr>
    </w:div>
    <w:div w:id="1918400635">
      <w:bodyDiv w:val="1"/>
      <w:marLeft w:val="0"/>
      <w:marRight w:val="0"/>
      <w:marTop w:val="0"/>
      <w:marBottom w:val="0"/>
      <w:divBdr>
        <w:top w:val="none" w:sz="0" w:space="0" w:color="auto"/>
        <w:left w:val="none" w:sz="0" w:space="0" w:color="auto"/>
        <w:bottom w:val="none" w:sz="0" w:space="0" w:color="auto"/>
        <w:right w:val="none" w:sz="0" w:space="0" w:color="auto"/>
      </w:divBdr>
    </w:div>
    <w:div w:id="209027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f.panda.org/wwf_news/?248033/EC-starts-an-infringement-procedure-against-Romania-on-small-hydropower" TargetMode="External"/><Relationship Id="rId13" Type="http://schemas.openxmlformats.org/officeDocument/2006/relationships/hyperlink" Target="http://europe.wetlands.org"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ef.Silver@wetlands.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watch.org/project/dabrova-dolina-hydropower-plant-croati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c.europa.eu/commission/presscorner/detail/en/IP_19_1477"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ec.europa.eu/commission/presscorner/detail/en/inf_20_859"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balkanrivers.net/sites/default/files/MedRiverAssessment-Full-Study.pdf" TargetMode="External"/><Relationship Id="rId2" Type="http://schemas.openxmlformats.org/officeDocument/2006/relationships/hyperlink" Target="https://balkanrivers.net/sites/default/files/European%20Hydropower%20report%202019_w.pdf" TargetMode="External"/><Relationship Id="rId1" Type="http://schemas.openxmlformats.org/officeDocument/2006/relationships/hyperlink" Target="https://balkanrivers.net/sites/default/files/Riverwatch_Black_catalogue_PDF.pdf" TargetMode="External"/><Relationship Id="rId6" Type="http://schemas.openxmlformats.org/officeDocument/2006/relationships/hyperlink" Target="https://bankwatch.org/wp-content/uploads/2019/09/who-pays-who-profits.pdf" TargetMode="External"/><Relationship Id="rId5" Type="http://schemas.openxmlformats.org/officeDocument/2006/relationships/hyperlink" Target="https://v2.balkanrivers.net/sites/default/files/broken-rivers.pdf" TargetMode="External"/><Relationship Id="rId4" Type="http://schemas.openxmlformats.org/officeDocument/2006/relationships/hyperlink" Target="https://balkanrivers.net/Threatened_Fish_MedBasi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9587A3D8DB2EF42A951C63456467419" ma:contentTypeVersion="14" ma:contentTypeDescription="Create a new document." ma:contentTypeScope="" ma:versionID="e776834242f59d9094af8a0da4b7590a">
  <xsd:schema xmlns:xsd="http://www.w3.org/2001/XMLSchema" xmlns:xs="http://www.w3.org/2001/XMLSchema" xmlns:p="http://schemas.microsoft.com/office/2006/metadata/properties" xmlns:ns2="1c476745-17de-47a3-b2a6-af35ec027eea" xmlns:ns3="48394f13-6f11-4575-9cf8-9accb6ce7db2" targetNamespace="http://schemas.microsoft.com/office/2006/metadata/properties" ma:root="true" ma:fieldsID="a87dff4ee57d1fb4a1b700879a410f45" ns2:_="" ns3:_="">
    <xsd:import namespace="1c476745-17de-47a3-b2a6-af35ec027eea"/>
    <xsd:import namespace="48394f13-6f11-4575-9cf8-9accb6ce7db2"/>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476745-17de-47a3-b2a6-af35ec027ee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8394f13-6f11-4575-9cf8-9accb6ce7db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7B7621-CCB9-4F71-8DE9-D581290E5A2E}">
  <ds:schemaRefs>
    <ds:schemaRef ds:uri="http://schemas.openxmlformats.org/officeDocument/2006/bibliography"/>
  </ds:schemaRefs>
</ds:datastoreItem>
</file>

<file path=customXml/itemProps2.xml><?xml version="1.0" encoding="utf-8"?>
<ds:datastoreItem xmlns:ds="http://schemas.openxmlformats.org/officeDocument/2006/customXml" ds:itemID="{7318B2CD-6960-4921-81C0-4098D922804C}"/>
</file>

<file path=customXml/itemProps3.xml><?xml version="1.0" encoding="utf-8"?>
<ds:datastoreItem xmlns:ds="http://schemas.openxmlformats.org/officeDocument/2006/customXml" ds:itemID="{CD11A18A-BF7E-4E59-BAF4-0647B485AC9B}"/>
</file>

<file path=customXml/itemProps4.xml><?xml version="1.0" encoding="utf-8"?>
<ds:datastoreItem xmlns:ds="http://schemas.openxmlformats.org/officeDocument/2006/customXml" ds:itemID="{B229378B-ECF2-4221-9BFD-431AA4B7D34F}"/>
</file>

<file path=docProps/app.xml><?xml version="1.0" encoding="utf-8"?>
<Properties xmlns="http://schemas.openxmlformats.org/officeDocument/2006/extended-properties" xmlns:vt="http://schemas.openxmlformats.org/officeDocument/2006/docPropsVTypes">
  <Template>Normal</Template>
  <TotalTime>270</TotalTime>
  <Pages>3</Pages>
  <Words>1359</Words>
  <Characters>7479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 Eef</dc:creator>
  <cp:keywords/>
  <dc:description/>
  <cp:lastModifiedBy>Silver, Eef</cp:lastModifiedBy>
  <cp:revision>58</cp:revision>
  <dcterms:created xsi:type="dcterms:W3CDTF">2021-01-06T12:04:00Z</dcterms:created>
  <dcterms:modified xsi:type="dcterms:W3CDTF">2021-01-06T16:34:00Z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0x01010089587A3D8DB2EF42A951C63456467419</vt:lpwstr>
  </property>
</Properties>
</file>