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ED32E" w14:textId="63EBD4C6" w:rsidR="006C1897" w:rsidRPr="00C54FEA" w:rsidRDefault="0003446B" w:rsidP="006C1897">
      <w:pPr>
        <w:spacing w:after="0" w:line="240" w:lineRule="auto"/>
        <w:rPr>
          <w:rFonts w:ascii="Times New Roman" w:eastAsia="Times New Roman" w:hAnsi="Times New Roman" w:cs="Times New Roman"/>
          <w:b/>
          <w:bCs/>
          <w:color w:val="4472C4" w:themeColor="accent1"/>
          <w:sz w:val="28"/>
          <w:szCs w:val="28"/>
          <w:lang w:eastAsia="en-GB"/>
        </w:rPr>
      </w:pPr>
      <w:r w:rsidRPr="0003446B">
        <w:rPr>
          <w:rFonts w:ascii="Calibri" w:eastAsia="Calibri" w:hAnsi="Calibri" w:cs="Calibri"/>
          <w:b/>
          <w:color w:val="4472C4" w:themeColor="accent1"/>
          <w:sz w:val="28"/>
          <w:szCs w:val="28"/>
        </w:rPr>
        <w:t>EuroNatur additional input for the EEAG public consultation</w:t>
      </w:r>
      <w:r>
        <w:rPr>
          <w:rFonts w:ascii="Calibri" w:eastAsia="Calibri" w:hAnsi="Calibri" w:cs="Calibri"/>
          <w:b/>
          <w:color w:val="4472C4" w:themeColor="accent1"/>
          <w:sz w:val="28"/>
          <w:szCs w:val="28"/>
        </w:rPr>
        <w:t xml:space="preserve">s </w:t>
      </w:r>
      <w:r w:rsidR="00C54FEA" w:rsidRPr="00C54FEA">
        <w:rPr>
          <w:b/>
          <w:bCs/>
          <w:color w:val="4472C4" w:themeColor="accent1"/>
          <w:sz w:val="28"/>
          <w:szCs w:val="28"/>
        </w:rPr>
        <w:t>–</w:t>
      </w:r>
      <w:r w:rsidR="00C54FEA">
        <w:rPr>
          <w:b/>
          <w:bCs/>
          <w:color w:val="4472C4" w:themeColor="accent1"/>
          <w:sz w:val="28"/>
          <w:szCs w:val="28"/>
        </w:rPr>
        <w:t xml:space="preserve"> </w:t>
      </w:r>
      <w:r w:rsidR="00D92DC1">
        <w:rPr>
          <w:b/>
          <w:bCs/>
          <w:color w:val="4472C4" w:themeColor="accent1"/>
          <w:sz w:val="28"/>
          <w:szCs w:val="28"/>
        </w:rPr>
        <w:t>R</w:t>
      </w:r>
      <w:r w:rsidR="00C54FEA">
        <w:rPr>
          <w:b/>
          <w:bCs/>
          <w:color w:val="4472C4" w:themeColor="accent1"/>
          <w:sz w:val="28"/>
          <w:szCs w:val="28"/>
        </w:rPr>
        <w:t>ecommendations</w:t>
      </w:r>
      <w:r w:rsidR="00D92DC1">
        <w:rPr>
          <w:b/>
          <w:bCs/>
          <w:color w:val="4472C4" w:themeColor="accent1"/>
          <w:sz w:val="28"/>
          <w:szCs w:val="28"/>
        </w:rPr>
        <w:t xml:space="preserve"> for hydropower and biomass</w:t>
      </w:r>
    </w:p>
    <w:p w14:paraId="71977FE3" w14:textId="58EB4743" w:rsidR="006C1897" w:rsidRPr="00C54FEA" w:rsidRDefault="006C1897" w:rsidP="006C1897">
      <w:pPr>
        <w:spacing w:after="0" w:line="240" w:lineRule="auto"/>
        <w:rPr>
          <w:rFonts w:eastAsia="Times New Roman" w:cstheme="minorHAnsi"/>
          <w:b/>
          <w:bCs/>
          <w:sz w:val="28"/>
          <w:szCs w:val="28"/>
          <w:lang w:eastAsia="en-GB"/>
        </w:rPr>
      </w:pPr>
    </w:p>
    <w:p w14:paraId="7BED0B74" w14:textId="694EAEC8" w:rsidR="00B65943" w:rsidRDefault="0091315D" w:rsidP="0003446B">
      <w:pPr>
        <w:rPr>
          <w:rFonts w:ascii="Calibri" w:eastAsia="Calibri" w:hAnsi="Calibri" w:cs="Calibri"/>
        </w:rPr>
      </w:pPr>
      <w:proofErr w:type="spellStart"/>
      <w:r>
        <w:rPr>
          <w:rFonts w:ascii="Calibri" w:eastAsia="Calibri" w:hAnsi="Calibri" w:cs="Calibri"/>
        </w:rPr>
        <w:t>EuroNatur</w:t>
      </w:r>
      <w:proofErr w:type="spellEnd"/>
      <w:r w:rsidR="0003446B">
        <w:rPr>
          <w:rFonts w:ascii="Calibri" w:eastAsia="Calibri" w:hAnsi="Calibri" w:cs="Calibri"/>
        </w:rPr>
        <w:t xml:space="preserve"> welcomes the EEAG review</w:t>
      </w:r>
      <w:r w:rsidR="004E0F2E">
        <w:rPr>
          <w:rFonts w:ascii="Calibri" w:eastAsia="Calibri" w:hAnsi="Calibri" w:cs="Calibri"/>
        </w:rPr>
        <w:t xml:space="preserve">. </w:t>
      </w:r>
      <w:r w:rsidR="0003446B">
        <w:rPr>
          <w:rFonts w:ascii="Calibri" w:eastAsia="Calibri" w:hAnsi="Calibri" w:cs="Calibri"/>
        </w:rPr>
        <w:t>In our opinion the fitness check did not fully capture all the issues at stake, particularly with regard to ensuring that the provisions on compliance with EU environmental legislation are fulfilled. In our opinion, the following improvements are needed:</w:t>
      </w:r>
    </w:p>
    <w:p w14:paraId="369125EF" w14:textId="573B31EA" w:rsidR="004E0F2E" w:rsidRPr="004E0F2E" w:rsidRDefault="004E0F2E" w:rsidP="00F71F4D">
      <w:pPr>
        <w:pStyle w:val="Akapitzlist"/>
        <w:numPr>
          <w:ilvl w:val="0"/>
          <w:numId w:val="15"/>
        </w:numPr>
        <w:spacing w:before="360"/>
        <w:ind w:left="714" w:hanging="357"/>
        <w:rPr>
          <w:rFonts w:ascii="Calibri" w:eastAsia="Calibri" w:hAnsi="Calibri" w:cs="Calibri"/>
          <w:b/>
          <w:bCs/>
        </w:rPr>
      </w:pPr>
      <w:r w:rsidRPr="004E0F2E">
        <w:rPr>
          <w:rFonts w:ascii="Calibri" w:eastAsia="Calibri" w:hAnsi="Calibri" w:cs="Calibri"/>
          <w:b/>
          <w:bCs/>
        </w:rPr>
        <w:t>Hydropower</w:t>
      </w:r>
    </w:p>
    <w:p w14:paraId="49A01A1A" w14:textId="745F1522" w:rsidR="004E0F2E" w:rsidRDefault="004E0F2E" w:rsidP="004E0F2E">
      <w:pPr>
        <w:pStyle w:val="Tekstpodstawowy"/>
        <w:jc w:val="both"/>
        <w:rPr>
          <w:lang w:eastAsia="en-US"/>
        </w:rPr>
      </w:pPr>
      <w:r>
        <w:rPr>
          <w:lang w:eastAsia="en-US"/>
        </w:rPr>
        <w:t xml:space="preserve">The EEAG prescribe that environmentally harmful subsidies must be phased out. Since it is expected that this principle is reinforced in the revised EEAG with a view to make it truly operational, the regime of aid to hydropower must be revised. </w:t>
      </w:r>
      <w:r w:rsidRPr="00F726B4">
        <w:rPr>
          <w:lang w:eastAsia="en-US"/>
        </w:rPr>
        <w:t>Hydropower has</w:t>
      </w:r>
      <w:r>
        <w:rPr>
          <w:lang w:eastAsia="en-US"/>
        </w:rPr>
        <w:t xml:space="preserve"> </w:t>
      </w:r>
      <w:r w:rsidRPr="00F726B4">
        <w:rPr>
          <w:lang w:eastAsia="en-US"/>
        </w:rPr>
        <w:t>impact</w:t>
      </w:r>
      <w:r>
        <w:rPr>
          <w:lang w:eastAsia="en-US"/>
        </w:rPr>
        <w:t>s not only on habitats and species</w:t>
      </w:r>
      <w:r w:rsidRPr="00F726B4">
        <w:rPr>
          <w:vertAlign w:val="superscript"/>
          <w:lang w:eastAsia="en-US"/>
        </w:rPr>
        <w:footnoteReference w:id="1"/>
      </w:r>
      <w:r w:rsidRPr="00F726B4">
        <w:rPr>
          <w:lang w:eastAsia="en-US"/>
        </w:rPr>
        <w:t xml:space="preserve"> but also on </w:t>
      </w:r>
      <w:r w:rsidR="00C20496">
        <w:rPr>
          <w:lang w:eastAsia="en-US"/>
        </w:rPr>
        <w:t xml:space="preserve">human </w:t>
      </w:r>
      <w:r w:rsidRPr="00F726B4">
        <w:rPr>
          <w:lang w:eastAsia="en-US"/>
        </w:rPr>
        <w:t>population</w:t>
      </w:r>
      <w:r w:rsidR="00C20496">
        <w:rPr>
          <w:lang w:eastAsia="en-US"/>
        </w:rPr>
        <w:t>s</w:t>
      </w:r>
      <w:r w:rsidRPr="00F726B4">
        <w:rPr>
          <w:lang w:eastAsia="en-US"/>
        </w:rPr>
        <w:t xml:space="preserve"> and health through human displacement and resettlement; restrictions of the right to access to water and/or land; effects on water quality and ultimately on health; employment patterns; impairment of property rights and so on</w:t>
      </w:r>
      <w:r w:rsidRPr="00F726B4">
        <w:rPr>
          <w:vertAlign w:val="superscript"/>
          <w:lang w:eastAsia="en-US"/>
        </w:rPr>
        <w:footnoteReference w:id="2"/>
      </w:r>
      <w:r w:rsidRPr="00F726B4">
        <w:rPr>
          <w:lang w:eastAsia="en-US"/>
        </w:rPr>
        <w:t xml:space="preserve">. </w:t>
      </w:r>
      <w:r>
        <w:rPr>
          <w:lang w:eastAsia="en-US"/>
        </w:rPr>
        <w:t>Because of the risk of fragmentation of rivers, the Technical Expert Group on Sustainable Finance recommended to avoid the construction of hydropower projects below 10MW</w:t>
      </w:r>
      <w:r>
        <w:rPr>
          <w:rStyle w:val="Odwoanieprzypisudolnego"/>
          <w:lang w:eastAsia="en-US"/>
        </w:rPr>
        <w:footnoteReference w:id="3"/>
      </w:r>
      <w:r w:rsidR="00C20496">
        <w:rPr>
          <w:lang w:eastAsia="en-US"/>
        </w:rPr>
        <w:t xml:space="preserve">, </w:t>
      </w:r>
      <w:r w:rsidR="00C20496" w:rsidRPr="00C20496">
        <w:rPr>
          <w:lang w:eastAsia="en-US"/>
        </w:rPr>
        <w:t xml:space="preserve">which </w:t>
      </w:r>
      <w:r w:rsidR="00C20496">
        <w:rPr>
          <w:lang w:eastAsia="en-US"/>
        </w:rPr>
        <w:t xml:space="preserve">also </w:t>
      </w:r>
      <w:r>
        <w:rPr>
          <w:lang w:eastAsia="en-US"/>
        </w:rPr>
        <w:t>contribute insignificantly to energy production and security of supply.</w:t>
      </w:r>
    </w:p>
    <w:p w14:paraId="46F980EE" w14:textId="48E6B641" w:rsidR="00D50ACB" w:rsidRDefault="00D50ACB" w:rsidP="004E0F2E">
      <w:pPr>
        <w:pStyle w:val="Tekstpodstawowy"/>
        <w:jc w:val="both"/>
        <w:rPr>
          <w:lang w:eastAsia="en-US"/>
        </w:rPr>
      </w:pPr>
      <w:r>
        <w:rPr>
          <w:lang w:eastAsia="en-US"/>
        </w:rPr>
        <w:t xml:space="preserve">Moreover, the </w:t>
      </w:r>
      <w:r w:rsidRPr="003A45A4">
        <w:rPr>
          <w:lang w:eastAsia="en-US"/>
        </w:rPr>
        <w:t>EEAG currently prescribe that hydropower projects shall be compliant with the Water Framework Directive</w:t>
      </w:r>
      <w:r>
        <w:rPr>
          <w:lang w:eastAsia="en-US"/>
        </w:rPr>
        <w:t xml:space="preserve"> (WFD)</w:t>
      </w:r>
      <w:r w:rsidRPr="003A45A4">
        <w:rPr>
          <w:lang w:eastAsia="en-US"/>
        </w:rPr>
        <w:t>. Although clearly relevant, th</w:t>
      </w:r>
      <w:r>
        <w:rPr>
          <w:lang w:eastAsia="en-US"/>
        </w:rPr>
        <w:t>is</w:t>
      </w:r>
      <w:r w:rsidRPr="003A45A4">
        <w:rPr>
          <w:lang w:eastAsia="en-US"/>
        </w:rPr>
        <w:t xml:space="preserve"> </w:t>
      </w:r>
      <w:r>
        <w:rPr>
          <w:lang w:eastAsia="en-US"/>
        </w:rPr>
        <w:t>is</w:t>
      </w:r>
      <w:r w:rsidRPr="003A45A4">
        <w:rPr>
          <w:lang w:eastAsia="en-US"/>
        </w:rPr>
        <w:t xml:space="preserve"> not the only environmental legal framework</w:t>
      </w:r>
      <w:r w:rsidR="00C20496">
        <w:rPr>
          <w:lang w:eastAsia="en-US"/>
        </w:rPr>
        <w:t xml:space="preserve"> that</w:t>
      </w:r>
      <w:r w:rsidRPr="003A45A4">
        <w:rPr>
          <w:lang w:eastAsia="en-US"/>
        </w:rPr>
        <w:t xml:space="preserve"> appl</w:t>
      </w:r>
      <w:r w:rsidR="00C20496">
        <w:rPr>
          <w:lang w:eastAsia="en-US"/>
        </w:rPr>
        <w:t>ies</w:t>
      </w:r>
      <w:r w:rsidRPr="003A45A4">
        <w:rPr>
          <w:lang w:eastAsia="en-US"/>
        </w:rPr>
        <w:t xml:space="preserve"> to those projects</w:t>
      </w:r>
      <w:r>
        <w:rPr>
          <w:lang w:eastAsia="en-US"/>
        </w:rPr>
        <w:t xml:space="preserve">. </w:t>
      </w:r>
      <w:r>
        <w:rPr>
          <w:bCs/>
          <w:lang w:eastAsia="en-US"/>
        </w:rPr>
        <w:t>C</w:t>
      </w:r>
      <w:r w:rsidRPr="003A45A4">
        <w:rPr>
          <w:bCs/>
          <w:lang w:eastAsia="en-US"/>
        </w:rPr>
        <w:t xml:space="preserve">ompliance with </w:t>
      </w:r>
      <w:r w:rsidR="00C20496">
        <w:rPr>
          <w:bCs/>
          <w:lang w:eastAsia="en-US"/>
        </w:rPr>
        <w:t xml:space="preserve">the </w:t>
      </w:r>
      <w:r w:rsidRPr="003A45A4">
        <w:rPr>
          <w:bCs/>
          <w:lang w:eastAsia="en-US"/>
        </w:rPr>
        <w:t>Habitats Directive</w:t>
      </w:r>
      <w:r w:rsidRPr="003A45A4">
        <w:rPr>
          <w:lang w:eastAsia="en-US"/>
        </w:rPr>
        <w:t xml:space="preserve"> (for projects that have a proven impact on water status</w:t>
      </w:r>
      <w:r w:rsidR="00C20496">
        <w:rPr>
          <w:lang w:eastAsia="en-US"/>
        </w:rPr>
        <w:t>,</w:t>
      </w:r>
      <w:r w:rsidRPr="003A45A4">
        <w:rPr>
          <w:lang w:eastAsia="en-US"/>
        </w:rPr>
        <w:t xml:space="preserve"> habitats and species), inter alia, is directly relevant</w:t>
      </w:r>
      <w:r w:rsidR="00C20496">
        <w:rPr>
          <w:lang w:eastAsia="en-US"/>
        </w:rPr>
        <w:t>, too</w:t>
      </w:r>
      <w:r w:rsidRPr="003A45A4">
        <w:rPr>
          <w:lang w:eastAsia="en-US"/>
        </w:rPr>
        <w:t>.</w:t>
      </w:r>
      <w:r>
        <w:rPr>
          <w:lang w:eastAsia="en-US"/>
        </w:rPr>
        <w:t xml:space="preserve"> As recommended above, the EEAG should rather include a general provision according to which an activity that breaches any of its environmental law obligations is not eligible to aid. </w:t>
      </w:r>
      <w:r>
        <w:rPr>
          <w:rFonts w:eastAsiaTheme="minorHAnsi"/>
        </w:rPr>
        <w:t>Under the WFD</w:t>
      </w:r>
      <w:r w:rsidR="00C20496">
        <w:rPr>
          <w:rFonts w:eastAsiaTheme="minorHAnsi"/>
        </w:rPr>
        <w:t>,</w:t>
      </w:r>
      <w:r>
        <w:rPr>
          <w:rFonts w:eastAsiaTheme="minorHAnsi"/>
        </w:rPr>
        <w:t xml:space="preserve"> Member States are required — unless an exemption under Article 4(7) is granted — to refuse authorisation for an individual project where it </w:t>
      </w:r>
      <w:r w:rsidRPr="005353A2">
        <w:rPr>
          <w:rFonts w:eastAsiaTheme="minorHAnsi"/>
        </w:rPr>
        <w:t>may</w:t>
      </w:r>
      <w:r>
        <w:rPr>
          <w:rFonts w:eastAsiaTheme="minorHAnsi"/>
        </w:rPr>
        <w:t xml:space="preserve"> cause deterioration of a water body or failure to achieve good </w:t>
      </w:r>
      <w:r w:rsidRPr="005353A2">
        <w:rPr>
          <w:rFonts w:eastAsiaTheme="minorHAnsi"/>
        </w:rPr>
        <w:t>status</w:t>
      </w:r>
      <w:r>
        <w:rPr>
          <w:rFonts w:eastAsiaTheme="minorHAnsi"/>
        </w:rPr>
        <w:t xml:space="preserve"> or potential. In practice</w:t>
      </w:r>
      <w:r w:rsidR="00C20496">
        <w:rPr>
          <w:rFonts w:eastAsiaTheme="minorHAnsi"/>
        </w:rPr>
        <w:t>,</w:t>
      </w:r>
      <w:r>
        <w:rPr>
          <w:rFonts w:eastAsiaTheme="minorHAnsi"/>
        </w:rPr>
        <w:t xml:space="preserve"> the overuse of derogations under Article 4(7), especially for hydropower projects, including t</w:t>
      </w:r>
      <w:r w:rsidRPr="00877480">
        <w:t xml:space="preserve">he scope of discretion of </w:t>
      </w:r>
      <w:r>
        <w:t>“</w:t>
      </w:r>
      <w:r w:rsidRPr="00877480">
        <w:t>overriding public interest</w:t>
      </w:r>
      <w:r>
        <w:t xml:space="preserve">”, </w:t>
      </w:r>
      <w:r>
        <w:rPr>
          <w:rFonts w:eastAsiaTheme="minorHAnsi"/>
        </w:rPr>
        <w:t>bypass</w:t>
      </w:r>
      <w:r w:rsidR="00C20496">
        <w:rPr>
          <w:rFonts w:eastAsiaTheme="minorHAnsi"/>
        </w:rPr>
        <w:t>es</w:t>
      </w:r>
      <w:r>
        <w:rPr>
          <w:rFonts w:eastAsiaTheme="minorHAnsi"/>
        </w:rPr>
        <w:t xml:space="preserve"> the principles of </w:t>
      </w:r>
      <w:r w:rsidR="00C20496">
        <w:rPr>
          <w:rFonts w:eastAsiaTheme="minorHAnsi"/>
        </w:rPr>
        <w:t xml:space="preserve">the </w:t>
      </w:r>
      <w:r>
        <w:rPr>
          <w:rFonts w:eastAsiaTheme="minorHAnsi"/>
        </w:rPr>
        <w:t>WFD and lead</w:t>
      </w:r>
      <w:r w:rsidR="00C20496">
        <w:rPr>
          <w:rFonts w:eastAsiaTheme="minorHAnsi"/>
        </w:rPr>
        <w:t>s to failure</w:t>
      </w:r>
      <w:r>
        <w:rPr>
          <w:rFonts w:eastAsiaTheme="minorHAnsi"/>
        </w:rPr>
        <w:t xml:space="preserve"> to meet the aims of </w:t>
      </w:r>
      <w:r w:rsidR="00C20496">
        <w:rPr>
          <w:rFonts w:eastAsiaTheme="minorHAnsi"/>
        </w:rPr>
        <w:t xml:space="preserve">the </w:t>
      </w:r>
      <w:r>
        <w:rPr>
          <w:rFonts w:eastAsiaTheme="minorHAnsi"/>
        </w:rPr>
        <w:t xml:space="preserve">WFD to achieve </w:t>
      </w:r>
      <w:r w:rsidRPr="00CD4EC7">
        <w:t>good ecological status of waters bodies</w:t>
      </w:r>
      <w:r>
        <w:t>. T</w:t>
      </w:r>
      <w:r w:rsidRPr="00CB41F7">
        <w:t>he Habitats Directive require</w:t>
      </w:r>
      <w:r>
        <w:t>s</w:t>
      </w:r>
      <w:r w:rsidRPr="00CB41F7">
        <w:t xml:space="preserve"> that any plan or project not directly connected with, or necessary to the management of a Natura 2000 site, but which is likely to have a significant effect on the site shall be subject to an Appropriate Assessment. To authorise a plan or project, which may adversely affect a Natura 2000 site, the competent authorities shall ensure that the conditions </w:t>
      </w:r>
      <w:r>
        <w:lastRenderedPageBreak/>
        <w:t xml:space="preserve">listed in Article 6(4) </w:t>
      </w:r>
      <w:r w:rsidRPr="00CB41F7">
        <w:t>are met</w:t>
      </w:r>
      <w:r>
        <w:t>. This provision allows hydropower projects to be</w:t>
      </w:r>
      <w:r w:rsidRPr="00CB41F7">
        <w:t xml:space="preserve"> authorised despite adversely affecting a Natura 2000 site</w:t>
      </w:r>
      <w:r>
        <w:t>.</w:t>
      </w:r>
    </w:p>
    <w:p w14:paraId="022E0E32" w14:textId="2F0BB76E" w:rsidR="004E0F2E" w:rsidRDefault="004E0F2E" w:rsidP="004E0F2E">
      <w:pPr>
        <w:pStyle w:val="Tekstpodstawowy"/>
        <w:jc w:val="both"/>
        <w:rPr>
          <w:lang w:eastAsia="en-US"/>
        </w:rPr>
      </w:pPr>
      <w:r w:rsidRPr="003A45A4">
        <w:rPr>
          <w:lang w:eastAsia="en-US"/>
        </w:rPr>
        <w:t xml:space="preserve">Hence, we recommend: </w:t>
      </w:r>
    </w:p>
    <w:p w14:paraId="2B73EE3E" w14:textId="29FAA0E6" w:rsidR="004E0F2E" w:rsidRDefault="004E0F2E" w:rsidP="004E0F2E">
      <w:pPr>
        <w:pStyle w:val="Tekstpodstawowy"/>
        <w:numPr>
          <w:ilvl w:val="0"/>
          <w:numId w:val="16"/>
        </w:numPr>
        <w:jc w:val="both"/>
        <w:rPr>
          <w:lang w:eastAsia="en-US"/>
        </w:rPr>
      </w:pPr>
      <w:bookmarkStart w:id="0" w:name="_Hlk60830164"/>
      <w:r w:rsidRPr="003A45A4">
        <w:rPr>
          <w:lang w:eastAsia="en-US"/>
        </w:rPr>
        <w:t xml:space="preserve">the </w:t>
      </w:r>
      <w:r>
        <w:rPr>
          <w:b/>
          <w:lang w:eastAsia="en-US"/>
        </w:rPr>
        <w:t>incompatibility</w:t>
      </w:r>
      <w:r w:rsidRPr="004D3354">
        <w:rPr>
          <w:b/>
          <w:lang w:eastAsia="en-US"/>
        </w:rPr>
        <w:t xml:space="preserve"> of any aid to small hydropower plants</w:t>
      </w:r>
      <w:r w:rsidR="00C20496">
        <w:rPr>
          <w:b/>
          <w:lang w:eastAsia="en-US"/>
        </w:rPr>
        <w:t>,</w:t>
      </w:r>
      <w:r w:rsidRPr="003A45A4">
        <w:rPr>
          <w:lang w:eastAsia="en-US"/>
        </w:rPr>
        <w:t xml:space="preserve"> since their contribution to the decarbonisation objective is too small compared to the damages they </w:t>
      </w:r>
      <w:r w:rsidR="00C20496">
        <w:rPr>
          <w:lang w:eastAsia="en-US"/>
        </w:rPr>
        <w:t>inflict</w:t>
      </w:r>
      <w:r w:rsidR="00C20496" w:rsidRPr="003A45A4">
        <w:rPr>
          <w:lang w:eastAsia="en-US"/>
        </w:rPr>
        <w:t xml:space="preserve"> </w:t>
      </w:r>
      <w:r w:rsidRPr="003A45A4">
        <w:rPr>
          <w:lang w:eastAsia="en-US"/>
        </w:rPr>
        <w:t xml:space="preserve">on </w:t>
      </w:r>
      <w:r w:rsidR="00C20496">
        <w:rPr>
          <w:lang w:eastAsia="en-US"/>
        </w:rPr>
        <w:t xml:space="preserve">people and </w:t>
      </w:r>
      <w:r w:rsidRPr="003A45A4">
        <w:rPr>
          <w:lang w:eastAsia="en-US"/>
        </w:rPr>
        <w:t>the environment</w:t>
      </w:r>
      <w:r>
        <w:rPr>
          <w:rStyle w:val="Odwoanieprzypisudolnego"/>
          <w:lang w:eastAsia="en-US"/>
        </w:rPr>
        <w:footnoteReference w:id="4"/>
      </w:r>
      <w:r w:rsidRPr="003A45A4">
        <w:rPr>
          <w:lang w:eastAsia="en-US"/>
        </w:rPr>
        <w:t xml:space="preserve">; </w:t>
      </w:r>
    </w:p>
    <w:p w14:paraId="19D0A2F6" w14:textId="0EFB5C1E" w:rsidR="00D50ACB" w:rsidRDefault="00D50ACB" w:rsidP="004E0F2E">
      <w:pPr>
        <w:pStyle w:val="Tekstpodstawowy"/>
        <w:numPr>
          <w:ilvl w:val="0"/>
          <w:numId w:val="16"/>
        </w:numPr>
        <w:jc w:val="both"/>
        <w:rPr>
          <w:lang w:eastAsia="en-US"/>
        </w:rPr>
      </w:pPr>
      <w:r w:rsidRPr="003A45A4">
        <w:rPr>
          <w:lang w:eastAsia="en-US"/>
        </w:rPr>
        <w:t xml:space="preserve">the </w:t>
      </w:r>
      <w:r w:rsidRPr="004D3354">
        <w:rPr>
          <w:b/>
          <w:lang w:eastAsia="en-US"/>
        </w:rPr>
        <w:t>mandatory compliance of hydropower plants</w:t>
      </w:r>
      <w:r w:rsidRPr="003A45A4">
        <w:rPr>
          <w:lang w:eastAsia="en-US"/>
        </w:rPr>
        <w:t xml:space="preserve"> with </w:t>
      </w:r>
      <w:r>
        <w:rPr>
          <w:lang w:eastAsia="en-US"/>
        </w:rPr>
        <w:t xml:space="preserve">all </w:t>
      </w:r>
      <w:r w:rsidRPr="003A45A4">
        <w:rPr>
          <w:lang w:eastAsia="en-US"/>
        </w:rPr>
        <w:t xml:space="preserve">relevant environmental standards and provisions </w:t>
      </w:r>
      <w:r w:rsidR="00A125ED">
        <w:rPr>
          <w:lang w:eastAsia="en-US"/>
        </w:rPr>
        <w:t xml:space="preserve">conjunct with </w:t>
      </w:r>
      <w:r w:rsidR="00B65943">
        <w:rPr>
          <w:lang w:eastAsia="en-US"/>
        </w:rPr>
        <w:t xml:space="preserve">the </w:t>
      </w:r>
      <w:r w:rsidRPr="00302146">
        <w:rPr>
          <w:rFonts w:eastAsia="Times New Roman" w:cstheme="minorHAnsi"/>
          <w:b/>
          <w:bCs/>
        </w:rPr>
        <w:t xml:space="preserve">absence of derogations under Article 4(7) of </w:t>
      </w:r>
      <w:r w:rsidR="00B65943">
        <w:rPr>
          <w:rFonts w:eastAsia="Times New Roman" w:cstheme="minorHAnsi"/>
          <w:b/>
          <w:bCs/>
        </w:rPr>
        <w:t xml:space="preserve">the </w:t>
      </w:r>
      <w:r w:rsidRPr="00302146">
        <w:rPr>
          <w:rFonts w:eastAsia="Times New Roman" w:cstheme="minorHAnsi"/>
          <w:b/>
          <w:bCs/>
        </w:rPr>
        <w:t xml:space="preserve">Water Framework Directive </w:t>
      </w:r>
      <w:r>
        <w:rPr>
          <w:rFonts w:eastAsia="Times New Roman" w:cstheme="minorHAnsi"/>
          <w:b/>
          <w:bCs/>
        </w:rPr>
        <w:t>and</w:t>
      </w:r>
      <w:r w:rsidRPr="00302146">
        <w:rPr>
          <w:rFonts w:eastAsia="Times New Roman" w:cstheme="minorHAnsi"/>
          <w:b/>
          <w:bCs/>
        </w:rPr>
        <w:t xml:space="preserve"> Article </w:t>
      </w:r>
      <w:r w:rsidRPr="00302146">
        <w:rPr>
          <w:b/>
          <w:bCs/>
        </w:rPr>
        <w:t xml:space="preserve">6(4) of </w:t>
      </w:r>
      <w:r w:rsidR="00B65943">
        <w:rPr>
          <w:b/>
          <w:bCs/>
        </w:rPr>
        <w:t xml:space="preserve">the </w:t>
      </w:r>
      <w:r w:rsidRPr="00302146">
        <w:rPr>
          <w:b/>
          <w:bCs/>
        </w:rPr>
        <w:t>Habitats Directive</w:t>
      </w:r>
      <w:r>
        <w:rPr>
          <w:b/>
          <w:bCs/>
        </w:rPr>
        <w:t>.</w:t>
      </w:r>
    </w:p>
    <w:bookmarkEnd w:id="0"/>
    <w:p w14:paraId="42269F67" w14:textId="77777777" w:rsidR="004E0F2E" w:rsidRPr="006F323B" w:rsidRDefault="004E0F2E" w:rsidP="004E0F2E">
      <w:pPr>
        <w:spacing w:after="0" w:line="240" w:lineRule="auto"/>
        <w:rPr>
          <w:rFonts w:eastAsia="Times New Roman" w:cstheme="minorHAnsi"/>
          <w:b/>
          <w:bCs/>
          <w:lang w:eastAsia="en-GB"/>
        </w:rPr>
      </w:pPr>
    </w:p>
    <w:p w14:paraId="72CACDE0" w14:textId="43AC5044" w:rsidR="00D50ACB" w:rsidRPr="004E0F2E" w:rsidRDefault="00D50ACB" w:rsidP="00D50ACB">
      <w:pPr>
        <w:pStyle w:val="Akapitzlist"/>
        <w:numPr>
          <w:ilvl w:val="0"/>
          <w:numId w:val="15"/>
        </w:numPr>
        <w:rPr>
          <w:rFonts w:ascii="Calibri" w:eastAsia="Calibri" w:hAnsi="Calibri" w:cs="Calibri"/>
          <w:b/>
          <w:bCs/>
        </w:rPr>
      </w:pPr>
      <w:r w:rsidRPr="00D50ACB">
        <w:rPr>
          <w:b/>
          <w:bCs/>
        </w:rPr>
        <w:t>Biomass</w:t>
      </w:r>
    </w:p>
    <w:p w14:paraId="33933C7B" w14:textId="7A356E97" w:rsidR="00D50ACB" w:rsidRDefault="00D50ACB" w:rsidP="00D50ACB">
      <w:pPr>
        <w:pStyle w:val="Tekstpodstawowy"/>
        <w:jc w:val="both"/>
        <w:rPr>
          <w:rFonts w:ascii="Calibri" w:eastAsia="Calibri" w:hAnsi="Calibri" w:cs="Calibri"/>
        </w:rPr>
      </w:pPr>
      <w:r>
        <w:rPr>
          <w:rFonts w:ascii="Calibri" w:eastAsia="Calibri" w:hAnsi="Calibri" w:cs="Calibri"/>
        </w:rPr>
        <w:t>Under the current EEAG, biomass can benefit from the same aid as any other renewable energy, but in addition, Member States can also provide operating aid for existing biomass plants after their depreciation. However</w:t>
      </w:r>
      <w:r w:rsidR="00B65943">
        <w:rPr>
          <w:rFonts w:ascii="Calibri" w:eastAsia="Calibri" w:hAnsi="Calibri" w:cs="Calibri"/>
        </w:rPr>
        <w:t>,</w:t>
      </w:r>
      <w:r>
        <w:rPr>
          <w:rFonts w:ascii="Calibri" w:eastAsia="Calibri" w:hAnsi="Calibri" w:cs="Calibri"/>
        </w:rPr>
        <w:t xml:space="preserve"> there is increasing evidence that biomass is receiving overly favourable treatment considering its environmental impact, which includes air pollution, deforestation and greenhouse gas emissions.</w:t>
      </w:r>
      <w:r w:rsidRPr="00D50ACB">
        <w:rPr>
          <w:rFonts w:ascii="Calibri" w:eastAsia="Calibri" w:hAnsi="Calibri" w:cs="Calibri"/>
        </w:rPr>
        <w:t xml:space="preserve"> </w:t>
      </w:r>
    </w:p>
    <w:p w14:paraId="6948FEE3" w14:textId="50AA4D6A" w:rsidR="00D50ACB" w:rsidRDefault="00D50ACB" w:rsidP="00D50ACB">
      <w:pPr>
        <w:pStyle w:val="Tekstpodstawowy"/>
        <w:jc w:val="both"/>
        <w:rPr>
          <w:rFonts w:ascii="Calibri" w:eastAsia="Calibri" w:hAnsi="Calibri" w:cs="Calibri"/>
        </w:rPr>
      </w:pPr>
      <w:r>
        <w:rPr>
          <w:rFonts w:ascii="Calibri" w:eastAsia="Calibri" w:hAnsi="Calibri" w:cs="Calibri"/>
        </w:rPr>
        <w:t xml:space="preserve">Central and Eastern European (CEE) countries overall plan logging and the use of biomass above sustainable levels. Estonia cuts down 30% more forests than </w:t>
      </w:r>
      <w:r w:rsidR="00B65943">
        <w:rPr>
          <w:rFonts w:ascii="Calibri" w:eastAsia="Calibri" w:hAnsi="Calibri" w:cs="Calibri"/>
        </w:rPr>
        <w:t xml:space="preserve">which </w:t>
      </w:r>
      <w:r>
        <w:rPr>
          <w:rFonts w:ascii="Calibri" w:eastAsia="Calibri" w:hAnsi="Calibri" w:cs="Calibri"/>
        </w:rPr>
        <w:t>grow back for biomass use, while in Bulgaria 40% of households are inefficiently using wood for heating. In Czech</w:t>
      </w:r>
      <w:r w:rsidR="00B65943">
        <w:rPr>
          <w:rFonts w:ascii="Calibri" w:eastAsia="Calibri" w:hAnsi="Calibri" w:cs="Calibri"/>
        </w:rPr>
        <w:t xml:space="preserve"> Republic</w:t>
      </w:r>
      <w:r>
        <w:rPr>
          <w:rFonts w:ascii="Calibri" w:eastAsia="Calibri" w:hAnsi="Calibri" w:cs="Calibri"/>
        </w:rPr>
        <w:t xml:space="preserve"> and Poland, projected increase of biomass use will lead to imports of wood, and in Slovakia logging grew by at least 75 per cent from 1990 to 2015.</w:t>
      </w:r>
      <w:r>
        <w:rPr>
          <w:rStyle w:val="Odwoanieprzypisudolnego"/>
          <w:rFonts w:ascii="Calibri" w:eastAsia="Calibri" w:hAnsi="Calibri" w:cs="Calibri"/>
        </w:rPr>
        <w:footnoteReference w:id="5"/>
      </w:r>
      <w:r w:rsidRPr="00D50ACB">
        <w:rPr>
          <w:rFonts w:ascii="Calibri" w:eastAsia="Calibri" w:hAnsi="Calibri" w:cs="Calibri"/>
        </w:rPr>
        <w:t xml:space="preserve"> </w:t>
      </w:r>
      <w:r>
        <w:rPr>
          <w:rFonts w:ascii="Calibri" w:eastAsia="Calibri" w:hAnsi="Calibri" w:cs="Calibri"/>
        </w:rPr>
        <w:t>This means both an increase in CO</w:t>
      </w:r>
      <w:r>
        <w:rPr>
          <w:rFonts w:ascii="Calibri" w:eastAsia="Calibri" w:hAnsi="Calibri" w:cs="Calibri"/>
          <w:vertAlign w:val="subscript"/>
        </w:rPr>
        <w:t>2</w:t>
      </w:r>
      <w:r>
        <w:rPr>
          <w:rFonts w:ascii="Calibri" w:eastAsia="Calibri" w:hAnsi="Calibri" w:cs="Calibri"/>
        </w:rPr>
        <w:t xml:space="preserve"> emissions from biomass, and a decline in CO</w:t>
      </w:r>
      <w:r>
        <w:rPr>
          <w:rFonts w:ascii="Calibri" w:eastAsia="Calibri" w:hAnsi="Calibri" w:cs="Calibri"/>
          <w:vertAlign w:val="subscript"/>
        </w:rPr>
        <w:t>2</w:t>
      </w:r>
      <w:r>
        <w:rPr>
          <w:rFonts w:ascii="Calibri" w:eastAsia="Calibri" w:hAnsi="Calibri" w:cs="Calibri"/>
        </w:rPr>
        <w:t xml:space="preserve"> storage by forests.</w:t>
      </w:r>
      <w:r w:rsidR="00DB1257" w:rsidRPr="00DB1257">
        <w:rPr>
          <w:rFonts w:ascii="Calibri" w:eastAsia="Calibri" w:hAnsi="Calibri" w:cs="Calibri"/>
        </w:rPr>
        <w:t xml:space="preserve"> </w:t>
      </w:r>
      <w:r w:rsidR="00DB1257">
        <w:rPr>
          <w:rFonts w:ascii="Calibri" w:eastAsia="Calibri" w:hAnsi="Calibri" w:cs="Calibri"/>
        </w:rPr>
        <w:t>Moreover, even in cases where forest is regenerated, there are significant uncertainties about greenhouse gas emissions from biomass combustion and the long period between cutting and regeneration.</w:t>
      </w:r>
    </w:p>
    <w:p w14:paraId="502C738A" w14:textId="77777777" w:rsidR="00DB1257" w:rsidRDefault="00DB1257" w:rsidP="00DB1257">
      <w:pPr>
        <w:pStyle w:val="Tekstpodstawowy"/>
        <w:jc w:val="both"/>
        <w:rPr>
          <w:lang w:eastAsia="en-US"/>
        </w:rPr>
      </w:pPr>
      <w:r w:rsidRPr="003A45A4">
        <w:rPr>
          <w:lang w:eastAsia="en-US"/>
        </w:rPr>
        <w:t xml:space="preserve">Hence, we recommend: </w:t>
      </w:r>
    </w:p>
    <w:p w14:paraId="54595856" w14:textId="3068B2E0" w:rsidR="00DB1257" w:rsidRDefault="00DB1257" w:rsidP="00DB1257">
      <w:pPr>
        <w:pStyle w:val="Tekstpodstawowy"/>
        <w:numPr>
          <w:ilvl w:val="0"/>
          <w:numId w:val="16"/>
        </w:numPr>
        <w:jc w:val="both"/>
        <w:rPr>
          <w:lang w:eastAsia="en-US"/>
        </w:rPr>
      </w:pPr>
      <w:bookmarkStart w:id="1" w:name="_Hlk60830189"/>
      <w:r w:rsidRPr="003A45A4">
        <w:rPr>
          <w:lang w:eastAsia="en-US"/>
        </w:rPr>
        <w:t xml:space="preserve">the </w:t>
      </w:r>
      <w:r>
        <w:rPr>
          <w:b/>
          <w:lang w:eastAsia="en-US"/>
        </w:rPr>
        <w:t>incompatibility</w:t>
      </w:r>
      <w:r w:rsidRPr="004D3354">
        <w:rPr>
          <w:b/>
          <w:lang w:eastAsia="en-US"/>
        </w:rPr>
        <w:t xml:space="preserve"> of any aid to </w:t>
      </w:r>
      <w:r>
        <w:rPr>
          <w:b/>
          <w:lang w:eastAsia="en-US"/>
        </w:rPr>
        <w:t>forest biomass</w:t>
      </w:r>
      <w:r w:rsidR="001552F1">
        <w:rPr>
          <w:b/>
          <w:lang w:eastAsia="en-US"/>
        </w:rPr>
        <w:t xml:space="preserve"> </w:t>
      </w:r>
      <w:r w:rsidR="00B65943">
        <w:rPr>
          <w:lang w:eastAsia="en-US"/>
        </w:rPr>
        <w:t>given</w:t>
      </w:r>
      <w:r w:rsidRPr="003A45A4">
        <w:rPr>
          <w:lang w:eastAsia="en-US"/>
        </w:rPr>
        <w:t xml:space="preserve"> </w:t>
      </w:r>
      <w:r>
        <w:rPr>
          <w:lang w:eastAsia="en-US"/>
        </w:rPr>
        <w:t>its</w:t>
      </w:r>
      <w:r w:rsidRPr="003A45A4">
        <w:rPr>
          <w:lang w:eastAsia="en-US"/>
        </w:rPr>
        <w:t xml:space="preserve"> </w:t>
      </w:r>
      <w:r w:rsidR="00B65943">
        <w:rPr>
          <w:lang w:eastAsia="en-US"/>
        </w:rPr>
        <w:t xml:space="preserve">significant negative </w:t>
      </w:r>
      <w:r>
        <w:rPr>
          <w:rFonts w:ascii="Calibri" w:eastAsia="Calibri" w:hAnsi="Calibri" w:cs="Calibri"/>
        </w:rPr>
        <w:t>environmental impact</w:t>
      </w:r>
      <w:r w:rsidR="00B65943">
        <w:rPr>
          <w:rFonts w:ascii="Calibri" w:eastAsia="Calibri" w:hAnsi="Calibri" w:cs="Calibri"/>
        </w:rPr>
        <w:t>s</w:t>
      </w:r>
      <w:r>
        <w:rPr>
          <w:rFonts w:ascii="Calibri" w:eastAsia="Calibri" w:hAnsi="Calibri" w:cs="Calibri"/>
        </w:rPr>
        <w:t>, which include air pollution, deforestation and greenhouse gas emissions.</w:t>
      </w:r>
      <w:r w:rsidRPr="003A45A4">
        <w:rPr>
          <w:lang w:eastAsia="en-US"/>
        </w:rPr>
        <w:t xml:space="preserve"> </w:t>
      </w:r>
    </w:p>
    <w:p w14:paraId="6F16CC67" w14:textId="42448A9E" w:rsidR="001552F1" w:rsidRDefault="001552F1" w:rsidP="001552F1">
      <w:pPr>
        <w:pStyle w:val="Akapitzlist"/>
        <w:numPr>
          <w:ilvl w:val="0"/>
          <w:numId w:val="16"/>
        </w:numPr>
      </w:pPr>
      <w:r>
        <w:t xml:space="preserve">the revised guidelines should explicitly recognize that different types of biomass have differing impacts on net greenhouse gas emissions, and that harvesting biomass directly from forests can impact forest ecosystems. </w:t>
      </w:r>
    </w:p>
    <w:p w14:paraId="225E9949" w14:textId="77777777" w:rsidR="0037704D" w:rsidRDefault="0037704D" w:rsidP="0037704D">
      <w:pPr>
        <w:pStyle w:val="Akapitzlist"/>
        <w:numPr>
          <w:ilvl w:val="0"/>
          <w:numId w:val="16"/>
        </w:numPr>
      </w:pPr>
      <w:r>
        <w:t xml:space="preserve">the state aid requirement should at a minimum assess full net </w:t>
      </w:r>
      <w:r w:rsidRPr="006B7A2C">
        <w:t>CO</w:t>
      </w:r>
      <w:r w:rsidRPr="0037704D">
        <w:rPr>
          <w:vertAlign w:val="subscript"/>
        </w:rPr>
        <w:t>2</w:t>
      </w:r>
      <w:r>
        <w:t xml:space="preserve"> and other pollutant emissions from projects, and employ full biogenic carbon accounting as appropriate, to show the net GHG impact of projects over timeframes relevant to meeting EU targets for emissions reductions. </w:t>
      </w:r>
    </w:p>
    <w:p w14:paraId="5AC8268E" w14:textId="28A95CF3" w:rsidR="001552F1" w:rsidRDefault="0037704D" w:rsidP="0037704D">
      <w:pPr>
        <w:pStyle w:val="Tekstpodstawowy"/>
        <w:numPr>
          <w:ilvl w:val="0"/>
          <w:numId w:val="16"/>
        </w:numPr>
        <w:jc w:val="both"/>
        <w:rPr>
          <w:lang w:eastAsia="en-US"/>
        </w:rPr>
      </w:pPr>
      <w:r>
        <w:rPr>
          <w:lang w:eastAsia="en-US"/>
        </w:rPr>
        <w:lastRenderedPageBreak/>
        <w:t>s</w:t>
      </w:r>
      <w:r w:rsidRPr="0037704D">
        <w:rPr>
          <w:lang w:eastAsia="en-US"/>
        </w:rPr>
        <w:t xml:space="preserve">ince air pollution and significant net CO2 emissions from burning forest biomass are inevitable, the simplest resolution is to eliminate subsidies for this activity. That does not mean that wood-burning would cease, since even without subsidies, residential wood-burning would persist, and many facilities would likely continue to burn certain residues and wastes even if they did not receive state aid.  But removal of eligibility for state aid would eliminate the problem of how to negotiate and reconcile the so-called “benefits” of bioenergy (which are based on faulty carbon accounting) with the multiple ways that burning biomass undermines environmental goals.  </w:t>
      </w:r>
    </w:p>
    <w:p w14:paraId="485B3B88" w14:textId="771E1F63" w:rsidR="0037704D" w:rsidRDefault="0037704D" w:rsidP="0037704D">
      <w:pPr>
        <w:pStyle w:val="Tekstpodstawowy"/>
        <w:numPr>
          <w:ilvl w:val="0"/>
          <w:numId w:val="16"/>
        </w:numPr>
        <w:jc w:val="both"/>
        <w:rPr>
          <w:lang w:eastAsia="en-US"/>
        </w:rPr>
      </w:pPr>
      <w:r w:rsidRPr="0037704D">
        <w:rPr>
          <w:lang w:eastAsia="en-US"/>
        </w:rPr>
        <w:t xml:space="preserve">One difficulty is that it’s actually the RED II and not the guidelines on state aid that renders biomass eligible for state aid. Thus, to fully eliminate eligibility of forest biomass (or any biomass) for state aid </w:t>
      </w:r>
      <w:r>
        <w:rPr>
          <w:lang w:eastAsia="en-US"/>
        </w:rPr>
        <w:t xml:space="preserve">we recommend </w:t>
      </w:r>
      <w:r w:rsidRPr="0037704D">
        <w:rPr>
          <w:lang w:eastAsia="en-US"/>
        </w:rPr>
        <w:t>reforming the RED.</w:t>
      </w:r>
    </w:p>
    <w:bookmarkEnd w:id="1"/>
    <w:p w14:paraId="18862503" w14:textId="77777777" w:rsidR="00D50ACB" w:rsidRDefault="00D50ACB" w:rsidP="00D50ACB">
      <w:pPr>
        <w:pStyle w:val="Tekstpodstawowy"/>
        <w:jc w:val="both"/>
        <w:rPr>
          <w:lang w:eastAsia="en-US"/>
        </w:rPr>
      </w:pPr>
    </w:p>
    <w:sectPr w:rsidR="00D50A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439F3" w14:textId="77777777" w:rsidR="002432B5" w:rsidRDefault="002432B5" w:rsidP="006C1897">
      <w:pPr>
        <w:spacing w:after="0" w:line="240" w:lineRule="auto"/>
      </w:pPr>
      <w:r>
        <w:separator/>
      </w:r>
    </w:p>
  </w:endnote>
  <w:endnote w:type="continuationSeparator" w:id="0">
    <w:p w14:paraId="000D4A3B" w14:textId="77777777" w:rsidR="002432B5" w:rsidRDefault="002432B5" w:rsidP="006C1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6BE61" w14:textId="77777777" w:rsidR="002432B5" w:rsidRDefault="002432B5" w:rsidP="006C1897">
      <w:pPr>
        <w:spacing w:after="0" w:line="240" w:lineRule="auto"/>
      </w:pPr>
      <w:r>
        <w:separator/>
      </w:r>
    </w:p>
  </w:footnote>
  <w:footnote w:type="continuationSeparator" w:id="0">
    <w:p w14:paraId="5F4B13F1" w14:textId="77777777" w:rsidR="002432B5" w:rsidRDefault="002432B5" w:rsidP="006C1897">
      <w:pPr>
        <w:spacing w:after="0" w:line="240" w:lineRule="auto"/>
      </w:pPr>
      <w:r>
        <w:continuationSeparator/>
      </w:r>
    </w:p>
  </w:footnote>
  <w:footnote w:id="1">
    <w:p w14:paraId="657BEA8A" w14:textId="77777777" w:rsidR="004E0F2E" w:rsidRPr="00D50ACB" w:rsidRDefault="004E0F2E" w:rsidP="00D50ACB">
      <w:pPr>
        <w:pStyle w:val="Tekstprzypisudolnego"/>
        <w:jc w:val="both"/>
        <w:rPr>
          <w:rFonts w:asciiTheme="minorHAnsi" w:hAnsiTheme="minorHAnsi" w:cstheme="minorHAnsi"/>
        </w:rPr>
      </w:pPr>
      <w:r>
        <w:rPr>
          <w:rStyle w:val="Odwoanieprzypisudolnego"/>
          <w:rFonts w:asciiTheme="majorHAnsi" w:hAnsiTheme="majorHAnsi" w:cstheme="majorHAnsi"/>
        </w:rPr>
        <w:footnoteRef/>
      </w:r>
      <w:r>
        <w:rPr>
          <w:rFonts w:asciiTheme="majorHAnsi" w:hAnsiTheme="majorHAnsi" w:cstheme="majorHAnsi"/>
        </w:rPr>
        <w:t xml:space="preserve"> </w:t>
      </w:r>
      <w:r w:rsidRPr="00D50ACB">
        <w:rPr>
          <w:rFonts w:asciiTheme="minorHAnsi" w:hAnsiTheme="minorHAnsi" w:cstheme="minorHAnsi"/>
        </w:rPr>
        <w:t>Due to river fragmentation, severe modiﬁcation of river ﬂow and temperature regimes, and dramatic reductions in sediment transport.</w:t>
      </w:r>
    </w:p>
  </w:footnote>
  <w:footnote w:id="2">
    <w:p w14:paraId="5DE1A8B1" w14:textId="77777777" w:rsidR="004E0F2E" w:rsidRPr="00D50ACB" w:rsidRDefault="004E0F2E" w:rsidP="00D50ACB">
      <w:pPr>
        <w:pStyle w:val="Tekstpodstawowy"/>
        <w:spacing w:after="0"/>
        <w:jc w:val="both"/>
        <w:rPr>
          <w:rFonts w:cstheme="minorHAnsi"/>
          <w:sz w:val="20"/>
          <w:szCs w:val="20"/>
        </w:rPr>
      </w:pPr>
      <w:r w:rsidRPr="00D50ACB">
        <w:rPr>
          <w:rStyle w:val="Odwoanieprzypisudolnego"/>
          <w:rFonts w:cstheme="minorHAnsi"/>
          <w:sz w:val="20"/>
          <w:szCs w:val="20"/>
        </w:rPr>
        <w:footnoteRef/>
      </w:r>
      <w:r w:rsidRPr="00D50ACB">
        <w:rPr>
          <w:rFonts w:cstheme="minorHAnsi"/>
          <w:sz w:val="20"/>
          <w:szCs w:val="20"/>
        </w:rPr>
        <w:t xml:space="preserve">For instance, small plants are usually derivation-type plants, involving rivers and streams being dammed and put into pipes to increase the water velocity and therefore the efficiency of the plant. However, this can severely impact access to and quality of water for local people in remote areas, whilst deforestation for the construction of access roads and pipelines can lead to erosions and impact access to land and disrupt kilometres after kilometres of river banks. These are only examples of negative effects. See also for a detailed analysis, </w:t>
      </w:r>
      <w:hyperlink r:id="rId1" w:history="1">
        <w:r w:rsidRPr="00D50ACB">
          <w:rPr>
            <w:rStyle w:val="Hipercze"/>
            <w:rFonts w:cstheme="minorHAnsi"/>
            <w:sz w:val="20"/>
            <w:szCs w:val="20"/>
          </w:rPr>
          <w:t>Policy Guidelines by the Energy Community Secretariat on small hydropower projects in the Energy Community</w:t>
        </w:r>
      </w:hyperlink>
      <w:r w:rsidRPr="00D50ACB">
        <w:rPr>
          <w:rFonts w:cstheme="minorHAnsi"/>
          <w:sz w:val="20"/>
          <w:szCs w:val="20"/>
        </w:rPr>
        <w:t xml:space="preserve"> PG 02/2020 / 17 September 2020</w:t>
      </w:r>
    </w:p>
  </w:footnote>
  <w:footnote w:id="3">
    <w:p w14:paraId="3511721B" w14:textId="77777777" w:rsidR="004E0F2E" w:rsidRPr="00D50ACB" w:rsidRDefault="004E0F2E" w:rsidP="00D50ACB">
      <w:pPr>
        <w:spacing w:after="0"/>
        <w:rPr>
          <w:rFonts w:cstheme="minorHAnsi"/>
          <w:sz w:val="20"/>
          <w:szCs w:val="20"/>
        </w:rPr>
      </w:pPr>
      <w:r w:rsidRPr="00D50ACB">
        <w:rPr>
          <w:rStyle w:val="Odwoanieprzypisudolnego"/>
          <w:rFonts w:cstheme="minorHAnsi"/>
          <w:sz w:val="20"/>
          <w:szCs w:val="20"/>
        </w:rPr>
        <w:footnoteRef/>
      </w:r>
      <w:r w:rsidRPr="00D50ACB">
        <w:rPr>
          <w:rFonts w:cstheme="minorHAnsi"/>
          <w:sz w:val="20"/>
          <w:szCs w:val="20"/>
        </w:rPr>
        <w:t xml:space="preserve"> </w:t>
      </w:r>
      <w:hyperlink r:id="rId2" w:history="1">
        <w:r w:rsidRPr="00D50ACB">
          <w:rPr>
            <w:rStyle w:val="Hipercze"/>
            <w:rFonts w:cstheme="minorHAnsi"/>
            <w:bCs/>
            <w:sz w:val="20"/>
            <w:szCs w:val="20"/>
            <w:shd w:val="clear" w:color="auto" w:fill="FFFFFF"/>
          </w:rPr>
          <w:t>Technical annex to the TEG final report on the EU taxonomy</w:t>
        </w:r>
      </w:hyperlink>
      <w:r w:rsidRPr="00D50ACB">
        <w:rPr>
          <w:rFonts w:cstheme="minorHAnsi"/>
          <w:bCs/>
          <w:sz w:val="20"/>
          <w:szCs w:val="20"/>
          <w:shd w:val="clear" w:color="auto" w:fill="FFFFFF"/>
        </w:rPr>
        <w:t>, p. 465</w:t>
      </w:r>
    </w:p>
  </w:footnote>
  <w:footnote w:id="4">
    <w:p w14:paraId="79534D8C" w14:textId="77777777" w:rsidR="004E0F2E" w:rsidRPr="00292A8D" w:rsidRDefault="004E0F2E" w:rsidP="00D50ACB">
      <w:pPr>
        <w:pStyle w:val="Tekstprzypisudolnego"/>
      </w:pPr>
      <w:r w:rsidRPr="00D50ACB">
        <w:rPr>
          <w:rStyle w:val="Odwoanieprzypisudolnego"/>
          <w:rFonts w:asciiTheme="minorHAnsi" w:hAnsiTheme="minorHAnsi" w:cstheme="minorHAnsi"/>
        </w:rPr>
        <w:footnoteRef/>
      </w:r>
      <w:r w:rsidRPr="00D50ACB">
        <w:rPr>
          <w:rFonts w:asciiTheme="minorHAnsi" w:hAnsiTheme="minorHAnsi" w:cstheme="minorHAnsi"/>
        </w:rPr>
        <w:t xml:space="preserve"> Some Energy Community countries such as Bosnia and Herzegovina will cease granting feed-in tariffs as of January 2021, and Montenegro is planning to reassess concessions and aid support for small hydropower projects for these reasons. See </w:t>
      </w:r>
      <w:hyperlink r:id="rId3" w:history="1">
        <w:r w:rsidRPr="00D50ACB">
          <w:rPr>
            <w:rStyle w:val="Hipercze"/>
            <w:rFonts w:asciiTheme="minorHAnsi" w:hAnsiTheme="minorHAnsi" w:cstheme="minorHAnsi"/>
          </w:rPr>
          <w:t>https://balkangreenenergynews.com/federation-of-bih-to-scrap-feed-in-tariffs-for-small-hydropower-plants-from-2021/</w:t>
        </w:r>
      </w:hyperlink>
      <w:r w:rsidRPr="00D50ACB">
        <w:rPr>
          <w:rFonts w:asciiTheme="minorHAnsi" w:hAnsiTheme="minorHAnsi" w:cstheme="minorHAnsi"/>
        </w:rPr>
        <w:t xml:space="preserve"> and </w:t>
      </w:r>
      <w:hyperlink r:id="rId4" w:history="1">
        <w:r w:rsidRPr="00D50ACB">
          <w:rPr>
            <w:rStyle w:val="Hipercze"/>
            <w:rFonts w:asciiTheme="minorHAnsi" w:hAnsiTheme="minorHAnsi" w:cstheme="minorHAnsi"/>
          </w:rPr>
          <w:t>https://balkangreenenergynews.com/montenegros-new-cabinet-to-ban-small-hydropower-revise-concessions/</w:t>
        </w:r>
      </w:hyperlink>
      <w:r>
        <w:t xml:space="preserve"> </w:t>
      </w:r>
    </w:p>
  </w:footnote>
  <w:footnote w:id="5">
    <w:p w14:paraId="2671387B" w14:textId="09097386" w:rsidR="00D50ACB" w:rsidRDefault="00D50ACB">
      <w:pPr>
        <w:pStyle w:val="Tekstprzypisudolnego"/>
      </w:pPr>
      <w:r>
        <w:rPr>
          <w:rStyle w:val="Odwoanieprzypisudolnego"/>
        </w:rPr>
        <w:footnoteRef/>
      </w:r>
      <w:r>
        <w:t xml:space="preserve"> See </w:t>
      </w:r>
      <w:hyperlink r:id="rId5" w:history="1">
        <w:r w:rsidRPr="00B07DD7">
          <w:rPr>
            <w:rStyle w:val="Hipercze"/>
          </w:rPr>
          <w:t>https://bankwatch.org/wp-content/uploads/2019/06/biomass3.pdf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61546"/>
    <w:multiLevelType w:val="hybridMultilevel"/>
    <w:tmpl w:val="8B1E7D96"/>
    <w:lvl w:ilvl="0" w:tplc="7CB6D48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05535C"/>
    <w:multiLevelType w:val="multilevel"/>
    <w:tmpl w:val="86D86E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D8D0DA3"/>
    <w:multiLevelType w:val="hybridMultilevel"/>
    <w:tmpl w:val="62AA73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6B5780"/>
    <w:multiLevelType w:val="hybridMultilevel"/>
    <w:tmpl w:val="9432EDB6"/>
    <w:lvl w:ilvl="0" w:tplc="4EE037D8">
      <w:start w:val="1"/>
      <w:numFmt w:val="bullet"/>
      <w:pStyle w:val="Bulletpoin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B2181C"/>
    <w:multiLevelType w:val="hybridMultilevel"/>
    <w:tmpl w:val="488817FA"/>
    <w:lvl w:ilvl="0" w:tplc="269C93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AF20FA"/>
    <w:multiLevelType w:val="hybridMultilevel"/>
    <w:tmpl w:val="AC9C6D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F23EB4"/>
    <w:multiLevelType w:val="hybridMultilevel"/>
    <w:tmpl w:val="D11E07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1D54BB"/>
    <w:multiLevelType w:val="hybridMultilevel"/>
    <w:tmpl w:val="C35A00A8"/>
    <w:lvl w:ilvl="0" w:tplc="080C000F">
      <w:start w:val="1"/>
      <w:numFmt w:val="decimal"/>
      <w:lvlText w:val="%1."/>
      <w:lvlJc w:val="left"/>
      <w:pPr>
        <w:ind w:left="360" w:hanging="360"/>
      </w:p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8" w15:restartNumberingAfterBreak="0">
    <w:nsid w:val="31EF686C"/>
    <w:multiLevelType w:val="multilevel"/>
    <w:tmpl w:val="85C8E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4D0590"/>
    <w:multiLevelType w:val="hybridMultilevel"/>
    <w:tmpl w:val="943EAE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D61FE1"/>
    <w:multiLevelType w:val="hybridMultilevel"/>
    <w:tmpl w:val="6798C1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4C3E88"/>
    <w:multiLevelType w:val="hybridMultilevel"/>
    <w:tmpl w:val="5FA47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39310C"/>
    <w:multiLevelType w:val="hybridMultilevel"/>
    <w:tmpl w:val="522240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4D96C70"/>
    <w:multiLevelType w:val="hybridMultilevel"/>
    <w:tmpl w:val="C06C90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59357F"/>
    <w:multiLevelType w:val="hybridMultilevel"/>
    <w:tmpl w:val="BA90DAE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3C0037C">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2361E6"/>
    <w:multiLevelType w:val="hybridMultilevel"/>
    <w:tmpl w:val="3EF0E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3"/>
  </w:num>
  <w:num w:numId="3">
    <w:abstractNumId w:val="4"/>
  </w:num>
  <w:num w:numId="4">
    <w:abstractNumId w:val="5"/>
  </w:num>
  <w:num w:numId="5">
    <w:abstractNumId w:val="6"/>
  </w:num>
  <w:num w:numId="6">
    <w:abstractNumId w:val="15"/>
  </w:num>
  <w:num w:numId="7">
    <w:abstractNumId w:val="8"/>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0"/>
  </w:num>
  <w:num w:numId="10">
    <w:abstractNumId w:val="13"/>
  </w:num>
  <w:num w:numId="11">
    <w:abstractNumId w:val="0"/>
  </w:num>
  <w:num w:numId="12">
    <w:abstractNumId w:val="2"/>
  </w:num>
  <w:num w:numId="13">
    <w:abstractNumId w:val="1"/>
  </w:num>
  <w:num w:numId="14">
    <w:abstractNumId w:val="14"/>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897"/>
    <w:rsid w:val="0003446B"/>
    <w:rsid w:val="0011623D"/>
    <w:rsid w:val="0011687F"/>
    <w:rsid w:val="001379FA"/>
    <w:rsid w:val="001552F1"/>
    <w:rsid w:val="0016582B"/>
    <w:rsid w:val="001D48D1"/>
    <w:rsid w:val="002432B5"/>
    <w:rsid w:val="00274B90"/>
    <w:rsid w:val="00287391"/>
    <w:rsid w:val="002B1CC2"/>
    <w:rsid w:val="00302146"/>
    <w:rsid w:val="0037704D"/>
    <w:rsid w:val="00377F4B"/>
    <w:rsid w:val="0038459B"/>
    <w:rsid w:val="00392AB4"/>
    <w:rsid w:val="003B61D1"/>
    <w:rsid w:val="003C04CA"/>
    <w:rsid w:val="004453D8"/>
    <w:rsid w:val="00491BE8"/>
    <w:rsid w:val="004E0F2E"/>
    <w:rsid w:val="004F5524"/>
    <w:rsid w:val="005065ED"/>
    <w:rsid w:val="005B20B2"/>
    <w:rsid w:val="005D410B"/>
    <w:rsid w:val="0062458E"/>
    <w:rsid w:val="00626032"/>
    <w:rsid w:val="006C1897"/>
    <w:rsid w:val="006D185E"/>
    <w:rsid w:val="006F323B"/>
    <w:rsid w:val="007101AE"/>
    <w:rsid w:val="00711CD3"/>
    <w:rsid w:val="00792354"/>
    <w:rsid w:val="0082715F"/>
    <w:rsid w:val="009009EA"/>
    <w:rsid w:val="0091315D"/>
    <w:rsid w:val="00932411"/>
    <w:rsid w:val="009C3303"/>
    <w:rsid w:val="00A125ED"/>
    <w:rsid w:val="00B02461"/>
    <w:rsid w:val="00B13DB5"/>
    <w:rsid w:val="00B412D2"/>
    <w:rsid w:val="00B65943"/>
    <w:rsid w:val="00B85811"/>
    <w:rsid w:val="00B86E32"/>
    <w:rsid w:val="00BD02AC"/>
    <w:rsid w:val="00C02FFE"/>
    <w:rsid w:val="00C20496"/>
    <w:rsid w:val="00C54FEA"/>
    <w:rsid w:val="00D11030"/>
    <w:rsid w:val="00D42D37"/>
    <w:rsid w:val="00D50ACB"/>
    <w:rsid w:val="00D91EA4"/>
    <w:rsid w:val="00D92DC1"/>
    <w:rsid w:val="00DB1257"/>
    <w:rsid w:val="00DF428D"/>
    <w:rsid w:val="00E179F2"/>
    <w:rsid w:val="00E76248"/>
    <w:rsid w:val="00EB6F7F"/>
    <w:rsid w:val="00EE28C8"/>
    <w:rsid w:val="00F0424F"/>
    <w:rsid w:val="00F14457"/>
    <w:rsid w:val="00F71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072CA"/>
  <w15:chartTrackingRefBased/>
  <w15:docId w15:val="{FC5EA921-8B60-4ABE-B35E-B1C70D57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C1897"/>
    <w:pPr>
      <w:ind w:left="720"/>
      <w:contextualSpacing/>
    </w:pPr>
  </w:style>
  <w:style w:type="paragraph" w:customStyle="1" w:styleId="Footnotes">
    <w:name w:val="Footnotes"/>
    <w:basedOn w:val="Tekstprzypisudolnego"/>
    <w:link w:val="FootnotesChar"/>
    <w:autoRedefine/>
    <w:qFormat/>
    <w:rsid w:val="006C1897"/>
    <w:pPr>
      <w:pageBreakBefore/>
      <w:spacing w:line="180" w:lineRule="exact"/>
    </w:pPr>
    <w:rPr>
      <w:rFonts w:asciiTheme="minorHAnsi" w:eastAsiaTheme="minorEastAsia" w:hAnsiTheme="minorHAnsi" w:cstheme="minorHAnsi"/>
    </w:rPr>
  </w:style>
  <w:style w:type="character" w:customStyle="1" w:styleId="FootnotesChar">
    <w:name w:val="Footnotes Char"/>
    <w:link w:val="Footnotes"/>
    <w:locked/>
    <w:rsid w:val="006C1897"/>
    <w:rPr>
      <w:rFonts w:eastAsiaTheme="minorEastAsia" w:cstheme="minorHAnsi"/>
      <w:sz w:val="20"/>
      <w:szCs w:val="20"/>
    </w:rPr>
  </w:style>
  <w:style w:type="paragraph" w:styleId="Tekstprzypisudolnego">
    <w:name w:val="footnote text"/>
    <w:aliases w:val="Footnote text,Reference,Fußnote,Footnote Text Char Char,Footnote Text Char Char Char Char,Footnote Text1,Footnote Text Char Char Char,Fu§notentext Char,Fu§notentext Char1 Char1,Fu§notentext Char Char Char Char,o,fn,Fußn,f,ft"/>
    <w:basedOn w:val="Normalny"/>
    <w:link w:val="TekstprzypisudolnegoZnak"/>
    <w:uiPriority w:val="99"/>
    <w:unhideWhenUsed/>
    <w:qFormat/>
    <w:rsid w:val="006C1897"/>
    <w:pPr>
      <w:spacing w:after="0" w:line="240" w:lineRule="auto"/>
    </w:pPr>
    <w:rPr>
      <w:rFonts w:ascii="Calibri" w:eastAsia="Times New Roman" w:hAnsi="Calibri" w:cs="Arial"/>
      <w:sz w:val="20"/>
      <w:szCs w:val="20"/>
    </w:rPr>
  </w:style>
  <w:style w:type="character" w:customStyle="1" w:styleId="TekstprzypisudolnegoZnak">
    <w:name w:val="Tekst przypisu dolnego Znak"/>
    <w:aliases w:val="Footnote text Znak,Reference Znak,Fußnote Znak,Footnote Text Char Char Znak,Footnote Text Char Char Char Char Znak,Footnote Text1 Znak,Footnote Text Char Char Char Znak,Fu§notentext Char Znak,Fu§notentext Char1 Char1 Znak"/>
    <w:basedOn w:val="Domylnaczcionkaakapitu"/>
    <w:link w:val="Tekstprzypisudolnego"/>
    <w:uiPriority w:val="99"/>
    <w:rsid w:val="006C1897"/>
    <w:rPr>
      <w:rFonts w:ascii="Calibri" w:eastAsia="Times New Roman" w:hAnsi="Calibri" w:cs="Arial"/>
      <w:sz w:val="20"/>
      <w:szCs w:val="20"/>
    </w:rPr>
  </w:style>
  <w:style w:type="character" w:styleId="Odwoanieprzypisudolnego">
    <w:name w:val="footnote reference"/>
    <w:aliases w:val="Footnote symbol,IT Fußnotenzeichen,Footnote symboFußnotenzeichen,Footnote sign,-E Fußnotenzeichen,ESPON Footnote No,Footnote call,Footnote Reference Superscript,Footnote reference number,Times 10 Point,Exposant 3 Point,Ref"/>
    <w:basedOn w:val="Domylnaczcionkaakapitu"/>
    <w:link w:val="FootnotesymbolCarZchn"/>
    <w:uiPriority w:val="99"/>
    <w:unhideWhenUsed/>
    <w:qFormat/>
    <w:rsid w:val="006C1897"/>
    <w:rPr>
      <w:vertAlign w:val="superscript"/>
    </w:rPr>
  </w:style>
  <w:style w:type="paragraph" w:customStyle="1" w:styleId="BodyTextStyle">
    <w:name w:val="Body Text Style"/>
    <w:basedOn w:val="Normalny"/>
    <w:link w:val="BodyTextStyleChar"/>
    <w:qFormat/>
    <w:rsid w:val="006C1897"/>
    <w:pPr>
      <w:spacing w:after="280" w:line="240" w:lineRule="auto"/>
    </w:pPr>
    <w:rPr>
      <w:rFonts w:ascii="Calibri" w:eastAsia="Times New Roman" w:hAnsi="Calibri" w:cs="Arial"/>
    </w:rPr>
  </w:style>
  <w:style w:type="paragraph" w:customStyle="1" w:styleId="Bulletpoints">
    <w:name w:val="Bullet points"/>
    <w:basedOn w:val="Normalny"/>
    <w:link w:val="BulletpointsChar"/>
    <w:qFormat/>
    <w:rsid w:val="006C1897"/>
    <w:pPr>
      <w:numPr>
        <w:numId w:val="2"/>
      </w:numPr>
      <w:spacing w:after="60" w:line="240" w:lineRule="auto"/>
      <w:ind w:left="714" w:hanging="357"/>
    </w:pPr>
    <w:rPr>
      <w:rFonts w:ascii="Calibri" w:eastAsiaTheme="minorEastAsia" w:hAnsi="Calibri"/>
      <w:lang w:val="en-US" w:bidi="en-US"/>
    </w:rPr>
  </w:style>
  <w:style w:type="character" w:customStyle="1" w:styleId="BodyTextStyleChar">
    <w:name w:val="Body Text Style Char"/>
    <w:basedOn w:val="Domylnaczcionkaakapitu"/>
    <w:link w:val="BodyTextStyle"/>
    <w:rsid w:val="006C1897"/>
    <w:rPr>
      <w:rFonts w:ascii="Calibri" w:eastAsia="Times New Roman" w:hAnsi="Calibri" w:cs="Arial"/>
    </w:rPr>
  </w:style>
  <w:style w:type="character" w:customStyle="1" w:styleId="BulletpointsChar">
    <w:name w:val="Bullet points Char"/>
    <w:basedOn w:val="Domylnaczcionkaakapitu"/>
    <w:link w:val="Bulletpoints"/>
    <w:rsid w:val="006C1897"/>
    <w:rPr>
      <w:rFonts w:ascii="Calibri" w:eastAsiaTheme="minorEastAsia" w:hAnsi="Calibri"/>
      <w:lang w:val="en-US" w:bidi="en-US"/>
    </w:rPr>
  </w:style>
  <w:style w:type="paragraph" w:customStyle="1" w:styleId="doc-ti">
    <w:name w:val="doc-ti"/>
    <w:basedOn w:val="Normalny"/>
    <w:rsid w:val="006F323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ipercze">
    <w:name w:val="Hyperlink"/>
    <w:basedOn w:val="Domylnaczcionkaakapitu"/>
    <w:uiPriority w:val="99"/>
    <w:unhideWhenUsed/>
    <w:rsid w:val="001D48D1"/>
    <w:rPr>
      <w:color w:val="0000FF"/>
      <w:u w:val="single"/>
    </w:rPr>
  </w:style>
  <w:style w:type="character" w:customStyle="1" w:styleId="super">
    <w:name w:val="super"/>
    <w:basedOn w:val="Domylnaczcionkaakapitu"/>
    <w:rsid w:val="001D48D1"/>
  </w:style>
  <w:style w:type="character" w:styleId="Pogrubienie">
    <w:name w:val="Strong"/>
    <w:aliases w:val="Bold emphasis"/>
    <w:basedOn w:val="Domylnaczcionkaakapitu"/>
    <w:uiPriority w:val="22"/>
    <w:qFormat/>
    <w:rsid w:val="00E76248"/>
    <w:rPr>
      <w:b/>
      <w:bCs/>
    </w:rPr>
  </w:style>
  <w:style w:type="character" w:customStyle="1" w:styleId="italic">
    <w:name w:val="italic"/>
    <w:basedOn w:val="Domylnaczcionkaakapitu"/>
    <w:rsid w:val="004453D8"/>
  </w:style>
  <w:style w:type="paragraph" w:styleId="NormalnyWeb">
    <w:name w:val="Normal (Web)"/>
    <w:basedOn w:val="Normalny"/>
    <w:uiPriority w:val="99"/>
    <w:unhideWhenUsed/>
    <w:rsid w:val="0011687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yteHipercze">
    <w:name w:val="FollowedHyperlink"/>
    <w:basedOn w:val="Domylnaczcionkaakapitu"/>
    <w:uiPriority w:val="99"/>
    <w:semiHidden/>
    <w:unhideWhenUsed/>
    <w:rsid w:val="0011687F"/>
    <w:rPr>
      <w:color w:val="954F72" w:themeColor="followedHyperlink"/>
      <w:u w:val="singl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BD02AC"/>
    <w:pPr>
      <w:spacing w:line="240" w:lineRule="exact"/>
      <w:jc w:val="both"/>
    </w:pPr>
    <w:rPr>
      <w:vertAlign w:val="superscript"/>
    </w:rPr>
  </w:style>
  <w:style w:type="paragraph" w:styleId="Tekstdymka">
    <w:name w:val="Balloon Text"/>
    <w:basedOn w:val="Normalny"/>
    <w:link w:val="TekstdymkaZnak"/>
    <w:uiPriority w:val="99"/>
    <w:semiHidden/>
    <w:unhideWhenUsed/>
    <w:rsid w:val="004F55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5524"/>
    <w:rPr>
      <w:rFonts w:ascii="Segoe UI" w:hAnsi="Segoe UI" w:cs="Segoe UI"/>
      <w:sz w:val="18"/>
      <w:szCs w:val="18"/>
    </w:rPr>
  </w:style>
  <w:style w:type="paragraph" w:styleId="Nagwek">
    <w:name w:val="header"/>
    <w:basedOn w:val="Normalny"/>
    <w:link w:val="NagwekZnak"/>
    <w:uiPriority w:val="99"/>
    <w:unhideWhenUsed/>
    <w:rsid w:val="00C54FEA"/>
    <w:pPr>
      <w:tabs>
        <w:tab w:val="center" w:pos="4513"/>
        <w:tab w:val="right" w:pos="9026"/>
      </w:tabs>
      <w:spacing w:after="0" w:line="240" w:lineRule="auto"/>
    </w:pPr>
    <w:rPr>
      <w:rFonts w:ascii="Calibri" w:eastAsia="Times New Roman" w:hAnsi="Calibri" w:cs="Arial"/>
    </w:rPr>
  </w:style>
  <w:style w:type="character" w:customStyle="1" w:styleId="NagwekZnak">
    <w:name w:val="Nagłówek Znak"/>
    <w:basedOn w:val="Domylnaczcionkaakapitu"/>
    <w:link w:val="Nagwek"/>
    <w:uiPriority w:val="99"/>
    <w:rsid w:val="00C54FEA"/>
    <w:rPr>
      <w:rFonts w:ascii="Calibri" w:eastAsia="Times New Roman" w:hAnsi="Calibri" w:cs="Arial"/>
    </w:rPr>
  </w:style>
  <w:style w:type="character" w:customStyle="1" w:styleId="highlight">
    <w:name w:val="highlight"/>
    <w:basedOn w:val="Domylnaczcionkaakapitu"/>
    <w:rsid w:val="00C54FEA"/>
  </w:style>
  <w:style w:type="character" w:styleId="Odwoaniedokomentarza">
    <w:name w:val="annotation reference"/>
    <w:basedOn w:val="Domylnaczcionkaakapitu"/>
    <w:uiPriority w:val="99"/>
    <w:semiHidden/>
    <w:unhideWhenUsed/>
    <w:rsid w:val="002B1CC2"/>
    <w:rPr>
      <w:sz w:val="16"/>
      <w:szCs w:val="16"/>
    </w:rPr>
  </w:style>
  <w:style w:type="paragraph" w:styleId="Tekstkomentarza">
    <w:name w:val="annotation text"/>
    <w:basedOn w:val="Normalny"/>
    <w:link w:val="TekstkomentarzaZnak"/>
    <w:uiPriority w:val="99"/>
    <w:semiHidden/>
    <w:unhideWhenUsed/>
    <w:rsid w:val="002B1C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1CC2"/>
    <w:rPr>
      <w:sz w:val="20"/>
      <w:szCs w:val="20"/>
    </w:rPr>
  </w:style>
  <w:style w:type="paragraph" w:styleId="Tematkomentarza">
    <w:name w:val="annotation subject"/>
    <w:basedOn w:val="Tekstkomentarza"/>
    <w:next w:val="Tekstkomentarza"/>
    <w:link w:val="TematkomentarzaZnak"/>
    <w:uiPriority w:val="99"/>
    <w:semiHidden/>
    <w:unhideWhenUsed/>
    <w:rsid w:val="002B1CC2"/>
    <w:rPr>
      <w:b/>
      <w:bCs/>
    </w:rPr>
  </w:style>
  <w:style w:type="character" w:customStyle="1" w:styleId="TematkomentarzaZnak">
    <w:name w:val="Temat komentarza Znak"/>
    <w:basedOn w:val="TekstkomentarzaZnak"/>
    <w:link w:val="Tematkomentarza"/>
    <w:uiPriority w:val="99"/>
    <w:semiHidden/>
    <w:rsid w:val="002B1CC2"/>
    <w:rPr>
      <w:b/>
      <w:bCs/>
      <w:sz w:val="20"/>
      <w:szCs w:val="20"/>
    </w:rPr>
  </w:style>
  <w:style w:type="paragraph" w:customStyle="1" w:styleId="SubSubHeadingNumbered">
    <w:name w:val="Sub Sub Heading Numbered"/>
    <w:basedOn w:val="Normalny"/>
    <w:next w:val="Tekstpodstawowy"/>
    <w:uiPriority w:val="10"/>
    <w:qFormat/>
    <w:rsid w:val="0003446B"/>
    <w:pPr>
      <w:autoSpaceDE w:val="0"/>
      <w:autoSpaceDN w:val="0"/>
      <w:adjustRightInd w:val="0"/>
      <w:spacing w:before="240" w:after="200"/>
      <w:ind w:left="720" w:hanging="720"/>
    </w:pPr>
    <w:rPr>
      <w:rFonts w:ascii="Arial" w:eastAsiaTheme="majorEastAsia" w:hAnsi="Arial" w:cs="Arial-BoldMT"/>
      <w:sz w:val="28"/>
      <w:szCs w:val="36"/>
    </w:rPr>
  </w:style>
  <w:style w:type="paragraph" w:styleId="Tekstpodstawowy">
    <w:name w:val="Body Text"/>
    <w:link w:val="TekstpodstawowyZnak"/>
    <w:uiPriority w:val="1"/>
    <w:unhideWhenUsed/>
    <w:qFormat/>
    <w:rsid w:val="0003446B"/>
    <w:pPr>
      <w:spacing w:line="276" w:lineRule="auto"/>
    </w:pPr>
    <w:rPr>
      <w:rFonts w:eastAsiaTheme="minorEastAsia"/>
      <w:lang w:eastAsia="en-GB"/>
    </w:rPr>
  </w:style>
  <w:style w:type="character" w:customStyle="1" w:styleId="TekstpodstawowyZnak">
    <w:name w:val="Tekst podstawowy Znak"/>
    <w:basedOn w:val="Domylnaczcionkaakapitu"/>
    <w:link w:val="Tekstpodstawowy"/>
    <w:uiPriority w:val="1"/>
    <w:rsid w:val="0003446B"/>
    <w:rPr>
      <w:rFonts w:eastAsiaTheme="minorEastAsia"/>
      <w:lang w:eastAsia="en-GB"/>
    </w:rPr>
  </w:style>
  <w:style w:type="character" w:customStyle="1" w:styleId="Nierozpoznanawzmianka1">
    <w:name w:val="Nierozpoznana wzmianka1"/>
    <w:basedOn w:val="Domylnaczcionkaakapitu"/>
    <w:uiPriority w:val="99"/>
    <w:semiHidden/>
    <w:unhideWhenUsed/>
    <w:rsid w:val="00D5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89768">
      <w:bodyDiv w:val="1"/>
      <w:marLeft w:val="0"/>
      <w:marRight w:val="0"/>
      <w:marTop w:val="0"/>
      <w:marBottom w:val="0"/>
      <w:divBdr>
        <w:top w:val="none" w:sz="0" w:space="0" w:color="auto"/>
        <w:left w:val="none" w:sz="0" w:space="0" w:color="auto"/>
        <w:bottom w:val="none" w:sz="0" w:space="0" w:color="auto"/>
        <w:right w:val="none" w:sz="0" w:space="0" w:color="auto"/>
      </w:divBdr>
    </w:div>
    <w:div w:id="325983625">
      <w:bodyDiv w:val="1"/>
      <w:marLeft w:val="0"/>
      <w:marRight w:val="0"/>
      <w:marTop w:val="0"/>
      <w:marBottom w:val="0"/>
      <w:divBdr>
        <w:top w:val="none" w:sz="0" w:space="0" w:color="auto"/>
        <w:left w:val="none" w:sz="0" w:space="0" w:color="auto"/>
        <w:bottom w:val="none" w:sz="0" w:space="0" w:color="auto"/>
        <w:right w:val="none" w:sz="0" w:space="0" w:color="auto"/>
      </w:divBdr>
      <w:divsChild>
        <w:div w:id="1416124279">
          <w:marLeft w:val="0"/>
          <w:marRight w:val="0"/>
          <w:marTop w:val="0"/>
          <w:marBottom w:val="0"/>
          <w:divBdr>
            <w:top w:val="none" w:sz="0" w:space="0" w:color="auto"/>
            <w:left w:val="none" w:sz="0" w:space="0" w:color="auto"/>
            <w:bottom w:val="none" w:sz="0" w:space="0" w:color="auto"/>
            <w:right w:val="none" w:sz="0" w:space="0" w:color="auto"/>
          </w:divBdr>
          <w:divsChild>
            <w:div w:id="211439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83592">
      <w:bodyDiv w:val="1"/>
      <w:marLeft w:val="0"/>
      <w:marRight w:val="0"/>
      <w:marTop w:val="0"/>
      <w:marBottom w:val="0"/>
      <w:divBdr>
        <w:top w:val="none" w:sz="0" w:space="0" w:color="auto"/>
        <w:left w:val="none" w:sz="0" w:space="0" w:color="auto"/>
        <w:bottom w:val="none" w:sz="0" w:space="0" w:color="auto"/>
        <w:right w:val="none" w:sz="0" w:space="0" w:color="auto"/>
      </w:divBdr>
      <w:divsChild>
        <w:div w:id="605188165">
          <w:marLeft w:val="0"/>
          <w:marRight w:val="0"/>
          <w:marTop w:val="0"/>
          <w:marBottom w:val="0"/>
          <w:divBdr>
            <w:top w:val="none" w:sz="0" w:space="0" w:color="auto"/>
            <w:left w:val="none" w:sz="0" w:space="0" w:color="auto"/>
            <w:bottom w:val="none" w:sz="0" w:space="0" w:color="auto"/>
            <w:right w:val="none" w:sz="0" w:space="0" w:color="auto"/>
          </w:divBdr>
        </w:div>
        <w:div w:id="748422443">
          <w:marLeft w:val="0"/>
          <w:marRight w:val="0"/>
          <w:marTop w:val="0"/>
          <w:marBottom w:val="0"/>
          <w:divBdr>
            <w:top w:val="none" w:sz="0" w:space="0" w:color="auto"/>
            <w:left w:val="none" w:sz="0" w:space="0" w:color="auto"/>
            <w:bottom w:val="none" w:sz="0" w:space="0" w:color="auto"/>
            <w:right w:val="none" w:sz="0" w:space="0" w:color="auto"/>
          </w:divBdr>
        </w:div>
        <w:div w:id="998851236">
          <w:marLeft w:val="0"/>
          <w:marRight w:val="0"/>
          <w:marTop w:val="0"/>
          <w:marBottom w:val="0"/>
          <w:divBdr>
            <w:top w:val="none" w:sz="0" w:space="0" w:color="auto"/>
            <w:left w:val="none" w:sz="0" w:space="0" w:color="auto"/>
            <w:bottom w:val="none" w:sz="0" w:space="0" w:color="auto"/>
            <w:right w:val="none" w:sz="0" w:space="0" w:color="auto"/>
          </w:divBdr>
        </w:div>
        <w:div w:id="1012684360">
          <w:marLeft w:val="0"/>
          <w:marRight w:val="0"/>
          <w:marTop w:val="0"/>
          <w:marBottom w:val="0"/>
          <w:divBdr>
            <w:top w:val="none" w:sz="0" w:space="0" w:color="auto"/>
            <w:left w:val="none" w:sz="0" w:space="0" w:color="auto"/>
            <w:bottom w:val="none" w:sz="0" w:space="0" w:color="auto"/>
            <w:right w:val="none" w:sz="0" w:space="0" w:color="auto"/>
          </w:divBdr>
        </w:div>
        <w:div w:id="773745487">
          <w:marLeft w:val="0"/>
          <w:marRight w:val="0"/>
          <w:marTop w:val="0"/>
          <w:marBottom w:val="0"/>
          <w:divBdr>
            <w:top w:val="none" w:sz="0" w:space="0" w:color="auto"/>
            <w:left w:val="none" w:sz="0" w:space="0" w:color="auto"/>
            <w:bottom w:val="none" w:sz="0" w:space="0" w:color="auto"/>
            <w:right w:val="none" w:sz="0" w:space="0" w:color="auto"/>
          </w:divBdr>
        </w:div>
        <w:div w:id="1870800627">
          <w:marLeft w:val="0"/>
          <w:marRight w:val="0"/>
          <w:marTop w:val="0"/>
          <w:marBottom w:val="0"/>
          <w:divBdr>
            <w:top w:val="none" w:sz="0" w:space="0" w:color="auto"/>
            <w:left w:val="none" w:sz="0" w:space="0" w:color="auto"/>
            <w:bottom w:val="none" w:sz="0" w:space="0" w:color="auto"/>
            <w:right w:val="none" w:sz="0" w:space="0" w:color="auto"/>
          </w:divBdr>
        </w:div>
        <w:div w:id="1543442193">
          <w:marLeft w:val="0"/>
          <w:marRight w:val="0"/>
          <w:marTop w:val="0"/>
          <w:marBottom w:val="0"/>
          <w:divBdr>
            <w:top w:val="none" w:sz="0" w:space="0" w:color="auto"/>
            <w:left w:val="none" w:sz="0" w:space="0" w:color="auto"/>
            <w:bottom w:val="none" w:sz="0" w:space="0" w:color="auto"/>
            <w:right w:val="none" w:sz="0" w:space="0" w:color="auto"/>
          </w:divBdr>
        </w:div>
        <w:div w:id="467404119">
          <w:marLeft w:val="0"/>
          <w:marRight w:val="0"/>
          <w:marTop w:val="0"/>
          <w:marBottom w:val="0"/>
          <w:divBdr>
            <w:top w:val="none" w:sz="0" w:space="0" w:color="auto"/>
            <w:left w:val="none" w:sz="0" w:space="0" w:color="auto"/>
            <w:bottom w:val="none" w:sz="0" w:space="0" w:color="auto"/>
            <w:right w:val="none" w:sz="0" w:space="0" w:color="auto"/>
          </w:divBdr>
        </w:div>
        <w:div w:id="1848790774">
          <w:marLeft w:val="0"/>
          <w:marRight w:val="0"/>
          <w:marTop w:val="0"/>
          <w:marBottom w:val="0"/>
          <w:divBdr>
            <w:top w:val="none" w:sz="0" w:space="0" w:color="auto"/>
            <w:left w:val="none" w:sz="0" w:space="0" w:color="auto"/>
            <w:bottom w:val="none" w:sz="0" w:space="0" w:color="auto"/>
            <w:right w:val="none" w:sz="0" w:space="0" w:color="auto"/>
          </w:divBdr>
        </w:div>
        <w:div w:id="1570381774">
          <w:marLeft w:val="0"/>
          <w:marRight w:val="0"/>
          <w:marTop w:val="0"/>
          <w:marBottom w:val="0"/>
          <w:divBdr>
            <w:top w:val="none" w:sz="0" w:space="0" w:color="auto"/>
            <w:left w:val="none" w:sz="0" w:space="0" w:color="auto"/>
            <w:bottom w:val="none" w:sz="0" w:space="0" w:color="auto"/>
            <w:right w:val="none" w:sz="0" w:space="0" w:color="auto"/>
          </w:divBdr>
        </w:div>
        <w:div w:id="621233755">
          <w:marLeft w:val="0"/>
          <w:marRight w:val="0"/>
          <w:marTop w:val="0"/>
          <w:marBottom w:val="0"/>
          <w:divBdr>
            <w:top w:val="none" w:sz="0" w:space="0" w:color="auto"/>
            <w:left w:val="none" w:sz="0" w:space="0" w:color="auto"/>
            <w:bottom w:val="none" w:sz="0" w:space="0" w:color="auto"/>
            <w:right w:val="none" w:sz="0" w:space="0" w:color="auto"/>
          </w:divBdr>
        </w:div>
        <w:div w:id="858010296">
          <w:marLeft w:val="0"/>
          <w:marRight w:val="0"/>
          <w:marTop w:val="0"/>
          <w:marBottom w:val="0"/>
          <w:divBdr>
            <w:top w:val="none" w:sz="0" w:space="0" w:color="auto"/>
            <w:left w:val="none" w:sz="0" w:space="0" w:color="auto"/>
            <w:bottom w:val="none" w:sz="0" w:space="0" w:color="auto"/>
            <w:right w:val="none" w:sz="0" w:space="0" w:color="auto"/>
          </w:divBdr>
        </w:div>
        <w:div w:id="1384598066">
          <w:marLeft w:val="0"/>
          <w:marRight w:val="0"/>
          <w:marTop w:val="0"/>
          <w:marBottom w:val="0"/>
          <w:divBdr>
            <w:top w:val="none" w:sz="0" w:space="0" w:color="auto"/>
            <w:left w:val="none" w:sz="0" w:space="0" w:color="auto"/>
            <w:bottom w:val="none" w:sz="0" w:space="0" w:color="auto"/>
            <w:right w:val="none" w:sz="0" w:space="0" w:color="auto"/>
          </w:divBdr>
        </w:div>
        <w:div w:id="2058311160">
          <w:marLeft w:val="0"/>
          <w:marRight w:val="0"/>
          <w:marTop w:val="0"/>
          <w:marBottom w:val="0"/>
          <w:divBdr>
            <w:top w:val="none" w:sz="0" w:space="0" w:color="auto"/>
            <w:left w:val="none" w:sz="0" w:space="0" w:color="auto"/>
            <w:bottom w:val="none" w:sz="0" w:space="0" w:color="auto"/>
            <w:right w:val="none" w:sz="0" w:space="0" w:color="auto"/>
          </w:divBdr>
        </w:div>
        <w:div w:id="458576765">
          <w:marLeft w:val="0"/>
          <w:marRight w:val="0"/>
          <w:marTop w:val="0"/>
          <w:marBottom w:val="0"/>
          <w:divBdr>
            <w:top w:val="none" w:sz="0" w:space="0" w:color="auto"/>
            <w:left w:val="none" w:sz="0" w:space="0" w:color="auto"/>
            <w:bottom w:val="none" w:sz="0" w:space="0" w:color="auto"/>
            <w:right w:val="none" w:sz="0" w:space="0" w:color="auto"/>
          </w:divBdr>
        </w:div>
        <w:div w:id="62413091">
          <w:marLeft w:val="0"/>
          <w:marRight w:val="0"/>
          <w:marTop w:val="0"/>
          <w:marBottom w:val="0"/>
          <w:divBdr>
            <w:top w:val="none" w:sz="0" w:space="0" w:color="auto"/>
            <w:left w:val="none" w:sz="0" w:space="0" w:color="auto"/>
            <w:bottom w:val="none" w:sz="0" w:space="0" w:color="auto"/>
            <w:right w:val="none" w:sz="0" w:space="0" w:color="auto"/>
          </w:divBdr>
        </w:div>
        <w:div w:id="1046878015">
          <w:marLeft w:val="0"/>
          <w:marRight w:val="0"/>
          <w:marTop w:val="0"/>
          <w:marBottom w:val="0"/>
          <w:divBdr>
            <w:top w:val="none" w:sz="0" w:space="0" w:color="auto"/>
            <w:left w:val="none" w:sz="0" w:space="0" w:color="auto"/>
            <w:bottom w:val="none" w:sz="0" w:space="0" w:color="auto"/>
            <w:right w:val="none" w:sz="0" w:space="0" w:color="auto"/>
          </w:divBdr>
        </w:div>
        <w:div w:id="1500920676">
          <w:marLeft w:val="0"/>
          <w:marRight w:val="0"/>
          <w:marTop w:val="0"/>
          <w:marBottom w:val="0"/>
          <w:divBdr>
            <w:top w:val="none" w:sz="0" w:space="0" w:color="auto"/>
            <w:left w:val="none" w:sz="0" w:space="0" w:color="auto"/>
            <w:bottom w:val="none" w:sz="0" w:space="0" w:color="auto"/>
            <w:right w:val="none" w:sz="0" w:space="0" w:color="auto"/>
          </w:divBdr>
        </w:div>
        <w:div w:id="278025641">
          <w:marLeft w:val="0"/>
          <w:marRight w:val="0"/>
          <w:marTop w:val="0"/>
          <w:marBottom w:val="0"/>
          <w:divBdr>
            <w:top w:val="none" w:sz="0" w:space="0" w:color="auto"/>
            <w:left w:val="none" w:sz="0" w:space="0" w:color="auto"/>
            <w:bottom w:val="none" w:sz="0" w:space="0" w:color="auto"/>
            <w:right w:val="none" w:sz="0" w:space="0" w:color="auto"/>
          </w:divBdr>
        </w:div>
        <w:div w:id="1371764818">
          <w:marLeft w:val="0"/>
          <w:marRight w:val="0"/>
          <w:marTop w:val="0"/>
          <w:marBottom w:val="0"/>
          <w:divBdr>
            <w:top w:val="none" w:sz="0" w:space="0" w:color="auto"/>
            <w:left w:val="none" w:sz="0" w:space="0" w:color="auto"/>
            <w:bottom w:val="none" w:sz="0" w:space="0" w:color="auto"/>
            <w:right w:val="none" w:sz="0" w:space="0" w:color="auto"/>
          </w:divBdr>
        </w:div>
        <w:div w:id="174656646">
          <w:marLeft w:val="0"/>
          <w:marRight w:val="0"/>
          <w:marTop w:val="0"/>
          <w:marBottom w:val="0"/>
          <w:divBdr>
            <w:top w:val="none" w:sz="0" w:space="0" w:color="auto"/>
            <w:left w:val="none" w:sz="0" w:space="0" w:color="auto"/>
            <w:bottom w:val="none" w:sz="0" w:space="0" w:color="auto"/>
            <w:right w:val="none" w:sz="0" w:space="0" w:color="auto"/>
          </w:divBdr>
        </w:div>
        <w:div w:id="1788154602">
          <w:marLeft w:val="0"/>
          <w:marRight w:val="0"/>
          <w:marTop w:val="0"/>
          <w:marBottom w:val="0"/>
          <w:divBdr>
            <w:top w:val="none" w:sz="0" w:space="0" w:color="auto"/>
            <w:left w:val="none" w:sz="0" w:space="0" w:color="auto"/>
            <w:bottom w:val="none" w:sz="0" w:space="0" w:color="auto"/>
            <w:right w:val="none" w:sz="0" w:space="0" w:color="auto"/>
          </w:divBdr>
        </w:div>
        <w:div w:id="595746952">
          <w:marLeft w:val="0"/>
          <w:marRight w:val="0"/>
          <w:marTop w:val="0"/>
          <w:marBottom w:val="0"/>
          <w:divBdr>
            <w:top w:val="none" w:sz="0" w:space="0" w:color="auto"/>
            <w:left w:val="none" w:sz="0" w:space="0" w:color="auto"/>
            <w:bottom w:val="none" w:sz="0" w:space="0" w:color="auto"/>
            <w:right w:val="none" w:sz="0" w:space="0" w:color="auto"/>
          </w:divBdr>
        </w:div>
        <w:div w:id="1469662765">
          <w:marLeft w:val="0"/>
          <w:marRight w:val="0"/>
          <w:marTop w:val="0"/>
          <w:marBottom w:val="0"/>
          <w:divBdr>
            <w:top w:val="none" w:sz="0" w:space="0" w:color="auto"/>
            <w:left w:val="none" w:sz="0" w:space="0" w:color="auto"/>
            <w:bottom w:val="none" w:sz="0" w:space="0" w:color="auto"/>
            <w:right w:val="none" w:sz="0" w:space="0" w:color="auto"/>
          </w:divBdr>
        </w:div>
        <w:div w:id="1404988960">
          <w:marLeft w:val="0"/>
          <w:marRight w:val="0"/>
          <w:marTop w:val="0"/>
          <w:marBottom w:val="0"/>
          <w:divBdr>
            <w:top w:val="none" w:sz="0" w:space="0" w:color="auto"/>
            <w:left w:val="none" w:sz="0" w:space="0" w:color="auto"/>
            <w:bottom w:val="none" w:sz="0" w:space="0" w:color="auto"/>
            <w:right w:val="none" w:sz="0" w:space="0" w:color="auto"/>
          </w:divBdr>
        </w:div>
        <w:div w:id="1584297623">
          <w:marLeft w:val="0"/>
          <w:marRight w:val="0"/>
          <w:marTop w:val="0"/>
          <w:marBottom w:val="0"/>
          <w:divBdr>
            <w:top w:val="none" w:sz="0" w:space="0" w:color="auto"/>
            <w:left w:val="none" w:sz="0" w:space="0" w:color="auto"/>
            <w:bottom w:val="none" w:sz="0" w:space="0" w:color="auto"/>
            <w:right w:val="none" w:sz="0" w:space="0" w:color="auto"/>
          </w:divBdr>
        </w:div>
      </w:divsChild>
    </w:div>
    <w:div w:id="895966852">
      <w:bodyDiv w:val="1"/>
      <w:marLeft w:val="0"/>
      <w:marRight w:val="0"/>
      <w:marTop w:val="0"/>
      <w:marBottom w:val="0"/>
      <w:divBdr>
        <w:top w:val="none" w:sz="0" w:space="0" w:color="auto"/>
        <w:left w:val="none" w:sz="0" w:space="0" w:color="auto"/>
        <w:bottom w:val="none" w:sz="0" w:space="0" w:color="auto"/>
        <w:right w:val="none" w:sz="0" w:space="0" w:color="auto"/>
      </w:divBdr>
    </w:div>
    <w:div w:id="1389916234">
      <w:bodyDiv w:val="1"/>
      <w:marLeft w:val="0"/>
      <w:marRight w:val="0"/>
      <w:marTop w:val="0"/>
      <w:marBottom w:val="0"/>
      <w:divBdr>
        <w:top w:val="none" w:sz="0" w:space="0" w:color="auto"/>
        <w:left w:val="none" w:sz="0" w:space="0" w:color="auto"/>
        <w:bottom w:val="none" w:sz="0" w:space="0" w:color="auto"/>
        <w:right w:val="none" w:sz="0" w:space="0" w:color="auto"/>
      </w:divBdr>
    </w:div>
    <w:div w:id="190927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balkangreenenergynews.com/federation-of-bih-to-scrap-feed-in-tariffs-for-small-hydropower-plants-from-2021/" TargetMode="External"/><Relationship Id="rId2" Type="http://schemas.openxmlformats.org/officeDocument/2006/relationships/hyperlink" Target="https://ec.europa.eu/info/sites/info/files/business_economy_euro/banking_and_finance/documents/200309-sustainable-finance-teg-final-report-taxonomy-annexes_en.pdf" TargetMode="External"/><Relationship Id="rId1" Type="http://schemas.openxmlformats.org/officeDocument/2006/relationships/hyperlink" Target="file:///\\lon-fp01\home$\JDelarue\Downloads\HPP_PG_02-2020%20(1).pdf" TargetMode="External"/><Relationship Id="rId5" Type="http://schemas.openxmlformats.org/officeDocument/2006/relationships/hyperlink" Target="https://bankwatch.org/wp-content/uploads/2019/06/biomass3.pdf" TargetMode="External"/><Relationship Id="rId4" Type="http://schemas.openxmlformats.org/officeDocument/2006/relationships/hyperlink" Target="https://balkangreenenergynews.com/montenegros-new-cabinet-to-ban-small-hydropower-revise-concession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01565-269B-43D1-B1B7-2DBD02439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910</Words>
  <Characters>5193</Characters>
  <Application>Microsoft Office Word</Application>
  <DocSecurity>0</DocSecurity>
  <Lines>43</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Malgorzata Smolak</dc:creator>
  <cp:keywords/>
  <dc:description/>
  <cp:lastModifiedBy>Malgorzata Smolak</cp:lastModifiedBy>
  <cp:revision>2</cp:revision>
  <dcterms:created xsi:type="dcterms:W3CDTF">2021-01-07T14:08:00Z</dcterms:created>
  <dcterms:modified xsi:type="dcterms:W3CDTF">2021-01-07T14:08:00Z</dcterms:modified>
</cp:coreProperties>
</file>