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F5D76" w14:textId="77777777" w:rsidR="00CA22C5" w:rsidRPr="00BE3D36" w:rsidRDefault="00CA22C5" w:rsidP="00CA2116">
      <w:pPr>
        <w:jc w:val="both"/>
        <w:rPr>
          <w:sz w:val="32"/>
          <w:szCs w:val="32"/>
          <w:lang w:val="en-NZ"/>
        </w:rPr>
      </w:pPr>
    </w:p>
    <w:p w14:paraId="62FF4FBD" w14:textId="5AF88966" w:rsidR="00766F96" w:rsidRPr="00766F96" w:rsidRDefault="00BE3D36" w:rsidP="00766F96">
      <w:pPr>
        <w:pBdr>
          <w:bottom w:val="single" w:sz="4" w:space="1" w:color="auto"/>
        </w:pBdr>
        <w:spacing w:after="0"/>
        <w:jc w:val="both"/>
        <w:rPr>
          <w:b/>
          <w:bCs/>
          <w:sz w:val="36"/>
          <w:szCs w:val="36"/>
        </w:rPr>
      </w:pPr>
      <w:r w:rsidRPr="00065A46">
        <w:rPr>
          <w:b/>
          <w:bCs/>
          <w:sz w:val="36"/>
          <w:szCs w:val="36"/>
        </w:rPr>
        <w:t>Commentaires de GRDF sur la révision des Lignes directrices pour les aides d’Etat à l’environnement et à l’énergie (LDAEE)</w:t>
      </w:r>
    </w:p>
    <w:p w14:paraId="4A2C0C27" w14:textId="77777777" w:rsidR="00492187" w:rsidRDefault="00492187" w:rsidP="00CA2116">
      <w:pPr>
        <w:jc w:val="both"/>
      </w:pPr>
    </w:p>
    <w:p w14:paraId="2EB9E6FE" w14:textId="6A729E33" w:rsidR="00492187" w:rsidRDefault="00BE3D36" w:rsidP="00CA2116">
      <w:pPr>
        <w:jc w:val="both"/>
      </w:pPr>
      <w:r w:rsidRPr="00BE3D36">
        <w:t>GRDF accueille favorableme</w:t>
      </w:r>
      <w:r>
        <w:t>nt l’opportunité de pouvoir contribuer à la consultation publique de la Commission européenne (CE) sur la révision des LDAEE</w:t>
      </w:r>
      <w:r w:rsidR="00FB7130">
        <w:t xml:space="preserve"> à la lumière des objectifs du Green Deal. Pour atteindre la neutralité carbone en 2050, l’Union européenne</w:t>
      </w:r>
      <w:r w:rsidR="003D11ED">
        <w:t xml:space="preserve"> (UE)</w:t>
      </w:r>
      <w:r w:rsidR="00FB7130">
        <w:t xml:space="preserve"> doit massivement développer les énergies renouvelables</w:t>
      </w:r>
      <w:r w:rsidR="001B6CBE">
        <w:t xml:space="preserve"> (ENR)</w:t>
      </w:r>
      <w:r w:rsidR="00FB7130">
        <w:t xml:space="preserve">. Ainsi il est nécessaire de réviser les LDAEE pour que les aides d’Etat à destination de toutes les </w:t>
      </w:r>
      <w:r w:rsidR="001B6CBE">
        <w:t>ENR</w:t>
      </w:r>
      <w:r w:rsidR="00FB7130">
        <w:t xml:space="preserve"> soient encadrées d’une manière </w:t>
      </w:r>
      <w:r w:rsidR="007F131E">
        <w:t xml:space="preserve">équitable et </w:t>
      </w:r>
      <w:r w:rsidR="00FB7130">
        <w:t xml:space="preserve">optimale à leur développement. </w:t>
      </w:r>
    </w:p>
    <w:p w14:paraId="3F78A302" w14:textId="775FBBF0" w:rsidR="00BE3D36" w:rsidRDefault="00BE3D36" w:rsidP="00CA2116">
      <w:pPr>
        <w:jc w:val="both"/>
      </w:pPr>
      <w:r>
        <w:t xml:space="preserve">En complément de notre réponse au questionnaire de la consultation, nous souhaitons mettre en valeur les points suivants : </w:t>
      </w:r>
    </w:p>
    <w:p w14:paraId="45B57B76" w14:textId="7C15AC10" w:rsidR="003D11ED" w:rsidRDefault="00FB7130" w:rsidP="00CA2116">
      <w:pPr>
        <w:jc w:val="both"/>
      </w:pPr>
      <w:r w:rsidRPr="00FB7130">
        <w:rPr>
          <w:b/>
          <w:bCs/>
          <w:color w:val="4472C4" w:themeColor="accent1"/>
        </w:rPr>
        <w:t xml:space="preserve">Rajouter à la consultation publique une catégorie pour les « combustibles ou carburants issus de la biomasse » tels que définis dans la Directive </w:t>
      </w:r>
      <w:r w:rsidR="003737F7">
        <w:rPr>
          <w:b/>
          <w:bCs/>
          <w:color w:val="4472C4" w:themeColor="accent1"/>
        </w:rPr>
        <w:t xml:space="preserve">sur les </w:t>
      </w:r>
      <w:r w:rsidRPr="00FB7130">
        <w:rPr>
          <w:b/>
          <w:bCs/>
          <w:color w:val="4472C4" w:themeColor="accent1"/>
        </w:rPr>
        <w:t>énergie</w:t>
      </w:r>
      <w:r w:rsidR="003737F7">
        <w:rPr>
          <w:b/>
          <w:bCs/>
          <w:color w:val="4472C4" w:themeColor="accent1"/>
        </w:rPr>
        <w:t>s</w:t>
      </w:r>
      <w:r w:rsidRPr="00FB7130">
        <w:rPr>
          <w:b/>
          <w:bCs/>
          <w:color w:val="4472C4" w:themeColor="accent1"/>
        </w:rPr>
        <w:t xml:space="preserve"> renouvelable</w:t>
      </w:r>
      <w:r w:rsidR="003737F7">
        <w:rPr>
          <w:b/>
          <w:bCs/>
          <w:color w:val="4472C4" w:themeColor="accent1"/>
        </w:rPr>
        <w:t>s</w:t>
      </w:r>
      <w:r w:rsidRPr="00FB7130">
        <w:rPr>
          <w:b/>
          <w:bCs/>
          <w:color w:val="4472C4" w:themeColor="accent1"/>
        </w:rPr>
        <w:t xml:space="preserve"> (RED II)</w:t>
      </w:r>
      <w:r>
        <w:t>.</w:t>
      </w:r>
      <w:r w:rsidR="00B50379">
        <w:t xml:space="preserve"> La biomasse représente 56</w:t>
      </w:r>
      <w:r w:rsidR="005A55BF">
        <w:t>,</w:t>
      </w:r>
      <w:r w:rsidR="00B50379">
        <w:t>6</w:t>
      </w:r>
      <w:r w:rsidR="00CA2116">
        <w:t>%</w:t>
      </w:r>
      <w:r w:rsidR="00A67E34">
        <w:t xml:space="preserve"> du mix </w:t>
      </w:r>
      <w:r w:rsidR="001B6CBE">
        <w:t>ENR</w:t>
      </w:r>
      <w:r w:rsidR="00CA2116">
        <w:t xml:space="preserve"> </w:t>
      </w:r>
      <w:r w:rsidR="003D11ED">
        <w:t>de l’UE</w:t>
      </w:r>
      <w:r w:rsidR="00CA2116">
        <w:rPr>
          <w:rStyle w:val="Appelnotedebasdep"/>
        </w:rPr>
        <w:footnoteReference w:id="1"/>
      </w:r>
      <w:r w:rsidR="00CA2116">
        <w:t xml:space="preserve">. Les </w:t>
      </w:r>
      <w:r w:rsidR="00A67E34">
        <w:t>« </w:t>
      </w:r>
      <w:r w:rsidR="00CA2116">
        <w:t>combustibles ou carburants issus de la biomasse</w:t>
      </w:r>
      <w:r w:rsidR="00A67E34">
        <w:t> »</w:t>
      </w:r>
      <w:r w:rsidR="00CA2116">
        <w:t xml:space="preserve"> sont définis </w:t>
      </w:r>
      <w:r w:rsidR="003D11ED">
        <w:t xml:space="preserve">dans </w:t>
      </w:r>
      <w:r w:rsidR="00CA2116">
        <w:t>RED II à l’article 2 « Définitions » et</w:t>
      </w:r>
      <w:r w:rsidR="00AE48EE">
        <w:t xml:space="preserve"> </w:t>
      </w:r>
      <w:r w:rsidR="00A67E34">
        <w:t xml:space="preserve">à </w:t>
      </w:r>
      <w:r w:rsidR="00E57A2D">
        <w:t>l’article</w:t>
      </w:r>
      <w:r w:rsidR="00AE48EE">
        <w:t xml:space="preserve"> 29 « </w:t>
      </w:r>
      <w:r w:rsidR="00AE48EE" w:rsidRPr="00AE48EE">
        <w:t>Critères de durabilité et de réduction des émissions de gaz à effet de serre</w:t>
      </w:r>
      <w:r w:rsidR="003737F7">
        <w:t xml:space="preserve"> (GES)</w:t>
      </w:r>
      <w:r w:rsidR="00AE48EE" w:rsidRPr="00AE48EE">
        <w:t xml:space="preserve"> pour les biocarburants, les bioliquides et les combustibles issus de la biomasse</w:t>
      </w:r>
      <w:r w:rsidR="00AE48EE">
        <w:t> »</w:t>
      </w:r>
      <w:r w:rsidR="00CA2116">
        <w:t xml:space="preserve">. </w:t>
      </w:r>
      <w:r w:rsidR="00A67E34">
        <w:t xml:space="preserve">Ils sont éligibles aux aides d’Etat au chapitre 3.3.2.2 </w:t>
      </w:r>
      <w:r w:rsidR="003D11ED">
        <w:t xml:space="preserve">des LDAEE </w:t>
      </w:r>
      <w:r w:rsidR="003737F7">
        <w:t>« A</w:t>
      </w:r>
      <w:r w:rsidR="00A67E34">
        <w:t>ide pour l’énergie d’origine renouvelable autre que l’électricité</w:t>
      </w:r>
      <w:r w:rsidR="003737F7">
        <w:t> »</w:t>
      </w:r>
      <w:r w:rsidR="00A67E34">
        <w:t xml:space="preserve">. </w:t>
      </w:r>
      <w:r w:rsidR="00CA2116">
        <w:t xml:space="preserve">Ces </w:t>
      </w:r>
      <w:r w:rsidR="00A67E34">
        <w:t>« </w:t>
      </w:r>
      <w:r w:rsidR="00CA2116">
        <w:t>combustible</w:t>
      </w:r>
      <w:r w:rsidR="00AE48EE">
        <w:t>s</w:t>
      </w:r>
      <w:r w:rsidR="00CA2116">
        <w:t xml:space="preserve"> ou carburants</w:t>
      </w:r>
      <w:r w:rsidR="00A67E34">
        <w:t xml:space="preserve"> issus de la biomasse »</w:t>
      </w:r>
      <w:r w:rsidR="00CA2116">
        <w:t xml:space="preserve"> incluent le biométhane pour usage chaleur ou transport. </w:t>
      </w:r>
    </w:p>
    <w:p w14:paraId="72555496" w14:textId="19A37075" w:rsidR="00FB7130" w:rsidRDefault="00CA2116" w:rsidP="00CA2116">
      <w:pPr>
        <w:jc w:val="both"/>
      </w:pPr>
      <w:r>
        <w:t>La production de biométhane en Europe se développe</w:t>
      </w:r>
      <w:r w:rsidR="00A67E34">
        <w:t xml:space="preserve"> </w:t>
      </w:r>
      <w:r>
        <w:t>rapidement</w:t>
      </w:r>
      <w:r>
        <w:rPr>
          <w:rStyle w:val="Appelnotedebasdep"/>
        </w:rPr>
        <w:footnoteReference w:id="2"/>
      </w:r>
      <w:r>
        <w:t>. En France, la filière biométhane e</w:t>
      </w:r>
      <w:r w:rsidR="00A67E34">
        <w:t>s</w:t>
      </w:r>
      <w:r>
        <w:t xml:space="preserve">t la filière </w:t>
      </w:r>
      <w:r w:rsidR="001B6CBE">
        <w:t>ENR</w:t>
      </w:r>
      <w:r>
        <w:t xml:space="preserve"> qui a le taux de croissance le plus fort avec plus de 200 sites de biométhane raccordés au réseau</w:t>
      </w:r>
      <w:r w:rsidR="00A67E34">
        <w:t xml:space="preserve"> de gaz</w:t>
      </w:r>
      <w:r>
        <w:t xml:space="preserve"> fin 2020</w:t>
      </w:r>
      <w:r>
        <w:rPr>
          <w:rStyle w:val="Appelnotedebasdep"/>
        </w:rPr>
        <w:footnoteReference w:id="3"/>
      </w:r>
      <w:r>
        <w:t>. Ces énergies</w:t>
      </w:r>
      <w:r w:rsidR="001B6CBE">
        <w:t xml:space="preserve">, </w:t>
      </w:r>
      <w:r>
        <w:t>développés grâce au soutien des pouvoir publics</w:t>
      </w:r>
      <w:r w:rsidR="00D42BAB">
        <w:t>,</w:t>
      </w:r>
      <w:r w:rsidR="001B6CBE">
        <w:t xml:space="preserve"> ont un </w:t>
      </w:r>
      <w:r>
        <w:t xml:space="preserve">rôle </w:t>
      </w:r>
      <w:r w:rsidR="001D7F30">
        <w:t>important</w:t>
      </w:r>
      <w:r>
        <w:t xml:space="preserve"> dans le mix énergétique d’aujourd’hui et de demain</w:t>
      </w:r>
      <w:r w:rsidR="001B6CBE">
        <w:t>. Ainsi, i</w:t>
      </w:r>
      <w:r>
        <w:t xml:space="preserve">l nous semble pertinent de rajouter une </w:t>
      </w:r>
      <w:r w:rsidR="001D7F30">
        <w:t>catégorie</w:t>
      </w:r>
      <w:r>
        <w:t xml:space="preserve"> « combustibles ou </w:t>
      </w:r>
      <w:r w:rsidR="001D7F30">
        <w:t>carburants</w:t>
      </w:r>
      <w:r>
        <w:t xml:space="preserve"> issus de la biomasse » à la liste des technologies/combustibles/</w:t>
      </w:r>
      <w:r w:rsidR="001D7F30">
        <w:t>carburants</w:t>
      </w:r>
      <w:r>
        <w:t xml:space="preserve"> listés dans la consultation publique</w:t>
      </w:r>
      <w:r w:rsidR="00A67E34">
        <w:t xml:space="preserve"> et </w:t>
      </w:r>
      <w:r w:rsidR="003737F7">
        <w:t>aux</w:t>
      </w:r>
      <w:r w:rsidR="00A67E34">
        <w:t xml:space="preserve"> autres documents liés aux aides d’Etat</w:t>
      </w:r>
      <w:r w:rsidR="004170A1">
        <w:t xml:space="preserve"> pour </w:t>
      </w:r>
      <w:r w:rsidR="00A67E34">
        <w:t xml:space="preserve">que </w:t>
      </w:r>
      <w:r w:rsidR="004170A1">
        <w:t xml:space="preserve">les </w:t>
      </w:r>
      <w:r w:rsidR="001B6CBE">
        <w:t>caractéristiques</w:t>
      </w:r>
      <w:r w:rsidR="004170A1">
        <w:t xml:space="preserve"> de ceux-ci soient pleinement </w:t>
      </w:r>
      <w:r w:rsidR="002355DF">
        <w:t>considérées</w:t>
      </w:r>
      <w:r w:rsidR="004170A1">
        <w:t xml:space="preserve">. </w:t>
      </w:r>
    </w:p>
    <w:p w14:paraId="17797810" w14:textId="5C7B907B" w:rsidR="00AE48EE" w:rsidRDefault="00941A2D" w:rsidP="00CA2116">
      <w:pPr>
        <w:jc w:val="both"/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 xml:space="preserve">Les LDAEE </w:t>
      </w:r>
      <w:r w:rsidR="001B6CBE">
        <w:rPr>
          <w:b/>
          <w:bCs/>
          <w:color w:val="4472C4" w:themeColor="accent1"/>
        </w:rPr>
        <w:t>doivent</w:t>
      </w:r>
      <w:r w:rsidRPr="00941A2D">
        <w:rPr>
          <w:b/>
          <w:bCs/>
          <w:color w:val="4472C4" w:themeColor="accent1"/>
        </w:rPr>
        <w:t xml:space="preserve"> prendre en compte les spécificités de </w:t>
      </w:r>
      <w:r>
        <w:rPr>
          <w:b/>
          <w:bCs/>
          <w:color w:val="4472C4" w:themeColor="accent1"/>
        </w:rPr>
        <w:t>chaque énergie renouvelable</w:t>
      </w:r>
      <w:r w:rsidR="00AE48EE">
        <w:rPr>
          <w:b/>
          <w:bCs/>
          <w:color w:val="4472C4" w:themeColor="accent1"/>
        </w:rPr>
        <w:t xml:space="preserve"> pour </w:t>
      </w:r>
      <w:r w:rsidR="00A67E34">
        <w:rPr>
          <w:b/>
          <w:bCs/>
          <w:color w:val="4472C4" w:themeColor="accent1"/>
        </w:rPr>
        <w:t>définir</w:t>
      </w:r>
      <w:r w:rsidR="00AE48EE">
        <w:rPr>
          <w:b/>
          <w:bCs/>
          <w:color w:val="4472C4" w:themeColor="accent1"/>
        </w:rPr>
        <w:t xml:space="preserve"> la méthode d’attribution, </w:t>
      </w:r>
      <w:r w:rsidR="00A67E34">
        <w:rPr>
          <w:b/>
          <w:bCs/>
          <w:color w:val="4472C4" w:themeColor="accent1"/>
        </w:rPr>
        <w:t>le</w:t>
      </w:r>
      <w:r w:rsidR="00AE48EE">
        <w:rPr>
          <w:b/>
          <w:bCs/>
          <w:color w:val="4472C4" w:themeColor="accent1"/>
        </w:rPr>
        <w:t xml:space="preserve"> montant et la forme de l’aide. </w:t>
      </w:r>
      <w:r>
        <w:rPr>
          <w:b/>
          <w:bCs/>
          <w:color w:val="4472C4" w:themeColor="accent1"/>
        </w:rPr>
        <w:t xml:space="preserve"> </w:t>
      </w:r>
    </w:p>
    <w:p w14:paraId="37AC8F50" w14:textId="0F61F908" w:rsidR="00AE48EE" w:rsidRDefault="00AE48EE" w:rsidP="00AE48EE">
      <w:pPr>
        <w:pStyle w:val="Paragraphedeliste"/>
        <w:numPr>
          <w:ilvl w:val="0"/>
          <w:numId w:val="6"/>
        </w:numPr>
        <w:jc w:val="both"/>
        <w:rPr>
          <w:b/>
          <w:bCs/>
        </w:rPr>
      </w:pPr>
      <w:r w:rsidRPr="00DF0BE2">
        <w:rPr>
          <w:b/>
          <w:bCs/>
        </w:rPr>
        <w:t xml:space="preserve">Les aides d’Etat doivent prendre en compte les bénéfices environnementaux des énergies renouvelables, ainsi que leur contribution à un système énergétique optimisé </w:t>
      </w:r>
    </w:p>
    <w:p w14:paraId="642BA384" w14:textId="64AB9F91" w:rsidR="00D4573F" w:rsidRDefault="00990BC3" w:rsidP="00DF0BE2">
      <w:pPr>
        <w:jc w:val="both"/>
      </w:pPr>
      <w:r w:rsidRPr="00990BC3">
        <w:t xml:space="preserve">Dans le </w:t>
      </w:r>
      <w:r w:rsidR="003737F7">
        <w:t>secteur</w:t>
      </w:r>
      <w:r w:rsidRPr="00990BC3">
        <w:t xml:space="preserve"> de la chaleur, qui reste encore aujourd’hui très carboné, les énergies fossiles ne sont pas exposées à un signal carbone suffisamment élevé</w:t>
      </w:r>
      <w:r w:rsidR="00D4573F">
        <w:t xml:space="preserve"> permettant</w:t>
      </w:r>
      <w:r w:rsidRPr="00990BC3">
        <w:t xml:space="preserve"> le remplacement du gaz naturel par </w:t>
      </w:r>
      <w:r w:rsidR="003737F7">
        <w:t>les</w:t>
      </w:r>
      <w:r w:rsidRPr="00990BC3">
        <w:t xml:space="preserve"> gaz renouvelables</w:t>
      </w:r>
      <w:r w:rsidR="00D4573F">
        <w:t>. Ainsi, les gaz renouvelables, incluant le biométhane doivent être soutenus pour leurs bénéfices en terme</w:t>
      </w:r>
      <w:r w:rsidR="003737F7">
        <w:t>s</w:t>
      </w:r>
      <w:r w:rsidR="00D4573F">
        <w:t xml:space="preserve"> de décarbonation, mais également pour leurs </w:t>
      </w:r>
      <w:r w:rsidR="009679A2">
        <w:t>externalités</w:t>
      </w:r>
      <w:r w:rsidR="00D4573F">
        <w:t xml:space="preserve"> positives qui dépassent la simple </w:t>
      </w:r>
      <w:r w:rsidR="002355DF">
        <w:t>contribution</w:t>
      </w:r>
      <w:r w:rsidR="00D4573F">
        <w:t xml:space="preserve"> à la </w:t>
      </w:r>
      <w:r w:rsidR="002355DF">
        <w:t>réduction</w:t>
      </w:r>
      <w:r w:rsidR="00D4573F">
        <w:t xml:space="preserve"> des émissions de GES. Ainsi, les mécanismes de soutien </w:t>
      </w:r>
      <w:r w:rsidR="00D42BAB">
        <w:t xml:space="preserve">aux ENR </w:t>
      </w:r>
      <w:r w:rsidR="001B6CBE">
        <w:t>ne</w:t>
      </w:r>
      <w:r w:rsidR="00D4573F">
        <w:t xml:space="preserve"> doivent pas uniquement se baser sur le coût </w:t>
      </w:r>
      <w:r w:rsidR="002355DF">
        <w:t>actualisé</w:t>
      </w:r>
      <w:r w:rsidR="00D4573F">
        <w:t xml:space="preserve"> de l’énergie (LCOE)</w:t>
      </w:r>
      <w:r w:rsidR="001B6CBE">
        <w:t xml:space="preserve">, mais prendre en compte </w:t>
      </w:r>
      <w:r w:rsidR="00D42BAB">
        <w:t>leurs</w:t>
      </w:r>
      <w:r w:rsidR="001B6CBE">
        <w:t xml:space="preserve"> bénéfices environnementaux et </w:t>
      </w:r>
      <w:r w:rsidR="00D42BAB">
        <w:t>leurs</w:t>
      </w:r>
      <w:r w:rsidR="001B6CBE">
        <w:t xml:space="preserve"> contribution</w:t>
      </w:r>
      <w:r w:rsidR="00D42BAB">
        <w:t>s</w:t>
      </w:r>
      <w:r w:rsidR="001B6CBE">
        <w:t xml:space="preserve"> à l’intégration sectorielle.  </w:t>
      </w:r>
      <w:r w:rsidR="00D4573F">
        <w:t xml:space="preserve"> </w:t>
      </w:r>
    </w:p>
    <w:p w14:paraId="2024C6A3" w14:textId="77777777" w:rsidR="001B6CBE" w:rsidRDefault="001B6CBE" w:rsidP="00DF0BE2">
      <w:pPr>
        <w:jc w:val="both"/>
      </w:pPr>
    </w:p>
    <w:p w14:paraId="19ECB165" w14:textId="77777777" w:rsidR="001B6CBE" w:rsidRDefault="001B6CBE" w:rsidP="00DF0BE2">
      <w:pPr>
        <w:jc w:val="both"/>
      </w:pPr>
    </w:p>
    <w:p w14:paraId="06764D04" w14:textId="77777777" w:rsidR="00766F96" w:rsidRDefault="00766F96" w:rsidP="00DF0BE2">
      <w:pPr>
        <w:jc w:val="both"/>
      </w:pPr>
    </w:p>
    <w:p w14:paraId="1A70E372" w14:textId="6025F88E" w:rsidR="0018524C" w:rsidRDefault="00DF0BE2" w:rsidP="00DF0BE2">
      <w:pPr>
        <w:jc w:val="both"/>
      </w:pPr>
      <w:r>
        <w:t>Le biométhane est un exemple</w:t>
      </w:r>
      <w:r w:rsidR="00FB2B9A">
        <w:rPr>
          <w:rStyle w:val="Appelnotedebasdep"/>
        </w:rPr>
        <w:footnoteReference w:id="4"/>
      </w:r>
      <w:r>
        <w:t xml:space="preserve"> illustrant la nécessité d’intégrer les externalités positives </w:t>
      </w:r>
      <w:r w:rsidR="001B6CBE">
        <w:t>des ENR</w:t>
      </w:r>
      <w:r>
        <w:t xml:space="preserve"> dans les mécanismes de soutien développés par les Etats membres dans le respect des LDAEE. </w:t>
      </w:r>
    </w:p>
    <w:p w14:paraId="791F6C1A" w14:textId="7ACDBD79" w:rsidR="0018524C" w:rsidRDefault="00DF0BE2" w:rsidP="00766F96">
      <w:pPr>
        <w:pStyle w:val="Paragraphedeliste"/>
        <w:numPr>
          <w:ilvl w:val="0"/>
          <w:numId w:val="6"/>
        </w:numPr>
        <w:jc w:val="both"/>
      </w:pPr>
      <w:r>
        <w:t xml:space="preserve">Le biométhane permet de </w:t>
      </w:r>
      <w:r w:rsidRPr="0018524C">
        <w:rPr>
          <w:b/>
          <w:bCs/>
        </w:rPr>
        <w:t>réduire les émissions de méthane</w:t>
      </w:r>
      <w:r>
        <w:t xml:space="preserve"> dans les secteurs de l’agriculture et de la gestion des déchets</w:t>
      </w:r>
      <w:r w:rsidR="003737F7">
        <w:t> ;</w:t>
      </w:r>
      <w:r>
        <w:t xml:space="preserve"> </w:t>
      </w:r>
    </w:p>
    <w:p w14:paraId="25291CA5" w14:textId="06A80079" w:rsidR="0018524C" w:rsidRDefault="00DF0BE2" w:rsidP="00766F96">
      <w:pPr>
        <w:pStyle w:val="Paragraphedeliste"/>
        <w:numPr>
          <w:ilvl w:val="0"/>
          <w:numId w:val="6"/>
        </w:numPr>
        <w:jc w:val="both"/>
      </w:pPr>
      <w:r>
        <w:t xml:space="preserve">Il est un </w:t>
      </w:r>
      <w:r w:rsidRPr="005A7812">
        <w:t>vecteur d’intégration sectorielle</w:t>
      </w:r>
      <w:r>
        <w:t xml:space="preserve"> car il peut être utilisé aussi bien dans l’industrie, les </w:t>
      </w:r>
      <w:r w:rsidR="00990BC3">
        <w:t>bâtiments</w:t>
      </w:r>
      <w:r>
        <w:t xml:space="preserve"> et les </w:t>
      </w:r>
      <w:r w:rsidR="00990BC3">
        <w:t>transports</w:t>
      </w:r>
      <w:r>
        <w:t xml:space="preserve"> (légers, publics, lourds). </w:t>
      </w:r>
      <w:r w:rsidR="001B6CBE">
        <w:t>Utilisé dans des technologies de chauffage hybride</w:t>
      </w:r>
      <w:r w:rsidR="003737F7">
        <w:t>s</w:t>
      </w:r>
      <w:r w:rsidR="001B6CBE">
        <w:t xml:space="preserve"> (par exemple pompes à </w:t>
      </w:r>
      <w:r w:rsidR="00B81241">
        <w:t>chaleur hybride</w:t>
      </w:r>
      <w:r w:rsidR="003737F7">
        <w:t>s</w:t>
      </w:r>
      <w:r w:rsidR="001B6CBE">
        <w:t xml:space="preserve">), il permet </w:t>
      </w:r>
      <w:r w:rsidR="001B6CBE" w:rsidRPr="0018524C">
        <w:rPr>
          <w:b/>
          <w:bCs/>
        </w:rPr>
        <w:t xml:space="preserve">d’optimiser l’utilisation des ENR électriques </w:t>
      </w:r>
      <w:r w:rsidR="00B81241" w:rsidRPr="0018524C">
        <w:rPr>
          <w:b/>
          <w:bCs/>
        </w:rPr>
        <w:t>intermittentes</w:t>
      </w:r>
      <w:r w:rsidR="001B6CBE" w:rsidRPr="0018524C">
        <w:rPr>
          <w:b/>
          <w:bCs/>
        </w:rPr>
        <w:t xml:space="preserve"> </w:t>
      </w:r>
      <w:r w:rsidR="001B6CBE">
        <w:t xml:space="preserve">en servant de « back-up » car c’est une énergie stockable. </w:t>
      </w:r>
      <w:r w:rsidR="00B81241">
        <w:t>Il permet ainsi de réduire de possibles congestions sur le réseau électrique</w:t>
      </w:r>
      <w:r w:rsidR="003737F7">
        <w:t> ;</w:t>
      </w:r>
    </w:p>
    <w:p w14:paraId="3497F95E" w14:textId="4B9CD9CF" w:rsidR="0018524C" w:rsidRDefault="0018524C" w:rsidP="00766F96">
      <w:pPr>
        <w:pStyle w:val="Paragraphedeliste"/>
        <w:numPr>
          <w:ilvl w:val="0"/>
          <w:numId w:val="6"/>
        </w:numPr>
        <w:jc w:val="both"/>
      </w:pPr>
      <w:r>
        <w:t>C’est</w:t>
      </w:r>
      <w:r w:rsidR="00B81241">
        <w:t xml:space="preserve"> une </w:t>
      </w:r>
      <w:r w:rsidR="00B81241" w:rsidRPr="0018524C">
        <w:rPr>
          <w:b/>
          <w:bCs/>
        </w:rPr>
        <w:t>énergie</w:t>
      </w:r>
      <w:r w:rsidR="00DF0BE2" w:rsidRPr="0018524C">
        <w:rPr>
          <w:b/>
          <w:bCs/>
        </w:rPr>
        <w:t xml:space="preserve"> produit</w:t>
      </w:r>
      <w:r w:rsidRPr="0018524C">
        <w:rPr>
          <w:b/>
          <w:bCs/>
        </w:rPr>
        <w:t>e</w:t>
      </w:r>
      <w:r w:rsidR="00DF0BE2" w:rsidRPr="0018524C">
        <w:rPr>
          <w:b/>
          <w:bCs/>
        </w:rPr>
        <w:t xml:space="preserve"> localement créant une </w:t>
      </w:r>
      <w:r w:rsidR="00990BC3" w:rsidRPr="0018524C">
        <w:rPr>
          <w:b/>
          <w:bCs/>
        </w:rPr>
        <w:t>valeur</w:t>
      </w:r>
      <w:r w:rsidR="00DF0BE2" w:rsidRPr="0018524C">
        <w:rPr>
          <w:b/>
          <w:bCs/>
        </w:rPr>
        <w:t xml:space="preserve"> territoriale non délocalisable</w:t>
      </w:r>
      <w:r w:rsidR="00DF0BE2">
        <w:t xml:space="preserve"> (emplois et innovation) et </w:t>
      </w:r>
      <w:r w:rsidR="003737F7">
        <w:t>apportant une</w:t>
      </w:r>
      <w:r w:rsidR="00DF0BE2">
        <w:t xml:space="preserve"> solution de </w:t>
      </w:r>
      <w:r w:rsidR="00990BC3">
        <w:t>valorisation</w:t>
      </w:r>
      <w:r w:rsidR="00DF0BE2">
        <w:t xml:space="preserve"> des déchets </w:t>
      </w:r>
      <w:r w:rsidR="00990BC3">
        <w:t>municipaux</w:t>
      </w:r>
      <w:r w:rsidR="00DF0BE2">
        <w:t>, de</w:t>
      </w:r>
      <w:r w:rsidR="00990BC3">
        <w:t>s</w:t>
      </w:r>
      <w:r w:rsidR="00DF0BE2">
        <w:t xml:space="preserve"> </w:t>
      </w:r>
      <w:r w:rsidR="00990BC3">
        <w:t>biodéchets</w:t>
      </w:r>
      <w:r w:rsidR="00DF0BE2">
        <w:t xml:space="preserve"> des </w:t>
      </w:r>
      <w:r w:rsidR="00990BC3">
        <w:t>particuliers</w:t>
      </w:r>
      <w:r w:rsidR="00DF0BE2">
        <w:t xml:space="preserve"> et des </w:t>
      </w:r>
      <w:r w:rsidR="00990BC3">
        <w:t>résidus</w:t>
      </w:r>
      <w:r w:rsidR="00DF0BE2">
        <w:t xml:space="preserve"> </w:t>
      </w:r>
      <w:r w:rsidR="00990BC3">
        <w:t>agricoles</w:t>
      </w:r>
      <w:r w:rsidR="00DF0BE2">
        <w:t xml:space="preserve">. </w:t>
      </w:r>
      <w:r w:rsidR="00B2537F">
        <w:t>Elle</w:t>
      </w:r>
      <w:r w:rsidR="00DF0BE2">
        <w:t xml:space="preserve"> </w:t>
      </w:r>
      <w:r w:rsidR="00B2537F">
        <w:t>contribue</w:t>
      </w:r>
      <w:r w:rsidR="00DF0BE2">
        <w:t xml:space="preserve"> donc </w:t>
      </w:r>
      <w:r w:rsidR="00990BC3">
        <w:t>fortement</w:t>
      </w:r>
      <w:r w:rsidR="00DF0BE2">
        <w:t xml:space="preserve"> </w:t>
      </w:r>
      <w:r w:rsidR="00990BC3">
        <w:t>au</w:t>
      </w:r>
      <w:r w:rsidR="00DF0BE2">
        <w:t xml:space="preserve"> </w:t>
      </w:r>
      <w:r w:rsidR="00990BC3">
        <w:t>développement</w:t>
      </w:r>
      <w:r w:rsidR="00DF0BE2">
        <w:t xml:space="preserve"> d’une économie circulaire pérenne</w:t>
      </w:r>
      <w:r w:rsidR="003737F7">
        <w:t> ;</w:t>
      </w:r>
      <w:r w:rsidR="00DF0BE2">
        <w:t xml:space="preserve"> </w:t>
      </w:r>
      <w:bookmarkStart w:id="0" w:name="_GoBack"/>
      <w:bookmarkEnd w:id="0"/>
    </w:p>
    <w:p w14:paraId="34DEE8E8" w14:textId="1D66BD9E" w:rsidR="0018524C" w:rsidRDefault="00B81241" w:rsidP="00766F96">
      <w:pPr>
        <w:pStyle w:val="Paragraphedeliste"/>
        <w:numPr>
          <w:ilvl w:val="0"/>
          <w:numId w:val="6"/>
        </w:numPr>
        <w:jc w:val="both"/>
      </w:pPr>
      <w:r>
        <w:t xml:space="preserve">C’est une </w:t>
      </w:r>
      <w:r w:rsidRPr="0018524C">
        <w:rPr>
          <w:b/>
          <w:bCs/>
        </w:rPr>
        <w:t>énergie permettant le développement de pratiques agroécologiques</w:t>
      </w:r>
      <w:r>
        <w:t xml:space="preserve"> avec l’utilisation des cultures intermédiaires, </w:t>
      </w:r>
      <w:r w:rsidR="003737F7">
        <w:t>augmentant</w:t>
      </w:r>
      <w:r>
        <w:t xml:space="preserve"> le stockage de CO2 dans les sols et </w:t>
      </w:r>
      <w:r w:rsidR="003737F7">
        <w:t>limitant</w:t>
      </w:r>
      <w:r>
        <w:t xml:space="preserve"> l’érosion des terres) et </w:t>
      </w:r>
      <w:r w:rsidR="0030221A">
        <w:t>avec la</w:t>
      </w:r>
      <w:r>
        <w:t xml:space="preserve"> production du digestat, un substitut organique aux engrais chimique</w:t>
      </w:r>
      <w:r w:rsidR="0030221A">
        <w:t>s</w:t>
      </w:r>
      <w:r>
        <w:t xml:space="preserve">. </w:t>
      </w:r>
    </w:p>
    <w:p w14:paraId="62F75D0B" w14:textId="47951160" w:rsidR="0018524C" w:rsidRDefault="00DF0BE2" w:rsidP="00766F96">
      <w:pPr>
        <w:jc w:val="both"/>
        <w:rPr>
          <w:rStyle w:val="jlqj4b"/>
        </w:rPr>
      </w:pPr>
      <w:r w:rsidRPr="00990BC3">
        <w:rPr>
          <w:rStyle w:val="jlqj4b"/>
        </w:rPr>
        <w:t>Ainsi, t</w:t>
      </w:r>
      <w:r w:rsidR="00AE48EE" w:rsidRPr="00990BC3">
        <w:rPr>
          <w:rStyle w:val="jlqj4b"/>
        </w:rPr>
        <w:t xml:space="preserve">ous ces avantages doivent être gardés à l'esprit lors de la conception des </w:t>
      </w:r>
      <w:r w:rsidRPr="00990BC3">
        <w:rPr>
          <w:rStyle w:val="jlqj4b"/>
        </w:rPr>
        <w:t>mécanismes</w:t>
      </w:r>
      <w:r w:rsidR="00AE48EE" w:rsidRPr="00990BC3">
        <w:rPr>
          <w:rStyle w:val="jlqj4b"/>
        </w:rPr>
        <w:t xml:space="preserve"> de </w:t>
      </w:r>
      <w:r w:rsidR="00DD4640" w:rsidRPr="00990BC3">
        <w:rPr>
          <w:rStyle w:val="jlqj4b"/>
        </w:rPr>
        <w:t>soutien</w:t>
      </w:r>
      <w:r w:rsidR="00AE48EE" w:rsidRPr="00990BC3">
        <w:rPr>
          <w:rStyle w:val="jlqj4b"/>
        </w:rPr>
        <w:t>.</w:t>
      </w:r>
      <w:r w:rsidR="00DD4640">
        <w:rPr>
          <w:rStyle w:val="jlqj4b"/>
        </w:rPr>
        <w:t xml:space="preserve"> </w:t>
      </w:r>
      <w:r w:rsidR="005A7812">
        <w:rPr>
          <w:rStyle w:val="jlqj4b"/>
        </w:rPr>
        <w:t>Reconnaître les externalités positives des ENR dans les LDAEE permettra de faire le lien</w:t>
      </w:r>
      <w:r w:rsidR="0030221A">
        <w:rPr>
          <w:rStyle w:val="jlqj4b"/>
        </w:rPr>
        <w:t xml:space="preserve"> e</w:t>
      </w:r>
      <w:r w:rsidR="005A7812">
        <w:rPr>
          <w:rStyle w:val="jlqj4b"/>
        </w:rPr>
        <w:t>ntre ces dernières et les différentes stratégies de la CE (</w:t>
      </w:r>
      <w:r w:rsidR="0030221A">
        <w:rPr>
          <w:rStyle w:val="jlqj4b"/>
        </w:rPr>
        <w:t>s</w:t>
      </w:r>
      <w:r w:rsidR="005A7812">
        <w:rPr>
          <w:rStyle w:val="jlqj4b"/>
        </w:rPr>
        <w:t xml:space="preserve">tratégie pour l’intégration sectorielle, stratégie pour la réduction des émissions de méthane, stratégie </w:t>
      </w:r>
      <w:r w:rsidR="00540DD6">
        <w:rPr>
          <w:rStyle w:val="jlqj4b"/>
        </w:rPr>
        <w:t>pour la qualité des sols, stratégie zéro pollution</w:t>
      </w:r>
      <w:r w:rsidR="0030221A">
        <w:rPr>
          <w:rStyle w:val="jlqj4b"/>
        </w:rPr>
        <w:t xml:space="preserve"> de l’air</w:t>
      </w:r>
      <w:r w:rsidR="00540DD6">
        <w:rPr>
          <w:rStyle w:val="jlqj4b"/>
        </w:rPr>
        <w:t xml:space="preserve"> etc.) </w:t>
      </w:r>
    </w:p>
    <w:p w14:paraId="394394B7" w14:textId="0899A92E" w:rsidR="009679A2" w:rsidRDefault="00540DD6" w:rsidP="009679A2">
      <w:pPr>
        <w:pStyle w:val="Paragraphedeliste"/>
        <w:numPr>
          <w:ilvl w:val="0"/>
          <w:numId w:val="6"/>
        </w:numPr>
        <w:jc w:val="both"/>
        <w:rPr>
          <w:b/>
          <w:bCs/>
        </w:rPr>
      </w:pPr>
      <w:r>
        <w:rPr>
          <w:b/>
          <w:bCs/>
        </w:rPr>
        <w:t>L’attribution des aides d’Etat via une</w:t>
      </w:r>
      <w:r w:rsidR="00941A2D" w:rsidRPr="00941A2D">
        <w:rPr>
          <w:b/>
          <w:bCs/>
        </w:rPr>
        <w:t xml:space="preserve"> mise en concurrence </w:t>
      </w:r>
      <w:r w:rsidR="00DD4640">
        <w:rPr>
          <w:b/>
          <w:bCs/>
        </w:rPr>
        <w:t xml:space="preserve">doit être adaptée aux </w:t>
      </w:r>
      <w:r w:rsidR="0018524C">
        <w:rPr>
          <w:b/>
          <w:bCs/>
        </w:rPr>
        <w:t>spécificités des</w:t>
      </w:r>
      <w:r w:rsidR="00DD4640">
        <w:rPr>
          <w:b/>
          <w:bCs/>
        </w:rPr>
        <w:t xml:space="preserve"> énergies renouvelables</w:t>
      </w:r>
    </w:p>
    <w:p w14:paraId="03D61351" w14:textId="2B1E3D9D" w:rsidR="00DD4640" w:rsidRDefault="00DD4640" w:rsidP="00CA2116">
      <w:pPr>
        <w:jc w:val="both"/>
      </w:pPr>
      <w:r>
        <w:t xml:space="preserve">GRDF reconnaît les bénéfices </w:t>
      </w:r>
      <w:r w:rsidR="00540DD6">
        <w:t xml:space="preserve">d’une </w:t>
      </w:r>
      <w:r>
        <w:t>mise en concurrence à travers des appels d’offre</w:t>
      </w:r>
      <w:r w:rsidR="0030221A">
        <w:t>s</w:t>
      </w:r>
      <w:r>
        <w:t xml:space="preserve"> neutre</w:t>
      </w:r>
      <w:r w:rsidR="0030221A">
        <w:t>s</w:t>
      </w:r>
      <w:r>
        <w:t xml:space="preserve"> technologiquement, permettant de réduire les coûts pour les finances publiques et les consommateurs</w:t>
      </w:r>
      <w:r w:rsidR="0018524C">
        <w:t>,</w:t>
      </w:r>
      <w:r>
        <w:t xml:space="preserve"> ainsi que </w:t>
      </w:r>
      <w:r w:rsidR="0018524C">
        <w:t>de limiter</w:t>
      </w:r>
      <w:r>
        <w:t xml:space="preserve"> les distorsions de marché. Cependant</w:t>
      </w:r>
      <w:r w:rsidR="0030221A">
        <w:t xml:space="preserve">, dans certains cas, </w:t>
      </w:r>
      <w:r w:rsidR="00632526">
        <w:t>des</w:t>
      </w:r>
      <w:r w:rsidR="009679A2" w:rsidRPr="009679A2">
        <w:t xml:space="preserve"> appels d'offres spécifiques à </w:t>
      </w:r>
      <w:r w:rsidR="0030221A">
        <w:t xml:space="preserve">des </w:t>
      </w:r>
      <w:r w:rsidR="009679A2" w:rsidRPr="009679A2">
        <w:t>technologie</w:t>
      </w:r>
      <w:r w:rsidR="00632526">
        <w:t>s</w:t>
      </w:r>
      <w:r w:rsidR="009679A2" w:rsidRPr="009679A2">
        <w:t xml:space="preserve"> sont nécessaires.</w:t>
      </w:r>
      <w:r>
        <w:t xml:space="preserve"> De même, dans des cas particuliers</w:t>
      </w:r>
      <w:r w:rsidR="0030221A">
        <w:t>,</w:t>
      </w:r>
      <w:r>
        <w:t xml:space="preserve"> il est préférable de passer par le système dit de « guichet ouvert » au lieu d’un système d’appel d’offre</w:t>
      </w:r>
      <w:r w:rsidR="0030221A">
        <w:t>s</w:t>
      </w:r>
      <w:r>
        <w:t xml:space="preserve">, notamment pour voir émerger de petits projets portés par des indépendants. </w:t>
      </w:r>
    </w:p>
    <w:p w14:paraId="289EAD7F" w14:textId="17135402" w:rsidR="00492187" w:rsidRDefault="00DD4640" w:rsidP="00CA2116">
      <w:pPr>
        <w:jc w:val="both"/>
      </w:pPr>
      <w:r>
        <w:t xml:space="preserve">Par exemple, les gaz renouvelables sont à des </w:t>
      </w:r>
      <w:r w:rsidR="0030221A">
        <w:t>niveaux</w:t>
      </w:r>
      <w:r>
        <w:t xml:space="preserve"> de maturité moindre que le solaire et l’éolien. </w:t>
      </w:r>
      <w:r w:rsidR="00632526">
        <w:t>De même</w:t>
      </w:r>
      <w:r w:rsidR="00540DD6">
        <w:t>,</w:t>
      </w:r>
      <w:r w:rsidR="00632526">
        <w:t xml:space="preserve"> les technologies permettant de produire les gaz renouvelables nécessitent plus d’aide au fonctionnement que les autres ENR.</w:t>
      </w:r>
      <w:r w:rsidR="0030221A">
        <w:t xml:space="preserve"> </w:t>
      </w:r>
      <w:r>
        <w:t>Ainsi, ils ont besoin d’appels</w:t>
      </w:r>
      <w:r w:rsidR="0030221A">
        <w:t xml:space="preserve"> d’offres </w:t>
      </w:r>
      <w:r>
        <w:t xml:space="preserve">spécifiques pour accompagner leur </w:t>
      </w:r>
      <w:r w:rsidR="00632526">
        <w:t>développement.</w:t>
      </w:r>
      <w:r>
        <w:t xml:space="preserve"> </w:t>
      </w:r>
      <w:r w:rsidR="00492187">
        <w:t xml:space="preserve"> </w:t>
      </w:r>
    </w:p>
    <w:p w14:paraId="7E6953B0" w14:textId="7FE94FE1" w:rsidR="002355DF" w:rsidRDefault="00632526" w:rsidP="00CA2116">
      <w:pPr>
        <w:jc w:val="both"/>
      </w:pPr>
      <w:r>
        <w:t>Par ailleurs, l</w:t>
      </w:r>
      <w:r w:rsidR="002355DF">
        <w:t xml:space="preserve">es sites de biométhane sont </w:t>
      </w:r>
      <w:r w:rsidR="0030221A">
        <w:t>souvent</w:t>
      </w:r>
      <w:r w:rsidR="002355DF">
        <w:t xml:space="preserve"> des </w:t>
      </w:r>
      <w:r w:rsidR="0030221A">
        <w:t>projets</w:t>
      </w:r>
      <w:r w:rsidR="002355DF">
        <w:t xml:space="preserve"> de petite taille gérés par </w:t>
      </w:r>
      <w:r>
        <w:t>des</w:t>
      </w:r>
      <w:r w:rsidR="002355DF">
        <w:t xml:space="preserve"> agriculteurs en parallèle de leur exploitation agricole. U</w:t>
      </w:r>
      <w:r w:rsidR="00B81241">
        <w:t>n</w:t>
      </w:r>
      <w:r w:rsidR="002355DF">
        <w:t xml:space="preserve"> système d’appel d’offre</w:t>
      </w:r>
      <w:r w:rsidR="0030221A">
        <w:t>s</w:t>
      </w:r>
      <w:r w:rsidR="002355DF">
        <w:t xml:space="preserve"> n’est donc pas </w:t>
      </w:r>
      <w:r w:rsidR="00540DD6">
        <w:t>adapté</w:t>
      </w:r>
      <w:r w:rsidR="002355DF">
        <w:t xml:space="preserve"> dans ces cas car il ne permettrait pas à ces projets de se développer</w:t>
      </w:r>
      <w:r>
        <w:t xml:space="preserve"> alors qu’ils ont un </w:t>
      </w:r>
      <w:r w:rsidR="002355DF">
        <w:t xml:space="preserve">impact positif pour la décarbonation et la création </w:t>
      </w:r>
      <w:r>
        <w:t>d’une</w:t>
      </w:r>
      <w:r w:rsidR="002355DF">
        <w:t xml:space="preserve"> valeur territoriale.</w:t>
      </w:r>
    </w:p>
    <w:p w14:paraId="6E13E49E" w14:textId="77777777" w:rsidR="00492187" w:rsidRDefault="00492187" w:rsidP="00CA2116">
      <w:pPr>
        <w:jc w:val="both"/>
      </w:pPr>
    </w:p>
    <w:p w14:paraId="216A4A74" w14:textId="77777777" w:rsidR="00492187" w:rsidRDefault="00492187" w:rsidP="00CA2116">
      <w:pPr>
        <w:jc w:val="both"/>
      </w:pPr>
    </w:p>
    <w:p w14:paraId="5ACFB155" w14:textId="77777777" w:rsidR="00492187" w:rsidRDefault="00492187" w:rsidP="00CA2116">
      <w:pPr>
        <w:jc w:val="both"/>
      </w:pPr>
    </w:p>
    <w:p w14:paraId="1E6B4D77" w14:textId="4EC924C7" w:rsidR="009679A2" w:rsidRDefault="00540DD6" w:rsidP="00CA2116">
      <w:pPr>
        <w:jc w:val="both"/>
      </w:pPr>
      <w:r>
        <w:t>L’UE</w:t>
      </w:r>
      <w:r w:rsidR="009679A2">
        <w:t xml:space="preserve"> doit se doter de lignes </w:t>
      </w:r>
      <w:r>
        <w:t>directrices</w:t>
      </w:r>
      <w:r w:rsidR="009679A2">
        <w:t xml:space="preserve"> pour les aides d’Etat aligné</w:t>
      </w:r>
      <w:r>
        <w:t>e</w:t>
      </w:r>
      <w:r w:rsidR="009679A2">
        <w:t>s avec le Green Deal, c’est-à-dire aligné</w:t>
      </w:r>
      <w:r>
        <w:t>e</w:t>
      </w:r>
      <w:r w:rsidR="009679A2">
        <w:t xml:space="preserve">s non seulement à </w:t>
      </w:r>
      <w:r w:rsidR="0030221A">
        <w:t>des</w:t>
      </w:r>
      <w:r w:rsidR="009679A2">
        <w:t xml:space="preserve"> objectif</w:t>
      </w:r>
      <w:r w:rsidR="0030221A">
        <w:t>s</w:t>
      </w:r>
      <w:r w:rsidR="009679A2">
        <w:t xml:space="preserve"> de décarbonation et de développement des </w:t>
      </w:r>
      <w:r>
        <w:t>ENR</w:t>
      </w:r>
      <w:r w:rsidR="009679A2">
        <w:t xml:space="preserve">, mais également avec le souhait de </w:t>
      </w:r>
      <w:r w:rsidR="0030221A">
        <w:t xml:space="preserve">préserver l’environnement, de </w:t>
      </w:r>
      <w:r w:rsidR="009679A2">
        <w:t xml:space="preserve">créer une économie circulaire, d’intégrer les différents secteurs de l’économie, puis de relancer cette dernière </w:t>
      </w:r>
      <w:r>
        <w:t>à la suite de</w:t>
      </w:r>
      <w:r w:rsidR="009679A2">
        <w:t xml:space="preserve"> l’épidémie de COVID-19. </w:t>
      </w:r>
    </w:p>
    <w:p w14:paraId="677A5FE2" w14:textId="699F2133" w:rsidR="00942C11" w:rsidRDefault="00942C11" w:rsidP="00CA2116">
      <w:pPr>
        <w:jc w:val="both"/>
      </w:pPr>
      <w:r>
        <w:t xml:space="preserve">GRDF reste à la disposition des services de la </w:t>
      </w:r>
      <w:r w:rsidR="00540DD6">
        <w:t>CE</w:t>
      </w:r>
      <w:r>
        <w:t xml:space="preserve"> pour échanger sur le sujet des LDAEE et </w:t>
      </w:r>
      <w:r w:rsidR="0030221A">
        <w:t xml:space="preserve">pour </w:t>
      </w:r>
      <w:r>
        <w:t xml:space="preserve">présenter la vision d’un opérateur de </w:t>
      </w:r>
      <w:r w:rsidR="00540DD6">
        <w:t>réseau</w:t>
      </w:r>
      <w:r>
        <w:t xml:space="preserve"> de gaz. </w:t>
      </w:r>
    </w:p>
    <w:sectPr w:rsidR="00942C1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72528" w14:textId="77777777" w:rsidR="00501D93" w:rsidRDefault="00501D93" w:rsidP="00CA22C5">
      <w:pPr>
        <w:spacing w:after="0" w:line="240" w:lineRule="auto"/>
      </w:pPr>
      <w:r>
        <w:separator/>
      </w:r>
    </w:p>
  </w:endnote>
  <w:endnote w:type="continuationSeparator" w:id="0">
    <w:p w14:paraId="5D734164" w14:textId="77777777" w:rsidR="00501D93" w:rsidRDefault="00501D93" w:rsidP="00CA2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5C2C9" w14:textId="77777777" w:rsidR="00501D93" w:rsidRDefault="00501D93" w:rsidP="00CA22C5">
      <w:pPr>
        <w:spacing w:after="0" w:line="240" w:lineRule="auto"/>
      </w:pPr>
      <w:r>
        <w:separator/>
      </w:r>
    </w:p>
  </w:footnote>
  <w:footnote w:type="continuationSeparator" w:id="0">
    <w:p w14:paraId="55CABF6F" w14:textId="77777777" w:rsidR="00501D93" w:rsidRDefault="00501D93" w:rsidP="00CA22C5">
      <w:pPr>
        <w:spacing w:after="0" w:line="240" w:lineRule="auto"/>
      </w:pPr>
      <w:r>
        <w:continuationSeparator/>
      </w:r>
    </w:p>
  </w:footnote>
  <w:footnote w:id="1">
    <w:p w14:paraId="29EB17E5" w14:textId="73EA4704" w:rsidR="00CA2116" w:rsidRPr="009561B7" w:rsidRDefault="00CA2116">
      <w:pPr>
        <w:pStyle w:val="Notedebasdepage"/>
        <w:rPr>
          <w:i/>
          <w:iCs/>
          <w:sz w:val="16"/>
          <w:szCs w:val="16"/>
        </w:rPr>
      </w:pPr>
      <w:r w:rsidRPr="00CA2116">
        <w:rPr>
          <w:rStyle w:val="Appelnotedebasdep"/>
          <w:sz w:val="14"/>
          <w:szCs w:val="14"/>
        </w:rPr>
        <w:footnoteRef/>
      </w:r>
      <w:r w:rsidR="001B6CBE">
        <w:rPr>
          <w:sz w:val="16"/>
          <w:szCs w:val="16"/>
        </w:rPr>
        <w:t xml:space="preserve"> </w:t>
      </w:r>
      <w:r w:rsidRPr="009561B7">
        <w:rPr>
          <w:sz w:val="16"/>
          <w:szCs w:val="16"/>
        </w:rPr>
        <w:t xml:space="preserve">Bioenergy Europe (2020). </w:t>
      </w:r>
      <w:proofErr w:type="spellStart"/>
      <w:r w:rsidRPr="009561B7">
        <w:rPr>
          <w:i/>
          <w:iCs/>
          <w:sz w:val="16"/>
          <w:szCs w:val="16"/>
        </w:rPr>
        <w:t>Statistical</w:t>
      </w:r>
      <w:proofErr w:type="spellEnd"/>
      <w:r w:rsidRPr="009561B7">
        <w:rPr>
          <w:i/>
          <w:iCs/>
          <w:sz w:val="16"/>
          <w:szCs w:val="16"/>
        </w:rPr>
        <w:t xml:space="preserve"> Report 2020.</w:t>
      </w:r>
    </w:p>
  </w:footnote>
  <w:footnote w:id="2">
    <w:p w14:paraId="16A4A743" w14:textId="477712C1" w:rsidR="00CA2116" w:rsidRPr="00FB2B9A" w:rsidRDefault="00CA2116">
      <w:pPr>
        <w:pStyle w:val="Notedebasdepage"/>
        <w:rPr>
          <w:sz w:val="16"/>
          <w:szCs w:val="16"/>
        </w:rPr>
      </w:pPr>
      <w:r w:rsidRPr="009561B7">
        <w:rPr>
          <w:rStyle w:val="Appelnotedebasdep"/>
          <w:sz w:val="16"/>
          <w:szCs w:val="16"/>
        </w:rPr>
        <w:footnoteRef/>
      </w:r>
      <w:r w:rsidRPr="00FB2B9A">
        <w:rPr>
          <w:sz w:val="16"/>
          <w:szCs w:val="16"/>
        </w:rPr>
        <w:t xml:space="preserve"> European Biogas Association (2020). </w:t>
      </w:r>
      <w:proofErr w:type="spellStart"/>
      <w:r w:rsidRPr="00FB2B9A">
        <w:rPr>
          <w:i/>
          <w:iCs/>
          <w:sz w:val="16"/>
          <w:szCs w:val="16"/>
        </w:rPr>
        <w:t>Statistical</w:t>
      </w:r>
      <w:proofErr w:type="spellEnd"/>
      <w:r w:rsidRPr="00FB2B9A">
        <w:rPr>
          <w:i/>
          <w:iCs/>
          <w:sz w:val="16"/>
          <w:szCs w:val="16"/>
        </w:rPr>
        <w:t xml:space="preserve"> Report 2019</w:t>
      </w:r>
      <w:r w:rsidR="00FB2B9A">
        <w:rPr>
          <w:i/>
          <w:iCs/>
          <w:sz w:val="16"/>
          <w:szCs w:val="16"/>
        </w:rPr>
        <w:t>.</w:t>
      </w:r>
    </w:p>
  </w:footnote>
  <w:footnote w:id="3">
    <w:p w14:paraId="2E00D9FD" w14:textId="4D394A1E" w:rsidR="00CA2116" w:rsidRPr="009561B7" w:rsidRDefault="00CA2116">
      <w:pPr>
        <w:pStyle w:val="Notedebasdepage"/>
        <w:rPr>
          <w:sz w:val="18"/>
          <w:szCs w:val="18"/>
        </w:rPr>
      </w:pPr>
      <w:r w:rsidRPr="009561B7">
        <w:rPr>
          <w:rStyle w:val="Appelnotedebasdep"/>
          <w:sz w:val="16"/>
          <w:szCs w:val="16"/>
        </w:rPr>
        <w:footnoteRef/>
      </w:r>
      <w:r w:rsidRPr="009561B7">
        <w:rPr>
          <w:sz w:val="16"/>
          <w:szCs w:val="16"/>
        </w:rPr>
        <w:t xml:space="preserve"> Open Data Réseaux Energie (2020). </w:t>
      </w:r>
      <w:r w:rsidRPr="009561B7">
        <w:rPr>
          <w:i/>
          <w:iCs/>
          <w:sz w:val="16"/>
          <w:szCs w:val="16"/>
        </w:rPr>
        <w:t xml:space="preserve">Points d’injection de biométhane en </w:t>
      </w:r>
      <w:r w:rsidR="00FB2B9A">
        <w:rPr>
          <w:i/>
          <w:iCs/>
          <w:sz w:val="16"/>
          <w:szCs w:val="16"/>
        </w:rPr>
        <w:t>France.</w:t>
      </w:r>
    </w:p>
  </w:footnote>
  <w:footnote w:id="4">
    <w:p w14:paraId="2BBD4664" w14:textId="1B592F44" w:rsidR="00FB2B9A" w:rsidRPr="00FB2B9A" w:rsidRDefault="00FB2B9A">
      <w:pPr>
        <w:pStyle w:val="Notedebasdepage"/>
        <w:rPr>
          <w:sz w:val="16"/>
          <w:szCs w:val="16"/>
        </w:rPr>
      </w:pPr>
      <w:r w:rsidRPr="00FB2B9A">
        <w:rPr>
          <w:rStyle w:val="Appelnotedebasdep"/>
          <w:sz w:val="16"/>
          <w:szCs w:val="16"/>
        </w:rPr>
        <w:footnoteRef/>
      </w:r>
      <w:r w:rsidRPr="00FB2B9A">
        <w:rPr>
          <w:sz w:val="16"/>
          <w:szCs w:val="16"/>
        </w:rPr>
        <w:t xml:space="preserve"> Comité de prospective de la CRE (2019). </w:t>
      </w:r>
      <w:r w:rsidRPr="00FB2B9A">
        <w:rPr>
          <w:i/>
          <w:iCs/>
          <w:sz w:val="16"/>
          <w:szCs w:val="16"/>
        </w:rPr>
        <w:t>Le verdissement du gaz.</w:t>
      </w:r>
      <w:r w:rsidRPr="00FB2B9A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714C5" w14:textId="77777777" w:rsidR="00942C11" w:rsidRDefault="00942C11">
    <w:pPr>
      <w:pStyle w:val="En-tte"/>
    </w:pPr>
    <w:r w:rsidRPr="00CA22C5">
      <w:rPr>
        <w:noProof/>
      </w:rPr>
      <w:drawing>
        <wp:anchor distT="0" distB="0" distL="114300" distR="114300" simplePos="0" relativeHeight="251658240" behindDoc="1" locked="0" layoutInCell="1" allowOverlap="1" wp14:anchorId="442E493E" wp14:editId="3EBCAD30">
          <wp:simplePos x="0" y="0"/>
          <wp:positionH relativeFrom="column">
            <wp:posOffset>-268649</wp:posOffset>
          </wp:positionH>
          <wp:positionV relativeFrom="paragraph">
            <wp:posOffset>7620</wp:posOffset>
          </wp:positionV>
          <wp:extent cx="1257529" cy="772510"/>
          <wp:effectExtent l="0" t="0" r="0" b="8890"/>
          <wp:wrapTight wrapText="bothSides">
            <wp:wrapPolygon edited="0">
              <wp:start x="0" y="0"/>
              <wp:lineTo x="0" y="21316"/>
              <wp:lineTo x="21273" y="21316"/>
              <wp:lineTo x="21273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529" cy="77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21A0A"/>
    <w:multiLevelType w:val="hybridMultilevel"/>
    <w:tmpl w:val="6950B6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24FCF"/>
    <w:multiLevelType w:val="hybridMultilevel"/>
    <w:tmpl w:val="EFA2ADEE"/>
    <w:lvl w:ilvl="0" w:tplc="B600A1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1786"/>
    <w:multiLevelType w:val="hybridMultilevel"/>
    <w:tmpl w:val="870A1FD8"/>
    <w:lvl w:ilvl="0" w:tplc="04E88F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87BA3"/>
    <w:multiLevelType w:val="hybridMultilevel"/>
    <w:tmpl w:val="86ECAE34"/>
    <w:lvl w:ilvl="0" w:tplc="B600A1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E3D84"/>
    <w:multiLevelType w:val="hybridMultilevel"/>
    <w:tmpl w:val="7694A13A"/>
    <w:lvl w:ilvl="0" w:tplc="133662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F3A70"/>
    <w:multiLevelType w:val="hybridMultilevel"/>
    <w:tmpl w:val="558EB7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2CB"/>
    <w:rsid w:val="0003166A"/>
    <w:rsid w:val="00065A46"/>
    <w:rsid w:val="00074B11"/>
    <w:rsid w:val="00074CB3"/>
    <w:rsid w:val="00093167"/>
    <w:rsid w:val="000E4AC6"/>
    <w:rsid w:val="000E5B14"/>
    <w:rsid w:val="001500E8"/>
    <w:rsid w:val="00176F1E"/>
    <w:rsid w:val="0018524C"/>
    <w:rsid w:val="00185BA3"/>
    <w:rsid w:val="001A7D87"/>
    <w:rsid w:val="001B6CBE"/>
    <w:rsid w:val="001B7CF4"/>
    <w:rsid w:val="001C3112"/>
    <w:rsid w:val="001C75A3"/>
    <w:rsid w:val="001D7F30"/>
    <w:rsid w:val="001E5CF9"/>
    <w:rsid w:val="00214214"/>
    <w:rsid w:val="00214F3B"/>
    <w:rsid w:val="0022702C"/>
    <w:rsid w:val="00235175"/>
    <w:rsid w:val="002355DF"/>
    <w:rsid w:val="00240A0E"/>
    <w:rsid w:val="00240B52"/>
    <w:rsid w:val="0025456B"/>
    <w:rsid w:val="002659A5"/>
    <w:rsid w:val="002C4B7C"/>
    <w:rsid w:val="002D2708"/>
    <w:rsid w:val="002E5A2A"/>
    <w:rsid w:val="002E6777"/>
    <w:rsid w:val="0030221A"/>
    <w:rsid w:val="003523AD"/>
    <w:rsid w:val="00364DD2"/>
    <w:rsid w:val="003737F7"/>
    <w:rsid w:val="003A1267"/>
    <w:rsid w:val="003A28D4"/>
    <w:rsid w:val="003B30E5"/>
    <w:rsid w:val="003D11ED"/>
    <w:rsid w:val="003D54A7"/>
    <w:rsid w:val="00412C9A"/>
    <w:rsid w:val="00413427"/>
    <w:rsid w:val="004170A1"/>
    <w:rsid w:val="0042027F"/>
    <w:rsid w:val="00437A96"/>
    <w:rsid w:val="00443487"/>
    <w:rsid w:val="00447859"/>
    <w:rsid w:val="00451C9F"/>
    <w:rsid w:val="00476A08"/>
    <w:rsid w:val="00487F13"/>
    <w:rsid w:val="00492187"/>
    <w:rsid w:val="00501D93"/>
    <w:rsid w:val="00505A27"/>
    <w:rsid w:val="005226FE"/>
    <w:rsid w:val="00540DD6"/>
    <w:rsid w:val="00547CAE"/>
    <w:rsid w:val="00550483"/>
    <w:rsid w:val="005807C7"/>
    <w:rsid w:val="005840E3"/>
    <w:rsid w:val="005841D6"/>
    <w:rsid w:val="00596570"/>
    <w:rsid w:val="005A2B86"/>
    <w:rsid w:val="005A55BF"/>
    <w:rsid w:val="005A7812"/>
    <w:rsid w:val="005B005D"/>
    <w:rsid w:val="005E5A90"/>
    <w:rsid w:val="00632526"/>
    <w:rsid w:val="00632BD6"/>
    <w:rsid w:val="006444A3"/>
    <w:rsid w:val="006654C0"/>
    <w:rsid w:val="006916F3"/>
    <w:rsid w:val="006A1321"/>
    <w:rsid w:val="006B3A94"/>
    <w:rsid w:val="006B437A"/>
    <w:rsid w:val="006C106A"/>
    <w:rsid w:val="007234B3"/>
    <w:rsid w:val="00732254"/>
    <w:rsid w:val="00766F96"/>
    <w:rsid w:val="00770BEE"/>
    <w:rsid w:val="007832CB"/>
    <w:rsid w:val="007871DD"/>
    <w:rsid w:val="007A2206"/>
    <w:rsid w:val="007C3650"/>
    <w:rsid w:val="007D08EB"/>
    <w:rsid w:val="007E16CA"/>
    <w:rsid w:val="007F131E"/>
    <w:rsid w:val="00835FA9"/>
    <w:rsid w:val="008B630A"/>
    <w:rsid w:val="008C37A8"/>
    <w:rsid w:val="008D09D5"/>
    <w:rsid w:val="008F4701"/>
    <w:rsid w:val="009029E4"/>
    <w:rsid w:val="0093545A"/>
    <w:rsid w:val="00941A2D"/>
    <w:rsid w:val="00942C11"/>
    <w:rsid w:val="00953016"/>
    <w:rsid w:val="009561B7"/>
    <w:rsid w:val="009679A2"/>
    <w:rsid w:val="0097718B"/>
    <w:rsid w:val="00984336"/>
    <w:rsid w:val="00986BF9"/>
    <w:rsid w:val="00990BC3"/>
    <w:rsid w:val="00995CFF"/>
    <w:rsid w:val="009C3D63"/>
    <w:rsid w:val="009D5472"/>
    <w:rsid w:val="00A17583"/>
    <w:rsid w:val="00A216F9"/>
    <w:rsid w:val="00A25D27"/>
    <w:rsid w:val="00A35D74"/>
    <w:rsid w:val="00A36EE4"/>
    <w:rsid w:val="00A67E34"/>
    <w:rsid w:val="00A72414"/>
    <w:rsid w:val="00A85B57"/>
    <w:rsid w:val="00A87872"/>
    <w:rsid w:val="00AA5EC5"/>
    <w:rsid w:val="00AC6CF5"/>
    <w:rsid w:val="00AE48EE"/>
    <w:rsid w:val="00AF6424"/>
    <w:rsid w:val="00B00F52"/>
    <w:rsid w:val="00B244C3"/>
    <w:rsid w:val="00B2537F"/>
    <w:rsid w:val="00B47E37"/>
    <w:rsid w:val="00B50379"/>
    <w:rsid w:val="00B65DE2"/>
    <w:rsid w:val="00B81241"/>
    <w:rsid w:val="00BC06D0"/>
    <w:rsid w:val="00BD1CDA"/>
    <w:rsid w:val="00BD48A7"/>
    <w:rsid w:val="00BE3D36"/>
    <w:rsid w:val="00BE3EBB"/>
    <w:rsid w:val="00C01771"/>
    <w:rsid w:val="00C41BEC"/>
    <w:rsid w:val="00CA2116"/>
    <w:rsid w:val="00CA22C5"/>
    <w:rsid w:val="00CA36BF"/>
    <w:rsid w:val="00CA56D8"/>
    <w:rsid w:val="00CC73DE"/>
    <w:rsid w:val="00CE0485"/>
    <w:rsid w:val="00CE1A1F"/>
    <w:rsid w:val="00CF1D6F"/>
    <w:rsid w:val="00CF616F"/>
    <w:rsid w:val="00D269C3"/>
    <w:rsid w:val="00D42BAB"/>
    <w:rsid w:val="00D4573F"/>
    <w:rsid w:val="00D56C5C"/>
    <w:rsid w:val="00D635EF"/>
    <w:rsid w:val="00D645F3"/>
    <w:rsid w:val="00D66D92"/>
    <w:rsid w:val="00D7314E"/>
    <w:rsid w:val="00D8132B"/>
    <w:rsid w:val="00D81811"/>
    <w:rsid w:val="00DA2DC8"/>
    <w:rsid w:val="00DA5828"/>
    <w:rsid w:val="00DD4640"/>
    <w:rsid w:val="00DE3102"/>
    <w:rsid w:val="00DF0BE2"/>
    <w:rsid w:val="00E2159B"/>
    <w:rsid w:val="00E3258D"/>
    <w:rsid w:val="00E47EEC"/>
    <w:rsid w:val="00E57A2D"/>
    <w:rsid w:val="00E627B9"/>
    <w:rsid w:val="00E675CC"/>
    <w:rsid w:val="00E80E24"/>
    <w:rsid w:val="00E8211C"/>
    <w:rsid w:val="00E9189E"/>
    <w:rsid w:val="00EA123B"/>
    <w:rsid w:val="00EA2EBB"/>
    <w:rsid w:val="00EB551E"/>
    <w:rsid w:val="00EB7A3A"/>
    <w:rsid w:val="00ED0B13"/>
    <w:rsid w:val="00EE1822"/>
    <w:rsid w:val="00F202D7"/>
    <w:rsid w:val="00F208A6"/>
    <w:rsid w:val="00F513AF"/>
    <w:rsid w:val="00F878EB"/>
    <w:rsid w:val="00FB2B9A"/>
    <w:rsid w:val="00FB7130"/>
    <w:rsid w:val="00FD174B"/>
    <w:rsid w:val="00FD3BDA"/>
    <w:rsid w:val="00FD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0A67C"/>
  <w15:chartTrackingRefBased/>
  <w15:docId w15:val="{642C7516-321A-402D-BDD6-5AC2B3BE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6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A2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22C5"/>
  </w:style>
  <w:style w:type="paragraph" w:styleId="Pieddepage">
    <w:name w:val="footer"/>
    <w:basedOn w:val="Normal"/>
    <w:link w:val="PieddepageCar"/>
    <w:uiPriority w:val="99"/>
    <w:unhideWhenUsed/>
    <w:rsid w:val="00CA2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22C5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E16C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E16C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E16CA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4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41D6"/>
    <w:rPr>
      <w:rFonts w:ascii="Segoe UI" w:hAnsi="Segoe UI" w:cs="Segoe UI"/>
      <w:sz w:val="18"/>
      <w:szCs w:val="18"/>
    </w:rPr>
  </w:style>
  <w:style w:type="character" w:customStyle="1" w:styleId="jlqj4b">
    <w:name w:val="jlqj4b"/>
    <w:basedOn w:val="Policepardfaut"/>
    <w:rsid w:val="007F131E"/>
  </w:style>
  <w:style w:type="character" w:styleId="Lienhypertexte">
    <w:name w:val="Hyperlink"/>
    <w:basedOn w:val="Policepardfaut"/>
    <w:uiPriority w:val="99"/>
    <w:semiHidden/>
    <w:unhideWhenUsed/>
    <w:rsid w:val="00CA21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7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56EEF85AD9F2499A80B2BD38FBCC6B" ma:contentTypeVersion="13" ma:contentTypeDescription="Crée un document." ma:contentTypeScope="" ma:versionID="a681b4284ee906b30891e66db88907fc">
  <xsd:schema xmlns:xsd="http://www.w3.org/2001/XMLSchema" xmlns:xs="http://www.w3.org/2001/XMLSchema" xmlns:p="http://schemas.microsoft.com/office/2006/metadata/properties" xmlns:ns3="6c614da8-18fc-466c-bbf0-d2e7b6cde2af" xmlns:ns4="0dca216d-4111-478c-8803-1325c6f9373f" targetNamespace="http://schemas.microsoft.com/office/2006/metadata/properties" ma:root="true" ma:fieldsID="85aac22d77c0fad6db90e508764f9b3e" ns3:_="" ns4:_="">
    <xsd:import namespace="6c614da8-18fc-466c-bbf0-d2e7b6cde2af"/>
    <xsd:import namespace="0dca216d-4111-478c-8803-1325c6f937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14da8-18fc-466c-bbf0-d2e7b6cde2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a216d-4111-478c-8803-1325c6f93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39485-37BA-4543-969C-9D694C8022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9E053B-4497-418C-B0BE-A378B88DD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1FAC90-B82C-48BE-B515-9885AE075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614da8-18fc-466c-bbf0-d2e7b6cde2af"/>
    <ds:schemaRef ds:uri="0dca216d-4111-478c-8803-1325c6f937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2C87A7-FC6C-4F7B-A9B3-8192F94E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THEVENET Victor (Gaz Réseau Distribution France)</dc:creator>
  <cp:keywords/>
  <dc:description/>
  <cp:lastModifiedBy>THEVENET Victor (Gaz Réseau Distribution France)</cp:lastModifiedBy>
  <cp:revision>3</cp:revision>
  <dcterms:created xsi:type="dcterms:W3CDTF">2020-12-23T16:22:00Z</dcterms:created>
  <dcterms:modified xsi:type="dcterms:W3CDTF">2021-01-06T09:27:00Z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0x0101002E56EEF85AD9F2499A80B2BD38FBCC6B</vt:lpwstr>
  </property>
</Properties>
</file>