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56ABA77E" w:rsidR="008E3BF9" w:rsidRPr="00BA15DC" w:rsidRDefault="00FA1F8A" w:rsidP="007B485D">
            <w:pPr>
              <w:pStyle w:val="Heading2"/>
              <w:spacing w:before="240" w:after="240"/>
              <w:jc w:val="center"/>
              <w:rPr>
                <w:sz w:val="32"/>
                <w:szCs w:val="32"/>
              </w:rPr>
            </w:pPr>
            <w:bookmarkStart w:id="0" w:name="_Toc414370364"/>
            <w:bookmarkStart w:id="1" w:name="_Toc416949016"/>
            <w:r>
              <w:rPr>
                <w:sz w:val="32"/>
              </w:rPr>
              <w:t xml:space="preserve">Osa III.6  </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Päivitetty* Lisätietolomake – Ilmastotoimiin, ympäristönsuojeluun ja energia-alalle myönnettävää valtiontukea koskevien vuoden 2022 suuntaviivojen mukaisesti myönnetty valtiontuki</w:t>
            </w:r>
            <w:bookmarkStart w:id="2" w:name="_Hlk152693571"/>
            <w:r>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4.9 luku – Tuki energiainfrastruktuurille</w:t>
            </w:r>
          </w:p>
          <w:p w14:paraId="469DC4EF" w14:textId="5E9F59D2" w:rsidR="008E3BF9" w:rsidRPr="00BA15DC" w:rsidRDefault="008E3BF9" w:rsidP="008E3BF9">
            <w:pPr>
              <w:rPr>
                <w:sz w:val="32"/>
                <w:szCs w:val="32"/>
              </w:rPr>
            </w:pPr>
            <w:r>
              <w:t>* Ei vielä virallisesti hyväksytty.</w:t>
            </w:r>
          </w:p>
        </w:tc>
      </w:tr>
    </w:tbl>
    <w:p w14:paraId="45497634" w14:textId="77777777" w:rsidR="008E3BF9" w:rsidRPr="00BA15DC" w:rsidRDefault="008E3BF9" w:rsidP="008E3BF9">
      <w:pPr>
        <w:spacing w:before="120" w:after="120"/>
        <w:ind w:right="-142"/>
        <w:jc w:val="both"/>
        <w:rPr>
          <w:i/>
          <w:iCs/>
        </w:rPr>
      </w:pPr>
      <w:r>
        <w:rPr>
          <w:i/>
        </w:rPr>
        <w:t>Tätä lisätietolomaketta on käytettävä ilmoitettaessa tuesta, joka kuuluu ilmastotoimiin, ympäristönsuojeluun ja energia-alalle myönnettävää valtiontukea koskevien vuoden 2022 suuntaviivojen, jäljempänä ’suuntaviivat’, soveltamisalaan.</w:t>
      </w:r>
    </w:p>
    <w:p w14:paraId="3912F2B6" w14:textId="18735016" w:rsidR="008E3BF9" w:rsidRPr="00BA15DC" w:rsidRDefault="008E3BF9" w:rsidP="009E2EA1">
      <w:pPr>
        <w:spacing w:before="120" w:after="120"/>
        <w:ind w:right="-142"/>
        <w:jc w:val="both"/>
        <w:rPr>
          <w:i/>
          <w:iCs/>
        </w:rPr>
      </w:pPr>
      <w:r>
        <w:rPr>
          <w:i/>
        </w:rPr>
        <w:t xml:space="preserve">Tämä lisätietolomake koskee suuntaviivojen 4.9 luvun piiriin kuuluvia toimenpiteitä. Jos ilmoitus koskee toimenpiteitä, jotka kuuluvat useamman kuin yhden suuntaviivojen luvun piiriin, täyttäkää kaikkia kyseeseen tulevia lukuja koskevat lisätietolomakkeet, kun ne tulevat saataville. </w:t>
      </w:r>
    </w:p>
    <w:p w14:paraId="516B301C" w14:textId="77777777" w:rsidR="008E3BF9" w:rsidRPr="00BA15DC" w:rsidRDefault="008E3BF9" w:rsidP="008E3BF9">
      <w:pPr>
        <w:spacing w:before="120" w:after="120"/>
        <w:ind w:right="-142"/>
        <w:jc w:val="both"/>
        <w:rPr>
          <w:i/>
          <w:iCs/>
        </w:rPr>
      </w:pPr>
      <w:r>
        <w:rPr>
          <w:i/>
        </w:rPr>
        <w:t>Kaikki asiakirjat, jotka jäsenvaltiot esittävät tämän lisätietolomakkeen liitteinä, on numeroitava, ja asiakirjojen numerot on mainittava tämän lisätietolomakkeen asianomaisissa jaksoissa.</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br w:type="page"/>
            </w:r>
            <w:r>
              <w:br w:type="page"/>
            </w:r>
            <w:r>
              <w:rPr>
                <w:b/>
                <w:sz w:val="32"/>
              </w:rPr>
              <w:t>Jakso A: Yhteenveto ilmoitetun toimenpiteen tärkeimmistä ominaispiirteistä</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Ilmoitetun toimenpiteen tausta ja tavoitteet</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Ilmoittakaa tausta ja päätavoite, mukaan lukien mahdolliset kasvihuonekaasupäästöjen vähentämistä ja poistamista koskevat unionin tavoitteet, joita toimenpiteellä on tarkoitus tukea, jos tätä ei ole jo käsitelty yleistietolomakkeen (osa I) kohdassa 5.2.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Ilmoittakaa toimenpiteen mahdolliset muut tavoitteet. Jos tavoitteet eivät liity ainoastaan ympäristöön, selittäkää, voivatko ne johtaa sisämarkkinoiden vääristymiseen.</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tab/>
      </w:r>
      <w:r>
        <w:rPr>
          <w:b/>
        </w:rPr>
        <w:t>Voimaantulo ja kesto</w:t>
      </w:r>
    </w:p>
    <w:p w14:paraId="29824976" w14:textId="39DBFC0F" w:rsidR="008E3BF9" w:rsidRPr="00BA15DC" w:rsidRDefault="008E3BF9" w:rsidP="008E3BF9">
      <w:pPr>
        <w:pStyle w:val="ListParagraph"/>
        <w:numPr>
          <w:ilvl w:val="0"/>
          <w:numId w:val="59"/>
        </w:numPr>
        <w:ind w:left="993" w:hanging="142"/>
        <w:jc w:val="both"/>
        <w:rPr>
          <w:szCs w:val="24"/>
        </w:rPr>
      </w:pPr>
      <w:r>
        <w:t>Ilmoittakaa päivämäärä, josta alkaen toimenpiteen on tarkoitus tulla voimaan, jos sitä ei ole jo ilmoitettu yleistietolomakkeen (osa I) kohdassa 5.5.</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Jos toimenpide koskee tukiohjelmaa, ilmoittakaa ohjelman kesto.</w:t>
      </w:r>
      <w:r>
        <w:rPr>
          <w:szCs w:val="24"/>
          <w:vertAlign w:val="superscript"/>
        </w:rPr>
        <w:footnoteReference w:id="3"/>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Tuensaaja(t)</w:t>
      </w:r>
      <w:r>
        <w:tab/>
      </w:r>
    </w:p>
    <w:p w14:paraId="41CA72BE" w14:textId="77777777" w:rsidR="00F7269C" w:rsidRPr="00BA15DC" w:rsidRDefault="00F7269C" w:rsidP="00F7269C">
      <w:pPr>
        <w:pStyle w:val="ListParagraph"/>
        <w:numPr>
          <w:ilvl w:val="0"/>
          <w:numId w:val="22"/>
        </w:numPr>
        <w:ind w:left="1078" w:hanging="227"/>
        <w:jc w:val="both"/>
        <w:rPr>
          <w:szCs w:val="24"/>
        </w:rPr>
      </w:pPr>
      <w:r>
        <w:t>Kuvailkaa toimenpiteen (mahdolliset) tuensaajat, ellei niitä ole jo ilmoitettu yleistietolomakkeen (osa I) kohdassa 3.</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Ilmoittakaa (mahdollisten) tuensaajien sijainti (ts. voivatko toimenpiteeseen osallistua ainoastaan asianomaisissa jäsenvaltioissa vai myös muissa jäsenvaltioissa sijaitsevat taloudelliset yksiköt).</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Täsmentäkää suuntaviivojen 15 kappaleen noudattamisen arvioimiseksi, myönnetäänkö toimenpiteestä (ohjelman osana tai muuten) yksittäistä tukea yritykselle, jolle on annettu aiempaan komission päätökseen perustuva perintämääräys tuen sääntöjenvastaisuuden ja sisämarkkinoille soveltumattomuuden </w:t>
      </w:r>
      <w:proofErr w:type="gramStart"/>
      <w:r>
        <w:t>takia</w:t>
      </w:r>
      <w:proofErr w:type="gramEnd"/>
      <w:r>
        <w:t xml:space="preserve"> mutta perintämääräys on vielä maksamatta.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lastRenderedPageBreak/>
        <w:t xml:space="preserve">Jos kyllä, antakaa tiedot vielä perimättä olevan tuen määrästä, jotta komissio voi ottaa sen huomioon arvioidessaan tukitoimenpidettä.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Vahvistakaa, että toimenpiteeseen ei sisälly tukea toimintoihin, jotka eivät kuulu suuntaviivojen soveltamisalaan (ks. suuntaviivojen 13 kappale). Muussa tapauksessa antakaa lisätietoa.</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Suuntaviivojen 373 ja 374 kappaleen mukaan ”</w:t>
      </w:r>
      <w:r>
        <w:rPr>
          <w:i/>
        </w:rPr>
        <w:t>tuki energiainfrastruktuurille lakisääteisen monopolin puitteissa ei kuulu valtiontukisääntöjen soveltamisalaan</w:t>
      </w:r>
      <w:r>
        <w:t>”.</w:t>
      </w:r>
      <w:r>
        <w:rPr>
          <w:i/>
        </w:rPr>
        <w:t xml:space="preserve"> </w:t>
      </w:r>
      <w:r>
        <w:t>Tämä voi koskea esimerkiksi tapauksia, joissa tiettyjen infrastruktuurien rakentaminen ja käyttö on lain mukaan varattu yksinomaan siirtoverkonhaltijalle tai jakeluverkonhaltijalle. Vastaavasti suuntaviivojen 375 kappaleessa todetaan, että ”</w:t>
      </w:r>
      <w:r>
        <w:rPr>
          <w:i/>
        </w:rPr>
        <w:t>komissio katsoo, että investointeihin ei liity valtiontukea, jos energiainfrastruktuuria ylläpidetään ”luonnollisena monopolina”</w:t>
      </w:r>
      <w:r>
        <w:t xml:space="preserve">”. </w:t>
      </w:r>
    </w:p>
    <w:p w14:paraId="5E43B93C" w14:textId="77777777" w:rsidR="00DC1614" w:rsidRPr="00BA15DC" w:rsidRDefault="00DC1614" w:rsidP="003B0EFB">
      <w:pPr>
        <w:pStyle w:val="ListParagraph"/>
        <w:spacing w:before="120" w:after="120"/>
        <w:ind w:left="1080"/>
        <w:contextualSpacing w:val="0"/>
        <w:jc w:val="both"/>
      </w:pPr>
      <w:r>
        <w:t xml:space="preserve">Onko hanke ilmoitettu lakisääteisen monopolin puitteissa tai toteutetaanko se ”luonnollisena monopolina”?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Jos vastaus edelliseen kysymykseen on kyllä, selittäkää, miksi ilmoitettu hanke kuuluu lakisääteisen ja/tai luonnollisen monopolin piiriin, viitaten kaikkiin suuntaviivojen 374 kappaleessa lakisääteisten monopolien osalta ja/tai 375 kappaleessa luonnollisten monopolien osalta vahvistettuihin kumulatiivisiin edellytyksiin.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Toimenpiteen budjetti ja rahoitus</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Ilmoittakaa vuotuinen budjetti ja/tai kokonaisbudjetti toimenpiteen koko keston ajalta, jos sitä ei ole jo mainittu yleistietolomakkeen (osa I) kohdassa 7.1 olevassa taulukossa. Jos kokonaisbudjetti ei ole tiedossa (esimerkiksi siksi, että se riippuu tarjouskilpailujen tuloksista), ilmoittakaa alustava budjetti, mukaan lukien sen laskennassa käytetyt oletukset.</w:t>
      </w:r>
      <w:r>
        <w:rPr>
          <w:szCs w:val="24"/>
          <w:vertAlign w:val="superscript"/>
        </w:rPr>
        <w:footnoteReference w:id="4"/>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Jos toimenpiteen rahoittamiseksi peritään maksuja, täsmentäkää,</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säädetäänkö maksusta laissa tai muussa säädöksessä; jos kyllä, ilmoittakaa säädöksen nimi, numero, antamis- ja voimaantulopäivä sekä linkki säädökseen;</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t>kohdistuuko maksu yhtäläisesti kotimaisiin tuotteisiin ja tuontituotteisiin;</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hyödyttääkö ilmoitettu toimenpide yhtä lailla kotimaisia tuottajia ja tuontituotteiden tuottajia;</w:t>
      </w:r>
    </w:p>
    <w:p w14:paraId="57708231" w14:textId="77777777" w:rsidR="00F7269C" w:rsidRPr="00BA15DC" w:rsidRDefault="00F7269C" w:rsidP="00F7269C">
      <w:pPr>
        <w:tabs>
          <w:tab w:val="left" w:leader="dot" w:pos="9072"/>
        </w:tabs>
        <w:spacing w:before="120" w:after="120"/>
        <w:ind w:left="927"/>
        <w:jc w:val="both"/>
      </w:pPr>
      <w:r>
        <w:lastRenderedPageBreak/>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rahoitetaanko toimenpide maksuilla kokonaan vai vain osittain. Jos toimenpide rahoitetaan maksuilla vain osittain, ilmoittakaa toimenpiteen muut rahoituslähteet ja niiden osuudet;</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rahoitetaanko ilmoitetun toimenpiteen rahoittamiseksi perittävillä maksuilla myös muita tukitoimenpiteitä. Jos kyllä, luetelkaa tässä muut kyseisillä maksuilla rahoitettavat tukitoimenpiteet.</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86"/>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t>Jakso B: Tuen sisämarkkinoille soveltuvuuden arviointi</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Positiivinen edellytys: tuen on edistettävä tietyn taloudellisen toiminnan kehitystä</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Tietyn taloudellisen toiminnan kehityksen edistäminen</w:t>
            </w:r>
          </w:p>
        </w:tc>
      </w:tr>
    </w:tbl>
    <w:p w14:paraId="1E2599D2" w14:textId="075AAE16" w:rsidR="000442F5" w:rsidRPr="00BA15DC" w:rsidRDefault="000442F5" w:rsidP="003B0EFB">
      <w:pPr>
        <w:spacing w:before="120" w:after="120"/>
        <w:jc w:val="both"/>
        <w:rPr>
          <w:i/>
        </w:rPr>
      </w:pPr>
      <w:r>
        <w:rPr>
          <w:i/>
        </w:rPr>
        <w:t xml:space="preserve">Tämän jakson tietoja varten ks. suuntaviivojen 3.1.1 kohta (23–25 kappale) ja 4.9.1 ja 4.9.2 kohta.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bookmarkStart w:id="8" w:name="_Hlk170735690"/>
      <w:r>
        <w:t>Euroopan unionin toiminnasta tehdyn sopimuksen (SEUT)</w:t>
      </w:r>
      <w:bookmarkEnd w:id="8"/>
      <w:r>
        <w:t xml:space="preserve"> 107 artiklan 3 kohdan c alakohdan mukaan komissio voi pitää sisämarkkinoille soveltuvana ”tukea tietyn taloudellisen toiminnan tai talousalueen kehityksen edistämiseen, jos tuki ei muuta kaupankäynnin edellytyksiä yhteisen edun kanssa ristiriitaisella tavalla”. Sen vuoksi kyseisen SEUT-sopimuksen määräyksen mukaisen tuen on edistettävä tietyn taloudellisen toiminnan kehitystä. </w:t>
      </w:r>
    </w:p>
    <w:p w14:paraId="4688DCCE" w14:textId="77777777" w:rsidR="00F7269C" w:rsidRPr="00BA15DC" w:rsidRDefault="00F7269C" w:rsidP="000442F5">
      <w:pPr>
        <w:tabs>
          <w:tab w:val="left" w:leader="dot" w:pos="9072"/>
        </w:tabs>
        <w:spacing w:before="120" w:after="120"/>
        <w:ind w:left="567"/>
        <w:jc w:val="both"/>
      </w:pPr>
      <w:r>
        <w:t>Yksilöikää suuntaviivojen 23 kappaleen noudattamisen arvioimiseksi taloudellinen toiminta, jota tuella edistetään, ja se, miten kyseistä toimintaa tuetaan.</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Kuvatkaa suuntaviivojen 25 kappaleen noudattamisen arvioimiseksi ”</w:t>
      </w:r>
      <w:r>
        <w:rPr>
          <w:i/>
        </w:rPr>
        <w:t>mahdollinen unionin ilmasto-, ympäristö- ja energiapolitiikan tavoitteiden saavuttamista edistävä vaikutus ja erityisesti tuen odotetut hyödyt, jotka liittyvät sen olennaiseen vaikutukseen ympäristönsuojeluun, mukaan lukien ilmastonmuutoksen hillitseminen, tai energian sisämarkkinoiden tehokkaaseen toimintaan</w:t>
      </w:r>
      <w:r>
        <w:t>”.</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Lisäksi täsmentäkää, missä määrin tuki liittyy suuntaviivojen 371 ja 372 kappaleessa kuvattuihin toimintapolitiikkoihin.</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Antakaa tiedot tukitoimenpiteen laajuudesta ja sillä tuetusta toiminnasta suuntaviivojen 376 kappaleen mukaisesti. Antakaa samalla seuraavat tiedot:</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Varmistakaa, että hanke koskee suuntaviivojen 19 kappaleen 36 kohdan määritelmän mukaista energiainfrastruktuuria. </w:t>
      </w:r>
    </w:p>
    <w:p w14:paraId="200CB163" w14:textId="4FFB2EB0" w:rsidR="00D83DB7" w:rsidRPr="00BA15DC" w:rsidRDefault="00D83DB7" w:rsidP="00D83DB7">
      <w:pPr>
        <w:pStyle w:val="ListParagraph"/>
        <w:numPr>
          <w:ilvl w:val="0"/>
          <w:numId w:val="56"/>
        </w:numPr>
        <w:spacing w:before="120" w:after="120"/>
        <w:contextualSpacing w:val="0"/>
        <w:jc w:val="both"/>
      </w:pPr>
      <w:r>
        <w:t>Varmistakaa, että hankkeeseen ei liity erityisinfrastruktuuria ja/tai muuta energiainfrastruktuuria yhdistettynä tuotanto- ja/tai kulutustoimintoihin.</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Täsmentäkää, minkä tyyppisiä kustannuksia toimenpiteellä tuetaan: investointi- vai toimintakustannuksia.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Jos toimenpiteellä katetaan toimintakustannuksia, osoittakaa, että kyseisiä kustannuksia ei voida periä verkon käyttäjiltä eivätkä ne liity uponneisiin kustannuksiin ja että toimintatuki johtaa käyttäytymisen muutokseen, joka mahdollistaa toimitusvarmuutta tai ympäristönsuojelua koskevien tavoitteiden saavuttamisen.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Kannustava vaikutus</w:t>
            </w:r>
          </w:p>
        </w:tc>
      </w:tr>
    </w:tbl>
    <w:p w14:paraId="20915284" w14:textId="0EA618F2" w:rsidR="00015E2B" w:rsidRPr="00BA15DC" w:rsidRDefault="00B15313" w:rsidP="003B0EFB">
      <w:pPr>
        <w:spacing w:before="120" w:after="120"/>
        <w:jc w:val="both"/>
        <w:rPr>
          <w:i/>
        </w:rPr>
      </w:pPr>
      <w:r>
        <w:rPr>
          <w:i/>
        </w:rPr>
        <w:t xml:space="preserve">Tämän jakson tietoja varten ks. suuntaviivojen 3.1.2 kohta (26–32 kappale).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Tuen voidaan katsoa edistävän taloudellista toimintaa vain, jos sillä on kannustava vaikutus. Selostakaa suuntaviivojen 26 kappaleen noudattamisen arvioimiseksi, miten toimenpide ”</w:t>
      </w:r>
      <w:r>
        <w:rPr>
          <w:i/>
        </w:rPr>
        <w:t>kannustaa tuensaajaa muuttamaan käyttäytymistään, harjoittamaan lisää taloudellista toimintaa tai harjoittamaan ympäristöystävällisempää taloudellista toimintaa, jota se ei harjoittaisi ilman tukea tai harjoittaisi rajallisemmin tai eri tavalla</w:t>
      </w:r>
      <w:r>
        <w:t>”.</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rPr>
          <w:color w:val="000000"/>
          <w:shd w:val="clear" w:color="auto" w:fill="FFFFFF"/>
        </w:rPr>
        <w:t>Esittäkää suuntaviivojen 27 kappaleen noudattamisen arvioimiseksi tiedot, jotka vahvistavat, että tuella ei kateta kustannuksia toiminnasta, jota tuensaaja harjoittaisi joka tapauksessa, ja että sillä ei kompensoida taloudelliseen toimintaan liittyvää tavanomaista liiketoimintariskiä</w:t>
      </w:r>
      <w:r>
        <w:rPr>
          <w:i/>
        </w:rPr>
        <w:t>.</w:t>
      </w:r>
      <w:r>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Kannustavan vaikutuksen osoittamiseksi suuntaviivojen 28 kappaleessa edellytetään tosiasiallisen skenaarion ja ilman tukea todennäköisesti toteutuvan vaihtoehtoisen skenaarion määrittämistä. Kun on kyse energiainfrastruktuurille myönnettävästä tuesta, vaihtoehtoisen skenaarion oletetaan 52 kappaleen mukaisesti olevan tilanne, jossa hanketta ei toteutettaisi. </w:t>
      </w:r>
    </w:p>
    <w:p w14:paraId="4AA49B40" w14:textId="0DEE1851" w:rsidR="00D70FE9" w:rsidRPr="00BA15DC" w:rsidRDefault="00A255BF" w:rsidP="00526607">
      <w:pPr>
        <w:pStyle w:val="ListParagraph"/>
        <w:numPr>
          <w:ilvl w:val="0"/>
          <w:numId w:val="37"/>
        </w:numPr>
        <w:spacing w:before="120" w:after="120"/>
        <w:contextualSpacing w:val="0"/>
        <w:jc w:val="both"/>
      </w:pPr>
      <w:r>
        <w:t>Esittäkää kattava kuvaus tosiasiallisesta skenaariosta. Jos ohjelma kattaa erilaisia viitehankkeita</w:t>
      </w:r>
      <w:r>
        <w:rPr>
          <w:rStyle w:val="FootnoteReference"/>
          <w:lang w:val="en-IE" w:eastAsia="en-GB"/>
        </w:rPr>
        <w:footnoteReference w:id="6"/>
      </w:r>
      <w:r>
        <w:t>, kuvailkaa tosiasiallinen skenaario kunkin viitehankkeen osalta.</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Jos toimenpide ei ole tukiohjelma, liittäkää tähän ilmoituslomakkeeseen suuntaviivojen 28 kappaleen alaviitteen 39 mukaisesti mahdolliset yritysten hallintoelinten asiakirjat, riskinarvioinnit, tilinpäätökset, sisäiset liiketoimintasuunnitelmat, asiantuntijalausunnot ja muut arvioitavana olevaan hankkeeseen liittyvät selvitykset, asiakirjat, jotka sisältävät tietoja kysyntä-, kustannus- ja talousennusteista, asiakirjat, jotka on toimitettu investointikomitealle ja joissa kuvaillaan investointi-/toimintaskenaarioita, tai asiakirjat, jotka on tarkoitettu rahoituslaitoksille.</w:t>
      </w:r>
    </w:p>
    <w:p w14:paraId="489E64F5" w14:textId="104163BA" w:rsidR="00C713DD" w:rsidRPr="00BA15DC" w:rsidRDefault="005F6E6B" w:rsidP="005F6E6B">
      <w:pPr>
        <w:pStyle w:val="ListParagraph"/>
        <w:spacing w:before="120" w:after="120"/>
        <w:ind w:left="1287"/>
        <w:contextualSpacing w:val="0"/>
        <w:jc w:val="both"/>
      </w:pPr>
      <w:r>
        <w:t>Huomioikaa, että asiakirjojen on oltava ajankohtaisia investointia/toimintaa koskevaan päätöksentekoprosessiin nähden.</w:t>
      </w:r>
    </w:p>
    <w:p w14:paraId="0F3CF49B" w14:textId="1DE4A9D5" w:rsidR="00DE063E" w:rsidRPr="00BA15DC" w:rsidRDefault="00E32AD5" w:rsidP="005F6E6B">
      <w:pPr>
        <w:pStyle w:val="ListParagraph"/>
        <w:spacing w:before="120" w:after="120"/>
        <w:ind w:left="1287"/>
        <w:contextualSpacing w:val="0"/>
        <w:jc w:val="both"/>
      </w:pPr>
      <w:r>
        <w:t>Jos ilmoituslomakkeeseen liitetään tällaisia asiakirjoja, luetelkaa ne alla ja ilmoittakaa laatija, laatimispäivä ja asiayhteys, jossa asiakirjaa käytettiin.</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Suuntaviivojen 29 ja 31 kappaleen noudattamisen osoittamiseksi:</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lastRenderedPageBreak/>
        <w:t>Vahvistakaa, että hankkeeseen tai toimintaan liittyviä töitä ei ollut aloitettu ennen kuin tuensaaja jätti kirjallisen tukihakemuksen kansallisille viranomaisille;</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TAI</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Osoittakaa, että jos hanke on alkanut ennen tukihakemuksen jättämistä, sitä koskee jokin suuntaviivojen 31 kappaleessa tarkoitetuista poikkeustapauksista (a, b tai c kohta).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Vahvistakaa suuntaviivojen 30 kappaleen noudattamisen osoittamiseksi, että tukihakemuksessa on vähintään hakijan nimi, kuvaus hankkeesta tai toiminnasta, mukaan lukien sen sijainti, sekä hankkeen tai toiminnan toteuttamiseen tarvittavan tuen määrä.</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Ilmoittakaa suuntaviivojen 32 kappaleen noudattamisen osoittamiseksi, sovelletaanko ilmoitettuihin toimenpiteisiin unionin normeja</w:t>
      </w:r>
      <w:r>
        <w:rPr>
          <w:rStyle w:val="FootnoteReference"/>
          <w:lang w:val="en-IE" w:eastAsia="en-GB"/>
        </w:rPr>
        <w:footnoteReference w:id="7"/>
      </w:r>
      <w:r>
        <w:t>, velvoittavia kansallisia normeja, jotka ovat tiukempia tai kunnianhimoisempia kuin vastaavat unionin normit, tai unionin normien puuttuessa hyväksyttyjä velvoittavia kansallisia normeja. Esittäkää tässä yhteydessä tietoa kannustavan vaikutuksen osoittamiseksi.</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t xml:space="preserve">Jos kyseinen unionin normi on jo hyväksytty mutta ei vielä voimassa, osoittakaa, että tuella on kannustava vaikutus, koska se kannustaa investoinnin toteuttamiseen ja loppuunsaattamiseen vähintään 18 kuukautta ennen normin voimaantuloa.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Mitään asiaan liittyvää unionin oikeuden säännöstä ei rikota</w:t>
            </w:r>
          </w:p>
        </w:tc>
      </w:tr>
    </w:tbl>
    <w:p w14:paraId="0AB413A5" w14:textId="77777777" w:rsidR="00B00F48" w:rsidRPr="00BA15DC" w:rsidRDefault="00B00F48" w:rsidP="003B0EFB">
      <w:pPr>
        <w:spacing w:before="120" w:after="120"/>
        <w:jc w:val="both"/>
        <w:rPr>
          <w:i/>
        </w:rPr>
      </w:pPr>
      <w:r>
        <w:rPr>
          <w:i/>
        </w:rPr>
        <w:t xml:space="preserve">Tämän jakson tietoja varten ks. suuntaviivojen 3.1.3 kohta (33 kappale).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Antakaa tiedot, jotka vahvistavat, että asiaa koskevia EU:n lainsäädännön säännöksiä on noudatettu suuntaviivojen 33 kappaleen mukaisesti. </w:t>
      </w:r>
    </w:p>
    <w:p w14:paraId="0F021F61" w14:textId="77777777" w:rsidR="00B00F48" w:rsidRPr="00BA15DC" w:rsidRDefault="00B00F48" w:rsidP="00B00F48">
      <w:pPr>
        <w:tabs>
          <w:tab w:val="left" w:leader="dot" w:pos="9072"/>
        </w:tabs>
        <w:spacing w:before="120" w:after="120"/>
        <w:ind w:left="567"/>
        <w:jc w:val="both"/>
        <w:rPr>
          <w:color w:val="000000"/>
        </w:rPr>
      </w:pPr>
      <w: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lastRenderedPageBreak/>
        <w:t>Jos toimenpiteen rahoittamiseksi peritään maksuja, täsmentäkää, onko toimenpidettä tarpeen arvioida SEUT-sopimuksen 30 ja 110 artiklan näkökulmasta. Jos kyllä, osoittakaa, millä tavoin toimenpide on SEUT-sopimuksen 30 ja 110 artiklan määräysten mukainen.</w:t>
      </w:r>
      <w:r>
        <w:rPr>
          <w:i/>
        </w:rPr>
        <w:t xml:space="preserve"> </w:t>
      </w:r>
      <w:r>
        <w:t xml:space="preserve">Tässä yhteydessä voidaan viitata kysymyksen </w:t>
      </w:r>
      <w:r>
        <w:fldChar w:fldCharType="begin"/>
      </w:r>
      <w:r>
        <w:instrText xml:space="preserve"> REF _Ref171091150 \r \h </w:instrText>
      </w:r>
      <w:r>
        <w:fldChar w:fldCharType="separate"/>
      </w:r>
      <w:r>
        <w:t>4</w:t>
      </w:r>
      <w:r>
        <w:fldChar w:fldCharType="end"/>
      </w:r>
      <w:r>
        <w:t xml:space="preserve"> luetelmakohdan </w:t>
      </w:r>
      <w:r>
        <w:fldChar w:fldCharType="begin"/>
      </w:r>
      <w:r>
        <w:instrText xml:space="preserve"> REF _Ref116914400 \r \h </w:instrText>
      </w:r>
      <w:r>
        <w:fldChar w:fldCharType="separate"/>
      </w:r>
      <w:r>
        <w:t>ii</w:t>
      </w:r>
      <w:r>
        <w:fldChar w:fldCharType="end"/>
      </w:r>
      <w:r>
        <w:t xml:space="preserve"> yhteydessä esitettyihin tietoihin, jos ilmoitetun toimenpiteen rahoittamiseksi peritään maksuja.</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t>Negatiivinen edellytys: tuki ei saa perusteettomasti vaikuttaa kaupankäynnin edellytyksiin yhteisen edun vastaisesti</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Kilpailun ja kaupan vääristymien minimointi</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Valtiontuen tarpeellisuus ja tarkoituksenmukaisuus</w:t>
            </w:r>
          </w:p>
        </w:tc>
      </w:tr>
    </w:tbl>
    <w:p w14:paraId="3C23674F" w14:textId="4D2BAF74" w:rsidR="00663008" w:rsidRPr="00BA15DC" w:rsidRDefault="00663008" w:rsidP="003B0EFB">
      <w:pPr>
        <w:spacing w:before="120" w:after="120"/>
        <w:jc w:val="both"/>
        <w:rPr>
          <w:i/>
          <w:color w:val="000000"/>
        </w:rPr>
      </w:pPr>
      <w:r>
        <w:rPr>
          <w:i/>
        </w:rPr>
        <w:t>Tämän jakson tietoja varten ks. suuntaviivojen 4.9.3.1 kohta (379 ja 380 kappale).</w:t>
      </w:r>
      <w:r>
        <w:rPr>
          <w:i/>
          <w:color w:val="000000"/>
        </w:rPr>
        <w:t xml:space="preserve">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Suuntaviivojen 379 kappaleessa todetaan, että energiainfrastruktuuriin liittyviin markkinoiden toimintapuutteisiin puututaan yleensä pakollisilla säännellyillä käyttäjätariffeilla. Kuten suuntaviivojen 380 kappaleessa mainitaan, näin ei kuitenkaan aina ole. Selittäkää, missä määrin toimenpiteellä korjataan markkinoiden toimintapuutteita, joihin ei voida puuttua pakollisilla käyttäjätariffeilla.</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Valtiontuen tarpeellisuuden ja asianmukaisuuden osoittamiseksi täsmentäkää, missä eri tilanteista ilmoitettua hanketta on arvioitava:</w:t>
      </w:r>
    </w:p>
    <w:p w14:paraId="14A4B66A" w14:textId="3266CF1A" w:rsidR="00C317A9" w:rsidRPr="00BA15DC" w:rsidRDefault="003618C5" w:rsidP="00C317A9">
      <w:pPr>
        <w:pStyle w:val="ListParagraph"/>
        <w:numPr>
          <w:ilvl w:val="0"/>
          <w:numId w:val="49"/>
        </w:numPr>
        <w:spacing w:before="120" w:after="120"/>
        <w:contextualSpacing w:val="0"/>
        <w:jc w:val="both"/>
      </w:pPr>
      <w:r>
        <w:t>Ilmoitettu hanke on asetuksen (EU) N:o 347/2013 2 artiklan 4 alakohdan määritelmän mukainen yhteistä etua koskeva hanke, joihin sovelletaan täysimääräisesti energia-alan sisämarkkinalainsäädäntöä. Tässä tilanteessa komissio katsoo, että markkinoilla voidaan olettaa olevan toimintapuutteita. Tällöin jäsenvaltion ei tarvitse perustella tarkemmin valtiontuen tarvetta ja asianmukaisuutta.</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Joko ilmoitettu hanke ei ole edellä mainitun määritelmän mukainen yhteistä etua koskeva hanke tai se on yhteistä etua koskeva hanke mutta jää kokonaan tai osittain energia-alan sisämarkkinalainsäädännön ulkopuolelle.</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Hanke ei ole yhteistä etua koskeva hanke, ja se on unionin ja kolmannen maan välinen.</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Jos ilmoitettu hanke kuuluu edellä </w:t>
      </w:r>
      <w:r>
        <w:rPr>
          <w:b/>
        </w:rPr>
        <w:t>kohdan 19 luetelmakohdassa b</w:t>
      </w:r>
      <w:r>
        <w:t xml:space="preserve"> mainittuun tilanteeseen, selittäkää toimenpiteen tarpeellisuuden ja asianmukaisuuden perustelemiseksi, missä määrin</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markkinoiden toimintapuute johtaa tarvittavan infrastruktuurin optimaalista huonompaan tarjontaan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infrastruktuuri on avoin kolmansille osapuolille ja tariffisääntelyn kohteena </w:t>
      </w:r>
    </w:p>
    <w:p w14:paraId="481FBBA1" w14:textId="1EE21959" w:rsidR="0042660D" w:rsidRPr="00BA15DC" w:rsidRDefault="00D812B2" w:rsidP="00046FE3">
      <w:pPr>
        <w:pStyle w:val="ListParagraph"/>
        <w:numPr>
          <w:ilvl w:val="0"/>
          <w:numId w:val="52"/>
        </w:numPr>
        <w:spacing w:before="120" w:after="120"/>
        <w:contextualSpacing w:val="0"/>
        <w:jc w:val="both"/>
      </w:pPr>
      <w:r>
        <w:t xml:space="preserve">hankkeella edistetään energian toimitusvarmuutta unionissa tai unionin ilmastoneutraaliustavoitteita.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Jos hanke on </w:t>
      </w:r>
      <w:r>
        <w:rPr>
          <w:b/>
        </w:rPr>
        <w:t>kohdan 19 luetelmakohdassa c</w:t>
      </w:r>
      <w:r>
        <w:t xml:space="preserve"> tarkoitetussa tilanteessa, selittäkää, i) onko hanke laadittu ja toteutetaanko sitä unionin alueella sijaitsevan infrastruktuurin osan osalta unionin lainsäädännön, erityisesti direktiivien 2009/73/EY ja (EU) </w:t>
      </w:r>
      <w:r>
        <w:lastRenderedPageBreak/>
        <w:t xml:space="preserve">2019/944, mukaisesti ja, ii) kun on kyse kolmansissa maissa sijaitsevasta osasta, ovatko kyseiset kolmannet maat lähentäneet sääntelyään unionin sääntelyyn ja tukevatko hankkeet unionin yleisiä tavoitteita, jotka koskevat erityisesti seuraavien varmistamista: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energian sisämarkkinoiden moitteeton toiminta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yhteistyöhön ja yhteisvastuuseen perustuva energian toimitusvarmuus </w:t>
      </w:r>
    </w:p>
    <w:p w14:paraId="6F1E0EF7" w14:textId="78DFE7A8" w:rsidR="0097238E" w:rsidRPr="00BA15DC" w:rsidRDefault="003618C5" w:rsidP="0097238E">
      <w:pPr>
        <w:pStyle w:val="ListParagraph"/>
        <w:numPr>
          <w:ilvl w:val="0"/>
          <w:numId w:val="53"/>
        </w:numPr>
        <w:spacing w:before="120" w:after="120"/>
        <w:contextualSpacing w:val="0"/>
        <w:jc w:val="both"/>
      </w:pPr>
      <w:r>
        <w:t>energiajärjestelmä, joka on tiellä kohti hiilestä irtautumista Pariisin sopimuksen ja unionin ilmastotavoitteiden mukaisesti, ja erityisesti</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hiilivuodon välttäminen.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Tuen oikeasuhteisuus</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Tämän jakson tietoja varten ks. suuntaviivojen 51–52 ja 381 kappale</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Tyypilliset ylimääräiset nettokustannukset voidaan suuntaviivojen 51 kappaleen mukaan arvioida tosiasiallisen skenaarion nettonykyarvon ja vaihtoehtoisen skenaarion nettonykyarvon erotuksena hankkeen tai tarvittaessa viitehankkeen elinkaaren aikana. Jos vaihtoehtoinen skenaario on, että hanketta ei toteuteta (ks. suuntaviivojen 52 kappale), tosiasiallisen skenaarion negatiivinen nettonykyarvo on yhtä suuri kuin ylimääräiset nettokustannukset. </w:t>
      </w:r>
    </w:p>
    <w:p w14:paraId="2FF71764" w14:textId="253C5AA4" w:rsidR="001620DB" w:rsidRPr="00BA15DC" w:rsidRDefault="00095D42" w:rsidP="00095D42">
      <w:pPr>
        <w:pStyle w:val="ListParagraph"/>
        <w:spacing w:before="120" w:after="120"/>
        <w:ind w:left="567"/>
        <w:contextualSpacing w:val="0"/>
        <w:jc w:val="both"/>
      </w:pPr>
      <w:r>
        <w:t xml:space="preserve">Ilmoittakaa seuraavat tiedot tämän ilmoituslomakkeen liitteessä (käyttäkää Excel-tiedostoa, </w:t>
      </w:r>
      <w:r>
        <w:rPr>
          <w:shd w:val="clear" w:color="auto" w:fill="FFFFFF"/>
        </w:rPr>
        <w:t>jossa kaikki kaavat ovat näkyvissä</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Rahoitusvajeen määrittämiseksi</w:t>
      </w:r>
      <w:r>
        <w:rPr>
          <w:rStyle w:val="FootnoteReference"/>
          <w:shd w:val="clear" w:color="auto" w:fill="FFFFFF"/>
        </w:rPr>
        <w:footnoteReference w:id="8"/>
      </w:r>
      <w:r>
        <w:rPr>
          <w:shd w:val="clear" w:color="auto" w:fill="FFFFFF"/>
        </w:rPr>
        <w:t xml:space="preserve"> toimittakaa tosiasiallisen skenaarion osalta määrällinen arvio seuraavista:</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kaikki hankkeen pääasialliset kustannukset ja tulot</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tuensaajien arvioidut painotetut keskimääräiset pääomakustannukset tulevien kassavirtojen diskonttaamiseksi</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tosiasiallisen skenaarion nettonykyarvo hankkeen elinkaaren aikana.</w:t>
      </w:r>
    </w:p>
    <w:p w14:paraId="6B0BF531" w14:textId="77777777" w:rsidR="00F05162" w:rsidRPr="00BA15DC" w:rsidRDefault="00F05162" w:rsidP="00F05162">
      <w:pPr>
        <w:tabs>
          <w:tab w:val="left" w:leader="dot" w:pos="9072"/>
        </w:tabs>
        <w:spacing w:before="120" w:after="120"/>
        <w:ind w:left="567"/>
        <w:jc w:val="both"/>
      </w:pPr>
      <w:r>
        <w:rPr>
          <w:shd w:val="clear" w:color="auto" w:fill="FFFFFF"/>
        </w:rPr>
        <w:t xml:space="preserve">  </w:t>
      </w: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t xml:space="preserve">Ilmoittakaa tämän ilmoituslomakkeen liitteessä yksityiskohtaiset tiedot oletuksista, menetelmistä, perusteluista ja niiden taustalla olevista lähteistä, joita on käytetty kustannusten ja tulojen kvantifioinnin kunkin osa-alueen osalta tosiasiallisessa skenaariossa (esittäkää esimerkiksi tosiasiallisen skenaarioiden laatimisessa käytetyt oletukset).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Kun on kyse yksittäisistä tuista ja ohjelmista, jotka hyödyttävät erityisen vähäistä määrää tuensaajia, jäsenvaltion on esitettävä asiaa tukeva näyttö suuntaviivojen 53 kappaleen mukaisesti hankekohtaisen liiketoimintasuunnitelman tasolla.</w:t>
      </w:r>
    </w:p>
    <w:p w14:paraId="584CA833" w14:textId="436A6E2D" w:rsidR="00124B6F" w:rsidRPr="00C34CB6" w:rsidRDefault="00C53C43" w:rsidP="00232CF6">
      <w:pPr>
        <w:pStyle w:val="ListParagraph"/>
        <w:spacing w:before="120" w:after="120"/>
        <w:ind w:left="567"/>
        <w:contextualSpacing w:val="0"/>
        <w:jc w:val="both"/>
      </w:pPr>
      <w:r>
        <w:lastRenderedPageBreak/>
        <w:t>Tukiohjelmien osalta jäsenvaltion on esitettävä asiaa tukeva näyttö yhden tai useamman viitehankkeen perusteella.</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Jotta komissio voi tarkastaa, että tukimäärä ei ylitä vähimmäismäärää, joka tarvitaan tuetun hankkeen saattamiseksi riittävän kannattavaksi</w:t>
      </w:r>
      <w:r>
        <w:rPr>
          <w:rStyle w:val="FootnoteReference"/>
          <w:lang w:eastAsia="en-GB"/>
        </w:rPr>
        <w:footnoteReference w:id="9"/>
      </w:r>
      <w:r>
        <w:t>, toimittakaa seuraavat tiedot:</w:t>
      </w:r>
    </w:p>
    <w:p w14:paraId="020A0406" w14:textId="40D27EEF" w:rsidR="00EC2A7D" w:rsidRPr="00BA15DC" w:rsidRDefault="00EC2A7D" w:rsidP="00C003E3">
      <w:pPr>
        <w:pStyle w:val="ListParagraph"/>
        <w:numPr>
          <w:ilvl w:val="1"/>
          <w:numId w:val="4"/>
        </w:numPr>
        <w:spacing w:before="120" w:after="120"/>
        <w:contextualSpacing w:val="0"/>
        <w:jc w:val="both"/>
      </w:pPr>
      <w:r>
        <w:t>ala- tai yrityskohtaista vertailuarvoa tai vähimmäistuottovaatimusta vastaava sisäinen tuottoprosentti; tai</w:t>
      </w:r>
    </w:p>
    <w:p w14:paraId="056D5BF9" w14:textId="64F3B5CD" w:rsidR="00AB47A1" w:rsidRPr="00BA15DC" w:rsidRDefault="007315B8" w:rsidP="00C003E3">
      <w:pPr>
        <w:pStyle w:val="ListParagraph"/>
        <w:numPr>
          <w:ilvl w:val="1"/>
          <w:numId w:val="4"/>
        </w:numPr>
        <w:spacing w:before="120" w:after="120"/>
        <w:contextualSpacing w:val="0"/>
        <w:jc w:val="both"/>
      </w:pPr>
      <w:r>
        <w:t>tuensaajan muissa saman tyyppisissä investointihankkeissa edellyttämät tavanomaiset tuottoprosentit tai sen pääomakustannukset kokonaisuudessaan; tai</w:t>
      </w:r>
    </w:p>
    <w:p w14:paraId="13B46137" w14:textId="062C7DC0" w:rsidR="0029714D" w:rsidRPr="00BA15DC" w:rsidRDefault="007315B8" w:rsidP="00C003E3">
      <w:pPr>
        <w:pStyle w:val="ListParagraph"/>
        <w:numPr>
          <w:ilvl w:val="1"/>
          <w:numId w:val="4"/>
        </w:numPr>
        <w:spacing w:before="120" w:after="120"/>
        <w:contextualSpacing w:val="0"/>
        <w:jc w:val="both"/>
      </w:pPr>
      <w:r>
        <w:t>kyseisellä toimialalla yleisesti toteutuneet tuottoprosentit; tai</w:t>
      </w:r>
    </w:p>
    <w:p w14:paraId="0691A0E0" w14:textId="27443E78" w:rsidR="00445F48" w:rsidRPr="00BA15DC" w:rsidRDefault="001622D8" w:rsidP="00C003E3">
      <w:pPr>
        <w:pStyle w:val="ListParagraph"/>
        <w:numPr>
          <w:ilvl w:val="1"/>
          <w:numId w:val="4"/>
        </w:numPr>
        <w:spacing w:before="120" w:after="120"/>
        <w:contextualSpacing w:val="0"/>
        <w:jc w:val="both"/>
      </w:pPr>
      <w:r>
        <w:t>muut tiedot, jotka osoittavat, että tukimäärä ei ylitä vähimmäismäärää, joka tarvitaan tuetun hankkeen saattamiseksi riittävän kannattavaksi.</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Suuntaviivojen 381 kappaleen mukaan seuranta- ja takaisinperintämekanismit voivat olla tarpeen silloin, kun tuen määrä on lähellä sallittua enimmäismäärää ja kun on olemassa satunnaisten voittojen riski, mutta samalla on tarjottava tuensaajille kannustimia minimoida kustannuksensa ja kehittää liiketoimintaansa ajan mittaan tehokkaammin. Selittäkää, onko käytössä seuranta- ja takaisinperintämekanismia. Jos ei ole, perustelkaa.</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Kasautuminen</w:t>
            </w:r>
          </w:p>
        </w:tc>
      </w:tr>
    </w:tbl>
    <w:p w14:paraId="2346A85D" w14:textId="72F525D8" w:rsidR="00B21377" w:rsidRPr="00BA15DC" w:rsidRDefault="00B21377" w:rsidP="00B21377">
      <w:pPr>
        <w:pStyle w:val="ListParagraph"/>
        <w:spacing w:before="120" w:after="120"/>
        <w:ind w:left="567"/>
        <w:contextualSpacing w:val="0"/>
        <w:jc w:val="both"/>
      </w:pPr>
      <w:r>
        <w:rPr>
          <w:i/>
        </w:rPr>
        <w:t>Tämän jakson tietoja varten ks. suuntaviivojen 56–57 kappale</w:t>
      </w:r>
      <w:r>
        <w: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Täsmentäkää suuntaviivojen 56 kappaleen noudattamisen todentamiseksi, voidaanko ilmoitetun toimenpiteen mukaista tukea myöntää samanaikaisesti useista tukiohjelmista tai voiko se kasautua samoihin tukikelpoisiin kustannuksiin kohdistuvan tapauskohtaisen tai vähämerkityksisen tuen kanssa, siltä osin kuin asiaa ei ole jo ilmoitettu yleistietolomakkeen (osa I) kohdassa 7.4. Jos näin on, esittäkää tiedot kyseisistä tukiohjelmista, tapauskohtaisesta tuesta tai vähämerkityksisestä tuesta sekä siitä, miten tuki kasautuu. Huomatkaa, että voitte viitata edellä esitettyyn määrälliseen arvioon.</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Jos tukea myönnetään samanaikaisesti useista tukiohjelmista tai se kasautuu samoihin tukikelpoisiin kustannuksiin kohdistuvan tapauskohtaisen tai vähämerkityksisen tuen kanssa, perustelkaa, miten hankkeelle tai toiminnalle myönnettävän tuen kokonaismäärä ei johda ylikompensaatioon tai ylitä suuntaviivojen 51 ja 381 kappaleen mukaisesti sallittuja tuen enimmäismääriä. Täsmentäkää kullekin toimenpiteelle, jonka kanssa ilmoitetusta toimenpiteestä myönnetty tuki voi kasautua, menetelmä, jolla varmistetaan suuntaviivojen 56 kappaleessa kuvattujen ehtojen täyttyminen.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lastRenderedPageBreak/>
        <w:t>Jos ilmoitetusta toimenpiteestä myönnettyä tukea yhdistetään keskitetysti hallinnoituun unionin rahoitukseen</w:t>
      </w:r>
      <w:r>
        <w:rPr>
          <w:rStyle w:val="FootnoteReference"/>
          <w:lang w:eastAsia="en-GB"/>
        </w:rPr>
        <w:footnoteReference w:id="10"/>
      </w:r>
      <w:r>
        <w:t xml:space="preserve"> suuntaviivojen 57 kappaleen mukaisesti, perustelkaa, miten </w:t>
      </w:r>
      <w:r>
        <w:rPr>
          <w:shd w:val="clear" w:color="auto" w:fill="FFFFFF"/>
        </w:rPr>
        <w:t>samoihin tukikelpoisiin kustannuksiin myönnetyn julkisen rahoituksen kokonaismäärä ei johda ylikompensaatioon</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Läpinäkyvyys</w:t>
            </w:r>
          </w:p>
        </w:tc>
      </w:tr>
    </w:tbl>
    <w:p w14:paraId="07229A8F" w14:textId="24C7C0FA" w:rsidR="006773CE" w:rsidRPr="00BA15DC" w:rsidRDefault="006773CE" w:rsidP="003B0EFB">
      <w:pPr>
        <w:spacing w:before="120" w:after="120"/>
        <w:jc w:val="both"/>
        <w:rPr>
          <w:i/>
        </w:rPr>
      </w:pPr>
      <w:r>
        <w:rPr>
          <w:i/>
        </w:rPr>
        <w:t xml:space="preserve">Tämän jakson tietoja varten ks. suuntaviivojen 3.2.1.4 kohta (58–62 kappale).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Vahvistakaa, että jäsenvaltio noudattaa suuntaviivojen 58–61 kappaleessa kuvattuja läpinäkyvyysvaatimuksia.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Antakaa linkki verkkosivulle, jolla julkaistaan hyväksytyn tukiohjelman tai yksittäisen tuen myöntämistä koskevan päätöksen ja sen täytäntöönpanosääntöjen koko teksti sekä tiedot kustakin yksittäisestä tuesta, joka on myönnetty tapauskohtaisesti tai suuntaviivojen perusteella hyväksytyn tukiohjelman puitteissa ja joka ylittää 100 000 euroa.</w:t>
      </w:r>
      <w:r>
        <w:rPr>
          <w:rFonts w:ascii="inherit" w:hAnsi="inherit"/>
        </w:rPr>
        <w:t xml:space="preserve">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t xml:space="preserve"> Kilpailuun ja kauppaan kohdistuvien tuen kohtuuttomien kielteisten vaikutusten välttäminen ja punninta</w:t>
            </w:r>
          </w:p>
        </w:tc>
      </w:tr>
    </w:tbl>
    <w:p w14:paraId="32B25629" w14:textId="6CBE1875" w:rsidR="00F83660" w:rsidRPr="00BA15DC" w:rsidRDefault="00F83660" w:rsidP="003B0EFB">
      <w:pPr>
        <w:spacing w:before="360" w:after="120"/>
        <w:jc w:val="both"/>
      </w:pPr>
      <w:r>
        <w:rPr>
          <w:i/>
        </w:rPr>
        <w:t>Tämän jakson tietoja varten ks. suuntaviivojen 4.9.4 kohta (382 kappale ja sitä seuraavat kappaleet).</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Jos ilmoitettu hanke on kokonaan tai osittain vapautettu energia-alan sisämarkkinalainsäädännöstä, selittäkää: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missä määrin kolmansilla osapuolilla on pääsy tuettuun infrastruktuuriin;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missä määrin asiakkailla on pääsy vaihtoehtoiseen infrastruktuuriin, jos sellaista on; </w:t>
      </w:r>
    </w:p>
    <w:p w14:paraId="14CAE043" w14:textId="0F765E36" w:rsidR="009013F3" w:rsidRPr="00BA15DC" w:rsidRDefault="009C221E" w:rsidP="00232CF6">
      <w:pPr>
        <w:pStyle w:val="ListParagraph"/>
        <w:numPr>
          <w:ilvl w:val="0"/>
          <w:numId w:val="53"/>
        </w:numPr>
        <w:spacing w:before="120" w:after="120"/>
        <w:contextualSpacing w:val="0"/>
        <w:jc w:val="both"/>
      </w:pPr>
      <w:r>
        <w:t>missä määrin hanke voisi johtaa yksityisten investointien syrjäyttämiseen;</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tuensaajan kilpailuasema sekä infrastruktuurin toiminnan että infrastruktuurin kautta toimitettavan hyödykkeen merkityksellisten tuotemarkkinoiden osalta.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Jos ilmoitetussa hankkeessa on kyse maakaasuinfrastruktuurista, antakaa tiedot siitä, miten hanke täyttää seuraavat edellytykset:</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Infrastruktuuri on valmis vedyn käyttöön ja johtaa uusiutuvien kaasujen käytön lisääntymiseen; tai vaihtoehtoisesti syy siihen, miksi hanketta ei ole mahdollista </w:t>
      </w:r>
      <w:r>
        <w:lastRenderedPageBreak/>
        <w:t xml:space="preserve">suunnitella niin, että se on valmis vedyn käyttöön, ja miten varmistetaan, että hanke ei aiheuta lukkiutumista maakaasun käyttöön. </w:t>
      </w:r>
    </w:p>
    <w:p w14:paraId="49495890" w14:textId="19234331" w:rsidR="009013F3" w:rsidRDefault="009013F3" w:rsidP="00232CF6">
      <w:pPr>
        <w:pStyle w:val="ListParagraph"/>
        <w:numPr>
          <w:ilvl w:val="0"/>
          <w:numId w:val="53"/>
        </w:numPr>
        <w:spacing w:before="120" w:after="120"/>
        <w:contextualSpacing w:val="0"/>
        <w:jc w:val="both"/>
      </w:pPr>
      <w:r>
        <w:t>Investoinnilla edistetään vuoteen 2030 ulottuvien unionin ilmastotavoitteiden ja vuoden 2050 ilmastoneutraaliustavoitteen saavuttamista.</w:t>
      </w:r>
    </w:p>
    <w:p w14:paraId="354F8961" w14:textId="77777777" w:rsidR="00095D42" w:rsidRPr="00BA15DC" w:rsidRDefault="00095D42" w:rsidP="00095D42">
      <w:pPr>
        <w:tabs>
          <w:tab w:val="left" w:leader="dot" w:pos="9072"/>
        </w:tabs>
        <w:spacing w:before="120" w:after="120"/>
        <w:jc w:val="both"/>
      </w:pPr>
      <w:r>
        <w:tab/>
      </w:r>
    </w:p>
    <w:p w14:paraId="0D3E49C5" w14:textId="6235E25B" w:rsidR="00401B69" w:rsidRDefault="0049736F" w:rsidP="003B0EFB">
      <w:pPr>
        <w:pStyle w:val="ListParagraph"/>
        <w:numPr>
          <w:ilvl w:val="0"/>
          <w:numId w:val="4"/>
        </w:numPr>
        <w:spacing w:before="120" w:after="120"/>
        <w:ind w:left="567" w:hanging="567"/>
        <w:contextualSpacing w:val="0"/>
        <w:jc w:val="both"/>
      </w:pPr>
      <w:r>
        <w:t>Jos ilmoitettu hanke on yhteistä etua koskeva hanke tai keskinäistä etua koskeva hanke, johon ei sovelleta sisämarkkinalainsäädäntöä, selittäkää, miten hanke vaikuttaa liitännäispalvelumarkkinoihin ja muihin palvelumarkkinoihin.</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Arviointi</w:t>
            </w:r>
          </w:p>
        </w:tc>
      </w:tr>
    </w:tbl>
    <w:p w14:paraId="78AC9B95" w14:textId="1FB76E7E" w:rsidR="00C33721" w:rsidRPr="00BA15DC" w:rsidRDefault="00C33721" w:rsidP="004F3B88">
      <w:pPr>
        <w:tabs>
          <w:tab w:val="left" w:leader="dot" w:pos="9072"/>
        </w:tabs>
        <w:spacing w:before="120" w:after="120"/>
        <w:ind w:left="567"/>
        <w:jc w:val="both"/>
        <w:rPr>
          <w:i/>
          <w:iCs/>
        </w:rPr>
      </w:pPr>
      <w:r>
        <w:rPr>
          <w:i/>
        </w:rPr>
        <w:t>Tämän jakson tietoja varten ks. suuntaviivojen 76 kappaleen a kohta ja 5 luku (455–463 kappale).</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Jos ilmoitettu toimenpide ylittää suuntaviivojen 456 kappaleessa esitetyt budjetin/menojen kynnysarvot, selittäkää, miksi mielestänne olisi sovellettava suuntaviivojen 457 kappaleen mukaista poikkeusta, tai liittäkää tähän ilmoituslomakkeeseen liite, joka sisältää luonnoksen suuntaviivojen 458 kappaleessa mainitut seikat kattavaksi arviointisuunnitelmaksi</w:t>
      </w:r>
      <w:r>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Jos toimitatte arviointisuunnitelman luonnoksen:</w:t>
      </w:r>
    </w:p>
    <w:p w14:paraId="08BAA496" w14:textId="23665408" w:rsidR="009618E4" w:rsidRPr="00BA15DC" w:rsidRDefault="009618E4" w:rsidP="009618E4">
      <w:pPr>
        <w:numPr>
          <w:ilvl w:val="0"/>
          <w:numId w:val="61"/>
        </w:numPr>
        <w:spacing w:before="120" w:after="120"/>
        <w:jc w:val="both"/>
      </w:pPr>
      <w:r>
        <w:t>Esittäkää alla yhteenveto liitteessä olevasta arviointisuunnitelman luonnoksesta.</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Vahvistakaa, että suuntaviivojen 460 kappaletta noudatetaan.</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Antakaa linkki verkkosivulle, jolla arviointisuunnitelma julkaistaan, ja ilmoittakaa julkaisemisen päivämäärä.</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Jos tukiohjelmaan ei tällä hetkellä sovelleta jälkiarviointia ja sen kesto on yli kolme vuotta, vahvistakaa suuntaviivojen 459 kappaleen b kohdan noudattamisen todentamiseksi, että ilmoitatte arviointisuunnitelman luonnoksen 30 työpäivän kuluessa merkittävästä muutoksesta, joka kasvattaa ohjelman budjetin jonakin vuotena yli 150 miljoonaan euroon tai ohjelman koko keston aikana yli 750 miljoonaan euroon.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Jos tukiohjelmaan ei tällä hetkellä sovelleta jälkiarviointia, esittäkää suuntaviivojen 459 kappaleen c kohdan noudattamisen todentamiseksi alla sitoumus, jonka mukaan jäsenvaltio ilmoittaa arviointisuunnitelman luonnoksen </w:t>
      </w:r>
      <w:r>
        <w:rPr>
          <w:shd w:val="clear" w:color="auto" w:fill="FFFFFF"/>
        </w:rPr>
        <w:t xml:space="preserve">30 työpäivän kuluessa siitä, kun </w:t>
      </w:r>
      <w:r>
        <w:rPr>
          <w:shd w:val="clear" w:color="auto" w:fill="FFFFFF"/>
        </w:rPr>
        <w:lastRenderedPageBreak/>
        <w:t>viralliseen tilinpäätökseen on kirjattu yli 150 miljoonan euron menot edelliseltä vuodelta</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Suuntaviivojen 461 kappaleen noudattamisen todentamiseksi:</w:t>
      </w:r>
    </w:p>
    <w:p w14:paraId="3F285296" w14:textId="77777777" w:rsidR="009618E4" w:rsidRPr="00BA15DC" w:rsidRDefault="009618E4" w:rsidP="009618E4">
      <w:pPr>
        <w:numPr>
          <w:ilvl w:val="0"/>
          <w:numId w:val="62"/>
        </w:numPr>
        <w:spacing w:before="120" w:after="120"/>
        <w:jc w:val="both"/>
      </w:pPr>
      <w:r>
        <w:t>Täsmentäkää, onko riippumaton asiantuntija jo valittu vai valitaanko tämä tulevaisuudessa.</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Antakaa tiedot asiantuntijan valintamenettelystä.</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Perustelkaa, miten asiantuntija on riippumaton tuen myöntävästä viranomaisesta.</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Suuntaviivojen 461 kappaleen noudattamisen todentamiseksi: </w:t>
      </w:r>
    </w:p>
    <w:p w14:paraId="4F8AF9B0" w14:textId="77777777" w:rsidR="009618E4" w:rsidRPr="00BA15DC" w:rsidRDefault="009618E4" w:rsidP="009618E4">
      <w:pPr>
        <w:numPr>
          <w:ilvl w:val="0"/>
          <w:numId w:val="63"/>
        </w:numPr>
        <w:spacing w:before="120" w:after="120"/>
        <w:jc w:val="both"/>
      </w:pPr>
      <w:r>
        <w:t>Ilmoittakaa ehdottamanne määräajat väliarviointiraportin ja lopullisen arviointiraportin toimittamiselle. Huomatkaa, että suuntaviivojen 463 kappaleen mukaan jälkiarviointiraportti on toimitettava komissiolle riittävän ajoissa, jotta komissio voi arvioida tukijärjestelmän voimassaolon mahdollista jatkamista, ja viimeistään yhdeksän kuukautta ennen sen voimassaolon päättymistä. Huomatkaa, että tätä määräaikaa voidaan lyhentää ohjelmissa, joihin kohdistuu arviointivaatimus niiden kahden viimeisen toteutusvuoden aikana.</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Vahvistakaa, että väliarviointiraportti ja lopullinen arviointiraportti julkistetaan. Antakaa linkki verkkosivulle, jolla raportit julkaistaan, ja ilmoittakaa julkaisemisen päivämäärä.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Raportointi ja seuranta</w:t>
            </w:r>
          </w:p>
        </w:tc>
      </w:tr>
    </w:tbl>
    <w:p w14:paraId="21EA55F3" w14:textId="77777777" w:rsidR="009618E4" w:rsidRPr="00BA15DC" w:rsidRDefault="009618E4" w:rsidP="004F3B88">
      <w:pPr>
        <w:tabs>
          <w:tab w:val="left" w:leader="dot" w:pos="9072"/>
        </w:tabs>
        <w:spacing w:before="120" w:after="120"/>
        <w:ind w:left="567"/>
        <w:jc w:val="both"/>
      </w:pPr>
      <w:r>
        <w:rPr>
          <w:i/>
        </w:rPr>
        <w:t>Tämän jakson tietoja varten ks. suuntaviivojen 6 luku (464–465 kappale).</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Vahvistakaa, että jäsenvaltio noudattaa suuntaviivojen 6 luvun 464 ja 465 kappaleessa esitettyjä raportointi- ja seurantavaatimuksia.</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t>11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EUVL C 80, 18.2.2022, s. 1.</w:t>
      </w:r>
    </w:p>
  </w:footnote>
  <w:footnote w:id="3">
    <w:p w14:paraId="74C65A5D" w14:textId="77777777" w:rsidR="008E3BF9" w:rsidRPr="0067348B" w:rsidRDefault="008E3BF9" w:rsidP="008E3BF9">
      <w:pPr>
        <w:pStyle w:val="FootnoteText"/>
      </w:pPr>
      <w:r>
        <w:rPr>
          <w:rStyle w:val="FootnoteReference"/>
        </w:rPr>
        <w:footnoteRef/>
      </w:r>
      <w:r>
        <w:tab/>
        <w:t>Huomatkaa, että tukiohjelman kesto on se ajanjakso, jona tukea voidaan hakea ja jona siitä voidaan päättää (mukaan lukien aika, jonka kansalliset viranomaiset tarvitsevat tukihakemusten hyväksymiseen). Tässä kysymyksessä tarkoitettu kesto ei liity tukiohjelman puitteissa tehtyjen sopimusten kestoon, vaan sopimukset voivat jatkua myös toimenpiteen päättymisen jälkeen.</w:t>
      </w:r>
    </w:p>
  </w:footnote>
  <w:footnote w:id="4">
    <w:p w14:paraId="5C28E81B" w14:textId="27D21C7E" w:rsidR="00F7269C" w:rsidRPr="0067348B" w:rsidRDefault="00F7269C" w:rsidP="00F7269C">
      <w:pPr>
        <w:pStyle w:val="FootnoteText"/>
      </w:pPr>
      <w:r>
        <w:rPr>
          <w:rStyle w:val="FootnoteReference"/>
        </w:rPr>
        <w:footnoteRef/>
      </w:r>
      <w:r>
        <w:tab/>
        <w:t>Huomatkaa, että toteutuvan tai alustavan budjetin muutos voi vaikuttaa tukitoimenpiteeseen siinä määrin että siitä on tehtävä uusi ilmoitus.</w:t>
      </w:r>
    </w:p>
  </w:footnote>
  <w:footnote w:id="5">
    <w:p w14:paraId="561DACBB" w14:textId="58A17E1F" w:rsidR="00802D55" w:rsidRDefault="00802D55">
      <w:pPr>
        <w:pStyle w:val="FootnoteText"/>
      </w:pPr>
      <w:r>
        <w:rPr>
          <w:rStyle w:val="FootnoteReference"/>
        </w:rPr>
        <w:footnoteRef/>
      </w:r>
      <w:r>
        <w:t xml:space="preserve"> </w:t>
      </w:r>
      <w:r>
        <w:tab/>
        <w:t xml:space="preserve">Ks. unionin tuomioistuimen tuomio 13.6.2013, </w:t>
      </w:r>
      <w:r>
        <w:rPr>
          <w:i/>
        </w:rPr>
        <w:t>HGA ym.</w:t>
      </w:r>
      <w:r>
        <w:t xml:space="preserve"> v. </w:t>
      </w:r>
      <w:r>
        <w:rPr>
          <w:i/>
        </w:rPr>
        <w:t>komissio</w:t>
      </w:r>
      <w:r>
        <w:t>, C-630/11 P – C-633/11 P, ECLI:EU:C:2013:387, 104 kohta.</w:t>
      </w:r>
    </w:p>
  </w:footnote>
  <w:footnote w:id="6">
    <w:p w14:paraId="4C19DBFC" w14:textId="0C434BAC" w:rsidR="00802D55" w:rsidRPr="004B74BC" w:rsidRDefault="00802D55">
      <w:pPr>
        <w:pStyle w:val="FootnoteText"/>
      </w:pPr>
      <w:r>
        <w:rPr>
          <w:rStyle w:val="FootnoteReference"/>
        </w:rPr>
        <w:footnoteRef/>
      </w:r>
      <w:r>
        <w:t xml:space="preserve"> </w:t>
      </w:r>
      <w:r>
        <w:tab/>
        <w:t>Suuntaviivojen 19 kappaleen 63 kohdan mukaan ’viitehankkeella’ tarkoitetaan esimerkkihanketta, joka edustaa tukiohjelman tietyn tuensaajaluokan keskimääräistä hanketta.</w:t>
      </w:r>
    </w:p>
  </w:footnote>
  <w:footnote w:id="7">
    <w:p w14:paraId="01EFD49C" w14:textId="77777777" w:rsidR="00801D5A" w:rsidRDefault="00801D5A" w:rsidP="00801D5A">
      <w:pPr>
        <w:pStyle w:val="FootnoteText"/>
      </w:pPr>
      <w:r>
        <w:rPr>
          <w:rStyle w:val="FootnoteReference"/>
        </w:rPr>
        <w:footnoteRef/>
      </w:r>
      <w:r>
        <w:tab/>
        <w:t>Suuntaviivojen 19 kappaleen 89 kohdan mukaan ’unionin normilla’ tarkoitetaan</w:t>
      </w:r>
    </w:p>
    <w:p w14:paraId="68BC0B8F" w14:textId="77777777" w:rsidR="00801D5A" w:rsidRPr="004B74BC" w:rsidRDefault="00801D5A" w:rsidP="00801D5A">
      <w:pPr>
        <w:pStyle w:val="FootnoteText"/>
        <w:numPr>
          <w:ilvl w:val="0"/>
          <w:numId w:val="46"/>
        </w:numPr>
        <w:rPr>
          <w:i/>
        </w:rPr>
      </w:pPr>
      <w:r>
        <w:rPr>
          <w:i/>
        </w:rPr>
        <w:t>pakollista unionin normia, jossa vahvistetaan tasot, jotka yksittäisten yritysten on saavutettava ympäristön kannalta, lukuun ottamatta unionin tasolla asetettuja normeja tai tavoitteita, jotka sitovat jäsenvaltioita mutta eivät yksittäisiä yrityksiä;</w:t>
      </w:r>
    </w:p>
    <w:p w14:paraId="11145135" w14:textId="23A8CC97" w:rsidR="00801D5A" w:rsidRDefault="00801D5A" w:rsidP="00801D5A">
      <w:pPr>
        <w:pStyle w:val="FootnoteText"/>
        <w:numPr>
          <w:ilvl w:val="0"/>
          <w:numId w:val="46"/>
        </w:numPr>
      </w:pPr>
      <w:r>
        <w:rPr>
          <w:i/>
        </w:rPr>
        <w:t>velvoitetta käyttää parasta käytettävissä olevaa tekniikkaa (BAT), siten kuin se on määritelty direktiivissä 2010/75/EU, ja sen varmistamista, että päästötasot eivät ylitä tasoa, joka saavutettaisiin soveltamalla parasta käytettävissä olevaa tekniikkaa; kun parhaaseen käytettävissä olevaan tekniikkaan liittyvät päästötasot on määritelty direktiivin 2010/75/EU tai muiden sovellettavien direktiivien nojalla annetuissa täytäntöönpanosäädöksissä, kyseisiä tasoja käytetään näitä suuntaviivoja sovellettaessa; jos nämä tasot ilmaistaan vaihteluvälinä, sovelletaan sitä raja-arvoa, jonka kyseinen yritys saavuttaa parhaalla käytettävissä olevalla tekniikalla ensimmäisen kerran.</w:t>
      </w:r>
    </w:p>
  </w:footnote>
  <w:footnote w:id="8">
    <w:p w14:paraId="6589188F" w14:textId="70D9D8AA" w:rsidR="00802D55" w:rsidRDefault="00802D55">
      <w:pPr>
        <w:pStyle w:val="FootnoteText"/>
      </w:pPr>
      <w:r>
        <w:rPr>
          <w:rStyle w:val="FootnoteReference"/>
        </w:rPr>
        <w:footnoteRef/>
      </w:r>
      <w:r>
        <w:t xml:space="preserve"> </w:t>
      </w:r>
      <w:r>
        <w:tab/>
        <w:t>Suuntaviivojen 51 kappaleen mukaan ”</w:t>
      </w:r>
      <w:r>
        <w:rPr>
          <w:i/>
          <w:color w:val="000000"/>
          <w:shd w:val="clear" w:color="auto" w:fill="FFFFFF"/>
        </w:rPr>
        <w:t>tyypilliset ylimääräiset nettokustannukset voidaan arvioida tosiasiallisen skenaarion nettonykyarvon ja vaihtoehtoisen skenaarion nettonykyarvon erotuksena viitehankkeen elinkaaren aikana</w:t>
      </w:r>
      <w:r>
        <w:t>”.</w:t>
      </w:r>
    </w:p>
  </w:footnote>
  <w:footnote w:id="9">
    <w:p w14:paraId="4E6E256B" w14:textId="4AB0B555" w:rsidR="00802D55" w:rsidRDefault="00802D55">
      <w:pPr>
        <w:pStyle w:val="FootnoteText"/>
      </w:pPr>
      <w:r>
        <w:rPr>
          <w:rStyle w:val="FootnoteReference"/>
        </w:rPr>
        <w:footnoteRef/>
      </w:r>
      <w:r>
        <w:t xml:space="preserve"> </w:t>
      </w:r>
      <w:r>
        <w:tab/>
        <w:t>Huomatkaa, että suuntaviivojen alaviitteessä 46 todetaan seuraavaa: ”</w:t>
      </w:r>
      <w:r>
        <w:rPr>
          <w:i/>
        </w:rPr>
        <w:t>Kaikki asiaankuuluvat odotettavissa olevat kustannukset ja hyödyt hankkeen koko kestoaikana on otettava huomioon.</w:t>
      </w:r>
      <w:r>
        <w:t>”</w:t>
      </w:r>
    </w:p>
  </w:footnote>
  <w:footnote w:id="10">
    <w:p w14:paraId="086AD512" w14:textId="7087BE19" w:rsidR="00802D55" w:rsidRDefault="00802D55">
      <w:pPr>
        <w:pStyle w:val="FootnoteText"/>
      </w:pPr>
      <w:r>
        <w:rPr>
          <w:rStyle w:val="FootnoteReference"/>
        </w:rPr>
        <w:footnoteRef/>
      </w:r>
      <w:r>
        <w:t xml:space="preserve"> </w:t>
      </w:r>
      <w:r>
        <w:tab/>
        <w:t>Keskitetysti hallinnoitu unionin rahoitus on Euroopan unionin toimielinten, virastojen, yhteisyritysten tai muiden elinten keskitetysti hallinnoimaa unionin rahoitusta, joka ei kuulu suoraan tai välillisesti jäsenvaltion määräysvaltaan.</w:t>
      </w:r>
    </w:p>
  </w:footnote>
  <w:footnote w:id="11">
    <w:p w14:paraId="0C0B9BEF" w14:textId="77777777" w:rsidR="009618E4" w:rsidRDefault="009618E4" w:rsidP="009618E4">
      <w:pPr>
        <w:pStyle w:val="FootnoteText"/>
      </w:pPr>
      <w:r>
        <w:rPr>
          <w:rStyle w:val="FootnoteReference"/>
        </w:rPr>
        <w:footnoteRef/>
      </w:r>
      <w:r>
        <w:t xml:space="preserve"> </w:t>
      </w:r>
      <w:r>
        <w:tab/>
        <w:t xml:space="preserve">Arviointisuunnitelman ilmoittamiseen käytettävän lisätietolomakkeen malli (osa III.8) on saatavilla täällä: </w:t>
      </w:r>
      <w:hyperlink w:anchor="evaluation-plan" w:history="1">
        <w:r>
          <w:rPr>
            <w:rStyle w:val="Hyperlink"/>
          </w:rPr>
          <w:t>https://competition-policy.ec.europa.eu/state-aid/legislation/forms-notifications-and-reporting_en#evaluation-plan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C02291C4"/>
    <w:lvl w:ilvl="0" w:tplc="0EEE22A0">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86A6EDB2"/>
    <w:lvl w:ilvl="0" w:tplc="43F2088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53BCC742"/>
    <w:lvl w:ilvl="0" w:tplc="AFEC736A">
      <w:start w:val="1"/>
      <w:numFmt w:val="lowerLetter"/>
      <w:lvlText w:val="%1)"/>
      <w:lvlJc w:val="left"/>
      <w:pPr>
        <w:ind w:left="1077" w:hanging="360"/>
      </w:pPr>
      <w:rPr>
        <w:rFonts w:ascii="Times New Roman" w:eastAsia="Calibri" w:hAnsi="Times New Roman" w:cs="Times New Roman"/>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98B86720"/>
    <w:lvl w:ilvl="0" w:tplc="C1EC314C">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636E0E56"/>
    <w:lvl w:ilvl="0" w:tplc="CF80E470">
      <w:start w:val="1"/>
      <w:numFmt w:val="lowerLetter"/>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doNotTrackMoves/>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5F"/>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fi-F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fi-FI"/>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Props1.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2.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3.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5.xml><?xml version="1.0" encoding="utf-8"?>
<ds:datastoreItem xmlns:ds="http://schemas.openxmlformats.org/officeDocument/2006/customXml" ds:itemID="{A1C1DA78-896E-461D-A61E-B93DC91F7A48}">
  <ds:schemaRefs>
    <ds:schemaRef ds:uri="http://purl.org/dc/dcmitype/"/>
    <ds:schemaRef ds:uri="http://schemas.microsoft.com/office/2006/documentManagement/types"/>
    <ds:schemaRef ds:uri="38080443-59f1-4468-9185-e277ce99790f"/>
    <ds:schemaRef ds:uri="http://schemas.microsoft.com/office/infopath/2007/PartnerControls"/>
    <ds:schemaRef ds:uri="http://schemas.microsoft.com/office/2006/metadata/properties"/>
    <ds:schemaRef ds:uri="aaad0b86-1dbf-48d2-99f8-fcc2ae493cdc"/>
    <ds:schemaRef ds:uri="http://www.w3.org/XML/1998/namespace"/>
    <ds:schemaRef ds:uri="http://purl.org/dc/term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2566</Words>
  <Characters>21101</Characters>
  <Application>Microsoft Office Word</Application>
  <DocSecurity>0</DocSecurity>
  <Lines>439</Lines>
  <Paragraphs>160</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MERILAINEN Anne (DGT)</cp:lastModifiedBy>
  <cp:revision>3</cp:revision>
  <cp:lastPrinted>2022-04-12T14:59:00Z</cp:lastPrinted>
  <dcterms:created xsi:type="dcterms:W3CDTF">2024-09-05T12:35:00Z</dcterms:created>
  <dcterms:modified xsi:type="dcterms:W3CDTF">2024-10-08T11:08:00Z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