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III.6 dalis</w:t>
            </w:r>
            <w:r>
              <w:rPr>
                <w:sz w:val="32"/>
              </w:rPr>
              <w:t xml:space="preserve">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 xml:space="preserve">Atnaujinta* papildomos informacijos apie valstybės pagalbą, suteiktą pagal 2022 m. valstybės pagalbos klimato ir aplinkos apsaugai ir energetikai gaires</w:t>
            </w:r>
            <w:r>
              <w:rPr>
                <w:sz w:val="32"/>
              </w:rPr>
              <w:t xml:space="preserve">, pateikimo forma</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 xml:space="preserve">4.9 skyrius. Pagalba energetikos infrastruktūrai</w:t>
            </w:r>
          </w:p>
          <w:p w14:paraId="469DC4EF" w14:textId="5E9F59D2" w:rsidR="008E3BF9" w:rsidRPr="00BA15DC" w:rsidRDefault="008E3BF9" w:rsidP="008E3BF9">
            <w:pPr>
              <w:rPr>
                <w:sz w:val="32"/>
                <w:szCs w:val="32"/>
              </w:rPr>
            </w:pPr>
            <w:r>
              <w:t xml:space="preserve">* oficialiai dar nepriimta.</w:t>
            </w:r>
          </w:p>
        </w:tc>
      </w:tr>
    </w:tbl>
    <w:p w14:paraId="45497634" w14:textId="77777777" w:rsidR="008E3BF9" w:rsidRPr="00BA15DC" w:rsidRDefault="008E3BF9" w:rsidP="008E3BF9">
      <w:pPr>
        <w:spacing w:before="120" w:after="120"/>
        <w:ind w:right="-142"/>
        <w:jc w:val="both"/>
        <w:rPr>
          <w:i/>
          <w:iCs/>
        </w:rPr>
      </w:pPr>
      <w:r>
        <w:rPr>
          <w:i/>
        </w:rPr>
        <w:t xml:space="preserve">Ši papildomos informacijos pateikimo forma turi būti pildoma, kai pranešama apie bet kokią pagalbą, kuriai taikomos 2022 m. valstybės pagalbos klimato ir aplinkos apsaugai ir energetikai gairės (toliau – PKAAE gairės).</w:t>
      </w:r>
    </w:p>
    <w:p w14:paraId="3912F2B6" w14:textId="18735016" w:rsidR="008E3BF9" w:rsidRPr="00BA15DC" w:rsidRDefault="008E3BF9" w:rsidP="009E2EA1">
      <w:pPr>
        <w:spacing w:before="120" w:after="120"/>
        <w:ind w:right="-142"/>
        <w:jc w:val="both"/>
        <w:rPr>
          <w:i/>
          <w:iCs/>
        </w:rPr>
      </w:pPr>
      <w:r>
        <w:rPr>
          <w:i/>
        </w:rPr>
        <w:t xml:space="preserve">Šioje formoje pateikiama papildoma informacija apie priemones, kurioms taikomas PKAAE gairių 4.9 skyrius.</w:t>
      </w:r>
      <w:r>
        <w:rPr>
          <w:i/>
        </w:rPr>
        <w:t xml:space="preserve"> </w:t>
      </w:r>
      <w:r>
        <w:rPr>
          <w:i/>
        </w:rPr>
        <w:t xml:space="preserve">Jei pranešama apie priemones, kurioms taikomas daugiau nei vienas PKAAE gairių skyrius, užpildykite ir atitinkamą su atitinkamu PKAAE gairių skyriumi susijusią papildomos informacijos pateikimo formą, kai turėsite reikiamą informaciją.</w:t>
      </w:r>
      <w:r>
        <w:rPr>
          <w:i/>
        </w:rPr>
        <w:t xml:space="preserve"> </w:t>
      </w:r>
    </w:p>
    <w:p w14:paraId="516B301C" w14:textId="77777777" w:rsidR="008E3BF9" w:rsidRPr="00BA15DC" w:rsidRDefault="008E3BF9" w:rsidP="008E3BF9">
      <w:pPr>
        <w:spacing w:before="120" w:after="120"/>
        <w:ind w:right="-142"/>
        <w:jc w:val="both"/>
        <w:rPr>
          <w:i/>
          <w:iCs/>
        </w:rPr>
      </w:pPr>
      <w:r>
        <w:rPr>
          <w:i/>
        </w:rPr>
        <w:t xml:space="preserve">Valstybės narės turi sunumeruoti visus prie šios papildomos informacijos pateikimo formos pridedamus dokumentus ir nurodyti dokumentų numerius atitinkamose šios formos skirsniuose.</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 xml:space="preserve">A skirsnis.</w:t>
            </w:r>
            <w:r>
              <w:rPr>
                <w:b/>
                <w:sz w:val="32"/>
              </w:rPr>
              <w:t xml:space="preserve"> </w:t>
            </w:r>
            <w:r>
              <w:rPr>
                <w:b/>
                <w:sz w:val="32"/>
              </w:rPr>
              <w:t xml:space="preserve">Priemonės (-ių), apie kurią (-ias) pranešama, pagrindinių charakteristikų santrauka</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 xml:space="preserve">Priemonės (-ių), apie kurią (-ias) pranešama, aplinkybės ir tikslas (-ai)</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Jei dar nenurodėte formos „Bendroji informacija“ 5.2 skirsnyje (I dalis),</w:t>
      </w:r>
      <w:r>
        <w:t xml:space="preserve"> </w:t>
      </w:r>
      <w:r>
        <w:t xml:space="preserve">nurodykite priemonės aplinkybes ir pagrindinį tikslą, įskaitant išmetamo šiltnamio efektą sukeliančių dujų kiekio mažinimo ir absorbavimo Sąjungos tikslus, kurių siekimą ketinama remti.</w:t>
      </w:r>
      <w:r>
        <w:t xml:space="preserve">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 xml:space="preserve">Nurodykite visus kitus ja siekiamus tikslus.</w:t>
      </w:r>
      <w:r>
        <w:t xml:space="preserve"> </w:t>
      </w:r>
      <w:r>
        <w:t xml:space="preserve">Jei tikslai yra ne vien aplinkosauginiai, paaiškinkite, ar juos pasiekus gali būti iškraipoma vidaus rinka.</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 xml:space="preserve">Įsigaliojimas ir taikymo trukmė</w:t>
      </w:r>
    </w:p>
    <w:p w14:paraId="29824976" w14:textId="39DBFC0F" w:rsidR="008E3BF9" w:rsidRPr="00BA15DC" w:rsidRDefault="008E3BF9" w:rsidP="008E3BF9">
      <w:pPr>
        <w:pStyle w:val="ListParagraph"/>
        <w:numPr>
          <w:ilvl w:val="0"/>
          <w:numId w:val="59"/>
        </w:numPr>
        <w:ind w:left="993" w:hanging="142"/>
        <w:jc w:val="both"/>
        <w:rPr>
          <w:szCs w:val="24"/>
        </w:rPr>
      </w:pPr>
      <w:r>
        <w:t xml:space="preserve">Jei dar nenurodėte formos „Bendroji informacija“ 5.5 skirsnyje (I dalis), nurodykite numatomą priemonės įsigaliojimo datą.</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 xml:space="preserve">Jei priemonė susijusi su pagalbos schema, nurodykite jos taikymo trukmę</w:t>
      </w:r>
      <w:r>
        <w:rPr>
          <w:szCs w:val="24"/>
          <w:vertAlign w:val="superscript"/>
        </w:rPr>
        <w:footnoteReference w:id="3"/>
      </w:r>
      <w:r>
        <w:t xml:space="preserve">.</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b/>
          <w:bCs/>
          <w:rFonts w:cs="Arial Unicode MS"/>
        </w:rPr>
      </w:pPr>
      <w:r>
        <w:rPr>
          <w:b/>
        </w:rPr>
        <w:t xml:space="preserve">Pagalbos gavėjas (-ai)</w:t>
      </w:r>
      <w:r>
        <w:tab/>
      </w:r>
    </w:p>
    <w:p w14:paraId="41CA72BE" w14:textId="77777777" w:rsidR="00F7269C" w:rsidRPr="00BA15DC" w:rsidRDefault="00F7269C" w:rsidP="00F7269C">
      <w:pPr>
        <w:pStyle w:val="ListParagraph"/>
        <w:numPr>
          <w:ilvl w:val="0"/>
          <w:numId w:val="22"/>
        </w:numPr>
        <w:ind w:left="1078" w:hanging="227"/>
        <w:jc w:val="both"/>
        <w:rPr>
          <w:szCs w:val="24"/>
        </w:rPr>
      </w:pPr>
      <w:r>
        <w:t xml:space="preserve">Jei dar nenurodėte „Bendrosios informacijos formos“ 3 skirsnyje (I dalis), apibūdinkite (galimą) priemonės (-ių) pagalbos gavėją (-us).</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 xml:space="preserve">Nurodykite (galimo) pagalbos gavėjo (-ų) vietą (t. y. ar teisę dalyvauti priemonėje turi tik atitinkamose valstybėse narėse esantys ūkio subjektai, ar ir kitose valstybėse narėse esantys ūkio subjektai).</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Kad būtų galima įvertinti, ar laikomasi PKAAE gairių 15 punkto, nurodykite, ar pagal priemonę (-es) teikiama individuali pagalba (pagal schemą arba ne) įmonei, kuriai išduotas vykdomasis raštas sumoms išieškoti pagal ankstesnį Komisijos sprendimą, kuriuo skelbiama, kad pagalba yra neteisėta ir nesuderinama su vidaus rinka.</w:t>
      </w:r>
      <w:r>
        <w:t xml:space="preserve">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Jei taip, pateikite informaciją apie pagalbos sumą, kuri dar nesusigrąžinta, kad Komisija į ją atsižvelgtų vertindama pagalbos priemonę (-es).</w:t>
      </w:r>
      <w:r>
        <w:t xml:space="preserve">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 xml:space="preserve">Patvirtinkite, kad priemone (-ėmis) nėra teikiama pagalba veiklai, kuri nepatenka į PKAAE gairių taikymo sritį (žr. PKAAE gairių 13 punktą).</w:t>
      </w:r>
      <w:r>
        <w:t xml:space="preserve"> </w:t>
      </w:r>
      <w:r>
        <w:t xml:space="preserve">Kitu atveju pateikite išsamią informaciją.</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 xml:space="preserve">PKAAE gairių 373 ir 374 punktuose nustatyta, kad „</w:t>
      </w:r>
      <w:r>
        <w:rPr>
          <w:i/>
        </w:rPr>
        <w:t xml:space="preserve">valstybės pagalbos taisyklės netaikomos paramai energetikos infrastruktūrai teisėto monopolio sąlygomis</w:t>
      </w:r>
      <w:r>
        <w:t xml:space="preserve">“.</w:t>
      </w:r>
      <w:r>
        <w:rPr>
          <w:i/>
        </w:rPr>
        <w:t xml:space="preserve"> </w:t>
      </w:r>
      <w:r>
        <w:t xml:space="preserve">Taip galėtų būti tuo atveju, kai tam tikros infrastruktūros statyba ir eksploatavimas teisės aktais išimtinai pavedamas tik perdavimo sistemos operatoriui arba skirstymo sistemos operatoriui.</w:t>
      </w:r>
      <w:r>
        <w:t xml:space="preserve"> </w:t>
      </w:r>
      <w:r>
        <w:t xml:space="preserve">PKAAE gairių 375 punkte nustatyta, kad „</w:t>
      </w:r>
      <w:r>
        <w:rPr>
          <w:i/>
          <w:iCs/>
        </w:rPr>
        <w:t xml:space="preserve">Komisija analogiškai mano, kad valstybės pagalba nėra teikiama atliekant investicijas, kai energetikos infrastruktūra yra valdoma „natūralaus monopolio“ sąlygomis</w:t>
      </w:r>
      <w:r>
        <w:t xml:space="preserve">“.</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Ar apie projektą pranešama teisėto monopolio sąlygomis, ar jis vykdomas „natūralaus monopolio“ sąlygomis?</w:t>
      </w:r>
      <w:r>
        <w:t xml:space="preserve">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Jei į ankstesnį klausimą atsakėte teigiamai, paaiškinkite, kodėl projektui, apie kurį pranešama, taikomos teisėto ir (arba) natūralaus monopolio sąlygos, atsižvelgiant į kiekvieną kumuliacinį kriterijų, nustatytą PKAAE gairių 374 punkte teisėtiems monopoliams ir (arba) 375 punkte natūraliems monopoliams.</w:t>
      </w:r>
      <w:r>
        <w:t xml:space="preserve">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bCs/>
          <w:rFonts w:cs="Arial Unicode MS"/>
        </w:rPr>
      </w:pPr>
      <w:bookmarkStart w:id="6" w:name="_Ref171091150"/>
      <w:r>
        <w:rPr>
          <w:b/>
        </w:rPr>
        <w:t xml:space="preserve">Priemonės (-ių) biudžetas ir finansavimas</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r>
        <w:t xml:space="preserve">Jei dar nenurodėte formos „Bendroji informacija“ 7.1 skirsnyje (I dalis) pateikiamoje lentelėje, nurodykite metinį ir (arba) bendrą biudžetą visai priemonės (-ių) taikymo trukmei.</w:t>
      </w:r>
      <w:r>
        <w:t xml:space="preserve"> </w:t>
      </w:r>
      <w:r>
        <w:t xml:space="preserve">Jei bendras biudžetas nežinomas (pvz., jis priklauso nuo konkursų rezultatų), nurodykite biudžeto sąmatą ir prielaidas, naudotas atitinkamai biudžeto sąmatai apskaičiuoti</w:t>
      </w:r>
      <w:r>
        <w:rPr>
          <w:szCs w:val="24"/>
          <w:vertAlign w:val="superscript"/>
        </w:rPr>
        <w:footnoteReference w:id="4"/>
      </w:r>
      <w:r>
        <w:t xml:space="preserve">.</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bCs/>
          <w:rFonts w:cs="Arial Unicode MS"/>
        </w:rPr>
      </w:pPr>
      <w:bookmarkStart w:id="7" w:name="_Ref116914400"/>
      <w:r>
        <w:t xml:space="preserve">Jei priemonė finansuojama iš mokesčio, paaiškinkite, ar:</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bCs/>
          <w:rFonts w:cs="Arial Unicode MS"/>
        </w:rPr>
      </w:pPr>
      <w:r>
        <w:t xml:space="preserve">mokestis nustatytas įstatymu arba kitu teisės aktu;</w:t>
      </w:r>
      <w:r>
        <w:t xml:space="preserve"> </w:t>
      </w:r>
      <w:r>
        <w:t xml:space="preserve">jei taip, nurodykite teisės aktą, jo numerį, priėmimo ir įsigaliojimo datą, interneto nuorodą į jį;</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bCs/>
          <w:rFonts w:cs="Arial Unicode MS"/>
        </w:rPr>
      </w:pPr>
      <w:r>
        <w:t xml:space="preserve">mokestis vienodai taikomas ir vidaus, ir importuojamiems produktams;</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bCs/>
          <w:rFonts w:cs="Arial Unicode MS"/>
        </w:rPr>
      </w:pPr>
      <w:r>
        <w:t xml:space="preserve">priemonė, apie kurią pranešama, bus vienodai naudinga ir vidaus, ir importuojamų produktų gamintojams;</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bCs/>
          <w:rFonts w:cs="Arial Unicode MS"/>
        </w:rPr>
      </w:pPr>
      <w:r>
        <w:t xml:space="preserve">priemonė yra visiškai ar tik iš dalies finansuojama iš mokesčio.</w:t>
      </w:r>
      <w:r>
        <w:t xml:space="preserve"> </w:t>
      </w:r>
      <w:r>
        <w:t xml:space="preserve">Jei priemonė tik iš dalies finansuojama iš mokesčio, nurodyti kitus priemonės finansavimo šaltinius ir atitinkamas jų dalis;</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bCs/>
          <w:rFonts w:cs="Arial Unicode MS"/>
        </w:rPr>
      </w:pPr>
      <w:r>
        <w:t xml:space="preserve">priemonė, apie kurią pranešama, finansuojama iš mokesčio, iš kurio finansuojamos ir kitos pagalbos priemonės.</w:t>
      </w:r>
      <w:r>
        <w:t xml:space="preserve"> </w:t>
      </w:r>
      <w:r>
        <w:t xml:space="preserve">Jei taip, nurodykite tas kitas iš atitinkamo mokesčio finansuojamas pagalbos priemones.</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 xml:space="preserve">B skirsnis.</w:t>
            </w:r>
            <w:r>
              <w:rPr>
                <w:b/>
                <w:sz w:val="32"/>
              </w:rPr>
              <w:t xml:space="preserve"> </w:t>
            </w:r>
            <w:r>
              <w:rPr>
                <w:b/>
                <w:sz w:val="32"/>
              </w:rPr>
              <w:t xml:space="preserve">Pagalbos suderinamumo vertinimas</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 xml:space="preserve">Pozityvioji sąlyga:</w:t>
            </w:r>
            <w:r>
              <w:rPr>
                <w:i/>
                <w:sz w:val="28"/>
              </w:rPr>
              <w:t xml:space="preserve"> </w:t>
            </w:r>
            <w:r>
              <w:rPr>
                <w:i/>
                <w:sz w:val="28"/>
              </w:rPr>
              <w:t xml:space="preserve">pagalba turi skatinti ekonominės veiklos plėtrą</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 xml:space="preserve">Indėlis į ekonominės veiklos plėtrą</w:t>
            </w:r>
          </w:p>
        </w:tc>
      </w:tr>
    </w:tbl>
    <w:p w14:paraId="1E2599D2" w14:textId="075AAE16" w:rsidR="000442F5" w:rsidRPr="00BA15DC" w:rsidRDefault="000442F5" w:rsidP="003B0EFB">
      <w:pPr>
        <w:spacing w:before="120" w:after="120"/>
        <w:jc w:val="both"/>
        <w:rPr>
          <w:i/>
        </w:rPr>
      </w:pPr>
      <w:r>
        <w:rPr>
          <w:i/>
        </w:rPr>
        <w:t xml:space="preserve">Kad pateiktumėte šiame skirsnyje prašomą informaciją, žr. PKAAE gairių 3.1.1 skirsnį (23–25 punktus) ir 4.9.1 ir 4.9.2 skirsnius.</w:t>
      </w:r>
      <w:r>
        <w:rPr>
          <w:i/>
        </w:rPr>
        <w:t xml:space="preserve">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bookmarkStart w:id="8" w:name="_Hlk170735690"/>
      <w:r>
        <w:t xml:space="preserve">Sutarties dėl Europos Sąjungos veikimo</w:t>
      </w:r>
      <w:bookmarkEnd w:id="8"/>
      <w:r>
        <w:t xml:space="preserve"> (SESV) 107 straipsnio 3 dalies c punkte nustatyta, kad Komisija gali pripažinti, kad suderinama yra „pagalba, skirta tam tikros ekonominės veiklos rūšių arba tam tikrų ekonomikos sričių plėtrai skatinti, jei ji netrikdo prekybos sąlygų taip, kad prieštarautų bendram interesui“.</w:t>
      </w:r>
      <w:r>
        <w:t xml:space="preserve"> </w:t>
      </w:r>
      <w:r>
        <w:t xml:space="preserve">Todėl pagal šią SESV nuostatą suderinama pagalba turi prisidėti prie tam tikros ekonominės veiklos plėtros.</w:t>
      </w:r>
      <w:r>
        <w:t xml:space="preserve"> </w:t>
      </w:r>
    </w:p>
    <w:p w14:paraId="4688DCCE" w14:textId="77777777" w:rsidR="00F7269C" w:rsidRPr="00BA15DC" w:rsidRDefault="00F7269C" w:rsidP="000442F5">
      <w:pPr>
        <w:tabs>
          <w:tab w:val="left" w:leader="dot" w:pos="9072"/>
        </w:tabs>
        <w:spacing w:before="120" w:after="120"/>
        <w:ind w:left="567"/>
        <w:jc w:val="both"/>
      </w:pPr>
      <w:r>
        <w:t xml:space="preserve">Kad būtų galima įvertinti, ar laikomasi PKAAE gairių 23 punkto, nurodykite, kokią ekonominę veiklą skatins pagalba ir kaip remiama šios veiklos plėtra.</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 xml:space="preserve">Kad būtų galima įvertinti, ar laikomasi PKAAE gairių 25 punkto, „</w:t>
      </w:r>
      <w:r>
        <w:rPr>
          <w:i/>
        </w:rPr>
        <w:t xml:space="preserve">nurody[kite], ar pagalba padės siekti Sąjungos klimato politikos, aplinkos politikos ir energetikos politikos tikslų ir kaip ji padės juos pasiekti, konkrečiau – kokią materialinę naudą tikimasi gauti iš pagalbos dėl to, kad ji prisidės prie aplinkos apsaugos, įskaitant klimato kaitos švelninimą, arba prie efektyvaus energijos vidaus rinkos veikimo</w:t>
      </w:r>
      <w:r>
        <w:t xml:space="preserve">“.</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 xml:space="preserve">Be to, nurodykite, kokiu mastu ši pagalba susijusi su PKAAE gairių 371 ir 372 punktuose aprašyta politika.</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 xml:space="preserve">Pateikite informacijos apie pagalbos priemonės (-ių) taikymo sritį ir pagal ją (jas) remiamos veiklos rūšis, kaip nurodyta PKAAE gairių 376 punkte.</w:t>
      </w:r>
      <w:r>
        <w:t xml:space="preserve"> </w:t>
      </w:r>
      <w:r>
        <w:t xml:space="preserve">Taip pat</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užtikrinkite, kad projektas būtų susijęs su energetikos infrastruktūra, kaip apibrėžta PKAAE gairių 19 punkto 36 papunktyje;</w:t>
      </w:r>
      <w:r>
        <w:t xml:space="preserve"> </w:t>
      </w:r>
    </w:p>
    <w:p w14:paraId="200CB163" w14:textId="4FFB2EB0" w:rsidR="00D83DB7" w:rsidRPr="00BA15DC" w:rsidRDefault="00D83DB7" w:rsidP="00D83DB7">
      <w:pPr>
        <w:pStyle w:val="ListParagraph"/>
        <w:numPr>
          <w:ilvl w:val="0"/>
          <w:numId w:val="56"/>
        </w:numPr>
        <w:spacing w:before="120" w:after="120"/>
        <w:contextualSpacing w:val="0"/>
        <w:jc w:val="both"/>
      </w:pPr>
      <w:r>
        <w:t xml:space="preserve">užtikrinkite, kad projektas neapima specialiosios infrastruktūros ir (arba) kitos energetikos infrastruktūros kartu su gamybos ir (arba) vartojimo veikla;</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nurodykite, kokios rūšies išlaidos – investicinės ar veiklos – bus padengtos pagal priemonę;</w:t>
      </w:r>
      <w:r>
        <w:t xml:space="preserve">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jei pagal priemonę bus padengtos veiklos išlaidos, įrodykite, kad tų išlaidų iš tinklo naudotojų negalima susigrąžinti, kad jos yra nesusijusios su negrįžtamosiomis išlaidomis ir kad veiklos pagalba lemia elgsenos pokytį, kuriuo galima užtikrinti tiekimo saugumą arba aplinkos apsaugos tikslų įgyvendinimą.</w:t>
      </w:r>
      <w:r>
        <w:t xml:space="preserve">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 xml:space="preserve">Skatinamasis poveikis</w:t>
            </w:r>
          </w:p>
        </w:tc>
      </w:tr>
    </w:tbl>
    <w:p w14:paraId="20915284" w14:textId="0EA618F2" w:rsidR="00015E2B" w:rsidRPr="00BA15DC" w:rsidRDefault="00B15313" w:rsidP="003B0EFB">
      <w:pPr>
        <w:spacing w:before="120" w:after="120"/>
        <w:jc w:val="both"/>
        <w:rPr>
          <w:i/>
        </w:rPr>
      </w:pPr>
      <w:r>
        <w:rPr>
          <w:i/>
        </w:rPr>
        <w:t xml:space="preserve">Kad pateiktumėte šiame skirsnyje prašomą informaciją, žr. PKAAE gairių 3.1.2 skirsnį (26–32 punktus).</w:t>
      </w:r>
      <w:r>
        <w:rPr>
          <w:i/>
        </w:rPr>
        <w:t xml:space="preserv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 xml:space="preserve">Pagalba gali būti laikoma skatinančia ekonominę veiklą tik tuo atveju, jei ji turi skatinamąjį poveikį.</w:t>
      </w:r>
      <w:r>
        <w:t xml:space="preserve"> </w:t>
      </w:r>
      <w:r>
        <w:t xml:space="preserve">Kad būtų galima įvertinti, ar laikomasi PKAAE gairių 26 punkto, paaiškinkite, kaip priemonė (-ės) „</w:t>
      </w:r>
      <w:r>
        <w:rPr>
          <w:i/>
        </w:rPr>
        <w:t xml:space="preserve">paskatina pagalbos gavėją keisti elgesį, imtis papildomos ekonominės veiklos arba aplinkai palankesnės ekonominės veiklos, kurios jis be pagalbos nevykdytų arba vykdytų ribotai ar kitaip</w:t>
      </w:r>
      <w:r>
        <w:t xml:space="preserve">“.</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rPr>
          <w:color w:val="000000"/>
          <w:shd w:val="clear" w:color="auto" w:fill="FFFFFF"/>
        </w:rPr>
        <w:t xml:space="preserve">Kad būtų galima įvertinti, ar laikomasi PKAAE gairių 27 punkto, pateikite informaciją ir patvirtinkite, kad pagalba neremiamos veiklos, kurią pagalbos gavėjas ir taip būtų vykdęs, išlaidos ir nekompensuojama įprasta ekonominės veiklos verslo rizika</w:t>
      </w:r>
      <w:r>
        <w:rPr>
          <w:rStyle w:val="FootnoteReference"/>
          <w:color w:val="000000"/>
          <w:shd w:val="clear" w:color="auto" w:fill="FFFFFF"/>
        </w:rPr>
        <w:footnoteReference w:id="5"/>
      </w:r>
      <w:r>
        <w:rPr>
          <w:color w:val="000000"/>
          <w:shd w:val="clear" w:color="auto" w:fill="FFFFFF"/>
        </w:rPr>
        <w:t xml:space="preserve">.</w:t>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Norint įrodyti skatinamąjį poveikį, pagal PKAAE gairių 28 punktą reikia nustatyti faktinį scenarijų ir tikėtiną priešingos padėties scenarijų, jei pagalba nebūtų teikiama.</w:t>
      </w:r>
      <w:r>
        <w:t xml:space="preserve"> </w:t>
      </w:r>
      <w:r>
        <w:t xml:space="preserve">Pagalbos energetikos infrastruktūrai atveju, kaip paaiškinta 52 punkte, daroma prielaida, kad priešingos padėties scenarijus atitinka padėtį, kuri būtų, jei projektas nebūtų įgyvendinamas.</w:t>
      </w:r>
      <w:r>
        <w:t xml:space="preserve"> </w:t>
      </w:r>
    </w:p>
    <w:p w14:paraId="4AA49B40" w14:textId="0DEE1851" w:rsidR="00D70FE9" w:rsidRPr="00BA15DC" w:rsidRDefault="00A255BF" w:rsidP="00526607">
      <w:pPr>
        <w:pStyle w:val="ListParagraph"/>
        <w:numPr>
          <w:ilvl w:val="0"/>
          <w:numId w:val="37"/>
        </w:numPr>
        <w:spacing w:before="120" w:after="120"/>
        <w:contextualSpacing w:val="0"/>
        <w:jc w:val="both"/>
      </w:pPr>
      <w:r>
        <w:t xml:space="preserve">Išsamiai aprašykite faktinį scenarijų.</w:t>
      </w:r>
      <w:r>
        <w:t xml:space="preserve"> </w:t>
      </w:r>
      <w:r>
        <w:t xml:space="preserve">Jei schemos apima skirtingus etaloninius projektus</w:t>
      </w:r>
      <w:r>
        <w:rPr>
          <w:rStyle w:val="FootnoteReference"/>
          <w:lang w:val="en-IE" w:eastAsia="en-GB"/>
        </w:rPr>
        <w:footnoteReference w:id="6"/>
      </w:r>
      <w:r>
        <w:t xml:space="preserve">, pateikite kiekvieno etaloninio projekto faktinio scenarijaus aprašymą.</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 xml:space="preserve">Jei priemonė nėra pagalbos schema, prie šios pranešimo formos pridėkite visus oficialius valdybos dokumentus, rizikos vertinimo dokumentus, finansinę ataskaitą, vidaus verslo planus, ekspertų nuomones ir kitus su vertinamu projektu susijusių tyrimų duomenis, dokumentus, kuriuose pateikiama informacija apie paklausos prognozes, išlaidų prognozes, finansines prognozes, investicijų komitetui pateiktus dokumentus, kuriuose išsamiai nagrinėjami investavimo / veiklos scenarijai, arba finansų institucijoms pateiktus dokumentus, kaip nurodyta PKAAE gairių 28 punkto 39 išnašoje.</w:t>
      </w:r>
    </w:p>
    <w:p w14:paraId="489E64F5" w14:textId="104163BA" w:rsidR="00C713DD" w:rsidRPr="00BA15DC" w:rsidRDefault="005F6E6B" w:rsidP="005F6E6B">
      <w:pPr>
        <w:pStyle w:val="ListParagraph"/>
        <w:spacing w:before="120" w:after="120"/>
        <w:ind w:left="1287"/>
        <w:contextualSpacing w:val="0"/>
        <w:jc w:val="both"/>
      </w:pPr>
      <w:r>
        <w:t xml:space="preserve">Atkreipkite dėmesį, kad tokie dokumentai turi būti to paties laikotarpio kaip ir sprendimo dėl investavimo / veiklos priėmimo procesas.</w:t>
      </w:r>
    </w:p>
    <w:p w14:paraId="0F3CF49B" w14:textId="1DE4A9D5" w:rsidR="00DE063E" w:rsidRPr="00BA15DC" w:rsidRDefault="00E32AD5" w:rsidP="005F6E6B">
      <w:pPr>
        <w:pStyle w:val="ListParagraph"/>
        <w:spacing w:before="120" w:after="120"/>
        <w:ind w:left="1287"/>
        <w:contextualSpacing w:val="0"/>
        <w:jc w:val="both"/>
      </w:pPr>
      <w:r>
        <w:t xml:space="preserve">Jei tokius dokumentus pridedate prie pranešimo formos, toliau pateikite tų dokumentų sąrašą ir nurodykite jų autorių, parengimo datą ir naudojimo aplinkybes.</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 xml:space="preserve">Kad įrodytumėte, kad laikotės PKAAE gairių 29 ir 31 punktų:</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 xml:space="preserve">patvirtinkite, kad su projektu susijusių darbų ar veiklos pagalbos gavėjas nepradėjo anksčiau, nei nacionalinėms valdžios institucijoms pateikė rašytinę paraišką gauti pagalbą,</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 xml:space="preserve">ARBA</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projekto, pradėto įgyvendinti prieš pateikiant paraišką gauti pagalbą, atveju įrodykite, kad taikoma viena iš PKAAE gairių 31 punkto a, b arba c papunkčiuose nurodytų išimčių.</w:t>
      </w:r>
      <w:r>
        <w:t xml:space="preserve">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 xml:space="preserve">Kad įrodytumėte, jog laikotės PKAAE gairių 30 punkto, patvirtinkite, kad paraiškoje gauti pagalbą yra nurodytas bent jau pareiškėjo pavadinimas, projekto ar veiklos aprašymas, įskaitant jų vietą, ir pagalbos suma, reikalinga jiems įgyvendinti.</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 xml:space="preserve">Kad įrodytumėte, kad laikotės PKAAE gairių 32 punkto, nurodykite, ar priemonei (-ėms), apie kurią (-ias) pranešama, taikomi Sąjungos standartai</w:t>
      </w:r>
      <w:r>
        <w:rPr>
          <w:rStyle w:val="FootnoteReference"/>
          <w:lang w:val="en-IE" w:eastAsia="en-GB"/>
        </w:rPr>
        <w:footnoteReference w:id="7"/>
      </w:r>
      <w:r>
        <w:t xml:space="preserve">, privalomi nacionaliniai standartai, kurie yra griežtesni ar platesnio užmojo nei atitinkami Sąjungos standartai, arba, jei Sąjungos standartų nėra, ar priimti privalomi nacionaliniai standartai.</w:t>
      </w:r>
      <w:r>
        <w:t xml:space="preserve"> </w:t>
      </w:r>
      <w:r>
        <w:t xml:space="preserve">Atsižvelgdami į tai, pateikite skatinamąjį poveikį įrodančią informaciją.</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Tais atvejais, kai atitinkamas Sąjungos standartas jau priimtas, bet dar neįsigaliojo, įrodykite, kad pagalba turi skatinamąjį poveikį, nes ja skatinama investicijas iki galo įgyvendinti likus ne mažiau kaip 18 mėnesių iki standarto įsigaliojimo.</w:t>
      </w:r>
      <w:r>
        <w:t xml:space="preserve">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 xml:space="preserve">Nepažeidžiama jokia atitinkama Sąjungos teisės nuostata</w:t>
            </w:r>
          </w:p>
        </w:tc>
      </w:tr>
    </w:tbl>
    <w:p w14:paraId="0AB413A5" w14:textId="77777777" w:rsidR="00B00F48" w:rsidRPr="00BA15DC" w:rsidRDefault="00B00F48" w:rsidP="003B0EFB">
      <w:pPr>
        <w:spacing w:before="120" w:after="120"/>
        <w:jc w:val="both"/>
        <w:rPr>
          <w:i/>
        </w:rPr>
      </w:pPr>
      <w:r>
        <w:rPr>
          <w:i/>
        </w:rPr>
        <w:t xml:space="preserve">Kad pateiktumėte šiame skirsnyje prašomą informaciją, žr. PKAAE gairių 3.1.3 skirsnį (33 punktą).</w:t>
      </w:r>
      <w:r>
        <w:rPr>
          <w:i/>
        </w:rPr>
        <w:t xml:space="preserv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Pateikite informaciją ir patvirtinkite, kad laikomasi atitinkamų ES teisės nuostatų, kaip nurodyta PKAAE gairių 33 punkte.</w:t>
      </w:r>
      <w:r>
        <w:t xml:space="preserve">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 xml:space="preserve">Jei priemonei (-ėms) finansuoti naudojamas mokestis, paaiškinkite, ar reikia atlikti vertinimą, kad būtų nustatyta, ar laikomasi SESV 30 ir 110 straipsnių.</w:t>
      </w:r>
      <w:r>
        <w:t xml:space="preserve"> </w:t>
      </w:r>
      <w:r>
        <w:t xml:space="preserve">Jei taip, įrodykite, kaip priemonė atitinka SESV 30 ir 110 straipsnių nuostatas.</w:t>
      </w:r>
      <w:r>
        <w:rPr>
          <w:i/>
        </w:rPr>
        <w:t xml:space="preserve"> </w:t>
      </w:r>
      <w:r>
        <w:t xml:space="preserve">Jei priemonė (-ės), apie kurią (-ias) pranešama, yra finansuojama iš mokesčio, pateikdami įrodymus galite remtis </w:t>
      </w:r>
      <w:r>
        <w:fldChar w:fldCharType="begin" w:dirty="true"/>
      </w:r>
      <w:r>
        <w:instrText xml:space="preserve"> REF _Ref171091150 \r \h </w:instrText>
      </w:r>
      <w:r/>
      <w:r>
        <w:fldChar w:fldCharType="separate"/>
      </w:r>
      <w:r>
        <w:t xml:space="preserve">4</w:t>
      </w:r>
      <w:r>
        <w:fldChar w:fldCharType="end"/>
      </w:r>
      <w:r>
        <w:t xml:space="preserve"> punkto </w:t>
      </w:r>
      <w:r>
        <w:fldChar w:fldCharType="begin" w:dirty="true"/>
      </w:r>
      <w:r>
        <w:instrText xml:space="preserve"> REF _Ref116914400 \r \h </w:instrText>
      </w:r>
      <w:r/>
      <w:r>
        <w:fldChar w:fldCharType="separate"/>
      </w:r>
      <w:r>
        <w:t xml:space="preserve">ii</w:t>
      </w:r>
      <w:r>
        <w:fldChar w:fldCharType="end"/>
      </w:r>
      <w:r>
        <w:t xml:space="preserve"> papunktyje pateikta informacija.</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 xml:space="preserve">Negatyvioji sąlyga:</w:t>
            </w:r>
            <w:r>
              <w:rPr>
                <w:i/>
                <w:color w:val="000000"/>
                <w:sz w:val="28"/>
              </w:rPr>
              <w:t xml:space="preserve"> </w:t>
            </w:r>
            <w:r>
              <w:rPr>
                <w:i/>
                <w:color w:val="000000"/>
                <w:sz w:val="28"/>
              </w:rPr>
              <w:t xml:space="preserve">pagalba negalima trikdyti prekybos sąlygų taip, kad prieštarautų bendram interesui</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w:t>
            </w:r>
            <w:r>
              <w:rPr>
                <w:i/>
                <w:color w:val="000000"/>
                <w:sz w:val="28"/>
              </w:rPr>
              <w:t xml:space="preserve">Konkurencijos ir prekybos iškraipymo mažinimas</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 xml:space="preserve">Valstybės pagalbos intervencijos būtinumas ir tinkamumas</w:t>
            </w:r>
          </w:p>
        </w:tc>
      </w:tr>
    </w:tbl>
    <w:p w14:paraId="3C23674F" w14:textId="4D2BAF74" w:rsidR="00663008" w:rsidRPr="00BA15DC" w:rsidRDefault="00663008" w:rsidP="003B0EFB">
      <w:pPr>
        <w:spacing w:before="120" w:after="120"/>
        <w:jc w:val="both"/>
        <w:rPr>
          <w:i/>
          <w:color w:val="000000"/>
        </w:rPr>
      </w:pPr>
      <w:r>
        <w:rPr>
          <w:i/>
          <w:color w:val="000000"/>
        </w:rPr>
        <w:t xml:space="preserve">Kad</w:t>
      </w:r>
      <w:r>
        <w:rPr>
          <w:i/>
          <w:color w:val="000000"/>
        </w:rPr>
        <w:t xml:space="preserve"> pateiktumėte šiame skirsnyje prašomą informaciją, žr. PKAAE gairių 4.9.3.1 skirsnį (379 ir 380 punktus).</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 xml:space="preserve">PKAAE gairių 379 punkte nustatyta, kad energetikos infrastruktūros atveju rinkos nepakankamumo problemos paprastai sprendžiamos ir (arba) finansuojamos reguliuojamais privalomais naudotojų tarifais.</w:t>
      </w:r>
      <w:r>
        <w:t xml:space="preserve"> </w:t>
      </w:r>
      <w:r>
        <w:t xml:space="preserve">Vis dėlto, kaip minima PKAAE gairių 380 punkte, taip gali būti ne visada.</w:t>
      </w:r>
      <w:r>
        <w:t xml:space="preserve"> </w:t>
      </w:r>
      <w:r>
        <w:t xml:space="preserve">Paaiškinkite, kokiu mastu priemone sprendžiamos rinkos nepakankamumo, kurio negalima pašalinti taikant privalomus naudotojų tarifus, problemos.</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 xml:space="preserve">Norėdami įrodyti valstybės pagalbos būtinumą ir tinkamumą, nurodykite, kokiais skirtingais atvejais turi būti vertinamas projektas, apie kurį pranešama:</w:t>
      </w:r>
    </w:p>
    <w:p w14:paraId="14A4B66A" w14:textId="3266CF1A" w:rsidR="00C317A9" w:rsidRPr="00BA15DC" w:rsidRDefault="003618C5" w:rsidP="00C317A9">
      <w:pPr>
        <w:pStyle w:val="ListParagraph"/>
        <w:numPr>
          <w:ilvl w:val="0"/>
          <w:numId w:val="49"/>
        </w:numPr>
        <w:spacing w:before="120" w:after="120"/>
        <w:contextualSpacing w:val="0"/>
        <w:jc w:val="both"/>
      </w:pPr>
      <w:r>
        <w:t xml:space="preserve">projektas, apie kurį pranešama, yra bendro intereso projektas, apibrėžtas Reglamento (ES) Nr. 347/2013 2 straipsnio 4 punkte ir visiškai reguliuojamas energijos vidaus rinkos teisės aktais.</w:t>
      </w:r>
      <w:r>
        <w:t xml:space="preserve"> </w:t>
      </w:r>
      <w:r>
        <w:t xml:space="preserve">Tokiu atveju Komisija mano, kad esama rinkos nepakankamumo.</w:t>
      </w:r>
      <w:r>
        <w:t xml:space="preserve"> </w:t>
      </w:r>
      <w:r>
        <w:t xml:space="preserve">Valstybei narei nereikia papildomai pagrįsti valstybės pagalbos būtinumo ir tinkamumo, arba</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 xml:space="preserve">projektas, apie kurį pranešama, nėra bendro intereso projektas, kaip apibrėžta pirmiau, arba yra bendro intereso projektas, tačiau jam iš dalies ar visiškai netaikomi energijos vidaus rinkos teisės aktai, arba</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 xml:space="preserve">projektas nėra bendro intereso projektas ir yra Sąjungos ir trečiosios šalies projektas.</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Jei projektas, apie kurį pranešama, susijęs su </w:t>
      </w:r>
      <w:r>
        <w:rPr>
          <w:b/>
          <w:bCs/>
        </w:rPr>
        <w:t xml:space="preserve">19</w:t>
      </w:r>
      <w:r>
        <w:t xml:space="preserve"> punkto </w:t>
      </w:r>
      <w:r>
        <w:rPr>
          <w:b/>
          <w:bCs/>
        </w:rPr>
        <w:t xml:space="preserve">b</w:t>
      </w:r>
      <w:r>
        <w:t xml:space="preserve"> papunktyje nurodytu atveju, kad būtų galima pagrįsti priemonės būtinumą ir tinkamumą, paaiškinkite, kokiu mastu:</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rinkos nepakankamumas lemia neoptimalų būtinos infrastruktūros užtikrinimą;</w:t>
      </w:r>
      <w:r>
        <w:t xml:space="preserve">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infrastruktūra gali naudotis trečiosios šalys ir kiek jai taikomas tarifinis reguliavimas;</w:t>
      </w:r>
      <w:r>
        <w:t xml:space="preserve">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projektas padeda didinti tiekimo saugumą Sąjungoje arba siekti Sąjungos poveikio klimatui neutralumo tikslų.</w:t>
      </w:r>
      <w:r>
        <w:t xml:space="preserve">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Jei projektas susijęs su </w:t>
      </w:r>
      <w:r>
        <w:rPr>
          <w:b/>
          <w:bCs/>
        </w:rPr>
        <w:t xml:space="preserve">19</w:t>
      </w:r>
      <w:r>
        <w:t xml:space="preserve"> punkto </w:t>
      </w:r>
      <w:r>
        <w:rPr>
          <w:b/>
          <w:bCs/>
        </w:rPr>
        <w:t xml:space="preserve">c</w:t>
      </w:r>
      <w:r>
        <w:t xml:space="preserve"> papunktyje nurodytu atveju, paaiškinkite, ar i) jei dalis infrastruktūros yra Sąjungos teritorijoje, projektas parengtas ir vykdomas laikantis Sąjungos teisės aktų, visų pirma direktyvų 2009/73/EB ir (ES) 2019/944, ir ii) jei dalis infrastruktūros yra susijusioje (-iose) trečiojoje (-iose) šalyje (-yse), projektas reguliavimo požiūriu yra labai suderintas ir juo bus prisidedama prie bendrų Sąjungos tikslų, visų pirma siekiant užtikrinti:</w:t>
      </w:r>
      <w:r>
        <w:t xml:space="preserve">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gerai veikiančią energijos vidaus rinką;</w:t>
      </w:r>
      <w:r>
        <w:t xml:space="preserve">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bendradarbiavimu ir solidarumu grindžiamą energijos tiekimo saugumą;</w:t>
      </w:r>
      <w:r>
        <w:t xml:space="preserve"> </w:t>
      </w:r>
    </w:p>
    <w:p w14:paraId="6F1E0EF7" w14:textId="78DFE7A8" w:rsidR="0097238E" w:rsidRPr="00BA15DC" w:rsidRDefault="003618C5" w:rsidP="0097238E">
      <w:pPr>
        <w:pStyle w:val="ListParagraph"/>
        <w:numPr>
          <w:ilvl w:val="0"/>
          <w:numId w:val="53"/>
        </w:numPr>
        <w:spacing w:before="120" w:after="120"/>
        <w:contextualSpacing w:val="0"/>
        <w:jc w:val="both"/>
      </w:pPr>
      <w:r>
        <w:t xml:space="preserve">energetikos sistemą, kuria siekiama mažinti priklausomybę nuo iškastinio kuro pagal Paryžiaus susitarimą ir Sąjungos klimato politikos tikslus, ir ypač</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anglies dioksido nutekėjimo vengimą.</w:t>
      </w:r>
      <w:r>
        <w:t xml:space="preserve">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sz w:val="24"/>
                <w:color w:val="000000"/>
              </w:rPr>
              <w:t xml:space="preserve">Pagalbos proporcingumas</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 xml:space="preserve">Kad pateiktumėte šiame skirsnyje prašomą informaciją, žr. PKAAE gairių 51–52 ir 381 punktus</w:t>
      </w:r>
      <w:r>
        <w:t xml:space="preserve">.</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Pagal PKAAE gairių 51 punktą, tipines grynąsias papildomas išlaidas galima apskaičiuoti kaip faktinio scenarijaus ir priešingos padėties scenarijaus GDV skirtumą per projekto arba atitinkamais atvejais etaloninio projekto įgyvendinimo laikotarpį.</w:t>
      </w:r>
      <w:r>
        <w:t xml:space="preserve"> </w:t>
      </w:r>
      <w:r>
        <w:t xml:space="preserve">Kai pagal priešingos padėties scenarijų projektas nebus įgyvendintas (žr. PKAAE gairių 52 punktą), neigiama projekto GDV pagal faktinį scenarijų prilyginama grynosioms papildomoms išlaidoms.</w:t>
      </w:r>
      <w:r>
        <w:t xml:space="preserve"> </w:t>
      </w:r>
    </w:p>
    <w:p w14:paraId="2FF71764" w14:textId="253C5AA4" w:rsidR="001620DB" w:rsidRPr="00BA15DC" w:rsidRDefault="00095D42" w:rsidP="00095D42">
      <w:pPr>
        <w:pStyle w:val="ListParagraph"/>
        <w:spacing w:before="120" w:after="120"/>
        <w:ind w:left="567"/>
        <w:contextualSpacing w:val="0"/>
        <w:jc w:val="both"/>
      </w:pPr>
      <w:r>
        <w:t xml:space="preserve">Prašomus duomenis pateikite (</w:t>
      </w:r>
      <w:r>
        <w:rPr>
          <w:i/>
        </w:rPr>
        <w:t xml:space="preserve">Excel</w:t>
      </w:r>
      <w:r>
        <w:t xml:space="preserve"> rinkmenoje,</w:t>
      </w:r>
      <w:r>
        <w:rPr>
          <w:shd w:val="clear" w:color="auto" w:fill="FFFFFF"/>
        </w:rPr>
        <w:t xml:space="preserve"> kurioje matomos visos formulės</w:t>
      </w:r>
      <w:r>
        <w:t xml:space="preserve">) šios pranešimo formos priede.</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 xml:space="preserve">Kad būtų galima nustatyti trūkstamą finansavimą</w:t>
      </w:r>
      <w:r>
        <w:rPr>
          <w:rStyle w:val="FootnoteReference"/>
          <w:shd w:val="clear" w:color="auto" w:fill="FFFFFF"/>
        </w:rPr>
        <w:footnoteReference w:id="8"/>
      </w:r>
      <w:r>
        <w:rPr>
          <w:shd w:val="clear" w:color="auto" w:fill="FFFFFF"/>
        </w:rPr>
        <w:t xml:space="preserve">, pateikite kiekybinį įvertinimą pagal faktinį scenarijų:</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 xml:space="preserve">visų pagrindinių projekto išlaidų ir pajamų;</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 xml:space="preserve">įvertintą pagalbos gavėjų vidutinę svertinę kapitalo kainą (VSKK), pagal kurią bus diskontuojami būsimi pinigų srautai;</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 xml:space="preserve">grynąją dabartinę vertę visu projekto gyvavimo laikotarpiu pagal faktinį scenarijų.</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Šios pranešimo formos priede pateikite išsamią informaciją apie prielaidas, metodikas, pagrindimą ir pagrindinius jų šaltinius, kurie naudoti faktiniame scenarijuje nurodytų išlaidų ir pajamų kiekvienam kiekybinio vertinimo aspektui (pvz., nurodykite, kokiomis prielaidomis rėmėtės rengdami faktinį scenarijų).</w:t>
      </w:r>
      <w:r>
        <w:rPr>
          <w:shd w:val="clear" w:color="auto" w:fill="FFFFFF"/>
        </w:rPr>
        <w:t xml:space="preserve">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 xml:space="preserve">Pagal PKAAE gairių 53 punktą, individualios pagalbos ir schemų, skirtų ypač ribotam pagalbos gavėjų skaičiui, atveju valstybė narė turi pateikti patvirtinamuosius įrodymus išsamaus projekto verslo plano lygmeniu.</w:t>
      </w:r>
    </w:p>
    <w:p w14:paraId="584CA833" w14:textId="436A6E2D" w:rsidR="00124B6F" w:rsidRPr="00C34CB6" w:rsidRDefault="00C53C43" w:rsidP="00232CF6">
      <w:pPr>
        <w:pStyle w:val="ListParagraph"/>
        <w:spacing w:before="120" w:after="120"/>
        <w:ind w:left="567"/>
        <w:contextualSpacing w:val="0"/>
        <w:jc w:val="both"/>
      </w:pPr>
      <w:r>
        <w:t xml:space="preserve">Pagalbos schemų atveju valstybė narė turi pateikti patvirtinamuosius įrodymus, remdamasi vienu ar keliais etaloniniais projektais.</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 xml:space="preserve">Kad Komisija galėtų patikrinti, ar pagalbos suma neviršija minimalios sumos, būtinos, kad projektas, kuriam teikiama pagalba, būtų pakankamai pelningas</w:t>
      </w:r>
      <w:r>
        <w:rPr>
          <w:rStyle w:val="FootnoteReference"/>
          <w:lang w:eastAsia="en-GB"/>
        </w:rPr>
        <w:footnoteReference w:id="9"/>
      </w:r>
      <w:r>
        <w:t xml:space="preserve">, pateikite šią informaciją:</w:t>
      </w:r>
    </w:p>
    <w:p w14:paraId="020A0406" w14:textId="40D27EEF" w:rsidR="00EC2A7D" w:rsidRPr="00BA15DC" w:rsidRDefault="00EC2A7D" w:rsidP="00C003E3">
      <w:pPr>
        <w:pStyle w:val="ListParagraph"/>
        <w:numPr>
          <w:ilvl w:val="1"/>
          <w:numId w:val="4"/>
        </w:numPr>
        <w:spacing w:before="120" w:after="120"/>
        <w:contextualSpacing w:val="0"/>
        <w:jc w:val="both"/>
      </w:pPr>
      <w:r>
        <w:t xml:space="preserve">vidinę grąžos normą (VGN), kuri atitiktų konkretaus sektoriaus ar įmonės orientacinę normą arba minimalaus pelningumo koeficientą,</w:t>
      </w:r>
      <w:r>
        <w:t xml:space="preserve"> </w:t>
      </w:r>
      <w:r>
        <w:t xml:space="preserve">arba</w:t>
      </w:r>
    </w:p>
    <w:p w14:paraId="056D5BF9" w14:textId="64F3B5CD" w:rsidR="00AB47A1" w:rsidRPr="00BA15DC" w:rsidRDefault="007315B8" w:rsidP="00C003E3">
      <w:pPr>
        <w:pStyle w:val="ListParagraph"/>
        <w:numPr>
          <w:ilvl w:val="1"/>
          <w:numId w:val="4"/>
        </w:numPr>
        <w:spacing w:before="120" w:after="120"/>
        <w:contextualSpacing w:val="0"/>
        <w:jc w:val="both"/>
      </w:pPr>
      <w:r>
        <w:t xml:space="preserve">įprastas grąžos, kurios pagalbos gavėjas reikalauja kituose panašios rūšies investicijų projektuose, normas, visos bendrovės kapitalo sąnaudas,</w:t>
      </w:r>
      <w:r>
        <w:t xml:space="preserve"> </w:t>
      </w:r>
      <w:r>
        <w:t xml:space="preserve">arba</w:t>
      </w:r>
    </w:p>
    <w:p w14:paraId="13B46137" w14:textId="062C7DC0" w:rsidR="0029714D" w:rsidRPr="00BA15DC" w:rsidRDefault="007315B8" w:rsidP="00C003E3">
      <w:pPr>
        <w:pStyle w:val="ListParagraph"/>
        <w:numPr>
          <w:ilvl w:val="1"/>
          <w:numId w:val="4"/>
        </w:numPr>
        <w:spacing w:before="120" w:after="120"/>
        <w:contextualSpacing w:val="0"/>
        <w:jc w:val="both"/>
      </w:pPr>
      <w:r>
        <w:t xml:space="preserve">grąžą, kuri paprastai gaunama atitinkamame pramonės sektoriuje,</w:t>
      </w:r>
      <w:r>
        <w:t xml:space="preserve"> </w:t>
      </w:r>
      <w:r>
        <w:t xml:space="preserve">arba</w:t>
      </w:r>
    </w:p>
    <w:p w14:paraId="0691A0E0" w14:textId="27443E78" w:rsidR="00445F48" w:rsidRPr="00BA15DC" w:rsidRDefault="001622D8" w:rsidP="00C003E3">
      <w:pPr>
        <w:pStyle w:val="ListParagraph"/>
        <w:numPr>
          <w:ilvl w:val="1"/>
          <w:numId w:val="4"/>
        </w:numPr>
        <w:spacing w:before="120" w:after="120"/>
        <w:contextualSpacing w:val="0"/>
        <w:jc w:val="both"/>
      </w:pPr>
      <w:r>
        <w:t xml:space="preserve">bet kokią kitą informaciją, pagrindžiančią, kad pagalbos suma neviršija minimalios sumos, būtinos, kad projektas, kuriam teikiama pagalba, būtų pakankamai pelningas.</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 xml:space="preserve">Pagal PKAAE gairių 381 punktą, jei pagalba yra artima didžiausiai leistinai sumai ir kai yra nenumatyto pelno rizika, gali reikėti nustatyti stebėsenos ir lėšų susigrąžinimo mechanizmą, kartu išlaikant paskatas pagalbos gavėjams kuo labiau mažinti išlaidas ir ilgainiui efektyviau plėtoti verslą.</w:t>
      </w:r>
      <w:r>
        <w:t xml:space="preserve"> </w:t>
      </w:r>
      <w:r>
        <w:t xml:space="preserve">Paaiškinkite, ar esama kokio nors stebėsenos ir lėšų susigrąžinimo mechanizmo.</w:t>
      </w:r>
      <w:r>
        <w:t xml:space="preserve"> </w:t>
      </w:r>
      <w:r>
        <w:t xml:space="preserve">Jei ne, paaiškinkite kodėl.</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 xml:space="preserve">Sumavimas</w:t>
            </w:r>
          </w:p>
        </w:tc>
      </w:tr>
    </w:tbl>
    <w:p w14:paraId="2346A85D" w14:textId="72F525D8" w:rsidR="00B21377" w:rsidRPr="00BA15DC" w:rsidRDefault="00B21377" w:rsidP="00B21377">
      <w:pPr>
        <w:pStyle w:val="ListParagraph"/>
        <w:spacing w:before="120" w:after="120"/>
        <w:ind w:left="567"/>
        <w:contextualSpacing w:val="0"/>
        <w:jc w:val="both"/>
      </w:pPr>
      <w:r>
        <w:rPr>
          <w:i/>
        </w:rPr>
        <w:t xml:space="preserve">Kad pateiktumėte šiame skirsnyje prašomą informaciją, žr. PKAAE gairių 56–57 punktus</w:t>
      </w:r>
      <w:r>
        <w:t xml:space="preserve">.</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Jei šios informacijos dar nenurodėte formos „Bendroji informacija“ 7.4 skirsnyje (I dalis), kad būtų galima patikrinti, ar laikomasi PKAAE gairių 56 punkto, paaiškinkite, ar pagalba pagal priemonę (-es), apie kurią (-ias) pranešama, gali būti suteikta vienu metu pagal kelias pagalbos schemas arba sumuojama su </w:t>
      </w:r>
      <w:r>
        <w:rPr>
          <w:i/>
        </w:rPr>
        <w:t xml:space="preserve">ad hoc</w:t>
      </w:r>
      <w:r>
        <w:t xml:space="preserve"> arba </w:t>
      </w:r>
      <w:r>
        <w:rPr>
          <w:i/>
        </w:rPr>
        <w:t xml:space="preserve">de minimis</w:t>
      </w:r>
      <w:r>
        <w:t xml:space="preserve"> pagalba tų pačių finansuoti tinkamų išlaidų atžvilgiu.</w:t>
      </w:r>
      <w:r>
        <w:t xml:space="preserve"> </w:t>
      </w:r>
      <w:r>
        <w:t xml:space="preserve">Jei taip, pateikite išsamią informaciją apie tas pagalbos schemas, </w:t>
      </w:r>
      <w:r>
        <w:rPr>
          <w:i/>
        </w:rPr>
        <w:t xml:space="preserve">ad hoc</w:t>
      </w:r>
      <w:r>
        <w:t xml:space="preserve"> pagalbą arba </w:t>
      </w:r>
      <w:r>
        <w:rPr>
          <w:i/>
        </w:rPr>
        <w:t xml:space="preserve">de minimis</w:t>
      </w:r>
      <w:r>
        <w:t xml:space="preserve"> pagalbą ir apie tai, kaip bus sumuojama pagalba.</w:t>
      </w:r>
      <w:r>
        <w:t xml:space="preserve"> </w:t>
      </w:r>
      <w:r>
        <w:t xml:space="preserve">Atkreipkite dėmesį, kad galite pateikti nuorodą į jau nurodytą kiekybinį vertinimą.</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Jei pagalba suteikta vienu metu pagal kelias pagalbos schemas arba sumuojama su </w:t>
      </w:r>
      <w:r>
        <w:rPr>
          <w:i/>
        </w:rPr>
        <w:t xml:space="preserve">ad hoc</w:t>
      </w:r>
      <w:r>
        <w:t xml:space="preserve"> arba </w:t>
      </w:r>
      <w:r>
        <w:rPr>
          <w:i/>
        </w:rPr>
        <w:t xml:space="preserve">de minimis</w:t>
      </w:r>
      <w:r>
        <w:t xml:space="preserve"> pagalba tų pačių finansuoti tinkamų išlaidų atžvilgiu, pagrįskite, kodėl dėl bendros projektui arba veiklai skirtos pagalbos pagal priemonę (-es), apie kurią (-ias) pranešama, nesusidaro kompensacijos permoka arba neviršijama didžiausia pagalbos suma, kuri leidžiama pagal PKAAE gairių 51 ir 381 punktus.</w:t>
      </w:r>
      <w:r>
        <w:t xml:space="preserve"> </w:t>
      </w:r>
      <w:r>
        <w:t xml:space="preserve">Kiekvienos priemonės, pagal kurias teikiamą pagalbą galima sumuoti su pagal priemonę (-es), apie kurią (-ias) pranešama, teikiama pagalba, atveju nurodykite metodą, kuriuo užtikrinama, kad būtų laikomasi PKAAE gairių 56 punkte nustatytų sąlygų.</w:t>
      </w:r>
      <w:r>
        <w:t xml:space="preserve">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 xml:space="preserve">Jei pagal priemonę (-es), apie kurią (-ias) pranešama, teikiama pagalba yra derinama su centralizuotai valdomu Sąjungos finansavimu remiantis PKAAE gairių 57 punktu</w:t>
      </w:r>
      <w:r>
        <w:rPr>
          <w:rStyle w:val="FootnoteReference"/>
          <w:lang w:eastAsia="en-GB"/>
        </w:rPr>
        <w:footnoteReference w:id="10"/>
      </w:r>
      <w:r>
        <w:t xml:space="preserve">, pagrįskite, </w:t>
      </w:r>
      <w:r>
        <w:rPr>
          <w:shd w:val="clear" w:color="auto" w:fill="FFFFFF"/>
        </w:rPr>
        <w:t xml:space="preserve">kodėl dėl bendros viešojo finansavimo sumos, skiriamos toms pačioms tinkamoms finansuoti išlaidoms padengti, nesusidaro kompensacijos permoka.</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 xml:space="preserve">Skaidrumas</w:t>
            </w:r>
          </w:p>
        </w:tc>
      </w:tr>
    </w:tbl>
    <w:p w14:paraId="07229A8F" w14:textId="24C7C0FA" w:rsidR="006773CE" w:rsidRPr="00BA15DC" w:rsidRDefault="006773CE" w:rsidP="003B0EFB">
      <w:pPr>
        <w:spacing w:before="120" w:after="120"/>
        <w:jc w:val="both"/>
        <w:rPr>
          <w:i/>
        </w:rPr>
      </w:pPr>
      <w:r>
        <w:rPr>
          <w:i/>
          <w:color w:val="000000"/>
        </w:rPr>
        <w:t xml:space="preserve">Kad</w:t>
      </w:r>
      <w:r>
        <w:rPr>
          <w:i/>
          <w:color w:val="000000"/>
        </w:rPr>
        <w:t xml:space="preserve"> pateiktumėte šiame skirsnyje prašomą informaciją, žr. PKAAE gairių 3.2.1.4 skirsnį (58–62 punktus).</w:t>
      </w:r>
      <w:r>
        <w:rPr>
          <w:i/>
        </w:rPr>
        <w:t xml:space="preserv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szCs w:val="24"/>
          <w:rFonts w:eastAsia="Times New Roman"/>
        </w:rPr>
      </w:pPr>
      <w:r>
        <w:t xml:space="preserve">Patvirtinkite, kad valstybė narė laikysis PKAAE gairių 58–61 punktuose </w:t>
      </w:r>
      <w:r>
        <w:t xml:space="preserve">nustatytų</w:t>
      </w:r>
      <w:r>
        <w:t xml:space="preserve"> skaidrumo reikalavimų.</w:t>
      </w:r>
      <w:r>
        <w:t xml:space="preserve">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Pateikite interneto nuorodą į puslapį, kuriame bus paskelbtas visas patvirtintos pagalbos schemos arba sprendimo dėl individualios pagalbos skyrimo ir jos įgyvendinimo nuostatų tekstas ir informacija apie kiekvieną individualią pagalbą, skirtą </w:t>
      </w:r>
      <w:r>
        <w:rPr>
          <w:i/>
        </w:rPr>
        <w:t xml:space="preserve">ad hoc</w:t>
      </w:r>
      <w:r>
        <w:t xml:space="preserve"> arba pagal pagalbos schemą, patvirtintą remiantis PKAAE gairėmis ir viršijančią 100 000 EUR.</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w:t>
            </w:r>
            <w:r>
              <w:rPr>
                <w:i/>
                <w:color w:val="000000"/>
                <w:sz w:val="28"/>
              </w:rPr>
              <w:t xml:space="preserve">Nederamo neigiamo pagalbos poveikio konkurencijai ir prekybai vengimas ir pusiausvyros užtikrinimas</w:t>
            </w:r>
          </w:p>
        </w:tc>
      </w:tr>
    </w:tbl>
    <w:p w14:paraId="32B25629" w14:textId="6CBE1875" w:rsidR="00F83660" w:rsidRPr="00BA15DC" w:rsidRDefault="00F83660" w:rsidP="003B0EFB">
      <w:pPr>
        <w:spacing w:before="360" w:after="120"/>
        <w:jc w:val="both"/>
      </w:pPr>
      <w:r>
        <w:rPr>
          <w:i/>
        </w:rPr>
        <w:t xml:space="preserve">Kad pateiktumėte šiame skirsnyje prašomą informaciją, žr. PKAAE gairių 4.9.4 skirsnį (382 ir paskesnius punktus).</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Jei projektui, apie kurį pranešama, visiškai arba iš dalies netaikomi energijos vidaus rinkos teisės aktai, paaiškinkite:</w:t>
      </w:r>
      <w:r>
        <w:t xml:space="preserve">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kokiu mastu remiama infrastruktūra gali naudotis trečiosios šalys;</w:t>
      </w:r>
      <w:r>
        <w:t xml:space="preserve">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kokiu mastu vartotojai gali naudotis alternatyvia infrastruktūra, jei tokia yra;</w:t>
      </w:r>
      <w:r>
        <w:t xml:space="preserve"> </w:t>
      </w:r>
    </w:p>
    <w:p w14:paraId="14CAE043" w14:textId="0F765E36" w:rsidR="009013F3" w:rsidRPr="00BA15DC" w:rsidRDefault="009C221E" w:rsidP="00232CF6">
      <w:pPr>
        <w:pStyle w:val="ListParagraph"/>
        <w:numPr>
          <w:ilvl w:val="0"/>
          <w:numId w:val="53"/>
        </w:numPr>
        <w:spacing w:before="120" w:after="120"/>
        <w:contextualSpacing w:val="0"/>
        <w:jc w:val="both"/>
      </w:pPr>
      <w:r>
        <w:t xml:space="preserve">kokiu mastu projektas galėtų išstumti privačias investicijas;</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pagalbos gavėjo (-ų) konkurencinę padėtį tiek infrastruktūros eksploatavimo, tiek atitinkamų produktų, gabenamų naudojant infrastruktūrą, rinkų atžvilgiu.</w:t>
      </w:r>
      <w:r>
        <w:t xml:space="preserve">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 xml:space="preserve">Jei projektas, apie kurį pranešama, yra susijęs su gamtinių dujų infrastruktūra, pateikite informaciją apie tai, kaip projektas, apie kurį pranešama, atitiks šias sąlygas:</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infrastruktūra yra parengta naudoti vandenilį ir dėl jos didėja dujų iš atsinaujinančiųjų energijos išteklių naudojimas,</w:t>
      </w:r>
      <w:r>
        <w:t xml:space="preserve"> </w:t>
      </w:r>
      <w:r>
        <w:t xml:space="preserve">arba, kitu atveju, kodėl projekto neįmanoma parengti taip, kad jis būtų tinkamas naudoti vandenilį, kaip projektu nesukuriamas susisaistymo su gamtinių dujų naudojimu poveikis;</w:t>
      </w:r>
      <w:r>
        <w:t xml:space="preserve"> </w:t>
      </w:r>
    </w:p>
    <w:p w14:paraId="49495890" w14:textId="19234331" w:rsidR="009013F3" w:rsidRDefault="009013F3" w:rsidP="00232CF6">
      <w:pPr>
        <w:pStyle w:val="ListParagraph"/>
        <w:numPr>
          <w:ilvl w:val="0"/>
          <w:numId w:val="53"/>
        </w:numPr>
        <w:spacing w:before="120" w:after="120"/>
        <w:contextualSpacing w:val="0"/>
        <w:jc w:val="both"/>
      </w:pPr>
      <w:r>
        <w:t xml:space="preserve">investicija padeda siekti Sąjungos 2030 m. klimato politikos tikslų ir 2050 m. poveikio klimatui neutralumo tikslo.</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 xml:space="preserve">Jei projektas, apie kurį pranešama, yra bendro intereso projektas arba abipusio intereso projektas, kuriam vidaus rinkos teisės aktai netaikomi, paaiškinkite, koks bus projekto poveikis susijusioms paslaugų rinkoms ir kitoms paslaugų rinkoms.</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b/>
                <w:i/>
                <w:color w:val="000000"/>
                <w:sz w:val="28"/>
                <w:szCs w:val="28"/>
                <w:rFonts w:eastAsia="Times New Roman"/>
              </w:rPr>
            </w:pPr>
            <w:r>
              <w:br w:type="page"/>
            </w:r>
            <w:r>
              <w:rPr>
                <w:b/>
                <w:i/>
                <w:color w:val="000000"/>
                <w:sz w:val="28"/>
              </w:rPr>
              <w:t xml:space="preserve">Vertinimas</w:t>
            </w:r>
          </w:p>
        </w:tc>
      </w:tr>
    </w:tbl>
    <w:p w14:paraId="78AC9B95" w14:textId="1FB76E7E" w:rsidR="00C33721" w:rsidRPr="00BA15DC" w:rsidRDefault="00C33721" w:rsidP="004F3B88">
      <w:pPr>
        <w:tabs>
          <w:tab w:val="left" w:leader="dot" w:pos="9072"/>
        </w:tabs>
        <w:spacing w:before="120" w:after="120"/>
        <w:ind w:left="567"/>
        <w:jc w:val="both"/>
        <w:rPr>
          <w:i/>
          <w:iCs/>
        </w:rPr>
      </w:pPr>
      <w:r>
        <w:rPr>
          <w:i/>
        </w:rPr>
        <w:t xml:space="preserve">Kad pateiktumėte šiame skirsnyje prašomą informaciją, žr. PKAAE gairių 76 punkto a papunktį ir 5 skyrių (455–463 punktus).</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Jei priemonė (-ės), apie kurią (-ias) pranešama, viršija PKAAE gairių 456 punkte nustatytas biudžeto ir (arba) išlaidų ribas, paaiškinkite, kodėl, jūsų nuomone, turėtų būti taikoma PKAAE gairių 457 punkte nustatyta išimtis, arba šios pranešimo formos priede pateikite, be kita ko, vertinimo plano projektą, apimantį PKAAE gairių 458 punkte nurodytą taikymo sritį</w:t>
      </w:r>
      <w:r>
        <w:rPr>
          <w:vertAlign w:val="superscript"/>
          <w:lang w:eastAsia="en-GB"/>
        </w:rPr>
        <w:footnoteReference w:id="11"/>
      </w:r>
      <w:r>
        <w:t xml:space="preserve">.</w:t>
      </w:r>
    </w:p>
    <w:p w14:paraId="666FDAB3" w14:textId="77777777" w:rsidR="009618E4" w:rsidRPr="00BA15DC" w:rsidRDefault="009618E4" w:rsidP="009618E4">
      <w:pPr>
        <w:spacing w:before="120" w:after="120"/>
        <w:ind w:firstLine="567"/>
        <w:jc w:val="both"/>
      </w:pPr>
      <w:r>
        <w:t xml:space="preserve">……………………………………………………………………………………………</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Jei pateikiamas vertinimo plano projektas:</w:t>
      </w:r>
    </w:p>
    <w:p w14:paraId="08BAA496" w14:textId="23665408" w:rsidR="009618E4" w:rsidRPr="00BA15DC" w:rsidRDefault="009618E4" w:rsidP="009618E4">
      <w:pPr>
        <w:numPr>
          <w:ilvl w:val="0"/>
          <w:numId w:val="61"/>
        </w:numPr>
        <w:spacing w:before="120" w:after="120"/>
        <w:jc w:val="both"/>
      </w:pPr>
      <w:r>
        <w:t xml:space="preserve">pateikite šios pranešimo formos priede pateikto vertinimo plano projekto santrauką;</w:t>
      </w:r>
    </w:p>
    <w:p w14:paraId="7B48B620" w14:textId="77777777" w:rsidR="009618E4" w:rsidRPr="00BA15DC" w:rsidRDefault="009618E4" w:rsidP="009618E4">
      <w:pPr>
        <w:spacing w:before="120" w:after="120"/>
        <w:ind w:left="1440"/>
        <w:jc w:val="both"/>
      </w:pPr>
      <w:r>
        <w:t xml:space="preserve">………………………………………………………………………………….</w:t>
      </w:r>
    </w:p>
    <w:p w14:paraId="2F7FED33" w14:textId="27B289B4" w:rsidR="009618E4" w:rsidRPr="00BA15DC" w:rsidRDefault="009618E4" w:rsidP="009618E4">
      <w:pPr>
        <w:numPr>
          <w:ilvl w:val="0"/>
          <w:numId w:val="61"/>
        </w:numPr>
        <w:spacing w:before="120" w:after="120"/>
        <w:jc w:val="both"/>
      </w:pPr>
      <w:r>
        <w:t xml:space="preserve">patvirtinkite, kad bus laikomasi PKAAE gairių 460 punkto;</w:t>
      </w:r>
    </w:p>
    <w:p w14:paraId="59BB95DE" w14:textId="77777777" w:rsidR="009618E4" w:rsidRPr="00BA15DC" w:rsidRDefault="009618E4" w:rsidP="009618E4">
      <w:pPr>
        <w:spacing w:before="120" w:after="120"/>
        <w:ind w:left="1440"/>
        <w:jc w:val="both"/>
      </w:pPr>
      <w:r>
        <w:t xml:space="preserve">………………………………………………………………………………….</w:t>
      </w:r>
      <w:r>
        <w:t xml:space="preserve"> </w:t>
      </w:r>
    </w:p>
    <w:p w14:paraId="0C714569" w14:textId="07598D38" w:rsidR="009618E4" w:rsidRPr="00BA15DC" w:rsidRDefault="009618E4" w:rsidP="009618E4">
      <w:pPr>
        <w:numPr>
          <w:ilvl w:val="0"/>
          <w:numId w:val="61"/>
        </w:numPr>
        <w:spacing w:before="120" w:after="120"/>
        <w:jc w:val="both"/>
      </w:pPr>
      <w:r>
        <w:t xml:space="preserve">pateikite interneto nuorodą į vertinimo planą ir nurodykite, nuo kada jis bus skelbiamas viešai.</w:t>
      </w:r>
    </w:p>
    <w:p w14:paraId="708085DD" w14:textId="77777777" w:rsidR="009618E4" w:rsidRPr="00BA15DC" w:rsidRDefault="009618E4" w:rsidP="009618E4">
      <w:pPr>
        <w:spacing w:before="120" w:after="120"/>
        <w:ind w:left="1440"/>
        <w:jc w:val="both"/>
      </w:pPr>
      <w:r>
        <w:t xml:space="preserve">………………………………………………………………………………….</w:t>
      </w: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ir jos taikymo trukmė viršija trejus metus, kad būtų galima patikrinti, ar laikomasi PKAAE gairių 459 punkto b papunkčio, patvirtinkite, kad vertinimo plano projektą pateiksite per 30 darbo dienų po reikšmingo pakeitimo, dėl kurio schemos biudžetas padidėjo ir viršija 150 mln. EUR bet kuriais metais arba 750 mln. EUR per visą schemos taikymo trukmę.</w:t>
      </w:r>
      <w:r>
        <w:t xml:space="preserv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Jeigu pagalbos schemos </w:t>
      </w:r>
      <w:r>
        <w:rPr>
          <w:i/>
        </w:rPr>
        <w:t xml:space="preserve">ex post</w:t>
      </w:r>
      <w:r>
        <w:t xml:space="preserve"> vertinimas šiuo metu neatliekamas, kad būtų galima patikrinti, ar laikomasi PKAAE gairių 459 punkto c papunkčio, pateikite įsipareigojimą, kad valstybė narė vertinimo plano projektą pateiks </w:t>
      </w:r>
      <w:r>
        <w:rPr>
          <w:shd w:val="clear" w:color="auto" w:fill="FFFFFF"/>
        </w:rPr>
        <w:t xml:space="preserve">per 30 darbo dienų po 150 mln. EUR viršijančių praėjusių metų išlaidų užregistravimo oficialiojoje apskaitoje</w:t>
      </w:r>
      <w:r>
        <w:t xml:space="preserve">.</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 xml:space="preserve">Kad būtų galima patikrinti, ar laikomasi PKAAE gairių 461 punkto:</w:t>
      </w:r>
    </w:p>
    <w:p w14:paraId="3F285296" w14:textId="77777777" w:rsidR="009618E4" w:rsidRPr="00BA15DC" w:rsidRDefault="009618E4" w:rsidP="009618E4">
      <w:pPr>
        <w:numPr>
          <w:ilvl w:val="0"/>
          <w:numId w:val="62"/>
        </w:numPr>
        <w:spacing w:before="120" w:after="120"/>
        <w:jc w:val="both"/>
      </w:pPr>
      <w:r>
        <w:t xml:space="preserve">patikslinkite, ar nepriklausomas ekspertas jau atrinktas, ar bus atrinktas;</w:t>
      </w:r>
    </w:p>
    <w:p w14:paraId="08F51425" w14:textId="77777777" w:rsidR="009618E4" w:rsidRPr="00BA15DC" w:rsidRDefault="009618E4" w:rsidP="009618E4">
      <w:pPr>
        <w:spacing w:before="120" w:after="120"/>
        <w:ind w:left="1440"/>
        <w:jc w:val="both"/>
      </w:pPr>
      <w:r>
        <w:t xml:space="preserve">…………………………………………………………………………………..</w:t>
      </w:r>
    </w:p>
    <w:p w14:paraId="3D128624" w14:textId="77777777" w:rsidR="009618E4" w:rsidRPr="00BA15DC" w:rsidRDefault="009618E4" w:rsidP="009618E4">
      <w:pPr>
        <w:numPr>
          <w:ilvl w:val="0"/>
          <w:numId w:val="62"/>
        </w:numPr>
        <w:spacing w:before="120" w:after="120"/>
        <w:jc w:val="both"/>
      </w:pPr>
      <w:r>
        <w:t xml:space="preserve">pateikite informaciją apie eksperto atrankos procedūrą;</w:t>
      </w:r>
    </w:p>
    <w:p w14:paraId="0AB0DD7C" w14:textId="77777777" w:rsidR="009618E4" w:rsidRPr="00BA15DC" w:rsidRDefault="009618E4" w:rsidP="009618E4">
      <w:pPr>
        <w:spacing w:before="120" w:after="120"/>
        <w:ind w:left="1440"/>
        <w:jc w:val="both"/>
      </w:pPr>
      <w:r>
        <w:t xml:space="preserve">………………………………………………………………………………….</w:t>
      </w:r>
    </w:p>
    <w:p w14:paraId="3E2D9FAF" w14:textId="77777777" w:rsidR="009618E4" w:rsidRPr="00BA15DC" w:rsidRDefault="009618E4" w:rsidP="009618E4">
      <w:pPr>
        <w:numPr>
          <w:ilvl w:val="0"/>
          <w:numId w:val="62"/>
        </w:numPr>
        <w:spacing w:before="120" w:after="120"/>
        <w:jc w:val="both"/>
      </w:pPr>
      <w:r>
        <w:t xml:space="preserve">pagrįskite, kodėl ekspertas nepriklauso nuo pagalbą teikiančios institucijos.</w:t>
      </w:r>
    </w:p>
    <w:p w14:paraId="7753DAE8" w14:textId="77777777" w:rsidR="009618E4" w:rsidRPr="00BA15DC" w:rsidRDefault="009618E4" w:rsidP="009618E4">
      <w:pPr>
        <w:spacing w:before="120" w:after="120"/>
        <w:ind w:left="1440"/>
        <w:jc w:val="both"/>
      </w:pPr>
      <w:r>
        <w:t xml:space="preserve">…………………………………………………………………………………..</w:t>
      </w: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Kad būtų galima patikrinti, ar laikomasi PKAAE gairių 461 punkto:</w:t>
      </w:r>
      <w:r>
        <w:t xml:space="preserve"> </w:t>
      </w:r>
    </w:p>
    <w:p w14:paraId="4F8AF9B0" w14:textId="77777777" w:rsidR="009618E4" w:rsidRPr="00BA15DC" w:rsidRDefault="009618E4" w:rsidP="009618E4">
      <w:pPr>
        <w:numPr>
          <w:ilvl w:val="0"/>
          <w:numId w:val="63"/>
        </w:numPr>
        <w:spacing w:before="120" w:after="120"/>
        <w:jc w:val="both"/>
      </w:pPr>
      <w:r>
        <w:t xml:space="preserve">nurodykite siūlomus tarpinės ir galutinės vertinimo ataskaitų pateikimo terminus.</w:t>
      </w:r>
      <w:r>
        <w:t xml:space="preserve"> </w:t>
      </w:r>
      <w:r>
        <w:t xml:space="preserve">Atkreipkite dėmesį, kad galutinė vertinimo ataskaita Komisijai turi būti pateikta laiku, kad ji galėtų įvertinti galimybę pratęsti pagalbos schemos galiojimą, ir ne vėliau nei likus devyniems mėnesiams iki jos galiojimo pabaigos, kaip nurodyta PKAAE gairių 463 punkte.</w:t>
      </w:r>
      <w:r>
        <w:t xml:space="preserve"> </w:t>
      </w:r>
      <w:r>
        <w:t xml:space="preserve">Atkreipkite dėmesį, kad šis terminas galėtų būti sutrumpintas schemoms, kurios turi būti įvertintos per paskutinius dvejus įgyvendinimo metus;</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patvirtinkite, kad tarpinė ir galutinė vertinimo ataskaitos bus skelbiamos viešai.</w:t>
      </w:r>
      <w:r>
        <w:t xml:space="preserve"> </w:t>
      </w:r>
      <w:r>
        <w:t xml:space="preserve">Pateikite interneto nuorodą į tas ataskaitas ir nurodykite, nuo kada jos bus skelbiamos viešai.</w:t>
      </w:r>
      <w:r>
        <w:t xml:space="preserve">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b/>
                <w:i/>
                <w:sz w:val="28"/>
                <w:szCs w:val="28"/>
                <w:rFonts w:eastAsia="Times New Roman"/>
              </w:rPr>
            </w:pPr>
            <w:r>
              <w:rPr>
                <w:b/>
                <w:i/>
                <w:sz w:val="28"/>
              </w:rPr>
              <w:t xml:space="preserve">Ataskaitų teikimas ir stebėsena</w:t>
            </w:r>
          </w:p>
        </w:tc>
      </w:tr>
    </w:tbl>
    <w:p w14:paraId="21EA55F3" w14:textId="77777777" w:rsidR="009618E4" w:rsidRPr="00BA15DC" w:rsidRDefault="009618E4" w:rsidP="004F3B88">
      <w:pPr>
        <w:tabs>
          <w:tab w:val="left" w:leader="dot" w:pos="9072"/>
        </w:tabs>
        <w:spacing w:before="120" w:after="120"/>
        <w:ind w:left="567"/>
        <w:jc w:val="both"/>
      </w:pPr>
      <w:r>
        <w:rPr>
          <w:i/>
        </w:rPr>
        <w:t xml:space="preserve">Kad pateiktumėte šiame skirsnyje prašomą informaciją, žr. PKAAE gairių 6 skirsnį (464–465 punktus).</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 xml:space="preserve">Patvirtinkite, kad valstybė narė laikysis PKAAE gairių 6 skirsnio 464 ir 465 punktuose nustatytų ataskaitų teikimo ir stebėsenos reikalavimų.</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 xml:space="preserve">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r>
      <w:r>
        <w:t xml:space="preserve">OL C 80, 2022 2 18, p. 1.</w:t>
      </w:r>
    </w:p>
  </w:footnote>
  <w:footnote w:id="3">
    <w:p w14:paraId="74C65A5D" w14:textId="77777777" w:rsidR="008E3BF9" w:rsidRPr="0067348B" w:rsidRDefault="008E3BF9" w:rsidP="008E3BF9">
      <w:pPr>
        <w:pStyle w:val="FootnoteText"/>
      </w:pPr>
      <w:r>
        <w:rPr>
          <w:rStyle w:val="FootnoteReference"/>
        </w:rPr>
        <w:footnoteRef/>
      </w:r>
      <w:r>
        <w:tab/>
      </w:r>
      <w:r>
        <w:t xml:space="preserve">Atkreipkite dėmesį, kad pagalbos schemos taikymo trukmė – tai laikotarpis, per kurį galima prašyti pagalbos ir priimti sprendimą ją suteikti (taigi, įskaičiuojamas laikas, kurio nacionalinėms valdžios institucijoms reikia pagalbos paraiškoms patvirtinti).</w:t>
      </w:r>
      <w:r>
        <w:t xml:space="preserve"> </w:t>
      </w:r>
      <w:r>
        <w:t xml:space="preserve">Šiame punkte minima taikymo trukmė nėra susijusi su pagal pagalbos schemą sudarytų sutarčių trukme, kuri gali būti ilgesnė nei priemonės taikymo trukmė.</w:t>
      </w:r>
    </w:p>
  </w:footnote>
  <w:footnote w:id="4">
    <w:p w14:paraId="5C28E81B" w14:textId="27D21C7E" w:rsidR="00F7269C" w:rsidRPr="0067348B" w:rsidRDefault="00F7269C" w:rsidP="00F7269C">
      <w:pPr>
        <w:pStyle w:val="FootnoteText"/>
      </w:pPr>
      <w:r>
        <w:rPr>
          <w:rStyle w:val="FootnoteReference"/>
        </w:rPr>
        <w:footnoteRef/>
      </w:r>
      <w:r>
        <w:tab/>
      </w:r>
      <w:r>
        <w:t xml:space="preserve">Atkreipkite dėmesį, kad faktinio biudžeto arba biudžeto sąmatos pakeitimas gali būti laikomas pagalbos pakeitimu, dėl kurio reikia pateikti naują pranešimą.</w:t>
      </w:r>
    </w:p>
  </w:footnote>
  <w:footnote w:id="5">
    <w:p w14:paraId="561DACBB" w14:textId="58A17E1F" w:rsidR="00802D55" w:rsidRDefault="00802D55">
      <w:pPr>
        <w:pStyle w:val="FootnoteText"/>
      </w:pPr>
      <w:r>
        <w:rPr>
          <w:rStyle w:val="FootnoteReference"/>
        </w:rPr>
        <w:footnoteRef/>
      </w:r>
      <w:r>
        <w:t xml:space="preserve"> </w:t>
      </w:r>
      <w:r>
        <w:tab/>
      </w:r>
      <w:r>
        <w:t xml:space="preserve">Žr. 2013 m. birželio 13 d. Teisingumo Teismo sprendimo</w:t>
      </w:r>
      <w:r>
        <w:rPr>
          <w:i/>
          <w:iCs/>
        </w:rPr>
        <w:t xml:space="preserve"> HGA ir kiti / Komisija</w:t>
      </w:r>
      <w:r>
        <w:t xml:space="preserve">, sujungtos bylos C-630/11 P–C-633/11 P, ECLI:EU:C:2013:387, 104 punktą.</w:t>
      </w:r>
    </w:p>
  </w:footnote>
  <w:footnote w:id="6">
    <w:p w14:paraId="4C19DBFC" w14:textId="0C434BAC" w:rsidR="00802D55" w:rsidRPr="004B74BC" w:rsidRDefault="00802D55">
      <w:pPr>
        <w:pStyle w:val="FootnoteText"/>
      </w:pPr>
      <w:r>
        <w:rPr>
          <w:rStyle w:val="FootnoteReference"/>
        </w:rPr>
        <w:footnoteRef/>
      </w:r>
      <w:r>
        <w:t xml:space="preserve"> </w:t>
      </w:r>
      <w:r>
        <w:tab/>
      </w:r>
      <w:r>
        <w:t xml:space="preserve">Pagal PKAAE gairių 19 punkto 63 papunktį, etaloninis projektas – pavyzdinis projektas, atspindintis vidutinį projektą pagalbos schemos reikalavimus atitinkančių pagalbos gavėjų kategorijoje.</w:t>
      </w:r>
    </w:p>
  </w:footnote>
  <w:footnote w:id="7">
    <w:p w14:paraId="01EFD49C" w14:textId="77777777" w:rsidR="00801D5A" w:rsidRDefault="00801D5A" w:rsidP="00801D5A">
      <w:pPr>
        <w:pStyle w:val="FootnoteText"/>
      </w:pPr>
      <w:r>
        <w:rPr>
          <w:rStyle w:val="FootnoteReference"/>
        </w:rPr>
        <w:footnoteRef/>
      </w:r>
      <w:r>
        <w:tab/>
      </w:r>
      <w:r>
        <w:t xml:space="preserve">Pagal PKAAE gairių 19 punkto 89 papunktį, Sąjungos standartas yra</w:t>
      </w:r>
    </w:p>
    <w:p w14:paraId="68BC0B8F" w14:textId="77777777" w:rsidR="00801D5A" w:rsidRPr="004B74BC" w:rsidRDefault="00801D5A" w:rsidP="00801D5A">
      <w:pPr>
        <w:pStyle w:val="FootnoteText"/>
        <w:numPr>
          <w:ilvl w:val="0"/>
          <w:numId w:val="46"/>
        </w:numPr>
        <w:rPr>
          <w:i/>
        </w:rPr>
      </w:pPr>
      <w:r>
        <w:rPr>
          <w:i/>
        </w:rPr>
        <w:t xml:space="preserve">privalomas Sąjungos standartas, nustatantis rodiklius, kuriuos atskiros įmonės turi pasiekti aplinkosaugos srityje, išskyrus Sąjungos lygmeniu nustatytus standartus arba tikslus, kurie privalomi valstybėms narėms, bet ne atskiroms įmonėms;</w:t>
      </w:r>
    </w:p>
    <w:p w14:paraId="11145135" w14:textId="23A8CC97" w:rsidR="00801D5A" w:rsidRDefault="00801D5A" w:rsidP="00801D5A">
      <w:pPr>
        <w:pStyle w:val="FootnoteText"/>
        <w:numPr>
          <w:ilvl w:val="0"/>
          <w:numId w:val="46"/>
        </w:numPr>
      </w:pPr>
      <w:r>
        <w:rPr>
          <w:i/>
        </w:rPr>
        <w:t xml:space="preserve">įpareigojimas taikyti geriausius prieinamus gamybos būdus (GPGB), apibrėžtus Direktyvoje 2010/75/ES, ir užtikrinti, kad išmetamųjų teršalų kiekis neviršytų kiekio, kuris būtų pasiektas taikant GPGB;</w:t>
      </w:r>
      <w:r>
        <w:rPr>
          <w:i/>
        </w:rPr>
        <w:t xml:space="preserve"> </w:t>
      </w:r>
      <w:r>
        <w:rPr>
          <w:i/>
        </w:rPr>
        <w:t xml:space="preserve">jeigu su GPGB susiję išmetamųjų teršalų kiekiai nustatyti įgyvendinimo aktuose, priimtuose pagal Direktyvą 2010/75/ES ar pagal kitas taikytinas direktyvas, atsižvelgiant į šias gaires bus taikomi tie kiekiai;</w:t>
      </w:r>
      <w:r>
        <w:rPr>
          <w:i/>
        </w:rPr>
        <w:t xml:space="preserve"> </w:t>
      </w:r>
      <w:r>
        <w:rPr>
          <w:i/>
        </w:rPr>
        <w:t xml:space="preserve">jeigu tie kiekiai išreikšti intervalu, bus taikoma ta riba, nuo kurios laikoma, kad atitinkama įmonė taiko GPGB.</w:t>
      </w:r>
    </w:p>
  </w:footnote>
  <w:footnote w:id="8">
    <w:p w14:paraId="6589188F" w14:textId="70D9D8AA" w:rsidR="00802D55" w:rsidRDefault="00802D55">
      <w:pPr>
        <w:pStyle w:val="FootnoteText"/>
      </w:pPr>
      <w:r>
        <w:rPr>
          <w:rStyle w:val="FootnoteReference"/>
        </w:rPr>
        <w:footnoteRef/>
      </w:r>
      <w:r>
        <w:t xml:space="preserve"> </w:t>
      </w:r>
      <w:r>
        <w:tab/>
      </w:r>
      <w:r>
        <w:t xml:space="preserve">PKAAE gairių 51 punkte nustatyta, kad </w:t>
      </w:r>
      <w:r>
        <w:rPr>
          <w:i/>
        </w:rPr>
        <w:t xml:space="preserve">„</w:t>
      </w:r>
      <w:r>
        <w:rPr>
          <w:i/>
          <w:color w:val="000000"/>
          <w:shd w:val="clear" w:color="auto" w:fill="FFFFFF"/>
        </w:rPr>
        <w:t xml:space="preserve">[t]ipines grynąsias papildomas išlaidas galima apskaičiuoti kaip faktinio scenarijaus ir priešingos padėties scenarijaus GDV skirtumą per etaloninio projekto įgyvendinimo laikotarpį“</w:t>
      </w:r>
      <w:r>
        <w:rPr>
          <w:i/>
        </w:rPr>
        <w:t xml:space="preserve">.</w:t>
      </w:r>
    </w:p>
  </w:footnote>
  <w:footnote w:id="9">
    <w:p w14:paraId="4E6E256B" w14:textId="4AB0B555" w:rsidR="00802D55" w:rsidRDefault="00802D55">
      <w:pPr>
        <w:pStyle w:val="FootnoteText"/>
      </w:pPr>
      <w:r>
        <w:rPr>
          <w:rStyle w:val="FootnoteReference"/>
        </w:rPr>
        <w:footnoteRef/>
      </w:r>
      <w:r>
        <w:t xml:space="preserve"> </w:t>
      </w:r>
      <w:r>
        <w:tab/>
      </w:r>
      <w:r>
        <w:t xml:space="preserve">Kaip nurodyta PKAAE gairių 46 išnašoje, atkreipkite dėmesį, kad „</w:t>
      </w:r>
      <w:r>
        <w:rPr>
          <w:i/>
        </w:rPr>
        <w:t xml:space="preserve">turi būti atsižvelgiama į visas numatomas susijusias išlaidas ir naudą per visą projekto vykdymo laikotarpį</w:t>
      </w:r>
      <w:r>
        <w:t xml:space="preserve">“.</w:t>
      </w:r>
    </w:p>
  </w:footnote>
  <w:footnote w:id="10">
    <w:p w14:paraId="086AD512" w14:textId="7087BE19" w:rsidR="00802D55" w:rsidRDefault="00802D55">
      <w:pPr>
        <w:pStyle w:val="FootnoteText"/>
      </w:pPr>
      <w:r>
        <w:rPr>
          <w:rStyle w:val="FootnoteReference"/>
        </w:rPr>
        <w:footnoteRef/>
      </w:r>
      <w:r>
        <w:tab/>
      </w:r>
      <w:r>
        <w:t xml:space="preserve">Centralizuotai valdomas Sąjungos finansavimas – Sąjungos finansavimas, kurį centralizuotai valdo Europos Sąjungos institucijos, agentūros, bendrosios įmonės ar kitos įstaigos ir kurio tiesiogiai ar netiesiogiai nekontroliuoja valstybė narė.</w:t>
      </w:r>
    </w:p>
  </w:footnote>
  <w:footnote w:id="11">
    <w:p w14:paraId="0C0B9BEF" w14:textId="77777777" w:rsidR="009618E4" w:rsidRDefault="009618E4" w:rsidP="009618E4">
      <w:pPr>
        <w:pStyle w:val="FootnoteText"/>
      </w:pPr>
      <w:r>
        <w:rPr>
          <w:rStyle w:val="FootnoteReference"/>
        </w:rPr>
        <w:footnoteRef/>
      </w:r>
      <w:r>
        <w:tab/>
      </w:r>
      <w:r>
        <w:t xml:space="preserve">Pranešimo apie vertinimo planą papildomos informacijos pateikimo formos (III.8 dalis) šablonas pateikiamas adresu</w:t>
      </w:r>
      <w:r>
        <w:t xml:space="preserve"> </w:t>
      </w:r>
      <w:hyperlink w:anchor="evaluation-plan" w:history="1">
        <w:r>
          <w:rPr>
            <w:rStyle w:val="Hyperlink"/>
          </w:rPr>
          <w:t xml:space="preserve">https://competition-policy.ec.europa.eu/state-aid/legislation/forms-notifications-and-reporting_en?prefLang=lt</w:t>
        </w:r>
      </w:hyperlink>
      <w:r>
        <w:t xml:space="preser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grammar="dirty"/>
  <w:doNotTrackMoves/>
  <w:defaultTabStop w:val="720"/>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lang w:val="lt-LT"/>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lt-LT"/>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val="lt-LT"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val="lt-LT"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val="lt-LT"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lang w:val="lt-LT"/>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lt-LT"/>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lang w:val="lt-LT"/>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2.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3917</Words>
  <Characters>20215</Characters>
  <Application>Microsoft Office Word</Application>
  <DocSecurity>4</DocSecurity>
  <Lines>439</Lines>
  <Paragraphs>171</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COLUMB Damien (COMP)</cp:lastModifiedBy>
  <cp:revision>2</cp:revision>
  <cp:lastPrinted>2022-04-12T14:59:00Z</cp:lastPrinted>
  <dcterms:created xsi:type="dcterms:W3CDTF">2024-09-05T12:35:00Z</dcterms:created>
  <dcterms:modified xsi:type="dcterms:W3CDTF">2024-09-05T12:35:00Z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