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77B4FA65"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Част III.6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Актуализиран* формуляр за допълнителна информация относно държавна помощ, предоставена съгласно Насоките относно държавната помощ в областта на климата, опазването на околната среда и енергетиката от 2022 г. („CEEAG“)</w:t>
            </w:r>
            <w:bookmarkStart w:id="2" w:name="_Hlk152693571"/>
            <w:r w:rsidRPr="00BA15DC">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Глава 4.9 — Помощи за енергийна инфраструктура</w:t>
            </w:r>
          </w:p>
          <w:p w14:paraId="469DC4EF" w14:textId="5E9F59D2" w:rsidR="008E3BF9" w:rsidRPr="00BA15DC" w:rsidRDefault="008E3BF9" w:rsidP="008E3BF9">
            <w:pPr>
              <w:rPr>
                <w:sz w:val="32"/>
                <w:szCs w:val="32"/>
              </w:rPr>
            </w:pPr>
            <w:r>
              <w:t>* все още неприет официално</w:t>
            </w:r>
          </w:p>
        </w:tc>
      </w:tr>
    </w:tbl>
    <w:p w14:paraId="45497634" w14:textId="77777777" w:rsidR="008E3BF9" w:rsidRPr="00BA15DC" w:rsidRDefault="008E3BF9" w:rsidP="008E3BF9">
      <w:pPr>
        <w:spacing w:before="120" w:after="120"/>
        <w:ind w:right="-142"/>
        <w:jc w:val="both"/>
        <w:rPr>
          <w:i/>
          <w:iCs/>
        </w:rPr>
      </w:pPr>
      <w:r>
        <w:rPr>
          <w:i/>
        </w:rPr>
        <w:t>Настоящият формуляр за допълнителна информация трябва да се използва за отправяне на уведомления за помощ, обхваната от Насоките относно държавната помощ в областта на климата, опазването на околната среда и енергетиката от 2022 г. (CEEAG).</w:t>
      </w:r>
    </w:p>
    <w:p w14:paraId="3912F2B6" w14:textId="18735016" w:rsidR="008E3BF9" w:rsidRPr="00BA15DC" w:rsidRDefault="008E3BF9" w:rsidP="009E2EA1">
      <w:pPr>
        <w:spacing w:before="120" w:after="120"/>
        <w:ind w:right="-142"/>
        <w:jc w:val="both"/>
        <w:rPr>
          <w:i/>
          <w:iCs/>
        </w:rPr>
      </w:pPr>
      <w:r>
        <w:rPr>
          <w:i/>
        </w:rPr>
        <w:t xml:space="preserve">Настоящият формуляр за допълнителна информация се отнася за мерките, обхванати от глава 4.9 от CEEAG. Ако уведомлението включва мерки, които са обхванати от повече от една глава от CEEAG, моля, след като стане наличен, попълнете и съответния формуляр за допълнителна информация, който се отнася до съответната глава от CEEAG. </w:t>
      </w:r>
    </w:p>
    <w:p w14:paraId="516B301C" w14:textId="77777777" w:rsidR="008E3BF9" w:rsidRPr="00BA15DC" w:rsidRDefault="008E3BF9" w:rsidP="008E3BF9">
      <w:pPr>
        <w:spacing w:before="120" w:after="120"/>
        <w:ind w:right="-142"/>
        <w:jc w:val="both"/>
        <w:rPr>
          <w:i/>
          <w:iCs/>
        </w:rPr>
      </w:pPr>
      <w:r>
        <w:rPr>
          <w:i/>
        </w:rPr>
        <w:t>Всички документи, предоставени от държавите членки като приложения към настоящия формуляр за допълнителна информация, трябва да се номерират, като номерата на документите трябва да се посочват в съответните раздели на настоящия формуляр за допълнителна информация.</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Раздел А: Обобщение на основните характеристики на мярката(мерките), за която(</w:t>
            </w:r>
            <w:proofErr w:type="spellStart"/>
            <w:r>
              <w:rPr>
                <w:b/>
                <w:sz w:val="32"/>
              </w:rPr>
              <w:t>ито</w:t>
            </w:r>
            <w:proofErr w:type="spellEnd"/>
            <w:r>
              <w:rPr>
                <w:b/>
                <w:sz w:val="32"/>
              </w:rPr>
              <w:t>) е отправено уведомление</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Контекст и цел(и) на мярката(мерките), за която(</w:t>
      </w:r>
      <w:proofErr w:type="spellStart"/>
      <w:r>
        <w:rPr>
          <w:b/>
        </w:rPr>
        <w:t>ито</w:t>
      </w:r>
      <w:proofErr w:type="spellEnd"/>
      <w:r>
        <w:rPr>
          <w:b/>
        </w:rPr>
        <w:t>) е отправено уведомление.</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Ако не е обсъдено в раздел 5.2 от формуляра за обща информация (част I), моля, представете контекста и основната цел, включително всички цели на Съюза за намаляване и премахване на емисиите на парникови газове, които мярката е предназначена да подкрепи;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Моля, посочете всички други цели, преследвани с мярката. За всички цели, които не са чисто екологични, моля, обяснете дали те могат да доведат до някакви нарушения на вътрешния пазар.</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rPr>
          <w:b/>
        </w:rPr>
        <w:tab/>
        <w:t>Влизане в сила и срок на действие:</w:t>
      </w:r>
    </w:p>
    <w:p w14:paraId="29824976" w14:textId="39DBFC0F" w:rsidR="008E3BF9" w:rsidRPr="00BA15DC" w:rsidRDefault="008E3BF9" w:rsidP="008E3BF9">
      <w:pPr>
        <w:pStyle w:val="ListParagraph"/>
        <w:numPr>
          <w:ilvl w:val="0"/>
          <w:numId w:val="59"/>
        </w:numPr>
        <w:ind w:left="993" w:hanging="142"/>
        <w:jc w:val="both"/>
        <w:rPr>
          <w:szCs w:val="24"/>
        </w:rPr>
      </w:pPr>
      <w:r>
        <w:t>доколкото вече не е предоставена информация в раздел 5.5 от формуляра за обща информация (част I), моля, посочете датата, от която се планира мярката да влезе в сила;</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ако мярката се отнася до схема за помощ, моля, посочете нейната продължителност</w:t>
      </w:r>
      <w:r w:rsidR="008E3BF9" w:rsidRPr="00BA15DC">
        <w:rPr>
          <w:szCs w:val="24"/>
          <w:vertAlign w:val="superscript"/>
        </w:rPr>
        <w:footnoteReference w:id="3"/>
      </w:r>
      <w:r>
        <w:t>.</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Бенефициер(и)</w:t>
      </w:r>
      <w:r>
        <w:rPr>
          <w:b/>
        </w:rPr>
        <w:tab/>
      </w:r>
    </w:p>
    <w:p w14:paraId="41CA72BE" w14:textId="77777777" w:rsidR="00F7269C" w:rsidRPr="00BA15DC" w:rsidRDefault="00F7269C" w:rsidP="00F7269C">
      <w:pPr>
        <w:pStyle w:val="ListParagraph"/>
        <w:numPr>
          <w:ilvl w:val="0"/>
          <w:numId w:val="22"/>
        </w:numPr>
        <w:ind w:left="1078" w:hanging="227"/>
        <w:jc w:val="both"/>
        <w:rPr>
          <w:szCs w:val="24"/>
        </w:rPr>
      </w:pPr>
      <w:r>
        <w:t>Ако не е направено в раздел 3 от формуляра за обща информация (част I), моля, опишете (потенциалния/потенциалните) бенефициер(и) на мярката(мерките);</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Моля, посочете местоположението на (потенциалния/потенциалните) бенефициер(и) (т.е. дали в мярката имат право да участват само стопански субекти, намиращи се в съответните държави членки, или и такива, намиращи се в други държави членки).</w:t>
      </w:r>
    </w:p>
    <w:p w14:paraId="41B73F76" w14:textId="77777777" w:rsidR="00F7269C" w:rsidRPr="00BA15DC" w:rsidRDefault="00F7269C" w:rsidP="00F7269C">
      <w:pPr>
        <w:tabs>
          <w:tab w:val="left" w:leader="dot" w:pos="9072"/>
        </w:tabs>
        <w:spacing w:before="120" w:after="120"/>
        <w:ind w:left="567"/>
        <w:jc w:val="both"/>
      </w:pPr>
      <w:r>
        <w:lastRenderedPageBreak/>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За да се оцени съответствието с точка 15 от CEEAG, моля, посочете дали индивидуална помощ по мярката(мерките) се предоставя в полза на предприятие (като част от схема или не), което е обект на неизпълнено нареждане за събиране в резултат на предишно решение на Комисията, с което помощ се обявява за неправомерна и несъвместима с вътрешния пазар.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При положителен отговор, моля, предоставете информация за размера на помощта, която все още не е събрана, за да я вземе Комисията предвид при оценката на мярката(мерките) за помощ.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Моля, потвърдете, че мярката(мерките) не включва(т) помощ за дейности, които не попадат в приложното поле на CEEAG (вж. точка 13 от CEEAG). В противен случай, моля, посочете подробности.</w:t>
      </w:r>
    </w:p>
    <w:p w14:paraId="00862904" w14:textId="77777777" w:rsidR="00F7269C" w:rsidRPr="00BA15DC" w:rsidRDefault="00F7269C" w:rsidP="00F7269C">
      <w:pPr>
        <w:tabs>
          <w:tab w:val="left" w:leader="dot" w:pos="9072"/>
        </w:tabs>
        <w:spacing w:before="120" w:after="120"/>
        <w:ind w:left="567"/>
        <w:jc w:val="both"/>
      </w:pPr>
      <w:r>
        <w:tab/>
      </w:r>
    </w:p>
    <w:p w14:paraId="54410AAF" w14:textId="56AE5162" w:rsidR="00DC1614" w:rsidRPr="00BA15DC" w:rsidRDefault="00DC1614" w:rsidP="003B0EFB">
      <w:pPr>
        <w:pStyle w:val="ListParagraph"/>
        <w:numPr>
          <w:ilvl w:val="0"/>
          <w:numId w:val="22"/>
        </w:numPr>
        <w:spacing w:before="120" w:after="120"/>
        <w:contextualSpacing w:val="0"/>
        <w:jc w:val="both"/>
      </w:pPr>
      <w:r>
        <w:t>В точки 373 и 374 от CEEAG се предвижда, че „</w:t>
      </w:r>
      <w:r w:rsidRPr="00CD39D9">
        <w:rPr>
          <w:i/>
          <w:iCs/>
        </w:rPr>
        <w:t>подкрепата за енергийна инфраструктура в рамките на законен монопол не подлежи на правилата за държавна помощ</w:t>
      </w:r>
      <w:r>
        <w:t>“.</w:t>
      </w:r>
      <w:r>
        <w:rPr>
          <w:i/>
        </w:rPr>
        <w:t xml:space="preserve"> </w:t>
      </w:r>
      <w:r>
        <w:t>Такъв би могъл да бъде случаят, когато изграждането и експлоатацията на определени инфраструктури по закон е запазено изключително за оператора на електропреносната система или на разпределителната мрежа. По подобен начин в точка 375 от CEEAG се предвижда, че „</w:t>
      </w:r>
      <w:r w:rsidRPr="00CD39D9">
        <w:rPr>
          <w:i/>
          <w:iCs/>
        </w:rPr>
        <w:t>Комисията приема, че не е налице държавна помощ при инвестиции, при които енергийната инфраструктура се експлоатира като „естествен монопол“</w:t>
      </w:r>
      <w:r w:rsidR="00CD39D9">
        <w:t>“</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За проекта подавано ли е уведомление в рамките на законен монопол или се експлоатира като „естествен монопол“?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Ако отговорът на предходния въпрос е „Да“, моля, обяснете защо проектът, за който е постъпило уведомление, попада в рамките на правен и/или естествен монопол по отношение на всеки кумулативен критерий, посочен в точка 374 за законните монополи и/или в точка 375 за естествените монополи от CEEAG.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Бюджет и финансиране на мярката(мерките)</w:t>
      </w:r>
      <w:r>
        <w:t>.</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Ако не е посочен в таблицата в раздел 7.1 от формуляра за обща информация (част I), моля, посочете годишния и/или общия бюджет за цялата продължителност на мярката(мерките); ако общият бюджет не е известен (например тъй като зависи от резултатите от търгове), моля, посочете прогнозен бюджет, включително допусканията, използвани за изчисляване на съответния прогнозен бюджет</w:t>
      </w:r>
      <w:r w:rsidRPr="00BA15DC">
        <w:rPr>
          <w:szCs w:val="24"/>
          <w:vertAlign w:val="superscript"/>
        </w:rPr>
        <w:footnoteReference w:id="4"/>
      </w:r>
      <w:r>
        <w:t>.</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lastRenderedPageBreak/>
        <w:t>Ако мярката се финансира чрез такса, моля пояснете дали:</w:t>
      </w:r>
      <w:bookmarkEnd w:id="7"/>
    </w:p>
    <w:p w14:paraId="6F857C72" w14:textId="6225D10A" w:rsidR="00F7269C" w:rsidRPr="00BA15DC" w:rsidRDefault="006D2254" w:rsidP="006D2254">
      <w:pPr>
        <w:pStyle w:val="ListParagraph"/>
        <w:spacing w:before="120" w:after="120"/>
        <w:ind w:left="2040" w:hanging="393"/>
        <w:contextualSpacing w:val="0"/>
        <w:jc w:val="both"/>
        <w:rPr>
          <w:rFonts w:cs="Arial Unicode MS"/>
          <w:bCs/>
        </w:rPr>
      </w:pPr>
      <w:r>
        <w:t>а.</w:t>
      </w:r>
      <w:r>
        <w:tab/>
      </w:r>
      <w:r w:rsidR="00F7269C">
        <w:t>таксата е определена със закон или друг законодателен акт; при положителен отговор, моля, посочете правния акт, неговия номер и датата, на която е приет и влязъл в сила, както и интернет връзка към правния акт;</w:t>
      </w:r>
    </w:p>
    <w:p w14:paraId="6F04195F" w14:textId="77777777" w:rsidR="00F7269C" w:rsidRPr="00BA15DC" w:rsidRDefault="00F7269C" w:rsidP="00F7269C">
      <w:pPr>
        <w:tabs>
          <w:tab w:val="left" w:leader="dot" w:pos="9072"/>
        </w:tabs>
        <w:spacing w:before="120" w:after="120"/>
        <w:ind w:left="927"/>
        <w:jc w:val="both"/>
      </w:pPr>
      <w:r>
        <w:tab/>
      </w:r>
    </w:p>
    <w:p w14:paraId="0B4E4A60" w14:textId="54A0AC0F" w:rsidR="00F7269C" w:rsidRPr="00BA15DC" w:rsidRDefault="006D2254" w:rsidP="006D2254">
      <w:pPr>
        <w:pStyle w:val="ListParagraph"/>
        <w:spacing w:before="120" w:after="120"/>
        <w:ind w:left="2040" w:hanging="393"/>
        <w:contextualSpacing w:val="0"/>
        <w:jc w:val="both"/>
        <w:rPr>
          <w:rFonts w:cs="Arial Unicode MS"/>
          <w:bCs/>
        </w:rPr>
      </w:pPr>
      <w:r>
        <w:t>б.</w:t>
      </w:r>
      <w:r>
        <w:tab/>
      </w:r>
      <w:r w:rsidR="00F7269C">
        <w:t>таксата се прилага еднакво по отношение на местните и вносните продукти;</w:t>
      </w:r>
    </w:p>
    <w:p w14:paraId="5587F7E6" w14:textId="77777777" w:rsidR="00F7269C" w:rsidRPr="00BA15DC" w:rsidRDefault="00F7269C" w:rsidP="00F7269C">
      <w:pPr>
        <w:tabs>
          <w:tab w:val="left" w:leader="dot" w:pos="9072"/>
        </w:tabs>
        <w:spacing w:before="120" w:after="120"/>
        <w:ind w:left="927"/>
        <w:jc w:val="both"/>
      </w:pPr>
      <w:r>
        <w:tab/>
      </w:r>
    </w:p>
    <w:p w14:paraId="5C3E2724" w14:textId="711FA0A0" w:rsidR="00F7269C" w:rsidRPr="00BA15DC" w:rsidRDefault="006D2254" w:rsidP="006D2254">
      <w:pPr>
        <w:pStyle w:val="ListParagraph"/>
        <w:spacing w:before="120" w:after="120"/>
        <w:ind w:left="2040" w:hanging="393"/>
        <w:contextualSpacing w:val="0"/>
        <w:jc w:val="both"/>
        <w:rPr>
          <w:rFonts w:cs="Arial Unicode MS"/>
          <w:bCs/>
        </w:rPr>
      </w:pPr>
      <w:r>
        <w:t>в.</w:t>
      </w:r>
      <w:r>
        <w:tab/>
      </w:r>
      <w:r w:rsidR="00F7269C">
        <w:t>мярката, за която е отправено уведомление, ще донесе ползи както за местните, така и за чуждестранните продукти;</w:t>
      </w:r>
    </w:p>
    <w:p w14:paraId="57708231" w14:textId="77777777" w:rsidR="00F7269C" w:rsidRPr="00BA15DC" w:rsidRDefault="00F7269C" w:rsidP="00F7269C">
      <w:pPr>
        <w:tabs>
          <w:tab w:val="left" w:leader="dot" w:pos="9072"/>
        </w:tabs>
        <w:spacing w:before="120" w:after="120"/>
        <w:ind w:left="927"/>
        <w:jc w:val="both"/>
      </w:pPr>
      <w:r>
        <w:tab/>
      </w:r>
    </w:p>
    <w:p w14:paraId="123F8425" w14:textId="28F0B7B9" w:rsidR="00F7269C" w:rsidRPr="00BA15DC" w:rsidRDefault="006D2254" w:rsidP="006D2254">
      <w:pPr>
        <w:pStyle w:val="ListParagraph"/>
        <w:spacing w:before="120" w:after="120"/>
        <w:ind w:left="2040" w:hanging="393"/>
        <w:contextualSpacing w:val="0"/>
        <w:jc w:val="both"/>
        <w:rPr>
          <w:rFonts w:cs="Arial Unicode MS"/>
          <w:bCs/>
        </w:rPr>
      </w:pPr>
      <w:r>
        <w:t>г.</w:t>
      </w:r>
      <w:r>
        <w:tab/>
      </w:r>
      <w:r w:rsidR="00F7269C">
        <w:t>мярката се финансира изцяло или само частично от таксата. Ако мярката се финансира само частично от таксата, посочете другите източници на финансиране на мярката и техния съответен дял;</w:t>
      </w:r>
    </w:p>
    <w:p w14:paraId="29BD39F6" w14:textId="77777777" w:rsidR="00F7269C" w:rsidRPr="00BA15DC" w:rsidRDefault="00F7269C" w:rsidP="00F7269C">
      <w:pPr>
        <w:tabs>
          <w:tab w:val="left" w:leader="dot" w:pos="9072"/>
        </w:tabs>
        <w:spacing w:before="120" w:after="120"/>
        <w:ind w:left="927"/>
        <w:jc w:val="both"/>
      </w:pPr>
      <w:r>
        <w:tab/>
      </w:r>
    </w:p>
    <w:p w14:paraId="0CB1A058" w14:textId="754A1702" w:rsidR="00F7269C" w:rsidRPr="00BA15DC" w:rsidRDefault="006D2254" w:rsidP="006D2254">
      <w:pPr>
        <w:pStyle w:val="ListParagraph"/>
        <w:spacing w:before="120" w:after="120"/>
        <w:ind w:left="2040" w:hanging="393"/>
        <w:contextualSpacing w:val="0"/>
        <w:jc w:val="both"/>
        <w:rPr>
          <w:rFonts w:cs="Arial Unicode MS"/>
          <w:bCs/>
        </w:rPr>
      </w:pPr>
      <w:r>
        <w:t>д.</w:t>
      </w:r>
      <w:r>
        <w:tab/>
      </w:r>
      <w:r w:rsidR="00F7269C">
        <w:t>с таксата, финансираща мярката, за която е отправено уведомление, се финансират и други мерки за помощ. Ако е така, посочете другите мерки за помощ, финансирани със съответната такса.</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Раздел Б: Оценка на съвместимостта на помощта</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Положително условие: помощта трябва да улеснява развитието на икономическа дейност</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Принос към развитието на икономическа дейност</w:t>
            </w:r>
          </w:p>
        </w:tc>
      </w:tr>
    </w:tbl>
    <w:p w14:paraId="1E2599D2" w14:textId="075AAE16" w:rsidR="000442F5" w:rsidRPr="00BA15DC" w:rsidRDefault="000442F5" w:rsidP="003B0EFB">
      <w:pPr>
        <w:spacing w:before="120" w:after="120"/>
        <w:jc w:val="both"/>
        <w:rPr>
          <w:i/>
        </w:rPr>
      </w:pPr>
      <w:r>
        <w:rPr>
          <w:i/>
        </w:rPr>
        <w:t xml:space="preserve">За да предоставите информацията в настоящия раздел, моля, вижте раздел 3.1.1 (точки 23—25) и раздели 4.9.1 и 4.9.2 от CEEAG.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В член 107, параграф 3, буква в) от </w:t>
      </w:r>
      <w:bookmarkStart w:id="8" w:name="_Hlk170735690"/>
      <w:r>
        <w:t>Договора за функционирането на Европейския съюз (ДФЕС)</w:t>
      </w:r>
      <w:bookmarkEnd w:id="8"/>
      <w:r>
        <w:t xml:space="preserve"> се предвижда, че Комисията може да обяви за съвместими „помощите, които имат за цел да улеснят развитието на някои икономически дейности или на някои икономически региони, доколкото тези помощи не засягат по неблагоприятен начин условията на търговия до степен, която противоречи на общия интерес“. Следователно съвместимата помощ съгласно тази разпоредба на ДФЕС трябва да допринася за развитието на определена икономическа дейност. </w:t>
      </w:r>
    </w:p>
    <w:p w14:paraId="4688DCCE" w14:textId="77777777" w:rsidR="00F7269C" w:rsidRPr="00BA15DC" w:rsidRDefault="00F7269C" w:rsidP="000442F5">
      <w:pPr>
        <w:tabs>
          <w:tab w:val="left" w:leader="dot" w:pos="9072"/>
        </w:tabs>
        <w:spacing w:before="120" w:after="120"/>
        <w:ind w:left="567"/>
        <w:jc w:val="both"/>
      </w:pPr>
      <w:r>
        <w:t>За да се оцени съответствието с точка 23 от CEEAG, моля, посочете икономическите дейности, които ще бъдат улеснени в резултат на помощта, и начина, по който се подпомага развитието на тези дейности.</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За да се оцени съответствието с точка 25 от CEEAG, моля, „</w:t>
      </w:r>
      <w:r w:rsidRPr="00CD39D9">
        <w:rPr>
          <w:i/>
          <w:iCs/>
        </w:rPr>
        <w:t>опишете дали и по какъв начин помощта ще допринесе за постигането на целите на политиките на Съюза в областта на климата, околната среда и енергетиката, и по-специално очакваните ползи от помощта по отношение на нейния съществен принос за опазването на околната среда, включително за смекчаването на последиците от изменението на климата, или за ефективното функциониране на вътрешния енергиен пазар</w:t>
      </w:r>
      <w:r>
        <w:t>“.</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Освен това, моля, посочете до каква степен помощта е свързана с политиките, описани в точки 371 и 372 от CEEAG.</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Моля, представете информация относно обхвата и подпомаганите дейности на мярката(мерките) за помощ, както е предвидено в точка 376 от CEEAG. Като правите това, моля, също така:</w:t>
      </w:r>
    </w:p>
    <w:p w14:paraId="42154ABF" w14:textId="76C201BA" w:rsidR="00C003E3" w:rsidRPr="00BA15DC" w:rsidRDefault="006D2254" w:rsidP="006D2254">
      <w:pPr>
        <w:pStyle w:val="ListParagraph"/>
        <w:spacing w:before="120" w:after="120"/>
        <w:ind w:left="1080" w:hanging="363"/>
        <w:contextualSpacing w:val="0"/>
        <w:jc w:val="both"/>
      </w:pPr>
      <w:r>
        <w:t>а)</w:t>
      </w:r>
      <w:r>
        <w:tab/>
      </w:r>
      <w:r w:rsidR="00C003E3">
        <w:t xml:space="preserve">да се уверите, че проектът се отнася до енергийна инфраструктура, определена в точка 19, подточка 36 от CEEAG; </w:t>
      </w:r>
    </w:p>
    <w:p w14:paraId="200CB163" w14:textId="6DB51C2C" w:rsidR="00D83DB7" w:rsidRPr="00BA15DC" w:rsidRDefault="006D2254" w:rsidP="006D2254">
      <w:pPr>
        <w:pStyle w:val="ListParagraph"/>
        <w:spacing w:before="120" w:after="120"/>
        <w:ind w:left="1080" w:hanging="363"/>
        <w:contextualSpacing w:val="0"/>
        <w:jc w:val="both"/>
      </w:pPr>
      <w:r>
        <w:t>б)</w:t>
      </w:r>
      <w:r>
        <w:tab/>
      </w:r>
      <w:r w:rsidR="00D83DB7">
        <w:t>да се уверите, че проектът не включва специална инфраструктура и/или друга енергийна инфраструктура, комбинирани с дейности по производство и/или потребление;</w:t>
      </w:r>
    </w:p>
    <w:p w14:paraId="1DD6F885" w14:textId="74B9C3E5" w:rsidR="003B2790" w:rsidRPr="00BA15DC" w:rsidRDefault="006D2254" w:rsidP="006D2254">
      <w:pPr>
        <w:pStyle w:val="ListParagraph"/>
        <w:spacing w:before="120" w:after="120"/>
        <w:ind w:left="1080" w:hanging="363"/>
        <w:contextualSpacing w:val="0"/>
        <w:jc w:val="both"/>
      </w:pPr>
      <w:r>
        <w:t>в)</w:t>
      </w:r>
      <w:r>
        <w:tab/>
      </w:r>
      <w:r w:rsidR="00E47BED">
        <w:t xml:space="preserve">посочете какъв вид разходи ще бъдат подкрепени с мярката: инвестиционни или оперативни разходи; </w:t>
      </w:r>
    </w:p>
    <w:p w14:paraId="59AAAC34" w14:textId="085E7E6E" w:rsidR="00E47BED" w:rsidRPr="00BA15DC" w:rsidRDefault="006D2254" w:rsidP="006D2254">
      <w:pPr>
        <w:pStyle w:val="ListParagraph"/>
        <w:spacing w:before="120" w:after="120"/>
        <w:ind w:left="1080" w:hanging="363"/>
        <w:contextualSpacing w:val="0"/>
        <w:jc w:val="both"/>
      </w:pPr>
      <w:r>
        <w:lastRenderedPageBreak/>
        <w:t>г)</w:t>
      </w:r>
      <w:r>
        <w:tab/>
      </w:r>
      <w:r w:rsidR="00E47BED">
        <w:t xml:space="preserve">в случай че мярката ще покрие оперативните разходи, докажете, че тези разходи не могат да бъдат възстановени от ползвателите на мрежата и че те не са свързани с невъзстановимите разходи, както и че оперативната помощ води до промяна в поведението, която позволява да бъдат постигнати целите за сигурност на доставките или опазване на околната среда.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Стимулиращ ефект</w:t>
            </w:r>
          </w:p>
        </w:tc>
      </w:tr>
    </w:tbl>
    <w:p w14:paraId="20915284" w14:textId="0EA618F2" w:rsidR="00015E2B" w:rsidRPr="00BA15DC" w:rsidRDefault="00B15313" w:rsidP="003B0EFB">
      <w:pPr>
        <w:spacing w:before="120" w:after="120"/>
        <w:jc w:val="both"/>
        <w:rPr>
          <w:i/>
        </w:rPr>
      </w:pPr>
      <w:r>
        <w:rPr>
          <w:i/>
        </w:rPr>
        <w:t xml:space="preserve">За да предоставите информацията в настоящия раздел, моля, вижте раздел 3.1.2 (точки 26—32) от CEEAG.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Помощта може да се смята за улесняваща дадена икономическа дейност само ако има стимулиращ ефект. За да се оцени съответствието с точка 26 от CEEAG, моля, обяснете как мярката(мерките) „</w:t>
      </w:r>
      <w:r w:rsidRPr="00CD39D9">
        <w:rPr>
          <w:i/>
          <w:iCs/>
        </w:rPr>
        <w:t>насърчава(т) бенефициера да промени своето поведение, да участва в допълнителна или в по-екологосъобразна икономическа дейност, която без помощта той не би извършвал или би извършвал по ограничен или различен начин</w:t>
      </w:r>
      <w:r>
        <w:t>“.</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За да се оцени съответствието с точка 27 от CEEAG, моля, представете информация, която да потвърди, че</w:t>
      </w:r>
      <w:r>
        <w:rPr>
          <w:color w:val="000000"/>
          <w:shd w:val="clear" w:color="auto" w:fill="FFFFFF"/>
        </w:rPr>
        <w:t xml:space="preserve"> с помощта не се подпомагат разходи за дейност, която даден бенефициер така или иначе би извършил, и не се компенсира обичайният търговски риск за дадена икономическа дейност</w:t>
      </w:r>
      <w:r w:rsidR="00AC5B96" w:rsidRPr="00BA15DC">
        <w:rPr>
          <w:rStyle w:val="FootnoteReference"/>
          <w:color w:val="000000"/>
          <w:shd w:val="clear" w:color="auto" w:fill="FFFFFF"/>
        </w:rPr>
        <w:footnoteReference w:id="5"/>
      </w:r>
      <w:r>
        <w:t>.</w:t>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За да се докаже наличието на стимулиращ ефект, в точка 28 от CEEAG се изисква да бъдат посочени както фактическият сценарий, така и вероятният съпоставителен сценарий при липса на помощ. Както е обяснено в точка 52, по отношение на помощите за енергийна инфраструктура се приема, че съпоставителният сценарий представлява ситуация, в която проектът не би се осъществил. </w:t>
      </w:r>
    </w:p>
    <w:p w14:paraId="4AA49B40" w14:textId="0DEE1851" w:rsidR="00D70FE9" w:rsidRPr="00BA15DC" w:rsidRDefault="00A255BF" w:rsidP="00526607">
      <w:pPr>
        <w:pStyle w:val="ListParagraph"/>
        <w:numPr>
          <w:ilvl w:val="0"/>
          <w:numId w:val="37"/>
        </w:numPr>
        <w:spacing w:before="120" w:after="120"/>
        <w:contextualSpacing w:val="0"/>
        <w:jc w:val="both"/>
      </w:pPr>
      <w:r>
        <w:t>моля, представете подробно описание на фактическия сценарий. В случай че схемите обхващат различни референтни проекти</w:t>
      </w:r>
      <w:r w:rsidR="0030040A" w:rsidRPr="00BA15DC">
        <w:rPr>
          <w:rStyle w:val="FootnoteReference"/>
          <w:lang w:val="en-IE" w:eastAsia="en-GB"/>
        </w:rPr>
        <w:footnoteReference w:id="6"/>
      </w:r>
      <w:r>
        <w:t>, представете подробно описание на фактическия сценарий за всеки референтен проект;</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 xml:space="preserve">доколкото мярката не е схема за помощ, моля, приложете към настоящия формуляр за уведомление всякакви официални документи на управителния съвет, оценки на риска, финансов доклад, вътрешни бизнес планове, експертни становища и други проучвания, свързани с оценявания проект, документи, съдържащи информация за прогнозното търсене, прогнози за разходите, финансови прогнози, документи, представени на инвестиционен комитет, които се отнасят до инвестиционни/оперативни сценарии, или </w:t>
      </w:r>
      <w:r>
        <w:lastRenderedPageBreak/>
        <w:t>документи, предоставени на финансовите институции, както е предвидено в точка 28, бележка под линия 39 от CEEAG.</w:t>
      </w:r>
    </w:p>
    <w:p w14:paraId="489E64F5" w14:textId="104163BA" w:rsidR="00C713DD" w:rsidRPr="00BA15DC" w:rsidRDefault="005F6E6B" w:rsidP="005F6E6B">
      <w:pPr>
        <w:pStyle w:val="ListParagraph"/>
        <w:spacing w:before="120" w:after="120"/>
        <w:ind w:left="1287"/>
        <w:contextualSpacing w:val="0"/>
        <w:jc w:val="both"/>
      </w:pPr>
      <w:r>
        <w:t>Обърнете внимание, че тези документи трябва да датират от процеса на вземане на решения относно инвестицията/операцията.</w:t>
      </w:r>
    </w:p>
    <w:p w14:paraId="0F3CF49B" w14:textId="1DE4A9D5" w:rsidR="00DE063E" w:rsidRPr="00BA15DC" w:rsidRDefault="00E32AD5" w:rsidP="005F6E6B">
      <w:pPr>
        <w:pStyle w:val="ListParagraph"/>
        <w:spacing w:before="120" w:after="120"/>
        <w:ind w:left="1287"/>
        <w:contextualSpacing w:val="0"/>
        <w:jc w:val="both"/>
      </w:pPr>
      <w:r>
        <w:t>Ако към формуляра за уведомление са приложени такива документи, моля, представете по-долу списък с тези документи, като посочите автора, датата, на която са изготвени, и контекста, в който са използвани.</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За да докажете съответствие с точки 29 и 31 от CEEAG:</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моля, потвърдете, че започването на работата по проекта или дейността не е настъпило преди бенефициерът да кандидатства за помощ пред националните органи;</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ИЛИ</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за проекти, започнали преди подаването на заявлението за помощ, моля, докажете, че проектът попада в един от изключителните случаи, предвидени в точка 31 от CEEAG (букви а), б) или в).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За да докажете, че е спазена точка 30 от CEEAG, моля, потвърдете, че заявлението за помощ включва най-малко името на заявителя, описанието на проекта или дейността, включително неговото/нейното местоположение, и размера на помощта, необходима за изпълнението му/ѝ.</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За да докажете съответствие с точка 32 от CEEAG, моля, посочете дали има стандарти на Съюза, приложими към мярката(</w:t>
      </w:r>
      <w:proofErr w:type="spellStart"/>
      <w:r>
        <w:t>ите</w:t>
      </w:r>
      <w:proofErr w:type="spellEnd"/>
      <w:r>
        <w:t>), за която(</w:t>
      </w:r>
      <w:proofErr w:type="spellStart"/>
      <w:r>
        <w:t>ито</w:t>
      </w:r>
      <w:proofErr w:type="spellEnd"/>
      <w:r>
        <w:t>) е отправено уведомление, задължителни национални стандарти</w:t>
      </w:r>
      <w:r w:rsidRPr="00BA15DC">
        <w:rPr>
          <w:rStyle w:val="FootnoteReference"/>
          <w:lang w:val="en-IE" w:eastAsia="en-GB"/>
        </w:rPr>
        <w:footnoteReference w:id="7"/>
      </w:r>
      <w:r>
        <w:t>, които са по-строги или по-амбициозни от съответните стандарти на Съюза, или задължителни национални стандарти, които са приети при липса на стандарти на Съюза. В този контекст, моля, представете информация, за да докажете стимулиращия ефект.</w:t>
      </w:r>
    </w:p>
    <w:p w14:paraId="372E0175" w14:textId="426F5D6B" w:rsidR="00801D5A" w:rsidRPr="00BA15DC" w:rsidRDefault="00801D5A" w:rsidP="00801D5A">
      <w:pPr>
        <w:tabs>
          <w:tab w:val="left" w:leader="dot" w:pos="9072"/>
        </w:tabs>
        <w:spacing w:before="120" w:after="120"/>
        <w:ind w:left="567"/>
        <w:jc w:val="both"/>
      </w:pP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lastRenderedPageBreak/>
        <w:t xml:space="preserve">В случай че съответният стандарт на Съюза вече е приет, но още не е влязъл в сила, моля, докажете, че помощта има стимулиращ ефект, тъй като стимулира инвестицията да бъде осъществена и финализирана поне 18 месеца преди стандартът да влезе в сила.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Ненарушаване на приложими разпоредби на правото на Съюза</w:t>
            </w:r>
          </w:p>
        </w:tc>
      </w:tr>
    </w:tbl>
    <w:p w14:paraId="0AB413A5" w14:textId="77777777" w:rsidR="00B00F48" w:rsidRPr="00BA15DC" w:rsidRDefault="00B00F48" w:rsidP="003B0EFB">
      <w:pPr>
        <w:spacing w:before="120" w:after="120"/>
        <w:jc w:val="both"/>
        <w:rPr>
          <w:i/>
        </w:rPr>
      </w:pPr>
      <w:r>
        <w:rPr>
          <w:i/>
        </w:rPr>
        <w:t xml:space="preserve">За да предоставите информацията в настоящия раздел, моля, вижте раздел 3.1.3 (точка 33 от CEEAG).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Моля, представете информация, с която да потвърдите, че са спазени съответните разпоредби на правото на ЕС в съответствие с точка 33 от CEEAG. </w:t>
      </w:r>
    </w:p>
    <w:p w14:paraId="0F021F61" w14:textId="77777777" w:rsidR="00B00F48" w:rsidRPr="00BA15DC" w:rsidRDefault="00B00F48" w:rsidP="00B00F48">
      <w:pPr>
        <w:tabs>
          <w:tab w:val="left" w:leader="dot" w:pos="9072"/>
        </w:tabs>
        <w:spacing w:before="120" w:after="120"/>
        <w:ind w:left="567"/>
        <w:jc w:val="both"/>
        <w:rPr>
          <w:color w:val="000000"/>
        </w:rPr>
      </w:pPr>
      <w:r>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Ако за финансирането на мярката(мерките) се използва такса, моля пояснете дали е необходимо да се извърши оценка на съответствието с член 30 и член 110 от ДФЕС. Ако отговорът е положителен, моля, покажете как мярката съответства на разпоредбите на член 30 и член 110 от ДФЕС.</w:t>
      </w:r>
      <w:r>
        <w:rPr>
          <w:i/>
        </w:rPr>
        <w:t xml:space="preserve"> </w:t>
      </w:r>
      <w:r>
        <w:t xml:space="preserve">В този контекст може да се посочи информацията, предоставена във въпрос </w:t>
      </w:r>
      <w:r w:rsidR="003F72C9">
        <w:fldChar w:fldCharType="begin"/>
      </w:r>
      <w:r w:rsidR="003F72C9">
        <w:instrText xml:space="preserve"> REF _Ref171091150 \r \h </w:instrText>
      </w:r>
      <w:r w:rsidR="003F72C9">
        <w:fldChar w:fldCharType="separate"/>
      </w:r>
      <w:r w:rsidR="003F72C9">
        <w:t>4</w:t>
      </w:r>
      <w:r w:rsidR="003F72C9">
        <w:fldChar w:fldCharType="end"/>
      </w:r>
      <w:r>
        <w:t>.</w:t>
      </w:r>
      <w:r w:rsidR="003F72C9">
        <w:fldChar w:fldCharType="begin"/>
      </w:r>
      <w:r w:rsidR="003F72C9">
        <w:instrText xml:space="preserve"> REF _Ref116914400 \r \h </w:instrText>
      </w:r>
      <w:r w:rsidR="003F72C9">
        <w:fldChar w:fldCharType="separate"/>
      </w:r>
      <w:r w:rsidR="003F72C9">
        <w:t>ii</w:t>
      </w:r>
      <w:r w:rsidR="003F72C9">
        <w:fldChar w:fldCharType="end"/>
      </w:r>
      <w:r>
        <w:t xml:space="preserve"> по-горе, когато мярката(мерките), за която(</w:t>
      </w:r>
      <w:proofErr w:type="spellStart"/>
      <w:r>
        <w:t>ито</w:t>
      </w:r>
      <w:proofErr w:type="spellEnd"/>
      <w:r>
        <w:t>) е отправено уведомление, се финансира(т) чрез такса.</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Pr>
          <w:color w:val="000000"/>
        </w:rP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Отрицателно условие: помощта не може да влияе неправомерно върху условията на търговия до степен, която противоречи на общия интерес</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Свеждане до минимум на нарушаването на конкуренцията и търговията</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Необходимостта и целесъобразността на намесата с държавна помощ</w:t>
            </w:r>
          </w:p>
        </w:tc>
      </w:tr>
    </w:tbl>
    <w:p w14:paraId="3C23674F" w14:textId="4D2BAF74" w:rsidR="00663008" w:rsidRPr="00BA15DC" w:rsidRDefault="00663008" w:rsidP="003B0EFB">
      <w:pPr>
        <w:spacing w:before="120" w:after="120"/>
        <w:jc w:val="both"/>
        <w:rPr>
          <w:i/>
          <w:color w:val="000000"/>
        </w:rPr>
      </w:pPr>
      <w:r>
        <w:rPr>
          <w:i/>
        </w:rPr>
        <w:t>За да предоставите информацията в настоящия раздел, моля, вижте раздел 4.9.3.1 (точки 379 и 380) от CEEAG.</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В точка 379 от CEEAG се предвижда, че по отношение на енергийната инфраструктура пазарната неефективност обикновено се преодолява/финансира посредством задължителни потребителски тарифи, подлежащи на регулиране. Въпреки това, както се посочва в точка 380 от CEEAG, това невинаги е така. Моля, обяснете до каква степен с мярката се преодолява пазарна неефективност, която не може да бъде преодоляна чрез задължителни потребителски тарифи.</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За да се докаже необходимостта и целесъобразността на държавната помощ, моля, посочете при кои от различните ситуации трябва да бъде оценен проектът, предмет на уведомление:</w:t>
      </w:r>
    </w:p>
    <w:p w14:paraId="14A4B66A" w14:textId="34A3D234" w:rsidR="00C317A9" w:rsidRPr="00BA15DC" w:rsidRDefault="007612D5" w:rsidP="007612D5">
      <w:pPr>
        <w:pStyle w:val="ListParagraph"/>
        <w:spacing w:before="120" w:after="120"/>
        <w:ind w:left="1080" w:hanging="363"/>
        <w:contextualSpacing w:val="0"/>
        <w:jc w:val="both"/>
      </w:pPr>
      <w:r>
        <w:t>а)</w:t>
      </w:r>
      <w:r>
        <w:tab/>
      </w:r>
      <w:r w:rsidR="003618C5">
        <w:t>проектът, за който е постъпило уведомление, е проект от общ интерес съгласно определението в член 2, точка 4 от Регламент (ЕС) № 347/2013, който е изцяло подчинен на законодателството за вътрешния енергиен пазар. В тази ситуация Комисията счита, че е налице презумпция за пазарна неефективност. Не е необходимо държавата членка да обосновава допълнително необходимостта и целесъобразността на държавната помощ, или</w:t>
      </w:r>
    </w:p>
    <w:p w14:paraId="281C229F" w14:textId="5A4D028C" w:rsidR="00C317A9" w:rsidRPr="00BA15DC" w:rsidRDefault="007612D5" w:rsidP="007612D5">
      <w:pPr>
        <w:pStyle w:val="ListParagraph"/>
        <w:spacing w:before="120" w:after="120"/>
        <w:ind w:left="1080" w:hanging="363"/>
        <w:contextualSpacing w:val="0"/>
        <w:jc w:val="both"/>
      </w:pPr>
      <w:bookmarkStart w:id="12" w:name="_Ref168048596"/>
      <w:r>
        <w:t>б)</w:t>
      </w:r>
      <w:r>
        <w:tab/>
      </w:r>
      <w:r w:rsidR="00414335">
        <w:t>проектът, за който е постъпило уведомление, не е проект от общ интерес, както е определено по-горе, или е проект от общ интерес, но е частично или изцяло освободен от законодателството за вътрешния енергиен пазар, или</w:t>
      </w:r>
      <w:bookmarkEnd w:id="12"/>
    </w:p>
    <w:p w14:paraId="5EB2744B" w14:textId="1A723F6C" w:rsidR="00D812B2" w:rsidRPr="00BA15DC" w:rsidRDefault="007612D5" w:rsidP="007612D5">
      <w:pPr>
        <w:pStyle w:val="ListParagraph"/>
        <w:spacing w:before="120" w:after="120"/>
        <w:ind w:left="1080" w:hanging="363"/>
        <w:contextualSpacing w:val="0"/>
        <w:jc w:val="both"/>
      </w:pPr>
      <w:r>
        <w:t>в)</w:t>
      </w:r>
      <w:r>
        <w:tab/>
      </w:r>
      <w:r w:rsidR="00414335">
        <w:t>проектът не е проект от общ интерес и е между Съюза и трета държава.</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Ако проектът, за който е постъпило уведомление, попада в ситуацията, посочена в точка 19б по-горе, за да се обосноват необходимостта и целесъобразността на мярката, моля, обяснете до каква степен:</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пазарната неефективност води до недостатъчно осигуряване на необходимата инфраструктура;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инфраструктурата е отворена за достъп за трети страни и е предмет на тарифно регулиране; </w:t>
      </w:r>
    </w:p>
    <w:p w14:paraId="481FBBA1" w14:textId="1EE21959" w:rsidR="0042660D" w:rsidRPr="00BA15DC" w:rsidRDefault="00D812B2" w:rsidP="00046FE3">
      <w:pPr>
        <w:pStyle w:val="ListParagraph"/>
        <w:numPr>
          <w:ilvl w:val="0"/>
          <w:numId w:val="52"/>
        </w:numPr>
        <w:spacing w:before="120" w:after="120"/>
        <w:contextualSpacing w:val="0"/>
        <w:jc w:val="both"/>
      </w:pPr>
      <w:r>
        <w:lastRenderedPageBreak/>
        <w:t xml:space="preserve">проектът допринася за сигурността на доставките в Съюза или за целите на Съюза за неутралност по отношение на климата.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Ако проектът се намира в ситуацията, посочена в точка 19в, моля, обяснете дали i) за частта от инфраструктурата, разположена на територията на Съюза, проектът е изграден и експлоатиран в съответствие със законодателството на Съюза, по-специално директиви (ЕС) 2009/73/ЕО и (ЕС) 2019/944, а ii) за частта, разположена в съответната трета държава или държави, дали проектът е с висока степен на регулаторна хармонизация и подкрепя общите цели на Съюза, по-специално за да се гарантира: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добре функциониращ вътрешен пазар на енергия;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сигурност на енергийните доставки въз основа на сътрудничество и солидарност; </w:t>
      </w:r>
    </w:p>
    <w:p w14:paraId="6F1E0EF7" w14:textId="78DFE7A8" w:rsidR="0097238E" w:rsidRPr="00BA15DC" w:rsidRDefault="003618C5" w:rsidP="0097238E">
      <w:pPr>
        <w:pStyle w:val="ListParagraph"/>
        <w:numPr>
          <w:ilvl w:val="0"/>
          <w:numId w:val="53"/>
        </w:numPr>
        <w:spacing w:before="120" w:after="120"/>
        <w:contextualSpacing w:val="0"/>
        <w:jc w:val="both"/>
      </w:pPr>
      <w:r>
        <w:t>енергийна система по пътя към декарбонизация в съответствие с Парижкото споразумение и целите на Съюза в областта на климата, и по-специално избягване на изместването на въглеродни емисии.</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Пропорционалност на помощта</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iCs/>
        </w:rPr>
        <w:t>За да предоставите информацията в настоящия раздел, моля, вижте точки 51—52 и точка 381 от CEEAG</w:t>
      </w:r>
      <w:r>
        <w:t>.</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В съответствие с точка 51 от CEEAG типичните нетни допълнителни разходи могат да бъдат изчислени като разлика между ННС при фактическия сценарий и съпоставителния сценарий за жизнения цикъл на проекта или за всеки референтен проект, когато е приложимо. Когато съпоставителният сценарий е, че проектът няма да бъде изпълнен (вж. точка 52 от CEEAG), отрицателната ННС на фактическия сценарий е равна на нетните допълнителни разходи. </w:t>
      </w:r>
    </w:p>
    <w:p w14:paraId="2FF71764" w14:textId="253C5AA4" w:rsidR="001620DB" w:rsidRPr="00BA15DC" w:rsidRDefault="00095D42" w:rsidP="00095D42">
      <w:pPr>
        <w:pStyle w:val="ListParagraph"/>
        <w:spacing w:before="120" w:after="120"/>
        <w:ind w:left="567"/>
        <w:contextualSpacing w:val="0"/>
        <w:jc w:val="both"/>
      </w:pPr>
      <w:r>
        <w:t xml:space="preserve">Моля, представете следното в приложение към настоящия формуляр за уведомление (като използвате файл на Excel, </w:t>
      </w:r>
      <w:r>
        <w:rPr>
          <w:shd w:val="clear" w:color="auto" w:fill="FFFFFF"/>
        </w:rPr>
        <w:t>в който всички формули са видими</w:t>
      </w:r>
      <w:r>
        <w:t>);</w:t>
      </w:r>
    </w:p>
    <w:p w14:paraId="2B6DDCC1" w14:textId="59097B7D" w:rsidR="006F666A" w:rsidRPr="00BA15DC" w:rsidRDefault="007C0C88" w:rsidP="00EA272E">
      <w:pPr>
        <w:pStyle w:val="ListParagraph"/>
        <w:numPr>
          <w:ilvl w:val="0"/>
          <w:numId w:val="32"/>
        </w:numPr>
        <w:spacing w:before="120" w:after="120"/>
        <w:contextualSpacing w:val="0"/>
        <w:jc w:val="both"/>
      </w:pPr>
      <w:r>
        <w:rPr>
          <w:shd w:val="clear" w:color="auto" w:fill="FFFFFF"/>
        </w:rPr>
        <w:t>за да се определи недостигът на финансиране</w:t>
      </w:r>
      <w:r w:rsidR="00A84D63" w:rsidRPr="00BA15DC">
        <w:rPr>
          <w:rStyle w:val="FootnoteReference"/>
          <w:shd w:val="clear" w:color="auto" w:fill="FFFFFF"/>
        </w:rPr>
        <w:footnoteReference w:id="8"/>
      </w:r>
      <w:r>
        <w:rPr>
          <w:shd w:val="clear" w:color="auto" w:fill="FFFFFF"/>
        </w:rPr>
        <w:t>, моля, за фактическия сценарий представете количествена оценка на:</w:t>
      </w:r>
    </w:p>
    <w:p w14:paraId="7941A97E" w14:textId="3DEDF53E" w:rsidR="006F666A" w:rsidRPr="00BA15DC" w:rsidRDefault="00544A78" w:rsidP="00544A78">
      <w:pPr>
        <w:pStyle w:val="ListParagraph"/>
        <w:spacing w:before="120" w:after="120"/>
        <w:ind w:left="1080"/>
        <w:contextualSpacing w:val="0"/>
        <w:jc w:val="both"/>
      </w:pPr>
      <w:r>
        <w:rPr>
          <w:shd w:val="clear" w:color="auto" w:fill="FFFFFF"/>
        </w:rPr>
        <w:t>а.</w:t>
      </w:r>
      <w:r>
        <w:rPr>
          <w:shd w:val="clear" w:color="auto" w:fill="FFFFFF"/>
        </w:rPr>
        <w:tab/>
      </w:r>
      <w:r w:rsidR="006F666A">
        <w:rPr>
          <w:shd w:val="clear" w:color="auto" w:fill="FFFFFF"/>
        </w:rPr>
        <w:t>всички основни разходи и приходи от проекта;</w:t>
      </w:r>
    </w:p>
    <w:p w14:paraId="2D2BE464" w14:textId="3E109A51" w:rsidR="006F666A" w:rsidRPr="00BA15DC" w:rsidRDefault="00544A78" w:rsidP="00544A78">
      <w:pPr>
        <w:pStyle w:val="ListParagraph"/>
        <w:spacing w:before="120" w:after="120"/>
        <w:ind w:left="1440" w:hanging="360"/>
        <w:contextualSpacing w:val="0"/>
        <w:jc w:val="both"/>
      </w:pPr>
      <w:r>
        <w:rPr>
          <w:shd w:val="clear" w:color="auto" w:fill="FFFFFF"/>
        </w:rPr>
        <w:t>б.</w:t>
      </w:r>
      <w:r>
        <w:rPr>
          <w:shd w:val="clear" w:color="auto" w:fill="FFFFFF"/>
        </w:rPr>
        <w:tab/>
      </w:r>
      <w:r w:rsidR="00FD2296">
        <w:rPr>
          <w:shd w:val="clear" w:color="auto" w:fill="FFFFFF"/>
        </w:rPr>
        <w:t xml:space="preserve">прогнозната средна претеглена цена на капитала (WACC) на бенефициерите за </w:t>
      </w:r>
      <w:proofErr w:type="spellStart"/>
      <w:r w:rsidR="00FD2296">
        <w:rPr>
          <w:shd w:val="clear" w:color="auto" w:fill="FFFFFF"/>
        </w:rPr>
        <w:t>дисконтиране</w:t>
      </w:r>
      <w:proofErr w:type="spellEnd"/>
      <w:r w:rsidR="00FD2296">
        <w:rPr>
          <w:shd w:val="clear" w:color="auto" w:fill="FFFFFF"/>
        </w:rPr>
        <w:t xml:space="preserve"> на бъдещи парични потоци;</w:t>
      </w:r>
    </w:p>
    <w:p w14:paraId="2C7C5B9C" w14:textId="3E45C4AE" w:rsidR="00F05162" w:rsidRPr="00BA15DC" w:rsidRDefault="00544A78" w:rsidP="00544A78">
      <w:pPr>
        <w:pStyle w:val="ListParagraph"/>
        <w:spacing w:before="120" w:after="120"/>
        <w:ind w:left="1440" w:hanging="360"/>
        <w:contextualSpacing w:val="0"/>
        <w:jc w:val="both"/>
      </w:pPr>
      <w:r>
        <w:rPr>
          <w:shd w:val="clear" w:color="auto" w:fill="FFFFFF"/>
        </w:rPr>
        <w:t>в.</w:t>
      </w:r>
      <w:r>
        <w:rPr>
          <w:shd w:val="clear" w:color="auto" w:fill="FFFFFF"/>
        </w:rPr>
        <w:tab/>
      </w:r>
      <w:r w:rsidR="00FD2296">
        <w:rPr>
          <w:shd w:val="clear" w:color="auto" w:fill="FFFFFF"/>
        </w:rPr>
        <w:t>нетната настояща стойност (ННС) за фактическите през целия жизнен цикъл на проекта.</w:t>
      </w:r>
    </w:p>
    <w:p w14:paraId="6B0BF531" w14:textId="2C7B615B" w:rsidR="00F05162" w:rsidRPr="00BA15DC" w:rsidRDefault="00F05162" w:rsidP="00F05162">
      <w:pPr>
        <w:tabs>
          <w:tab w:val="left" w:leader="dot" w:pos="9072"/>
        </w:tabs>
        <w:spacing w:before="120" w:after="120"/>
        <w:ind w:left="567"/>
        <w:jc w:val="both"/>
      </w:pP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lastRenderedPageBreak/>
        <w:t xml:space="preserve">моля, включете в приложение към настоящия формуляр за уведомление подробна информация за допусканията, методиките, обосновката и основните източници за тях, използвани за всеки аспект от количествената оценка на разходите и приходите във фактическия сценарий (например, включете допусканията, използвани за изготвянето на фактическия сценарий).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В съответствие с точка 51 от CEEAG за случаите на индивидуална помощ и схеми в полза на особено ограничен брой бенефициери държавата членка трябва да представи подкрепящите доказателства на равнището на подробния бизнес план на проекта.</w:t>
      </w:r>
    </w:p>
    <w:p w14:paraId="584CA833" w14:textId="436A6E2D" w:rsidR="00124B6F" w:rsidRPr="00C34CB6" w:rsidRDefault="00C53C43" w:rsidP="00232CF6">
      <w:pPr>
        <w:pStyle w:val="ListParagraph"/>
        <w:spacing w:before="120" w:after="120"/>
        <w:ind w:left="567"/>
        <w:contextualSpacing w:val="0"/>
        <w:jc w:val="both"/>
      </w:pPr>
      <w:r>
        <w:t>За случаите на схеми за помощ държавата членка трябва да представи подкрепящите доказателства въз основа на един или повече референтни проекта.</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За да се даде възможност на Комисията да провери дали размерът на помощта не надвишава необходимия минимум, за да бъде подпомогнатият проект достатъчно рентабилен</w:t>
      </w:r>
      <w:r w:rsidR="00DE525C" w:rsidRPr="00BA15DC">
        <w:rPr>
          <w:rStyle w:val="FootnoteReference"/>
          <w:lang w:eastAsia="en-GB"/>
        </w:rPr>
        <w:footnoteReference w:id="9"/>
      </w:r>
      <w:r>
        <w:t>, моля, представете следната информация:</w:t>
      </w:r>
    </w:p>
    <w:p w14:paraId="020A0406" w14:textId="40D27EEF" w:rsidR="00EC2A7D" w:rsidRPr="00BA15DC" w:rsidRDefault="00EC2A7D" w:rsidP="00C003E3">
      <w:pPr>
        <w:pStyle w:val="ListParagraph"/>
        <w:numPr>
          <w:ilvl w:val="1"/>
          <w:numId w:val="4"/>
        </w:numPr>
        <w:spacing w:before="120" w:after="120"/>
        <w:contextualSpacing w:val="0"/>
        <w:jc w:val="both"/>
      </w:pPr>
      <w:r>
        <w:t>вътрешната норма на възвръщаемост (ВНВ), съответстваща на стандартния или минималния процент на възвръщаемост за сектора или предприятието; или</w:t>
      </w:r>
    </w:p>
    <w:p w14:paraId="056D5BF9" w14:textId="64F3B5CD" w:rsidR="00AB47A1" w:rsidRPr="00BA15DC" w:rsidRDefault="007315B8" w:rsidP="00C003E3">
      <w:pPr>
        <w:pStyle w:val="ListParagraph"/>
        <w:numPr>
          <w:ilvl w:val="1"/>
          <w:numId w:val="4"/>
        </w:numPr>
        <w:spacing w:before="120" w:after="120"/>
        <w:contextualSpacing w:val="0"/>
        <w:jc w:val="both"/>
      </w:pPr>
      <w:r>
        <w:t>нормалните норми на възвръщаемост, изисквани от бенефициера в други инвестиционни проекти от подобен вид, неговата цена на капитала като цяло; или</w:t>
      </w:r>
    </w:p>
    <w:p w14:paraId="13B46137" w14:textId="062C7DC0" w:rsidR="0029714D" w:rsidRPr="00BA15DC" w:rsidRDefault="007315B8" w:rsidP="00C003E3">
      <w:pPr>
        <w:pStyle w:val="ListParagraph"/>
        <w:numPr>
          <w:ilvl w:val="1"/>
          <w:numId w:val="4"/>
        </w:numPr>
        <w:spacing w:before="120" w:after="120"/>
        <w:contextualSpacing w:val="0"/>
        <w:jc w:val="both"/>
      </w:pPr>
      <w:r>
        <w:t>обичайно наблюдаваната възвръщаемост в съответния отрасъл; или</w:t>
      </w:r>
    </w:p>
    <w:p w14:paraId="0691A0E0" w14:textId="27443E78" w:rsidR="00445F48" w:rsidRPr="00BA15DC" w:rsidRDefault="001622D8" w:rsidP="00C003E3">
      <w:pPr>
        <w:pStyle w:val="ListParagraph"/>
        <w:numPr>
          <w:ilvl w:val="1"/>
          <w:numId w:val="4"/>
        </w:numPr>
        <w:spacing w:before="120" w:after="120"/>
        <w:contextualSpacing w:val="0"/>
        <w:jc w:val="both"/>
      </w:pPr>
      <w:r>
        <w:t>всяка друга информация, доказваща, че размерът на помощта не надвишава необходимия минимум, за да може подпомаганият проект да бъде достатъчно рентабилен.</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Съгласно точка 381 от CEEAG, ако помощта е близо до максимално разрешената и когато съществува риск от извънредни печалби, може да е необходим механизъм за мониторинг и възстановяване на предоставени средства, като същевременно се запазят стимулите за бенефициерите да сведат до минимум разходите си и да развиват стопанската си дейност по по-ефективен начин с течение на времето. Моля, обяснете дали е въведен механизъм за мониторинг и възстановяване на предоставени средства. Ако отговорът е отрицателен, моля, обяснете защо.</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Кумулация</w:t>
            </w:r>
          </w:p>
        </w:tc>
      </w:tr>
    </w:tbl>
    <w:p w14:paraId="2346A85D" w14:textId="72F525D8" w:rsidR="00B21377" w:rsidRPr="00BA15DC" w:rsidRDefault="00B21377" w:rsidP="00B21377">
      <w:pPr>
        <w:pStyle w:val="ListParagraph"/>
        <w:spacing w:before="120" w:after="120"/>
        <w:ind w:left="567"/>
        <w:contextualSpacing w:val="0"/>
        <w:jc w:val="both"/>
      </w:pPr>
      <w:r>
        <w:rPr>
          <w:i/>
        </w:rPr>
        <w:t>За да предоставите информацията в настоящия раздел, моля, вижте точки 56—57 от CEEAG.</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lastRenderedPageBreak/>
        <w:t>Доколкото все още не е предвидено в раздел 7.4 от формуляра за обща информация (част I) и за да се провери съответствието с точка 56 от CEEAG, моля, пояснете дали помощта по мярката(мерките), за която(</w:t>
      </w:r>
      <w:proofErr w:type="spellStart"/>
      <w:r>
        <w:t>ито</w:t>
      </w:r>
      <w:proofErr w:type="spellEnd"/>
      <w:r>
        <w:t xml:space="preserve">) е отправено уведомление, може да бъде предоставена едновременно по няколко схеми за помощ или да се натрупва с помощ </w:t>
      </w:r>
      <w:proofErr w:type="spellStart"/>
      <w:r>
        <w:rPr>
          <w:i/>
          <w:iCs/>
        </w:rPr>
        <w:t>ad</w:t>
      </w:r>
      <w:proofErr w:type="spellEnd"/>
      <w:r>
        <w:rPr>
          <w:i/>
          <w:iCs/>
        </w:rPr>
        <w:t xml:space="preserve"> </w:t>
      </w:r>
      <w:proofErr w:type="spellStart"/>
      <w:r>
        <w:rPr>
          <w:i/>
          <w:iCs/>
        </w:rPr>
        <w:t>hoc</w:t>
      </w:r>
      <w:proofErr w:type="spellEnd"/>
      <w:r>
        <w:t xml:space="preserve"> или помощ </w:t>
      </w:r>
      <w:proofErr w:type="spellStart"/>
      <w:r>
        <w:rPr>
          <w:i/>
          <w:iCs/>
        </w:rPr>
        <w:t>de</w:t>
      </w:r>
      <w:proofErr w:type="spellEnd"/>
      <w:r>
        <w:rPr>
          <w:i/>
          <w:iCs/>
        </w:rPr>
        <w:t xml:space="preserve"> </w:t>
      </w:r>
      <w:proofErr w:type="spellStart"/>
      <w:r>
        <w:rPr>
          <w:i/>
          <w:iCs/>
        </w:rPr>
        <w:t>minimis</w:t>
      </w:r>
      <w:proofErr w:type="spellEnd"/>
      <w:r>
        <w:t xml:space="preserve"> за едни и същи допустими разходи. Ако случаят е такъв, моля, представете подробна информация за тези схеми за помощ, помощ </w:t>
      </w:r>
      <w:proofErr w:type="spellStart"/>
      <w:r>
        <w:rPr>
          <w:i/>
        </w:rPr>
        <w:t>ad</w:t>
      </w:r>
      <w:proofErr w:type="spellEnd"/>
      <w:r>
        <w:rPr>
          <w:i/>
        </w:rPr>
        <w:t xml:space="preserve"> </w:t>
      </w:r>
      <w:proofErr w:type="spellStart"/>
      <w:r>
        <w:rPr>
          <w:i/>
        </w:rPr>
        <w:t>hoc</w:t>
      </w:r>
      <w:proofErr w:type="spellEnd"/>
      <w:r>
        <w:t xml:space="preserve"> или помощ </w:t>
      </w:r>
      <w:proofErr w:type="spellStart"/>
      <w:r>
        <w:rPr>
          <w:i/>
        </w:rPr>
        <w:t>de</w:t>
      </w:r>
      <w:proofErr w:type="spellEnd"/>
      <w:r>
        <w:rPr>
          <w:i/>
        </w:rPr>
        <w:t xml:space="preserve"> </w:t>
      </w:r>
      <w:proofErr w:type="spellStart"/>
      <w:r>
        <w:rPr>
          <w:i/>
        </w:rPr>
        <w:t>minimis</w:t>
      </w:r>
      <w:proofErr w:type="spellEnd"/>
      <w:r>
        <w:t xml:space="preserve"> и как ще се натрупва помощта. Моля, обърнете внимание, че може да позовете на предоставената по-горе количествена оценка.</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Ако помощ за едни и същи допустими разходи е предоставена едновременно по няколко схеми или се натрупва с помощ </w:t>
      </w:r>
      <w:proofErr w:type="spellStart"/>
      <w:r>
        <w:rPr>
          <w:i/>
          <w:iCs/>
        </w:rPr>
        <w:t>ad</w:t>
      </w:r>
      <w:proofErr w:type="spellEnd"/>
      <w:r>
        <w:rPr>
          <w:i/>
          <w:iCs/>
        </w:rPr>
        <w:t xml:space="preserve"> </w:t>
      </w:r>
      <w:proofErr w:type="spellStart"/>
      <w:r>
        <w:rPr>
          <w:i/>
          <w:iCs/>
        </w:rPr>
        <w:t>hoc</w:t>
      </w:r>
      <w:proofErr w:type="spellEnd"/>
      <w:r>
        <w:t xml:space="preserve"> или помощ </w:t>
      </w:r>
      <w:proofErr w:type="spellStart"/>
      <w:r>
        <w:rPr>
          <w:i/>
          <w:iCs/>
        </w:rPr>
        <w:t>de</w:t>
      </w:r>
      <w:proofErr w:type="spellEnd"/>
      <w:r>
        <w:rPr>
          <w:i/>
          <w:iCs/>
        </w:rPr>
        <w:t xml:space="preserve"> </w:t>
      </w:r>
      <w:proofErr w:type="spellStart"/>
      <w:r>
        <w:rPr>
          <w:i/>
          <w:iCs/>
        </w:rPr>
        <w:t>minimis</w:t>
      </w:r>
      <w:proofErr w:type="spellEnd"/>
      <w:r>
        <w:t>, моля, обосновете как общият размер на помощта за даден проект или дейност, отпусната по мярката(мерките), за която(</w:t>
      </w:r>
      <w:proofErr w:type="spellStart"/>
      <w:r>
        <w:t>ито</w:t>
      </w:r>
      <w:proofErr w:type="spellEnd"/>
      <w:r>
        <w:t>) е отправено уведомление, не води до свръхкомпенсация или не превишава максималния разрешен размер на помощта в съответствие с точки 51 и 381 от CEEAG. Моля, за всяка мярка, по която може да се кумулира помощ, отпусната по мярката(мерките) за помощ, за която(</w:t>
      </w:r>
      <w:proofErr w:type="spellStart"/>
      <w:r>
        <w:t>ито</w:t>
      </w:r>
      <w:proofErr w:type="spellEnd"/>
      <w:r>
        <w:t xml:space="preserve">) е отправено уведомление, посочете метода, който е използван, за да се гарантира спазването на условията, определени в точка 56 от CEEAG.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Ако помощта, предоставена по мярката(мерките), за които е отправено уведомление, е съчетана с финансиране от Съюза, което се управлява централизирано съгласно точка 57 от CEEAG</w:t>
      </w:r>
      <w:r w:rsidR="009B2F61" w:rsidRPr="00BA15DC">
        <w:rPr>
          <w:rStyle w:val="FootnoteReference"/>
          <w:lang w:eastAsia="en-GB"/>
        </w:rPr>
        <w:footnoteReference w:id="10"/>
      </w:r>
      <w:r>
        <w:t xml:space="preserve">, моля, обосновете как </w:t>
      </w:r>
      <w:r>
        <w:rPr>
          <w:shd w:val="clear" w:color="auto" w:fill="FFFFFF"/>
        </w:rPr>
        <w:t>общият размер на публичното финансиране, предоставено във връзка със същите допустими разходи, не води до свръхкомпенсация.</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Прозрачност</w:t>
            </w:r>
          </w:p>
        </w:tc>
      </w:tr>
    </w:tbl>
    <w:p w14:paraId="07229A8F" w14:textId="24C7C0FA" w:rsidR="006773CE" w:rsidRPr="00BA15DC" w:rsidRDefault="006773CE" w:rsidP="003B0EFB">
      <w:pPr>
        <w:spacing w:before="120" w:after="120"/>
        <w:jc w:val="both"/>
        <w:rPr>
          <w:i/>
        </w:rPr>
      </w:pPr>
      <w:r>
        <w:rPr>
          <w:i/>
        </w:rPr>
        <w:t xml:space="preserve">За да предоставите информацията в настоящия раздел, моля, вижте раздел 3.2.1.4 (точки 58—62) от CEEAG.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Моля, потвърдете, че държавата членка ще спазва изискванията за прозрачност, предвидени в точки 58—61 от CEEAG.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Моля, посочете интернет връзката, на която ще бъде публикуван пълният текст на решението за предоставяне на одобрената схема за помощ или индивидуалната помощ и разпоредбите за прилагането му, и информация за всяка индивидуална помощ, отпусната </w:t>
      </w:r>
      <w:proofErr w:type="spellStart"/>
      <w:r>
        <w:rPr>
          <w:i/>
          <w:iCs/>
        </w:rPr>
        <w:t>ad</w:t>
      </w:r>
      <w:proofErr w:type="spellEnd"/>
      <w:r>
        <w:rPr>
          <w:i/>
          <w:iCs/>
        </w:rPr>
        <w:t xml:space="preserve"> </w:t>
      </w:r>
      <w:proofErr w:type="spellStart"/>
      <w:r>
        <w:rPr>
          <w:i/>
          <w:iCs/>
        </w:rPr>
        <w:t>hoc</w:t>
      </w:r>
      <w:proofErr w:type="spellEnd"/>
      <w:r>
        <w:t xml:space="preserve"> или по схема за помощ, одобрена въз основа на CEEAG, чийто размер надхвърля 100 000 EUR.</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Избягване на неоправдани отрицателни последици от помощта за конкуренцията и търговията и балансиране</w:t>
            </w:r>
          </w:p>
        </w:tc>
      </w:tr>
    </w:tbl>
    <w:p w14:paraId="32B25629" w14:textId="6CBE1875" w:rsidR="00F83660" w:rsidRPr="00BA15DC" w:rsidRDefault="00F83660" w:rsidP="003B0EFB">
      <w:pPr>
        <w:spacing w:before="360" w:after="120"/>
        <w:jc w:val="both"/>
      </w:pPr>
      <w:r>
        <w:rPr>
          <w:i/>
          <w:iCs/>
        </w:rPr>
        <w:t>За да предоставите информацията в настоящия раздел, моля, вижте раздел 4.9.4 (точки 382 и сл.) от CEEAG.</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Ако проектът, за който е подадено уведомление, е изцяло или частично освободен от законодателството в областта на вътрешния енергиен пазар, моля, обяснете: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До каква степен достъпът до подпомаганата инфраструктура е отворен за трети страни;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До каква степен клиентите могат да имат достъп до алтернативна инфраструктура, ако има такава; </w:t>
      </w:r>
    </w:p>
    <w:p w14:paraId="14CAE043" w14:textId="0F765E36" w:rsidR="009013F3" w:rsidRPr="00BA15DC" w:rsidRDefault="009C221E" w:rsidP="00232CF6">
      <w:pPr>
        <w:pStyle w:val="ListParagraph"/>
        <w:numPr>
          <w:ilvl w:val="0"/>
          <w:numId w:val="53"/>
        </w:numPr>
        <w:spacing w:before="120" w:after="120"/>
        <w:contextualSpacing w:val="0"/>
        <w:jc w:val="both"/>
      </w:pPr>
      <w:r>
        <w:t>До каква степен проектът би могъл да доведе до изтласкване на частни инвестиции;</w:t>
      </w:r>
    </w:p>
    <w:p w14:paraId="530E1A49" w14:textId="01B9E5CD" w:rsidR="0042660D" w:rsidRPr="00BA15DC" w:rsidRDefault="009C221E" w:rsidP="00232CF6">
      <w:pPr>
        <w:pStyle w:val="ListParagraph"/>
        <w:numPr>
          <w:ilvl w:val="0"/>
          <w:numId w:val="53"/>
        </w:numPr>
        <w:spacing w:before="120" w:after="120"/>
        <w:contextualSpacing w:val="0"/>
        <w:jc w:val="both"/>
      </w:pPr>
      <w:r>
        <w:t>Конкурентната позиция на бенефициера (</w:t>
      </w:r>
      <w:proofErr w:type="spellStart"/>
      <w:r>
        <w:t>ите</w:t>
      </w:r>
      <w:proofErr w:type="spellEnd"/>
      <w:r>
        <w:t xml:space="preserve">) както по отношение на експлоатацията на инфраструктурата, така и по отношение на съответните продуктови пазари за стоките, транспортирани чрез инфраструктурата.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Ако проектът, за който е подадено уведомление, е инфраструктура за природен газ, моля, представете информация за това как проектът, за който е постъпило уведомление, ще изпълни следните условия:</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Инфраструктурата е готова да използва водород и води до увеличаване на използването на възобновяеми газове; или, като алтернатива, причината, поради която не е възможно проектът да бъде разработен така, че да е готов за използването на водород, и как проектът не създава ефект на зависимост от използването на природен газ; </w:t>
      </w:r>
    </w:p>
    <w:p w14:paraId="49495890" w14:textId="19234331" w:rsidR="009013F3" w:rsidRDefault="009013F3" w:rsidP="00232CF6">
      <w:pPr>
        <w:pStyle w:val="ListParagraph"/>
        <w:numPr>
          <w:ilvl w:val="0"/>
          <w:numId w:val="53"/>
        </w:numPr>
        <w:spacing w:before="120" w:after="120"/>
        <w:contextualSpacing w:val="0"/>
        <w:jc w:val="both"/>
      </w:pPr>
      <w:r>
        <w:t>Инвестицията допринася за постигането на целите на Съюза в областта на климата до 2030 г. и за неутралност по отношение на климата до 2050 г.</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Ако проектът, за който е постъпило уведомление, е проект от общ интерес или проект от взаимен интерес, който не е подчинен на законодателството за вътрешния пазар, моля, обяснете какво ще бъде въздействието на проекта върху свързаните пазари на услуги, както и върху други пазари на услуги.</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Оценка</w:t>
            </w:r>
          </w:p>
        </w:tc>
      </w:tr>
    </w:tbl>
    <w:p w14:paraId="78AC9B95" w14:textId="1FB76E7E" w:rsidR="00C33721" w:rsidRPr="00BA15DC" w:rsidRDefault="00C33721" w:rsidP="004F3B88">
      <w:pPr>
        <w:tabs>
          <w:tab w:val="left" w:leader="dot" w:pos="9072"/>
        </w:tabs>
        <w:spacing w:before="120" w:after="120"/>
        <w:ind w:left="567"/>
        <w:jc w:val="both"/>
        <w:rPr>
          <w:i/>
          <w:iCs/>
        </w:rPr>
      </w:pPr>
      <w:r>
        <w:rPr>
          <w:i/>
        </w:rPr>
        <w:t>За да предоставите информацията в настоящия раздел, моля, вижте точка 76, буква а) и глава 5 (точки 455—463) от CEEAG.</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 xml:space="preserve">Ако мярката(мерките), за която(които) е отправено уведомление, надвишава(т) праговете за бюджет/разходи, посочени в точка 456 от CEEAG, моля, обяснете защо според вас следва да се прилага изключението, посочено в точка 457 от </w:t>
      </w:r>
      <w:r>
        <w:lastRenderedPageBreak/>
        <w:t>CEEAG, или добавете към настоящия формуляр за уведомление приложение, което включва проект на план за оценка, покриващ обхвата, посочен в точка 458 от CEEAG</w:t>
      </w:r>
      <w:r w:rsidRPr="00BA15DC">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Ако е представен проект на план за оценка, моля:</w:t>
      </w:r>
    </w:p>
    <w:p w14:paraId="08BAA496" w14:textId="23665408" w:rsidR="009618E4" w:rsidRPr="00BA15DC" w:rsidRDefault="009618E4" w:rsidP="009618E4">
      <w:pPr>
        <w:numPr>
          <w:ilvl w:val="0"/>
          <w:numId w:val="61"/>
        </w:numPr>
        <w:spacing w:before="120" w:after="120"/>
        <w:jc w:val="both"/>
      </w:pPr>
      <w:r>
        <w:t>представете по-долу резюме на този проект на план за оценка, включен в приложението;</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потвърдете, че ще бъде спазена точка 460 от CEEAG;</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посочете датата и интернет връзката, на която планът за оценка ще бъде публично достъпен.</w:t>
      </w:r>
    </w:p>
    <w:p w14:paraId="708085DD" w14:textId="77777777" w:rsidR="009618E4" w:rsidRPr="00BA15DC" w:rsidRDefault="009618E4" w:rsidP="009618E4">
      <w:pPr>
        <w:spacing w:before="120" w:after="120"/>
        <w:ind w:left="1440"/>
        <w:jc w:val="both"/>
      </w:pP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За да се провери съответствието с точка 459, буква б) от CEEAG, в случай че схемата за помощ понастоящем не подлежи на последваща оценка и нейният срок на действие надхвърля три години, моля, потвърдете, че ще изпратите проект на план за оценка в срок от 30 работни дни след всяка значителна промяна, с която бюджетът на схемата се увеличава до стойност над 150 милиона евро за дадена година или 750 милиона евро за целия срок на действие на схемата.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За да се провери съответствието с точка 459, буква в) от CEEAG, в случай че схемата за помощ понастоящем не подлежи на последваща оценка, моля, представете по-долу ангажимент, че държавата членка ще изпрати проект на план за оценка </w:t>
      </w:r>
      <w:r>
        <w:rPr>
          <w:shd w:val="clear" w:color="auto" w:fill="FFFFFF"/>
        </w:rPr>
        <w:t>в срок от 30 работни дни след отчитане в официалните сметки на разходи, които надвишават 150 милиона евро за предходната година</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За да се провери съответствието с точка 461 от CEEAG:</w:t>
      </w:r>
    </w:p>
    <w:p w14:paraId="3F285296" w14:textId="77777777" w:rsidR="009618E4" w:rsidRPr="00BA15DC" w:rsidRDefault="009618E4" w:rsidP="009618E4">
      <w:pPr>
        <w:numPr>
          <w:ilvl w:val="0"/>
          <w:numId w:val="62"/>
        </w:numPr>
        <w:spacing w:before="120" w:after="120"/>
        <w:jc w:val="both"/>
      </w:pPr>
      <w:r>
        <w:t>моля, пояснете дали независимият експерт вече е избран или ще бъде избран в бъдеще;</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моля, представете информация за процедурата за избор на експерт;</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моля, обосновете по какъв начин експертът е независим от предоставящия помощта орган.</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За да се провери съответствието с точка 461 от CEEAG: </w:t>
      </w:r>
    </w:p>
    <w:p w14:paraId="4F8AF9B0" w14:textId="77777777" w:rsidR="009618E4" w:rsidRPr="00BA15DC" w:rsidRDefault="009618E4" w:rsidP="009618E4">
      <w:pPr>
        <w:numPr>
          <w:ilvl w:val="0"/>
          <w:numId w:val="63"/>
        </w:numPr>
        <w:spacing w:before="120" w:after="120"/>
        <w:jc w:val="both"/>
      </w:pPr>
      <w:r>
        <w:lastRenderedPageBreak/>
        <w:t>моля, посочете предложените от вас срокове за представяне на междинния и окончателния доклад за оценка. Моля, обърнете внимание, че окончателният доклад за оценка трябва да бъде представен на Комисията своевременно, за да може тя да оцени възможното удължаване на схемата за помощ, и поне девет месеца преди да изтече срокът на схемата, в съответствие с точка 463 от CEEAG. Моля, имайте предвид, че този срок може да бъде съкратен за схеми, при които изискването за оценка се задейства през последните две години от тяхното изпълнение;</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моля, потвърдете, че междинният и окончателният доклад за оценка ще бъдат оповестени публично. Моля, посочете датата и интернет връзката, на която тези доклади ще бъдат публично достъпни.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Докладване и мониторинг</w:t>
            </w:r>
          </w:p>
        </w:tc>
      </w:tr>
    </w:tbl>
    <w:p w14:paraId="21EA55F3" w14:textId="77777777" w:rsidR="009618E4" w:rsidRPr="00BA15DC" w:rsidRDefault="009618E4" w:rsidP="004F3B88">
      <w:pPr>
        <w:tabs>
          <w:tab w:val="left" w:leader="dot" w:pos="9072"/>
        </w:tabs>
        <w:spacing w:before="120" w:after="120"/>
        <w:ind w:left="567"/>
        <w:jc w:val="both"/>
      </w:pPr>
      <w:r>
        <w:rPr>
          <w:i/>
        </w:rPr>
        <w:t>За да предоставите информацията в настоящия раздел, моля, вижте раздел 6 (точки 464—465) от CEEAG.</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Моля, потвърдете, че държавата членка ще спазва изискванията за докладване и мониторинг, предвидени в раздел 6, точки 464 и 465 от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OB C 80, 18.2.2022 г., стр. 1.</w:t>
      </w:r>
    </w:p>
  </w:footnote>
  <w:footnote w:id="3">
    <w:p w14:paraId="74C65A5D" w14:textId="77777777" w:rsidR="008E3BF9" w:rsidRPr="0067348B" w:rsidRDefault="008E3BF9" w:rsidP="008E3BF9">
      <w:pPr>
        <w:pStyle w:val="FootnoteText"/>
      </w:pPr>
      <w:r>
        <w:rPr>
          <w:rStyle w:val="FootnoteReference"/>
        </w:rPr>
        <w:footnoteRef/>
      </w:r>
      <w:r>
        <w:tab/>
        <w:t>Моля, обърнете внимание, че за дадена схема за помощ продължителността е периодът, през който може да се кандидатства за помощ и да се вземе решение за отпускането ѝ (следователно това включва времето, необходимо на националните органи да одобрят заявленията за помощ). Срокът на действие, посочен в настоящия въпрос, не се отнася до срока на действие на договорите, сключени в рамките на схемата за помощ, който може да продължи и след изтичането на срока на действие на мярката.</w:t>
      </w:r>
    </w:p>
  </w:footnote>
  <w:footnote w:id="4">
    <w:p w14:paraId="5C28E81B" w14:textId="27D21C7E" w:rsidR="00F7269C" w:rsidRPr="0067348B" w:rsidRDefault="00F7269C" w:rsidP="00F7269C">
      <w:pPr>
        <w:pStyle w:val="FootnoteText"/>
      </w:pPr>
      <w:r>
        <w:rPr>
          <w:rStyle w:val="FootnoteReference"/>
        </w:rPr>
        <w:footnoteRef/>
      </w:r>
      <w:r>
        <w:tab/>
        <w:t>Моля, имайте предвид, че промяна в действителния или прогнозния бюджет може да представлява изменение на помощта, за което се изисква ново уведомление.</w:t>
      </w:r>
    </w:p>
  </w:footnote>
  <w:footnote w:id="5">
    <w:p w14:paraId="561DACBB" w14:textId="58A17E1F" w:rsidR="00802D55" w:rsidRDefault="00802D55">
      <w:pPr>
        <w:pStyle w:val="FootnoteText"/>
      </w:pPr>
      <w:r>
        <w:rPr>
          <w:rStyle w:val="FootnoteReference"/>
        </w:rPr>
        <w:footnoteRef/>
      </w:r>
      <w:r>
        <w:tab/>
        <w:t xml:space="preserve">Вж. решение на Съда от 13 юни 2013 г., </w:t>
      </w:r>
      <w:r>
        <w:rPr>
          <w:i/>
          <w:iCs/>
        </w:rPr>
        <w:t>HGA и други/Комисия</w:t>
      </w:r>
      <w:r>
        <w:t>, C-630/11 P до C-633/11 P, ECLI:EU:C:2013:387, т. 104.</w:t>
      </w:r>
    </w:p>
  </w:footnote>
  <w:footnote w:id="6">
    <w:p w14:paraId="4C19DBFC" w14:textId="0C434BAC" w:rsidR="00802D55" w:rsidRPr="004B74BC" w:rsidRDefault="00802D55">
      <w:pPr>
        <w:pStyle w:val="FootnoteText"/>
      </w:pPr>
      <w:r>
        <w:rPr>
          <w:rStyle w:val="FootnoteReference"/>
        </w:rPr>
        <w:footnoteRef/>
      </w:r>
      <w:r>
        <w:tab/>
        <w:t>Съгласно точка 19, подточка 63 от CEEAG „референтен проект“ означава примерен проект, който е представителен за средния проект за категория бенефициери, допустими за дадена схема за помощ.</w:t>
      </w:r>
    </w:p>
  </w:footnote>
  <w:footnote w:id="7">
    <w:p w14:paraId="01EFD49C" w14:textId="77777777" w:rsidR="00801D5A" w:rsidRDefault="00801D5A" w:rsidP="00801D5A">
      <w:pPr>
        <w:pStyle w:val="FootnoteText"/>
      </w:pPr>
      <w:r>
        <w:rPr>
          <w:rStyle w:val="FootnoteReference"/>
        </w:rPr>
        <w:footnoteRef/>
      </w:r>
      <w:r>
        <w:tab/>
        <w:t>Съгласно точка 19, подточка 89 от CEEAG „стандарт на Съюза“ означава:</w:t>
      </w:r>
    </w:p>
    <w:p w14:paraId="68BC0B8F" w14:textId="1BA8D03D" w:rsidR="00801D5A" w:rsidRPr="004B74BC" w:rsidRDefault="00CD39D9" w:rsidP="00CD39D9">
      <w:pPr>
        <w:pStyle w:val="FootnoteText"/>
        <w:ind w:left="1080" w:hanging="360"/>
        <w:rPr>
          <w:i/>
        </w:rPr>
      </w:pPr>
      <w:r>
        <w:rPr>
          <w:i/>
        </w:rPr>
        <w:t>а)</w:t>
      </w:r>
      <w:r>
        <w:rPr>
          <w:i/>
        </w:rPr>
        <w:tab/>
      </w:r>
      <w:r w:rsidR="00801D5A">
        <w:rPr>
          <w:i/>
        </w:rPr>
        <w:t>задължителен стандарт на Съюза, въз основа на който се определят равнищата, които отделните предприятия трябва да постигнат в екологично отношение, с изключение на стандартите или целите, определени на равнището на Съюза, които са задължителни за държавите членки, но не и за отделните предприятия;</w:t>
      </w:r>
    </w:p>
    <w:p w14:paraId="11145135" w14:textId="7E093626" w:rsidR="00801D5A" w:rsidRDefault="00543A46" w:rsidP="00543A46">
      <w:pPr>
        <w:pStyle w:val="FootnoteText"/>
        <w:ind w:left="1080" w:hanging="360"/>
      </w:pPr>
      <w:r>
        <w:rPr>
          <w:i/>
        </w:rPr>
        <w:t>б)</w:t>
      </w:r>
      <w:r>
        <w:rPr>
          <w:i/>
        </w:rPr>
        <w:tab/>
      </w:r>
      <w:r w:rsidR="00801D5A">
        <w:rPr>
          <w:i/>
        </w:rPr>
        <w:t>задължението да се използват най-добрите налични техники (НДНТ), определени в Директива 2010/75/ЕС, и да се гарантира, че нивата на емисиите не надвишават нивата, които биха били постигнати при прилагане на НДНТ; когато равнищата на емисиите при използване на НДНТ са определени в актовете за изпълнение, приети по Директива 2010/75/ЕС или по други приложими директиви, тези равнища ще бъдат приложими за целите на настоящите насоки; когато тези равнища са изразени като диапазон, ще се прилага пределната стойност, постигната за първи път с НДНТ за съответното предприятие.</w:t>
      </w:r>
    </w:p>
  </w:footnote>
  <w:footnote w:id="8">
    <w:p w14:paraId="6589188F" w14:textId="43878BAD" w:rsidR="00802D55" w:rsidRDefault="00802D55">
      <w:pPr>
        <w:pStyle w:val="FootnoteText"/>
      </w:pPr>
      <w:r>
        <w:rPr>
          <w:rStyle w:val="FootnoteReference"/>
        </w:rPr>
        <w:footnoteRef/>
      </w:r>
      <w:r>
        <w:tab/>
        <w:t>В точка 51 от CEEAG се предвижда, че „</w:t>
      </w:r>
      <w:r w:rsidRPr="00544A78">
        <w:rPr>
          <w:i/>
          <w:iCs/>
          <w:color w:val="000000"/>
          <w:shd w:val="clear" w:color="auto" w:fill="FFFFFF"/>
        </w:rPr>
        <w:t>типичните нетни допълнителни разходи могат да бъдат изчислени като разлика между ННС при фактическия сценарий и при съпоставителния сценарий за жизнения цикъл на референтния проект</w:t>
      </w:r>
      <w:r>
        <w:t>“</w:t>
      </w:r>
      <w:r w:rsidR="00544A78">
        <w:t>.</w:t>
      </w:r>
    </w:p>
  </w:footnote>
  <w:footnote w:id="9">
    <w:p w14:paraId="4E6E256B" w14:textId="3391803B" w:rsidR="00802D55" w:rsidRDefault="00802D55">
      <w:pPr>
        <w:pStyle w:val="FootnoteText"/>
      </w:pPr>
      <w:r>
        <w:rPr>
          <w:rStyle w:val="FootnoteReference"/>
        </w:rPr>
        <w:footnoteRef/>
      </w:r>
      <w:r>
        <w:tab/>
        <w:t>Съгласно бележка под линия 46 от CEEAG, моля, имайте предвид, че „</w:t>
      </w:r>
      <w:r w:rsidRPr="003A503B">
        <w:rPr>
          <w:i/>
          <w:iCs/>
        </w:rPr>
        <w:t>трябва да се отчетат всички съответни очаквани разходи и ползи в целия жизнен цикъл на проекта</w:t>
      </w:r>
      <w:r>
        <w:t>“.</w:t>
      </w:r>
    </w:p>
  </w:footnote>
  <w:footnote w:id="10">
    <w:p w14:paraId="086AD512" w14:textId="7087BE19" w:rsidR="00802D55" w:rsidRDefault="00802D55">
      <w:pPr>
        <w:pStyle w:val="FootnoteText"/>
      </w:pPr>
      <w:r>
        <w:rPr>
          <w:rStyle w:val="FootnoteReference"/>
        </w:rPr>
        <w:footnoteRef/>
      </w:r>
      <w:r>
        <w:tab/>
        <w:t>Финансирането от Съюза, което се управлява централизирано, представлява финансиране от Съюза, което се управлява централизирано от институциите, агенциите, съвместните предприятия или другите органи на Европейски съюз и което не се намира пряко или непряко под контрола на държавата членка.</w:t>
      </w:r>
    </w:p>
  </w:footnote>
  <w:footnote w:id="11">
    <w:p w14:paraId="0C0B9BEF" w14:textId="45473D5A" w:rsidR="009618E4" w:rsidRPr="003A503B" w:rsidRDefault="009618E4" w:rsidP="009618E4">
      <w:pPr>
        <w:pStyle w:val="FootnoteText"/>
      </w:pPr>
      <w:r>
        <w:rPr>
          <w:rStyle w:val="FootnoteReference"/>
        </w:rPr>
        <w:footnoteRef/>
      </w:r>
      <w:r>
        <w:tab/>
        <w:t xml:space="preserve">Образецът на формуляра за допълнителна информация за отправяне на уведомление за план за оценка (част III.8) е достъпен на следния адрес: </w:t>
      </w:r>
      <w:hyperlink w:anchor="evaluation-plan" w:history="1">
        <w:r>
          <w:rPr>
            <w:rStyle w:val="Hyperlink"/>
          </w:rPr>
          <w:t>https://competition-policy.ec.europa.eu/state-aid/legislation/forms-notifications-and-reporting_en#evaluation-plan</w:t>
        </w:r>
      </w:hyperlink>
      <w:r w:rsidR="003A503B">
        <w:rPr>
          <w:rStyle w:val="Hyperlink"/>
          <w:color w:val="auto"/>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503B"/>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3A46"/>
    <w:rsid w:val="005440AC"/>
    <w:rsid w:val="0054472A"/>
    <w:rsid w:val="00544A78"/>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2254"/>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12D5"/>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39D9"/>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bg-BG"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bg-BG"/>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bg-BG"/>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2.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4184</Words>
  <Characters>21595</Characters>
  <Application>Microsoft Office Word</Application>
  <DocSecurity>0</DocSecurity>
  <Lines>469</Lines>
  <Paragraphs>182</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ISKAROV Iskar (DGT)</cp:lastModifiedBy>
  <cp:revision>7</cp:revision>
  <cp:lastPrinted>2022-04-12T14:59:00Z</cp:lastPrinted>
  <dcterms:created xsi:type="dcterms:W3CDTF">2024-09-05T12:35:00Z</dcterms:created>
  <dcterms:modified xsi:type="dcterms:W3CDTF">2024-10-08T08:40:00Z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