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Deel III.6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Bijgewerkt* formulier aanvullende informatie voor staatssteun verleend in het kader van de richtsnoeren staatssteun ten behoeve van klimaat, milieubescherming en energie 2022</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Hoofdstuk 4.9 – Steun voor energie-infrastructuur</w:t>
            </w:r>
          </w:p>
          <w:p w14:paraId="469DC4EF" w14:textId="5E9F59D2" w:rsidR="008E3BF9" w:rsidRPr="00BA15DC" w:rsidRDefault="008E3BF9" w:rsidP="008E3BF9">
            <w:pPr>
              <w:rPr>
                <w:sz w:val="32"/>
                <w:szCs w:val="32"/>
              </w:rPr>
            </w:pPr>
            <w:r>
              <w:t>* nog niet formeel goedgekeurd</w:t>
            </w:r>
          </w:p>
        </w:tc>
      </w:tr>
    </w:tbl>
    <w:p w14:paraId="45497634" w14:textId="77777777" w:rsidR="008E3BF9" w:rsidRPr="00BA15DC" w:rsidRDefault="008E3BF9" w:rsidP="008E3BF9">
      <w:pPr>
        <w:spacing w:before="120" w:after="120"/>
        <w:ind w:right="-142"/>
        <w:jc w:val="both"/>
        <w:rPr>
          <w:i/>
          <w:iCs/>
        </w:rPr>
      </w:pPr>
      <w:r>
        <w:rPr>
          <w:i/>
        </w:rPr>
        <w:t>Dit formulier aanvullende informatie moet worden gebruikt voor het aanmelden van steun die valt onder de richtsnoeren staatssteun ten behoeve van klimaat, milieubescherming en energie 2022 (hierna “richtsnoeren”).</w:t>
      </w:r>
    </w:p>
    <w:p w14:paraId="3912F2B6" w14:textId="18735016" w:rsidR="008E3BF9" w:rsidRPr="00BA15DC" w:rsidRDefault="008E3BF9" w:rsidP="009E2EA1">
      <w:pPr>
        <w:spacing w:before="120" w:after="120"/>
        <w:ind w:right="-142"/>
        <w:jc w:val="both"/>
        <w:rPr>
          <w:i/>
          <w:iCs/>
        </w:rPr>
      </w:pPr>
      <w:r>
        <w:rPr>
          <w:i/>
        </w:rPr>
        <w:t xml:space="preserve">Dit formulier aanvullende informatie heeft betrekking op maatregelen die onder afdeling 4.9 van de richtsnoeren vallen. Indien de aanmelding maatregelen omvat die onder meer dan één hoofdstuk van de richtsnoeren vallen, vul dan ook het formulier aanvullende informatie in dat betrekking heeft op het desbetreffende hoofdstuk van de richtsnoeren. </w:t>
      </w:r>
    </w:p>
    <w:p w14:paraId="516B301C" w14:textId="77777777" w:rsidR="008E3BF9" w:rsidRPr="00BA15DC" w:rsidRDefault="008E3BF9" w:rsidP="008E3BF9">
      <w:pPr>
        <w:spacing w:before="120" w:after="120"/>
        <w:ind w:right="-142"/>
        <w:jc w:val="both"/>
        <w:rPr>
          <w:i/>
          <w:iCs/>
        </w:rPr>
      </w:pPr>
      <w:r>
        <w:rPr>
          <w:i/>
        </w:rPr>
        <w:t>Alle documenten die lidstaten als bijlagen bij dit formulier aanvullende informatie verstrekken, moeten genummerd zijn en de nummers van de documenten moeten worden aangegeven in het desbetreffende deel van dit formulier.</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Afdeling A: Samenvatting van de belangrijkste kenmerken van de aangemelde maatregel(en)</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Achtergrond en doelstelling(en) van de aangemelde maatregel(en)</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Indien dit nog niet is besproken in afdeling 5.2 van het formulier algemene informatie (deel I), geef de achtergrond en de hoofddoelstelling, met inbegrip van eventuele doelstellingen van de Unie voor de vermindering en verwijdering van de broeikasgasemissies die met de maatregel moet worden ondersteund.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Geef aan welke andere doelstellingen met de maatregel worden nagestreefd. Leg uit, voor doelstellingen die niet uitsluitend betrekking hebben op het milieu, of zij tot verstoringen van de interne markt kunnen leiden.</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t>Inwerkingtreding en duur:</w:t>
      </w:r>
    </w:p>
    <w:p w14:paraId="29824976" w14:textId="39DBFC0F" w:rsidR="008E3BF9" w:rsidRPr="00BA15DC" w:rsidRDefault="008E3BF9" w:rsidP="008E3BF9">
      <w:pPr>
        <w:pStyle w:val="ListParagraph"/>
        <w:numPr>
          <w:ilvl w:val="0"/>
          <w:numId w:val="59"/>
        </w:numPr>
        <w:ind w:left="993" w:hanging="142"/>
        <w:jc w:val="both"/>
        <w:rPr>
          <w:szCs w:val="24"/>
        </w:rPr>
      </w:pPr>
      <w:r>
        <w:t>Geef aan, voor zover dit niet reeds is vermeld in het kader van afdeling 5.5 van het formulier algemene informatie (deel I), op welke datum de maatregel in werking moet treden.</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Indien de maatregel betrekking heeft op een steunregeling, geef dan de duur ervan aan</w:t>
      </w:r>
      <w:r w:rsidR="008E3BF9" w:rsidRPr="00BA15DC">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Begunstigde(n)</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Indien dit nog niet is vermeld in afdeling 3 van het formulier algemene informatie (deel I), beschrijf dan de (potentiële) begunstigde(n) van de maatregel(en).</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Vermeld de locatie van de (potentiële) begunstigde(n) (d.w.z. of alleen economische entiteiten in de desbetreffende lidstaten of ook in andere lidstaten in aanmerking komen voor deelname aan de maatregel).</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Geef aan, met het oog op de beoordeling van de naleving van punt 15 van de richtsnoeren, of in het kader van de maatregel(en) individuele steun wordt verleend ten behoeve van een onderneming (al dan niet in het kader van een </w:t>
      </w:r>
      <w:r>
        <w:lastRenderedPageBreak/>
        <w:t xml:space="preserve">regeling) ten aanzien waarvan een bevel tot terugvordering uitstaat ingevolge een eerder besluit van de Commissie waarin de steun onrechtmatig en met de interne markt onverenigbaar is verklaard.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Indien dit het geval is, geef dan informatie over het bedrag aan steun dat nog moet worden teruggevorderd, zodat de Commissie hiermee rekening kan houden bij de beoordeling van de steunmaatregel(en).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Bevestig dat de maatregel(en) geen steun inhoudt (inhouden) voor activiteiten die buiten het toepassingsgebied van de richtsnoeren vallen (zie punt 13 van de richtsnoeren). Als dat niet het geval is, verstrek dan nadere informatie.</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Volgens de punten 373 en 374 van de richtsnoeren “</w:t>
      </w:r>
      <w:r>
        <w:rPr>
          <w:i/>
        </w:rPr>
        <w:t>valt steun voor energie-infrastructuur in het kader van een wettelijk monopolie niet onder de staatssteunvoorschriften</w:t>
      </w:r>
      <w:r>
        <w:t>”.</w:t>
      </w:r>
      <w:r>
        <w:rPr>
          <w:i/>
        </w:rPr>
        <w:t xml:space="preserve"> </w:t>
      </w:r>
      <w:r>
        <w:t xml:space="preserve">Dit zou het geval kunnen zijn wanneer de bouw en exploitatie van bepaalde infrastructuurvoorzieningen bij wet uitsluitend is voorbehouden voor de transmissiesysteembeheerder (TSB) of distributiesysteembeheerder (DSB). Op dezelfde manier bepaalt punt 375 van de richtsnoeren dat er met investeringen geen staatssteun is gemoeid indien de energie-infrastructuur wordt geëxploiteerd in het kader van een “natuurlijk monopolie”. </w:t>
      </w:r>
    </w:p>
    <w:p w14:paraId="5E43B93C" w14:textId="77777777" w:rsidR="00DC1614" w:rsidRPr="00BA15DC" w:rsidRDefault="00DC1614" w:rsidP="003B0EFB">
      <w:pPr>
        <w:pStyle w:val="ListParagraph"/>
        <w:spacing w:before="120" w:after="120"/>
        <w:ind w:left="1080"/>
        <w:contextualSpacing w:val="0"/>
        <w:jc w:val="both"/>
      </w:pPr>
      <w:r>
        <w:t xml:space="preserve">Wordt het project aangemeld in het kader van een wettelijk monopolie of valt het onder een “natuurlijk monopolie”?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Indien het antwoord op de vorige vraag ja luidt, leg dan uit waarom het aangemelde project binnen het kader van een wettelijk en/of natuurlijk monopolie valt, onder verwijzing naar elk cumulatief criterium dat is vastgesteld in punt 374 van de richtsnoeren voor wettelijke monopolies en/of in punt 375 van de richtsnoeren voor natuurlijke monopolies.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Budget en financiering van de maatregel(en)</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Indien dit niet reeds vermeld is in de tabel onder afdeling 7.1 van het formulier algemene informatie (deel I), vul dan het jaarlijkse en/of totale budget in voor de gehele looptijd van de maatregel(en); indien het totale budget niet bekend is (bijvoorbeeld omdat het afhankelijk is van de resultaten van de inschrijvingen), geef dan een geraamd budget op, met inbegrip van de aannames die zijn gebruikt om het respectieve geraamde budget te berekenen.</w:t>
      </w:r>
      <w:r w:rsidRPr="00BA15DC">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Indien de maatregelen door middel van een heffing worden gefinancierd, vermeld dan duidelijk of:</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de heffing bij wet of een andere wetgevingshandeling is vastgesteld; Zo ja, vermeld de rechtshandeling, het nummer en de datum waarop deze is vastgesteld en in werking is getreden, en de internetlink naar de rechtshandeling;</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t>de heffing zowel op binnenlandse als op ingevoerde producten wordt geheven;</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de aangemelde maatregelen in gelijke mate ten goede zullen komen aan binnenlandse en ingevoerde producten;</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de maatregel met de heffing volledig of slechts gedeeltelijk wordt gefinancierd. Indien de maatregel met de heffing slechts gedeeltelijk wordt gefinancierd, vermeld dan de andere financieringsbronnen van de maatregel en hun respectieve aandeel;</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met de heffing waarmee de aangemelde maatregel wordt gefinancierd, ook andere steunmaatregelen worden gefinancierd. Indien dit het geval is, vermeld dan de andere steunmaatregelen die met de betrokken heffing worden gefinancierd.</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Afdeling B: Verenigbaarheidsbeoordeling van de steun</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Positieve voorwaarde: de steun moet de ontwikkeling van een economische bedrijvigheid vergemakkelijken</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Bijdrage aan de ontwikkeling van een vorm van economische bedrijvigheid</w:t>
            </w:r>
          </w:p>
        </w:tc>
      </w:tr>
    </w:tbl>
    <w:p w14:paraId="1E2599D2" w14:textId="075AAE16" w:rsidR="000442F5" w:rsidRPr="00BA15DC" w:rsidRDefault="000442F5" w:rsidP="003B0EFB">
      <w:pPr>
        <w:spacing w:before="120" w:after="120"/>
        <w:jc w:val="both"/>
        <w:rPr>
          <w:i/>
        </w:rPr>
      </w:pPr>
      <w:r>
        <w:rPr>
          <w:i/>
        </w:rPr>
        <w:t xml:space="preserve">Voor de informatie die in dit deel moet worden verstrekt, zie afdeling 3.1.1 (punten 23, 24 en 25) en afdelingen 4.9.1 en 4.9.2 van de richtsnoeren.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Artikel 107, lid 3, punt c), van het </w:t>
      </w:r>
      <w:bookmarkStart w:id="8" w:name="_Hlk170735690"/>
      <w:r>
        <w:t xml:space="preserve">Verdrag betreffende de werking van de Europese Unie (VWEU) </w:t>
      </w:r>
      <w:bookmarkEnd w:id="8"/>
      <w:r>
        <w:t xml:space="preserve">bepaalt dat de Commissie steunmaatregelen om de ontwikkeling van bepaalde vormen van economische bedrijvigheid of van bepaalde regionale economieën te vergemakkelijken verenigbaar kan verklaren, mits de voorwaarden waaronder het handelsverkeer plaatsvindt daardoor niet zodanig worden veranderd dat het gemeenschappelijk belang wordt geschaad. Bijgevolg moet steun die op grond van die bepaling van het VWEU verenigbaar is, bijdragen tot de ontwikkeling van bepaalde vormen van economische bedrijvigheid. </w:t>
      </w:r>
    </w:p>
    <w:p w14:paraId="4688DCCE" w14:textId="77777777" w:rsidR="00F7269C" w:rsidRPr="00BA15DC" w:rsidRDefault="00F7269C" w:rsidP="000442F5">
      <w:pPr>
        <w:tabs>
          <w:tab w:val="left" w:leader="dot" w:pos="9072"/>
        </w:tabs>
        <w:spacing w:before="120" w:after="120"/>
        <w:ind w:left="567"/>
        <w:jc w:val="both"/>
      </w:pPr>
      <w:r>
        <w:t>Geef aan, met het oog op de beoordeling van de naleving van punt 23 van de richtsnoeren, welke economische activiteiten met behulp van de steun zullen worden vergemakkelijkt en hoe de ontwikkeling van die activiteiten wordt ondersteund.</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Beschrijf, met het oog op de beoordeling van de naleving van punt 25 van de richtsnoeren, of en hoe de steun zal bijdragen aan de verwezenlijking van doelstellingen van het klimaat-, milieu- en energiebeleid van de Unie, en meer specifiek de van de steun verwachte baten in termen van de wezenlijke bijdrage ervan aan de bescherming van het milieu, met inbegrip van klimaatmitigatie, of het efficiënte functioneren van de interne energiemarkt.</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Geef ook aan in hoeverre de steun verband houdt met de in de punten 371 en 372 van de richtsnoeren beschreven beleidsmaatregelen.</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Geef informatie over de reikwijdte en ondersteunde activiteiten van de steunmaatregel(en), zoals vermeld in punt 376 van de richtsnoeren. Gelieve dan ook:</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ervoor te zorgen dat het project betrekking heeft op een energie-infrastructuur zoals gedefinieerd in punt 19, 36), van de richtsnoeren. </w:t>
      </w:r>
    </w:p>
    <w:p w14:paraId="200CB163" w14:textId="4FFB2EB0" w:rsidR="00D83DB7" w:rsidRPr="00BA15DC" w:rsidRDefault="00D83DB7" w:rsidP="00D83DB7">
      <w:pPr>
        <w:pStyle w:val="ListParagraph"/>
        <w:numPr>
          <w:ilvl w:val="0"/>
          <w:numId w:val="56"/>
        </w:numPr>
        <w:spacing w:before="120" w:after="120"/>
        <w:contextualSpacing w:val="0"/>
        <w:jc w:val="both"/>
      </w:pPr>
      <w:r>
        <w:t>ervoor te zorgen dat het project geen betrekking heeft op specifieke infrastructuur en/of andere energie-infrastructuur in combinatie met productie- en/of verbruiksactiviteiten.</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aan te geven welk soort kosten door de maatregel zal worden ondersteund: investerings- of exploitatiekosten.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Ingeval de maatregel exploitatiekosten zal dekken, toon aan dat deze kosten niet kunnen worden verhaald op de gebruikers van het netwerk en geen verband </w:t>
      </w:r>
      <w:r>
        <w:lastRenderedPageBreak/>
        <w:t xml:space="preserve">houden met verzonken kosten, en dat de exploitatiesteun leidt tot een gedragswijziging die het mogelijk maakt de doelstellingen inzake voorzieningszekerheid of milieubescherming te verwezenlijken.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Stimulerend effect</w:t>
            </w:r>
          </w:p>
        </w:tc>
      </w:tr>
    </w:tbl>
    <w:p w14:paraId="20915284" w14:textId="0EA618F2" w:rsidR="00015E2B" w:rsidRPr="00BA15DC" w:rsidRDefault="00B15313" w:rsidP="003B0EFB">
      <w:pPr>
        <w:spacing w:before="120" w:after="120"/>
        <w:jc w:val="both"/>
        <w:rPr>
          <w:i/>
        </w:rPr>
      </w:pPr>
      <w:r>
        <w:rPr>
          <w:i/>
        </w:rPr>
        <w:t xml:space="preserve">Voor de informatie die in dit deel moet worden verstrekt, zie afdeling 3.1.2 (punten 26 tot en met 32) van de richtsnoeren.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Alleen indien steun een stimulerend effect heeft, kan deze worden beschouwd als een maatregel die een economische activiteit vergemakkelijkt. Voor de beoordeling van de naleving van punt 26 van de richtsnoeren, geef aan hoe de maatregelen “</w:t>
      </w:r>
      <w:r>
        <w:rPr>
          <w:i/>
        </w:rPr>
        <w:t>de begunstigde ervan ertoe aanzet zijn gedrag te veranderen, extra economische activiteiten te ondernemen of milieuvriendelijkere economische activiteiten te ondernemen, die hij zonder de steun niet zou uitvoeren, dan wel beperkt of anders zou uitvoeren</w:t>
      </w:r>
      <w:r>
        <w:t>”.</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Geef, om te beoordelen of aan punt 27 van de richtsnoeren is voldaan, informatie om te bevestigen dat de </w:t>
      </w:r>
      <w:r>
        <w:rPr>
          <w:color w:val="000000"/>
          <w:shd w:val="clear" w:color="auto" w:fill="FFFFFF"/>
        </w:rPr>
        <w:t>steun niet de kosten dekt van een activiteit die de begunstigde van de steun hoe dan ook zou uitvoeren en niet het normale zakelijke risico van een economische activiteit compenseert.</w:t>
      </w:r>
      <w:r w:rsidR="00AC5B96" w:rsidRPr="00BA15DC">
        <w:rPr>
          <w:rStyle w:val="FootnoteReference"/>
          <w:color w:val="000000"/>
          <w:shd w:val="clear" w:color="auto" w:fill="FFFFFF"/>
        </w:rPr>
        <w:footnoteReference w:id="5"/>
      </w:r>
      <w:r>
        <w:rPr>
          <w:i/>
        </w:rPr>
        <w:t xml:space="preserve"> .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Om de aanwezigheid van een stimulerend effect aan te tonen, vereist punt 28 van de richtsnoeren dat het feitelijke scenario en het waarschijnlijke nulscenario zonder steun worden bepaald. Voor infrastructuursteun wordt, zoals aangegeven in punt 52, het nulscenario geacht de situatie te zijn waarin het project niet zou plaatsvinden. </w:t>
      </w:r>
    </w:p>
    <w:p w14:paraId="4AA49B40" w14:textId="0DEE1851" w:rsidR="00D70FE9" w:rsidRPr="00BA15DC" w:rsidRDefault="00A255BF" w:rsidP="00526607">
      <w:pPr>
        <w:pStyle w:val="ListParagraph"/>
        <w:numPr>
          <w:ilvl w:val="0"/>
          <w:numId w:val="37"/>
        </w:numPr>
        <w:spacing w:before="120" w:after="120"/>
        <w:contextualSpacing w:val="0"/>
        <w:jc w:val="both"/>
      </w:pPr>
      <w:r>
        <w:t>Geef een uitgebreide beschrijving van het feitelijke scenario. In geval van regelingen die verschillende referentieprojecten bestrijken</w:t>
      </w:r>
      <w:r w:rsidR="0030040A" w:rsidRPr="00BA15DC">
        <w:rPr>
          <w:rStyle w:val="FootnoteReference"/>
          <w:lang w:val="en-IE" w:eastAsia="en-GB"/>
        </w:rPr>
        <w:footnoteReference w:id="6"/>
      </w:r>
      <w:r>
        <w:t>, geef een beschrijving van het feitelijke scenario voor elk referentieproject.</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Voor zover de maatregel geen steunregeling is, voeg bij dit aanmeldingsformulier alle officiële documenten van de raad van bestuur, risicobeoordelingen, financieel verslag, interne bedrijfsplannen, deskundigenadviezen en andere studies met betrekking tot het te beoordelen project, documenten met informatie over vraagprognoses, kostenprognoses, financiële prognoses, documenten die aan een investeringscomité worden overgelegd en waarin investerings-/exploitatiescenario’s zijn uitgewerkt, of documenten die aan de financiële instellingen worden verstrekt overeenkomstig punt 28, voetnoot 39, van de richtsnoeren.</w:t>
      </w:r>
    </w:p>
    <w:p w14:paraId="489E64F5" w14:textId="104163BA" w:rsidR="00C713DD" w:rsidRPr="00BA15DC" w:rsidRDefault="005F6E6B" w:rsidP="005F6E6B">
      <w:pPr>
        <w:pStyle w:val="ListParagraph"/>
        <w:spacing w:before="120" w:after="120"/>
        <w:ind w:left="1287"/>
        <w:contextualSpacing w:val="0"/>
        <w:jc w:val="both"/>
      </w:pPr>
      <w:r>
        <w:lastRenderedPageBreak/>
        <w:t>Het moet hierbij gaan om documenten uit dezelfde periode als de periode waarin het investerings-/exploitatiebesluit werd genomen.</w:t>
      </w:r>
    </w:p>
    <w:p w14:paraId="0F3CF49B" w14:textId="1DE4A9D5" w:rsidR="00DE063E" w:rsidRPr="00BA15DC" w:rsidRDefault="00E32AD5" w:rsidP="005F6E6B">
      <w:pPr>
        <w:pStyle w:val="ListParagraph"/>
        <w:spacing w:before="120" w:after="120"/>
        <w:ind w:left="1287"/>
        <w:contextualSpacing w:val="0"/>
        <w:jc w:val="both"/>
      </w:pPr>
      <w:r>
        <w:t>Indien dergelijke documenten bij de aanmelding zijn gevoegd, verstrek dan hieronder een lijst van die documenten en vermeld daarbij de auteur, de datum waarop zij zijn opgesteld en de context waarin zij zijn gebruikt.</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Om aan te tonen dat aan de punten 29 en 31 van de richtsnoeren is voldaan:</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bevestig dat niet met de werkzaamheden aan het project of de activiteit is aangevangen voordat de begunstigde bij de nationale autoriteiten een schriftelijke steunaanvraag heeft ingediend;</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OF</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Voor projecten die vóór de steunaanvraag zijn aangevangen, toon aan dat het project valt onder een van de uitzonderlijke omstandigheden als bedoeld in punt 31, a), b) of c), van de richtsnoeren.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Om aan te tonen dat aan punt 30 van de richtsnoeren is voldaan, bevestig dat de projectaanvraag ten minste de naam van de aanvrager, een beschrijving van het project of de activiteit, waaronder de locatie, en het voor de uitvoering daarvan benodigde bedrag bevat.</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Om aan te tonen dat aan punt 32 van de richtsnoeren is voldaan, geef aan of er Unienormen</w:t>
      </w:r>
      <w:r w:rsidRPr="00BA15DC">
        <w:rPr>
          <w:rStyle w:val="FootnoteReference"/>
          <w:lang w:val="en-IE" w:eastAsia="en-GB"/>
        </w:rPr>
        <w:footnoteReference w:id="7"/>
      </w:r>
      <w:r>
        <w:t xml:space="preserve"> van toepassing zijn op de aangemelde maatregelen, verplichte nationale normen die strenger of ambitieuzer zijn dan de overeenkomstige Unienormen, of verplichte nationale normen die bij ontstentenis van Unienormen zijn vastgesteld; Verstrek in dat verband informatie om het stimulerende effect aan te tonen.</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lastRenderedPageBreak/>
        <w:t xml:space="preserve">In gevallen waarin er reeds Unienormen zijn aangenomen maar nog niet in werking zijn, toon aan dat de steun een stimulerend effect heeft omdat hij een stimulans bevat om de investering ten minste 18 maanden voor de inwerkingtreding van de norm ten uitvoer te leggen en te voltooien.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Geen schending van relevante bepalingen van het Unierecht</w:t>
            </w:r>
          </w:p>
        </w:tc>
      </w:tr>
    </w:tbl>
    <w:p w14:paraId="0AB413A5" w14:textId="77777777" w:rsidR="00B00F48" w:rsidRPr="00BA15DC" w:rsidRDefault="00B00F48" w:rsidP="003B0EFB">
      <w:pPr>
        <w:spacing w:before="120" w:after="120"/>
        <w:jc w:val="both"/>
        <w:rPr>
          <w:i/>
        </w:rPr>
      </w:pPr>
      <w:r>
        <w:rPr>
          <w:i/>
        </w:rPr>
        <w:t xml:space="preserve">Voor de informatie die in dit deel moet worden verstrekt, zie afdeling 3.1.3 (punt 33 van de richtsnoeren).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Verstrek informatie om de naleving van de relevante bepalingen van het EU-recht, overeenkomstig punt 33 van de richtsnoeren, te bevestigen.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Indien een heffing wordt gebruikt om de maatregel(en) te financieren, verduidelijk dan of de naleving van de artikelen 30 en 110 VWEU moet worden beoordeeld. Indien dit het geval is, toon dan aan hoe de maatregel in overeenstemming is met de artikelen 30 en 110 VWEU.</w:t>
      </w:r>
      <w:r>
        <w:rPr>
          <w:i/>
        </w:rPr>
        <w:t xml:space="preserve"> </w:t>
      </w:r>
      <w:r>
        <w:t>In dit verband kan worden verwezen naar de informatie in het kader van vraag </w:t>
      </w:r>
      <w:r w:rsidR="003F72C9">
        <w:fldChar w:fldCharType="begin"/>
      </w:r>
      <w:r w:rsidR="003F72C9">
        <w:instrText xml:space="preserve"> REF _Ref171091150 \r \h </w:instrText>
      </w:r>
      <w:r w:rsidR="003F72C9">
        <w:fldChar w:fldCharType="separate"/>
      </w:r>
      <w:r w:rsidR="003F72C9">
        <w:t>4</w:t>
      </w:r>
      <w:r w:rsidR="003F72C9">
        <w:fldChar w:fldCharType="end"/>
      </w:r>
      <w:r w:rsidR="003F72C9">
        <w:fldChar w:fldCharType="begin"/>
      </w:r>
      <w:r w:rsidR="003F72C9">
        <w:instrText xml:space="preserve"> REF _Ref116914400 \r \h </w:instrText>
      </w:r>
      <w:r w:rsidR="003F72C9">
        <w:fldChar w:fldCharType="separate"/>
      </w:r>
      <w:r w:rsidR="003F72C9">
        <w:t>ii</w:t>
      </w:r>
      <w:r w:rsidR="003F72C9">
        <w:fldChar w:fldCharType="end"/>
      </w:r>
      <w:r>
        <w:t>, wanneer de aangemelde maatregelen worden gefinancierd door middel van een heffing.</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Negatieve voorwaarde: de steun mag de voorwaarden waaronder het handelsverkeer plaatsvindt, niet zodanig veranderen dat het gemeenschappelijk belang wordt geschaad</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Verstoringen van de mededinging en het handelsverkeer tot een minimum beperken</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De noodzaak en de geschiktheid van staatssteun</w:t>
            </w:r>
          </w:p>
        </w:tc>
      </w:tr>
    </w:tbl>
    <w:p w14:paraId="3C23674F" w14:textId="4D2BAF74" w:rsidR="00663008" w:rsidRPr="00BA15DC" w:rsidRDefault="00663008" w:rsidP="003B0EFB">
      <w:pPr>
        <w:spacing w:before="120" w:after="120"/>
        <w:jc w:val="both"/>
        <w:rPr>
          <w:i/>
          <w:color w:val="000000"/>
        </w:rPr>
      </w:pPr>
      <w:r>
        <w:rPr>
          <w:i/>
        </w:rPr>
        <w:t>Voor de informatie die in dit deel moet worden verstrekt, zie afdeling 4.9.3.1 (punten 379 en 380) van de richtsnoeren.</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Punt 379 van de richtsnoeren bepaalt dat, wat de energie-infrastructuur betreft, marktfalen gewoonlijk wordt aangepakt/gefinancierd door middel van verplichte gebruikerstarieven die aan regelgeving zijn onderworpen. Zoals in punt 380 van de richtsnoeren is vermeld, kan dit echter niet altijd het geval zijn. Leg uit in hoeverre de maatregel marktfalen aanpakt dat niet met verplichte gebruikerstarieven kan worden weggewerkt.</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Geef aan, tot staving van de noodzaak en de geschiktheid van de staatssteun, onder welke van de verschillende situaties het aangemelde project moet worden beoordeeld:</w:t>
      </w:r>
    </w:p>
    <w:p w14:paraId="14A4B66A" w14:textId="3266CF1A" w:rsidR="00C317A9" w:rsidRPr="00BA15DC" w:rsidRDefault="003618C5" w:rsidP="00C317A9">
      <w:pPr>
        <w:pStyle w:val="ListParagraph"/>
        <w:numPr>
          <w:ilvl w:val="0"/>
          <w:numId w:val="49"/>
        </w:numPr>
        <w:spacing w:before="120" w:after="120"/>
        <w:contextualSpacing w:val="0"/>
        <w:jc w:val="both"/>
      </w:pPr>
      <w:r>
        <w:t>het aangemelde project is een project van gemeenschappelijk belang in de zin van artikel 2, punt 4, van Verordening (EU) nr. 347/2013, dat volledig onder de wetgeving inzake de interne energiemarkt valt. In dat geval is er volgens de Commissie sprake van een vermoeden van marktfalen. De lidstaat hoeft de noodzaak en de geschiktheid van de staatssteun niet nader te rechtvaardigen, of</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het aangemelde project is geen project van gemeenschappelijk belang zoals hierboven gedefinieerd of een project van gemeenschappelijk belang, maar is geheel of gedeeltelijk vrijgesteld van de wetgeving inzake de interne energiemarkt, of</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het project is geen project van gemeenschappelijk belang en is gesloten tussen de Unie en een derde land.</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Indien het aangemelde project onder de in </w:t>
      </w:r>
      <w:r>
        <w:rPr>
          <w:b/>
          <w:bCs/>
        </w:rPr>
        <w:t>punt 19.b</w:t>
      </w:r>
      <w:r>
        <w:t xml:space="preserve"> genoemde situatie valt, leg dan uit, ter rechtvaardiging van de noodzaak en de geschiktheid van de maatregel, in hoeverre:</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marktfalen leidt tot een suboptimaal aanbod van de vereiste infrastructuur;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de infrastructuur openstaat voor toegang van derden en aan tariefregulering s onderworpen;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het project bijdraagt bij tot de voorzieningszekerheid in de Unie of tot de doelstellingen inzake klimaatneutraliteit in de Unie.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lastRenderedPageBreak/>
        <w:t xml:space="preserve">Indien het project zich in de in </w:t>
      </w:r>
      <w:r>
        <w:rPr>
          <w:b/>
          <w:bCs/>
        </w:rPr>
        <w:t>punt 19.c</w:t>
      </w:r>
      <w:r>
        <w:t xml:space="preserve"> genoemde situatie bevindt, leg dan uit of i) voor het deel van de infrastructuur dat zich op het grondgebied van de Unie bevindt, het project is gebouwd en geëxploiteerd in overeenstemming met de Uniewetgeving, met name de Richtlijnen 2009/73/EG en (EU) 2019/944, en ii) voor het deel dat zich in een derde land of betrokken landen bevindt, het project in hoge mate aangepast is aan de regelgeving en de algemene doelstellingen van de Unie ondersteunt, met name om te zorgen voor: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een goed werkende interne energiemarkt;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energievoorzieningszekerheid op basis van samenwerking en solidariteit; </w:t>
      </w:r>
    </w:p>
    <w:p w14:paraId="6F1E0EF7" w14:textId="78DFE7A8" w:rsidR="0097238E" w:rsidRPr="00BA15DC" w:rsidRDefault="003618C5" w:rsidP="0097238E">
      <w:pPr>
        <w:pStyle w:val="ListParagraph"/>
        <w:numPr>
          <w:ilvl w:val="0"/>
          <w:numId w:val="53"/>
        </w:numPr>
        <w:spacing w:before="120" w:after="120"/>
        <w:contextualSpacing w:val="0"/>
        <w:jc w:val="both"/>
      </w:pPr>
      <w:r>
        <w:t>een energiesysteem dat zich ontwikkelt in de richting van decarbonisatie in overeenstemming met de Overeenkomst van Parijs en de klimaatdoelstellingen van de Unie, en met name</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het vermijden van koolstoflekkage.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De evenredigheid van de steun</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Voor de informatie die in dit deel moet worden verstrekt, zie de punten 51 en 52 van de richtsnoeren.</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Overeenkomstig punt 51 van de richtsnoeren kunnen de typische nettomeerkosten worden geraamd als het verschil tussen de netto contante waarde (NPV) voor het feitelijke scenario en voor het nulscenario over de levensduur van het project of per referentieproject indien van toepassing. Wanneer volgens het nulscenario het project niet zal worden uitgevoerd (zie punt 52 van de richtsnoeren), is de negatieve netto contante waarde van het feitelijke scenario gelijk aan de netto extra kosten. </w:t>
      </w:r>
    </w:p>
    <w:p w14:paraId="2FF71764" w14:textId="253C5AA4" w:rsidR="001620DB" w:rsidRPr="00BA15DC" w:rsidRDefault="00095D42" w:rsidP="00095D42">
      <w:pPr>
        <w:pStyle w:val="ListParagraph"/>
        <w:spacing w:before="120" w:after="120"/>
        <w:ind w:left="567"/>
        <w:contextualSpacing w:val="0"/>
        <w:jc w:val="both"/>
      </w:pPr>
      <w:r>
        <w:t>Vermeld dit in een bijlage bij deze aanmelding (in een Excel-bestand waarin alle formules zichtbaar zijn).</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Voor het bepalen van de financieringskloof</w:t>
      </w:r>
      <w:r w:rsidR="00A84D63" w:rsidRPr="00BA15DC">
        <w:rPr>
          <w:rStyle w:val="FootnoteReference"/>
          <w:shd w:val="clear" w:color="auto" w:fill="FFFFFF"/>
        </w:rPr>
        <w:footnoteReference w:id="8"/>
      </w:r>
      <w:r>
        <w:rPr>
          <w:shd w:val="clear" w:color="auto" w:fill="FFFFFF"/>
        </w:rPr>
        <w:t>, dien, voor het feitelijke scenario, een kwantificering in van:</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alle belangrijke kosten en inkomsten van het project;</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de geschatte gewogen gemiddelde vermogenskosten (weighted average cost of capital, afgekort “WACC”) van de begunstigden om toekomstige kasstromen te verdisconteren;</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de netto contante waarde (net present value afgekort “NPV”) voor het feitelijke scenario, gedurende de looptijd van het project.</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Vermeld in een bijlage bij dit aanmeldingsformulier gedetailleerde informatie over de aannames, methodieken, redenen en onderliggende bronnen daarvan die worden gebruikt voor elk aspect van de kwantificering van kosten en inkomsten in </w:t>
      </w:r>
      <w:r>
        <w:rPr>
          <w:shd w:val="clear" w:color="auto" w:fill="FFFFFF"/>
        </w:rPr>
        <w:lastRenderedPageBreak/>
        <w:t xml:space="preserve">het feitelijke scenario (vermeld bijvoorbeeld de aannames die zijn gebruikt om het feitelijke scenario te ontwikkelen).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Voor gevallen van individuele steun en regelingen die een bijzonder beperkt aantal begunstigden ten goede komen, moet de lidstaat overeenkomstig punt 53 van de richtsnoeren het bewijsmateriaal op het niveau van het gedetailleerde bedrijfsplan van het project presenteren.</w:t>
      </w:r>
    </w:p>
    <w:p w14:paraId="584CA833" w14:textId="436A6E2D" w:rsidR="00124B6F" w:rsidRPr="00C34CB6" w:rsidRDefault="00C53C43" w:rsidP="00232CF6">
      <w:pPr>
        <w:pStyle w:val="ListParagraph"/>
        <w:spacing w:before="120" w:after="120"/>
        <w:ind w:left="567"/>
        <w:contextualSpacing w:val="0"/>
        <w:jc w:val="both"/>
      </w:pPr>
      <w:r>
        <w:t>In het geval van steunregelingen moet de lidstaat het bewijsmateriaal op basis van een of meer referentieprojecten presenteren.</w:t>
      </w:r>
    </w:p>
    <w:p w14:paraId="0D69FEAB" w14:textId="7608BAF7" w:rsidR="004776A4" w:rsidRPr="00BA15DC" w:rsidRDefault="00CC3384" w:rsidP="00C003E3">
      <w:pPr>
        <w:pStyle w:val="ListParagraph"/>
        <w:numPr>
          <w:ilvl w:val="0"/>
          <w:numId w:val="4"/>
        </w:numPr>
        <w:spacing w:before="120" w:after="120"/>
        <w:ind w:left="567" w:hanging="567"/>
        <w:contextualSpacing w:val="0"/>
        <w:jc w:val="both"/>
      </w:pPr>
      <w:r>
        <w:t>Om de Commissie in staat te stellen na te gaan dat het steunbedrag niet hoger is dan het minimum dat nodig is om het gesteunde project voldoende winstgevend te maken</w:t>
      </w:r>
      <w:r w:rsidR="003007E9" w:rsidRPr="00BA15DC">
        <w:rPr>
          <w:rStyle w:val="FootnoteReference"/>
          <w:lang w:eastAsia="en-GB"/>
        </w:rPr>
        <w:footnoteReference w:id="9"/>
      </w:r>
      <w:r>
        <w:t>, verstrek de volgende informatie:</w:t>
      </w:r>
    </w:p>
    <w:p w14:paraId="020A0406" w14:textId="40D27EEF" w:rsidR="00EC2A7D" w:rsidRPr="00BA15DC" w:rsidRDefault="00EC2A7D" w:rsidP="00C003E3">
      <w:pPr>
        <w:pStyle w:val="ListParagraph"/>
        <w:numPr>
          <w:ilvl w:val="1"/>
          <w:numId w:val="4"/>
        </w:numPr>
        <w:spacing w:before="120" w:after="120"/>
        <w:contextualSpacing w:val="0"/>
        <w:jc w:val="both"/>
      </w:pPr>
      <w:r>
        <w:t>de interne opbrengstvoet (IRR) die overeenkomt met de sector- of ondernemingsspecifieke benchmark of hurdle rate; of</w:t>
      </w:r>
    </w:p>
    <w:p w14:paraId="056D5BF9" w14:textId="64F3B5CD" w:rsidR="00AB47A1" w:rsidRPr="00BA15DC" w:rsidRDefault="007315B8" w:rsidP="00C003E3">
      <w:pPr>
        <w:pStyle w:val="ListParagraph"/>
        <w:numPr>
          <w:ilvl w:val="1"/>
          <w:numId w:val="4"/>
        </w:numPr>
        <w:spacing w:before="120" w:after="120"/>
        <w:contextualSpacing w:val="0"/>
        <w:jc w:val="both"/>
      </w:pPr>
      <w:r>
        <w:t>de normale rendementspercentages die door de begunstigde worden verlangd voor andere soortgelijke investeringsprojecten, de kapitaalkosten in hun geheel; of</w:t>
      </w:r>
    </w:p>
    <w:p w14:paraId="13B46137" w14:textId="062C7DC0" w:rsidR="0029714D" w:rsidRPr="00BA15DC" w:rsidRDefault="007315B8" w:rsidP="00C003E3">
      <w:pPr>
        <w:pStyle w:val="ListParagraph"/>
        <w:numPr>
          <w:ilvl w:val="1"/>
          <w:numId w:val="4"/>
        </w:numPr>
        <w:spacing w:before="120" w:after="120"/>
        <w:contextualSpacing w:val="0"/>
        <w:jc w:val="both"/>
      </w:pPr>
      <w:r>
        <w:t>de rendementen die gewoonlijk in de betrokken sector worden waargenomen; of</w:t>
      </w:r>
    </w:p>
    <w:p w14:paraId="0691A0E0" w14:textId="27443E78" w:rsidR="00445F48" w:rsidRPr="00BA15DC" w:rsidRDefault="001622D8" w:rsidP="00C003E3">
      <w:pPr>
        <w:pStyle w:val="ListParagraph"/>
        <w:numPr>
          <w:ilvl w:val="1"/>
          <w:numId w:val="4"/>
        </w:numPr>
        <w:spacing w:before="120" w:after="120"/>
        <w:contextualSpacing w:val="0"/>
        <w:jc w:val="both"/>
      </w:pPr>
      <w:r>
        <w:t>alle andere informatie waaruit blijkt dat het steunbedrag niet hoger is dan het minimum dat nodig is om het gesteunde project voldoende winstgevend te maken.</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Overeenkomstig punt 381 van de richtsnoeren kan, indien de steun dicht bij het toegestane maximum ligt en er een risico op uitzonderlijke winsten bestaat, een monitoring- en terugvorderingsmechanisme noodzakelijk zijn, waarbij er voor de begunstigden prikkels blijven bestaan om hun kosten zo beperkt mogelijk te houden en de uitbouw van hun activiteiten op termijn efficiënter te laten verlopen. Licht toe of er een monitoring- en terugvorderingsmechanisme bestaat. Zo nee, waarom niet?</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Cumulatie</w:t>
            </w:r>
          </w:p>
        </w:tc>
      </w:tr>
    </w:tbl>
    <w:p w14:paraId="2346A85D" w14:textId="72F525D8" w:rsidR="00B21377" w:rsidRPr="00BA15DC" w:rsidRDefault="00B21377" w:rsidP="00B21377">
      <w:pPr>
        <w:pStyle w:val="ListParagraph"/>
        <w:spacing w:before="120" w:after="120"/>
        <w:ind w:left="567"/>
        <w:contextualSpacing w:val="0"/>
        <w:jc w:val="both"/>
      </w:pPr>
      <w:r>
        <w:rPr>
          <w:i/>
        </w:rPr>
        <w:t>Voor de informatie die in dit deel moet worden verstrekt, zie de punten 56 en 57 van de richtsnoeren.</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Verduidelijk, voor zover dit niet reeds is gedaan in deel 7.4 van het algemene aanmeldingsformulier (deel I) en om na te gaan of aan punt 56 van de richtsnoeren is voldaan, of de steun in het kader van de aangemelde maatregel(en) gelijktijdig op grond van meerdere steunregelingen kan worden toegekend of kan worden gecumuleerd met ad-hocsteun of de-minimissteun met betrekking tot dezelfde in aanmerking komende kosten. Indien dit het geval is, verstrek dan nadere bijzonderheden over die </w:t>
      </w:r>
      <w:r>
        <w:lastRenderedPageBreak/>
        <w:t>steunregelingen, ad-hocsteun of de-minimissteun en hoe de steun zal worden gecumuleerd. U kunt desgewenst verwijzen naar de hierboven vermelde kwantificering.</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Indien steun gelijktijdig op grond van meerdere steunregelingen worden toegekend of kan worden gecumuleerd met ad-hocsteun of de-minimissteun met betrekking tot dezelfde in aanmerking komende kosten, leg dan uit hoe het totale bedrag aan steun voor een project of activiteit niet leidt tot overcompensatie of het op grond van de punten 51 en 381 van de </w:t>
      </w:r>
      <w:r>
        <w:br/>
        <w:t xml:space="preserve">richtsnoeren toegestane maximale steunbedrag niet overschrijdt. Geef aan, voor elke maatregel waarmee de in het kader van de aangemelde steunmaatregel(en) verleende steun kan worden gecumuleerd, welke methode wordt gebruikt om de voorwaarden van punt 56 van de richtsnoeren na te leven.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Indien de in het kader van de aangemelde maatregelen verleende steun met centraal beheerde Uniefinanciering wordt gecombineerd, leg overeenkomstig punt 57 van de richtsnoeren</w:t>
      </w:r>
      <w:r w:rsidR="009B2F61" w:rsidRPr="00BA15DC">
        <w:rPr>
          <w:rStyle w:val="FootnoteReference"/>
          <w:lang w:eastAsia="en-GB"/>
        </w:rPr>
        <w:footnoteReference w:id="10"/>
      </w:r>
      <w:r>
        <w:t xml:space="preserve"> uit hoe het totale bedrag aan overheidsfinanciering dat voor dezelfde in aanmerking komende kosten wordt toegekend, niet tot overcompensatie leidt.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Transparantie</w:t>
            </w:r>
          </w:p>
        </w:tc>
      </w:tr>
    </w:tbl>
    <w:p w14:paraId="07229A8F" w14:textId="24C7C0FA" w:rsidR="006773CE" w:rsidRPr="00BA15DC" w:rsidRDefault="006773CE" w:rsidP="003B0EFB">
      <w:pPr>
        <w:spacing w:before="120" w:after="120"/>
        <w:jc w:val="both"/>
        <w:rPr>
          <w:i/>
        </w:rPr>
      </w:pPr>
      <w:r>
        <w:rPr>
          <w:i/>
        </w:rPr>
        <w:t xml:space="preserve">Voor de in dit deel te verstrekken informatie, zie afdeling 3.2.1.4 (punten 58 tot en met 62) van de richtsnoeren.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Bevestig dat de lidstaat zal voldoen aan de voorwaarden inzake transparantie van de punten 58 tot en met 61 van de richtsnoeren.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Geef de internetlink waar de volledige tekst van de goedgekeurde steunregeling of de subsidiebeschikking voor individuele steun en de uitvoeringsbepalingen ervan, of informatie over iedere individuele steunverlening die ad-hoc of in het kader van een op grond van de richtsnoeren goedgekeurde steunregeling is toegekend en meer dan 100 000 EUR bedraagt, wordt bekendgemaakt.</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Vermijden van ongewenste negatieve effecten op de mededinging en het handelsverkeer</w:t>
            </w:r>
          </w:p>
        </w:tc>
      </w:tr>
    </w:tbl>
    <w:p w14:paraId="32B25629" w14:textId="6CBE1875" w:rsidR="00F83660" w:rsidRPr="00BA15DC" w:rsidRDefault="00F83660" w:rsidP="003B0EFB">
      <w:pPr>
        <w:spacing w:before="360" w:after="120"/>
        <w:jc w:val="both"/>
      </w:pPr>
      <w:r>
        <w:rPr>
          <w:i/>
          <w:iCs/>
        </w:rPr>
        <w:t>Voor de informatie die in dit deel moet worden verstrekt, zie afdeling 4.9.4 (punten 382 en volgende van de richtsnoeren).</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lastRenderedPageBreak/>
        <w:t xml:space="preserve">Indien het aangemelde project geheel of gedeeltelijk is vrijgesteld van de wetgeving inzake de interne energiemarkt, licht dan toe: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in welke mate de gesteunde infrastructuur openstaat voor toegang door derden;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In welke mate klanten eventueel toegang hebben tot eventuele alternatieve infrastructuur; </w:t>
      </w:r>
    </w:p>
    <w:p w14:paraId="14CAE043" w14:textId="0F765E36" w:rsidR="009013F3" w:rsidRPr="00BA15DC" w:rsidRDefault="009C221E" w:rsidP="00232CF6">
      <w:pPr>
        <w:pStyle w:val="ListParagraph"/>
        <w:numPr>
          <w:ilvl w:val="0"/>
          <w:numId w:val="53"/>
        </w:numPr>
        <w:spacing w:before="120" w:after="120"/>
        <w:contextualSpacing w:val="0"/>
        <w:jc w:val="both"/>
      </w:pPr>
      <w:r>
        <w:t>in welke mate het project kan leiden tot verdringing van particuliere investeringen;</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de concurrentiepositie van de begunstigde(n), zowel wat de exploitatie van de infrastructuur als de relevante productmarkten voor het met de infrastructuur vervoerde goed betreft.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Indien het aangemelde project een aardgasinfrastructuur is, geef dan informatie over de wijze waarop het aangemelde project aan de volgende voorwaarden zal voldoen:</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de infrastructuur is klaar voor het gebruik van waterstof en leidt tot een toename van het gebruik van hernieuwbare gassen; of, in het andere geval, waarom het niet mogelijk is het project zodanig te ontwerpen dat het klaar is voor waterstof en hoe het project geen lock-ineffect voor het gebruik van aardgas creëert; </w:t>
      </w:r>
    </w:p>
    <w:p w14:paraId="49495890" w14:textId="19234331" w:rsidR="009013F3" w:rsidRDefault="009013F3" w:rsidP="00232CF6">
      <w:pPr>
        <w:pStyle w:val="ListParagraph"/>
        <w:numPr>
          <w:ilvl w:val="0"/>
          <w:numId w:val="53"/>
        </w:numPr>
        <w:spacing w:before="120" w:after="120"/>
        <w:contextualSpacing w:val="0"/>
        <w:jc w:val="both"/>
      </w:pPr>
      <w:r>
        <w:t>de investering draagt bij aan de verwezenlijking van de klimaatdoelen van de Unie voor 2030 en het streefdoel om de Unie tegen 2050 klimaatneutraal te maken.</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Indien het aangemelde project een project van gemeenschappelijk belang of een project van wederzijds belang is dat niet onder de internemarktwetgeving valt, leg dan uit welk effect het project zal hebben op de markten voor aanverwante diensten en op andere dienstenmarkten.</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Evaluatie</w:t>
            </w:r>
          </w:p>
        </w:tc>
      </w:tr>
    </w:tbl>
    <w:p w14:paraId="78AC9B95" w14:textId="1FB76E7E" w:rsidR="00C33721" w:rsidRPr="00BA15DC" w:rsidRDefault="00C33721" w:rsidP="004F3B88">
      <w:pPr>
        <w:tabs>
          <w:tab w:val="left" w:leader="dot" w:pos="9072"/>
        </w:tabs>
        <w:spacing w:before="120" w:after="120"/>
        <w:ind w:left="567"/>
        <w:jc w:val="both"/>
        <w:rPr>
          <w:i/>
          <w:iCs/>
        </w:rPr>
      </w:pPr>
      <w:r>
        <w:rPr>
          <w:i/>
        </w:rPr>
        <w:t>Voor de in dit deel te verstrekken informatie, zie punt 76, a), en hoofdstuk 5 (punten 455 tot en met 463) van de richtsnoeren.</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Indien de aangemelde maatregelen de budget- of uitgavendrempels in punt 456 van de richtsnoeren overschrijden, leg dan uit waarom volgens u de uitzondering in punt 457 van de richtsnoeren van toepassing moet zijn, of voeg bij deze aanmelding een bijlage met een ontwerp-evaluatieplan dat de in punt 458 van de richtsnoeren</w:t>
      </w:r>
      <w:r w:rsidRPr="00BA15DC">
        <w:rPr>
          <w:vertAlign w:val="superscript"/>
          <w:lang w:eastAsia="en-GB"/>
        </w:rPr>
        <w:footnoteReference w:id="11"/>
      </w:r>
      <w:r>
        <w:t xml:space="preserve"> vermelde werkingssfeer bestrijkt.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Indien u een ontwerp-evaluatieplan verstrekt:</w:t>
      </w:r>
    </w:p>
    <w:p w14:paraId="08BAA496" w14:textId="23665408" w:rsidR="009618E4" w:rsidRPr="00BA15DC" w:rsidRDefault="009618E4" w:rsidP="009618E4">
      <w:pPr>
        <w:numPr>
          <w:ilvl w:val="0"/>
          <w:numId w:val="61"/>
        </w:numPr>
        <w:spacing w:before="120" w:after="120"/>
        <w:jc w:val="both"/>
      </w:pPr>
      <w:r>
        <w:t>verstrek dan hieronder een samenvatting van dat ontwerp-evaluatieplan dat in de bijlage is opgenomen;</w:t>
      </w:r>
    </w:p>
    <w:p w14:paraId="7B48B620" w14:textId="77777777" w:rsidR="009618E4" w:rsidRPr="00BA15DC" w:rsidRDefault="009618E4" w:rsidP="009618E4">
      <w:pPr>
        <w:spacing w:before="120" w:after="120"/>
        <w:ind w:left="1440"/>
        <w:jc w:val="both"/>
      </w:pPr>
      <w:r>
        <w:lastRenderedPageBreak/>
        <w:t>………………………………………………………………………………….</w:t>
      </w:r>
    </w:p>
    <w:p w14:paraId="2F7FED33" w14:textId="27B289B4" w:rsidR="009618E4" w:rsidRPr="00BA15DC" w:rsidRDefault="009618E4" w:rsidP="009618E4">
      <w:pPr>
        <w:numPr>
          <w:ilvl w:val="0"/>
          <w:numId w:val="61"/>
        </w:numPr>
        <w:spacing w:before="120" w:after="120"/>
        <w:jc w:val="both"/>
      </w:pPr>
      <w:r>
        <w:t>bevestig dat punt 460 van de richtsnoeren zal worden nageleefd;</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vermeld de datum en de internetlink waar het evaluatieplan openbaar zal worden gemaakt.</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Bevestig, om na te gaan of aan punt 459, b), van de richtsnoeren is voldaan, indien momenteel voor de steunregeling geen evaluatie achteraf moet worden uitgevoerd en de looptijd ervan meer dan drie jaar bedraagt, dat u uiterlijk dertig werkdagen na een aanzienlijke wijziging waarbij het budget van de regeling is verhoogd tot meer dan 150 miljoen EUR in een bepaald jaar of tot meer dan 750 miljoen EUR over de totale looptijd van de regeling, een ontwerp-evaluatieplan zult aanmelden.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Om na te gaan of aan punt 459, c), van de richtsnoeren is voldaan, ingeval momenteel voor de steunregeling geen evaluatie achteraf moet worden uitgevoerd, verstrek hieronder de toezegging dat de lidstaat uiterlijk dertig werkdagen na de vastlegging in de officiële boekhouding van meer dan 150 miljoen EUR aan uitgaven in het voorafgaande jaar, een ontwerp-evaluatieplan zal bekendmaken.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Om na te gaan of aan punt 461 van de richtsnoeren is voldaan:</w:t>
      </w:r>
    </w:p>
    <w:p w14:paraId="3F285296" w14:textId="77777777" w:rsidR="009618E4" w:rsidRPr="00BA15DC" w:rsidRDefault="009618E4" w:rsidP="009618E4">
      <w:pPr>
        <w:numPr>
          <w:ilvl w:val="0"/>
          <w:numId w:val="62"/>
        </w:numPr>
        <w:spacing w:before="120" w:after="120"/>
        <w:jc w:val="both"/>
      </w:pPr>
      <w:r>
        <w:t>geef aan of de onafhankelijke deskundige reeds is geselecteerd of in de toekomst zal worden geselecteerd;</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verstrek informatie over de procedure voor de selectie van de deskundige;</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leg uit hoe de deskundige onafhankelijk is van de toekennende autoriteit.</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Om na te gaan of aan punt 461 van de richtsnoeren is voldaan: </w:t>
      </w:r>
    </w:p>
    <w:p w14:paraId="4F8AF9B0" w14:textId="77777777" w:rsidR="009618E4" w:rsidRPr="00BA15DC" w:rsidRDefault="009618E4" w:rsidP="009618E4">
      <w:pPr>
        <w:numPr>
          <w:ilvl w:val="0"/>
          <w:numId w:val="63"/>
        </w:numPr>
        <w:spacing w:before="120" w:after="120"/>
        <w:jc w:val="both"/>
      </w:pPr>
      <w:r>
        <w:t>vermeld de door u voorgestelde termijnen voor de indiening van het tussentijdse en het eindevaluatieverslag. Het eindevaluatieverslag moet tijdig bij de Commissie worden ingediend zodat zij de eventuele verlenging van de steunregeling kan beoordelen, en uiterlijk negen maanden voordat de regeling afloopt, in overeenstemming met punt 463 van de richtsnoeren. Die termijn kan worden verkort voor regelingen waarbij de evaluatieverplichting in de twee laatste jaren van uitvoering wordt geactiveerd;</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bevestig dat het tussentijdse en het eindevaluatieverslag openbaar zullen worden gemaakt. Vermeld de datum en de internetlink waar die verslagen openbaar zullen worden gemaakt.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lastRenderedPageBreak/>
              <w:t>Rapportage en monitoring</w:t>
            </w:r>
          </w:p>
        </w:tc>
      </w:tr>
    </w:tbl>
    <w:p w14:paraId="21EA55F3" w14:textId="77777777" w:rsidR="009618E4" w:rsidRPr="00BA15DC" w:rsidRDefault="009618E4" w:rsidP="004F3B88">
      <w:pPr>
        <w:tabs>
          <w:tab w:val="left" w:leader="dot" w:pos="9072"/>
        </w:tabs>
        <w:spacing w:before="120" w:after="120"/>
        <w:ind w:left="567"/>
        <w:jc w:val="both"/>
      </w:pPr>
      <w:r>
        <w:rPr>
          <w:i/>
        </w:rPr>
        <w:t>Voor de informatie die in dit deel moet worden verstrekt, zie afdeling 6 (punten 464 en 465) van de richtsnoeren.</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Bevestig dat de lidstaat zal voldoen aan de voorwaarden inzake rapportage en monitoring van deel 6 (punten 464 en 465) van de richtsnoeren.</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PB C 80 van 18.2.2022, blz. 1.</w:t>
      </w:r>
    </w:p>
  </w:footnote>
  <w:footnote w:id="3">
    <w:p w14:paraId="74C65A5D" w14:textId="77777777" w:rsidR="008E3BF9" w:rsidRPr="0067348B" w:rsidRDefault="008E3BF9" w:rsidP="008E3BF9">
      <w:pPr>
        <w:pStyle w:val="FootnoteText"/>
      </w:pPr>
      <w:r>
        <w:rPr>
          <w:rStyle w:val="FootnoteReference"/>
        </w:rPr>
        <w:footnoteRef/>
      </w:r>
      <w:r>
        <w:tab/>
        <w:t>De looptijd van een steunregeling is de periode waarin steun kan worden aangevraagd en waarin tot verlening van de steun kan worden besloten (dus met inbegrip van de tijd die de nationale autoriteiten nodig hebben om de steunaanvragen goed te keuren). De in deze vraag bedoelde looptijd heeft geen betrekking op de looptijd van de in het kader van de steunregeling gesloten contracten, die na de looptijd van de maatregel kunnen voortduren.</w:t>
      </w:r>
    </w:p>
  </w:footnote>
  <w:footnote w:id="4">
    <w:p w14:paraId="5C28E81B" w14:textId="27D21C7E" w:rsidR="00F7269C" w:rsidRPr="0067348B" w:rsidRDefault="00F7269C" w:rsidP="00F7269C">
      <w:pPr>
        <w:pStyle w:val="FootnoteText"/>
      </w:pPr>
      <w:r>
        <w:rPr>
          <w:rStyle w:val="FootnoteReference"/>
        </w:rPr>
        <w:footnoteRef/>
      </w:r>
      <w:r>
        <w:tab/>
        <w:t>Een wijziging van het werkelijke of het geraamde budget kan een wijziging van de steun inhouden, waarvoor een nieuwe aanmelding is vereist.</w:t>
      </w:r>
    </w:p>
  </w:footnote>
  <w:footnote w:id="5">
    <w:p w14:paraId="561DACBB" w14:textId="58A17E1F" w:rsidR="00802D55" w:rsidRDefault="00802D55">
      <w:pPr>
        <w:pStyle w:val="FootnoteText"/>
      </w:pPr>
      <w:r>
        <w:rPr>
          <w:rStyle w:val="FootnoteReference"/>
        </w:rPr>
        <w:footnoteRef/>
      </w:r>
      <w:r>
        <w:tab/>
        <w:t>Zie arrest van het Hof van Justitie van 13 juni 2013, HGA e.a./Commissie, C-630/11 P tot en met C-633/11 P, ECLI:EU:C:2013:387, punt 104.</w:t>
      </w:r>
    </w:p>
  </w:footnote>
  <w:footnote w:id="6">
    <w:p w14:paraId="4C19DBFC" w14:textId="0C434BAC" w:rsidR="00802D55" w:rsidRPr="004B74BC" w:rsidRDefault="00802D55">
      <w:pPr>
        <w:pStyle w:val="FootnoteText"/>
      </w:pPr>
      <w:r>
        <w:rPr>
          <w:rStyle w:val="FootnoteReference"/>
        </w:rPr>
        <w:footnoteRef/>
      </w:r>
      <w:r>
        <w:t xml:space="preserve"> </w:t>
      </w:r>
      <w:r>
        <w:tab/>
        <w:t>Volgens punt 19, 63), van de richtsnoeren is “referentieproject” een voorbeeldproject dat representatief is voor het gemiddelde project in een categorie van voor een steunregeling in aanmerking komende begunstigden.</w:t>
      </w:r>
    </w:p>
  </w:footnote>
  <w:footnote w:id="7">
    <w:p w14:paraId="01EFD49C" w14:textId="77777777" w:rsidR="00801D5A" w:rsidRDefault="00801D5A" w:rsidP="00801D5A">
      <w:pPr>
        <w:pStyle w:val="FootnoteText"/>
      </w:pPr>
      <w:r>
        <w:rPr>
          <w:rStyle w:val="FootnoteReference"/>
        </w:rPr>
        <w:footnoteRef/>
      </w:r>
      <w:r>
        <w:tab/>
        <w:t>Volgens punt 19, 89), van de richtsnoeren wordt onder “Unienorm” verstaan:</w:t>
      </w:r>
    </w:p>
    <w:p w14:paraId="68BC0B8F" w14:textId="77777777" w:rsidR="00801D5A" w:rsidRPr="004B74BC" w:rsidRDefault="00801D5A" w:rsidP="00801D5A">
      <w:pPr>
        <w:pStyle w:val="FootnoteText"/>
        <w:numPr>
          <w:ilvl w:val="0"/>
          <w:numId w:val="46"/>
        </w:numPr>
        <w:rPr>
          <w:i/>
        </w:rPr>
      </w:pPr>
      <w:r>
        <w:rPr>
          <w:i/>
        </w:rPr>
        <w:t>een bindende Unienorm waarbij de op milieugebied te bereiken normen per onderneming zijn vastgesteld, met uitsluiting van op Unieniveau vastgestelde normen of streefdoelen die bindend zijn voor lidstaten, maar niet voor individuele ondernemingen;</w:t>
      </w:r>
    </w:p>
    <w:p w14:paraId="11145135" w14:textId="23A8CC97" w:rsidR="00801D5A" w:rsidRDefault="00801D5A" w:rsidP="00801D5A">
      <w:pPr>
        <w:pStyle w:val="FootnoteText"/>
        <w:numPr>
          <w:ilvl w:val="0"/>
          <w:numId w:val="46"/>
        </w:numPr>
      </w:pPr>
      <w:r>
        <w:rPr>
          <w:i/>
        </w:rPr>
        <w:t>de verplichting om gebruik te maken van de beste beschikbare technieken (BBT), zoals gedefinieerd in Richtlijn 2010/75/EU, en om ervoor te zorgen dat de emissieniveaus niet hoger liggen dan die welke bij toepassing van de BBT zouden worden bereikt; wanneer de met de BBT samenhangende emissieniveaus zijn bepaald in uitvoeringshandelingen die op grond van Richtlijn 2010/75/EU of op grond van andere toepasselijke richtlijnen zijn vastgesteld, zullen die niveaus gelden voor de toepassing van deze richtsnoeren; wanneer die niveaus als een bandbreedte zijn geformuleerd, zal de grens waarvoor de BBT voor de betrokken onderneming het eerst wordt bereikt, van toepassing zijn.</w:t>
      </w:r>
    </w:p>
  </w:footnote>
  <w:footnote w:id="8">
    <w:p w14:paraId="6589188F" w14:textId="70D9D8AA" w:rsidR="00802D55" w:rsidRDefault="00802D55">
      <w:pPr>
        <w:pStyle w:val="FootnoteText"/>
      </w:pPr>
      <w:r>
        <w:rPr>
          <w:rStyle w:val="FootnoteReference"/>
        </w:rPr>
        <w:footnoteRef/>
      </w:r>
      <w:r>
        <w:tab/>
        <w:t>Volgens punt 51 van de richtsnoeren kunnen de typische nettomeerkosten worden geraamd als het verschil tussen de NPV voor het feitelijke scenario en voor het nulscenario over de levensduur van het referentieproject.</w:t>
      </w:r>
    </w:p>
  </w:footnote>
  <w:footnote w:id="9">
    <w:p w14:paraId="47F98D64" w14:textId="75704AF0" w:rsidR="003007E9" w:rsidRPr="003007E9" w:rsidRDefault="003007E9" w:rsidP="003007E9">
      <w:pPr>
        <w:pStyle w:val="FootnoteText"/>
      </w:pPr>
      <w:r>
        <w:rPr>
          <w:rStyle w:val="FootnoteReference"/>
        </w:rPr>
        <w:footnoteRef/>
      </w:r>
      <w:r w:rsidRPr="003007E9">
        <w:t xml:space="preserve"> </w:t>
      </w:r>
      <w:r w:rsidRPr="003007E9">
        <w:tab/>
        <w:t>Volgens voetnoot 46 van de richtsnoeren moeten alle desbetreffende verwachte kosten en baten voor de hele levensduur van het project in aanmerking worden genomen.</w:t>
      </w:r>
    </w:p>
  </w:footnote>
  <w:footnote w:id="10">
    <w:p w14:paraId="086AD512" w14:textId="7087BE19" w:rsidR="00802D55" w:rsidRDefault="00802D55">
      <w:pPr>
        <w:pStyle w:val="FootnoteText"/>
      </w:pPr>
      <w:r>
        <w:rPr>
          <w:rStyle w:val="FootnoteReference"/>
        </w:rPr>
        <w:footnoteRef/>
      </w:r>
      <w:r>
        <w:t xml:space="preserve"> </w:t>
      </w:r>
      <w:r>
        <w:tab/>
        <w:t>Centraal beheerde Uniefinanciering is centraal door de instellingen, agentschappen, gemeenschappelijke ondernemingen of andere instanties van de Europese Unie beheerde Uniefinanciering die niet direct of indirect onder de controle van de lidstaat staat.</w:t>
      </w:r>
    </w:p>
  </w:footnote>
  <w:footnote w:id="11">
    <w:p w14:paraId="0C0B9BEF" w14:textId="77777777" w:rsidR="009618E4" w:rsidRDefault="009618E4" w:rsidP="009618E4">
      <w:pPr>
        <w:pStyle w:val="FootnoteText"/>
      </w:pPr>
      <w:r>
        <w:rPr>
          <w:rStyle w:val="FootnoteReference"/>
        </w:rPr>
        <w:footnoteRef/>
      </w:r>
      <w:r>
        <w:tab/>
        <w:t xml:space="preserve">Het model voor het formulier aanvullende informatie voor de aanmelding van een evaluatieplan (deel III.8) is hier te vinden: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07E9"/>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34E4"/>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nl-NL"/>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nl-NL"/>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4356</Words>
  <Characters>22483</Characters>
  <Application>Microsoft Office Word</Application>
  <DocSecurity>0</DocSecurity>
  <Lines>488</Lines>
  <Paragraphs>190</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IDZERDA Renee (DGT)</cp:lastModifiedBy>
  <cp:revision>4</cp:revision>
  <cp:lastPrinted>2022-04-12T14:59:00Z</cp:lastPrinted>
  <dcterms:created xsi:type="dcterms:W3CDTF">2024-09-05T12:35:00Z</dcterms:created>
  <dcterms:modified xsi:type="dcterms:W3CDTF">2024-10-08T12:07:00Z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