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617AB94D"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Partea III.6</w:t>
            </w:r>
            <w:r w:rsidR="007D53F4">
              <w:rPr>
                <w:sz w:val="32"/>
              </w:rPr>
              <w:t xml:space="preserve">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Actualizare* Fișă de informații suplimentare privind ajutoarele de stat acordate în temeiul Orientărilor din 2022 privind ajutoarele de stat pentru climă, protecția mediului și energie (OACME)</w:t>
            </w:r>
            <w:bookmarkStart w:id="2" w:name="_Hlk152693571"/>
            <w:r w:rsidRPr="00BA15DC">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Capitolul 4.9 – Ajutoarele pentru infrastructura energetică</w:t>
            </w:r>
          </w:p>
          <w:p w14:paraId="469DC4EF" w14:textId="5E9F59D2" w:rsidR="008E3BF9" w:rsidRPr="00BA15DC" w:rsidRDefault="008E3BF9" w:rsidP="008E3BF9">
            <w:pPr>
              <w:rPr>
                <w:sz w:val="32"/>
                <w:szCs w:val="32"/>
              </w:rPr>
            </w:pPr>
            <w:r>
              <w:t>* încă neadoptată oficial</w:t>
            </w:r>
          </w:p>
        </w:tc>
      </w:tr>
    </w:tbl>
    <w:p w14:paraId="45497634" w14:textId="77777777" w:rsidR="008E3BF9" w:rsidRPr="00BA15DC" w:rsidRDefault="008E3BF9" w:rsidP="008E3BF9">
      <w:pPr>
        <w:spacing w:before="120" w:after="120"/>
        <w:ind w:right="-142"/>
        <w:jc w:val="both"/>
        <w:rPr>
          <w:i/>
          <w:iCs/>
        </w:rPr>
      </w:pPr>
      <w:r>
        <w:rPr>
          <w:i/>
        </w:rPr>
        <w:t>Prezenta fișă de informații suplimentare trebuie utilizată pentru notificarea oricărui ajutor care face obiectul Orientărilor din 2022 privind ajutoarele de stat pentru climă, protecția mediului și energie (denumite în continuare „OACME”).</w:t>
      </w:r>
    </w:p>
    <w:p w14:paraId="3912F2B6" w14:textId="18735016" w:rsidR="008E3BF9" w:rsidRPr="00BA15DC" w:rsidRDefault="008E3BF9" w:rsidP="009E2EA1">
      <w:pPr>
        <w:spacing w:before="120" w:after="120"/>
        <w:ind w:right="-142"/>
        <w:jc w:val="both"/>
        <w:rPr>
          <w:i/>
          <w:iCs/>
        </w:rPr>
      </w:pPr>
      <w:r>
        <w:rPr>
          <w:i/>
        </w:rPr>
        <w:t xml:space="preserve">Prezenta fișă de informații suplimentare se referă la măsurile cuprinse în capitolul 4.9 din OACME. În cazul în care notificarea include măsuri care fac obiectul mai multor capitole din OACME, vă rugăm să completați, de asemenea, de îndată ce este disponibilă, fișa de informații suplimentare care se referă la capitolul respectiv din OACME. </w:t>
      </w:r>
    </w:p>
    <w:p w14:paraId="516B301C" w14:textId="77777777" w:rsidR="008E3BF9" w:rsidRPr="00BA15DC" w:rsidRDefault="008E3BF9" w:rsidP="008E3BF9">
      <w:pPr>
        <w:spacing w:before="120" w:after="120"/>
        <w:ind w:right="-142"/>
        <w:jc w:val="both"/>
        <w:rPr>
          <w:i/>
          <w:iCs/>
        </w:rPr>
      </w:pPr>
      <w:r>
        <w:rPr>
          <w:i/>
        </w:rPr>
        <w:t>Toate documentele furnizate de statele membre ca anexe la prezenta fișă de informații suplimentare trebuie numerotate, iar în secțiunile relevante din prezenta fișă de informații suplimentare trebuie să se facă trimitere la numerele documentelor.</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Secțiunea A: Rezumatul principalelor caracteristici ale măsurii (măsurilor) notificate</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Contextul și obiectivul (obiectivele) măsurii (măsurilor) notificate.</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Dacă nu au fost deja discutate în secțiunea 5.2 din Formularul de informații generale (Partea I), vă rugăm să precizați contextul și obiectivul principal, inclusiv orice obiective ale Uniunii privind reducerea și eliminarea emisiilor de gaze cu efect de seră pe care măsura urmărește să le sprijine.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Vă rugăm să indicați orice alte obiective vizate de măsură. Pentru orice obiective care nu sunt în întregime legate de mediu, vă rugăm să explicați dacă acestea pot duce la denaturări ale pieței interne.</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rPr>
          <w:b/>
        </w:rPr>
        <w:tab/>
        <w:t>Intrare în vigoare și durată:</w:t>
      </w:r>
    </w:p>
    <w:p w14:paraId="29824976" w14:textId="4745312D" w:rsidR="008E3BF9" w:rsidRPr="00BA15DC" w:rsidRDefault="008E3BF9" w:rsidP="008E3BF9">
      <w:pPr>
        <w:pStyle w:val="ListParagraph"/>
        <w:numPr>
          <w:ilvl w:val="0"/>
          <w:numId w:val="59"/>
        </w:numPr>
        <w:ind w:left="993" w:hanging="142"/>
        <w:jc w:val="both"/>
        <w:rPr>
          <w:szCs w:val="24"/>
        </w:rPr>
      </w:pPr>
      <w:r>
        <w:t>În măsura în care nu au fost deja furnizate în secțiunea 5.5 din Formularul de informații generale (Partea I), vă rugăm să indicați data de la care măsura (măsurile) este (sunt) planificată (planificate) să intre în vigoare</w:t>
      </w:r>
      <w:r w:rsidR="00BB01D8">
        <w:t>.</w:t>
      </w:r>
    </w:p>
    <w:p w14:paraId="06490E89" w14:textId="77777777" w:rsidR="008E3BF9" w:rsidRPr="00BA15DC" w:rsidRDefault="008E3BF9" w:rsidP="008E3BF9">
      <w:pPr>
        <w:tabs>
          <w:tab w:val="left" w:leader="dot" w:pos="9072"/>
        </w:tabs>
        <w:spacing w:before="120" w:after="120"/>
        <w:ind w:left="567"/>
        <w:jc w:val="both"/>
      </w:pPr>
      <w:r>
        <w:tab/>
      </w:r>
    </w:p>
    <w:p w14:paraId="3BBF4901" w14:textId="744E0814" w:rsidR="008E3BF9" w:rsidRPr="00BA15DC" w:rsidRDefault="00BB01D8" w:rsidP="008E3BF9">
      <w:pPr>
        <w:pStyle w:val="ListParagraph"/>
        <w:numPr>
          <w:ilvl w:val="0"/>
          <w:numId w:val="59"/>
        </w:numPr>
        <w:ind w:left="993" w:hanging="142"/>
        <w:jc w:val="both"/>
        <w:rPr>
          <w:szCs w:val="24"/>
        </w:rPr>
      </w:pPr>
      <w:r>
        <w:t>D</w:t>
      </w:r>
      <w:r w:rsidR="006F723B">
        <w:t>acă măsura se referă la o schemă de ajutoare, vă rugăm să indicați durata acesteia</w:t>
      </w:r>
      <w:r w:rsidR="008E3BF9" w:rsidRPr="00BA15DC">
        <w:rPr>
          <w:szCs w:val="24"/>
          <w:vertAlign w:val="superscript"/>
        </w:rPr>
        <w:footnoteReference w:id="3"/>
      </w:r>
      <w:r w:rsidR="006F723B">
        <w:t>.</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Beneficiar(i)</w:t>
      </w:r>
      <w:r>
        <w:rPr>
          <w:b/>
        </w:rPr>
        <w:tab/>
      </w:r>
    </w:p>
    <w:p w14:paraId="41CA72BE" w14:textId="77777777" w:rsidR="00F7269C" w:rsidRPr="00BA15DC" w:rsidRDefault="00F7269C" w:rsidP="00F7269C">
      <w:pPr>
        <w:pStyle w:val="ListParagraph"/>
        <w:numPr>
          <w:ilvl w:val="0"/>
          <w:numId w:val="22"/>
        </w:numPr>
        <w:ind w:left="1078" w:hanging="227"/>
        <w:jc w:val="both"/>
        <w:rPr>
          <w:szCs w:val="24"/>
        </w:rPr>
      </w:pPr>
      <w:r>
        <w:t>Dacă nu au fost deja furnizate în secțiunea 3 din Formularul de informații generale (Partea I), vă rugăm să descrieți beneficiarul potențial (beneficiarii potențiali) al (ai) măsurii (măsurilor).</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Vă rugăm să indicați locul în care se află beneficiarul potențial (beneficiarii potențiali) (și anume dacă numai entitățile economice situate în statele membre respective sau și în alte state membre sunt eligibile să participe la măsură).</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Pentru a evalua conformitatea cu punctul 15 din OACME, vă rugăm să precizați dacă se acordă ajutor individual în cadrul măsurii (măsurilor) în favoarea unei </w:t>
      </w:r>
      <w:r>
        <w:lastRenderedPageBreak/>
        <w:t xml:space="preserve">întreprinderi (ca parte a unei scheme sau nu) care face obiectul unui ordin de recuperare neexecutat în urma unei decizii anterioare a Comisiei de declarare a unui ajutor ca fiind ilegal și incompatibil cu piața internă.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În caz afirmativ, vă rugăm să furnizați informații cu privire la cuantumul ajutorului care nu a fost încă recuperat, astfel încât Comisia să țină seama de acesta în evaluarea măsurii (măsurilor) de ajutor.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Vă rugăm să confirmați că măsura (măsurile) nu implică ajutoare pentru activități care nu intră în domeniul de aplicare al OACME (a se vedea punctul 13 din OACME). În caz contrar, vă rugăm să furnizați detalii.</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Punctele 373 și 374 din OACME prevăd că „</w:t>
      </w:r>
      <w:r>
        <w:rPr>
          <w:i/>
        </w:rPr>
        <w:t xml:space="preserve">sprijinul pentru infrastructura energetică în cadrul unui monopol legal nu face obiectul normelor privind ajutoarele de stat”. </w:t>
      </w:r>
      <w:r>
        <w:t>Acesta poate fi cazul atunci când construirea și exploatarea anumitor infrastructuri este rezervată din punct de vedere juridic exclusiv pentru operatorii de sistem de transport (OST) sau operatorii de sistem de distribuție (OSD). În mod similar, punctul 375 din OACME prevede că „</w:t>
      </w:r>
      <w:r>
        <w:rPr>
          <w:i/>
        </w:rPr>
        <w:t>Comisia consideră că nu există ajutor de stat implicat în investițiile în care infrastructura energetică este exploatată în cadrul unui «monopol natural»</w:t>
      </w:r>
      <w:r>
        <w:t xml:space="preserve">”. </w:t>
      </w:r>
    </w:p>
    <w:p w14:paraId="5E43B93C" w14:textId="77777777" w:rsidR="00DC1614" w:rsidRPr="00BA15DC" w:rsidRDefault="00DC1614" w:rsidP="003B0EFB">
      <w:pPr>
        <w:pStyle w:val="ListParagraph"/>
        <w:spacing w:before="120" w:after="120"/>
        <w:ind w:left="1080"/>
        <w:contextualSpacing w:val="0"/>
        <w:jc w:val="both"/>
      </w:pPr>
      <w:r>
        <w:t xml:space="preserve">Proiectul este notificat în cadrul unui monopol legal sau se desfășoară sub un „monopol natural”?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Dacă răspunsul la întrebarea anterioară este afirmativ, vă rugăm să explicați de ce proiectul notificat se încadrează într-un monopol legal și/sau natural, făcând referire la fiecare criteriu cumulativ prevăzut la punctul 374 din OACME pentru monopolurile legale și/sau la punctul 375 din OACME pentru monopolurile naturale.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Bugetul și finanțarea măsurii (măsurilor)</w:t>
      </w:r>
      <w:r>
        <w:t>.</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Dacă nu au fost deja menționate în tabelul de la secțiunea 7.1 din Formularul de informații generale (Partea I), vă rugăm să furnizați bugetul anual și/sau total pentru întreaga durată a măsurii (măsurilor); dacă bugetul total nu este cunoscut (de exemplu, deoarece depinde de rezultatele licitațiilor), vă rugăm să indicați un buget estimat, inclusiv ipotezele utilizate pentru calcularea bugetului estimat respectiv</w:t>
      </w:r>
      <w:r w:rsidRPr="00BA15DC">
        <w:rPr>
          <w:szCs w:val="24"/>
          <w:vertAlign w:val="superscript"/>
        </w:rPr>
        <w:footnoteReference w:id="4"/>
      </w:r>
      <w:r>
        <w:t>.</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În cazul în care măsura este finanțată printr-o taxă, vă rugăm să precizați dacă:</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rFonts w:cs="Arial Unicode MS"/>
          <w:bCs/>
        </w:rPr>
      </w:pPr>
      <w:r>
        <w:t>taxa este stabilită prin lege sau prin orice alt act legislativ; în caz afirmativ, vă rugăm să furnizați actul juridic, numărul și data la care a fost adoptat și a intrat în vigoare, linkul către actul juridic;</w:t>
      </w:r>
    </w:p>
    <w:p w14:paraId="6F04195F" w14:textId="77777777" w:rsidR="00F7269C" w:rsidRPr="00BA15DC" w:rsidRDefault="00F7269C" w:rsidP="00F7269C">
      <w:pPr>
        <w:tabs>
          <w:tab w:val="left" w:leader="dot" w:pos="9072"/>
        </w:tabs>
        <w:spacing w:before="120" w:after="120"/>
        <w:ind w:left="927"/>
        <w:jc w:val="both"/>
      </w:pPr>
      <w:r>
        <w:lastRenderedPageBreak/>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rPr>
      </w:pPr>
      <w:r>
        <w:t>taxa se aplică în mod egal produselor naționale și celor importate;</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rFonts w:cs="Arial Unicode MS"/>
          <w:bCs/>
        </w:rPr>
      </w:pPr>
      <w:r>
        <w:t>măsura notificată va aduce beneficii în egală măsură produselor naționale și produselor importate;</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rPr>
      </w:pPr>
      <w:r>
        <w:t>taxa finanțează integral măsura sau doar parțial. În cazul în care taxa finanțează doar parțial măsura, indicați celelalte surse de finanțare ale măsurii și proporția acestora;</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rFonts w:cs="Arial Unicode MS"/>
          <w:bCs/>
        </w:rPr>
      </w:pPr>
      <w:r>
        <w:t>taxa care finanțează măsura notificată finanțează și alte măsuri de ajutor. În caz afirmativ, indicați celelalte măsuri de ajutor finanțate prin taxa în cauză.</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Secțiunea B: Evaluarea compatibilității ajutorului</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Condiție pozitivă: ajutorul trebuie să faciliteze dezvoltarea unei activități economice</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Contribuția la dezvoltarea unei activități economice</w:t>
            </w:r>
          </w:p>
        </w:tc>
      </w:tr>
    </w:tbl>
    <w:p w14:paraId="1E2599D2" w14:textId="075AAE16" w:rsidR="000442F5" w:rsidRPr="00BA15DC" w:rsidRDefault="000442F5" w:rsidP="003B0EFB">
      <w:pPr>
        <w:spacing w:before="120" w:after="120"/>
        <w:jc w:val="both"/>
        <w:rPr>
          <w:i/>
        </w:rPr>
      </w:pPr>
      <w:r>
        <w:rPr>
          <w:i/>
        </w:rPr>
        <w:t xml:space="preserve">Pentru a furniza informațiile din prezenta secțiune, vă rugăm să consultați secțiunea 3.1.1 (punctele 23-25) și secțiunile 4.9.1 și 4.9.2 din OACME.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Articolul 107 alineatul (3) litera (c) din </w:t>
      </w:r>
      <w:bookmarkStart w:id="8" w:name="_Hlk170735690"/>
      <w:r>
        <w:t>Tratatul privind funcționarea Uniunii Europene (TFUE)</w:t>
      </w:r>
      <w:bookmarkEnd w:id="8"/>
      <w:r>
        <w:t xml:space="preserve"> prevede că Comisia poate declara compatibile „ajutoarele destinate să faciliteze dezvoltarea anumitor activități sau a anumitor regiuni economice, în cazul în care acestea nu modifică în mod nefavorabil condițiile schimburilor comerciale într-o măsură care contravine interesului comun”. Prin urmare, ajutoarele compatibile în temeiul dispoziției respective din TFUE trebuie să contribuie la dezvoltarea anumitor activități economice. </w:t>
      </w:r>
    </w:p>
    <w:p w14:paraId="4688DCCE" w14:textId="77777777" w:rsidR="00F7269C" w:rsidRPr="00BA15DC" w:rsidRDefault="00F7269C" w:rsidP="000442F5">
      <w:pPr>
        <w:tabs>
          <w:tab w:val="left" w:leader="dot" w:pos="9072"/>
        </w:tabs>
        <w:spacing w:before="120" w:after="120"/>
        <w:ind w:left="567"/>
        <w:jc w:val="both"/>
      </w:pPr>
      <w:r>
        <w:t>Pentru a evalua conformitatea cu punctul 23 din OACME, vă rugăm să identificați activitățile economice care vor fi facilitate ca urmare a ajutorului și modul în care este sprijinită dezvoltarea acestor activități.</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Pentru a evalua conformitatea cu punctul 25 din OACME, vă rugăm să explicați „</w:t>
      </w:r>
      <w:r>
        <w:rPr>
          <w:i/>
        </w:rPr>
        <w:t>dacă și cum va contribui ajutorul la îndeplinirea obiectivelor politicii în domeniul climei, ale politicii de mediu și ale politicii energetice a Uniunii și, mai precis, beneficiile preconizate ale ajutorului în ceea ce privește contribuția semnificativă a acestuia la protecția mediului, inclusiv la atenuarea schimbărilor climatice, sau la funcționarea eficientă a pieței interne a energiei</w:t>
      </w:r>
      <w:r>
        <w:t>”.</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În plus, vă rugăm să evidențiați în ce măsură ajutorul este legat de politicile descrise la punctele 371 și 372 din OACME.</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Vă rugăm să furnizați informații cu privire la domeniul de aplicare al măsurii (măsurilor) de ajutor și la activitățile sprijinite de aceasta (acestea), astfel cum se prevede la punctul 376 din OACME. În acest context, vă rugăm, de asemenea:</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să vă asigurați că proiectul se referă la o infrastructură energetică, astfel cum este definită la punctul 19 subpunctul 36 din OACME; </w:t>
      </w:r>
    </w:p>
    <w:p w14:paraId="200CB163" w14:textId="4FFB2EB0" w:rsidR="00D83DB7" w:rsidRPr="00BA15DC" w:rsidRDefault="00D83DB7" w:rsidP="00D83DB7">
      <w:pPr>
        <w:pStyle w:val="ListParagraph"/>
        <w:numPr>
          <w:ilvl w:val="0"/>
          <w:numId w:val="56"/>
        </w:numPr>
        <w:spacing w:before="120" w:after="120"/>
        <w:contextualSpacing w:val="0"/>
        <w:jc w:val="both"/>
      </w:pPr>
      <w:r>
        <w:t>să vă asigurați că proiectul nu implică o infrastructură dedicată și/sau alte infrastructuri energetice combinate cu activități de producție și/sau consum;</w:t>
      </w:r>
    </w:p>
    <w:p w14:paraId="1DD6F885" w14:textId="34F1D88C" w:rsidR="003B2790" w:rsidRPr="00BA15DC" w:rsidRDefault="00E47BED" w:rsidP="003B2790">
      <w:pPr>
        <w:pStyle w:val="ListParagraph"/>
        <w:numPr>
          <w:ilvl w:val="0"/>
          <w:numId w:val="56"/>
        </w:numPr>
        <w:spacing w:before="120" w:after="120"/>
        <w:contextualSpacing w:val="0"/>
        <w:jc w:val="both"/>
      </w:pPr>
      <w:r>
        <w:t>să precizați tipul de costuri care urmează să fie sprijinit prin măsură: costurile de investiție sau costurile de exploatare</w:t>
      </w:r>
      <w:r w:rsidR="00BB01D8">
        <w:t>;</w:t>
      </w:r>
      <w:r>
        <w:t xml:space="preserve"> </w:t>
      </w:r>
    </w:p>
    <w:p w14:paraId="59AAAC34" w14:textId="3F2AE465" w:rsidR="00E47BED" w:rsidRPr="00BA15DC" w:rsidRDefault="00BB01D8" w:rsidP="00E47BED">
      <w:pPr>
        <w:pStyle w:val="ListParagraph"/>
        <w:numPr>
          <w:ilvl w:val="0"/>
          <w:numId w:val="56"/>
        </w:numPr>
        <w:spacing w:before="120" w:after="120"/>
        <w:contextualSpacing w:val="0"/>
        <w:jc w:val="both"/>
      </w:pPr>
      <w:r>
        <w:t>î</w:t>
      </w:r>
      <w:r w:rsidR="00E47BED">
        <w:t xml:space="preserve">n cazul în care măsura va acoperi costurile de exploatare, vă rugăm să demonstrați că respectivele costuri nu pot fi recuperate de la utilizatorii rețelei și că nu sunt legate de costuri irecuperabile, precum și că ajutorul de exploatare conduce la o </w:t>
      </w:r>
      <w:r w:rsidR="00E47BED">
        <w:lastRenderedPageBreak/>
        <w:t xml:space="preserve">schimbare de comportament care permite îndeplinirea obiectivelor de siguranță a alimentării sau de protecție a mediului.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Efectul stimulativ</w:t>
            </w:r>
          </w:p>
        </w:tc>
      </w:tr>
    </w:tbl>
    <w:p w14:paraId="20915284" w14:textId="0EA618F2" w:rsidR="00015E2B" w:rsidRPr="00BA15DC" w:rsidRDefault="00B15313" w:rsidP="003B0EFB">
      <w:pPr>
        <w:spacing w:before="120" w:after="120"/>
        <w:jc w:val="both"/>
        <w:rPr>
          <w:i/>
        </w:rPr>
      </w:pPr>
      <w:r>
        <w:rPr>
          <w:i/>
        </w:rPr>
        <w:t xml:space="preserve">Pentru a furniza informațiile din prezenta secțiune, vă rugăm să consultați secțiunea 3.1.2 (punctele 26-32) din OACME.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Se poate considera că ajutorul facilitează o activitate economică numai dacă are un efect stimulativ. Pentru a evalua conformitatea cu punctul 26 din OACME, vă rugăm să explicați modul în care măsura (măsurile) „</w:t>
      </w:r>
      <w:r>
        <w:rPr>
          <w:i/>
        </w:rPr>
        <w:t>determină beneficiarul să își schimbe comportamentul, să se implice într-o activitate economică suplimentară sau într-o activitate economică care respectă mediul, pe care, în absența ajutorului, nu ar desfășura-o sau ar desfășura-o în mod limitat sau diferit</w:t>
      </w:r>
      <w:r>
        <w:t>”.</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Pentru a evalua conformitatea cu punctul 27 din OACME, vă rugăm să furnizați informații pentru a confirma că </w:t>
      </w:r>
      <w:r>
        <w:rPr>
          <w:color w:val="000000"/>
          <w:shd w:val="clear" w:color="auto" w:fill="FFFFFF"/>
        </w:rPr>
        <w:t>ajutorul nu sprijină costurile unei activități pe care beneficiarul ajutorului ar fi desfășurat-o oricum și nu compensează riscul comercial normal al unei activități economice</w:t>
      </w:r>
      <w:r w:rsidR="00AC5B96" w:rsidRPr="00BA15DC">
        <w:rPr>
          <w:rStyle w:val="FootnoteReference"/>
          <w:color w:val="000000"/>
          <w:shd w:val="clear" w:color="auto" w:fill="FFFFFF"/>
        </w:rPr>
        <w:footnoteReference w:id="5"/>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Pentru a demonstra prezența unui efect stimulativ, punctul 28 din OACME impune identificarea scenariului factual și a scenariului contrafactual probabil în absența ajutorului. În cazul ajutoarelor pentru infrastructura energetică, astfel cum s-a explicat la punctul 52, se prezumă că scenariul contrafactual este situația în care proiectul nu s-ar implementa. </w:t>
      </w:r>
    </w:p>
    <w:p w14:paraId="4AA49B40" w14:textId="0DEE1851" w:rsidR="00D70FE9" w:rsidRPr="00BA15DC" w:rsidRDefault="00A255BF" w:rsidP="00526607">
      <w:pPr>
        <w:pStyle w:val="ListParagraph"/>
        <w:numPr>
          <w:ilvl w:val="0"/>
          <w:numId w:val="37"/>
        </w:numPr>
        <w:spacing w:before="120" w:after="120"/>
        <w:contextualSpacing w:val="0"/>
        <w:jc w:val="both"/>
      </w:pPr>
      <w:r>
        <w:t>Vă rugăm să furnizați o descriere cuprinzătoare a scenariului factual. În cazul schemelor care acoperă diferite proiecte de referință</w:t>
      </w:r>
      <w:r w:rsidR="0030040A" w:rsidRPr="00BA15DC">
        <w:rPr>
          <w:rStyle w:val="FootnoteReference"/>
          <w:lang w:val="en-IE" w:eastAsia="en-GB"/>
        </w:rPr>
        <w:footnoteReference w:id="6"/>
      </w:r>
      <w:r>
        <w:t>, vă rugăm să furnizați o descriere a scenariului factual pentru fiecare proiect de referință.</w:t>
      </w:r>
    </w:p>
    <w:p w14:paraId="1508C9BB" w14:textId="35F5092A" w:rsidR="008E4062" w:rsidRPr="00BA15DC" w:rsidRDefault="008E4062" w:rsidP="008E4062">
      <w:pPr>
        <w:tabs>
          <w:tab w:val="left" w:leader="dot" w:pos="9072"/>
        </w:tabs>
        <w:spacing w:before="120" w:after="120"/>
        <w:ind w:left="567"/>
        <w:jc w:val="both"/>
      </w:pPr>
      <w:r>
        <w:tab/>
      </w:r>
    </w:p>
    <w:p w14:paraId="2B9D3662" w14:textId="044B9AC4" w:rsidR="005F6E6B" w:rsidRPr="00BA15DC" w:rsidRDefault="006F723B" w:rsidP="00526607">
      <w:pPr>
        <w:pStyle w:val="ListParagraph"/>
        <w:numPr>
          <w:ilvl w:val="0"/>
          <w:numId w:val="37"/>
        </w:numPr>
        <w:spacing w:before="120" w:after="120"/>
        <w:contextualSpacing w:val="0"/>
        <w:jc w:val="both"/>
      </w:pPr>
      <w:r>
        <w:t>În cazul în care măsura nu este o schemă de ajutoare, vă rugăm să anexați la prezentul formular de notificare orice documente oficiale emise de conducerea întreprinderii, evaluări ale riscurilor, rapoarte financiare, planuri interne de afaceri, avize ale experților și alte studii privind proiectul care este evaluat, orice documente care conțin informații despre</w:t>
      </w:r>
      <w:r w:rsidR="007D53F4">
        <w:t xml:space="preserve"> </w:t>
      </w:r>
      <w:r>
        <w:t>previziunile privind cererea, previziunile costurilor, previziunile financiare, orice documente prezentate unui comitet de investiții și care dezvoltă scenariile de investiție/de exploatare sau orice documente furnizate instituțiilor financiare, astfel cum se prevede la punctul 28, nota de subsol 39 din OACME.</w:t>
      </w:r>
    </w:p>
    <w:p w14:paraId="489E64F5" w14:textId="104163BA" w:rsidR="00C713DD" w:rsidRPr="00BA15DC" w:rsidRDefault="005F6E6B" w:rsidP="005F6E6B">
      <w:pPr>
        <w:pStyle w:val="ListParagraph"/>
        <w:spacing w:before="120" w:after="120"/>
        <w:ind w:left="1287"/>
        <w:contextualSpacing w:val="0"/>
        <w:jc w:val="both"/>
      </w:pPr>
      <w:r>
        <w:lastRenderedPageBreak/>
        <w:t>Vă rugăm să aveți în vedere că aceste documente trebuie să dateze din aceeași perioadă ca procesul în urma căruia s-a luat decizia privind investiția/exploatarea.</w:t>
      </w:r>
    </w:p>
    <w:p w14:paraId="0F3CF49B" w14:textId="1DE4A9D5" w:rsidR="00DE063E" w:rsidRPr="00BA15DC" w:rsidRDefault="00E32AD5" w:rsidP="005F6E6B">
      <w:pPr>
        <w:pStyle w:val="ListParagraph"/>
        <w:spacing w:before="120" w:after="120"/>
        <w:ind w:left="1287"/>
        <w:contextualSpacing w:val="0"/>
        <w:jc w:val="both"/>
      </w:pPr>
      <w:r>
        <w:t>În cazul în care aceste documente sunt anexate la formularul de notificare, vă rugăm să furnizați mai jos o listă a documentelor, specificând autorul, data la care au fost redactate și contextul în care au fost utilizate.</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Pentru a demonstra conformitatea cu punctele 29 și 31 din OACME:</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vă rugăm să confirmați că începutul lucrărilor la proiect sau al activității nu a avut loc înainte ca cererea de ajutor să fie depusă, în scris, de către beneficiar la autoritățile naționale</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sau</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în cazul proiectelor care au început înainte de depunerea cererii de ajutor, vă rugăm să demonstrați că proiectul se încadrează în unul dintre cazurile excepționale prevăzute la punctul 31 din OACME [literele (a), (b) sau (c)].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Pentru a demonstra conformitatea cu punctul 30 din OACME, vă rugăm să confirmați că cererea de ajutor include cel puțin numele solicitantului, o descriere a proiectului sau a activității, inclusiv locul unde se desfășoară acesta (aceasta), precum și cuantumul ajutorului necesar pentru realizarea acestuia (acesteia).</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Pentru a demonstra conformitatea cu punctul 32 din OACME, vă rugăm să indicați dacă există standarde ale Uniunii</w:t>
      </w:r>
      <w:r w:rsidRPr="00BA15DC">
        <w:rPr>
          <w:rStyle w:val="FootnoteReference"/>
          <w:lang w:val="en-IE" w:eastAsia="en-GB"/>
        </w:rPr>
        <w:footnoteReference w:id="7"/>
      </w:r>
      <w:r>
        <w:t xml:space="preserve"> aplicabile măsurii (măsurilor) notificate, standarde naționale obligatorii mai stricte sau mai ambițioase decât standardele corespunzătoare ale Uniunii sau standarde naționale obligatorii adoptate în absența standardelor Uniunii. În acest context, vă rugăm să furnizați informații pentru a demonstra efectul stimulativ.</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lastRenderedPageBreak/>
        <w:t xml:space="preserve">În cazurile în care standardul relevant al Uniunii a fost deja adoptat, dar nu este încă în vigoare, vă rugăm să demonstrați că ajutorul are un efect stimulativ deoarece stimulează implementarea și finalizarea investiției cu cel puțin 18 luni înainte de intrarea în vigoare a standardului.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Absența încălcării vreunei dispoziții relevante din dreptul Uniunii</w:t>
            </w:r>
          </w:p>
        </w:tc>
      </w:tr>
    </w:tbl>
    <w:p w14:paraId="0AB413A5" w14:textId="77777777" w:rsidR="00B00F48" w:rsidRPr="00BA15DC" w:rsidRDefault="00B00F48" w:rsidP="003B0EFB">
      <w:pPr>
        <w:spacing w:before="120" w:after="120"/>
        <w:jc w:val="both"/>
        <w:rPr>
          <w:i/>
        </w:rPr>
      </w:pPr>
      <w:r>
        <w:rPr>
          <w:i/>
        </w:rPr>
        <w:t xml:space="preserve">Pentru a furniza informațiile din prezenta secțiune, vă rugăm să consultați secțiunea 3.1.3 (punctul 33 din OACME).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Vă rugăm să furnizați informații pentru a confirma conformitatea cu dispozițiile relevante ale dreptului Uniunii, în conformitate cu punctul 33 din OACME. </w:t>
      </w:r>
    </w:p>
    <w:p w14:paraId="0F021F61" w14:textId="77777777" w:rsidR="00B00F48" w:rsidRPr="00BA15DC" w:rsidRDefault="00B00F48" w:rsidP="00B00F48">
      <w:pPr>
        <w:tabs>
          <w:tab w:val="left" w:leader="dot" w:pos="9072"/>
        </w:tabs>
        <w:spacing w:before="120" w:after="120"/>
        <w:ind w:left="567"/>
        <w:jc w:val="both"/>
        <w:rPr>
          <w:color w:val="000000"/>
        </w:rPr>
      </w:pPr>
      <w:r>
        <w:rPr>
          <w:color w:val="000000"/>
        </w:rP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În cazul în care se utilizează o taxă pentru finanțarea măsurii (măsurilor), vă rugăm să clarificați dacă trebuie efectuată evaluarea conformității cu articolele 30 și 110 din TFUE. În caz afirmativ, vă rugăm să demonstrați modul în care măsura respectă dispozițiile articolelor 30 și 110 din TFUE.</w:t>
      </w:r>
      <w:r>
        <w:rPr>
          <w:i/>
        </w:rPr>
        <w:t xml:space="preserve"> </w:t>
      </w:r>
      <w:r>
        <w:t xml:space="preserve">În acest context, se poate face referire la informațiile prezentate la întrebarea </w:t>
      </w:r>
      <w:r w:rsidR="003F72C9">
        <w:fldChar w:fldCharType="begin"/>
      </w:r>
      <w:r w:rsidR="003F72C9">
        <w:instrText xml:space="preserve"> REF _Ref171091150 \r \h </w:instrText>
      </w:r>
      <w:r w:rsidR="003F72C9">
        <w:fldChar w:fldCharType="separate"/>
      </w:r>
      <w:r w:rsidR="003F72C9">
        <w:t>4</w:t>
      </w:r>
      <w:r w:rsidR="003F72C9">
        <w:fldChar w:fldCharType="end"/>
      </w:r>
      <w:r>
        <w:t>.</w:t>
      </w:r>
      <w:r w:rsidR="003F72C9">
        <w:fldChar w:fldCharType="begin"/>
      </w:r>
      <w:r w:rsidR="003F72C9">
        <w:instrText xml:space="preserve"> REF _Ref116914400 \r \h </w:instrText>
      </w:r>
      <w:r w:rsidR="003F72C9">
        <w:fldChar w:fldCharType="separate"/>
      </w:r>
      <w:r w:rsidR="003F72C9">
        <w:t>ii</w:t>
      </w:r>
      <w:r w:rsidR="003F72C9">
        <w:fldChar w:fldCharType="end"/>
      </w:r>
      <w:r>
        <w:t xml:space="preserve"> de mai sus, în cazul în care măsura (măsurile) notificată (notificate) este (sunt) finanțată (finanțate) printr-o taxă.</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rPr>
          <w:color w:val="000000"/>
        </w:rP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Condiția negativă: ajutorul nu poate modifica în mod necorespunzător condițiile schimburilor comerciale într-o măsură care contravine interesului comun</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Reducerea la minimum a denaturărilor în ceea ce privește concurența și schimburile comerciale</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Necesitatea și caracterul adecvat al intervenției ajutoarelor de stat</w:t>
            </w:r>
          </w:p>
        </w:tc>
      </w:tr>
    </w:tbl>
    <w:p w14:paraId="3C23674F" w14:textId="4D2BAF74" w:rsidR="00663008" w:rsidRPr="00BA15DC" w:rsidRDefault="00663008" w:rsidP="003B0EFB">
      <w:pPr>
        <w:spacing w:before="120" w:after="120"/>
        <w:jc w:val="both"/>
        <w:rPr>
          <w:i/>
          <w:color w:val="000000"/>
        </w:rPr>
      </w:pPr>
      <w:r>
        <w:rPr>
          <w:i/>
        </w:rPr>
        <w:t xml:space="preserve">Pentru a furniza informațiile </w:t>
      </w:r>
      <w:r>
        <w:rPr>
          <w:i/>
          <w:color w:val="000000"/>
        </w:rPr>
        <w:t xml:space="preserve">din prezenta secțiune, vă rugăm să consultați secțiunea 4.9.3.1 (punctele 379 și 380) din OACME.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Punctul 379 din OACME prevede că, în ceea ce privește infrastructura energetică, disfuncționalitățile pieței sunt, de obicei, soluționate/finanțate prin intermediul unor tarife obligatorii pentru utilizatori, aceste tarife fiind reglementate. Cu toate acestea, astfel cum se menționează la punctul 380 din OACME, este posibil ca acest lucru să nu fie întotdeauna valabil. Vă rugăm să explicați în ce măsură măsura soluționează disfuncționalitățile pieței care nu pot fi abordate prin intermediul tarifelor obligatorii pentru utilizatori.</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Pentru a demonstra necesitatea și caracterul adecvat al ajutorului de stat, vă rugăm să precizați în care dintre următoarele situații trebuie evaluat proiectul notificat:</w:t>
      </w:r>
    </w:p>
    <w:p w14:paraId="14A4B66A" w14:textId="3266CF1A" w:rsidR="00C317A9" w:rsidRPr="00BA15DC" w:rsidRDefault="003618C5" w:rsidP="00C317A9">
      <w:pPr>
        <w:pStyle w:val="ListParagraph"/>
        <w:numPr>
          <w:ilvl w:val="0"/>
          <w:numId w:val="49"/>
        </w:numPr>
        <w:spacing w:before="120" w:after="120"/>
        <w:contextualSpacing w:val="0"/>
        <w:jc w:val="both"/>
      </w:pPr>
      <w:r>
        <w:t>proiectul notificat este un proiect de interes comun, astfel cum este definit la articolul 2 punctul (4) din Regulamentul (UE) nr. 347/2013, care face în întregime obiectul legislației privind piața internă a energiei. În această situație, Comisia consideră că există o prezumție de disfuncționalitate a pieței. Nu este necesar ca statul membru să justifice mai mult necesitatea și caracterul adecvat al ajutorului de stat sau</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proiectul notificat nu este un proiect de interes comun, astfel cum este definit mai sus, sau este un proiect de interes comun, dar este exceptat parțial sau integral de la aplicarea legislației privind piața internă a energiei sau</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proiectul nu este un proiect de interes comun și se desfășoară între Uniune și o țară terță.</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Dacă proiectul notificat se încadrează în situația menționată la punctul </w:t>
      </w:r>
      <w:r>
        <w:rPr>
          <w:b/>
        </w:rPr>
        <w:t>19.b</w:t>
      </w:r>
      <w:r>
        <w:t xml:space="preserve"> de mai sus, pentru a justifica necesitatea și caracterul adecvat al măsurii, vă rugăm să explicați în ce măsură:</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(i) disfuncționalitatea pieței conduce la o realizare sub nivelul optim a infrastructurii necesare;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infrastructura este deschisă accesului terților și face obiectul reglementării tarifare; </w:t>
      </w:r>
    </w:p>
    <w:p w14:paraId="481FBBA1" w14:textId="1EE21959" w:rsidR="0042660D" w:rsidRPr="00BA15DC" w:rsidRDefault="00D812B2" w:rsidP="00046FE3">
      <w:pPr>
        <w:pStyle w:val="ListParagraph"/>
        <w:numPr>
          <w:ilvl w:val="0"/>
          <w:numId w:val="52"/>
        </w:numPr>
        <w:spacing w:before="120" w:after="120"/>
        <w:contextualSpacing w:val="0"/>
        <w:jc w:val="both"/>
      </w:pPr>
      <w:r>
        <w:lastRenderedPageBreak/>
        <w:t xml:space="preserve">proiectul contribuie la siguranța alimentării cu energie în Uniune sau la obiectivele de neutralitate climatică ale Uniunii.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Dacă proiectul se află în situația menționată la punctul </w:t>
      </w:r>
      <w:r>
        <w:rPr>
          <w:b/>
        </w:rPr>
        <w:t>19.c</w:t>
      </w:r>
      <w:r>
        <w:t xml:space="preserve">, vă rugăm să explicați dacă (i) pentru partea de infrastructură situată pe teritoriul Uniunii, proiectul este construit și exploatat în conformitate cu legislația Uniunii, în special cu Directivele 2009/73/CE și (UE) 2019/944, și (ii) pentru partea situată în țara terță sau țările terțe implicate, proiectul are un nivel ridicat de aliniere normativă și sprijină obiectivele generale ale Uniunii, în special pentru a asigura: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o piață internă a energiei care funcționează bine;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siguranța alimentării cu energie bazată pe cooperare și solidaritate; </w:t>
      </w:r>
    </w:p>
    <w:p w14:paraId="6F1E0EF7" w14:textId="78DFE7A8" w:rsidR="0097238E" w:rsidRPr="00BA15DC" w:rsidRDefault="003618C5" w:rsidP="0097238E">
      <w:pPr>
        <w:pStyle w:val="ListParagraph"/>
        <w:numPr>
          <w:ilvl w:val="0"/>
          <w:numId w:val="53"/>
        </w:numPr>
        <w:spacing w:before="120" w:after="120"/>
        <w:contextualSpacing w:val="0"/>
        <w:jc w:val="both"/>
      </w:pPr>
      <w:r>
        <w:t>un sistem energetic în curs de decarbonizare, în conformitate cu Acordul de la Paris și cu obiectivele climatice ale Uniunii, în special</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evitarea relocării emisiilor de dioxid de carbon.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Proporționalitatea ajutorului</w:t>
            </w:r>
            <w:r>
              <w:rPr>
                <w:sz w:val="24"/>
              </w:rPr>
              <w:t xml:space="preserve"> </w:t>
            </w:r>
          </w:p>
        </w:tc>
      </w:tr>
    </w:tbl>
    <w:p w14:paraId="0190ED95" w14:textId="0D5F8F39" w:rsidR="001620DB" w:rsidRPr="00BA15DC" w:rsidRDefault="001620DB" w:rsidP="001620DB">
      <w:pPr>
        <w:pStyle w:val="ListParagraph"/>
        <w:spacing w:before="120" w:after="120"/>
        <w:ind w:left="567"/>
        <w:contextualSpacing w:val="0"/>
        <w:jc w:val="both"/>
      </w:pPr>
      <w:r>
        <w:rPr>
          <w:i/>
        </w:rPr>
        <w:t>Pentru a furniza informațiile din prezenta secțiune, vă rugăm să consultați punctele</w:t>
      </w:r>
      <w:r w:rsidR="007D53F4">
        <w:rPr>
          <w:i/>
        </w:rPr>
        <w:t> </w:t>
      </w:r>
      <w:r>
        <w:rPr>
          <w:i/>
        </w:rPr>
        <w:t>51</w:t>
      </w:r>
      <w:r w:rsidR="007D53F4">
        <w:rPr>
          <w:i/>
        </w:rPr>
        <w:t>­</w:t>
      </w:r>
      <w:r>
        <w:rPr>
          <w:i/>
        </w:rPr>
        <w:t>52 și 381 din OACME.</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În temeiul punctului 51 din OACME, costurile suplimentare nete tipice pot fi estimate ca diferența dintre valoarea actualizată netă (VAN) pentru scenariul factual și pentru scenariul contrafactual pe durata de viață a proiectului sau pentru fiecare proiect de referință, după caz. În cazul în care scenariul contrafactual este că proiectul nu va fi pus în aplicare (a se vedea punctul 52 din OACME), VAN negativă a scenariului factual este egală cu costurile suplimentare nete. </w:t>
      </w:r>
    </w:p>
    <w:p w14:paraId="2FF71764" w14:textId="253C5AA4" w:rsidR="001620DB" w:rsidRPr="00BA15DC" w:rsidRDefault="00095D42" w:rsidP="00095D42">
      <w:pPr>
        <w:pStyle w:val="ListParagraph"/>
        <w:spacing w:before="120" w:after="120"/>
        <w:ind w:left="567"/>
        <w:contextualSpacing w:val="0"/>
        <w:jc w:val="both"/>
      </w:pPr>
      <w:r>
        <w:t>Vă rugăm să furnizați următoarele elemente într-o anexă la prezentul formular de notificare (utilizând un fișier Excel</w:t>
      </w:r>
      <w:r>
        <w:rPr>
          <w:shd w:val="clear" w:color="auto" w:fill="FFFFFF"/>
        </w:rPr>
        <w:t xml:space="preserve"> în care să fie vizibile toate formulele</w:t>
      </w:r>
      <w:r>
        <w:t>).</w:t>
      </w:r>
    </w:p>
    <w:p w14:paraId="2B6DDCC1" w14:textId="789E1B21" w:rsidR="006F666A" w:rsidRPr="00BA15DC" w:rsidRDefault="00BB01D8" w:rsidP="00EA272E">
      <w:pPr>
        <w:pStyle w:val="ListParagraph"/>
        <w:numPr>
          <w:ilvl w:val="0"/>
          <w:numId w:val="32"/>
        </w:numPr>
        <w:spacing w:before="120" w:after="120"/>
        <w:contextualSpacing w:val="0"/>
        <w:jc w:val="both"/>
      </w:pPr>
      <w:r>
        <w:rPr>
          <w:shd w:val="clear" w:color="auto" w:fill="FFFFFF"/>
        </w:rPr>
        <w:t>P</w:t>
      </w:r>
      <w:r w:rsidR="007C0C88">
        <w:rPr>
          <w:shd w:val="clear" w:color="auto" w:fill="FFFFFF"/>
        </w:rPr>
        <w:t>entru a stabili deficitul de finanțare</w:t>
      </w:r>
      <w:r w:rsidR="00A84D63" w:rsidRPr="00BA15DC">
        <w:rPr>
          <w:rStyle w:val="FootnoteReference"/>
          <w:shd w:val="clear" w:color="auto" w:fill="FFFFFF"/>
        </w:rPr>
        <w:footnoteReference w:id="8"/>
      </w:r>
      <w:r w:rsidR="007C0C88">
        <w:rPr>
          <w:shd w:val="clear" w:color="auto" w:fill="FFFFFF"/>
        </w:rPr>
        <w:t>, vă rugăm să prezentați o cuantificare, pentru scenariul factual, a:</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tuturor costurilor și veniturilor principale ale proiectului;</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costului mediu ponderat al capitalului (CMPC) estimat al beneficiarilor pentru actualizarea fluxurilor de numerar viitoare;</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valorii actualizate nete (VAN) pentru scenariul factual, pe întreaga durată de viață a proiectului.</w:t>
      </w:r>
    </w:p>
    <w:p w14:paraId="6B0BF531" w14:textId="4F658AA8" w:rsidR="00F05162" w:rsidRPr="00BA15DC" w:rsidRDefault="007D53F4" w:rsidP="00F05162">
      <w:pPr>
        <w:tabs>
          <w:tab w:val="left" w:leader="dot" w:pos="9072"/>
        </w:tabs>
        <w:spacing w:before="120" w:after="120"/>
        <w:ind w:left="567"/>
        <w:jc w:val="both"/>
      </w:pPr>
      <w:r>
        <w:rPr>
          <w:shd w:val="clear" w:color="auto" w:fill="FFFFFF"/>
        </w:rPr>
        <w:t xml:space="preserve"> </w:t>
      </w:r>
      <w:r w:rsidR="00F05162">
        <w:tab/>
      </w:r>
    </w:p>
    <w:p w14:paraId="32D73315" w14:textId="6483BFFD"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Vă rugăm să includeți într-o anexă la prezentul formular de notificare informații detaliate privind ipotezele, metodologiile, justificările și sursele subiacente ale acestora, utilizate pentru fiecare aspect al cuantificării costurilor și veniturilor în </w:t>
      </w:r>
      <w:r>
        <w:rPr>
          <w:shd w:val="clear" w:color="auto" w:fill="FFFFFF"/>
        </w:rPr>
        <w:lastRenderedPageBreak/>
        <w:t>scenariul factual (de exemplu, vă rugăm să includeți ipotezele utilizate pentru elaborarea scenariului factual)</w:t>
      </w:r>
      <w:r w:rsidR="00BB01D8">
        <w:rPr>
          <w:shd w:val="clear" w:color="auto" w:fill="FFFFFF"/>
        </w:rPr>
        <w:t>.</w:t>
      </w:r>
      <w:r>
        <w:rPr>
          <w:shd w:val="clear" w:color="auto" w:fill="FFFFFF"/>
        </w:rPr>
        <w:t xml:space="preserve">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În temeiul punctului 53 din OACME, în cazul măsurilor și al schemelor de ajutoare individuale care aduc beneficii unui număr extrem de mic de beneficiari, statul membru trebuie să prezinte documentele justificative la nivelul planului de afaceri detaliat al proiectului.</w:t>
      </w:r>
    </w:p>
    <w:p w14:paraId="584CA833" w14:textId="436A6E2D" w:rsidR="00124B6F" w:rsidRPr="00C34CB6" w:rsidRDefault="00C53C43" w:rsidP="00232CF6">
      <w:pPr>
        <w:pStyle w:val="ListParagraph"/>
        <w:spacing w:before="120" w:after="120"/>
        <w:ind w:left="567"/>
        <w:contextualSpacing w:val="0"/>
        <w:jc w:val="both"/>
      </w:pPr>
      <w:r>
        <w:t>În cazul schemelor de ajutoare, statul membru trebuie să prezinte documentele justificative pe baza unuia sau mai multor proiecte de referință.</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Pentru a permite Comisiei să verifice că valoarea ajutorului nu depășește minimul necesar pentru ca proiectul care beneficiază de ajutor să fie suficient de profitabil</w:t>
      </w:r>
      <w:r w:rsidR="00DE525C" w:rsidRPr="00BA15DC">
        <w:rPr>
          <w:rStyle w:val="FootnoteReference"/>
          <w:lang w:eastAsia="en-GB"/>
        </w:rPr>
        <w:footnoteReference w:id="9"/>
      </w:r>
      <w:r>
        <w:t>, vă rugăm să furnizați următoarele informații:</w:t>
      </w:r>
    </w:p>
    <w:p w14:paraId="020A0406" w14:textId="40D27EEF" w:rsidR="00EC2A7D" w:rsidRPr="00BA15DC" w:rsidRDefault="00EC2A7D" w:rsidP="00C003E3">
      <w:pPr>
        <w:pStyle w:val="ListParagraph"/>
        <w:numPr>
          <w:ilvl w:val="1"/>
          <w:numId w:val="4"/>
        </w:numPr>
        <w:spacing w:before="120" w:after="120"/>
        <w:contextualSpacing w:val="0"/>
        <w:jc w:val="both"/>
      </w:pPr>
      <w:r>
        <w:t>rata internă de rentabilitate (RIR) corespunzătoare ratei de referință sau pragului minim acceptabil de rentabilitate specifice sectorului sau întreprinderii sau</w:t>
      </w:r>
    </w:p>
    <w:p w14:paraId="056D5BF9" w14:textId="64F3B5CD" w:rsidR="00AB47A1" w:rsidRPr="00BA15DC" w:rsidRDefault="007315B8" w:rsidP="00C003E3">
      <w:pPr>
        <w:pStyle w:val="ListParagraph"/>
        <w:numPr>
          <w:ilvl w:val="1"/>
          <w:numId w:val="4"/>
        </w:numPr>
        <w:spacing w:before="120" w:after="120"/>
        <w:contextualSpacing w:val="0"/>
        <w:jc w:val="both"/>
      </w:pPr>
      <w:r>
        <w:t>ratele normale de rentabilitate cerute de beneficiar în alte proiecte de investiții similare, costul capitalului său în ansamblu sau</w:t>
      </w:r>
    </w:p>
    <w:p w14:paraId="13B46137" w14:textId="062C7DC0" w:rsidR="0029714D" w:rsidRPr="00BA15DC" w:rsidRDefault="007315B8" w:rsidP="00C003E3">
      <w:pPr>
        <w:pStyle w:val="ListParagraph"/>
        <w:numPr>
          <w:ilvl w:val="1"/>
          <w:numId w:val="4"/>
        </w:numPr>
        <w:spacing w:before="120" w:after="120"/>
        <w:contextualSpacing w:val="0"/>
        <w:jc w:val="both"/>
      </w:pPr>
      <w:r>
        <w:t>randamentele observate în mod obișnuit în sectorul în cauză sau</w:t>
      </w:r>
    </w:p>
    <w:p w14:paraId="0691A0E0" w14:textId="27443E78" w:rsidR="00445F48" w:rsidRPr="00BA15DC" w:rsidRDefault="001622D8" w:rsidP="00C003E3">
      <w:pPr>
        <w:pStyle w:val="ListParagraph"/>
        <w:numPr>
          <w:ilvl w:val="1"/>
          <w:numId w:val="4"/>
        </w:numPr>
        <w:spacing w:before="120" w:after="120"/>
        <w:contextualSpacing w:val="0"/>
        <w:jc w:val="both"/>
      </w:pPr>
      <w:r>
        <w:t>orice alte informații care justifică faptul că valoarea ajutorului nu depășește minimul necesar pentru ca proiectul care beneficiază de ajutor să fie suficient de profitabil.</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În conformitate cu punctul 381 din OACME, în cazul în care valoarea ajutorului este apropiată de maximul permis și în cazul în care există un risc de profituri excepționale, poate fi necesar un mecanism de monitorizare și de recuperare, menținând în același timp motivația beneficiarilor de a-și reduce la minimum costurile și de a-și dezvolta activitatea într-un mod mai eficient de-a lungul timpului. Vă rugăm să explicați dacă există vreun mecanism de monitorizare și de recuperare. Dacă nu, vă rugăm să explicați de ce.</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Cumularea</w:t>
            </w:r>
          </w:p>
        </w:tc>
      </w:tr>
    </w:tbl>
    <w:p w14:paraId="2346A85D" w14:textId="72F525D8" w:rsidR="00B21377" w:rsidRPr="00BA15DC" w:rsidRDefault="00B21377" w:rsidP="00B21377">
      <w:pPr>
        <w:pStyle w:val="ListParagraph"/>
        <w:spacing w:before="120" w:after="120"/>
        <w:ind w:left="567"/>
        <w:contextualSpacing w:val="0"/>
        <w:jc w:val="both"/>
      </w:pPr>
      <w:r>
        <w:rPr>
          <w:i/>
        </w:rPr>
        <w:t>Pentru a furniza informațiile din prezenta secțiune, vă rugăm să consultați punctele 56-57 din OACME.</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Dacă acest lucru nu au fost făcut deja în secțiunea 7.4 din Formularul de informații generale (Partea I) și pentru a se verifica conformitatea cu punctul 56 din OACME, vă rugăm să clarificați dacă ajutoarele din cadrul măsurii (măsurilor) notificate pot fi acordate simultan în cadrul mai multor scheme de ajutoare sau pot fi cumulate cu ajutoare ad hoc sau de minimis în legătură cu aceleași costuri eligibile. În acest caz, vă rugăm să furnizați detalii cu privire la respectivele scheme de ajutoare, ajutoare ad hoc </w:t>
      </w:r>
      <w:r>
        <w:lastRenderedPageBreak/>
        <w:t>sau ajutoare de minimis și cu privire la modul în care vor fi cumulate ajutoarele. Vă rugăm să aveți în vedere că aveți posibilitatea de a vă referi la cuantificarea furnizată mai sus.</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Dacă ajutoarele sunt acordate simultan în cadrul mai multor scheme de ajutoare sau sunt cumulate cu ajutoare ad hoc sau de minimis în legătură cu aceleași costuri eligibile, vă rugăm să justificați modul în care cuantumul total al ajutoarelor acordate unui proiect sau unei activități în cadrul măsurii (măsurilor) notificate nu conduce la supracompensare sau nu depășește cuantumul maxim al ajutorului permis în temeiul punctelor 51 și 381 din OACME. Vă rugăm să precizați, pentru fiecare măsură cu care poate fi cumulat ajutorul acordat în cadrul măsurii (măsurilor) de ajutor notificate, metoda utilizată pentru asigurarea conformității cu condițiile prevăzute la punctul 56 din OACME.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În cazul în care ajutorul acordat în cadrul măsurii (măsurilor) notificate este combinat cu finanțări din partea Uniunii gestionate la nivel central în temeiul punctului 57 din OACME</w:t>
      </w:r>
      <w:r w:rsidR="009B2F61" w:rsidRPr="00BA15DC">
        <w:rPr>
          <w:rStyle w:val="FootnoteReference"/>
          <w:lang w:eastAsia="en-GB"/>
        </w:rPr>
        <w:footnoteReference w:id="10"/>
      </w:r>
      <w:r>
        <w:t xml:space="preserve">, vă rugăm să justificați modul în care </w:t>
      </w:r>
      <w:r>
        <w:rPr>
          <w:shd w:val="clear" w:color="auto" w:fill="FFFFFF"/>
        </w:rPr>
        <w:t>cuantumul total al finanțării publice acordate în legătură cu aceleași costuri eligibile nu conduce la supracompensare.</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Transparență</w:t>
            </w:r>
          </w:p>
        </w:tc>
      </w:tr>
    </w:tbl>
    <w:p w14:paraId="07229A8F" w14:textId="24C7C0FA" w:rsidR="006773CE" w:rsidRPr="00BA15DC" w:rsidRDefault="006773CE" w:rsidP="003B0EFB">
      <w:pPr>
        <w:spacing w:before="120" w:after="120"/>
        <w:jc w:val="both"/>
        <w:rPr>
          <w:i/>
        </w:rPr>
      </w:pPr>
      <w:r>
        <w:rPr>
          <w:i/>
        </w:rPr>
        <w:t xml:space="preserve">Pentru a furniza informațiile din prezenta secțiune, vă rugăm să consultați secțiunea 3.2.1.4 (punctele 58-62) din OACME.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Vă rugăm să confirmați că statul membru va respecta cerințele privind transparența prevăzute la punctele 58-61 din OACME.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Vă rugăm să furnizați linkul unde vor fi publicate textul integral al schemei de ajutoare aprobate sau al deciziei privind acordarea unui ajutor individual și al dispozițiilor de punere în aplicare a acesteia, precum și informații privind fiecare ajutor individual, acordat ad hoc sau în cadrul unei scheme de ajutoare, care a fost aprobat pe baza OACME și care depășește 100 000 EUR.</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Evitarea efectelor negative nejustificate ale ajutorului asupra concurenței și a schimburilor comerciale și echilibrarea</w:t>
            </w:r>
          </w:p>
        </w:tc>
      </w:tr>
    </w:tbl>
    <w:p w14:paraId="32B25629" w14:textId="6CBE1875" w:rsidR="00F83660" w:rsidRPr="00BA15DC" w:rsidRDefault="00F83660" w:rsidP="003B0EFB">
      <w:pPr>
        <w:spacing w:before="360" w:after="120"/>
        <w:jc w:val="both"/>
      </w:pPr>
      <w:r>
        <w:t>Pentru a furniza informațiile din prezenta secțiune, vă rugăm să consultați secțiunea 4.9.4 (punctul 382 și următoarele din OACME).</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lastRenderedPageBreak/>
        <w:t xml:space="preserve">Dacă proiectul notificat este exceptat, integral sau parțial, de la aplicarea legislației privind piața internă a energiei, vă rugăm să explicați: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în ce măsură infrastructura care beneficiază de ajutor este deschisă accesului terților;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în ce măsură clienții pot avea acces la infrastructuri alternative, dacă acestea există; </w:t>
      </w:r>
    </w:p>
    <w:p w14:paraId="14CAE043" w14:textId="0F765E36" w:rsidR="009013F3" w:rsidRPr="00BA15DC" w:rsidRDefault="009C221E" w:rsidP="00232CF6">
      <w:pPr>
        <w:pStyle w:val="ListParagraph"/>
        <w:numPr>
          <w:ilvl w:val="0"/>
          <w:numId w:val="53"/>
        </w:numPr>
        <w:spacing w:before="120" w:after="120"/>
        <w:contextualSpacing w:val="0"/>
        <w:jc w:val="both"/>
      </w:pPr>
      <w:r>
        <w:t>în ce măsură proiectul ar putea duce la excluderea investițiilor private;</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poziția concurențială a beneficiarului (beneficiarilor), atât în ceea ce privește exploatarea infrastructurii, cât și în ceea ce privește piețele relevante ale produselor pentru bunul transportat prin intermediul infrastructurii.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Dacă proiectul notificat este o infrastructură de gaze naturale, vă rugăm să furnizați informații cu privire la modul în care proiectul notificat va îndeplini următoarele condiții:</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infrastructura este pregătită pentru utilizarea hidrogenului și conduce la o creștere a utilizării gazelor din surse regenerabile sau, ca alternativă, motivul pentru care proiectul nu poate fi conceput astfel încât să fie pregătit pentru utilizarea hidrogenului și modul în care proiectul evită crearea unui efect de creare de dependență pentru utilizarea gazelor naturale; </w:t>
      </w:r>
    </w:p>
    <w:p w14:paraId="49495890" w14:textId="19234331" w:rsidR="009013F3" w:rsidRDefault="009013F3" w:rsidP="00232CF6">
      <w:pPr>
        <w:pStyle w:val="ListParagraph"/>
        <w:numPr>
          <w:ilvl w:val="0"/>
          <w:numId w:val="53"/>
        </w:numPr>
        <w:spacing w:before="120" w:after="120"/>
        <w:contextualSpacing w:val="0"/>
        <w:jc w:val="both"/>
      </w:pPr>
      <w:r>
        <w:t>investițiile contribuie la atingerea obiectivului climatic pentru 2030 și a obiectivului neutralității climatice până în 2050 urmărite de Uniune.</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Dacă proiectul notificat este un proiect de interes comun sau un proiect de interes reciproc care nu face obiectul legislației privind piața internă, vă rugăm să explicați care va fi impactul proiectului asupra piețelor serviciilor conexe, precum și asupra altor piețe de servicii.</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Evaluare</w:t>
            </w:r>
          </w:p>
        </w:tc>
      </w:tr>
    </w:tbl>
    <w:p w14:paraId="78AC9B95" w14:textId="1FB76E7E" w:rsidR="00C33721" w:rsidRPr="00BA15DC" w:rsidRDefault="00C33721" w:rsidP="004F3B88">
      <w:pPr>
        <w:tabs>
          <w:tab w:val="left" w:leader="dot" w:pos="9072"/>
        </w:tabs>
        <w:spacing w:before="120" w:after="120"/>
        <w:ind w:left="567"/>
        <w:jc w:val="both"/>
        <w:rPr>
          <w:i/>
          <w:iCs/>
        </w:rPr>
      </w:pPr>
      <w:r>
        <w:rPr>
          <w:i/>
        </w:rPr>
        <w:t>Pentru a furniza informațiile din prezenta secțiune, vă rugăm să consultați punctul 76 litera (a) și capitolul 5 (punctele 455-463) din OACME.</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În cazul în care măsura (măsurile) notificată (notificate) depășește (depășesc) pragurile bugetare/de cheltuieli de la punctul 456 din OACME, vă rugăm fie să explicați de ce, în opinia dumneavoastră, ar trebui să se aplice excepția de la punctul 457 din OACME, fie să anexați la prezentul formular de notificare o anexă care să includă un proiect de plan de evaluare care să acopere domeniul de aplicare menționat la punctul 458 din OACME</w:t>
      </w:r>
      <w:r w:rsidRPr="00BA15DC">
        <w:rPr>
          <w:vertAlign w:val="superscript"/>
          <w:lang w:eastAsia="en-GB"/>
        </w:rPr>
        <w:footnoteReference w:id="11"/>
      </w:r>
      <w:r>
        <w: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lastRenderedPageBreak/>
        <w:t>În cazul în care se furnizează un proiect de plan de evaluare, vă rugăm:</w:t>
      </w:r>
    </w:p>
    <w:p w14:paraId="08BAA496" w14:textId="23665408" w:rsidR="009618E4" w:rsidRPr="00BA15DC" w:rsidRDefault="009618E4" w:rsidP="009618E4">
      <w:pPr>
        <w:numPr>
          <w:ilvl w:val="0"/>
          <w:numId w:val="61"/>
        </w:numPr>
        <w:spacing w:before="120" w:after="120"/>
        <w:jc w:val="both"/>
      </w:pPr>
      <w:r>
        <w:t>să furnizați în continuare un rezumat al respectivului proiect de plan de evaluare inclus în anexă;</w:t>
      </w:r>
    </w:p>
    <w:p w14:paraId="7B48B620" w14:textId="77777777" w:rsidR="009618E4" w:rsidRPr="00BA15DC" w:rsidRDefault="009618E4" w:rsidP="009618E4">
      <w:pPr>
        <w:spacing w:before="120" w:after="120"/>
        <w:ind w:left="1440"/>
        <w:jc w:val="both"/>
      </w:pPr>
      <w:r>
        <w:t>………………………………………………………………………………….</w:t>
      </w:r>
    </w:p>
    <w:p w14:paraId="2F7FED33" w14:textId="27B289B4" w:rsidR="009618E4" w:rsidRPr="00BA15DC" w:rsidRDefault="009618E4" w:rsidP="009618E4">
      <w:pPr>
        <w:numPr>
          <w:ilvl w:val="0"/>
          <w:numId w:val="61"/>
        </w:numPr>
        <w:spacing w:before="120" w:after="120"/>
        <w:jc w:val="both"/>
      </w:pPr>
      <w:r>
        <w:t>să confirmați că punctul 460 din OACME va fi respectat;</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să indicați data și linkul la care planul de evaluare va fi pus la dispoziția publicului.</w:t>
      </w:r>
    </w:p>
    <w:p w14:paraId="708085DD" w14:textId="77777777" w:rsidR="009618E4" w:rsidRPr="00BA15DC" w:rsidRDefault="009618E4" w:rsidP="009618E4">
      <w:pPr>
        <w:spacing w:before="120" w:after="120"/>
        <w:ind w:left="1440"/>
        <w:jc w:val="both"/>
      </w:pP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Pentru a verifica conformitatea cu punctul 459 litera (b) din OACME, în cazul în care schema de ajutoare nu face în prezent obiectul unei evaluări </w:t>
      </w:r>
      <w:r>
        <w:rPr>
          <w:i/>
        </w:rPr>
        <w:t>ex post</w:t>
      </w:r>
      <w:r>
        <w:t xml:space="preserve"> și durata sa depășește trei ani, vă rugăm să confirmați că veți notifica un proiect de plan de evaluare în termen de 30 de zile lucrătoare de la o modificare semnificativă care majorează bugetul schemei la peste 150 de milioane EUR într-un anumit an sau 750 de milioane EUR pe durata totală a schemei.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Pentru a verifica conformitatea cu punctul 459 litera (c) din OACME, în cazul în care schema de ajutoare nu face în prezent obiectul unei evaluări </w:t>
      </w:r>
      <w:r>
        <w:rPr>
          <w:i/>
        </w:rPr>
        <w:t>ex post</w:t>
      </w:r>
      <w:r>
        <w:t xml:space="preserve">, vă rugăm să furnizați mai jos angajamentul că statul membru va notifica un proiect de plan de evaluare </w:t>
      </w:r>
      <w:r>
        <w:rPr>
          <w:shd w:val="clear" w:color="auto" w:fill="FFFFFF"/>
        </w:rPr>
        <w:t>în termen de 30 de zile lucrătoare de la contabilizarea oficială a unor cheltuieli de peste 150 de milioane EUR în anul precedent</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Pentru a verifica conformitatea cu punctul 461 din OACME:</w:t>
      </w:r>
    </w:p>
    <w:p w14:paraId="3F285296" w14:textId="77777777" w:rsidR="009618E4" w:rsidRPr="00BA15DC" w:rsidRDefault="009618E4" w:rsidP="009618E4">
      <w:pPr>
        <w:numPr>
          <w:ilvl w:val="0"/>
          <w:numId w:val="62"/>
        </w:numPr>
        <w:spacing w:before="120" w:after="120"/>
        <w:jc w:val="both"/>
      </w:pPr>
      <w:r>
        <w:t>Vă rugăm să clarificați dacă expertul independent a fost deja selectat sau dacă va fi selectat în viitor.</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Vă rugăm să furnizați informații privind procedura de selecție a expertului.</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Vă rugăm să justificați modul în care expertul este independent de autoritatea care acordă ajutorul.</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Pentru a verifica conformitatea cu punctul 461 din OACME: </w:t>
      </w:r>
    </w:p>
    <w:p w14:paraId="4F8AF9B0" w14:textId="77777777" w:rsidR="009618E4" w:rsidRPr="00BA15DC" w:rsidRDefault="009618E4" w:rsidP="009618E4">
      <w:pPr>
        <w:numPr>
          <w:ilvl w:val="0"/>
          <w:numId w:val="63"/>
        </w:numPr>
        <w:spacing w:before="120" w:after="120"/>
        <w:jc w:val="both"/>
      </w:pPr>
      <w:r>
        <w:t>Vă rugăm să furnizați termenele propuse pentru transmiterea raportului de evaluare intermediar și final. Vă atragem atenția asupra faptului că raportul final de evaluare trebuie transmis Comisiei în timp util pentru a permite analizarea posibilității de prelungire a schemei de ajutoare și cel târziu cu 9 luni înainte de expirarea acesteia, în conformitate cu punctul 463 din OACME. Vă atragem atenția asupra faptului că acest termen-limită ar putea fi redus pentru schemele care declanșează cerința de evaluare în ultimii doi ani de punere în aplicare.</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lastRenderedPageBreak/>
        <w:t xml:space="preserve">Vă rugăm să confirmați că raportul de evaluare intermediar și cel final vor fi făcute publice. Vă rugăm să indicați data și linkul la care rapoartele respective vor fi puse la dispoziția publicului.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Raportarea și monitorizarea</w:t>
            </w:r>
          </w:p>
        </w:tc>
      </w:tr>
    </w:tbl>
    <w:p w14:paraId="21EA55F3" w14:textId="77777777" w:rsidR="009618E4" w:rsidRPr="00BA15DC" w:rsidRDefault="009618E4" w:rsidP="004F3B88">
      <w:pPr>
        <w:tabs>
          <w:tab w:val="left" w:leader="dot" w:pos="9072"/>
        </w:tabs>
        <w:spacing w:before="120" w:after="120"/>
        <w:ind w:left="567"/>
        <w:jc w:val="both"/>
      </w:pPr>
      <w:r>
        <w:rPr>
          <w:i/>
        </w:rPr>
        <w:t>Pentru a furniza informațiile din prezenta secțiune, vă rugăm să consultați secțiunea 6 (punctele 464-465) din OACME.</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Vă rugăm să confirmați că statul membru va respecta cerințele de raportare și monitorizare prevăzute în secțiunea 6, punctele 464 și 465 din OACME.</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rsidR="00F66796">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JO C 80, 18.2.2022, p. 1.</w:t>
      </w:r>
    </w:p>
  </w:footnote>
  <w:footnote w:id="3">
    <w:p w14:paraId="74C65A5D" w14:textId="77777777" w:rsidR="008E3BF9" w:rsidRPr="0067348B" w:rsidRDefault="008E3BF9" w:rsidP="008E3BF9">
      <w:pPr>
        <w:pStyle w:val="FootnoteText"/>
      </w:pPr>
      <w:r>
        <w:rPr>
          <w:rStyle w:val="FootnoteReference"/>
        </w:rPr>
        <w:footnoteRef/>
      </w:r>
      <w:r>
        <w:tab/>
        <w:t>Vă atragem atenția asupra faptului că, în cazul unei scheme de ajutoare, durata este perioada în care ajutoarele pot fi solicitate și decise (incluzând, prin urmare, timpul necesar autorităților naționale pentru aprobarea cererilor de ajutor). Durata menționată la această întrebare nu se referă la durata contractelor încheiate în cadrul schemei de ajutoare, care poate continua după perioada de valabilitate a măsurii.</w:t>
      </w:r>
    </w:p>
  </w:footnote>
  <w:footnote w:id="4">
    <w:p w14:paraId="5C28E81B" w14:textId="27D21C7E" w:rsidR="00F7269C" w:rsidRPr="0067348B" w:rsidRDefault="00F7269C" w:rsidP="00F7269C">
      <w:pPr>
        <w:pStyle w:val="FootnoteText"/>
      </w:pPr>
      <w:r>
        <w:rPr>
          <w:rStyle w:val="FootnoteReference"/>
        </w:rPr>
        <w:footnoteRef/>
      </w:r>
      <w:r>
        <w:tab/>
        <w:t>Vă atragem atenția asupra faptului că o modificare a bugetului real sau estimat poate fi o modificare a ajutorului, care necesită o nouă notificare.</w:t>
      </w:r>
    </w:p>
  </w:footnote>
  <w:footnote w:id="5">
    <w:p w14:paraId="561DACBB" w14:textId="58A17E1F" w:rsidR="00802D55" w:rsidRDefault="00802D55">
      <w:pPr>
        <w:pStyle w:val="FootnoteText"/>
      </w:pPr>
      <w:r>
        <w:rPr>
          <w:rStyle w:val="FootnoteReference"/>
        </w:rPr>
        <w:footnoteRef/>
      </w:r>
      <w:r>
        <w:t xml:space="preserve"> </w:t>
      </w:r>
      <w:r>
        <w:tab/>
        <w:t>A se vedea Hotărârea Curții de Justiție din 13 iunie 2013, HGA și alții/Comisia, C-630/11 P - C-633/11 P, ECLI:EU:C:2013:387, punctul 104.</w:t>
      </w:r>
    </w:p>
  </w:footnote>
  <w:footnote w:id="6">
    <w:p w14:paraId="4C19DBFC" w14:textId="0C434BAC" w:rsidR="00802D55" w:rsidRPr="004B74BC" w:rsidRDefault="00802D55">
      <w:pPr>
        <w:pStyle w:val="FootnoteText"/>
      </w:pPr>
      <w:r>
        <w:rPr>
          <w:rStyle w:val="FootnoteReference"/>
        </w:rPr>
        <w:footnoteRef/>
      </w:r>
      <w:r>
        <w:tab/>
        <w:t>În conformitate cu punctul 19 subpunctul 63 din OACME, „proiect de referință” înseamnă un exemplu de proiect care este reprezentativ pentru proiectul mediu dintr-o categorie de beneficiari eligibili pentru o schemă de ajutor;</w:t>
      </w:r>
    </w:p>
  </w:footnote>
  <w:footnote w:id="7">
    <w:p w14:paraId="01EFD49C" w14:textId="77777777" w:rsidR="00801D5A" w:rsidRDefault="00801D5A" w:rsidP="00801D5A">
      <w:pPr>
        <w:pStyle w:val="FootnoteText"/>
      </w:pPr>
      <w:r>
        <w:rPr>
          <w:rStyle w:val="FootnoteReference"/>
        </w:rPr>
        <w:footnoteRef/>
      </w:r>
      <w:r>
        <w:t xml:space="preserve"> </w:t>
      </w:r>
      <w:r>
        <w:tab/>
        <w:t>În conformitate cu punctul 19 subpunctul 89 din OACME, „standard al Uniunii” înseamnă:</w:t>
      </w:r>
    </w:p>
    <w:p w14:paraId="68BC0B8F" w14:textId="77777777" w:rsidR="00801D5A" w:rsidRPr="004B74BC" w:rsidRDefault="00801D5A" w:rsidP="00801D5A">
      <w:pPr>
        <w:pStyle w:val="FootnoteText"/>
        <w:numPr>
          <w:ilvl w:val="0"/>
          <w:numId w:val="46"/>
        </w:numPr>
        <w:rPr>
          <w:i/>
        </w:rPr>
      </w:pPr>
      <w:r>
        <w:rPr>
          <w:i/>
        </w:rPr>
        <w:t>un standard obligatoriu al Uniunii care stabilește nivelurile care trebuie atinse în ceea ce privește mediul de către întreprinderi în mod individual, excluzând standardele sau obiectivele stabilite la nivelul Uniunii care sunt obligatorii din punct de vedere juridic pentru statele membre, însă nu și pentru întreprinderile individuale;</w:t>
      </w:r>
    </w:p>
    <w:p w14:paraId="11145135" w14:textId="23A8CC97" w:rsidR="00801D5A" w:rsidRDefault="00801D5A" w:rsidP="00801D5A">
      <w:pPr>
        <w:pStyle w:val="FootnoteText"/>
        <w:numPr>
          <w:ilvl w:val="0"/>
          <w:numId w:val="46"/>
        </w:numPr>
      </w:pPr>
      <w:r>
        <w:rPr>
          <w:i/>
        </w:rPr>
        <w:t>obligația de a utiliza cele mai bune tehnici disponibile (BAT) definite în Directiva 2010/75/UE și de a se asigura că nivelurile de emisie nu le depășesc pe cele care s-ar fi înregistrat prin aplicarea BAT; dacă nivelurile de emisie asociate BAT au fost definite în actele de punere în aplicare adoptate în temeiul Directivei 2010/75/UE sau în temeiul altor directive aplicabile, acele niveluri se vor aplica în sensul prezentelor orientări; dacă nivelurile respective sunt exprimate ca interval, va fi aplicabilă numai limita în care se atinge BAT pentru prima dată în ceea ce privește întreprinderea în cauză.</w:t>
      </w:r>
    </w:p>
  </w:footnote>
  <w:footnote w:id="8">
    <w:p w14:paraId="6589188F" w14:textId="70D9D8AA" w:rsidR="00802D55" w:rsidRDefault="00802D55">
      <w:pPr>
        <w:pStyle w:val="FootnoteText"/>
      </w:pPr>
      <w:r>
        <w:rPr>
          <w:rStyle w:val="FootnoteReference"/>
        </w:rPr>
        <w:footnoteRef/>
      </w:r>
      <w:r>
        <w:tab/>
        <w:t xml:space="preserve">Punctul 51 din OACME prevede că </w:t>
      </w:r>
      <w:r>
        <w:rPr>
          <w:i/>
        </w:rPr>
        <w:t>„</w:t>
      </w:r>
      <w:r>
        <w:rPr>
          <w:i/>
          <w:color w:val="000000"/>
          <w:shd w:val="clear" w:color="auto" w:fill="FFFFFF"/>
        </w:rPr>
        <w:t>costul suplimentar net tipic poate fi estimat ca diferența dintre VAN pentru scenariul factual și pentru scenariul contrafactual pe durata de viață a proiectului de referință”.</w:t>
      </w:r>
    </w:p>
  </w:footnote>
  <w:footnote w:id="9">
    <w:p w14:paraId="4E6E256B" w14:textId="4AB0B555" w:rsidR="00802D55" w:rsidRDefault="00802D55">
      <w:pPr>
        <w:pStyle w:val="FootnoteText"/>
      </w:pPr>
      <w:r>
        <w:rPr>
          <w:rStyle w:val="FootnoteReference"/>
        </w:rPr>
        <w:footnoteRef/>
      </w:r>
      <w:r>
        <w:t xml:space="preserve"> </w:t>
      </w:r>
      <w:r>
        <w:tab/>
        <w:t xml:space="preserve">În conformitate cu nota de subsol 46 din OACME, vă atragem atenția asupra faptului că </w:t>
      </w:r>
      <w:r>
        <w:rPr>
          <w:i/>
        </w:rPr>
        <w:t>„toate costurile și beneficiile relevante preconizate trebuie să fie luate în considerare pe întreaga durată de viață a proiectului”.</w:t>
      </w:r>
    </w:p>
  </w:footnote>
  <w:footnote w:id="10">
    <w:p w14:paraId="086AD512" w14:textId="7087BE19" w:rsidR="00802D55" w:rsidRDefault="00802D55">
      <w:pPr>
        <w:pStyle w:val="FootnoteText"/>
      </w:pPr>
      <w:r>
        <w:rPr>
          <w:rStyle w:val="FootnoteReference"/>
        </w:rPr>
        <w:footnoteRef/>
      </w:r>
      <w:r>
        <w:t xml:space="preserve"> </w:t>
      </w:r>
      <w:r>
        <w:tab/>
        <w:t>Finanțările din partea Uniunii gestionate la nivel central constituie fonduri ale Uniunii gestionate la nivel central de instituții, de agenții, de întreprinderi comune sau de alte organisme ale Uniunii Europene care nu se află în mod direct sau indirect sub controlul statului membru.</w:t>
      </w:r>
    </w:p>
  </w:footnote>
  <w:footnote w:id="11">
    <w:p w14:paraId="0C0B9BEF" w14:textId="77777777" w:rsidR="009618E4" w:rsidRDefault="009618E4" w:rsidP="009618E4">
      <w:pPr>
        <w:pStyle w:val="FootnoteText"/>
      </w:pPr>
      <w:r>
        <w:rPr>
          <w:rStyle w:val="FootnoteReference"/>
        </w:rPr>
        <w:footnoteRef/>
      </w:r>
      <w:r>
        <w:t xml:space="preserve"> </w:t>
      </w:r>
      <w:r>
        <w:tab/>
        <w:t xml:space="preserve">Modelul fișei de informații suplimentare pentru notificarea unui plan de evaluare (partea III.8) este disponibil la adresa: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D53F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1D8"/>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ro-RO"/>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ro-RO"/>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Props1.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2.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4167</Words>
  <Characters>23629</Characters>
  <Application>Microsoft Office Word</Application>
  <DocSecurity>0</DocSecurity>
  <Lines>482</Lines>
  <Paragraphs>169</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NEAGU Simona Gabriela (DGT)</cp:lastModifiedBy>
  <cp:revision>4</cp:revision>
  <cp:lastPrinted>2022-04-12T14:59:00Z</cp:lastPrinted>
  <dcterms:created xsi:type="dcterms:W3CDTF">2024-09-05T12:35:00Z</dcterms:created>
  <dcterms:modified xsi:type="dcterms:W3CDTF">2024-10-08T10:28:00Z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