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326E83D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Část III.6</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Aktualizovaný* doplňkový informační list pro státní podporu poskytovanou podle Pokynů pro státní podporu v oblasti klimatu, životního prostředí a energetiky 2022</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Kapitola 4.9 – Podpora na energetickou infrastrukturu</w:t>
            </w:r>
          </w:p>
          <w:p w14:paraId="469DC4EF" w14:textId="5E9F59D2" w:rsidR="008E3BF9" w:rsidRPr="00BA15DC" w:rsidRDefault="008E3BF9" w:rsidP="008E3BF9">
            <w:pPr>
              <w:rPr>
                <w:sz w:val="32"/>
                <w:szCs w:val="32"/>
              </w:rPr>
            </w:pPr>
            <w:r>
              <w:t>* dosud formálně nepřijato</w:t>
            </w:r>
          </w:p>
        </w:tc>
      </w:tr>
    </w:tbl>
    <w:p w14:paraId="45497634" w14:textId="77777777" w:rsidR="008E3BF9" w:rsidRPr="00BA15DC" w:rsidRDefault="008E3BF9" w:rsidP="008E3BF9">
      <w:pPr>
        <w:spacing w:before="120" w:after="120"/>
        <w:ind w:right="-142"/>
        <w:jc w:val="both"/>
        <w:rPr>
          <w:i/>
          <w:iCs/>
        </w:rPr>
      </w:pPr>
      <w:r>
        <w:rPr>
          <w:i/>
        </w:rPr>
        <w:t>Tento doplňkový informační list musí být použit k oznámení podpor, na něž se vztahují Pokyny pro státní podporu v oblasti klimatu, životního prostředí a energetiky 2022 (dále jen „pokyny“).</w:t>
      </w:r>
    </w:p>
    <w:p w14:paraId="3912F2B6" w14:textId="18735016" w:rsidR="008E3BF9" w:rsidRPr="00BA15DC" w:rsidRDefault="008E3BF9" w:rsidP="009E2EA1">
      <w:pPr>
        <w:spacing w:before="120" w:after="120"/>
        <w:ind w:right="-142"/>
        <w:jc w:val="both"/>
        <w:rPr>
          <w:i/>
          <w:iCs/>
        </w:rPr>
      </w:pPr>
      <w:r>
        <w:rPr>
          <w:i/>
        </w:rPr>
        <w:t xml:space="preserve">Tento doplňkový informační list se týká opatření uvedených v kapitole 4.9 pokynů. Pokud oznámení obsahuje opatření, která spadají do více než jedné kapitoly pokynů, vyplňte také příslušný doplňkový informační list, který se týká příslušné kapitoly pokynů, jakmile bude k dispozici. </w:t>
      </w:r>
    </w:p>
    <w:p w14:paraId="516B301C" w14:textId="77777777" w:rsidR="008E3BF9" w:rsidRPr="00BA15DC" w:rsidRDefault="008E3BF9" w:rsidP="008E3BF9">
      <w:pPr>
        <w:spacing w:before="120" w:after="120"/>
        <w:ind w:right="-142"/>
        <w:jc w:val="both"/>
        <w:rPr>
          <w:i/>
          <w:iCs/>
        </w:rPr>
      </w:pPr>
      <w:r>
        <w:rPr>
          <w:i/>
        </w:rPr>
        <w:t>Veškeré dokumenty, které členské státy poskytnou jako přílohy tohoto doplňkového informačního listu, musí být očíslovány a čísla dokumentů musí být uvedena v příslušných oddílech tohoto doplňkového informačního listu.</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Oddíl A: Shrnutí hlavních charakteristik oznámených opatření</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Souvislosti a cíl(e) oznámeného opatření (oznámených opatření)</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Pokud již nebyly projednány v oddíle 5.2 formuláře pro poskytnutí obecných informací (část I), uveďte souvislosti a hlavní cíl, včetně případných cílů Unie v oblasti snižování a pohlcování emisí skleníkových plynů, které mají opatření podpořit.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Uveďte veškeré další cíle, které opatření sleduje. U všech cílů, které nejsou čistě environmentální, vysvětlete, zda mohou vést k případným narušením vnitřního trhu.</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Vstup v platnost a doba platnosti:</w:t>
      </w:r>
    </w:p>
    <w:p w14:paraId="29824976" w14:textId="39DBFC0F" w:rsidR="008E3BF9" w:rsidRPr="00BA15DC" w:rsidRDefault="008E3BF9" w:rsidP="008E3BF9">
      <w:pPr>
        <w:pStyle w:val="ListParagraph"/>
        <w:numPr>
          <w:ilvl w:val="0"/>
          <w:numId w:val="59"/>
        </w:numPr>
        <w:ind w:left="993" w:hanging="142"/>
        <w:jc w:val="both"/>
        <w:rPr>
          <w:szCs w:val="24"/>
        </w:rPr>
      </w:pPr>
      <w:r>
        <w:t>Uveďte datum plánovaného vstupu opatření v platnost, není-li již uvedeno v oddíle 5.5 formuláře pro poskytnutí obecných informací (část I);</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pokud se opatření týká režimu podpory, uveďte dobu jeho trvání.</w:t>
      </w:r>
      <w:r w:rsidR="008E3BF9" w:rsidRPr="00BA15DC">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Příjemce/příjemci:</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Popište (potenciálního) příjemce ((potenciální) příjemce) opatření, nejsou-li již uvedeni v oddíle 3 formuláře pro poskytnutí obecných informací (část I).</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Uveďte umístění (potenciálního) příjemce ((potenciálních) příjemců) (tj. zda se opatření mohou účastnit pouze hospodářské subjekty nacházející se v příslušných členských státech nebo i v jiných členských státech).</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Za účelem posouzení souladu s bodem 15 pokynů uveďte, zda je jednotlivá podpora na základě opatření poskytnuta ve prospěch podniku (v rámci režimu či nikoliv), na který se vztahuje dosud neuhrazený příkaz k navrácení podpory na základě předchozího rozhodnutí Komise, jímž byla podpora prohlášena za protiprávní a neslučitelnou s vnitřním trhem.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V případě kladné odpovědi uveďte informace o částce podpory, která má být ještě navrácena, aby ji Komise mohla zohlednit při posuzování opatření podpory. </w:t>
      </w:r>
    </w:p>
    <w:p w14:paraId="367F9F5A" w14:textId="77777777" w:rsidR="00F7269C" w:rsidRPr="00BA15DC" w:rsidRDefault="00F7269C" w:rsidP="00F7269C">
      <w:pPr>
        <w:tabs>
          <w:tab w:val="left" w:leader="dot" w:pos="9072"/>
        </w:tabs>
        <w:spacing w:before="120" w:after="120"/>
        <w:ind w:left="567"/>
        <w:jc w:val="both"/>
      </w:pPr>
      <w:r>
        <w:lastRenderedPageBreak/>
        <w:tab/>
      </w:r>
    </w:p>
    <w:p w14:paraId="59111CAE" w14:textId="77777777" w:rsidR="00F7269C" w:rsidRPr="00BA15DC" w:rsidRDefault="00F7269C" w:rsidP="00F7269C">
      <w:pPr>
        <w:pStyle w:val="ListParagraph"/>
        <w:numPr>
          <w:ilvl w:val="0"/>
          <w:numId w:val="22"/>
        </w:numPr>
        <w:ind w:left="1078" w:hanging="227"/>
        <w:jc w:val="both"/>
        <w:rPr>
          <w:szCs w:val="24"/>
        </w:rPr>
      </w:pPr>
      <w:r>
        <w:t>Potvrďte, že opatření nezahrnuje (opatření nezahrnují) podporu na činnosti, které nespadají do oblasti působnosti pokynů (viz bod 13 pokynů). V opačném případě uveďte podrobnosti.</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Body 373 a 374 pokynů stanoví, že se „</w:t>
      </w:r>
      <w:r>
        <w:rPr>
          <w:i/>
        </w:rPr>
        <w:t xml:space="preserve">pravidla státní podpory nevztahují na podporu energetické infrastruktury v rámci zákonného monopolu“. </w:t>
      </w:r>
      <w:r>
        <w:t>Tak tomu může být v případě, kdy jsou výstavba a provoz některých infrastruktur ze zákona vyhrazeny výhradně provozovatelům přenosové soustavy nebo provozovatelům distribuční soustavy</w:t>
      </w:r>
      <w:r>
        <w:rPr>
          <w:i/>
        </w:rPr>
        <w:t>.</w:t>
      </w:r>
      <w:r>
        <w:t xml:space="preserve"> Podobně bod 375 pokynů stanoví, že „</w:t>
      </w:r>
      <w:r>
        <w:rPr>
          <w:i/>
        </w:rPr>
        <w:t xml:space="preserve">Komise má rovněž za to, že státní podporu nepředstavují investice, u nichž je energetická infrastruktura provozována v </w:t>
      </w:r>
      <w:proofErr w:type="gramStart"/>
      <w:r>
        <w:rPr>
          <w:i/>
        </w:rPr>
        <w:t>rámci ,přirozeného</w:t>
      </w:r>
      <w:proofErr w:type="gramEnd"/>
      <w:r>
        <w:rPr>
          <w:i/>
        </w:rPr>
        <w:t xml:space="preserve"> monopolu‘</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Je projekt oznámen v rámci zákonného monopolu, nebo je realizován v rámci „přirozeného monopolu“?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Je-li odpověď na předchozí otázku kladná, vysvětlete, proč oznámený projekt spadá do rámce zákonného a/nebo přirozeného monopolu s odkazem na každé kumulativní kritérium stanovené v bodě 374 pokynů pro zákonné monopoly a/nebo v bodě 375 pro přirozené monopoly.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Rozpočet a financování opatření</w:t>
      </w:r>
      <w:r>
        <w:t>.</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Uveďte roční a/nebo celkový rozpočet na celou dobu trvání opatření, není-li již uveden v tabulce v oddíle 7.1 formuláře pro poskytnutí obecných informací (část I); pokud celkový rozpočet není znám (například proto, že závisí na výsledcích nabídkových řízení), uveďte odhadovaný rozpočet, včetně předpokladů použitých pro výpočet příslušného odhadovaného rozpočtu.</w:t>
      </w:r>
      <w:r w:rsidRPr="00BA15DC">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Pokud je opatření financováno prostřednictvím poplatku, upřesněte, zda:</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je poplatek stanoven zákonem nebo jiným právním aktem; v případě kladné odpovědi uveďte právní akt, číslo a datum jeho přijetí a vstupu v platnost, internetový odkaz na právní akt;</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t>je poplatek uvalen rovnoměrně na domácí i dovážené výrobky;</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z oznámeného opatření budou mít stejný prospěch domácí i dovážené výrobky;</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je poplatkem financováno opatření plně, nebo pouze částečně. Pokud je opatření financováno poplatkem pouze částečně, uveďte další zdroje financování opatření a jejich příslušný podíl;</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jsou poplatkem, jímž je financováno oznámené opatření, financována i další opatření podpory. Pokud ano, uveďte další opatření podpory financovaná dotyčným poplatkem.</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Oddíl B: Posouzení slučitelnosti podpory</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Pozitivní podmínka: podpora musí usnadňovat rozvoj určité hospodářské činnosti</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Příspěvek k rozvoji určité hospodářské činnosti</w:t>
            </w:r>
          </w:p>
        </w:tc>
      </w:tr>
    </w:tbl>
    <w:p w14:paraId="1E2599D2" w14:textId="075AAE16" w:rsidR="000442F5" w:rsidRPr="00BA15DC" w:rsidRDefault="000442F5" w:rsidP="003B0EFB">
      <w:pPr>
        <w:spacing w:before="120" w:after="120"/>
        <w:jc w:val="both"/>
        <w:rPr>
          <w:i/>
        </w:rPr>
      </w:pPr>
      <w:r>
        <w:rPr>
          <w:i/>
        </w:rPr>
        <w:t xml:space="preserve">Pro poskytnutí informací v tomto oddíle viz oddíl 3.1.1 (body 23–25) a </w:t>
      </w:r>
      <w:r>
        <w:rPr>
          <w:i/>
          <w:color w:val="000000"/>
        </w:rPr>
        <w:t>oddíl 4.9.1 a 4.9.2</w:t>
      </w:r>
      <w:r>
        <w:rPr>
          <w:i/>
        </w:rPr>
        <w:t xml:space="preserve"> pokynů.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Ustanovení čl. 107 odst. 3 písm. c) </w:t>
      </w:r>
      <w:bookmarkStart w:id="8" w:name="_Hlk170735690"/>
      <w:r>
        <w:t>Smlouvy o fungování EU (SFEU)</w:t>
      </w:r>
      <w:bookmarkEnd w:id="8"/>
      <w:r>
        <w:t xml:space="preserve"> stanoví, že Komise může prohlásit za slučitelné „podpory, které mají usnadnit rozvoj určitých hospodářských činností nebo hospodářských oblastí, pokud nemění podmínky obchodu v takové míře, jež by byla v rozporu se společným zájmem.“ Slučitelné podpory podle tohoto ustanovení SFEU proto musí přispívat k rozvoji určité hospodářské činnosti. </w:t>
      </w:r>
    </w:p>
    <w:p w14:paraId="4688DCCE" w14:textId="77777777" w:rsidR="00F7269C" w:rsidRPr="00BA15DC" w:rsidRDefault="00F7269C" w:rsidP="000442F5">
      <w:pPr>
        <w:tabs>
          <w:tab w:val="left" w:leader="dot" w:pos="9072"/>
        </w:tabs>
        <w:spacing w:before="120" w:after="120"/>
        <w:ind w:left="567"/>
        <w:jc w:val="both"/>
      </w:pPr>
      <w:r>
        <w:t>Za účelem posouzení souladu s bodem 23 pokynů identifikujte hospodářské činnosti, které budou v důsledku podpory usnadněny, a způsob, jakým je podporován rozvoj těchto činností.</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Za účelem posouzení souladu s bodem 25 pokynů popište, „</w:t>
      </w:r>
      <w:r>
        <w:rPr>
          <w:i/>
        </w:rPr>
        <w:t>zda a jak podpora přispěje k dosažení cílů politiky Unie v oblasti klimatu, politiky v oblasti životního prostředí a energetické politiky, konkrétněji očekávané přínosy podpory z hlediska jejího podstatného přispění k ochraně životního prostředí včetně zmírňování změny klimatu nebo účinného fungování vnitřního trhu s energií</w:t>
      </w:r>
      <w:r>
        <w: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Dále zdůrazněte, do jaké míry se podpora vztahuje k politikám popsaným v bodech 371 a 372 pokynů.</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Uveďte informace o rozsahu a podporovaných činnostech opatření podpory, jak je uvedeno v bodě 376 pokynů. Při té příležitosti rovněž:</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Zajistěte, aby se projekt týkal energetické infrastruktury ve smyslu bodu 19 podbodu 36 pokynů. </w:t>
      </w:r>
    </w:p>
    <w:p w14:paraId="200CB163" w14:textId="4FFB2EB0" w:rsidR="00D83DB7" w:rsidRPr="00BA15DC" w:rsidRDefault="00D83DB7" w:rsidP="00D83DB7">
      <w:pPr>
        <w:pStyle w:val="ListParagraph"/>
        <w:numPr>
          <w:ilvl w:val="0"/>
          <w:numId w:val="56"/>
        </w:numPr>
        <w:spacing w:before="120" w:after="120"/>
        <w:contextualSpacing w:val="0"/>
        <w:jc w:val="both"/>
      </w:pPr>
      <w:r>
        <w:t>Zajistěte, aby projekty nezahrnovaly vyhrazenou infrastrukturu a/nebo jinou energetickou infrastrukturu ve spojení s činnostmi v oblasti produkce a/nebo spotřeby.</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Uveďte, jaký druh nákladů bude opatřením podpořen: investiční nebo provozní náklady.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V případě, že opatření bude pokrývat provozní náklady, prokažte, že tyto náklady nelze od uživatelů sítě získat zpět a že nesouvisejí s utopenými náklady a že provozní podpora vede ke změně chování, která umožňuje zajistit bezpečnost dodávek nebo cíle ochrany životního prostředí.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Motivační účinek</w:t>
            </w:r>
          </w:p>
        </w:tc>
      </w:tr>
    </w:tbl>
    <w:p w14:paraId="20915284" w14:textId="0EA618F2" w:rsidR="00015E2B" w:rsidRPr="00BA15DC" w:rsidRDefault="00B15313" w:rsidP="003B0EFB">
      <w:pPr>
        <w:spacing w:before="120" w:after="120"/>
        <w:jc w:val="both"/>
        <w:rPr>
          <w:i/>
        </w:rPr>
      </w:pPr>
      <w:r>
        <w:rPr>
          <w:i/>
        </w:rPr>
        <w:t xml:space="preserve">Pro poskytnutí informací v tomto oddíle viz oddíl 3.1.2 (body 26–32) pokynů.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U podpory lze mít za to, že usnadňuje hospodářskou činnost, pouze tehdy, jestliže má motivační účinek. Za účelem posouzení souladu s bodem 26 pokynů vysvětlete, jak opatření motivuje (opatření motivují) „</w:t>
      </w:r>
      <w:r>
        <w:rPr>
          <w:i/>
        </w:rPr>
        <w:t xml:space="preserve">příjemce, aby změnil své chování a zahájil další hospodářskou činnost nebo ekologičtější hospodářskou činnost, kterou by bez poskytnutí podpory nevykonával nebo by ji vykonával omezeným nebo jiným způsobem“.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Za účelem posouzení souladu s bodem 27 pokynů uveďte informace, které potvrzují, že </w:t>
      </w:r>
      <w:r>
        <w:rPr>
          <w:color w:val="000000"/>
          <w:shd w:val="clear" w:color="auto" w:fill="FFFFFF"/>
        </w:rPr>
        <w:t>nejsou podporovány náklady na činnost, kterou by příjemce vykonával v každém případě, a že podpora nekompenzuje běžná podnikatelská rizika hospodářské činnosti</w:t>
      </w:r>
      <w:r w:rsidR="00AC5B96" w:rsidRPr="00BA15DC">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Aby bylo možné prokázat existenci motivačního účinku, vyžaduje bod 28 pokynů určení faktického scénáře a pravděpodobného hypotetického srovnávacího scénáře v případě neposkytnutí podpory. Jak je vysvětleno v bodě 52, u podpory na energetickou infrastrukturu se předpokládá, že hypotetickým srovnávacím scénářem je situace, v níž by se projekt neuskutečnil. </w:t>
      </w:r>
    </w:p>
    <w:p w14:paraId="4AA49B40" w14:textId="0DEE1851" w:rsidR="00D70FE9" w:rsidRPr="00BA15DC" w:rsidRDefault="00A255BF" w:rsidP="00526607">
      <w:pPr>
        <w:pStyle w:val="ListParagraph"/>
        <w:numPr>
          <w:ilvl w:val="0"/>
          <w:numId w:val="37"/>
        </w:numPr>
        <w:spacing w:before="120" w:after="120"/>
        <w:contextualSpacing w:val="0"/>
        <w:jc w:val="both"/>
      </w:pPr>
      <w:r>
        <w:t>Poskytněte úplný popis faktického scénáře. V případě režimů zahrnujících různé referenční projekty</w:t>
      </w:r>
      <w:r w:rsidR="0030040A" w:rsidRPr="00BA15DC">
        <w:rPr>
          <w:rStyle w:val="FootnoteReference"/>
          <w:lang w:val="en-IE" w:eastAsia="en-GB"/>
        </w:rPr>
        <w:footnoteReference w:id="6"/>
      </w:r>
      <w:r>
        <w:t xml:space="preserve"> uveďte popis faktického scénáře pro každý referenční projekt.</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Pokud opatření není režimem podpory, připojte k tomuto oznámení veškeré úřední dokumenty správní rady, posouzení rizik, finanční zprávu, interní obchodní plány, odborné posudky a další studie související s posuzovaným projektem, dokumenty obsahující informace o prognózách poptávky, prognózách nákladů, finančních prognózách, dokumenty předložené investičnímu výboru, které rozvíjejí investiční/provozní scénáře, nebo dokumenty poskytnuté finančním institucím, jak je uvedeno v bodě 28 poznámce pod čarou 39 pokynů.</w:t>
      </w:r>
    </w:p>
    <w:p w14:paraId="489E64F5" w14:textId="104163BA" w:rsidR="00C713DD" w:rsidRPr="00BA15DC" w:rsidRDefault="005F6E6B" w:rsidP="005F6E6B">
      <w:pPr>
        <w:pStyle w:val="ListParagraph"/>
        <w:spacing w:before="120" w:after="120"/>
        <w:ind w:left="1287"/>
        <w:contextualSpacing w:val="0"/>
        <w:jc w:val="both"/>
      </w:pPr>
      <w:r>
        <w:t>Upozorňujeme, že tyto dokumenty musí pocházet z doby, kdy probíhá rozhodovací proces týkající se daného investičního/provozního rozhodnutí.</w:t>
      </w:r>
    </w:p>
    <w:p w14:paraId="0F3CF49B" w14:textId="1DE4A9D5" w:rsidR="00DE063E" w:rsidRPr="00BA15DC" w:rsidRDefault="00E32AD5" w:rsidP="005F6E6B">
      <w:pPr>
        <w:pStyle w:val="ListParagraph"/>
        <w:spacing w:before="120" w:after="120"/>
        <w:ind w:left="1287"/>
        <w:contextualSpacing w:val="0"/>
        <w:jc w:val="both"/>
      </w:pPr>
      <w:r>
        <w:t>Pokud jsou takové dokumenty přiloženy k oznamovacímu formuláři, uveďte níže jejich seznam s uvedením autora, data jejich vypracování a kontextu, v němž byly použity.</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Za účelem prokázání souladu s body 29 a 31 pokynů:</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lastRenderedPageBreak/>
        <w:t xml:space="preserve">Potvrďte, že práce na projektu nebo činnosti nebyly zahájeny dříve, než příjemce podal písemnou žádost o podporu vnitrostátním </w:t>
      </w:r>
      <w:proofErr w:type="gramStart"/>
      <w:r>
        <w:t>orgánům;.</w:t>
      </w:r>
      <w:proofErr w:type="gramEnd"/>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NEBO</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V případě projektů, které byly zahájeny před podáním žádosti o podporu, prokažte, že projekt spadá do jednoho z výjimečných případů uvedených v bodě 31 pokynů (písm. a), b) nebo c)).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Za účelem prokázání souladu s bodem 30 pokynů potvrďte, že žádost o podporu obsahuje alespoň jméno žadatele, popis projektu nebo činnosti, včetně jejich umístění, a výši podpory potřebné k jejich provedení.</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Za účelem prokázání souladu s bodem 32 pokynů uveďte, zda pro oznámené opatření (oznámená opatření) platí normy Unie</w:t>
      </w:r>
      <w:r w:rsidRPr="00BA15DC">
        <w:rPr>
          <w:rStyle w:val="FootnoteReference"/>
          <w:lang w:val="en-IE" w:eastAsia="en-GB"/>
        </w:rPr>
        <w:footnoteReference w:id="7"/>
      </w:r>
      <w:r>
        <w:t>, povinné vnitrostátní normy, které jsou přísnější nebo ambicióznější než odpovídající normy Unie, nebo povinné vnitrostátní normy přijaté v případě neexistence norem Unie. V této souvislosti uveďte informace, které prokazují motivační účinek.</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V případech, kdy byla příslušná norma Unie již přijata, ale zatím nevstoupila v platnost, prokažte, že podpora má motivační účinek, neboť motivuje k provedení a dokončení investice alespoň 18 měsíců před vstupem normy v platnost.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Nedošlo k porušení žádného příslušného ustanovení práva Unie</w:t>
            </w:r>
          </w:p>
        </w:tc>
      </w:tr>
    </w:tbl>
    <w:p w14:paraId="0AB413A5" w14:textId="77777777" w:rsidR="00B00F48" w:rsidRPr="00BA15DC" w:rsidRDefault="00B00F48" w:rsidP="003B0EFB">
      <w:pPr>
        <w:spacing w:before="120" w:after="120"/>
        <w:jc w:val="both"/>
        <w:rPr>
          <w:i/>
        </w:rPr>
      </w:pPr>
      <w:r>
        <w:rPr>
          <w:i/>
        </w:rPr>
        <w:t xml:space="preserve">Pro poskytnutí informací v tomto oddíle viz oddíl 3.1.3 (bod 33 pokynů).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Poskytněte informace potvrzující soulad s příslušnými ustanoveními právních předpisů EU v souladu s bodem 33 pokynů.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Pokud se k financování opatření používá poplatek, objasněte, zda je třeba provést posouzení souladu s články 30 a 110 SFEU. V případě kladné odpovědi prokažte, jak je opatření v souladu s ustanoveními článků 30 a 110 SFEU.</w:t>
      </w:r>
      <w:r>
        <w:rPr>
          <w:i/>
        </w:rPr>
        <w:t xml:space="preserve"> </w:t>
      </w:r>
      <w:r>
        <w:t xml:space="preserve">V této souvislosti lze odkázat </w:t>
      </w:r>
      <w:r>
        <w:lastRenderedPageBreak/>
        <w:t xml:space="preserve">na informace předložené v rámci výše uvedené otázky </w:t>
      </w:r>
      <w:r w:rsidR="003F72C9">
        <w:fldChar w:fldCharType="begin"/>
      </w:r>
      <w:r w:rsidR="003F72C9">
        <w:instrText xml:space="preserve"> REF _Ref171091150 \r \h </w:instrText>
      </w:r>
      <w:r w:rsidR="003F72C9">
        <w:fldChar w:fldCharType="separate"/>
      </w:r>
      <w:r w:rsidR="003F72C9">
        <w:t>4</w:t>
      </w:r>
      <w:r w:rsidR="003F72C9">
        <w:fldChar w:fldCharType="end"/>
      </w:r>
      <w:r>
        <w:t xml:space="preserve"> písm. </w:t>
      </w:r>
      <w:r w:rsidR="003F72C9">
        <w:fldChar w:fldCharType="begin"/>
      </w:r>
      <w:r w:rsidR="003F72C9">
        <w:instrText xml:space="preserve"> REF _Ref116914400 \r \h </w:instrText>
      </w:r>
      <w:r w:rsidR="003F72C9">
        <w:fldChar w:fldCharType="separate"/>
      </w:r>
      <w:r w:rsidR="003F72C9">
        <w:t>ii</w:t>
      </w:r>
      <w:r w:rsidR="003F72C9">
        <w:fldChar w:fldCharType="end"/>
      </w:r>
      <w:r>
        <w:t>, kde je oznámené opatření financováno prostřednictvím poplatku.</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Negativní podmínka: podpora nemůže nepatřičně měnit podmínky obchodu v takové míře, jež by byla v rozporu se společným zájmem</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Minimalizace narušení hospodářské soutěže a obchodu</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Nezbytnost a vhodnost zásahu státní podpory</w:t>
            </w:r>
          </w:p>
        </w:tc>
      </w:tr>
    </w:tbl>
    <w:p w14:paraId="3C23674F" w14:textId="4D2BAF74" w:rsidR="00663008" w:rsidRPr="00BA15DC" w:rsidRDefault="00663008" w:rsidP="003B0EFB">
      <w:pPr>
        <w:spacing w:before="120" w:after="120"/>
        <w:jc w:val="both"/>
        <w:rPr>
          <w:i/>
          <w:color w:val="000000"/>
        </w:rPr>
      </w:pPr>
      <w:r>
        <w:rPr>
          <w:i/>
        </w:rPr>
        <w:t>Pro poskytnutí informací v tomto oddíle viz oddíl 4.9.3.1 (body 379 a 380) pokynů.</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 xml:space="preserve">Bod 379 pokynů stanoví, že pokud jde o energetickou infrastrukturu, selhání trhu jsou obvykle řešena/financována prostřednictvím povinných uživatelských sazeb podléhajících regulaci. Jak je však uvedeno v bodě 380 pokynů, nemusí tomu tak vždy být. Vysvětlete, do jaké míry opatření </w:t>
      </w:r>
      <w:proofErr w:type="gramStart"/>
      <w:r>
        <w:t>řeší</w:t>
      </w:r>
      <w:proofErr w:type="gramEnd"/>
      <w:r>
        <w:t xml:space="preserve"> selhání trhu, která nelze řešit prostřednictvím povinných uživatelských sazeb.</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Aby se prokázala nezbytnost a vhodnost státní podpory, upřesněte, ve které z různých situací musí být oznámený projekt posuzován:</w:t>
      </w:r>
    </w:p>
    <w:p w14:paraId="14A4B66A" w14:textId="3266CF1A" w:rsidR="00C317A9" w:rsidRPr="00BA15DC" w:rsidRDefault="003618C5" w:rsidP="00C317A9">
      <w:pPr>
        <w:pStyle w:val="ListParagraph"/>
        <w:numPr>
          <w:ilvl w:val="0"/>
          <w:numId w:val="49"/>
        </w:numPr>
        <w:spacing w:before="120" w:after="120"/>
        <w:contextualSpacing w:val="0"/>
        <w:jc w:val="both"/>
      </w:pPr>
      <w:r>
        <w:t>Oznámený projekt je projektem společného zájmu ve smyslu čl. 2 odst. 4 nařízení (EU) č. 347/2013, na který se plně vztahují právní předpisy týkající se vnitřního trhu s energií. V této situaci má Komise za to, že existuje domněnka selhání trhu. Není nutné, aby členský stát dále zdůvodňoval nezbytnost a vhodnost státní podpory, nebo</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oznámený projekt není projektem společného zájmu, jak je definován výše, nebo je projektem společného zájmu, ale je částečně nebo zcela vyňat z působnosti právních předpisů týkajících se vnitřního trhu s energií, nebo</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projekt není projektem společného zájmu a je realizován mezi Unií a třetí zemí.</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Pokud oznámený projekt spadá do situace uvedené v bodě </w:t>
      </w:r>
      <w:r>
        <w:rPr>
          <w:b/>
        </w:rPr>
        <w:t>19.b</w:t>
      </w:r>
      <w:r>
        <w:t xml:space="preserve"> výše, vysvětlete prosím, aby bylo možné odůvodnit nezbytnost a vhodnost opatření, do jaké míry:</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je selhání trhu příčinou toho, že nezbytná infrastruktura není zajištěna optimálním způsobem;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je infrastruktura otevřena přístupu třetích stran a podléhá regulaci sazeb;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projekt přispívá k bezpečnosti dodávek energie v Unii nebo k cílům Unie týkajícím se klimatické neutrality.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Pokud se projekt nachází v situaci uvedené v bodě </w:t>
      </w:r>
      <w:r>
        <w:rPr>
          <w:b/>
        </w:rPr>
        <w:t>19.c</w:t>
      </w:r>
      <w:r>
        <w:t xml:space="preserve">, vysvětlete, zda i) u části infrastruktury nacházející se na území Unie je projekt vybudován a provozován v souladu s právními předpisy Unie, zejména se směrnicemi 2009/73/ES a (EU) 2019/944, a ii) pokud jde o část nacházející se ve třetí zemi nebo dotčených třetích zemích, má projekt vysokou úroveň sladění právních předpisů a podporuje celkové cíle Unie, aby zejména zajistil: </w:t>
      </w:r>
    </w:p>
    <w:p w14:paraId="10F0ABE1" w14:textId="3DBC38E8" w:rsidR="003618C5" w:rsidRPr="00BA15DC" w:rsidRDefault="00BB5F42" w:rsidP="003618C5">
      <w:pPr>
        <w:pStyle w:val="ListParagraph"/>
        <w:numPr>
          <w:ilvl w:val="0"/>
          <w:numId w:val="53"/>
        </w:numPr>
        <w:spacing w:before="120" w:after="120"/>
        <w:contextualSpacing w:val="0"/>
        <w:jc w:val="both"/>
      </w:pPr>
      <w:r>
        <w:lastRenderedPageBreak/>
        <w:t xml:space="preserve">dobře fungující vnitřní trh s energií;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bezpečnost dodávek energie založenou na spolupráci a solidaritě; </w:t>
      </w:r>
    </w:p>
    <w:p w14:paraId="6F1E0EF7" w14:textId="78DFE7A8" w:rsidR="0097238E" w:rsidRPr="00BA15DC" w:rsidRDefault="003618C5" w:rsidP="0097238E">
      <w:pPr>
        <w:pStyle w:val="ListParagraph"/>
        <w:numPr>
          <w:ilvl w:val="0"/>
          <w:numId w:val="53"/>
        </w:numPr>
        <w:spacing w:before="120" w:after="120"/>
        <w:contextualSpacing w:val="0"/>
        <w:jc w:val="both"/>
      </w:pPr>
      <w:r>
        <w:t>energetický systém směřující k dekarbonizaci v souladu s Pařížskou dohodou a s cíli Unie v oblasti klimatu, a zejména</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zamezení úniku uhlíku.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Přiměřenost podpory</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Pro poskytnutí informací v tomto oddíle viz body 51–52 a 381 pokynů</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Podle bodu 51 pokynů lze typické čisté dodatečné náklady odhadnout jako rozdíl mezi čistou současnou hodnotou faktického scénáře a hypotetického srovnávacího scénáře po celou dobu životnosti projektu nebo případně na jeden referenční projekt. Pokud hypotetický srovnávací scénář spočívá v tom, že projekt nebude realizován (viz bod 52 pokynů), záporná čistá současná hodnota faktického scénáře se rovná čistým dodatečným nákladům. </w:t>
      </w:r>
    </w:p>
    <w:p w14:paraId="2FF71764" w14:textId="253C5AA4" w:rsidR="001620DB" w:rsidRPr="00BA15DC" w:rsidRDefault="00095D42" w:rsidP="00095D42">
      <w:pPr>
        <w:pStyle w:val="ListParagraph"/>
        <w:spacing w:before="120" w:after="120"/>
        <w:ind w:left="567"/>
        <w:contextualSpacing w:val="0"/>
        <w:jc w:val="both"/>
      </w:pPr>
      <w:r>
        <w:t xml:space="preserve">Uveďte je v příloze tohoto oznamovacího formuláře (pomocí souboru Excel, </w:t>
      </w:r>
      <w:r>
        <w:rPr>
          <w:shd w:val="clear" w:color="auto" w:fill="FFFFFF"/>
        </w:rPr>
        <w:t>kde jsou viditelné všechny vzorce</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Aby bylo možné určit mezeru ve financování</w:t>
      </w:r>
      <w:r w:rsidR="00A84D63" w:rsidRPr="00BA15DC">
        <w:rPr>
          <w:rStyle w:val="FootnoteReference"/>
          <w:shd w:val="clear" w:color="auto" w:fill="FFFFFF"/>
        </w:rPr>
        <w:footnoteReference w:id="8"/>
      </w:r>
      <w:r>
        <w:rPr>
          <w:shd w:val="clear" w:color="auto" w:fill="FFFFFF"/>
        </w:rPr>
        <w:t>, předložte u faktického scénáře kvantifikaci:</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veškeré hlavní náklady a příjmy projektu;</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odhadované vážené průměrné náklady kapitálu (WACC) vynaložené příjemci k diskontování budoucích peněžních toků;</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čistá současná hodnota pro faktický scénář po celou dobu trvání projektu.</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V příloze tohoto oznamovacího formuláře uveďte podrobné informace o předpokladech, metodikách, odůvodněních a základních zdrojích použitých pro každý aspekt kvantifikace nákladů a příjmů ve faktickém scénáři (například uveďte předpoklady použité k vypracování faktického scénáře).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Podle bodu 53 pokynů u případů jednotlivé podpory a režimů, které jsou přínosem pro mimořádně omezený počet příjemců, musí členský stát předložit podpůrné důkazy na úrovni podrobného podnikatelského plánu projektu.</w:t>
      </w:r>
    </w:p>
    <w:p w14:paraId="584CA833" w14:textId="436A6E2D" w:rsidR="00124B6F" w:rsidRPr="00C34CB6" w:rsidRDefault="00C53C43" w:rsidP="00232CF6">
      <w:pPr>
        <w:pStyle w:val="ListParagraph"/>
        <w:spacing w:before="120" w:after="120"/>
        <w:ind w:left="567"/>
        <w:contextualSpacing w:val="0"/>
        <w:jc w:val="both"/>
      </w:pPr>
      <w:r>
        <w:t>U případů režimů podpory musí členský stát předložit podpůrné důkazy na základě jednoho nebo více referenčních projektů.</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Aby mohla Komise ověřit, zda výše podpory nepřesahuje minimum nezbytné pro dostatečnou ziskovost podporovaného projektu</w:t>
      </w:r>
      <w:r w:rsidR="00DE525C" w:rsidRPr="00BA15DC">
        <w:rPr>
          <w:rStyle w:val="FootnoteReference"/>
          <w:lang w:eastAsia="en-GB"/>
        </w:rPr>
        <w:footnoteReference w:id="9"/>
      </w:r>
      <w:r>
        <w:t>, uveďte tyto informace:</w:t>
      </w:r>
    </w:p>
    <w:p w14:paraId="020A0406" w14:textId="40D27EEF" w:rsidR="00EC2A7D" w:rsidRPr="00BA15DC" w:rsidRDefault="00EC2A7D" w:rsidP="00C003E3">
      <w:pPr>
        <w:pStyle w:val="ListParagraph"/>
        <w:numPr>
          <w:ilvl w:val="1"/>
          <w:numId w:val="4"/>
        </w:numPr>
        <w:spacing w:before="120" w:after="120"/>
        <w:contextualSpacing w:val="0"/>
        <w:jc w:val="both"/>
      </w:pPr>
      <w:r>
        <w:lastRenderedPageBreak/>
        <w:t>Vnitřní míra návratnosti (IRR), jež odpovídá referenční nebo minimální úrovni pro dané odvětví nebo podnik, nebo</w:t>
      </w:r>
    </w:p>
    <w:p w14:paraId="056D5BF9" w14:textId="64F3B5CD" w:rsidR="00AB47A1" w:rsidRPr="00BA15DC" w:rsidRDefault="007315B8" w:rsidP="00C003E3">
      <w:pPr>
        <w:pStyle w:val="ListParagraph"/>
        <w:numPr>
          <w:ilvl w:val="1"/>
          <w:numId w:val="4"/>
        </w:numPr>
        <w:spacing w:before="120" w:after="120"/>
        <w:contextualSpacing w:val="0"/>
        <w:jc w:val="both"/>
      </w:pPr>
      <w:r>
        <w:t>pro tyto účely lze rovněž použít výši obvyklé míry návratnosti, kterou příjemce vyžaduje u jiných investičních projektů podobného druhu, výši celkových nákladů na kapitál, nebo</w:t>
      </w:r>
    </w:p>
    <w:p w14:paraId="13B46137" w14:textId="062C7DC0" w:rsidR="0029714D" w:rsidRPr="00BA15DC" w:rsidRDefault="007315B8" w:rsidP="00C003E3">
      <w:pPr>
        <w:pStyle w:val="ListParagraph"/>
        <w:numPr>
          <w:ilvl w:val="1"/>
          <w:numId w:val="4"/>
        </w:numPr>
        <w:spacing w:before="120" w:after="120"/>
        <w:contextualSpacing w:val="0"/>
        <w:jc w:val="both"/>
      </w:pPr>
      <w:r>
        <w:t>výši návratnosti obvykle dosahovanou v dotčeném průmyslovém odvětví nebo</w:t>
      </w:r>
    </w:p>
    <w:p w14:paraId="0691A0E0" w14:textId="27443E78" w:rsidR="00445F48" w:rsidRPr="00BA15DC" w:rsidRDefault="001622D8" w:rsidP="00C003E3">
      <w:pPr>
        <w:pStyle w:val="ListParagraph"/>
        <w:numPr>
          <w:ilvl w:val="1"/>
          <w:numId w:val="4"/>
        </w:numPr>
        <w:spacing w:before="120" w:after="120"/>
        <w:contextualSpacing w:val="0"/>
        <w:jc w:val="both"/>
      </w:pPr>
      <w:r>
        <w:t>jakékoli další informace odůvodňující, že výše podpory nepřekračuje minimum nezbytné k tomu, aby byl podporovaný projekt dostatečně ziskový.</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 xml:space="preserve">Podle bodu 381 pokynů, pokud se podpora </w:t>
      </w:r>
      <w:proofErr w:type="gramStart"/>
      <w:r>
        <w:t>blíží</w:t>
      </w:r>
      <w:proofErr w:type="gramEnd"/>
      <w:r>
        <w:t xml:space="preserve"> povolenému maximu a existuje-li riziko neočekávaných zisků, může být nezbytný mechanismus sledování a zpětného získávání, přičemž příjemci budou i nadále motivováni k tomu, aby postupně účinněji minimalizovali své náklady a rozvíjeli svou podnikatelskou činnost. Vysvětlete, zda existuje nějaký mechanismus sledování a zpětného získávání. Pokud ne, uveďte důvody.</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Kumulace</w:t>
            </w:r>
          </w:p>
        </w:tc>
      </w:tr>
    </w:tbl>
    <w:p w14:paraId="2346A85D" w14:textId="72F525D8" w:rsidR="00B21377" w:rsidRPr="00BA15DC" w:rsidRDefault="00B21377" w:rsidP="00B21377">
      <w:pPr>
        <w:pStyle w:val="ListParagraph"/>
        <w:spacing w:before="120" w:after="120"/>
        <w:ind w:left="567"/>
        <w:contextualSpacing w:val="0"/>
        <w:jc w:val="both"/>
      </w:pPr>
      <w:r>
        <w:rPr>
          <w:i/>
        </w:rPr>
        <w:t>Pro poskytnutí informací v tomto oddíle viz body 56–57 pokynů</w:t>
      </w:r>
      <w:r>
        <w:t>.</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V případě, že to již není uvedeno k oddílu 7.4 formuláře pro poskytnutí obecných informací (části I), a s cílem ověřit soulad s bodem 56 pokynů, objasněte, zda může být podpora poskytovaná na základě oznámeného opatření (oznámených opatření) poskytnuta souběžně na základě několika režimů podpory nebo kumulována s podporou </w:t>
      </w:r>
      <w:r>
        <w:rPr>
          <w:i/>
          <w:iCs/>
        </w:rPr>
        <w:t>ad hoc</w:t>
      </w:r>
      <w:r>
        <w:t xml:space="preserve"> nebo podporou </w:t>
      </w:r>
      <w:r>
        <w:rPr>
          <w:i/>
        </w:rPr>
        <w:t>de minimis</w:t>
      </w:r>
      <w:r>
        <w:t xml:space="preserve"> ve vztahu ke stejným způsobilým nákladům. Pokud ano, uveďte podrobnosti o těchto režimech podpory, podpoře </w:t>
      </w:r>
      <w:r>
        <w:rPr>
          <w:i/>
          <w:iCs/>
        </w:rPr>
        <w:t>ad hoc</w:t>
      </w:r>
      <w:r>
        <w:t xml:space="preserve"> nebo podpoře </w:t>
      </w:r>
      <w:r>
        <w:rPr>
          <w:i/>
        </w:rPr>
        <w:t>de minimis</w:t>
      </w:r>
      <w:r>
        <w:t xml:space="preserve"> a způsobu kumulace podpory. Upozorňujeme, že je možné, že si budete přát použít výše uvedenou kvantifikaci.</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Pokud je podpora poskytnuta souběžně na základě několika režimů podpory nebo kumulována s podporou</w:t>
      </w:r>
      <w:r>
        <w:rPr>
          <w:i/>
          <w:iCs/>
        </w:rPr>
        <w:t xml:space="preserve"> ad hoc</w:t>
      </w:r>
      <w:r>
        <w:t xml:space="preserve"> nebo </w:t>
      </w:r>
      <w:r>
        <w:rPr>
          <w:i/>
          <w:iCs/>
        </w:rPr>
        <w:t>de minimis</w:t>
      </w:r>
      <w:r>
        <w:t xml:space="preserve"> ve vztahu ke stejným způsobilým nákladům, doložte, jak celková částka podpory na projekt nebo činnost poskytnutá podle oznámeného (oznámených) opatření nepovede k nadměrným náhradám nebo nepřesáhne maximální výši podpory povolenou podle bodů 51 a 381 pokynů. U každého opatření, se kterým je možné kumulovat podporu poskytnutou na základě oznámeného opatření (oznámených opatření) podpory, uveďte metodu použitou k zajištění souladu s podmínkami stanovenými v bodě 56 pokynů.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Pokud podpora poskytnutá na základě oznámeného opatření (oznámených opatření) je kombinována s centrálně řízeným financováním ze strany Unie podle bodu 57 pokynů</w:t>
      </w:r>
      <w:r w:rsidR="009B2F61" w:rsidRPr="00BA15DC">
        <w:rPr>
          <w:rStyle w:val="FootnoteReference"/>
          <w:lang w:eastAsia="en-GB"/>
        </w:rPr>
        <w:footnoteReference w:id="10"/>
      </w:r>
      <w:r>
        <w:t xml:space="preserve">, </w:t>
      </w:r>
      <w:r>
        <w:lastRenderedPageBreak/>
        <w:t xml:space="preserve">zdůvodněte, jak </w:t>
      </w:r>
      <w:r>
        <w:rPr>
          <w:shd w:val="clear" w:color="auto" w:fill="FFFFFF"/>
        </w:rPr>
        <w:t>celková částka veřejného financování poskytnutá na tytéž způsobilé náklady nevede k nadměrným náhradám.</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Transparentnost</w:t>
            </w:r>
          </w:p>
        </w:tc>
      </w:tr>
    </w:tbl>
    <w:p w14:paraId="07229A8F" w14:textId="24C7C0FA" w:rsidR="006773CE" w:rsidRPr="00BA15DC" w:rsidRDefault="006773CE" w:rsidP="003B0EFB">
      <w:pPr>
        <w:spacing w:before="120" w:after="120"/>
        <w:jc w:val="both"/>
        <w:rPr>
          <w:i/>
        </w:rPr>
      </w:pPr>
      <w:r>
        <w:rPr>
          <w:i/>
        </w:rPr>
        <w:t xml:space="preserve">Pro poskytnutí informací v tomto oddíle viz oddíl 3.2.1.4 (body 58–62) pokynů.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Potvrďte, že členské státy </w:t>
      </w:r>
      <w:proofErr w:type="gramStart"/>
      <w:r>
        <w:t>dodrží</w:t>
      </w:r>
      <w:proofErr w:type="gramEnd"/>
      <w:r>
        <w:t xml:space="preserve"> požadavky na transparentnost stanovené v bodech 58–61 pokynů.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Uveďte internetový odkaz, kde bude </w:t>
      </w:r>
      <w:r>
        <w:rPr>
          <w:rFonts w:ascii="inherit" w:hAnsi="inherit"/>
        </w:rPr>
        <w:t>zveřejněno úplné znění schváleného režimu podpory nebo rozhodnutí o udělení jednotlivé</w:t>
      </w:r>
      <w:r>
        <w:rPr>
          <w:rFonts w:ascii="inherit" w:hAnsi="inherit"/>
          <w:color w:val="000000"/>
        </w:rPr>
        <w:t xml:space="preserve"> podpory a jeho prováděcí ustanovení a </w:t>
      </w:r>
      <w:r>
        <w:rPr>
          <w:rFonts w:ascii="inherit" w:hAnsi="inherit"/>
        </w:rPr>
        <w:t xml:space="preserve">informace o každé jednotlivé podpoře udělené </w:t>
      </w:r>
      <w:r>
        <w:rPr>
          <w:rFonts w:ascii="inherit" w:hAnsi="inherit"/>
          <w:i/>
          <w:iCs/>
        </w:rPr>
        <w:t>ad hoc</w:t>
      </w:r>
      <w:r>
        <w:rPr>
          <w:rFonts w:ascii="inherit" w:hAnsi="inherit"/>
        </w:rPr>
        <w:t xml:space="preserve"> nebo na základě režimu podpory schváleného podle těchto pokynů, která je vyšší než 100 000 EUR.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Zamezení nežádoucím negativním účinkům podpory na hospodářskou soutěž a obchod a zajištění rovnováhy</w:t>
            </w:r>
          </w:p>
        </w:tc>
      </w:tr>
    </w:tbl>
    <w:p w14:paraId="32B25629" w14:textId="6CBE1875" w:rsidR="00F83660" w:rsidRPr="00BA15DC" w:rsidRDefault="00F83660" w:rsidP="003B0EFB">
      <w:pPr>
        <w:spacing w:before="360" w:after="120"/>
        <w:jc w:val="both"/>
      </w:pPr>
      <w:r>
        <w:t>Pro poskytnutí informací v tomto oddíle viz oddíl 4.9.4 (body 382 a násl.) pokynů.</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Pokud je oznámený projekt z oblasti působnosti právních předpisů v oblasti vnitřního trhu s energií částečně či úplně vyňat, vysvětlete: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do jaké míry je podporovaná infrastruktura otevřená přístupu třetích stran;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do jaké míry mohou mít zákazníci přístup k případné alternativní infrastruktuře; </w:t>
      </w:r>
    </w:p>
    <w:p w14:paraId="14CAE043" w14:textId="0F765E36" w:rsidR="009013F3" w:rsidRPr="00BA15DC" w:rsidRDefault="009C221E" w:rsidP="00232CF6">
      <w:pPr>
        <w:pStyle w:val="ListParagraph"/>
        <w:numPr>
          <w:ilvl w:val="0"/>
          <w:numId w:val="53"/>
        </w:numPr>
        <w:spacing w:before="120" w:after="120"/>
        <w:contextualSpacing w:val="0"/>
        <w:jc w:val="both"/>
      </w:pPr>
      <w:r>
        <w:t>do jaké míry by projekt mohl vést k vytěsnění soukromých investic;</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konkurenční pozici příjemce (příjemců), a </w:t>
      </w:r>
      <w:proofErr w:type="gramStart"/>
      <w:r>
        <w:t>to</w:t>
      </w:r>
      <w:proofErr w:type="gramEnd"/>
      <w:r>
        <w:t xml:space="preserve"> jak pokud jde o provoz infrastruktury, tak pokud jde o relevantní výrobkové trhy pro zboží přepravované infrastrukturou.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Je-li oznámeným projektem infrastruktura zemního plynu, uveďte prosím informace o tom, jak oznámený projekt splní tyto podmínky:</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infrastruktura je připravena k využívání vodíku a vede ke zvýšení využívání plynů z obnovitelných zdrojů; nebo případně důvod, proč není možné projekt koncipovat tak, aby byl připraven na použití vodíku, a z jakého důvodu projekt </w:t>
      </w:r>
      <w:proofErr w:type="gramStart"/>
      <w:r>
        <w:t>nevytváří</w:t>
      </w:r>
      <w:proofErr w:type="gramEnd"/>
      <w:r>
        <w:t xml:space="preserve"> efekt ustrnutí na současných technologiích, pokud jde o použití zemního plynu; </w:t>
      </w:r>
    </w:p>
    <w:p w14:paraId="49495890" w14:textId="19234331" w:rsidR="009013F3" w:rsidRDefault="009013F3" w:rsidP="00232CF6">
      <w:pPr>
        <w:pStyle w:val="ListParagraph"/>
        <w:numPr>
          <w:ilvl w:val="0"/>
          <w:numId w:val="53"/>
        </w:numPr>
        <w:spacing w:before="120" w:after="120"/>
        <w:contextualSpacing w:val="0"/>
        <w:jc w:val="both"/>
      </w:pPr>
      <w:r>
        <w:t>investice přispívá k dosažení cílů Unie v oblasti klimatu do roku 2030 a v oblasti dosažení klimatické neutrality do roku 2050.</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Pokud je oznámený projekt projektem společného zájmu nebo projektem vzájemného zájmu, na který se nevztahují právní předpisy týkající se vnitřního trhu, vysvětlete </w:t>
      </w:r>
      <w:r>
        <w:lastRenderedPageBreak/>
        <w:t>prosím, jaký bude dopad projektu na související trhy se službami, jakož i na jiné trhy se službami.</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Hodnocení</w:t>
            </w:r>
          </w:p>
        </w:tc>
      </w:tr>
    </w:tbl>
    <w:p w14:paraId="78AC9B95" w14:textId="1FB76E7E" w:rsidR="00C33721" w:rsidRPr="00BA15DC" w:rsidRDefault="00C33721" w:rsidP="004F3B88">
      <w:pPr>
        <w:tabs>
          <w:tab w:val="left" w:leader="dot" w:pos="9072"/>
        </w:tabs>
        <w:spacing w:before="120" w:after="120"/>
        <w:ind w:left="567"/>
        <w:jc w:val="both"/>
        <w:rPr>
          <w:i/>
          <w:iCs/>
        </w:rPr>
      </w:pPr>
      <w:r>
        <w:rPr>
          <w:i/>
        </w:rPr>
        <w:t>Pro poskytnutí informací v tomto oddíle viz bod 76 písm. a) a kapitola 5 (body 455–463) pokynů.</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Pokud oznámené opatření (oznámená opatření) překračuje (překračují) prahové hodnoty rozpočtu/výdajů uvedené v bodě 456 pokynů, vysvětlete, proč by se podle vašeho názoru měla uplatnit výjimka uvedená v bodě 457 pokynů, nebo k tomuto oznamovacímu formuláři přiložte přílohu, která obsahuje návrh plánu hodnocení zahrnujícího rozsah uvedený v bodě 458 pokynů.</w:t>
      </w:r>
      <w:r w:rsidRPr="00BA15DC">
        <w:rPr>
          <w:vertAlign w:val="superscript"/>
          <w:lang w:eastAsia="en-GB"/>
        </w:rPr>
        <w:footnoteReference w:id="11"/>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Pokud je k dispozici návrh plánu hodnocení:</w:t>
      </w:r>
    </w:p>
    <w:p w14:paraId="08BAA496" w14:textId="23665408" w:rsidR="009618E4" w:rsidRPr="00BA15DC" w:rsidRDefault="009618E4" w:rsidP="009618E4">
      <w:pPr>
        <w:numPr>
          <w:ilvl w:val="0"/>
          <w:numId w:val="61"/>
        </w:numPr>
        <w:spacing w:before="120" w:after="120"/>
        <w:jc w:val="both"/>
      </w:pPr>
      <w:r>
        <w:t>níže uveďte shrnutí tohoto návrhu plánu hodnocení, který je uveden v příloze;</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potvrďte, že bude dodržen bod 460 pokynů;</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uveďte datum a internetový odkaz, kde bude plán hodnocení veřejně dostupný.</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Za účelem ověření souladu s bodem 459 písm. b) pokynů, pokud režim podpory v současné době nepodléhá hodnocení </w:t>
      </w:r>
      <w:r>
        <w:rPr>
          <w:i/>
        </w:rPr>
        <w:t>ex post</w:t>
      </w:r>
      <w:r>
        <w:t xml:space="preserve"> a jeho trvání přesahuje tři roky, potvrďte, že oznámíte návrh plánu hodnocení do 30 pracovních dnů poté, co došlo k významné změně vedoucí k navýšení rozpočtu režimu na částku přesahující 150 milionů EUR v kterémkoli daném roce nebo 750 milionů EUR za celkovou dobu trvání režimu.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Za účelem ověření souladu s bodem 459 písm. c) pokynů, pokud režim podpory v současné době nepodléhá hodnocení </w:t>
      </w:r>
      <w:r>
        <w:rPr>
          <w:i/>
        </w:rPr>
        <w:t>ex post</w:t>
      </w:r>
      <w:r>
        <w:t xml:space="preserve">, uveďte níže závazek, že členský stát oznámí návrh plánu hodnocení </w:t>
      </w:r>
      <w:r>
        <w:rPr>
          <w:shd w:val="clear" w:color="auto" w:fill="FFFFFF"/>
        </w:rPr>
        <w:t>do 30 pracovních dnů poté, co byly v oficiálních účtech zaznamenány výdaje překračující 150 milionů EUR v minulém roce</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Za účelem ověření souladu s bodem 461 pokynů:</w:t>
      </w:r>
    </w:p>
    <w:p w14:paraId="3F285296" w14:textId="77777777" w:rsidR="009618E4" w:rsidRPr="00BA15DC" w:rsidRDefault="009618E4" w:rsidP="009618E4">
      <w:pPr>
        <w:numPr>
          <w:ilvl w:val="0"/>
          <w:numId w:val="62"/>
        </w:numPr>
        <w:spacing w:before="120" w:after="120"/>
        <w:jc w:val="both"/>
      </w:pPr>
      <w:r>
        <w:t>Upřesněte, zda již byl vybrán nezávislý odborník, nebo zda bude vybrán v budoucnu.</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Uveďte informace o výběrovém řízení na odborníka.</w:t>
      </w:r>
    </w:p>
    <w:p w14:paraId="0AB0DD7C" w14:textId="77777777" w:rsidR="009618E4" w:rsidRPr="00BA15DC" w:rsidRDefault="009618E4" w:rsidP="009618E4">
      <w:pPr>
        <w:spacing w:before="120" w:after="120"/>
        <w:ind w:left="1440"/>
        <w:jc w:val="both"/>
      </w:pPr>
      <w:r>
        <w:lastRenderedPageBreak/>
        <w:t>………………………………………………………………………………….</w:t>
      </w:r>
    </w:p>
    <w:p w14:paraId="3E2D9FAF" w14:textId="77777777" w:rsidR="009618E4" w:rsidRPr="00BA15DC" w:rsidRDefault="009618E4" w:rsidP="009618E4">
      <w:pPr>
        <w:numPr>
          <w:ilvl w:val="0"/>
          <w:numId w:val="62"/>
        </w:numPr>
        <w:spacing w:before="120" w:after="120"/>
        <w:jc w:val="both"/>
      </w:pPr>
      <w:r>
        <w:t>Zdůvodněte, jak je odborník nezávislý na orgánu, který poskytuje podporu.</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Za účelem ověření souladu s bodem 461 pokynů: </w:t>
      </w:r>
    </w:p>
    <w:p w14:paraId="4F8AF9B0" w14:textId="77777777" w:rsidR="009618E4" w:rsidRPr="00BA15DC" w:rsidRDefault="009618E4" w:rsidP="009618E4">
      <w:pPr>
        <w:numPr>
          <w:ilvl w:val="0"/>
          <w:numId w:val="63"/>
        </w:numPr>
        <w:spacing w:before="120" w:after="120"/>
        <w:jc w:val="both"/>
      </w:pPr>
      <w:r>
        <w:t>Uveďte vámi navrhované lhůty pro předložení průběžné a závěrečné hodnotící zprávy. Upozorňujeme, že závěrečná hodnotící zpráva musí být Komisi předložena včas, aby bylo možno posoudit případné prodloužení režimu podpory, nejpozději devět měsíců před skončením jeho platnosti, v souladu s bodem 463 pokynů. Upozorňujeme, že tuto lhůtu lze zkrátit u režimů, u nichž v posledních dvou letech provádění vzniká požadavek na hodnocení.</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Potvrďte, že průběžná a závěrečná hodnotící zpráva budou zveřejněny. Uveďte datum a internetový odkaz, kde budou tyto zprávy veřejně dostupné.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Předkládání zpráv a sledování</w:t>
            </w:r>
          </w:p>
        </w:tc>
      </w:tr>
    </w:tbl>
    <w:p w14:paraId="21EA55F3" w14:textId="77777777" w:rsidR="009618E4" w:rsidRPr="00BA15DC" w:rsidRDefault="009618E4" w:rsidP="004F3B88">
      <w:pPr>
        <w:tabs>
          <w:tab w:val="left" w:leader="dot" w:pos="9072"/>
        </w:tabs>
        <w:spacing w:before="120" w:after="120"/>
        <w:ind w:left="567"/>
        <w:jc w:val="both"/>
      </w:pPr>
      <w:r>
        <w:rPr>
          <w:i/>
        </w:rPr>
        <w:t>Pro poskytnutí informací v tomto oddíle viz oddíl 6 (body 464–465) pokynů.</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Potvrďte, že členský stát splní požadavky na předkládání zpráv a sledování stanovené v oddíle 6 bodech 464 a 465 pokynů.</w:t>
      </w:r>
    </w:p>
    <w:p w14:paraId="6B996AF9" w14:textId="77777777" w:rsidR="00697188" w:rsidRPr="00711243" w:rsidRDefault="00697188" w:rsidP="000442F5"/>
    <w:sectPr w:rsidR="00697188" w:rsidRPr="00711243"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3397A9D9" w:rsidR="008E3BF9" w:rsidRPr="0067348B" w:rsidRDefault="008E3BF9" w:rsidP="008E3BF9">
      <w:pPr>
        <w:pStyle w:val="FootnoteText"/>
      </w:pPr>
      <w:r>
        <w:rPr>
          <w:rStyle w:val="FootnoteReference"/>
        </w:rPr>
        <w:footnoteRef/>
      </w:r>
      <w:r>
        <w:tab/>
        <w:t>Úř. věst. C 80, 18.2.2022, s. 1.</w:t>
      </w:r>
    </w:p>
  </w:footnote>
  <w:footnote w:id="3">
    <w:p w14:paraId="74C65A5D" w14:textId="5C5BB3DC" w:rsidR="008E3BF9" w:rsidRPr="0067348B" w:rsidRDefault="008E3BF9" w:rsidP="008E3BF9">
      <w:pPr>
        <w:pStyle w:val="FootnoteText"/>
      </w:pPr>
      <w:r>
        <w:rPr>
          <w:rStyle w:val="FootnoteReference"/>
        </w:rPr>
        <w:footnoteRef/>
      </w:r>
      <w:r w:rsidR="00E30056">
        <w:tab/>
      </w:r>
      <w:r>
        <w:t>Upozorňujeme, že u režimu podpory se dobou trvání rozumí doba, během níž lze o podporu žádat a rozhodnout o ní (včetně doby potřebné ke schválení žádostí o podporu vnitrostátními orgány). Doba trvání uvedená v této otázce se netýká doby trvání smluv uzavřených v rámci režimu podpory, které mohou pokračovat i po skončení doby trvání opatření.</w:t>
      </w:r>
    </w:p>
  </w:footnote>
  <w:footnote w:id="4">
    <w:p w14:paraId="5C28E81B" w14:textId="27D21C7E" w:rsidR="00F7269C" w:rsidRPr="0067348B" w:rsidRDefault="00F7269C" w:rsidP="00F7269C">
      <w:pPr>
        <w:pStyle w:val="FootnoteText"/>
      </w:pPr>
      <w:r>
        <w:rPr>
          <w:rStyle w:val="FootnoteReference"/>
        </w:rPr>
        <w:footnoteRef/>
      </w:r>
      <w:r>
        <w:tab/>
        <w:t>Upozorňujeme, že změna skutečného nebo odhadovaného rozpočtu může znamenat změnu podpory, která vyžaduje nové oznámení.</w:t>
      </w:r>
    </w:p>
  </w:footnote>
  <w:footnote w:id="5">
    <w:p w14:paraId="561DACBB" w14:textId="450FEA72" w:rsidR="00802D55" w:rsidRDefault="00802D55">
      <w:pPr>
        <w:pStyle w:val="FootnoteText"/>
      </w:pPr>
      <w:r>
        <w:rPr>
          <w:rStyle w:val="FootnoteReference"/>
        </w:rPr>
        <w:footnoteRef/>
      </w:r>
      <w:r>
        <w:tab/>
        <w:t>Viz rozsudek Soudního dvora ze dne 13. června 2013 ve věci HGA a další v. Komise, C-630/11 P až C-633/11 P, ECLI:EU:C:2013:387, bod 104.</w:t>
      </w:r>
    </w:p>
  </w:footnote>
  <w:footnote w:id="6">
    <w:p w14:paraId="4C19DBFC" w14:textId="0EA1E3FE" w:rsidR="00802D55" w:rsidRPr="004B74BC" w:rsidRDefault="00802D55">
      <w:pPr>
        <w:pStyle w:val="FootnoteText"/>
      </w:pPr>
      <w:r>
        <w:rPr>
          <w:rStyle w:val="FootnoteReference"/>
        </w:rPr>
        <w:footnoteRef/>
      </w:r>
      <w:r>
        <w:tab/>
        <w:t>Podle bodu 19 podbodu 63 se „referenčním projektem“ rozumí vzorový projekt, který je reprezentativní pro průměrný projekt v kategorii příjemců způsobilých pro daný režim podpory.</w:t>
      </w:r>
    </w:p>
  </w:footnote>
  <w:footnote w:id="7">
    <w:p w14:paraId="01EFD49C" w14:textId="73B4532C" w:rsidR="00801D5A" w:rsidRDefault="00801D5A" w:rsidP="00801D5A">
      <w:pPr>
        <w:pStyle w:val="FootnoteText"/>
      </w:pPr>
      <w:r>
        <w:rPr>
          <w:rStyle w:val="FootnoteReference"/>
        </w:rPr>
        <w:footnoteRef/>
      </w:r>
      <w:r>
        <w:tab/>
        <w:t>Podle bodu 19 podbodu 89 pokynů se „normou Unie“ rozumí:</w:t>
      </w:r>
    </w:p>
    <w:p w14:paraId="68BC0B8F" w14:textId="77777777" w:rsidR="00801D5A" w:rsidRPr="004B74BC" w:rsidRDefault="00801D5A" w:rsidP="00801D5A">
      <w:pPr>
        <w:pStyle w:val="FootnoteText"/>
        <w:numPr>
          <w:ilvl w:val="0"/>
          <w:numId w:val="46"/>
        </w:numPr>
        <w:rPr>
          <w:i/>
        </w:rPr>
      </w:pPr>
      <w:r>
        <w:rPr>
          <w:i/>
        </w:rPr>
        <w:t>povinná norma Unie stanovující úrovně, jichž mají jednotlivé podniky dosáhnout v souvislosti se životním prostředím, s výjimkou norem nebo cílů stanovených na úrovni Unie, které jsou závazné pro členské státy, ale nikoli pro jednotlivé podniky;</w:t>
      </w:r>
    </w:p>
    <w:p w14:paraId="11145135" w14:textId="23A8CC97" w:rsidR="00801D5A" w:rsidRDefault="00801D5A" w:rsidP="00801D5A">
      <w:pPr>
        <w:pStyle w:val="FootnoteText"/>
        <w:numPr>
          <w:ilvl w:val="0"/>
          <w:numId w:val="46"/>
        </w:numPr>
      </w:pPr>
      <w:r>
        <w:rPr>
          <w:i/>
        </w:rPr>
        <w:t>povinnost používat nejlepší dostupné techniky (BAT) podle definice ve směrnici 2010/75/EU a zajistit, aby úrovně emisí nepřekračovaly úrovně, kterých by bylo dosaženo při použití BAT; pokud byly v prováděcích aktech přijatých na základě směrnice 2010/75/EU nebo jiných použitelných směrnic k nejlepším dostupným technikám stanoveny úrovně emisí, jsou tyto úrovně použitelné pro účely těchto pokynů; pokud jsou tyto úrovně vyjádřeny jako rozpětí, použije se mezní hodnota, při níž se poprvé dosáhne úrovně emisí spjaté s nejlepší dostupnou technikou v dotčeném podniku.</w:t>
      </w:r>
    </w:p>
  </w:footnote>
  <w:footnote w:id="8">
    <w:p w14:paraId="6589188F" w14:textId="67E7BF42" w:rsidR="00802D55" w:rsidRDefault="00802D55">
      <w:pPr>
        <w:pStyle w:val="FootnoteText"/>
      </w:pPr>
      <w:r>
        <w:rPr>
          <w:rStyle w:val="FootnoteReference"/>
        </w:rPr>
        <w:footnoteRef/>
      </w:r>
      <w:r>
        <w:tab/>
        <w:t>Bod 51 pokynů stanoví, že „</w:t>
      </w:r>
      <w:r>
        <w:rPr>
          <w:i/>
          <w:color w:val="000000"/>
          <w:shd w:val="clear" w:color="auto" w:fill="FFFFFF"/>
        </w:rPr>
        <w:t>typické čisté dodatečné náklady lze odhadnout jako rozdíl mezi čistou současnou hodnotou faktického scénáře a hypotetického srovnávacího scénáře po celou dobu životnosti referenčního projektu</w:t>
      </w:r>
      <w:r>
        <w:t>“.</w:t>
      </w:r>
    </w:p>
  </w:footnote>
  <w:footnote w:id="9">
    <w:p w14:paraId="4E6E256B" w14:textId="40A145FB" w:rsidR="00802D55" w:rsidRDefault="00802D55">
      <w:pPr>
        <w:pStyle w:val="FootnoteText"/>
      </w:pPr>
      <w:r>
        <w:rPr>
          <w:rStyle w:val="FootnoteReference"/>
        </w:rPr>
        <w:footnoteRef/>
      </w:r>
      <w:r>
        <w:tab/>
        <w:t xml:space="preserve">Podle poznámky pod čarou č. 46 pokynů je třeba vzít v úvahu, že </w:t>
      </w:r>
      <w:r>
        <w:rPr>
          <w:i/>
        </w:rPr>
        <w:t>„Musí být zohledněny všechny relevantní očekávané náklady a přínosy za celou dobu trvání projektu“.</w:t>
      </w:r>
    </w:p>
  </w:footnote>
  <w:footnote w:id="10">
    <w:p w14:paraId="086AD512" w14:textId="06068375" w:rsidR="00802D55" w:rsidRDefault="00802D55">
      <w:pPr>
        <w:pStyle w:val="FootnoteText"/>
      </w:pPr>
      <w:r>
        <w:rPr>
          <w:rStyle w:val="FootnoteReference"/>
        </w:rPr>
        <w:footnoteRef/>
      </w:r>
      <w:r>
        <w:tab/>
        <w:t>Centrálně řízené financování ze strany Unie je financování ze strany Unie, které řídí orgány, agentury, společné podniky nebo jiné subjekty Evropské unie, které nejsou přímo ani nepřímo pod kontrolou členského státu.</w:t>
      </w:r>
    </w:p>
  </w:footnote>
  <w:footnote w:id="11">
    <w:p w14:paraId="0C0B9BEF" w14:textId="42EDC7BE" w:rsidR="009618E4" w:rsidRDefault="009618E4" w:rsidP="009618E4">
      <w:pPr>
        <w:pStyle w:val="FootnoteText"/>
      </w:pPr>
      <w:r>
        <w:rPr>
          <w:rStyle w:val="FootnoteReference"/>
        </w:rPr>
        <w:footnoteRef/>
      </w:r>
      <w:r>
        <w:tab/>
        <w:t xml:space="preserve">Vzor doplňkového informačního listu pro oznámení plánu hodnocení (část III.8) je k dispozici zde: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5338"/>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056"/>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cs-CZ"/>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cs-CZ"/>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3.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58E21520-4101-4B2C-BD15-6C0C7E6F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3257</Words>
  <Characters>19318</Characters>
  <Application>Microsoft Office Word</Application>
  <DocSecurity>0</DocSecurity>
  <Lines>429</Lines>
  <Paragraphs>167</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DUCHON Jana (DGT)</cp:lastModifiedBy>
  <cp:revision>4</cp:revision>
  <cp:lastPrinted>2022-04-12T14:59:00Z</cp:lastPrinted>
  <dcterms:created xsi:type="dcterms:W3CDTF">2024-09-05T12:35:00Z</dcterms:created>
  <dcterms:modified xsi:type="dcterms:W3CDTF">2024-10-07T13:15:00Z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