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14"/>
      </w:tblGrid>
      <w:tr w:rsidR="000442F5" w:rsidRPr="00BA15DC" w14:paraId="2D98EF73" w14:textId="77777777" w:rsidTr="00697188">
        <w:trPr>
          <w:trHeight w:val="1134"/>
        </w:trPr>
        <w:tc>
          <w:tcPr>
            <w:tcW w:w="9214" w:type="dxa"/>
            <w:shd w:val="pct15" w:color="auto" w:fill="auto"/>
          </w:tcPr>
          <w:p w14:paraId="72AF6F91" w14:textId="56ABA77E" w:rsidR="008E3BF9" w:rsidRPr="00BA15DC" w:rsidRDefault="00FA1F8A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bookmarkStart w:id="0" w:name="_Toc414370364"/>
            <w:bookmarkStart w:id="1" w:name="_Toc416949016"/>
            <w:r>
              <w:rPr>
                <w:sz w:val="32"/>
              </w:rPr>
              <w:t xml:space="preserve">Il-parti III.6  </w:t>
            </w:r>
          </w:p>
          <w:bookmarkEnd w:id="0"/>
          <w:bookmarkEnd w:id="1"/>
          <w:p w14:paraId="076CE6E1" w14:textId="77777777" w:rsidR="008E3BF9" w:rsidRPr="00BA15DC" w:rsidRDefault="008E3BF9" w:rsidP="008E3BF9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>Aġġornament* Formola ta’ informazzjoni supplimentari għall-għajnuna mill-Istat mogħtija taħt il-Linji Gwida dwar l-għajnuna mill-Istat għall-klima, għall-ħarsien tal-ambjent u għall-enerġija 2022 (CEEAG)</w:t>
            </w:r>
            <w:bookmarkStart w:id="2" w:name="_Hlk152693571"/>
            <w:r w:rsidRPr="00BA15DC">
              <w:rPr>
                <w:sz w:val="32"/>
                <w:szCs w:val="32"/>
                <w:vertAlign w:val="superscript"/>
              </w:rPr>
              <w:footnoteReference w:id="2"/>
            </w:r>
            <w:bookmarkEnd w:id="2"/>
            <w:r>
              <w:rPr>
                <w:sz w:val="32"/>
              </w:rPr>
              <w:t xml:space="preserve"> </w:t>
            </w:r>
          </w:p>
          <w:p w14:paraId="6132381B" w14:textId="77777777" w:rsidR="008E3BF9" w:rsidRPr="00BA15DC" w:rsidRDefault="002B52B3" w:rsidP="00086C1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>Kapitolu 4.9 – Għajnuna għall-infrastruttura tal-enerġija</w:t>
            </w:r>
          </w:p>
          <w:p w14:paraId="469DC4EF" w14:textId="5E9F59D2" w:rsidR="008E3BF9" w:rsidRPr="00BA15DC" w:rsidRDefault="008E3BF9" w:rsidP="008E3BF9">
            <w:pPr>
              <w:rPr>
                <w:sz w:val="32"/>
                <w:szCs w:val="32"/>
              </w:rPr>
            </w:pPr>
            <w:r>
              <w:t>* għadha ma ġiex adottata formalment</w:t>
            </w:r>
          </w:p>
        </w:tc>
      </w:tr>
    </w:tbl>
    <w:p w14:paraId="45497634" w14:textId="77777777" w:rsidR="008E3BF9" w:rsidRPr="00BA15DC" w:rsidRDefault="008E3BF9" w:rsidP="008E3BF9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>Din il-formola ta’ informazzjoni supplimentari trid tintuża għan-notifika ta’ kwalunkwe għajnuna koperta mil-Linji Gwida dwar l-għajnuna mill-Istat għall-klima, għall-ħarsien tal-ambjent u għall-enerġija 2022 (minn hawn il quddiem is-“CEEAG”).</w:t>
      </w:r>
    </w:p>
    <w:p w14:paraId="3912F2B6" w14:textId="18735016" w:rsidR="008E3BF9" w:rsidRPr="00BA15DC" w:rsidRDefault="008E3BF9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 xml:space="preserve">Din il-formola ta’ informazzjoni supplimentari tikkonċerna l-miżuri koperti fil-Kapitolu 4.9 tas-CEEAG. Jekk in-notifika tinkludi miżuri li huma koperti minn aktar minn kapitolu wieħed tas-CEEAG, ladarba tkun disponibbli, imla wkoll l-iskeda ta’ informazzjoni supplimentari rispettiva li tikkonċerna l-kapitolu rispettiv tas-CEEAG. </w:t>
      </w:r>
    </w:p>
    <w:p w14:paraId="516B301C" w14:textId="77777777" w:rsidR="008E3BF9" w:rsidRPr="00BA15DC" w:rsidRDefault="008E3BF9" w:rsidP="008E3BF9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>Id-dokumenti kollha pprovduti mill-Istati Membri bħala annessi għal din il-formola ta’ informazzjoni supplimentari jridu jiġu nnumerati u n-numri tad-dokument iridu jiġu indikati fit-taqsimiet rilevanti ta’ din il-formola ta’ informazzjoni supplimentari.</w:t>
      </w:r>
    </w:p>
    <w:p w14:paraId="73EB8CDA" w14:textId="77777777" w:rsidR="00193E48" w:rsidRPr="00BA15DC" w:rsidRDefault="00193E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5A412F" w:rsidRPr="00BA15DC" w14:paraId="2EC55755" w14:textId="77777777" w:rsidTr="00697188">
        <w:tc>
          <w:tcPr>
            <w:tcW w:w="9286" w:type="dxa"/>
            <w:shd w:val="pct15" w:color="auto" w:fill="auto"/>
          </w:tcPr>
          <w:p w14:paraId="3FE0D12C" w14:textId="2FC409D3" w:rsidR="000442F5" w:rsidRPr="00BA15DC" w:rsidRDefault="00193E48" w:rsidP="007B7B48">
            <w:pPr>
              <w:spacing w:before="120" w:after="120"/>
              <w:jc w:val="center"/>
              <w:rPr>
                <w:b/>
                <w:iCs/>
                <w:sz w:val="32"/>
                <w:szCs w:val="32"/>
              </w:rPr>
            </w:pPr>
            <w:r>
              <w:br w:type="page"/>
            </w:r>
            <w:r>
              <w:br w:type="page"/>
            </w:r>
            <w:r>
              <w:rPr>
                <w:b/>
                <w:sz w:val="32"/>
              </w:rPr>
              <w:t>Taqsima A: Sommarju tal-karatteristiki ewlenin tal-miżura/i notifikata/i</w:t>
            </w:r>
          </w:p>
        </w:tc>
      </w:tr>
    </w:tbl>
    <w:p w14:paraId="58CA5BA7" w14:textId="77777777" w:rsidR="00564D5B" w:rsidRPr="00BA15DC" w:rsidRDefault="00564D5B" w:rsidP="00564D5B">
      <w:pPr>
        <w:pStyle w:val="ListParagraph"/>
        <w:spacing w:before="120" w:after="120"/>
        <w:ind w:left="567"/>
        <w:contextualSpacing w:val="0"/>
        <w:jc w:val="both"/>
        <w:rPr>
          <w:b/>
        </w:rPr>
      </w:pPr>
    </w:p>
    <w:p w14:paraId="28B706E8" w14:textId="5AE686B3" w:rsidR="000442F5" w:rsidRPr="00BA15DC" w:rsidRDefault="007302C9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/>
        </w:rPr>
      </w:pPr>
      <w:r>
        <w:rPr>
          <w:b/>
        </w:rPr>
        <w:t>Sfond u objettiv/i tal-miżura/i notifikata/i.</w:t>
      </w:r>
    </w:p>
    <w:p w14:paraId="6815437E" w14:textId="7DB9EA1B" w:rsidR="008E3BF9" w:rsidRPr="00BA15DC" w:rsidRDefault="008E3BF9" w:rsidP="008E3BF9">
      <w:pPr>
        <w:pStyle w:val="ListParagraph"/>
        <w:numPr>
          <w:ilvl w:val="0"/>
          <w:numId w:val="58"/>
        </w:numPr>
        <w:spacing w:after="120"/>
        <w:jc w:val="both"/>
      </w:pPr>
      <w:bookmarkStart w:id="3" w:name="_Hlk163736419"/>
      <w:r>
        <w:t xml:space="preserve">Jekk mhux diġà ġie diskuss taħt it-Taqsima 5.2 tal-Formola ta’ Informazzjoni Ġenerali (il-Parti. I), agħti l-isfond u l-objettiv ewlieni, inkluż kwalunkwe mira tal-Unjoni għat-tnaqqis u t-tneħħija tal-emissjonijiet tal-gassijiet serra li l-miżura hija maħsuba li tappoġġa. </w:t>
      </w:r>
    </w:p>
    <w:p w14:paraId="33055F32" w14:textId="71A6CE0C" w:rsidR="008E3BF9" w:rsidRPr="00BA15DC" w:rsidRDefault="008E3BF9" w:rsidP="008E3BF9">
      <w:pPr>
        <w:tabs>
          <w:tab w:val="left" w:leader="dot" w:pos="9072"/>
        </w:tabs>
        <w:spacing w:before="120" w:after="120"/>
        <w:ind w:left="360"/>
        <w:jc w:val="both"/>
      </w:pPr>
      <w:bookmarkStart w:id="4" w:name="_Hlk163736945"/>
      <w:r>
        <w:tab/>
      </w:r>
    </w:p>
    <w:bookmarkEnd w:id="4"/>
    <w:p w14:paraId="12CB2306" w14:textId="40D0D699" w:rsidR="008E3BF9" w:rsidRPr="00BA15DC" w:rsidRDefault="008E3BF9" w:rsidP="008E3BF9">
      <w:pPr>
        <w:tabs>
          <w:tab w:val="left" w:leader="dot" w:pos="9072"/>
        </w:tabs>
        <w:spacing w:before="120" w:after="120"/>
        <w:ind w:left="567" w:firstLine="8508"/>
        <w:jc w:val="both"/>
      </w:pPr>
    </w:p>
    <w:p w14:paraId="3196D100" w14:textId="77777777" w:rsidR="008E3BF9" w:rsidRPr="00BA15DC" w:rsidRDefault="008E3BF9" w:rsidP="008E3BF9">
      <w:pPr>
        <w:pStyle w:val="ListParagraph"/>
        <w:numPr>
          <w:ilvl w:val="0"/>
          <w:numId w:val="58"/>
        </w:numPr>
        <w:spacing w:after="120"/>
        <w:jc w:val="both"/>
        <w:rPr>
          <w:szCs w:val="24"/>
        </w:rPr>
      </w:pPr>
      <w:r>
        <w:t>Indika kwalunkwe objettiv ieħor segwit mill-miżura. Għal kwalunkwe objettiv li mhuwiex purament ambjentali, spjega jekk dan jistax jirriżulta f’xi distorsjoni għas-suq intern.</w:t>
      </w:r>
    </w:p>
    <w:p w14:paraId="01DCBB61" w14:textId="77777777" w:rsidR="008E3BF9" w:rsidRPr="00BA15DC" w:rsidRDefault="008E3BF9" w:rsidP="008E3BF9">
      <w:pPr>
        <w:tabs>
          <w:tab w:val="left" w:leader="dot" w:pos="9072"/>
        </w:tabs>
        <w:spacing w:before="120" w:after="120"/>
        <w:ind w:left="360"/>
        <w:jc w:val="both"/>
      </w:pPr>
      <w:r>
        <w:tab/>
      </w:r>
    </w:p>
    <w:p w14:paraId="4E63A933" w14:textId="0C0D2B91" w:rsidR="008E3BF9" w:rsidRPr="00BA15DC" w:rsidRDefault="008E3BF9" w:rsidP="008E3BF9">
      <w:pPr>
        <w:pStyle w:val="ListParagraph"/>
        <w:spacing w:after="120"/>
        <w:jc w:val="both"/>
        <w:rPr>
          <w:szCs w:val="24"/>
        </w:rPr>
      </w:pPr>
      <w:r>
        <w:t xml:space="preserve"> </w:t>
      </w:r>
      <w:bookmarkStart w:id="5" w:name="_Hlk152692396"/>
      <w:bookmarkEnd w:id="3"/>
    </w:p>
    <w:bookmarkEnd w:id="5"/>
    <w:p w14:paraId="59CBFA17" w14:textId="4E51F976" w:rsidR="005A412F" w:rsidRPr="00BA15DC" w:rsidRDefault="008E3BF9" w:rsidP="008E3BF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/>
        </w:rPr>
      </w:pPr>
      <w:r>
        <w:rPr>
          <w:b/>
        </w:rPr>
        <w:tab/>
        <w:t>Dħul fis-seħħ u tul ta’ żmien:</w:t>
      </w:r>
    </w:p>
    <w:p w14:paraId="29824976" w14:textId="39DBFC0F" w:rsidR="008E3BF9" w:rsidRPr="00BA15DC" w:rsidRDefault="008E3BF9" w:rsidP="008E3BF9">
      <w:pPr>
        <w:pStyle w:val="ListParagraph"/>
        <w:numPr>
          <w:ilvl w:val="0"/>
          <w:numId w:val="59"/>
        </w:numPr>
        <w:ind w:left="993" w:hanging="142"/>
        <w:jc w:val="both"/>
        <w:rPr>
          <w:szCs w:val="24"/>
        </w:rPr>
      </w:pPr>
      <w:r>
        <w:t>Safejn ma tkunx diġà ġiet ipprovduta fit-Taqsima 5.5 tal-Formola ta’ Informazzjoni Ġenerali (il-Parti I), indika d-data minn meta l-miżura(i) hija ppjanata li tidħol fis-seħħ(huma ppjanati li jidħlu fis-seħħ);</w:t>
      </w:r>
    </w:p>
    <w:p w14:paraId="06490E89" w14:textId="77777777" w:rsidR="008E3BF9" w:rsidRPr="00BA15DC" w:rsidRDefault="008E3BF9" w:rsidP="008E3BF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BBF4901" w14:textId="254EB3AD" w:rsidR="008E3BF9" w:rsidRPr="00BA15DC" w:rsidRDefault="006F723B" w:rsidP="008E3BF9">
      <w:pPr>
        <w:pStyle w:val="ListParagraph"/>
        <w:numPr>
          <w:ilvl w:val="0"/>
          <w:numId w:val="59"/>
        </w:numPr>
        <w:ind w:left="993" w:hanging="142"/>
        <w:jc w:val="both"/>
        <w:rPr>
          <w:szCs w:val="24"/>
        </w:rPr>
      </w:pPr>
      <w:r>
        <w:t>Jekk il-miżura tikkonċerna skema ta’ għajnuna, indika t-tul ta’ żmien tagħha.</w:t>
      </w:r>
      <w:r w:rsidR="008E3BF9" w:rsidRPr="00BA15DC">
        <w:rPr>
          <w:szCs w:val="24"/>
          <w:vertAlign w:val="superscript"/>
        </w:rPr>
        <w:footnoteReference w:id="3"/>
      </w:r>
    </w:p>
    <w:p w14:paraId="34607DC9" w14:textId="77777777" w:rsidR="008E3BF9" w:rsidRPr="00BA15DC" w:rsidRDefault="008E3BF9" w:rsidP="008E3BF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512E752" w14:textId="3773BE4C" w:rsidR="000442F5" w:rsidRPr="00BA15DC" w:rsidRDefault="004D14A6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cs="Arial Unicode MS"/>
          <w:b/>
          <w:bCs/>
        </w:rPr>
      </w:pPr>
      <w:r>
        <w:rPr>
          <w:b/>
        </w:rPr>
        <w:t>Benefiċjarju/i</w:t>
      </w:r>
      <w:r>
        <w:rPr>
          <w:b/>
        </w:rPr>
        <w:tab/>
      </w:r>
    </w:p>
    <w:p w14:paraId="41CA72BE" w14:textId="77777777" w:rsidR="00F7269C" w:rsidRPr="00BA15DC" w:rsidRDefault="00F7269C" w:rsidP="00F7269C">
      <w:pPr>
        <w:pStyle w:val="ListParagraph"/>
        <w:numPr>
          <w:ilvl w:val="0"/>
          <w:numId w:val="22"/>
        </w:numPr>
        <w:ind w:left="1078" w:hanging="227"/>
        <w:jc w:val="both"/>
        <w:rPr>
          <w:szCs w:val="24"/>
        </w:rPr>
      </w:pPr>
      <w:r>
        <w:t>Jekk mhux diġà mogħti/mogħtija fit-Taqsima 3 tal-Formola ta’ Informazzjoni Ġenerali (Parti I), iddeskrivi l-benefiċjarju/i (potenzjali) tal-miżura/i.</w:t>
      </w:r>
    </w:p>
    <w:p w14:paraId="0EA0A843" w14:textId="77777777" w:rsidR="00F7269C" w:rsidRPr="00BA15DC" w:rsidRDefault="00F7269C" w:rsidP="00F7269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463BF86" w14:textId="77777777" w:rsidR="00F7269C" w:rsidRPr="00BA15DC" w:rsidRDefault="00F7269C" w:rsidP="00F7269C">
      <w:pPr>
        <w:pStyle w:val="ListParagraph"/>
        <w:numPr>
          <w:ilvl w:val="0"/>
          <w:numId w:val="22"/>
        </w:numPr>
        <w:ind w:left="1078" w:hanging="227"/>
        <w:jc w:val="both"/>
        <w:rPr>
          <w:szCs w:val="24"/>
        </w:rPr>
      </w:pPr>
      <w:r>
        <w:t>Indika l-post tal-benefiċjarju/i (potenzjali) (jiġifieri jekk l-entitajiet ekonomiċi biss li jinsabu fl-Istati Membri rispettivi jew ukoll fi Stati Membri oħra huma eliġibbli biex jipparteċipaw fil-miżura).</w:t>
      </w:r>
    </w:p>
    <w:p w14:paraId="41B73F76" w14:textId="77777777" w:rsidR="00F7269C" w:rsidRPr="00BA15DC" w:rsidRDefault="00F7269C" w:rsidP="00F7269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E0A6C28" w14:textId="2325E626" w:rsidR="00F7269C" w:rsidRPr="00BA15DC" w:rsidRDefault="00F7269C" w:rsidP="00F7269C">
      <w:pPr>
        <w:pStyle w:val="ListParagraph"/>
        <w:numPr>
          <w:ilvl w:val="0"/>
          <w:numId w:val="22"/>
        </w:numPr>
        <w:ind w:left="1078" w:hanging="227"/>
        <w:jc w:val="both"/>
        <w:rPr>
          <w:szCs w:val="24"/>
        </w:rPr>
      </w:pPr>
      <w:r>
        <w:t xml:space="preserve">Sabiex tivvaluta l-konformità mal-punt 15 tas-CEEAG, speċifika jekk tingħatax għajnuna individwali skont il-miżura/i favur impriża (bħala parti minn skema jew le) li hija soġġetta għal ordni ta’ rkupru pendenti wara deċiżjoni preċedenti tal-Kummissjoni li tiddikjara għajnuna illegali u inkompatibbli mas-suq intern. </w:t>
      </w:r>
    </w:p>
    <w:p w14:paraId="60E40FA6" w14:textId="77777777" w:rsidR="00F7269C" w:rsidRPr="00BA15DC" w:rsidRDefault="00F7269C" w:rsidP="00F7269C">
      <w:pPr>
        <w:pStyle w:val="ListParagraph"/>
        <w:rPr>
          <w:szCs w:val="24"/>
        </w:rPr>
      </w:pPr>
    </w:p>
    <w:p w14:paraId="28393A55" w14:textId="77777777" w:rsidR="00F7269C" w:rsidRPr="00BA15DC" w:rsidRDefault="00F7269C" w:rsidP="00F7269C">
      <w:pPr>
        <w:pStyle w:val="ListParagraph"/>
        <w:ind w:left="1077"/>
        <w:jc w:val="both"/>
        <w:rPr>
          <w:szCs w:val="24"/>
        </w:rPr>
      </w:pPr>
      <w:r>
        <w:t xml:space="preserve">Fl-affermattiv, ipprovdi informazzjoni dwar l-ammont ta’ għajnuna li għad irid jiġi rkuprat sabiex il-Kummissjoni tieħu kont tiegħu fil-valutazzjoni tal-miżura/i ta’ għajnuna. </w:t>
      </w:r>
    </w:p>
    <w:p w14:paraId="367F9F5A" w14:textId="77777777" w:rsidR="00F7269C" w:rsidRPr="00BA15DC" w:rsidRDefault="00F7269C" w:rsidP="00F7269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9111CAE" w14:textId="77777777" w:rsidR="00F7269C" w:rsidRPr="00BA15DC" w:rsidRDefault="00F7269C" w:rsidP="00F7269C">
      <w:pPr>
        <w:pStyle w:val="ListParagraph"/>
        <w:numPr>
          <w:ilvl w:val="0"/>
          <w:numId w:val="22"/>
        </w:numPr>
        <w:ind w:left="1078" w:hanging="227"/>
        <w:jc w:val="both"/>
        <w:rPr>
          <w:szCs w:val="24"/>
        </w:rPr>
      </w:pPr>
      <w:r>
        <w:t>Ikkonferma li l-miżura/i ma tinvolvix/jinvolvux għajnuna għal attivitajiet li jaqgħu barra mill-kamp ta’ applikazzjoni tas-CEEAG (ara l-punt 13 tas-CEEAG). Inkella, ipprovdi d-dettalji.</w:t>
      </w:r>
    </w:p>
    <w:p w14:paraId="00862904" w14:textId="77777777" w:rsidR="00F7269C" w:rsidRPr="00BA15DC" w:rsidRDefault="00F7269C" w:rsidP="00F7269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4410AAF" w14:textId="20C34A8F" w:rsidR="00DC1614" w:rsidRPr="00BA15DC" w:rsidRDefault="00DC1614" w:rsidP="003B0EFB">
      <w:pPr>
        <w:pStyle w:val="ListParagraph"/>
        <w:numPr>
          <w:ilvl w:val="0"/>
          <w:numId w:val="22"/>
        </w:numPr>
        <w:spacing w:before="120" w:after="120"/>
        <w:contextualSpacing w:val="0"/>
        <w:jc w:val="both"/>
      </w:pPr>
      <w:r>
        <w:t xml:space="preserve">Il-punti 373 u 374 tas-CEEAG jistabbilixxu li </w:t>
      </w:r>
      <w:r>
        <w:rPr>
          <w:i/>
        </w:rPr>
        <w:t>“l-għajnuna għall-infrastruttura tal-enerġija fil-kuntest tal-qafas ta’ monopolju legali mhijiex soġġetta għar-regoli dwar l-għajnuna mill-Istat”</w:t>
      </w:r>
      <w:r>
        <w:t>.</w:t>
      </w:r>
      <w:r>
        <w:rPr>
          <w:i/>
        </w:rPr>
        <w:t xml:space="preserve"> </w:t>
      </w:r>
      <w:r>
        <w:t xml:space="preserve">Dan jista’ jkun il-każ fejn il-kostruzzjoni u l-operat ta’ ċerti infrastrutturi jkunu esklussivament riżervati bil-liġi għat-TSO jew għad-DSO. Bl-istess mod, il-punt 375 tas-CEEAG jistabbilixxi li </w:t>
      </w:r>
      <w:r>
        <w:rPr>
          <w:i/>
        </w:rPr>
        <w:t>“il-Kummissjoni tqis li ma hemm l-ebda għajnuna mill-Istat involuta fl-investimenti fejn l-infrastruttura tal-enerġija hija operata f’“monopolju naturali”</w:t>
      </w:r>
      <w:r w:rsidR="00E23446">
        <w:rPr>
          <w:i/>
        </w:rPr>
        <w:t>”</w:t>
      </w:r>
      <w:r>
        <w:t xml:space="preserve">. </w:t>
      </w:r>
    </w:p>
    <w:p w14:paraId="5E43B93C" w14:textId="77777777" w:rsidR="00DC1614" w:rsidRPr="00BA15DC" w:rsidRDefault="00DC1614" w:rsidP="003B0EFB">
      <w:pPr>
        <w:pStyle w:val="ListParagraph"/>
        <w:spacing w:before="120" w:after="120"/>
        <w:ind w:left="1080"/>
        <w:contextualSpacing w:val="0"/>
        <w:jc w:val="both"/>
      </w:pPr>
      <w:r>
        <w:t xml:space="preserve">Il-proġett huwa nnotifikat fil-qafas ta’ monopolju legali jew huwa mmexxi taħt “monopolju naturali”? </w:t>
      </w:r>
    </w:p>
    <w:p w14:paraId="67260E95" w14:textId="77777777" w:rsidR="00DC1614" w:rsidRPr="00BA15DC" w:rsidRDefault="00DC1614" w:rsidP="00DC161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A0A5786" w14:textId="7FFB04CF" w:rsidR="00DC1614" w:rsidRPr="00BA15DC" w:rsidRDefault="00DC1614" w:rsidP="003B0EFB">
      <w:pPr>
        <w:pStyle w:val="ListParagraph"/>
        <w:numPr>
          <w:ilvl w:val="0"/>
          <w:numId w:val="22"/>
        </w:numPr>
        <w:spacing w:before="120" w:after="120"/>
        <w:contextualSpacing w:val="0"/>
        <w:jc w:val="both"/>
      </w:pPr>
      <w:r>
        <w:t xml:space="preserve">Jekk it-tweġiba għall-mistoqsija preċedenti hija Iva, spjega għaliex il-proġett innotifikat jaqa’ fi ħdan il-qafas ta’ monopolju legali u/jew naturali, b’referenza għal kull kriterju kumulattiv stabbilit fil-punt 374 għall-monopolji legali u/jew fil-punt 375 għall-monopolji naturali tas-CEEAG. </w:t>
      </w:r>
    </w:p>
    <w:p w14:paraId="5E36EC98" w14:textId="39CC9103" w:rsidR="00E74367" w:rsidRPr="00BA15DC" w:rsidRDefault="00DC1614" w:rsidP="00DC161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42676FE" w14:textId="40D0E59A" w:rsidR="00C11603" w:rsidRPr="00BA15DC" w:rsidRDefault="00C11603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cs="Arial Unicode MS"/>
          <w:bCs/>
        </w:rPr>
      </w:pPr>
      <w:bookmarkStart w:id="6" w:name="_Ref171091150"/>
      <w:r>
        <w:rPr>
          <w:b/>
        </w:rPr>
        <w:t>Baġit u finanzjament tal-miżura/i.</w:t>
      </w:r>
      <w:bookmarkEnd w:id="6"/>
    </w:p>
    <w:p w14:paraId="4F846384" w14:textId="77777777" w:rsidR="00F7269C" w:rsidRPr="00BA15DC" w:rsidRDefault="00F7269C" w:rsidP="00F7269C">
      <w:pPr>
        <w:pStyle w:val="ListParagraph"/>
        <w:numPr>
          <w:ilvl w:val="0"/>
          <w:numId w:val="23"/>
        </w:numPr>
        <w:spacing w:before="120" w:after="120"/>
        <w:ind w:left="993" w:hanging="284"/>
        <w:contextualSpacing w:val="0"/>
        <w:jc w:val="both"/>
        <w:rPr>
          <w:rFonts w:cs="Arial Unicode MS"/>
          <w:bCs/>
        </w:rPr>
      </w:pPr>
      <w:r>
        <w:t>Jekk mhux diġà msemmi fit-tabella taħt it-Taqsima 7.1 tal-Formola ta’ Informazzjoni Ġenerali (il-Parti I), ipprovdi l-baġit annwali u/jew totali għat-tul ta' żmien kollu tal-miżura/i; jekk il-baġit totali mhuwiex magħruf (pereżempju minħabba li jiddependi mir-riżultati tal-offerti), indika baġit stmat, inklużi s-suppożizzjonijiet użati għall-kalkolu tal-baġit stmat rispettiv.</w:t>
      </w:r>
      <w:r w:rsidRPr="00BA15DC">
        <w:rPr>
          <w:szCs w:val="24"/>
          <w:vertAlign w:val="superscript"/>
        </w:rPr>
        <w:footnoteReference w:id="4"/>
      </w:r>
    </w:p>
    <w:p w14:paraId="24EA9E44" w14:textId="77777777" w:rsidR="00F7269C" w:rsidRPr="00BA15DC" w:rsidRDefault="00F7269C" w:rsidP="00F7269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7C65A5D" w14:textId="77777777" w:rsidR="00F7269C" w:rsidRPr="00BA15DC" w:rsidRDefault="00F7269C" w:rsidP="00F7269C">
      <w:pPr>
        <w:pStyle w:val="ListParagraph"/>
        <w:numPr>
          <w:ilvl w:val="0"/>
          <w:numId w:val="23"/>
        </w:numPr>
        <w:spacing w:before="120" w:after="120"/>
        <w:ind w:left="993" w:hanging="284"/>
        <w:contextualSpacing w:val="0"/>
        <w:jc w:val="both"/>
        <w:rPr>
          <w:rFonts w:cs="Arial Unicode MS"/>
          <w:bCs/>
        </w:rPr>
      </w:pPr>
      <w:bookmarkStart w:id="7" w:name="_Ref116914400"/>
      <w:r>
        <w:t>Jekk il-miżura hija ffinanzjata permezz ta’ imposta, iċċara jekk:</w:t>
      </w:r>
      <w:bookmarkEnd w:id="7"/>
    </w:p>
    <w:p w14:paraId="6F857C72" w14:textId="41631BB0" w:rsidR="00F7269C" w:rsidRPr="00BA15DC" w:rsidRDefault="00F7269C" w:rsidP="00F7269C">
      <w:pPr>
        <w:pStyle w:val="ListParagraph"/>
        <w:numPr>
          <w:ilvl w:val="1"/>
          <w:numId w:val="23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l-imposta hijiex stabbilita bil-liġi jew bi kwalunkwe att leġiżlattiv ieħor; fl-affermattiv, ipprovdi l-att legali, in-numru u d-data meta ġie adottat u daħal fis-seħħ, il-link tal-internet għall-att legali;</w:t>
      </w:r>
    </w:p>
    <w:p w14:paraId="6F04195F" w14:textId="77777777" w:rsidR="00F7269C" w:rsidRPr="00BA15DC" w:rsidRDefault="00F7269C" w:rsidP="00F7269C">
      <w:pPr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0B4E4A60" w14:textId="1229F706" w:rsidR="00F7269C" w:rsidRPr="00BA15DC" w:rsidRDefault="00F7269C" w:rsidP="00F7269C">
      <w:pPr>
        <w:pStyle w:val="ListParagraph"/>
        <w:numPr>
          <w:ilvl w:val="1"/>
          <w:numId w:val="23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l-imposta hijiex imposta b’mod indaqs fuq il-prodotti domestiċi u dawk importati;</w:t>
      </w:r>
    </w:p>
    <w:p w14:paraId="5587F7E6" w14:textId="77777777" w:rsidR="00F7269C" w:rsidRPr="00BA15DC" w:rsidRDefault="00F7269C" w:rsidP="00F7269C">
      <w:pPr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5C3E2724" w14:textId="5BF48491" w:rsidR="00F7269C" w:rsidRPr="00BA15DC" w:rsidRDefault="00F7269C" w:rsidP="00F7269C">
      <w:pPr>
        <w:pStyle w:val="ListParagraph"/>
        <w:numPr>
          <w:ilvl w:val="1"/>
          <w:numId w:val="23"/>
        </w:numPr>
        <w:spacing w:before="120" w:after="120"/>
        <w:contextualSpacing w:val="0"/>
        <w:jc w:val="both"/>
        <w:rPr>
          <w:rFonts w:cs="Arial Unicode MS"/>
          <w:bCs/>
        </w:rPr>
      </w:pPr>
      <w:r>
        <w:lastRenderedPageBreak/>
        <w:t>il-miżura notifikata hijiex se tkun ta’ benefiċċju b’mod indaqs għall-produtti domestiċi u dawk importati;</w:t>
      </w:r>
    </w:p>
    <w:p w14:paraId="57708231" w14:textId="77777777" w:rsidR="00F7269C" w:rsidRPr="00BA15DC" w:rsidRDefault="00F7269C" w:rsidP="00F7269C">
      <w:pPr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123F8425" w14:textId="14EAEDAB" w:rsidR="00F7269C" w:rsidRPr="00BA15DC" w:rsidRDefault="00F7269C" w:rsidP="00F7269C">
      <w:pPr>
        <w:pStyle w:val="ListParagraph"/>
        <w:numPr>
          <w:ilvl w:val="1"/>
          <w:numId w:val="23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l-imposta tiffinanzjax bis-sħiħ il-miżura jew parzjalment biss. Jekk l-imposta tiffinanzja parzjalment biss il-miżura, indika s-sorsi ta’ finanzjament l-oħra tal-miżura u l-proporzjon rispettiv tagħhom;</w:t>
      </w:r>
    </w:p>
    <w:p w14:paraId="29BD39F6" w14:textId="77777777" w:rsidR="00F7269C" w:rsidRPr="00BA15DC" w:rsidRDefault="00F7269C" w:rsidP="00F7269C">
      <w:pPr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0CB1A058" w14:textId="13AC7C8F" w:rsidR="00F7269C" w:rsidRPr="00BA15DC" w:rsidRDefault="00F7269C" w:rsidP="00F7269C">
      <w:pPr>
        <w:pStyle w:val="ListParagraph"/>
        <w:numPr>
          <w:ilvl w:val="1"/>
          <w:numId w:val="23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l-imposta li tiffinanzja l-miżura notifikata tiffinanzjax ukoll miżuri oħra ta’ għajnuna. Jekk iva, indika l-miżuri l-oħra ta’ għajnuna li huma ffinanzjati mill-imposta kkonċernata.</w:t>
      </w:r>
    </w:p>
    <w:p w14:paraId="1B3CA7E3" w14:textId="77777777" w:rsidR="00F7269C" w:rsidRPr="00BA15DC" w:rsidRDefault="00F7269C" w:rsidP="00F7269C">
      <w:pPr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2BB1A1CF" w14:textId="03886468" w:rsidR="00F7269C" w:rsidRPr="00BA15DC" w:rsidRDefault="00F7269C" w:rsidP="00F7269C">
      <w:pPr>
        <w:pStyle w:val="ListParagraph"/>
        <w:spacing w:before="120" w:after="120"/>
        <w:ind w:left="2007"/>
        <w:contextualSpacing w:val="0"/>
        <w:jc w:val="both"/>
        <w:rPr>
          <w:rFonts w:cs="Arial Unicode MS"/>
          <w:bCs/>
          <w:lang w:bidi="si-LK"/>
        </w:rPr>
      </w:pPr>
    </w:p>
    <w:p w14:paraId="65388348" w14:textId="68779CDE" w:rsidR="00BA5751" w:rsidRPr="00BA15DC" w:rsidRDefault="00F7269C" w:rsidP="00BA5751">
      <w:pPr>
        <w:pStyle w:val="ListParagraph"/>
        <w:spacing w:before="120" w:after="120"/>
        <w:ind w:left="993"/>
        <w:contextualSpacing w:val="0"/>
        <w:jc w:val="both"/>
      </w:pPr>
      <w:r>
        <w:tab/>
      </w:r>
    </w:p>
    <w:p w14:paraId="42A291CB" w14:textId="77777777" w:rsidR="009916D5" w:rsidRPr="00BA15DC" w:rsidRDefault="009916D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DE2433" w:rsidRPr="00BA15DC" w14:paraId="23C2E9FC" w14:textId="77777777" w:rsidTr="00697188">
        <w:tc>
          <w:tcPr>
            <w:tcW w:w="9286" w:type="dxa"/>
            <w:shd w:val="pct15" w:color="auto" w:fill="auto"/>
          </w:tcPr>
          <w:p w14:paraId="1E14EC88" w14:textId="71541B27" w:rsidR="000442F5" w:rsidRPr="00BA15DC" w:rsidRDefault="000442F5" w:rsidP="00DE243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</w:rPr>
              <w:t>Taqsima B: Valutazzjoni tal-kompatibbiltà tal-għajnuna</w:t>
            </w:r>
          </w:p>
        </w:tc>
      </w:tr>
    </w:tbl>
    <w:p w14:paraId="07973474" w14:textId="77777777" w:rsidR="000442F5" w:rsidRPr="00BA15DC" w:rsidRDefault="000442F5" w:rsidP="000442F5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BA15DC" w14:paraId="4F4ED3F1" w14:textId="77777777" w:rsidTr="00697188">
        <w:tc>
          <w:tcPr>
            <w:tcW w:w="9322" w:type="dxa"/>
            <w:shd w:val="pct15" w:color="auto" w:fill="auto"/>
          </w:tcPr>
          <w:p w14:paraId="4EC3F9B1" w14:textId="4AFDC259" w:rsidR="000442F5" w:rsidRPr="00BA15DC" w:rsidRDefault="007D1E08" w:rsidP="00C52CFD">
            <w:pPr>
              <w:pStyle w:val="Heading1"/>
              <w:numPr>
                <w:ilvl w:val="0"/>
                <w:numId w:val="24"/>
              </w:numPr>
              <w:rPr>
                <w:i/>
                <w:sz w:val="28"/>
                <w:szCs w:val="28"/>
              </w:rPr>
            </w:pPr>
            <w:r>
              <w:rPr>
                <w:i/>
                <w:sz w:val="28"/>
              </w:rPr>
              <w:t>Kundizzjoni pożittiva: l-għajnuna trid tiffaċilita l-iżvilupp ta’ attività ekonomika</w:t>
            </w:r>
          </w:p>
        </w:tc>
      </w:tr>
    </w:tbl>
    <w:p w14:paraId="51388EE2" w14:textId="77777777" w:rsidR="004B5C2A" w:rsidRPr="00BA15DC" w:rsidRDefault="004B5C2A" w:rsidP="004B5C2A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BA15DC" w14:paraId="6414F6C3" w14:textId="77777777" w:rsidTr="00305DC0">
        <w:tc>
          <w:tcPr>
            <w:tcW w:w="9322" w:type="dxa"/>
            <w:shd w:val="pct15" w:color="auto" w:fill="auto"/>
          </w:tcPr>
          <w:p w14:paraId="01CE580F" w14:textId="11F5C724" w:rsidR="004B5C2A" w:rsidRPr="00BA15DC" w:rsidRDefault="007D1E08" w:rsidP="006F256F">
            <w:pPr>
              <w:pStyle w:val="Heading1"/>
              <w:numPr>
                <w:ilvl w:val="1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Kontribut għall-iżvilupp ta’ attività ekonomika</w:t>
            </w:r>
          </w:p>
        </w:tc>
      </w:tr>
    </w:tbl>
    <w:p w14:paraId="1E2599D2" w14:textId="075AAE16" w:rsidR="000442F5" w:rsidRPr="00BA15DC" w:rsidRDefault="000442F5" w:rsidP="003B0EFB">
      <w:pPr>
        <w:spacing w:before="12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 3.1.1 (il-punti 23-25) u għat-taqsima 4.9.1 u 4.9.2 tas-CEEAG. </w:t>
      </w:r>
    </w:p>
    <w:p w14:paraId="05FCD0A3" w14:textId="194E868C" w:rsidR="00864DCD" w:rsidRPr="00BA15DC" w:rsidRDefault="006B6657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L-Artikolu 107(3)(c) </w:t>
      </w:r>
      <w:bookmarkStart w:id="8" w:name="_Hlk170735690"/>
      <w:r>
        <w:t>tat-Trattat dwar il-Funzjonament tal-Unjoni Ewropea (TFUE)</w:t>
      </w:r>
      <w:bookmarkEnd w:id="8"/>
      <w:r>
        <w:t xml:space="preserve"> jistabbilixxi li l-Kummissjoni tista’ tiddikjara bħala kompatibbli l-“għajnuna maħsuba sabiex tiffaċilita l-iżvilupp ta’ ċerti attivitajiet jew ta’ ċerti reġjuni ekonomiċi, basta dik l-għajnuna ma tfixkilx il-kondizzjonijiet tal-kummerċ sa grad li jkun kuntrarju għall-interess komuni”. Għalhekk, l-għajnuna kompatibbli taħt dik id-dispożizzjoni tat-TFUE trid tikkontribwixxi għall-iżvilupp ta’ ċerta attività ekonomika. </w:t>
      </w:r>
    </w:p>
    <w:p w14:paraId="4688DCCE" w14:textId="77777777" w:rsidR="00F7269C" w:rsidRPr="00BA15DC" w:rsidRDefault="00F7269C" w:rsidP="000442F5">
      <w:pPr>
        <w:tabs>
          <w:tab w:val="left" w:leader="dot" w:pos="9072"/>
        </w:tabs>
        <w:spacing w:before="120" w:after="120"/>
        <w:ind w:left="567"/>
        <w:jc w:val="both"/>
      </w:pPr>
      <w:r>
        <w:t>Sabiex tivvaluta l-konformità mal-punt 23 tas-CEEAG, identifika l-attivitajiet ekonomiċi li se jiġu ffaċilitati bħala riżultat tal-għajnuna u kif l-iżvilupp ta’ dawk l-attivitajiet huwa appoġġat.</w:t>
      </w:r>
    </w:p>
    <w:p w14:paraId="43E4572F" w14:textId="1037C4E2" w:rsidR="000442F5" w:rsidRPr="00BA15DC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5225F7C" w14:textId="77777777" w:rsidR="00F7269C" w:rsidRPr="00BA15DC" w:rsidRDefault="00F7269C" w:rsidP="00F7269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vvalutata l-konformità mal-punt 25 tas-CEEAG, iddeskrivi </w:t>
      </w:r>
      <w:r>
        <w:rPr>
          <w:i/>
        </w:rPr>
        <w:t>“wkoll jekk l-għajnuna hix se tikkontribwixxi għall-kisba tal-objettivi tal-politika dwar it-tibdil fil-klima, il-politika ambjentali u l-politika dwar l-enerġija tal-Unjoni u, aktar speċifikament, il-benefiċċji mistennija tal-għajnuna f’termini tal-kontribuzzjoni materjali tagħha għall-ħarsien tal-ambjent, inkluża l-mitigazzjoni tat-tibdil fil-klima, jew il-funzjonament effiċjenti tas-suq intern tal-enerġija, u kif se tagħmel dan”</w:t>
      </w:r>
      <w:r>
        <w:t>.</w:t>
      </w:r>
    </w:p>
    <w:p w14:paraId="2CF2C3D1" w14:textId="38F54855" w:rsidR="00D72D27" w:rsidRPr="00BA15DC" w:rsidRDefault="004152C3" w:rsidP="004152C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BB09313" w14:textId="564531CB" w:rsidR="00A141E9" w:rsidRPr="00BA15DC" w:rsidRDefault="00A141E9" w:rsidP="00A141E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bookmarkStart w:id="9" w:name="_Hlk163739202"/>
      <w:r>
        <w:t>Barra minn hekk, enfasizza sa liema punt l-għajnuna hija relatata ma’ politiki deskritti fil-punti 371 u 372 tas-CEEAG.</w:t>
      </w:r>
    </w:p>
    <w:bookmarkEnd w:id="9"/>
    <w:p w14:paraId="26E15391" w14:textId="7C0C3012" w:rsidR="00B1273A" w:rsidRPr="00BA15DC" w:rsidRDefault="00A141E9" w:rsidP="003B0EF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26FF31D" w14:textId="74F75816" w:rsidR="009E5AE0" w:rsidRPr="00BA15DC" w:rsidRDefault="009E5AE0" w:rsidP="009E5AE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Ipprovdi informazzjoni dwar l-ambitu u l-attivitajiet appoġġati tal-miżura/i ta’ għajnuna, kif stabbilit fil-punt 376 tas-CEEAG. Billi tagħmel dan, int mitlub ukoll:</w:t>
      </w:r>
    </w:p>
    <w:p w14:paraId="42154ABF" w14:textId="344A4382" w:rsidR="00C003E3" w:rsidRPr="00BA15DC" w:rsidRDefault="00C003E3" w:rsidP="00E47BED">
      <w:pPr>
        <w:pStyle w:val="ListParagraph"/>
        <w:numPr>
          <w:ilvl w:val="0"/>
          <w:numId w:val="56"/>
        </w:numPr>
        <w:spacing w:before="120" w:after="120"/>
        <w:contextualSpacing w:val="0"/>
        <w:jc w:val="both"/>
      </w:pPr>
      <w:r>
        <w:t xml:space="preserve">Tiżgura li l-proġett ikun dwar infrastruttura tal-enerġija kif definita fil-punt 19 (36) tas-CEEAG. </w:t>
      </w:r>
    </w:p>
    <w:p w14:paraId="200CB163" w14:textId="4FFB2EB0" w:rsidR="00D83DB7" w:rsidRPr="00BA15DC" w:rsidRDefault="00D83DB7" w:rsidP="00D83DB7">
      <w:pPr>
        <w:pStyle w:val="ListParagraph"/>
        <w:numPr>
          <w:ilvl w:val="0"/>
          <w:numId w:val="56"/>
        </w:numPr>
        <w:spacing w:before="120" w:after="120"/>
        <w:contextualSpacing w:val="0"/>
        <w:jc w:val="both"/>
      </w:pPr>
      <w:r>
        <w:t>Tiżgura li l-proġett ma jinvolvix infrastruttura dedikata u/jew infrastruttura tal-enerġija oħra flimkien ma’ attivitajiet ta’ produzzjoni u/jew konsum.</w:t>
      </w:r>
    </w:p>
    <w:p w14:paraId="1DD6F885" w14:textId="4214F969" w:rsidR="003B2790" w:rsidRPr="00BA15DC" w:rsidRDefault="00E47BED" w:rsidP="003B2790">
      <w:pPr>
        <w:pStyle w:val="ListParagraph"/>
        <w:numPr>
          <w:ilvl w:val="0"/>
          <w:numId w:val="56"/>
        </w:numPr>
        <w:spacing w:before="120" w:after="120"/>
        <w:contextualSpacing w:val="0"/>
        <w:jc w:val="both"/>
      </w:pPr>
      <w:r>
        <w:t xml:space="preserve">Tispeċifika x’tip ta’ kostijiet se jiġu appoġġati mill-miżura: spejjeż ta’ investiment jew ta’ operat. </w:t>
      </w:r>
    </w:p>
    <w:p w14:paraId="59AAAC34" w14:textId="7FD0EAF1" w:rsidR="00E47BED" w:rsidRPr="00BA15DC" w:rsidRDefault="00E47BED" w:rsidP="00E47BED">
      <w:pPr>
        <w:pStyle w:val="ListParagraph"/>
        <w:numPr>
          <w:ilvl w:val="0"/>
          <w:numId w:val="56"/>
        </w:numPr>
        <w:spacing w:before="120" w:after="120"/>
        <w:contextualSpacing w:val="0"/>
        <w:jc w:val="both"/>
      </w:pPr>
      <w:r>
        <w:t xml:space="preserve">F’każ fejn il-miżura se tkopri l-kostijiet operatorji, uri li dawk il-kostijiet ma jistgħux jiġu rkuprati mill-utenti tan-network u li mhumiex relatati ma’ kostijiet irrekuperabbli, u li l-għajnuna operatorja twassal għal bidla fl-imġiba li tippermetti t-twettiq tal-objettivi tas-sigurtà tal-provvista jew tal-protezzjoni ambjentali. </w:t>
      </w:r>
    </w:p>
    <w:p w14:paraId="2BCE8BBC" w14:textId="77777777" w:rsidR="009E5AE0" w:rsidRPr="00BA15DC" w:rsidRDefault="009E5AE0" w:rsidP="009E5AE0">
      <w:pPr>
        <w:tabs>
          <w:tab w:val="left" w:leader="dot" w:pos="9072"/>
        </w:tabs>
        <w:spacing w:before="120" w:after="120"/>
        <w:ind w:left="567"/>
        <w:jc w:val="both"/>
      </w:pPr>
      <w:r>
        <w:lastRenderedPageBreak/>
        <w:tab/>
      </w:r>
    </w:p>
    <w:p w14:paraId="2720D3CB" w14:textId="77777777" w:rsidR="00015E2B" w:rsidRPr="00BA15DC" w:rsidRDefault="00015E2B" w:rsidP="00E1791B">
      <w:pPr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015E2B" w:rsidRPr="00BA15DC" w14:paraId="45672207" w14:textId="77777777" w:rsidTr="00305DC0">
        <w:tc>
          <w:tcPr>
            <w:tcW w:w="9322" w:type="dxa"/>
            <w:shd w:val="pct15" w:color="auto" w:fill="auto"/>
          </w:tcPr>
          <w:p w14:paraId="3169DD9A" w14:textId="209AD687" w:rsidR="00015E2B" w:rsidRPr="00BA15DC" w:rsidRDefault="00015E2B" w:rsidP="00805640">
            <w:pPr>
              <w:pStyle w:val="Heading1"/>
              <w:numPr>
                <w:ilvl w:val="1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Effett ta’ inċentiv</w:t>
            </w:r>
          </w:p>
        </w:tc>
      </w:tr>
    </w:tbl>
    <w:p w14:paraId="20915284" w14:textId="0EA618F2" w:rsidR="00015E2B" w:rsidRPr="00BA15DC" w:rsidRDefault="00B15313" w:rsidP="003B0EFB">
      <w:pPr>
        <w:spacing w:before="120" w:after="120"/>
        <w:jc w:val="both"/>
        <w:rPr>
          <w:i/>
        </w:rPr>
      </w:pPr>
      <w:r>
        <w:rPr>
          <w:i/>
        </w:rPr>
        <w:t xml:space="preserve">Biex tagħti l-informazzjoni f’din it-taqsima, irreferi għat-Taqsima 3.1.2 (il-punti 26-32) tas-CEEAG. </w:t>
      </w:r>
    </w:p>
    <w:p w14:paraId="6AB96E7F" w14:textId="77777777" w:rsidR="003B2790" w:rsidRPr="00BA15DC" w:rsidRDefault="003B2790" w:rsidP="003B279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L-għajnuna tista’ titqies li tiffaċilita attività ekonomika biss jekk ikollha effett ta’ inċentiv. Sabiex tivvaluta l-konformità mal-punt 26 tas-CEEAG, spjega kif il-miżura/i “</w:t>
      </w:r>
      <w:r>
        <w:rPr>
          <w:i/>
        </w:rPr>
        <w:t>ġġiegħel[/iġiegħlu] lill-benefiċjarju jibdel l-imġiba tiegħu, jinvolvi ruħu f’attività ekonomika addizzjonali jew f’attività ekonomika aktar ekoloġika, li kieku ma kienx iwettaq mingħajr l-għajnuna jew kien iwettaqha b’mod ristrett jew differenti”</w:t>
      </w:r>
      <w:r>
        <w:t>.</w:t>
      </w:r>
      <w:r>
        <w:rPr>
          <w:i/>
        </w:rPr>
        <w:t xml:space="preserve"> </w:t>
      </w:r>
    </w:p>
    <w:p w14:paraId="26BD861B" w14:textId="77777777" w:rsidR="00210BE0" w:rsidRPr="00BA15DC" w:rsidRDefault="00210BE0" w:rsidP="00210BE0">
      <w:pPr>
        <w:tabs>
          <w:tab w:val="left" w:leader="dot" w:pos="9072"/>
        </w:tabs>
        <w:spacing w:before="120" w:after="120"/>
        <w:ind w:left="567"/>
        <w:jc w:val="both"/>
      </w:pPr>
      <w:bookmarkStart w:id="10" w:name="_Hlk163740440"/>
      <w:r>
        <w:tab/>
      </w:r>
      <w:bookmarkEnd w:id="10"/>
    </w:p>
    <w:p w14:paraId="4586822C" w14:textId="0FD76A82" w:rsidR="002D67D0" w:rsidRPr="00BA15DC" w:rsidRDefault="002D67D0" w:rsidP="00C003E3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tivvaluta l-konformità mal-punt 27 tas-CEEAG, ipprovdi l-informazzjoni biex tikkonferma li </w:t>
      </w:r>
      <w:r>
        <w:rPr>
          <w:color w:val="000000"/>
          <w:shd w:val="clear" w:color="auto" w:fill="FFFFFF"/>
        </w:rPr>
        <w:t>l-għajnuna ma tappoġġax il-kostijiet ta’ attività li l-benefiċjarju tal-għajnuna xorta waħda jwettaq u ma tikkumpensax għar-riskju kummerċjali normali ta’ attività ekonomika</w:t>
      </w:r>
      <w:r w:rsidR="00AC5B96" w:rsidRPr="00BA15DC">
        <w:rPr>
          <w:rStyle w:val="FootnoteReference"/>
          <w:color w:val="000000"/>
          <w:shd w:val="clear" w:color="auto" w:fill="FFFFFF"/>
        </w:rPr>
        <w:footnoteReference w:id="5"/>
      </w:r>
      <w:r>
        <w:t>.</w:t>
      </w:r>
      <w:r>
        <w:rPr>
          <w:i/>
        </w:rPr>
        <w:t xml:space="preserve"> </w:t>
      </w:r>
    </w:p>
    <w:p w14:paraId="543CA454" w14:textId="77777777" w:rsidR="002D67D0" w:rsidRPr="00BA15DC" w:rsidRDefault="002D67D0" w:rsidP="002D67D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0874725" w14:textId="748C6B78" w:rsidR="008B1CA3" w:rsidRPr="00BA15DC" w:rsidRDefault="008B1CA3" w:rsidP="003B279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tintwera l-preżenza ta’ effett ta’ inċentiv, il-punt 28 tas-CEEAG jirrikjedi l-identifikazzjoni tax-xenarju fattwali u x-xenarju kontrofattwali probabbli fin-nuqqas ta’ għajnuna. Għal għajnuna għall-infrastruttura tal-enerġija, kif spjegat fil-punt 52, ix-xenarju kontrofattwali huwa preżunt bħala s-sitwazzjoni li fiha l-proġett ma jseħħx. </w:t>
      </w:r>
    </w:p>
    <w:p w14:paraId="4AA49B40" w14:textId="0DEE1851" w:rsidR="00D70FE9" w:rsidRPr="00BA15DC" w:rsidRDefault="00A255BF" w:rsidP="00526607">
      <w:pPr>
        <w:pStyle w:val="ListParagraph"/>
        <w:numPr>
          <w:ilvl w:val="0"/>
          <w:numId w:val="37"/>
        </w:numPr>
        <w:spacing w:before="120" w:after="120"/>
        <w:contextualSpacing w:val="0"/>
        <w:jc w:val="both"/>
      </w:pPr>
      <w:r>
        <w:t>Ipprovdi deskrizzjoni komprensiva tax-xenarju fattwali. Fil-każ ta’ skemi li jkopru proġetti ta’ referenza differenti</w:t>
      </w:r>
      <w:r w:rsidR="0030040A" w:rsidRPr="00BA15DC">
        <w:rPr>
          <w:rStyle w:val="FootnoteReference"/>
          <w:lang w:val="en-IE" w:eastAsia="en-GB"/>
        </w:rPr>
        <w:footnoteReference w:id="6"/>
      </w:r>
      <w:r>
        <w:t>, ipprovdi deskrizzjoni tax-xenarju fattwali għal kull proġett ta’ referenza.</w:t>
      </w:r>
    </w:p>
    <w:p w14:paraId="1508C9BB" w14:textId="35F5092A" w:rsidR="008E4062" w:rsidRPr="00BA15DC" w:rsidRDefault="008E4062" w:rsidP="008E4062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B9D3662" w14:textId="40BC3B72" w:rsidR="005F6E6B" w:rsidRPr="00BA15DC" w:rsidRDefault="006F723B" w:rsidP="00526607">
      <w:pPr>
        <w:pStyle w:val="ListParagraph"/>
        <w:numPr>
          <w:ilvl w:val="0"/>
          <w:numId w:val="37"/>
        </w:numPr>
        <w:spacing w:before="120" w:after="120"/>
        <w:contextualSpacing w:val="0"/>
        <w:jc w:val="both"/>
      </w:pPr>
      <w:r>
        <w:t>Sakemm il-miżura mhijiex skema ta’ għajnuna, ma’ din il-formola ta’ notifika ehmeż kwalunkwe dokument uffiċjali tal-bord, valutazzjonijiet tar-riskju, rapport finanzjarju, pjanijiet ta’ direzzjoni tan-negozju interni, opinjonijiet esperti u studji oħra relatati mal-proġett li qed jiġi vvalutat, dokumenti li fihom informazzjoni dwar il-previżjonijiet tad-domanda, il-previżjonijiet tal-kostijiet, il-previżjonijiet finanzjarji, id-dokumenti sottomessi lil kumitat tal-investiment u li jelaboraw dwar xenarji ta’ investiment/operazzjoni, jew dokumenti pprovduti lill-istituzzjonijiet finanzjarji kif previst fil-punt 28, in-nota 39 f’qiegħ il-paġna tas-CEEAG.</w:t>
      </w:r>
    </w:p>
    <w:p w14:paraId="489E64F5" w14:textId="104163BA" w:rsidR="00C713DD" w:rsidRPr="00BA15DC" w:rsidRDefault="005F6E6B" w:rsidP="005F6E6B">
      <w:pPr>
        <w:pStyle w:val="ListParagraph"/>
        <w:spacing w:before="120" w:after="120"/>
        <w:ind w:left="1287"/>
        <w:contextualSpacing w:val="0"/>
        <w:jc w:val="both"/>
      </w:pPr>
      <w:r>
        <w:t>Innota li dawk id-dokumenti jridu jkunu kontemporanji għall-proċess tat-teħid ta’ deċiżjonijiet rigward id-deċiżjoni ta’ investiment/operazzjoni.</w:t>
      </w:r>
    </w:p>
    <w:p w14:paraId="0F3CF49B" w14:textId="1DE4A9D5" w:rsidR="00DE063E" w:rsidRPr="00BA15DC" w:rsidRDefault="00E32AD5" w:rsidP="005F6E6B">
      <w:pPr>
        <w:pStyle w:val="ListParagraph"/>
        <w:spacing w:before="120" w:after="120"/>
        <w:ind w:left="1287"/>
        <w:contextualSpacing w:val="0"/>
        <w:jc w:val="both"/>
      </w:pPr>
      <w:r>
        <w:t>Jekk dawn id-dokumenti huma mehmuża mal-formola ta’ notifika, ipprovdi hawn taħt lista ta’ dawk id-dokumenti, li tispeċifika l-awtur, id-data meta ġew abbozzati u l-kuntest meta ntużaw.</w:t>
      </w:r>
    </w:p>
    <w:p w14:paraId="7C9E31EE" w14:textId="7C246335" w:rsidR="008E4062" w:rsidRPr="00BA15DC" w:rsidRDefault="008E4062" w:rsidP="008E4062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8A49F12" w14:textId="68C33539" w:rsidR="00C14706" w:rsidRPr="00BA15DC" w:rsidRDefault="00FC1BCC" w:rsidP="00C003E3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lastRenderedPageBreak/>
        <w:t>Sabiex tintwera l-konformità mal-punti 29 u 31 tas-CEEAG:</w:t>
      </w:r>
    </w:p>
    <w:p w14:paraId="48499390" w14:textId="47E7D7F7" w:rsidR="006445C3" w:rsidRPr="00BA15DC" w:rsidRDefault="00677805" w:rsidP="00526607">
      <w:pPr>
        <w:pStyle w:val="ListParagraph"/>
        <w:numPr>
          <w:ilvl w:val="0"/>
          <w:numId w:val="25"/>
        </w:numPr>
        <w:spacing w:before="120" w:after="120"/>
        <w:ind w:left="993" w:hanging="284"/>
        <w:contextualSpacing w:val="0"/>
        <w:jc w:val="both"/>
      </w:pPr>
      <w:r>
        <w:t>Ikkonferma li l-bidu tax-xogħlijiet fuq il-proġett jew l-attività ma seħħx qabel applikazzjoni għall-għajnuna bil-miktub mill-benefiċjarju lill-awtoritajiet nazzjonali;</w:t>
      </w:r>
    </w:p>
    <w:p w14:paraId="72FB2087" w14:textId="77777777" w:rsidR="006445C3" w:rsidRPr="00BA15DC" w:rsidRDefault="006445C3" w:rsidP="006445C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4427F37" w14:textId="1D135D62" w:rsidR="006445C3" w:rsidRPr="00BA15DC" w:rsidRDefault="006445C3" w:rsidP="006445C3">
      <w:pPr>
        <w:pStyle w:val="ListParagraph"/>
        <w:spacing w:before="120" w:after="120"/>
        <w:ind w:left="993"/>
        <w:contextualSpacing w:val="0"/>
        <w:jc w:val="both"/>
      </w:pPr>
      <w:r>
        <w:t>JEW</w:t>
      </w:r>
    </w:p>
    <w:p w14:paraId="0252AF86" w14:textId="0BA000F4" w:rsidR="000442F5" w:rsidRPr="00BA15DC" w:rsidRDefault="00283496" w:rsidP="00526607">
      <w:pPr>
        <w:pStyle w:val="ListParagraph"/>
        <w:numPr>
          <w:ilvl w:val="0"/>
          <w:numId w:val="25"/>
        </w:numPr>
        <w:spacing w:before="120" w:after="120"/>
        <w:ind w:left="993" w:hanging="284"/>
        <w:contextualSpacing w:val="0"/>
        <w:jc w:val="both"/>
      </w:pPr>
      <w:r>
        <w:t xml:space="preserve">Għall-proġetti li bdew qabel l-applikazzjoni għall-għajnuna, uri li l-proġett jaqa’ f’wieħed mill-każijiet eċċezzjonali pprovduti fil-punt 31 tas-CEEAG ((a), (b) jew (c)). </w:t>
      </w:r>
    </w:p>
    <w:p w14:paraId="76275A84" w14:textId="77777777" w:rsidR="00FC1BCC" w:rsidRPr="00BA15DC" w:rsidRDefault="00FC1BCC" w:rsidP="00FC1BC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62748B6" w14:textId="77777777" w:rsidR="00283496" w:rsidRPr="00C34CB6" w:rsidRDefault="00283496" w:rsidP="00C34CB6">
      <w:pPr>
        <w:numPr>
          <w:ilvl w:val="0"/>
          <w:numId w:val="4"/>
        </w:numPr>
        <w:spacing w:before="120" w:after="120"/>
        <w:ind w:left="567" w:hanging="567"/>
        <w:jc w:val="both"/>
      </w:pPr>
      <w:r>
        <w:t>Biex turi konformità mal-punt 30 tas-CEEAG, napprezzaw li tikkonferma li l-applikazzjoni għall-għajnuna tinkludi mill-inqas l-isem tal-applikant, deskrizzjoni tal-proġett jew l-attività, inkluż il-post, u l-ammont tal-għajnuna meħtieġa biex titwettaq.</w:t>
      </w:r>
    </w:p>
    <w:p w14:paraId="4C1D3BBE" w14:textId="77777777" w:rsidR="00283496" w:rsidRPr="00BA15DC" w:rsidRDefault="00283496" w:rsidP="0028349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7121C14" w14:textId="77777777" w:rsidR="00283496" w:rsidRPr="00C34CB6" w:rsidRDefault="00283496" w:rsidP="00C34CB6">
      <w:pPr>
        <w:pStyle w:val="ListParagraph"/>
        <w:spacing w:before="120" w:after="120"/>
        <w:ind w:left="567"/>
        <w:contextualSpacing w:val="0"/>
        <w:jc w:val="both"/>
      </w:pPr>
    </w:p>
    <w:p w14:paraId="74CEA8C8" w14:textId="6FE3892B" w:rsidR="00801D5A" w:rsidRPr="00BA15DC" w:rsidRDefault="00801D5A" w:rsidP="00801D5A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turi l-konformità mal-punt 32 tas-CEEAG, indika jekk hemmx standards tal-Unjoni</w:t>
      </w:r>
      <w:r w:rsidRPr="00BA15DC">
        <w:rPr>
          <w:rStyle w:val="FootnoteReference"/>
          <w:lang w:val="en-IE" w:eastAsia="en-GB"/>
        </w:rPr>
        <w:footnoteReference w:id="7"/>
      </w:r>
      <w:r>
        <w:t xml:space="preserve"> applikabbli għall-miżura/i notifikata/i, standards nazzjonali obbligatorji li huma aktar stretti jew ambizzjużi mill-istandards korrispondenti tal-Unjoni, jew standards nazzjonali obbligatorji li ġew adottati fin-nuqqas ta’ standards tal-Unjoni. F’dak il-kuntest, ipprovdi informazzjoni biex turi l-effett ta’ inċentiv.</w:t>
      </w:r>
    </w:p>
    <w:p w14:paraId="372E0175" w14:textId="77777777" w:rsidR="00801D5A" w:rsidRPr="00BA15DC" w:rsidRDefault="00801D5A" w:rsidP="00801D5A">
      <w:pPr>
        <w:tabs>
          <w:tab w:val="left" w:leader="dot" w:pos="9072"/>
        </w:tabs>
        <w:spacing w:before="120" w:after="120"/>
        <w:ind w:left="567"/>
        <w:jc w:val="both"/>
      </w:pPr>
      <w:r>
        <w:t xml:space="preserve"> </w:t>
      </w:r>
      <w:bookmarkStart w:id="11" w:name="_Hlk163740922"/>
      <w:r>
        <w:tab/>
      </w:r>
      <w:bookmarkEnd w:id="11"/>
    </w:p>
    <w:p w14:paraId="3063B88D" w14:textId="1F215F53" w:rsidR="00DE1D68" w:rsidRPr="00BA15DC" w:rsidRDefault="00801D5A" w:rsidP="00801D5A">
      <w:pPr>
        <w:pStyle w:val="ListParagraph"/>
        <w:keepNext/>
        <w:keepLines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F’każijiet fejn l-istandard rilevanti tal-Unjoni jkun diġà ġie adottat iżda jkun għadu mhux fis-seħħ, uri li l-għajnuna għandha effett ta’ inċentiv minħabba li tinċentiva l-investiment li għandu jiġi implimentat u ffinalizzat mill-inqas 18-il xahar qabel ma l-istandard jidħol fis-seħħ. </w:t>
      </w:r>
    </w:p>
    <w:p w14:paraId="24890143" w14:textId="77777777" w:rsidR="00801D5A" w:rsidRPr="00BA15DC" w:rsidRDefault="00801D5A" w:rsidP="00801D5A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</w:p>
    <w:p w14:paraId="5B9E8350" w14:textId="37021E30" w:rsidR="00801D5A" w:rsidRPr="00BA15DC" w:rsidRDefault="00801D5A" w:rsidP="00801D5A">
      <w:pPr>
        <w:pStyle w:val="ListParagraph"/>
        <w:keepNext/>
        <w:keepLines/>
        <w:spacing w:before="120" w:after="120"/>
        <w:ind w:left="567"/>
        <w:contextualSpacing w:val="0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DE1D68" w:rsidRPr="00BA15DC" w14:paraId="66A1C06C" w14:textId="77777777" w:rsidTr="00504F2E">
        <w:tc>
          <w:tcPr>
            <w:tcW w:w="9322" w:type="dxa"/>
            <w:shd w:val="pct15" w:color="auto" w:fill="auto"/>
          </w:tcPr>
          <w:p w14:paraId="7CABD1EF" w14:textId="4D11A7A0" w:rsidR="00DE1D68" w:rsidRPr="00BA15DC" w:rsidRDefault="00DE1D68" w:rsidP="00805640">
            <w:pPr>
              <w:pStyle w:val="Heading1"/>
              <w:numPr>
                <w:ilvl w:val="1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Ebda ksur ta’ ebda dispożizzjoni rilevanti tad-dritt tal-Unjoni</w:t>
            </w:r>
          </w:p>
        </w:tc>
      </w:tr>
    </w:tbl>
    <w:p w14:paraId="0AB413A5" w14:textId="77777777" w:rsidR="00B00F48" w:rsidRPr="00BA15DC" w:rsidRDefault="00B00F48" w:rsidP="003B0EFB">
      <w:pPr>
        <w:spacing w:before="120" w:after="120"/>
        <w:jc w:val="both"/>
        <w:rPr>
          <w:i/>
        </w:rPr>
      </w:pPr>
      <w:r>
        <w:rPr>
          <w:i/>
        </w:rPr>
        <w:t xml:space="preserve">Biex tagħti l-informazzjoni f’din it-taqsima, irreferi għat-Taqsima 3.1.3 (il-punt 33 tas-CEEAG). </w:t>
      </w:r>
    </w:p>
    <w:p w14:paraId="3962667A" w14:textId="77777777" w:rsidR="00B00F48" w:rsidRPr="00BA15DC" w:rsidRDefault="00B00F48" w:rsidP="00B00F48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lastRenderedPageBreak/>
        <w:t xml:space="preserve">Ipprovdi informazzjoni biex tikkonferma l-konformità mad-dispożizzjonijiet rilevanti tad-dritt tal-UE, f’konformità mal-punt 33 tas-CEEAG. </w:t>
      </w:r>
    </w:p>
    <w:p w14:paraId="0F021F61" w14:textId="77777777" w:rsidR="00B00F48" w:rsidRPr="00BA15DC" w:rsidRDefault="00B00F48" w:rsidP="00B00F48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5F7A8389" w14:textId="663DB68A" w:rsidR="00B00F48" w:rsidRPr="00BA15DC" w:rsidRDefault="00B00F48" w:rsidP="00B00F48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i/>
          <w:iCs/>
          <w:color w:val="000000"/>
        </w:rPr>
      </w:pPr>
      <w:r>
        <w:t>Jekk tintuża imposta għall-finaznjament tal-miżura/i, kkjarifika jekk jeħtieġx li titwettaq il-valutazzjoni tal-konformità mal-Artikolu 30 u 110 tat-TFUE. Jekk iva, uri kif il-miżura tikkonforma mad-dispożizzjonijiet tal-Artikolu 30 u 110 tat-TFUE.</w:t>
      </w:r>
      <w:r>
        <w:rPr>
          <w:i/>
        </w:rPr>
        <w:t xml:space="preserve"> </w:t>
      </w:r>
      <w:r>
        <w:t xml:space="preserve">F’dan il-kuntest, tista’ ssir referenza għall-informazzjoni sottomessa taħt il-mistoqsija </w:t>
      </w:r>
      <w:r w:rsidR="003F72C9">
        <w:fldChar w:fldCharType="begin"/>
      </w:r>
      <w:r w:rsidR="003F72C9">
        <w:instrText xml:space="preserve"> REF _Ref171091150 \r \h </w:instrText>
      </w:r>
      <w:r w:rsidR="003F72C9">
        <w:fldChar w:fldCharType="separate"/>
      </w:r>
      <w:r w:rsidR="003F72C9">
        <w:t>4</w:t>
      </w:r>
      <w:r w:rsidR="003F72C9">
        <w:fldChar w:fldCharType="end"/>
      </w:r>
      <w:r>
        <w:t>.</w:t>
      </w:r>
      <w:r w:rsidR="003F72C9">
        <w:fldChar w:fldCharType="begin"/>
      </w:r>
      <w:r w:rsidR="003F72C9">
        <w:instrText xml:space="preserve"> REF _Ref116914400 \r \h </w:instrText>
      </w:r>
      <w:r w:rsidR="003F72C9">
        <w:fldChar w:fldCharType="separate"/>
      </w:r>
      <w:r w:rsidR="003F72C9">
        <w:t>ii</w:t>
      </w:r>
      <w:r w:rsidR="003F72C9">
        <w:fldChar w:fldCharType="end"/>
      </w:r>
      <w:r>
        <w:t xml:space="preserve"> ta’ hawn fuq, fejn il-miżura/i notifikata/i hija/huma ffinanzjata/i permezz ta’ imposta.</w:t>
      </w:r>
    </w:p>
    <w:p w14:paraId="4658389F" w14:textId="77777777" w:rsidR="00B00F48" w:rsidRPr="00BA15DC" w:rsidRDefault="00B00F48" w:rsidP="00B00F48">
      <w:pPr>
        <w:pStyle w:val="ListParagraph"/>
        <w:rPr>
          <w:i/>
          <w:iCs/>
          <w:color w:val="000000"/>
        </w:rPr>
      </w:pPr>
    </w:p>
    <w:p w14:paraId="5530A5DF" w14:textId="2069D764" w:rsidR="00B00F48" w:rsidRPr="00BA15DC" w:rsidRDefault="00B00F48" w:rsidP="00B00F48">
      <w:pPr>
        <w:tabs>
          <w:tab w:val="left" w:leader="dot" w:pos="9072"/>
        </w:tabs>
        <w:spacing w:before="120" w:after="120"/>
        <w:ind w:left="360"/>
        <w:jc w:val="both"/>
        <w:rPr>
          <w:color w:val="000000"/>
        </w:rPr>
      </w:pPr>
      <w:r>
        <w:rPr>
          <w:color w:val="000000"/>
        </w:rPr>
        <w:tab/>
      </w:r>
    </w:p>
    <w:p w14:paraId="12BBBE61" w14:textId="6B867948" w:rsidR="00663008" w:rsidRPr="00BA15DC" w:rsidRDefault="008D37F9" w:rsidP="00663008">
      <w:pPr>
        <w:ind w:left="-567" w:firstLine="1412"/>
        <w:rPr>
          <w:i/>
          <w:color w:val="000000"/>
        </w:rPr>
      </w:pPr>
      <w: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BA15DC" w14:paraId="1446B9C4" w14:textId="77777777" w:rsidTr="00504F2E">
        <w:tc>
          <w:tcPr>
            <w:tcW w:w="9322" w:type="dxa"/>
            <w:shd w:val="pct15" w:color="auto" w:fill="auto"/>
          </w:tcPr>
          <w:p w14:paraId="47835452" w14:textId="1E46754C" w:rsidR="00663008" w:rsidRPr="00BA15DC" w:rsidRDefault="00663008" w:rsidP="00C52CFD">
            <w:pPr>
              <w:pStyle w:val="Heading1"/>
              <w:numPr>
                <w:ilvl w:val="0"/>
                <w:numId w:val="24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>Kundizzjoni negattiva: l-għajnuna ma tistax tfixkel bla bżomn il-kundizzjonijiet tal-kummerċ sa punt li jkun kontra l-interess komuni</w:t>
            </w:r>
          </w:p>
        </w:tc>
      </w:tr>
    </w:tbl>
    <w:p w14:paraId="78513DDC" w14:textId="7983A86C" w:rsidR="00663008" w:rsidRPr="00BA15DC" w:rsidRDefault="00663008" w:rsidP="00663008">
      <w:pPr>
        <w:ind w:left="-567" w:firstLine="1412"/>
        <w:rPr>
          <w:i/>
          <w:color w:val="000000"/>
        </w:rPr>
      </w:pPr>
    </w:p>
    <w:p w14:paraId="567C40B6" w14:textId="77777777" w:rsidR="00164ADE" w:rsidRPr="00BA15DC" w:rsidRDefault="00164ADE" w:rsidP="00164ADE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4ADE" w:rsidRPr="00BA15DC" w14:paraId="51499EDF" w14:textId="77777777" w:rsidTr="00504F2E">
        <w:tc>
          <w:tcPr>
            <w:tcW w:w="9322" w:type="dxa"/>
            <w:shd w:val="pct15" w:color="auto" w:fill="auto"/>
          </w:tcPr>
          <w:p w14:paraId="77CB675F" w14:textId="79C50486" w:rsidR="00164ADE" w:rsidRPr="00BA15DC" w:rsidRDefault="00B00F48" w:rsidP="00B00F48">
            <w:pPr>
              <w:pStyle w:val="Heading1"/>
              <w:numPr>
                <w:ilvl w:val="1"/>
                <w:numId w:val="24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 xml:space="preserve"> Minimizzazzjoni tad-distorsjonijiet tal-kompetizzjoni u tal-kummerċ</w:t>
            </w:r>
          </w:p>
        </w:tc>
      </w:tr>
    </w:tbl>
    <w:p w14:paraId="1060B87E" w14:textId="77777777" w:rsidR="00164ADE" w:rsidRPr="00BA15DC" w:rsidRDefault="00164ADE" w:rsidP="00164ADE">
      <w:pPr>
        <w:ind w:left="-567" w:firstLine="1412"/>
        <w:rPr>
          <w:i/>
          <w:color w:val="000000"/>
        </w:rPr>
      </w:pPr>
    </w:p>
    <w:p w14:paraId="7218929B" w14:textId="77777777" w:rsidR="00164ADE" w:rsidRPr="00BA15DC" w:rsidRDefault="00164ADE" w:rsidP="00663008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BA15DC" w14:paraId="425B1AE4" w14:textId="77777777" w:rsidTr="00504F2E">
        <w:tc>
          <w:tcPr>
            <w:tcW w:w="9322" w:type="dxa"/>
            <w:shd w:val="pct15" w:color="auto" w:fill="auto"/>
          </w:tcPr>
          <w:p w14:paraId="5FBF20D3" w14:textId="409A7B5D" w:rsidR="00663008" w:rsidRPr="00BA15DC" w:rsidRDefault="00E74CAF" w:rsidP="00B00F48">
            <w:pPr>
              <w:pStyle w:val="Heading1"/>
              <w:numPr>
                <w:ilvl w:val="2"/>
                <w:numId w:val="60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Il-ħtieġa u l-adegwatezza tal-intervent tal-għajnuna mill-Istat</w:t>
            </w:r>
          </w:p>
        </w:tc>
      </w:tr>
    </w:tbl>
    <w:p w14:paraId="3C23674F" w14:textId="4D2BAF74" w:rsidR="00663008" w:rsidRPr="00BA15DC" w:rsidRDefault="00663008" w:rsidP="003B0EFB">
      <w:pPr>
        <w:spacing w:before="120" w:after="120"/>
        <w:jc w:val="both"/>
        <w:rPr>
          <w:i/>
          <w:color w:val="000000"/>
        </w:rPr>
      </w:pPr>
      <w:r>
        <w:rPr>
          <w:i/>
        </w:rPr>
        <w:t>Biex tipprovdi l-informazzjoni f’din it-taqsima, irreferi għat-Taqsima 4.9.3.1 (il-punti 379 u 380) tas-CEEAG.</w:t>
      </w:r>
      <w:r>
        <w:rPr>
          <w:i/>
          <w:color w:val="000000"/>
        </w:rPr>
        <w:t xml:space="preserve"> </w:t>
      </w:r>
    </w:p>
    <w:p w14:paraId="02FFE2E1" w14:textId="403A44E4" w:rsidR="0042660D" w:rsidRPr="00BA15DC" w:rsidRDefault="00770D15" w:rsidP="00C003E3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Il-punt 379 tas-CEEAG jipprevedi li, fir-rigward tal-infrastruttura tal-enerġija, il-fallimenti tas-suq normalment jiġu indirizzati/iffinanzjati permezz ta’ tariffi obbligatorji għall-utent soġġetti għal regolamentazzjoni. Madankollu, kif imsemmi fil-punt 380 tas-CEEAG, dan mhux dejjem jista’ jkun il-każ. Spjega sa liema punt il-miżura tindirizza l-fallimenti tas-suq li ma jistgħux jiġu indirizzati permezz ta’ tariffi obbligatorji għall-utent.</w:t>
      </w:r>
    </w:p>
    <w:p w14:paraId="68185083" w14:textId="1FB75375" w:rsidR="0042660D" w:rsidRPr="00BA15DC" w:rsidRDefault="0042660D" w:rsidP="00046FE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BCB58E3" w14:textId="09FC62CC" w:rsidR="00C317A9" w:rsidRPr="00BA15DC" w:rsidRDefault="00C317A9" w:rsidP="00C003E3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turi l-ħtieġa u l-adegwatezza tal-għajnuna mill-Istat, speċifika taħt liema mis-sitwazzjonijiet differenti għandu jiġi vvalutat il-proġett notifikat:</w:t>
      </w:r>
    </w:p>
    <w:p w14:paraId="14A4B66A" w14:textId="3266CF1A" w:rsidR="00C317A9" w:rsidRPr="00BA15DC" w:rsidRDefault="003618C5" w:rsidP="00C317A9">
      <w:pPr>
        <w:pStyle w:val="ListParagraph"/>
        <w:numPr>
          <w:ilvl w:val="0"/>
          <w:numId w:val="49"/>
        </w:numPr>
        <w:spacing w:before="120" w:after="120"/>
        <w:contextualSpacing w:val="0"/>
        <w:jc w:val="both"/>
      </w:pPr>
      <w:r>
        <w:t>Il-proġett innotifikat huwa proġett ta’ interess komuni kif definit fl-Artikolu 2, il-punt (4) tar-Regolament (UE) Nru 347/2013, li huwa kompletament soġġett għal-leġiżlazzjoni tas-suq intern tal-enerġija. F’dik is-sitwazzjoni, il-Kummissjoni tqis li hemm preżunzjoni ta’ falliment tas-suq. Ma hemmx bżonn li l-Istat Membru jiġġustifika aktar il-ħtieġa u l-adegwatezza tal-għajnuna mill-Istat, jew</w:t>
      </w:r>
    </w:p>
    <w:p w14:paraId="281C229F" w14:textId="5612D7B3" w:rsidR="00C317A9" w:rsidRPr="00BA15DC" w:rsidRDefault="00414335" w:rsidP="00C317A9">
      <w:pPr>
        <w:pStyle w:val="ListParagraph"/>
        <w:numPr>
          <w:ilvl w:val="0"/>
          <w:numId w:val="49"/>
        </w:numPr>
        <w:spacing w:before="120" w:after="120"/>
        <w:contextualSpacing w:val="0"/>
        <w:jc w:val="both"/>
      </w:pPr>
      <w:bookmarkStart w:id="12" w:name="_Ref168048596"/>
      <w:r>
        <w:t>il-proġett innotifikat mhuwiex proġett ta’ interess komuni kif definit hawn fuq jew huwa proġett ta’ interess komuni iżda huwa parzjalment jew kompletament eżentat mil-leġiżlazzjoni tas-suq intern tal-enerġija, jew</w:t>
      </w:r>
      <w:bookmarkEnd w:id="12"/>
    </w:p>
    <w:p w14:paraId="5EB2744B" w14:textId="4D6A7198" w:rsidR="00D812B2" w:rsidRPr="00BA15DC" w:rsidRDefault="00414335" w:rsidP="00C317A9">
      <w:pPr>
        <w:pStyle w:val="ListParagraph"/>
        <w:numPr>
          <w:ilvl w:val="0"/>
          <w:numId w:val="49"/>
        </w:numPr>
        <w:spacing w:before="120" w:after="120"/>
        <w:contextualSpacing w:val="0"/>
        <w:jc w:val="both"/>
      </w:pPr>
      <w:r>
        <w:t>il-proġett mhuwiex proġett ta’ interess komuni u huwa bejn l-Unjoni u pajjiż terz.</w:t>
      </w:r>
    </w:p>
    <w:p w14:paraId="7DA98D10" w14:textId="01A29F83" w:rsidR="0042660D" w:rsidRPr="00BA15DC" w:rsidRDefault="0042660D" w:rsidP="00046FE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C58CD84" w14:textId="258F553B" w:rsidR="00C317A9" w:rsidRPr="00BA15DC" w:rsidRDefault="00C317A9" w:rsidP="003B0EF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il-proġett notifikat jaqa’ fi ħdan is-sitwazzjoni msemmija fil-punt </w:t>
      </w:r>
      <w:r>
        <w:rPr>
          <w:b/>
          <w:bCs/>
        </w:rPr>
        <w:t>19.b</w:t>
      </w:r>
      <w:r>
        <w:t xml:space="preserve"> hawn fuq, sabiex jiġġustifika l-ħtieġa u l-adegwatezza tal-miżura, spjega sa liema punt:</w:t>
      </w:r>
    </w:p>
    <w:p w14:paraId="222A0A52" w14:textId="74F8B059" w:rsidR="00C317A9" w:rsidRPr="00BA15DC" w:rsidRDefault="00D812B2" w:rsidP="00C317A9">
      <w:pPr>
        <w:pStyle w:val="ListParagraph"/>
        <w:numPr>
          <w:ilvl w:val="0"/>
          <w:numId w:val="52"/>
        </w:numPr>
        <w:spacing w:before="120" w:after="120"/>
        <w:contextualSpacing w:val="0"/>
        <w:jc w:val="both"/>
      </w:pPr>
      <w:r>
        <w:t xml:space="preserve">il-falliment tas-suq iwassal għal forniment subottimali tal-infrastruttura meħtieġa; </w:t>
      </w:r>
    </w:p>
    <w:p w14:paraId="77CB85E4" w14:textId="03924EB5" w:rsidR="00D812B2" w:rsidRPr="00BA15DC" w:rsidRDefault="00D812B2" w:rsidP="00C317A9">
      <w:pPr>
        <w:pStyle w:val="ListParagraph"/>
        <w:numPr>
          <w:ilvl w:val="0"/>
          <w:numId w:val="52"/>
        </w:numPr>
        <w:spacing w:before="120" w:after="120"/>
        <w:contextualSpacing w:val="0"/>
        <w:jc w:val="both"/>
      </w:pPr>
      <w:r>
        <w:t xml:space="preserve">l-infrastruttura hija miftuħa għall-aċċess ta’ partijiet terzi u soġġetta għar-regolamentazzjoni tat-tariffi; </w:t>
      </w:r>
    </w:p>
    <w:p w14:paraId="481FBBA1" w14:textId="1EE21959" w:rsidR="0042660D" w:rsidRPr="00BA15DC" w:rsidRDefault="00D812B2" w:rsidP="00046FE3">
      <w:pPr>
        <w:pStyle w:val="ListParagraph"/>
        <w:numPr>
          <w:ilvl w:val="0"/>
          <w:numId w:val="52"/>
        </w:numPr>
        <w:spacing w:before="120" w:after="120"/>
        <w:contextualSpacing w:val="0"/>
        <w:jc w:val="both"/>
      </w:pPr>
      <w:r>
        <w:t xml:space="preserve">u sa fejn il-proġett jikkontribwixxi għas-sigurtà tal-provvista tal-enerġija fl-Unjoni jew għall-objettivi tan-newtralità klimatika tal-Unjoni. </w:t>
      </w:r>
    </w:p>
    <w:p w14:paraId="7974039C" w14:textId="38660020" w:rsidR="0042660D" w:rsidRPr="00BA15DC" w:rsidRDefault="0042660D" w:rsidP="00C003E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02B4945" w14:textId="64023F2E" w:rsidR="003618C5" w:rsidRPr="00BA15DC" w:rsidRDefault="00D812B2" w:rsidP="003B0EF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il-proġett jinsab fis-sitwazzjoni msemmija fil-punt </w:t>
      </w:r>
      <w:r>
        <w:rPr>
          <w:b/>
        </w:rPr>
        <w:t>19.c</w:t>
      </w:r>
      <w:r>
        <w:t xml:space="preserve">, spjega jekk (i) għall-parti tal-infrastruttura li tinsab fit-territorju tal-Unjoni, il-proġett huwiex mibni u operat f’konformità mal-leġiżlazzjoni tal-Unjoni, b’mod partikolari d-Direttivi 2009/73/KE u (UE) 2019/944, u (ii) għall-parti li tinsab f’pajjiż jew pajjiżi terzi involuti, il-proġett </w:t>
      </w:r>
      <w:r>
        <w:lastRenderedPageBreak/>
        <w:t xml:space="preserve">għandu livell għoli ta’ allinjament regolatorju u jappoġġa l-objettivi ġenerali tal-Unjoni, b’mod partikolari biex jiżgura: </w:t>
      </w:r>
    </w:p>
    <w:p w14:paraId="10F0ABE1" w14:textId="3DBC38E8" w:rsidR="003618C5" w:rsidRPr="00BA15DC" w:rsidRDefault="00BB5F42" w:rsidP="003618C5">
      <w:pPr>
        <w:pStyle w:val="ListParagraph"/>
        <w:numPr>
          <w:ilvl w:val="0"/>
          <w:numId w:val="53"/>
        </w:numPr>
        <w:spacing w:before="120" w:after="120"/>
        <w:contextualSpacing w:val="0"/>
        <w:jc w:val="both"/>
      </w:pPr>
      <w:r>
        <w:t xml:space="preserve">suq intern tal-enerġija li jiffunzjona tajjeb, </w:t>
      </w:r>
    </w:p>
    <w:p w14:paraId="191182E3" w14:textId="73E203E6" w:rsidR="003618C5" w:rsidRPr="00BA15DC" w:rsidRDefault="00D812B2" w:rsidP="003618C5">
      <w:pPr>
        <w:pStyle w:val="ListParagraph"/>
        <w:numPr>
          <w:ilvl w:val="0"/>
          <w:numId w:val="53"/>
        </w:numPr>
        <w:spacing w:before="120" w:after="120"/>
        <w:contextualSpacing w:val="0"/>
        <w:jc w:val="both"/>
      </w:pPr>
      <w:r>
        <w:t xml:space="preserve">is-sigurtà tal-provvista tal-enerġija fuq il-bażi tal-kooperazzjoni u tas-solidarjetà, </w:t>
      </w:r>
    </w:p>
    <w:p w14:paraId="6F1E0EF7" w14:textId="78DFE7A8" w:rsidR="0097238E" w:rsidRPr="00BA15DC" w:rsidRDefault="003618C5" w:rsidP="0097238E">
      <w:pPr>
        <w:pStyle w:val="ListParagraph"/>
        <w:numPr>
          <w:ilvl w:val="0"/>
          <w:numId w:val="53"/>
        </w:numPr>
        <w:spacing w:before="120" w:after="120"/>
        <w:contextualSpacing w:val="0"/>
        <w:jc w:val="both"/>
      </w:pPr>
      <w:r>
        <w:t>sistema tal-enerġija fuq perkors lejn id-dekarbonizzazzjoni f’konformità mal-Ftehim ta’ Pariġi u mal-objettivi klimatiċi tal-Unjoni, u b’mod partikolari</w:t>
      </w:r>
    </w:p>
    <w:p w14:paraId="5C6CEF6F" w14:textId="77DCDD2D" w:rsidR="00FC2A84" w:rsidRPr="00BA15DC" w:rsidRDefault="00D77D44" w:rsidP="0097238E">
      <w:pPr>
        <w:pStyle w:val="ListParagraph"/>
        <w:numPr>
          <w:ilvl w:val="0"/>
          <w:numId w:val="53"/>
        </w:numPr>
        <w:spacing w:before="120" w:after="120"/>
        <w:contextualSpacing w:val="0"/>
        <w:jc w:val="both"/>
      </w:pPr>
      <w:r>
        <w:t xml:space="preserve">l-evitar tar-rilokazzjoni tal-emissjonijiet tal-karbonju. </w:t>
      </w:r>
    </w:p>
    <w:p w14:paraId="5701F8EA" w14:textId="647DA9DC" w:rsidR="00860B73" w:rsidRPr="00BA15DC" w:rsidRDefault="0042660D" w:rsidP="003B0EF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FA200E6" w14:textId="77777777" w:rsidR="001620DB" w:rsidRPr="00BA15DC" w:rsidRDefault="001620DB" w:rsidP="001620DB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20DB" w:rsidRPr="00BA15DC" w14:paraId="1FE953DC" w14:textId="77777777" w:rsidTr="001D69A5">
        <w:tc>
          <w:tcPr>
            <w:tcW w:w="9322" w:type="dxa"/>
            <w:shd w:val="pct15" w:color="auto" w:fill="auto"/>
          </w:tcPr>
          <w:p w14:paraId="150946AF" w14:textId="33D7C80D" w:rsidR="001620DB" w:rsidRPr="00BA15DC" w:rsidRDefault="001620DB" w:rsidP="00D77D44">
            <w:pPr>
              <w:pStyle w:val="Heading1"/>
              <w:numPr>
                <w:ilvl w:val="2"/>
                <w:numId w:val="60"/>
              </w:num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Il-prinċipju tal-proporzjonalità tal-għajnuna</w:t>
            </w:r>
            <w:r>
              <w:rPr>
                <w:sz w:val="24"/>
              </w:rPr>
              <w:t xml:space="preserve"> </w:t>
            </w:r>
          </w:p>
        </w:tc>
      </w:tr>
    </w:tbl>
    <w:p w14:paraId="0190ED95" w14:textId="170AD58C" w:rsidR="001620DB" w:rsidRPr="00BA15DC" w:rsidRDefault="001620DB" w:rsidP="001620DB">
      <w:pPr>
        <w:pStyle w:val="ListParagraph"/>
        <w:spacing w:before="120" w:after="120"/>
        <w:ind w:left="567"/>
        <w:contextualSpacing w:val="0"/>
        <w:jc w:val="both"/>
      </w:pPr>
      <w:r>
        <w:rPr>
          <w:i/>
        </w:rPr>
        <w:t>Biex tipprovdi l-informazzjoni f’din it-taqsima, irreferi għall-punti 51-52 u 381 tas-</w:t>
      </w:r>
      <w:r>
        <w:t>CEEAG.</w:t>
      </w:r>
    </w:p>
    <w:p w14:paraId="4FC735A0" w14:textId="3E1AFB4B" w:rsidR="00095D42" w:rsidRPr="00C34CB6" w:rsidRDefault="00095D42" w:rsidP="00095D42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Skont il-punt 51 tas-CEEAG, il-kostijiet żejda netti tipiċi jistgħu jiġu stmati bħala d-differenza bejn l-NPV tax-xenarju fattwali u tax-xenarju kontrofattwali tul il-ħajja tal-proġett jew għal kull proġett ta’ referenza, fejn applikabbli. Meta x-xenarju kontrofattwali jkun li l-proġett mhux se jiġi implimentat (ara l-punt 52 tas-CEEAG), il-VPN negattiv tax-xenarju fattwali huwa ugwali għall-kostijiet żejda netti. </w:t>
      </w:r>
    </w:p>
    <w:p w14:paraId="2FF71764" w14:textId="253C5AA4" w:rsidR="001620DB" w:rsidRPr="00BA15DC" w:rsidRDefault="00095D42" w:rsidP="00095D42">
      <w:pPr>
        <w:pStyle w:val="ListParagraph"/>
        <w:spacing w:before="120" w:after="120"/>
        <w:ind w:left="567"/>
        <w:contextualSpacing w:val="0"/>
        <w:jc w:val="both"/>
      </w:pPr>
      <w:r>
        <w:t xml:space="preserve">Ipprovdi dan f’Anness għal din il-formola ta’ notifika (billi tuża fajl Excel </w:t>
      </w:r>
      <w:r>
        <w:rPr>
          <w:shd w:val="clear" w:color="auto" w:fill="FFFFFF"/>
        </w:rPr>
        <w:t>fejn il-formuli kollha huma viżibbli</w:t>
      </w:r>
      <w:r>
        <w:t>):</w:t>
      </w:r>
    </w:p>
    <w:p w14:paraId="2B6DDCC1" w14:textId="0A7677B9" w:rsidR="006F666A" w:rsidRPr="00BA15DC" w:rsidRDefault="007C0C88" w:rsidP="00EA272E">
      <w:pPr>
        <w:pStyle w:val="ListParagraph"/>
        <w:numPr>
          <w:ilvl w:val="0"/>
          <w:numId w:val="32"/>
        </w:numPr>
        <w:spacing w:before="120" w:after="120"/>
        <w:contextualSpacing w:val="0"/>
        <w:jc w:val="both"/>
      </w:pPr>
      <w:r>
        <w:rPr>
          <w:shd w:val="clear" w:color="auto" w:fill="FFFFFF"/>
        </w:rPr>
        <w:t>Sabiex tiddetermina d-diskrepanza tal-likwidità</w:t>
      </w:r>
      <w:r w:rsidR="00A84D63" w:rsidRPr="00BA15DC">
        <w:rPr>
          <w:rStyle w:val="FootnoteReference"/>
          <w:shd w:val="clear" w:color="auto" w:fill="FFFFFF"/>
        </w:rPr>
        <w:footnoteReference w:id="8"/>
      </w:r>
      <w:r>
        <w:rPr>
          <w:shd w:val="clear" w:color="auto" w:fill="FFFFFF"/>
        </w:rPr>
        <w:t>, ippreżenta kwantifikazzjoni, għax-xenarju fattwali, ta’:</w:t>
      </w:r>
    </w:p>
    <w:p w14:paraId="7941A97E" w14:textId="391CA3EA" w:rsidR="006F666A" w:rsidRPr="00BA15DC" w:rsidRDefault="006F666A" w:rsidP="00EA272E">
      <w:pPr>
        <w:pStyle w:val="ListParagraph"/>
        <w:numPr>
          <w:ilvl w:val="1"/>
          <w:numId w:val="32"/>
        </w:numPr>
        <w:spacing w:before="120" w:after="120"/>
        <w:contextualSpacing w:val="0"/>
        <w:jc w:val="both"/>
      </w:pPr>
      <w:r>
        <w:rPr>
          <w:shd w:val="clear" w:color="auto" w:fill="FFFFFF"/>
        </w:rPr>
        <w:t>l-ispejjeż u d-dħul ewlenin kollha tal-proġett;</w:t>
      </w:r>
    </w:p>
    <w:p w14:paraId="2D2BE464" w14:textId="1AC91290" w:rsidR="006F666A" w:rsidRPr="00BA15DC" w:rsidRDefault="00FD2296" w:rsidP="00EA272E">
      <w:pPr>
        <w:pStyle w:val="ListParagraph"/>
        <w:numPr>
          <w:ilvl w:val="1"/>
          <w:numId w:val="32"/>
        </w:numPr>
        <w:spacing w:before="120" w:after="120"/>
        <w:contextualSpacing w:val="0"/>
        <w:jc w:val="both"/>
      </w:pPr>
      <w:r>
        <w:rPr>
          <w:shd w:val="clear" w:color="auto" w:fill="FFFFFF"/>
        </w:rPr>
        <w:t>il-kost medju ponderat tal-kapital (WACC, “weighted average cost of capital”) stmat tal-benefiċjarju biex jiġu skontati l-flussi tal-flus futuri;</w:t>
      </w:r>
    </w:p>
    <w:p w14:paraId="2C7C5B9C" w14:textId="2ED9EDE3" w:rsidR="00F05162" w:rsidRPr="00BA15DC" w:rsidRDefault="00FD2296" w:rsidP="00EA272E">
      <w:pPr>
        <w:pStyle w:val="ListParagraph"/>
        <w:numPr>
          <w:ilvl w:val="1"/>
          <w:numId w:val="32"/>
        </w:numPr>
        <w:spacing w:before="120" w:after="120"/>
        <w:contextualSpacing w:val="0"/>
        <w:jc w:val="both"/>
      </w:pPr>
      <w:r>
        <w:rPr>
          <w:shd w:val="clear" w:color="auto" w:fill="FFFFFF"/>
        </w:rPr>
        <w:t>il-valur preżenti nett (VPN) għax-xenarji fattwali u kontrofattwali, matul il-ħajja tal-proġett.</w:t>
      </w:r>
    </w:p>
    <w:p w14:paraId="6B0BF531" w14:textId="77777777" w:rsidR="00F05162" w:rsidRPr="00BA15DC" w:rsidRDefault="00F05162" w:rsidP="00F05162">
      <w:pPr>
        <w:tabs>
          <w:tab w:val="left" w:leader="dot" w:pos="9072"/>
        </w:tabs>
        <w:spacing w:before="120" w:after="120"/>
        <w:ind w:left="567"/>
        <w:jc w:val="both"/>
      </w:pPr>
      <w:r>
        <w:rPr>
          <w:shd w:val="clear" w:color="auto" w:fill="FFFFFF"/>
        </w:rPr>
        <w:t xml:space="preserve">  </w:t>
      </w:r>
      <w:r>
        <w:tab/>
      </w:r>
    </w:p>
    <w:p w14:paraId="32D73315" w14:textId="73275273" w:rsidR="00FD2296" w:rsidRPr="00BA15DC" w:rsidRDefault="00F66796" w:rsidP="00F66796">
      <w:pPr>
        <w:pStyle w:val="ListParagraph"/>
        <w:numPr>
          <w:ilvl w:val="0"/>
          <w:numId w:val="32"/>
        </w:numPr>
        <w:spacing w:before="120" w:after="120"/>
        <w:contextualSpacing w:val="0"/>
        <w:jc w:val="both"/>
      </w:pPr>
      <w:r>
        <w:rPr>
          <w:shd w:val="clear" w:color="auto" w:fill="FFFFFF"/>
        </w:rPr>
        <w:t xml:space="preserve">Inkludi f’Anness għal din il-formola ta’ notifika informazzjoni dettaljata dwar is-suppożizzjonijiet, il-metodoloġiji, ir-raġunijiet u s-sorsi sottostanti tagħhom, użati għal kull aspett tal-kwantifikazzjoni tal-kostijiet u d-dħul fix-xenarju fattwali (pereżempju inkludi s-suppożizzjonijiet użati biex jiġi żviluppat ix-xenarju fattwali) </w:t>
      </w:r>
    </w:p>
    <w:p w14:paraId="2B3BDD63" w14:textId="49976E74" w:rsidR="005C0DBD" w:rsidRPr="00BA15DC" w:rsidRDefault="001620DB" w:rsidP="001620D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9F30261" w14:textId="73E0DE42" w:rsidR="00C53C43" w:rsidRPr="00C34CB6" w:rsidRDefault="00095D42" w:rsidP="00C34CB6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Skont il-punt 53 tas-CEEAG, għal każijiet ta’ għajnuna u skemi individwali li jkunu ta’ benefiċċju għal għadd partikolarment limitat ta’ benefiċjarji, l-Istat Membru jeħtieġ li jippreżenta l-evidenza ta’ sostenn fil-livell tal-pjan dettaljat ta’ direzzjoni tan-negozju tal-proġett.</w:t>
      </w:r>
    </w:p>
    <w:p w14:paraId="584CA833" w14:textId="436A6E2D" w:rsidR="00124B6F" w:rsidRPr="00C34CB6" w:rsidRDefault="00C53C43" w:rsidP="00232CF6">
      <w:pPr>
        <w:pStyle w:val="ListParagraph"/>
        <w:spacing w:before="120" w:after="120"/>
        <w:ind w:left="567"/>
        <w:contextualSpacing w:val="0"/>
        <w:jc w:val="both"/>
      </w:pPr>
      <w:r>
        <w:lastRenderedPageBreak/>
        <w:t>Għal każijiet ta’ skemi ta’ għajnuna, l-Istat Membru jeħtieġ li jippreżenta l-evidenza ta’ sostenn fuq il-bażi ta’ proġett ta’ referenza wieħed jew aktar.</w:t>
      </w:r>
    </w:p>
    <w:p w14:paraId="0D69FEAB" w14:textId="10119670" w:rsidR="004776A4" w:rsidRPr="00BA15DC" w:rsidRDefault="00CC3384" w:rsidP="00C003E3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il-Kummissjoni tkun tista’ tivverifika li l-ammont tal-għajnuna ma jaqbiżx il-minimu meħtieġ biex il-proġett megħjun ikun profittabbli biżżejjed</w:t>
      </w:r>
      <w:r w:rsidR="00DE525C" w:rsidRPr="00BA15DC">
        <w:rPr>
          <w:rStyle w:val="FootnoteReference"/>
          <w:lang w:eastAsia="en-GB"/>
        </w:rPr>
        <w:footnoteReference w:id="9"/>
      </w:r>
      <w:r>
        <w:t>, ipprovdi l-informazzjoni li ġejja:</w:t>
      </w:r>
    </w:p>
    <w:p w14:paraId="020A0406" w14:textId="40D27EEF" w:rsidR="00EC2A7D" w:rsidRPr="00BA15DC" w:rsidRDefault="00EC2A7D" w:rsidP="00C003E3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</w:pPr>
      <w:r>
        <w:t>Ir-rata ta’ redditu interna (internal rate of return, IRR) li tikkorrispondi għall-parametru referenzjarju speċifiku għas-settur jew għad-ditta jew għar-rata hurdle; jew</w:t>
      </w:r>
    </w:p>
    <w:p w14:paraId="056D5BF9" w14:textId="64F3B5CD" w:rsidR="00AB47A1" w:rsidRPr="00BA15DC" w:rsidRDefault="007315B8" w:rsidP="00C003E3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</w:pPr>
      <w:r>
        <w:t>Ir-rati normali ta’ redditu meħtieġa mill-benefiċjarju fi proġetti oħra ta’ investiment ta’ tip simili, il-kost tal-kapital tiegħu kollu kemm hu; jew</w:t>
      </w:r>
    </w:p>
    <w:p w14:paraId="13B46137" w14:textId="062C7DC0" w:rsidR="0029714D" w:rsidRPr="00BA15DC" w:rsidRDefault="007315B8" w:rsidP="00C003E3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</w:pPr>
      <w:r>
        <w:t>Ir-redditi komunement osservati fl-industrija kkonċernata; jew</w:t>
      </w:r>
    </w:p>
    <w:p w14:paraId="0691A0E0" w14:textId="27443E78" w:rsidR="00445F48" w:rsidRPr="00BA15DC" w:rsidRDefault="001622D8" w:rsidP="00C003E3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</w:pPr>
      <w:r>
        <w:t>Kwalunkwe informazzjoni oħra li tiġġustifika li l-ammont tal-għajnuna ma jaqbiżx il-minimu meħtieġ biex il-proġett megħjun ikun profittabbli biżżejjed.</w:t>
      </w:r>
    </w:p>
    <w:p w14:paraId="39482621" w14:textId="0DC50BC6" w:rsidR="00F66796" w:rsidRPr="00BA15DC" w:rsidRDefault="004F192A" w:rsidP="00232CF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A3A8A84" w14:textId="53E21D45" w:rsidR="00532832" w:rsidRPr="00BA15DC" w:rsidRDefault="005B7579" w:rsidP="003B0EFB">
      <w:pPr>
        <w:numPr>
          <w:ilvl w:val="0"/>
          <w:numId w:val="4"/>
        </w:numPr>
        <w:ind w:left="567" w:hanging="567"/>
        <w:jc w:val="both"/>
      </w:pPr>
      <w:r>
        <w:t>Skont il-punt 381 tas-CEEAG, jekk l-għajnuna tkun qrib il-massimu permess u fejn ikun hemm riskju ta’ profitti mhux mistennija, jista’ jkun meħtieġ mekkaniżmu ta’ monitoraġġ u ta’ rkupru, filwaqt li jinżammu l-inċentivi għall-benefiċjarji biex jimminimizzaw il-kostijiet tagħhom u jiżviluppaw in-negozju tagħhom b’mod aktar effiċjenti maż-żmien. Spjega jekk hemmx fis-seħħ xi mekkaniżmu ta’ monitoraġġ u ta’ rkupru. Jekk le, spjega għalfejn.</w:t>
      </w:r>
    </w:p>
    <w:p w14:paraId="7FD385CF" w14:textId="77777777" w:rsidR="009329F1" w:rsidRPr="00BA15DC" w:rsidRDefault="009329F1" w:rsidP="009329F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B21377" w:rsidRPr="00BA15DC" w14:paraId="5ADB97A4" w14:textId="77777777" w:rsidTr="00D25DD0">
        <w:tc>
          <w:tcPr>
            <w:tcW w:w="9322" w:type="dxa"/>
            <w:shd w:val="pct15" w:color="auto" w:fill="auto"/>
          </w:tcPr>
          <w:p w14:paraId="1D5ED9F0" w14:textId="2394281B" w:rsidR="00B21377" w:rsidRPr="00BA15DC" w:rsidRDefault="00B21377" w:rsidP="009546BE">
            <w:pPr>
              <w:pStyle w:val="Heading1"/>
              <w:numPr>
                <w:ilvl w:val="2"/>
                <w:numId w:val="60"/>
              </w:num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Akkumulazzjoni</w:t>
            </w:r>
          </w:p>
        </w:tc>
      </w:tr>
    </w:tbl>
    <w:p w14:paraId="2346A85D" w14:textId="72F525D8" w:rsidR="00B21377" w:rsidRPr="00BA15DC" w:rsidRDefault="00B21377" w:rsidP="00B21377">
      <w:pPr>
        <w:pStyle w:val="ListParagraph"/>
        <w:spacing w:before="120" w:after="120"/>
        <w:ind w:left="567"/>
        <w:contextualSpacing w:val="0"/>
        <w:jc w:val="both"/>
      </w:pPr>
      <w:r>
        <w:t>Biex tipprovdi l-informazzjoni f’din it-taqsima, irreferi għall-punti 56-57 tas-CEEAG.</w:t>
      </w:r>
    </w:p>
    <w:p w14:paraId="7159B0AA" w14:textId="7A01847D" w:rsidR="00E5484B" w:rsidRPr="00BA15DC" w:rsidRDefault="00E5484B" w:rsidP="00C003E3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 fejn mhux diġà pprovdut fit-Taqsima 7.4 tal-Formola ta’ Informazzjoni Ġenerali (il-Parti I), u sabiex tiġi vverifikata l-konformità mal-punt 56 tas-CEEAG, iċċara jekk l-għajnuna taħt il-miżura/i nnotifikata/i tistax tingħata fl-istess ħin taħt diversi skemi ta’ għajnuna jew akkumulata ma’ għajnuna </w:t>
      </w:r>
      <w:r>
        <w:rPr>
          <w:i/>
          <w:iCs/>
        </w:rPr>
        <w:t>ad hoc</w:t>
      </w:r>
      <w:r>
        <w:t xml:space="preserve"> jew </w:t>
      </w:r>
      <w:r>
        <w:rPr>
          <w:i/>
          <w:iCs/>
        </w:rPr>
        <w:t>de minimis</w:t>
      </w:r>
      <w:r>
        <w:t xml:space="preserve"> fir-rigward tal-istess kostijiet eliġibbli. Jekk dak huwa l-każ, ipprovdi dettalji dwar dawk l-iskemi ta’ għajnuna, l-għajnuna ad hoc jew l-għajnuna </w:t>
      </w:r>
      <w:r>
        <w:rPr>
          <w:i/>
        </w:rPr>
        <w:t>de minimis</w:t>
      </w:r>
      <w:r>
        <w:t xml:space="preserve"> u kif l-għajnuna se tiġi akkumulata. Innota li tista’ tirreferi għall-kwantifikazzjoni pprovduta hawn fuq.</w:t>
      </w:r>
    </w:p>
    <w:p w14:paraId="4EA350F2" w14:textId="6700FB40" w:rsidR="00D13239" w:rsidRPr="00BA15DC" w:rsidRDefault="002A3B51" w:rsidP="002A3B5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13EC6AF" w14:textId="5D45EF3E" w:rsidR="007257F0" w:rsidRPr="00BA15DC" w:rsidRDefault="00720951" w:rsidP="003B0EF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l-għajnuna tingħata fl-istess ħin taħt diversi skemi ta’ għajnuna jew akkumulata ma’ għajnuna ad hoc jew de minimis fir-rigward tal-istess kostijiet eliġibbli, iġġustifika kif l-ammont totali ta’ għajnuna mogħtija skont il-miżura/i notifikata/i għal proġett jew attività ma jwassalx għal kumpens żejjed jew jaqbeż l-ammont massimu ta’ għajnuna permess skont il-punti 51 u 381 tas-CEEAG. Speċifika, għal kull miżura li l-għajnuna mogħtija skont il-miżura/i ta’ għajnuna notifikata tista’ tiġi akkumulata, il-metodu użat biex tiġi żgurata l-konformità mal-kundizzjonijiet stabbiliti fil-punt 56 tas-CEEAG. </w:t>
      </w:r>
    </w:p>
    <w:p w14:paraId="5A4E851C" w14:textId="1587758B" w:rsidR="007257F0" w:rsidRPr="00BA15DC" w:rsidRDefault="007257F0" w:rsidP="007257F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B762428" w14:textId="0D45D454" w:rsidR="009861F5" w:rsidRPr="00BA15DC" w:rsidRDefault="005B7579" w:rsidP="00C003E3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lastRenderedPageBreak/>
        <w:t>Jekk l-għajnuna mogħtija skont il-miżura/i nnotifikata/i hija kkombinata ma’ finanzjament tal-Unjoni ġestit ċentralment skont il-punt 57 tas-CEEAG</w:t>
      </w:r>
      <w:r w:rsidR="009B2F61" w:rsidRPr="00BA15DC">
        <w:rPr>
          <w:rStyle w:val="FootnoteReference"/>
          <w:lang w:eastAsia="en-GB"/>
        </w:rPr>
        <w:footnoteReference w:id="10"/>
      </w:r>
      <w:r>
        <w:t xml:space="preserve">, iġġustifika kif </w:t>
      </w:r>
      <w:r>
        <w:rPr>
          <w:shd w:val="clear" w:color="auto" w:fill="FFFFFF"/>
        </w:rPr>
        <w:t>l-ammont totali ta’ finanzjament pubbliku mogħti fir-rigward tal-istess kostijiet eliġibbli ma jwassalx għal kumpens żejjed.</w:t>
      </w:r>
      <w:r>
        <w:t xml:space="preserve"> </w:t>
      </w:r>
    </w:p>
    <w:p w14:paraId="4A76BA85" w14:textId="5308E4AE" w:rsidR="0078387C" w:rsidRPr="00BA15DC" w:rsidRDefault="009861F5" w:rsidP="0078387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739D1B0" w14:textId="77777777" w:rsidR="0001211F" w:rsidRPr="00BA15DC" w:rsidRDefault="0001211F" w:rsidP="0078387C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773CE" w:rsidRPr="00BA15DC" w14:paraId="3B675B34" w14:textId="77777777" w:rsidTr="00504F2E">
        <w:tc>
          <w:tcPr>
            <w:tcW w:w="9322" w:type="dxa"/>
            <w:shd w:val="pct15" w:color="auto" w:fill="auto"/>
          </w:tcPr>
          <w:p w14:paraId="75619393" w14:textId="382F2F6E" w:rsidR="006773CE" w:rsidRPr="00BA15DC" w:rsidRDefault="00571910" w:rsidP="009546BE">
            <w:pPr>
              <w:pStyle w:val="Heading1"/>
              <w:numPr>
                <w:ilvl w:val="2"/>
                <w:numId w:val="60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Trasparenza</w:t>
            </w:r>
          </w:p>
        </w:tc>
      </w:tr>
    </w:tbl>
    <w:p w14:paraId="07229A8F" w14:textId="24C7C0FA" w:rsidR="006773CE" w:rsidRPr="00BA15DC" w:rsidRDefault="006773CE" w:rsidP="003B0EFB">
      <w:pPr>
        <w:spacing w:before="12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 3.2.1.4 (punti 58-62) tas-CEEAG. </w:t>
      </w:r>
    </w:p>
    <w:p w14:paraId="5A026C9F" w14:textId="77777777" w:rsidR="009546BE" w:rsidRPr="00BA15DC" w:rsidRDefault="009546BE" w:rsidP="009546BE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eastAsia="Times New Roman"/>
          <w:szCs w:val="24"/>
        </w:rPr>
      </w:pPr>
      <w:r>
        <w:t xml:space="preserve">Ikkonferma li l-Istat Membru se jikkonforma mar-rekwiżiti dwar it-trasparenza previsti fil-punti 58-61 tas-CEEAG. </w:t>
      </w:r>
    </w:p>
    <w:p w14:paraId="2A0DE4BB" w14:textId="77777777" w:rsidR="009546BE" w:rsidRPr="00BA15DC" w:rsidRDefault="009546BE" w:rsidP="009546BE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20CB305" w14:textId="2DCB29B3" w:rsidR="009546BE" w:rsidRPr="00BA15DC" w:rsidRDefault="009546BE" w:rsidP="009546BE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Ipprovdi l-link tal-internet fejn </w:t>
      </w:r>
      <w:r>
        <w:rPr>
          <w:rFonts w:ascii="inherit" w:hAnsi="inherit"/>
        </w:rPr>
        <w:t xml:space="preserve">se jiġi ppubblikat it-test sħiħ tal-iskema ta’ għajnuna approvata jew </w:t>
      </w:r>
      <w:r>
        <w:rPr>
          <w:rFonts w:ascii="inherit" w:hAnsi="inherit"/>
          <w:color w:val="000000"/>
        </w:rPr>
        <w:t>tad-deċiżjoni dwar l-għoti tal-għajnuna individwali u d-dispożizzjonijiet ta’ implimentazzjoni tagħha u</w:t>
      </w:r>
      <w:r>
        <w:rPr>
          <w:rFonts w:ascii="inherit" w:hAnsi="inherit"/>
        </w:rPr>
        <w:t xml:space="preserve"> informazzjoni </w:t>
      </w:r>
      <w:r>
        <w:rPr>
          <w:rFonts w:ascii="inherit" w:hAnsi="inherit"/>
          <w:color w:val="000000"/>
        </w:rPr>
        <w:t>dwar kull għotja ta’ għajnuna individwali mogħtija ad hoc jew taħt skema ta’ għajnuna approvata fuq il-bażi tas-CEEAG</w:t>
      </w:r>
      <w:r>
        <w:rPr>
          <w:rFonts w:ascii="inherit" w:hAnsi="inherit"/>
        </w:rPr>
        <w:t xml:space="preserve"> u li taqbeż l-EUR 100 000. </w:t>
      </w:r>
    </w:p>
    <w:p w14:paraId="6C3CC5E4" w14:textId="77777777" w:rsidR="009546BE" w:rsidRPr="00BA15DC" w:rsidRDefault="009546BE" w:rsidP="009546BE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4FE0B14" w14:textId="77777777" w:rsidR="007C0A44" w:rsidRPr="00BA15DC" w:rsidRDefault="007C0A44" w:rsidP="003A66DE">
      <w:pPr>
        <w:tabs>
          <w:tab w:val="left" w:leader="dot" w:pos="9072"/>
        </w:tabs>
        <w:spacing w:before="120" w:after="120"/>
        <w:ind w:left="567"/>
        <w:jc w:val="both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D37F9" w:rsidRPr="00BA15DC" w14:paraId="3CD6496D" w14:textId="77777777" w:rsidTr="00504F2E">
        <w:tc>
          <w:tcPr>
            <w:tcW w:w="9322" w:type="dxa"/>
            <w:shd w:val="pct15" w:color="auto" w:fill="auto"/>
          </w:tcPr>
          <w:p w14:paraId="6D3C4956" w14:textId="5FE6B3B8" w:rsidR="008D37F9" w:rsidRPr="00BA15DC" w:rsidRDefault="009546BE" w:rsidP="009546BE">
            <w:pPr>
              <w:pStyle w:val="Heading1"/>
              <w:numPr>
                <w:ilvl w:val="1"/>
                <w:numId w:val="24"/>
              </w:numPr>
              <w:rPr>
                <w:i/>
                <w:color w:val="000000"/>
                <w:sz w:val="28"/>
                <w:szCs w:val="28"/>
              </w:rPr>
            </w:pPr>
            <w:bookmarkStart w:id="13" w:name="_Hlk168418348"/>
            <w:r>
              <w:rPr>
                <w:i/>
                <w:color w:val="000000"/>
                <w:sz w:val="28"/>
              </w:rPr>
              <w:t xml:space="preserve"> L-evitar ta’ effetti negattivi bla bżonn ta’ l-għajnuna fuq il-kompetizzjoni u l-kummerċ u l-ibbilanċjar</w:t>
            </w:r>
          </w:p>
        </w:tc>
      </w:tr>
    </w:tbl>
    <w:p w14:paraId="32B25629" w14:textId="6CBE1875" w:rsidR="00F83660" w:rsidRPr="00BA15DC" w:rsidRDefault="00F83660" w:rsidP="003B0EFB">
      <w:pPr>
        <w:spacing w:before="360" w:after="120"/>
        <w:jc w:val="both"/>
      </w:pPr>
      <w:r>
        <w:rPr>
          <w:i/>
        </w:rPr>
        <w:t>Biex tagħti l-informazzjoni f’din it-taqsima, irreferi għat-Taqsima 4.9.4 (il-punti 382 et seq. tas-CEEAG).</w:t>
      </w:r>
    </w:p>
    <w:p w14:paraId="44972722" w14:textId="0F29A86B" w:rsidR="00E10C66" w:rsidRPr="00BA15DC" w:rsidRDefault="0042660D" w:rsidP="003B0EF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il-proġett innotifikat huwa eżentat, kompletament jew parzjalment, mil-leġiżlazzjoni tas-suq intern tal-enerġija, spjega: </w:t>
      </w:r>
    </w:p>
    <w:p w14:paraId="09B929DD" w14:textId="0985E9D3" w:rsidR="00E10C66" w:rsidRPr="00BA15DC" w:rsidRDefault="009C221E" w:rsidP="00232CF6">
      <w:pPr>
        <w:pStyle w:val="ListParagraph"/>
        <w:numPr>
          <w:ilvl w:val="0"/>
          <w:numId w:val="53"/>
        </w:numPr>
        <w:spacing w:before="120" w:after="120"/>
        <w:contextualSpacing w:val="0"/>
        <w:jc w:val="both"/>
      </w:pPr>
      <w:r>
        <w:t xml:space="preserve">Sa liema punt l-infrastruttura megħjuna hija disponibbli għal aċċess minn partijiet terzi; </w:t>
      </w:r>
    </w:p>
    <w:p w14:paraId="159B10CC" w14:textId="6376F143" w:rsidR="00E10C66" w:rsidRPr="00BA15DC" w:rsidRDefault="009C221E" w:rsidP="00232CF6">
      <w:pPr>
        <w:pStyle w:val="ListParagraph"/>
        <w:numPr>
          <w:ilvl w:val="0"/>
          <w:numId w:val="53"/>
        </w:numPr>
        <w:spacing w:before="120" w:after="120"/>
        <w:contextualSpacing w:val="0"/>
        <w:jc w:val="both"/>
      </w:pPr>
      <w:r>
        <w:t xml:space="preserve">Sa liema punt il-klijenti jista’ jkollhom aċċess għal infrastruttura alternattiva, jekk ikun hemm; </w:t>
      </w:r>
    </w:p>
    <w:p w14:paraId="14CAE043" w14:textId="0F765E36" w:rsidR="009013F3" w:rsidRPr="00BA15DC" w:rsidRDefault="009C221E" w:rsidP="00232CF6">
      <w:pPr>
        <w:pStyle w:val="ListParagraph"/>
        <w:numPr>
          <w:ilvl w:val="0"/>
          <w:numId w:val="53"/>
        </w:numPr>
        <w:spacing w:before="120" w:after="120"/>
        <w:contextualSpacing w:val="0"/>
        <w:jc w:val="both"/>
      </w:pPr>
      <w:r>
        <w:t>Sa liema punt il-proġett jista’ jirriżulta fl-esklużjoni ta’ investimenti privati;</w:t>
      </w:r>
    </w:p>
    <w:p w14:paraId="530E1A49" w14:textId="01B9E5CD" w:rsidR="0042660D" w:rsidRPr="00BA15DC" w:rsidRDefault="009C221E" w:rsidP="00232CF6">
      <w:pPr>
        <w:pStyle w:val="ListParagraph"/>
        <w:numPr>
          <w:ilvl w:val="0"/>
          <w:numId w:val="53"/>
        </w:numPr>
        <w:spacing w:before="120" w:after="120"/>
        <w:contextualSpacing w:val="0"/>
        <w:jc w:val="both"/>
      </w:pPr>
      <w:r>
        <w:t xml:space="preserve">Il-pożizzjoni kompetittiva tal-benefiċjarju(i), kemm fir-rigward tal-operat tal-infrastruttura kif ukoll fir-rigward tas-swieq tal-prodotti rilevanti għall-oġġett ittrasportat bl-infrastruttura. </w:t>
      </w:r>
    </w:p>
    <w:p w14:paraId="78D4D396" w14:textId="060F56B7" w:rsidR="0042660D" w:rsidRPr="00BA15DC" w:rsidRDefault="0042660D" w:rsidP="00232CF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850C4A6" w14:textId="78445FC4" w:rsidR="0042660D" w:rsidRPr="00BA15DC" w:rsidRDefault="0042660D" w:rsidP="003B0EF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lastRenderedPageBreak/>
        <w:t>Jekk il-proġett innotifikat huwa infrastruttura tal-gass naturali, pprovdi informazzjoni dwar kif il-proġett notifikat se jissodisfa l-kundizzjonijiet li ġejjin:</w:t>
      </w:r>
    </w:p>
    <w:p w14:paraId="6FDA492B" w14:textId="6E19BE30" w:rsidR="009013F3" w:rsidRPr="00BA15DC" w:rsidRDefault="009013F3" w:rsidP="009C221E">
      <w:pPr>
        <w:pStyle w:val="ListParagraph"/>
        <w:numPr>
          <w:ilvl w:val="0"/>
          <w:numId w:val="53"/>
        </w:numPr>
        <w:spacing w:before="120" w:after="120"/>
        <w:contextualSpacing w:val="0"/>
        <w:jc w:val="both"/>
      </w:pPr>
      <w:r>
        <w:t xml:space="preserve">L-infrastruttura tkun lesta għall-użu tal-idroġenu u twassal għal żieda fl-użu tal-gassijiet rinnovabbli; jew inkella, ir-raġuni għaliex mhuwiex possibbli li l-proġett jitfassal sabiex ikun lest għall-idroġenu u kif il-proġett ma joħloqx effett ta’ intrappolament għall-użu tal-gass naturali; </w:t>
      </w:r>
    </w:p>
    <w:p w14:paraId="49495890" w14:textId="19234331" w:rsidR="009013F3" w:rsidRDefault="009013F3" w:rsidP="00232CF6">
      <w:pPr>
        <w:pStyle w:val="ListParagraph"/>
        <w:numPr>
          <w:ilvl w:val="0"/>
          <w:numId w:val="53"/>
        </w:numPr>
        <w:spacing w:before="120" w:after="120"/>
        <w:contextualSpacing w:val="0"/>
        <w:jc w:val="both"/>
      </w:pPr>
      <w:r>
        <w:t>L-investiment jikkontribwixxi biex jintlaħqu l-miri klimatiċi tal-Unjoni għall-2030 u l-mira tan-newtralità klimatika għall-2050.</w:t>
      </w:r>
    </w:p>
    <w:p w14:paraId="354F8961" w14:textId="77777777" w:rsidR="00095D42" w:rsidRPr="00BA15DC" w:rsidRDefault="00095D42" w:rsidP="00095D42">
      <w:pPr>
        <w:tabs>
          <w:tab w:val="left" w:leader="dot" w:pos="9072"/>
        </w:tabs>
        <w:spacing w:before="120" w:after="120"/>
        <w:jc w:val="both"/>
      </w:pPr>
      <w:r>
        <w:tab/>
      </w:r>
    </w:p>
    <w:p w14:paraId="0D3E49C5" w14:textId="6235E25B" w:rsidR="00401B69" w:rsidRDefault="0049736F" w:rsidP="003B0EF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il-proġett innotifikat huwa Proġett ta’ Interess Komuni jew Proġett ta’ Interess Reċiproku mhux soġġett għal-leġiżlazzjoni tas-suq intern, spjega x’se jkun l-impatt tal-proġett fuq is-swieq tas-servizzi relatati kif ukoll fuq swieq oħra tas-servizzi.</w:t>
      </w:r>
    </w:p>
    <w:p w14:paraId="1EF8F328" w14:textId="3AC0FB04" w:rsidR="00095D42" w:rsidRPr="00BA15DC" w:rsidRDefault="00095D42" w:rsidP="00095D42">
      <w:pPr>
        <w:tabs>
          <w:tab w:val="left" w:leader="dot" w:pos="9072"/>
        </w:tabs>
        <w:spacing w:before="120" w:after="120"/>
        <w:jc w:val="both"/>
      </w:pPr>
      <w:r>
        <w:tab/>
      </w:r>
    </w:p>
    <w:p w14:paraId="6854087B" w14:textId="23331B33" w:rsidR="00401B69" w:rsidRPr="00BA15DC" w:rsidRDefault="00401B69" w:rsidP="00095D42">
      <w:pPr>
        <w:pStyle w:val="ListParagraph"/>
        <w:spacing w:before="120" w:after="120"/>
        <w:ind w:left="0"/>
        <w:jc w:val="both"/>
      </w:pPr>
      <w:r>
        <w:tab/>
      </w:r>
    </w:p>
    <w:bookmarkEnd w:id="13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C33721" w:rsidRPr="00BA15DC" w14:paraId="2E5836DE" w14:textId="77777777" w:rsidTr="001C4D88">
        <w:tc>
          <w:tcPr>
            <w:tcW w:w="9322" w:type="dxa"/>
            <w:shd w:val="pct15" w:color="auto" w:fill="auto"/>
          </w:tcPr>
          <w:p w14:paraId="145F7D57" w14:textId="4678CA45" w:rsidR="00C33721" w:rsidRPr="00BA15DC" w:rsidRDefault="00401B69" w:rsidP="003B0EFB">
            <w:pPr>
              <w:numPr>
                <w:ilvl w:val="0"/>
                <w:numId w:val="24"/>
              </w:numPr>
              <w:jc w:val="center"/>
              <w:rPr>
                <w:rFonts w:eastAsia="Times New Roman"/>
                <w:b/>
                <w:i/>
                <w:color w:val="000000"/>
                <w:sz w:val="28"/>
                <w:szCs w:val="28"/>
              </w:rPr>
            </w:pPr>
            <w:r>
              <w:br w:type="page"/>
            </w:r>
            <w:r>
              <w:rPr>
                <w:b/>
                <w:i/>
                <w:color w:val="000000"/>
                <w:sz w:val="28"/>
              </w:rPr>
              <w:t>Evalwazzjoni</w:t>
            </w:r>
          </w:p>
        </w:tc>
      </w:tr>
    </w:tbl>
    <w:p w14:paraId="78AC9B95" w14:textId="1FB76E7E" w:rsidR="00C33721" w:rsidRPr="00BA15DC" w:rsidRDefault="00C33721" w:rsidP="004F3B88">
      <w:pPr>
        <w:tabs>
          <w:tab w:val="left" w:leader="dot" w:pos="9072"/>
        </w:tabs>
        <w:spacing w:before="120" w:after="120"/>
        <w:ind w:left="567"/>
        <w:jc w:val="both"/>
        <w:rPr>
          <w:i/>
          <w:iCs/>
        </w:rPr>
      </w:pPr>
      <w:r>
        <w:rPr>
          <w:i/>
        </w:rPr>
        <w:t>Biex tipprovdi l-informazzjoni f’din it-taqsima, irreferi għall-punti 76(a) u l-Kapitolu 5 (il-punti 455-463) tas-CEEAG.</w:t>
      </w:r>
    </w:p>
    <w:p w14:paraId="5F51F6A4" w14:textId="77777777" w:rsidR="009618E4" w:rsidRPr="00BA15DC" w:rsidRDefault="009618E4" w:rsidP="003B0EF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bookmarkStart w:id="14" w:name="_Hlk163747316"/>
      <w:r>
        <w:t>Jekk il-miżura/i notifikata/i taqbeż/jaqbżu l-limiti tal-baġit/tan-nefqa fil-punt 456 tas-CEEAG, spjega għaliex fil-fehma tiegħek għandha tapplika l-eċċezzjoni fil-punt 457 tas-CEEAG, jew ehmeż ma’ din il-formola ta’ notifika Anness li jinkludi abbozz ta’ pjan ta’ evalwazzjoni li jkopri l-kamp ta’ applikazzjoni msemmi fil-punt 458 tas-CEEAG.</w:t>
      </w:r>
      <w:r w:rsidRPr="00BA15DC">
        <w:rPr>
          <w:vertAlign w:val="superscript"/>
          <w:lang w:eastAsia="en-GB"/>
        </w:rPr>
        <w:footnoteReference w:id="11"/>
      </w:r>
    </w:p>
    <w:p w14:paraId="666FDAB3" w14:textId="77777777" w:rsidR="009618E4" w:rsidRPr="00BA15DC" w:rsidRDefault="009618E4" w:rsidP="009618E4">
      <w:pPr>
        <w:spacing w:before="120" w:after="120"/>
        <w:ind w:firstLine="567"/>
        <w:jc w:val="both"/>
      </w:pPr>
      <w:r>
        <w:t>……………………………………………………………………………………………</w:t>
      </w:r>
    </w:p>
    <w:p w14:paraId="6C25FF28" w14:textId="77777777" w:rsidR="009618E4" w:rsidRPr="00BA15DC" w:rsidRDefault="009618E4" w:rsidP="003B0EF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jiġi pprovdut abbozz ta’ pjan ta’ evalwazzjoni:</w:t>
      </w:r>
    </w:p>
    <w:p w14:paraId="08BAA496" w14:textId="23665408" w:rsidR="009618E4" w:rsidRPr="00BA15DC" w:rsidRDefault="009618E4" w:rsidP="009618E4">
      <w:pPr>
        <w:numPr>
          <w:ilvl w:val="0"/>
          <w:numId w:val="61"/>
        </w:numPr>
        <w:spacing w:before="120" w:after="120"/>
        <w:jc w:val="both"/>
      </w:pPr>
      <w:r>
        <w:t>ipprovdi hawn taħt sommarju ta’ dak l-abbozz tal-pjan ta’ evalwazzjoni inkluż fl-Anness.</w:t>
      </w:r>
    </w:p>
    <w:p w14:paraId="7B48B620" w14:textId="77777777" w:rsidR="009618E4" w:rsidRPr="00BA15DC" w:rsidRDefault="009618E4" w:rsidP="009618E4">
      <w:pPr>
        <w:spacing w:before="120" w:after="120"/>
        <w:ind w:left="1440"/>
        <w:jc w:val="both"/>
      </w:pPr>
      <w:r>
        <w:t>………………………………………………………………………………….</w:t>
      </w:r>
    </w:p>
    <w:p w14:paraId="2F7FED33" w14:textId="27B289B4" w:rsidR="009618E4" w:rsidRPr="00BA15DC" w:rsidRDefault="009618E4" w:rsidP="009618E4">
      <w:pPr>
        <w:numPr>
          <w:ilvl w:val="0"/>
          <w:numId w:val="61"/>
        </w:numPr>
        <w:spacing w:before="120" w:after="120"/>
        <w:jc w:val="both"/>
      </w:pPr>
      <w:r>
        <w:t>ikkonferma li l-punt 460 tas-CEEAG se jiġi rrispettat.</w:t>
      </w:r>
    </w:p>
    <w:p w14:paraId="59BB95DE" w14:textId="77777777" w:rsidR="009618E4" w:rsidRPr="00BA15DC" w:rsidRDefault="009618E4" w:rsidP="009618E4">
      <w:pPr>
        <w:spacing w:before="120" w:after="120"/>
        <w:ind w:left="1440"/>
        <w:jc w:val="both"/>
      </w:pPr>
      <w:r>
        <w:t xml:space="preserve">…………………………………………………………………………………. </w:t>
      </w:r>
    </w:p>
    <w:p w14:paraId="0C714569" w14:textId="07598D38" w:rsidR="009618E4" w:rsidRPr="00BA15DC" w:rsidRDefault="009618E4" w:rsidP="009618E4">
      <w:pPr>
        <w:numPr>
          <w:ilvl w:val="0"/>
          <w:numId w:val="61"/>
        </w:numPr>
        <w:spacing w:before="120" w:after="120"/>
        <w:jc w:val="both"/>
      </w:pPr>
      <w:r>
        <w:t>ipprovdi d-data u l-link tal-internet fejn il-pjan ta’ evalwazzjoni se jkun disponibbli għall-pubbliku.</w:t>
      </w:r>
    </w:p>
    <w:p w14:paraId="708085DD" w14:textId="77777777" w:rsidR="009618E4" w:rsidRPr="00BA15DC" w:rsidRDefault="009618E4" w:rsidP="009618E4">
      <w:pPr>
        <w:spacing w:before="120" w:after="120"/>
        <w:ind w:left="1440"/>
        <w:jc w:val="both"/>
      </w:pPr>
      <w:r>
        <w:t xml:space="preserve">…………………………………………………………………………………. </w:t>
      </w:r>
    </w:p>
    <w:p w14:paraId="0D9C5C62" w14:textId="77777777" w:rsidR="009618E4" w:rsidRPr="00BA15DC" w:rsidRDefault="009618E4" w:rsidP="003B0EF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459(b) tas-CEEAG, f’każ li l-iskema ta’ għajnuna bħalissa ma tkunx soġġetta għal evalwazzjoni ex post, u t-tul ta’ żmien tagħha jaqbeż it-tliet snin, ikkonferma li se tinnotifika l-abbozz tal-pjan ta’ evalwazzjoni fi żmien 30 jum tax-xogħol wara li ssir modifika sinifikanti li żżid il-baġit tal-iskema għal aktar minn EUR 150 miljun fi kwalunkwe sena partikolari jew EUR 750 miljun tul iż-żmien kollu tal-iskema. </w:t>
      </w:r>
    </w:p>
    <w:p w14:paraId="4290E10F" w14:textId="77777777" w:rsidR="009618E4" w:rsidRPr="00BA15DC" w:rsidRDefault="009618E4" w:rsidP="009618E4">
      <w:pPr>
        <w:tabs>
          <w:tab w:val="left" w:leader="dot" w:pos="9072"/>
        </w:tabs>
        <w:spacing w:before="120" w:after="120"/>
        <w:ind w:left="567"/>
        <w:jc w:val="both"/>
      </w:pPr>
      <w:r>
        <w:lastRenderedPageBreak/>
        <w:tab/>
      </w:r>
    </w:p>
    <w:p w14:paraId="4B16E4E6" w14:textId="77777777" w:rsidR="009618E4" w:rsidRPr="00BA15DC" w:rsidRDefault="009618E4" w:rsidP="003B0EF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459(c) tas-CEEAG, f’każ li l-iskema ta’ għajnuna bħalissa ma tkunx soġġetta għal evalwazzjoni ex post, indika hawn taħt li l-Istat Membru jimpenja ruħu li jinnotifika l-abbozz tal-pjan ta’ evalwazzjoni </w:t>
      </w:r>
      <w:r>
        <w:rPr>
          <w:shd w:val="clear" w:color="auto" w:fill="FFFFFF"/>
        </w:rPr>
        <w:t>fi żmien 30 jum ta’ xogħol wara r-reġistrazzjoni, fil-kontijiet uffiċjali, ta’ nefqa li taqbeż il-EUR 150 miljun fis-sena preċedenti</w:t>
      </w:r>
      <w:r>
        <w:t xml:space="preserve">. </w:t>
      </w:r>
    </w:p>
    <w:p w14:paraId="48582D56" w14:textId="77777777" w:rsidR="009618E4" w:rsidRPr="00BA15DC" w:rsidRDefault="009618E4" w:rsidP="009618E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9D017A7" w14:textId="77777777" w:rsidR="009618E4" w:rsidRPr="00BA15DC" w:rsidRDefault="009618E4" w:rsidP="003B0EF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tiġi vverifikata l-konformità mal-punt 461 tas-CEEAG:</w:t>
      </w:r>
    </w:p>
    <w:p w14:paraId="3F285296" w14:textId="77777777" w:rsidR="009618E4" w:rsidRPr="00BA15DC" w:rsidRDefault="009618E4" w:rsidP="009618E4">
      <w:pPr>
        <w:numPr>
          <w:ilvl w:val="0"/>
          <w:numId w:val="62"/>
        </w:numPr>
        <w:spacing w:before="120" w:after="120"/>
        <w:jc w:val="both"/>
      </w:pPr>
      <w:r>
        <w:t>Ikkjarifika jekk l-espert indipendenti diġà ntgħażilx jew jekk hux se jintgħażel fil-futur.</w:t>
      </w:r>
    </w:p>
    <w:p w14:paraId="08F51425" w14:textId="77777777" w:rsidR="009618E4" w:rsidRPr="00BA15DC" w:rsidRDefault="009618E4" w:rsidP="009618E4">
      <w:pPr>
        <w:spacing w:before="120" w:after="120"/>
        <w:ind w:left="1440"/>
        <w:jc w:val="both"/>
      </w:pPr>
      <w:r>
        <w:t>…………………………………………………………………………………..</w:t>
      </w:r>
    </w:p>
    <w:p w14:paraId="3D128624" w14:textId="77777777" w:rsidR="009618E4" w:rsidRPr="00BA15DC" w:rsidRDefault="009618E4" w:rsidP="009618E4">
      <w:pPr>
        <w:numPr>
          <w:ilvl w:val="0"/>
          <w:numId w:val="62"/>
        </w:numPr>
        <w:spacing w:before="120" w:after="120"/>
        <w:jc w:val="both"/>
      </w:pPr>
      <w:r>
        <w:t>Ipprovdi informazzjoni dwar il-proċedura tal-għażla tal-espert.</w:t>
      </w:r>
    </w:p>
    <w:p w14:paraId="0AB0DD7C" w14:textId="77777777" w:rsidR="009618E4" w:rsidRPr="00BA15DC" w:rsidRDefault="009618E4" w:rsidP="009618E4">
      <w:pPr>
        <w:spacing w:before="120" w:after="120"/>
        <w:ind w:left="1440"/>
        <w:jc w:val="both"/>
      </w:pPr>
      <w:r>
        <w:t>………………………………………………………………………………….</w:t>
      </w:r>
    </w:p>
    <w:p w14:paraId="3E2D9FAF" w14:textId="77777777" w:rsidR="009618E4" w:rsidRPr="00BA15DC" w:rsidRDefault="009618E4" w:rsidP="009618E4">
      <w:pPr>
        <w:numPr>
          <w:ilvl w:val="0"/>
          <w:numId w:val="62"/>
        </w:numPr>
        <w:spacing w:before="120" w:after="120"/>
        <w:jc w:val="both"/>
      </w:pPr>
      <w:r>
        <w:t>Iġġustifika kif l-espert huwa indipendenti mill-awtorità tal-għoti.</w:t>
      </w:r>
    </w:p>
    <w:p w14:paraId="7753DAE8" w14:textId="77777777" w:rsidR="009618E4" w:rsidRPr="00BA15DC" w:rsidRDefault="009618E4" w:rsidP="009618E4">
      <w:pPr>
        <w:spacing w:before="120" w:after="120"/>
        <w:ind w:left="1440"/>
        <w:jc w:val="both"/>
      </w:pPr>
      <w:r>
        <w:t xml:space="preserve">………………………………………………………………………………….. </w:t>
      </w:r>
    </w:p>
    <w:p w14:paraId="6701EA6B" w14:textId="77777777" w:rsidR="009618E4" w:rsidRPr="00BA15DC" w:rsidRDefault="009618E4" w:rsidP="003B0EF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461 tas-CEEAG: </w:t>
      </w:r>
    </w:p>
    <w:p w14:paraId="4F8AF9B0" w14:textId="77777777" w:rsidR="009618E4" w:rsidRPr="00BA15DC" w:rsidRDefault="009618E4" w:rsidP="009618E4">
      <w:pPr>
        <w:numPr>
          <w:ilvl w:val="0"/>
          <w:numId w:val="63"/>
        </w:numPr>
        <w:spacing w:before="120" w:after="120"/>
        <w:jc w:val="both"/>
      </w:pPr>
      <w:r>
        <w:t>Ipprovdi l-iskadenzi li qed tipproponi għas-sottomissjoni tar-rapport ta’ evalwazzjoni interim u finali. Innota li r-rapport ta’ evalwazzjoni finali jrid jiġi ppreżentat lill-Kummissjoni fi żmien xieraq biex tkun tista’ ssir il-valutazzjoni tal-estensjoni possibbli tal-iskema ta’ għajnuna u mhux aktar tard minn 9 xhur qabel l-iskadenza tagħha, f’konformità mal-punt 463 tas-CEEAG. Innota li dik l-iskadenza tista’ titnaqqas għal skemi li jiskattaw ir-rekwiżit ta’ evalwazzjoni fl-aħħar sentejn tal-implimentazzjoni tagħhom.</w:t>
      </w:r>
    </w:p>
    <w:p w14:paraId="2199C794" w14:textId="77777777" w:rsidR="009618E4" w:rsidRPr="00BA15DC" w:rsidRDefault="009618E4" w:rsidP="009618E4">
      <w:pPr>
        <w:tabs>
          <w:tab w:val="left" w:leader="dot" w:pos="9072"/>
        </w:tabs>
        <w:spacing w:before="120" w:after="120"/>
        <w:ind w:left="567"/>
        <w:jc w:val="both"/>
      </w:pPr>
      <w:r>
        <w:t xml:space="preserve"> </w:t>
      </w:r>
      <w:r>
        <w:tab/>
      </w:r>
    </w:p>
    <w:p w14:paraId="238A4F29" w14:textId="77777777" w:rsidR="009618E4" w:rsidRPr="00BA15DC" w:rsidRDefault="009618E4" w:rsidP="009618E4">
      <w:pPr>
        <w:numPr>
          <w:ilvl w:val="0"/>
          <w:numId w:val="63"/>
        </w:numPr>
        <w:spacing w:before="120" w:after="120"/>
        <w:jc w:val="both"/>
      </w:pPr>
      <w:r>
        <w:t xml:space="preserve">Ikkonferma li r-rapport ta’ evalwazzjoni interim u finali se jsir pubbliku. Ipprovdi d-data u l-link tal-internet fejn dawk ir-rapporti se jkunu disponibbli għall-pubbliku. </w:t>
      </w:r>
    </w:p>
    <w:bookmarkEnd w:id="14"/>
    <w:p w14:paraId="3784DF29" w14:textId="77777777" w:rsidR="00B2631C" w:rsidRPr="00BA15DC" w:rsidRDefault="00B2631C" w:rsidP="00890F0D">
      <w:pPr>
        <w:tabs>
          <w:tab w:val="left" w:leader="dot" w:pos="9072"/>
        </w:tabs>
        <w:spacing w:before="120" w:after="120"/>
        <w:ind w:left="567"/>
        <w:jc w:val="both"/>
      </w:pPr>
    </w:p>
    <w:p w14:paraId="10FA3DB0" w14:textId="77777777" w:rsidR="00627715" w:rsidRPr="00BA15DC" w:rsidRDefault="00627715" w:rsidP="00627715">
      <w:pPr>
        <w:ind w:left="-567" w:firstLine="1412"/>
        <w:rPr>
          <w:i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27715" w:rsidRPr="00BA15DC" w14:paraId="5AFCC7AE" w14:textId="77777777" w:rsidTr="001C4D88">
        <w:tc>
          <w:tcPr>
            <w:tcW w:w="9322" w:type="dxa"/>
            <w:shd w:val="pct15" w:color="auto" w:fill="auto"/>
          </w:tcPr>
          <w:p w14:paraId="6B1D3811" w14:textId="7FD6D103" w:rsidR="00627715" w:rsidRPr="00BA15DC" w:rsidRDefault="00627715" w:rsidP="003B0EFB">
            <w:pPr>
              <w:numPr>
                <w:ilvl w:val="0"/>
                <w:numId w:val="24"/>
              </w:numPr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</w:rPr>
              <w:t>Rappurtar u Monitoraġġ</w:t>
            </w:r>
          </w:p>
        </w:tc>
      </w:tr>
    </w:tbl>
    <w:p w14:paraId="21EA55F3" w14:textId="77777777" w:rsidR="009618E4" w:rsidRPr="00BA15DC" w:rsidRDefault="009618E4" w:rsidP="004F3B88">
      <w:pPr>
        <w:tabs>
          <w:tab w:val="left" w:leader="dot" w:pos="9072"/>
        </w:tabs>
        <w:spacing w:before="120" w:after="120"/>
        <w:ind w:left="567"/>
        <w:jc w:val="both"/>
      </w:pPr>
      <w:r>
        <w:rPr>
          <w:i/>
        </w:rPr>
        <w:t>Biex tipprovdi l-informazzjoni f’din it-taqsima, irreferi għat-Taqsima 6 (il-punti 464-465) tas-CEEAG.</w:t>
      </w:r>
    </w:p>
    <w:p w14:paraId="4EED6F4A" w14:textId="0B1C0A80" w:rsidR="003A66DE" w:rsidRPr="00BA15DC" w:rsidRDefault="009618E4" w:rsidP="003B0EF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Ikkonferma li l-Istat Membru se jikkonforma mar-rekwiżiti dwar ir-rappurtar u l-monitoraġġ previsti fit-Taqsima 6, il-punti 464 u 465 tas-CEEAG.</w:t>
      </w:r>
    </w:p>
    <w:p w14:paraId="6B996AF9" w14:textId="77777777" w:rsidR="00697188" w:rsidRPr="00711243" w:rsidRDefault="00697188" w:rsidP="000442F5"/>
    <w:sectPr w:rsidR="00697188" w:rsidRPr="00711243" w:rsidSect="00393A9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73228" w14:textId="77777777" w:rsidR="00802D55" w:rsidRDefault="00802D55" w:rsidP="000442F5">
      <w:r>
        <w:separator/>
      </w:r>
    </w:p>
  </w:endnote>
  <w:endnote w:type="continuationSeparator" w:id="0">
    <w:p w14:paraId="2E9381B8" w14:textId="77777777" w:rsidR="00802D55" w:rsidRDefault="00802D55" w:rsidP="000442F5">
      <w:r>
        <w:continuationSeparator/>
      </w:r>
    </w:p>
  </w:endnote>
  <w:endnote w:type="continuationNotice" w:id="1">
    <w:p w14:paraId="2DB82998" w14:textId="77777777" w:rsidR="00802D55" w:rsidRDefault="0080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EFA47" w14:textId="77777777" w:rsidR="00232CF6" w:rsidRDefault="00232C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6DBDA" w14:textId="0E707CB7" w:rsidR="00802D55" w:rsidRDefault="00802D5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6796">
      <w:t>11</w:t>
    </w:r>
    <w:r>
      <w:fldChar w:fldCharType="end"/>
    </w:r>
  </w:p>
  <w:p w14:paraId="75E356FD" w14:textId="77777777" w:rsidR="00802D55" w:rsidRDefault="00802D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7DE34" w14:textId="77777777" w:rsidR="00232CF6" w:rsidRDefault="00232C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1D7FA" w14:textId="77777777" w:rsidR="00802D55" w:rsidRDefault="00802D55" w:rsidP="000442F5">
      <w:r>
        <w:separator/>
      </w:r>
    </w:p>
  </w:footnote>
  <w:footnote w:type="continuationSeparator" w:id="0">
    <w:p w14:paraId="4B7B9429" w14:textId="77777777" w:rsidR="00802D55" w:rsidRDefault="00802D55" w:rsidP="000442F5">
      <w:r>
        <w:continuationSeparator/>
      </w:r>
    </w:p>
  </w:footnote>
  <w:footnote w:type="continuationNotice" w:id="1">
    <w:p w14:paraId="2DC6C6B7" w14:textId="77777777" w:rsidR="00802D55" w:rsidRDefault="00802D55"/>
  </w:footnote>
  <w:footnote w:id="2">
    <w:p w14:paraId="77E20799" w14:textId="77777777" w:rsidR="008E3BF9" w:rsidRPr="0067348B" w:rsidRDefault="008E3BF9" w:rsidP="008E3BF9">
      <w:pPr>
        <w:pStyle w:val="FootnoteText"/>
      </w:pPr>
      <w:r>
        <w:rPr>
          <w:rStyle w:val="FootnoteReference"/>
        </w:rPr>
        <w:footnoteRef/>
      </w:r>
      <w:r>
        <w:tab/>
        <w:t>ĠU C 80, 18.2.2022, p.1.</w:t>
      </w:r>
    </w:p>
  </w:footnote>
  <w:footnote w:id="3">
    <w:p w14:paraId="74C65A5D" w14:textId="77777777" w:rsidR="008E3BF9" w:rsidRPr="0067348B" w:rsidRDefault="008E3BF9" w:rsidP="008E3BF9">
      <w:pPr>
        <w:pStyle w:val="FootnoteText"/>
      </w:pPr>
      <w:r>
        <w:rPr>
          <w:rStyle w:val="FootnoteReference"/>
        </w:rPr>
        <w:footnoteRef/>
      </w:r>
      <w:r>
        <w:tab/>
        <w:t>Innota li għal skema ta’ għajnuna, it-tul ta’ żmien huwa l-perjodu li matulu tista’ ssir applikazzjoni għall-għajnuna u tittieħed deċiżjoni dwaru (inkluż għaldaqstant iż-żmien meħtieġ biex l-awtoritajiet nazzjonali japprovaw l-applikazzjonijiet għall-għajnuna). It-tul ta’ żmien imsemmi f’din il-mistoqsija mhuwiex relatat mat-tul tal-kuntratti li ġew konklużi taħt l-iskema ta’ għajnuna, li jistgħu jkomplu lil hinn mit-tul ta’ żmien tal-miżura.</w:t>
      </w:r>
    </w:p>
  </w:footnote>
  <w:footnote w:id="4">
    <w:p w14:paraId="5C28E81B" w14:textId="27D21C7E" w:rsidR="00F7269C" w:rsidRPr="0067348B" w:rsidRDefault="00F7269C" w:rsidP="00F7269C">
      <w:pPr>
        <w:pStyle w:val="FootnoteText"/>
      </w:pPr>
      <w:r>
        <w:rPr>
          <w:rStyle w:val="FootnoteReference"/>
        </w:rPr>
        <w:footnoteRef/>
      </w:r>
      <w:r>
        <w:tab/>
        <w:t>Innota li bidla fil-baġit reali jew stmat tista’ tkun bidla fl-għajnuna, li tkun tirrikjedi notifika ġdida.</w:t>
      </w:r>
    </w:p>
  </w:footnote>
  <w:footnote w:id="5">
    <w:p w14:paraId="561DACBB" w14:textId="58A17E1F" w:rsidR="00802D55" w:rsidRDefault="00802D5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Ara s-sentenza tal-Qorti tal-Ġustizzja tat-13 ta’ Ġunju 2013, </w:t>
      </w:r>
      <w:r>
        <w:rPr>
          <w:i/>
        </w:rPr>
        <w:t>HGA u oħrajn vs Il-Kummissjoni</w:t>
      </w:r>
      <w:r>
        <w:t>, C-630/11 P sa C-633/11 P, ECLI:EU:C:2013:387, il-paragrafu 104.</w:t>
      </w:r>
    </w:p>
  </w:footnote>
  <w:footnote w:id="6">
    <w:p w14:paraId="4C19DBFC" w14:textId="0C434BAC" w:rsidR="00802D55" w:rsidRPr="004B74BC" w:rsidRDefault="00802D5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Skont il-punt 19(63) tas-CEEAG, “proġett ta’ referenza” tfisser eżempju ta’ proġett li huwa rappreżentattiv tal-proġett medju f’kategorija ta’ benefiċjarji eliġibbli għal skema ta’ għajnuna.</w:t>
      </w:r>
    </w:p>
  </w:footnote>
  <w:footnote w:id="7">
    <w:p w14:paraId="01EFD49C" w14:textId="77777777" w:rsidR="00801D5A" w:rsidRDefault="00801D5A" w:rsidP="00801D5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Skont il-punt 19(89) tas-CEEAG, “standard tal-Unjoni” tfisser:</w:t>
      </w:r>
    </w:p>
    <w:p w14:paraId="68BC0B8F" w14:textId="77777777" w:rsidR="00801D5A" w:rsidRPr="004B74BC" w:rsidRDefault="00801D5A" w:rsidP="00801D5A">
      <w:pPr>
        <w:pStyle w:val="FootnoteText"/>
        <w:numPr>
          <w:ilvl w:val="0"/>
          <w:numId w:val="46"/>
        </w:numPr>
        <w:rPr>
          <w:i/>
        </w:rPr>
      </w:pPr>
      <w:r>
        <w:rPr>
          <w:i/>
        </w:rPr>
        <w:t>standard obbligatorju tal-Unjoni li jiffissa l-livelli li għandhom jintlaħqu f’termini ambjentali minn impriżi individwali, esklużi standards jew miri stabbiliti fil-livell tal-Unjoni li huma vinkolanti għall-Istati Membri iżda mhux għall-impriżi individwali;</w:t>
      </w:r>
    </w:p>
    <w:p w14:paraId="11145135" w14:textId="23A8CC97" w:rsidR="00801D5A" w:rsidRDefault="00801D5A" w:rsidP="00801D5A">
      <w:pPr>
        <w:pStyle w:val="FootnoteText"/>
        <w:numPr>
          <w:ilvl w:val="0"/>
          <w:numId w:val="46"/>
        </w:numPr>
      </w:pPr>
      <w:r>
        <w:rPr>
          <w:i/>
        </w:rPr>
        <w:t xml:space="preserve"> l-obbligu li jintużaw l-aqwa tekniki disponibbli (BAT, best available techniques), kif definit fid-Direttiva 2010/75/UE, u li jiġi żgurat li l-livelli ta’ emissjonijiet ma jkunux ogħla minn dawk li kienu jintlaħqu bl-applikazzjoni tal-BAT; għall-każijiet fejn il-livelli ta’ emissjonijiet assoċjati mal-BAT ikunu ġew definiti f’atti ta’ implimentazzjoni adottati skont id-Direttiva 2010/75/UE jew skont direttivi oħra applikabbli, dawk il-livelli se jkunu applikabbli għall-fini ta’ dawn il-linji gwida; jekk dawn il-livelli jkunu espressi bħala firxa, ikun applikabbli l-limitu fejn il-BAT jintlaħqu l-ewwel għall-impriża kkonċernata.</w:t>
      </w:r>
    </w:p>
  </w:footnote>
  <w:footnote w:id="8">
    <w:p w14:paraId="6589188F" w14:textId="70D9D8AA" w:rsidR="00802D55" w:rsidRDefault="00802D5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Il-punt 51 tas-CEEAG jipprovdi li “l-</w:t>
      </w:r>
      <w:r>
        <w:rPr>
          <w:color w:val="000000"/>
          <w:shd w:val="clear" w:color="auto" w:fill="FFFFFF"/>
        </w:rPr>
        <w:t>kost żejjed nett tipiku jista’ jiġi stmat bħala d-differenza bejn l-NPV għax-xenarju fattwali u għax-xenarju kontrofattwali tul il-ħajja tal-proġett ta’ referenza.”</w:t>
      </w:r>
    </w:p>
  </w:footnote>
  <w:footnote w:id="9">
    <w:p w14:paraId="4E6E256B" w14:textId="4AB0B555" w:rsidR="00802D55" w:rsidRDefault="00802D5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Skont in-nota 46 f’qiegħ il-paġna tas-CEEAG, innota li </w:t>
      </w:r>
      <w:r>
        <w:rPr>
          <w:i/>
        </w:rPr>
        <w:t>“l-ispejjeż u l-benefiċċji kollha rilevanti mistennija jridu jiġu kkunsidrati matul il-ħajja tal-proġett”.</w:t>
      </w:r>
    </w:p>
  </w:footnote>
  <w:footnote w:id="10">
    <w:p w14:paraId="086AD512" w14:textId="7087BE19" w:rsidR="00802D55" w:rsidRDefault="00802D55">
      <w:pPr>
        <w:pStyle w:val="FootnoteText"/>
      </w:pPr>
      <w:r>
        <w:rPr>
          <w:rStyle w:val="FootnoteReference"/>
        </w:rPr>
        <w:footnoteRef/>
      </w:r>
      <w:r>
        <w:tab/>
        <w:t>Il-finanzjament tal-Unjoni mmaniġġjat ċentralment huwa l-finanzjament tal-Unjoni mmaniġġjat ċentralment mill-istituzzjonijiet, l-aġenziji, l-impriżi konġunti jew korpi oħra tal-Unjoni Ewropea li mhuwiex direttament jew indirettament taħt il-kontroll tal-Istat Membru.</w:t>
      </w:r>
    </w:p>
  </w:footnote>
  <w:footnote w:id="11">
    <w:p w14:paraId="0C0B9BEF" w14:textId="77777777" w:rsidR="009618E4" w:rsidRDefault="009618E4" w:rsidP="009618E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Il-mudell għall-formola ta’ informazzjoni supplimentari għan-notifika ta’ pjan ta’ evalwazzjoni (il-Parti III.8) huwa aċċessibbli hawnhekk: </w:t>
      </w:r>
      <w:hyperlink w:anchor="evaluation-plan" w:history="1">
        <w:r>
          <w:rPr>
            <w:rStyle w:val="Hyperlink"/>
          </w:rPr>
          <w:t>https://competition-policy.ec.europa.eu/state-aid/legislation/forms-notifications-and-reporting_en#evaluation-plan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D57AC" w14:textId="77777777" w:rsidR="00232CF6" w:rsidRDefault="00232C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45171" w14:textId="77777777" w:rsidR="00232CF6" w:rsidRDefault="00232C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24040" w14:textId="76368D65" w:rsidR="00802D55" w:rsidRDefault="00802D55" w:rsidP="000456D8">
    <w:pPr>
      <w:pStyle w:val="Header"/>
      <w:tabs>
        <w:tab w:val="clear" w:pos="4536"/>
        <w:tab w:val="clear" w:pos="9072"/>
        <w:tab w:val="left" w:pos="13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F2181E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3B615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CD382E"/>
    <w:multiLevelType w:val="hybridMultilevel"/>
    <w:tmpl w:val="F0FA2E98"/>
    <w:lvl w:ilvl="0" w:tplc="CBB2EC0A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BF79C3"/>
    <w:multiLevelType w:val="hybridMultilevel"/>
    <w:tmpl w:val="E96EB5C4"/>
    <w:lvl w:ilvl="0" w:tplc="08E45480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91AF3"/>
    <w:multiLevelType w:val="hybridMultilevel"/>
    <w:tmpl w:val="0896A066"/>
    <w:lvl w:ilvl="0" w:tplc="BF6C3F54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270" w:hanging="360"/>
      </w:pPr>
    </w:lvl>
    <w:lvl w:ilvl="2" w:tplc="0809001B" w:tentative="1">
      <w:start w:val="1"/>
      <w:numFmt w:val="lowerRoman"/>
      <w:lvlText w:val="%3."/>
      <w:lvlJc w:val="right"/>
      <w:pPr>
        <w:ind w:left="2990" w:hanging="180"/>
      </w:pPr>
    </w:lvl>
    <w:lvl w:ilvl="3" w:tplc="0809000F" w:tentative="1">
      <w:start w:val="1"/>
      <w:numFmt w:val="decimal"/>
      <w:lvlText w:val="%4."/>
      <w:lvlJc w:val="left"/>
      <w:pPr>
        <w:ind w:left="3710" w:hanging="360"/>
      </w:pPr>
    </w:lvl>
    <w:lvl w:ilvl="4" w:tplc="08090019" w:tentative="1">
      <w:start w:val="1"/>
      <w:numFmt w:val="lowerLetter"/>
      <w:lvlText w:val="%5."/>
      <w:lvlJc w:val="left"/>
      <w:pPr>
        <w:ind w:left="4430" w:hanging="360"/>
      </w:pPr>
    </w:lvl>
    <w:lvl w:ilvl="5" w:tplc="0809001B" w:tentative="1">
      <w:start w:val="1"/>
      <w:numFmt w:val="lowerRoman"/>
      <w:lvlText w:val="%6."/>
      <w:lvlJc w:val="right"/>
      <w:pPr>
        <w:ind w:left="5150" w:hanging="180"/>
      </w:pPr>
    </w:lvl>
    <w:lvl w:ilvl="6" w:tplc="0809000F" w:tentative="1">
      <w:start w:val="1"/>
      <w:numFmt w:val="decimal"/>
      <w:lvlText w:val="%7."/>
      <w:lvlJc w:val="left"/>
      <w:pPr>
        <w:ind w:left="5870" w:hanging="360"/>
      </w:pPr>
    </w:lvl>
    <w:lvl w:ilvl="7" w:tplc="08090019" w:tentative="1">
      <w:start w:val="1"/>
      <w:numFmt w:val="lowerLetter"/>
      <w:lvlText w:val="%8."/>
      <w:lvlJc w:val="left"/>
      <w:pPr>
        <w:ind w:left="6590" w:hanging="360"/>
      </w:pPr>
    </w:lvl>
    <w:lvl w:ilvl="8" w:tplc="08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5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5AF2E64"/>
    <w:multiLevelType w:val="hybridMultilevel"/>
    <w:tmpl w:val="D930ABC4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61F065E"/>
    <w:multiLevelType w:val="hybridMultilevel"/>
    <w:tmpl w:val="E50218B8"/>
    <w:lvl w:ilvl="0" w:tplc="70504052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372BBE"/>
    <w:multiLevelType w:val="hybridMultilevel"/>
    <w:tmpl w:val="A4109574"/>
    <w:lvl w:ilvl="0" w:tplc="A1A4929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C54A0F"/>
    <w:multiLevelType w:val="hybridMultilevel"/>
    <w:tmpl w:val="4AE6DC8E"/>
    <w:lvl w:ilvl="0" w:tplc="BF6C3F54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11" w15:restartNumberingAfterBreak="0">
    <w:nsid w:val="12CB1C21"/>
    <w:multiLevelType w:val="hybridMultilevel"/>
    <w:tmpl w:val="AF32BA60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13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71117B7"/>
    <w:multiLevelType w:val="hybridMultilevel"/>
    <w:tmpl w:val="C5E69ED6"/>
    <w:lvl w:ilvl="0" w:tplc="2A52DED0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>
      <w:start w:val="1"/>
      <w:numFmt w:val="lowerRoman"/>
      <w:lvlText w:val="%2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FFFFFFFF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AA6E13"/>
    <w:multiLevelType w:val="hybridMultilevel"/>
    <w:tmpl w:val="344483E2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96C0060"/>
    <w:multiLevelType w:val="hybridMultilevel"/>
    <w:tmpl w:val="CFDEEDEE"/>
    <w:lvl w:ilvl="0" w:tplc="A604843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1A393F78"/>
    <w:multiLevelType w:val="hybridMultilevel"/>
    <w:tmpl w:val="FDAEC2A4"/>
    <w:lvl w:ilvl="0" w:tplc="A74E0452">
      <w:start w:val="20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D5B68E0"/>
    <w:multiLevelType w:val="hybridMultilevel"/>
    <w:tmpl w:val="3648EA64"/>
    <w:lvl w:ilvl="0" w:tplc="0EEE22A0">
      <w:start w:val="1"/>
      <w:numFmt w:val="lowerRoman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1D811731"/>
    <w:multiLevelType w:val="hybridMultilevel"/>
    <w:tmpl w:val="AA6A1B38"/>
    <w:lvl w:ilvl="0" w:tplc="90B02656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3C7C58"/>
    <w:multiLevelType w:val="hybridMultilevel"/>
    <w:tmpl w:val="295400F8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20947326"/>
    <w:multiLevelType w:val="multilevel"/>
    <w:tmpl w:val="08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2E60F42"/>
    <w:multiLevelType w:val="hybridMultilevel"/>
    <w:tmpl w:val="C02291C4"/>
    <w:lvl w:ilvl="0" w:tplc="0EEE22A0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9724BD26">
      <w:start w:val="6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24" w15:restartNumberingAfterBreak="0">
    <w:nsid w:val="25613F6E"/>
    <w:multiLevelType w:val="hybridMultilevel"/>
    <w:tmpl w:val="40D2429A"/>
    <w:lvl w:ilvl="0" w:tplc="C1E63F10">
      <w:start w:val="1"/>
      <w:numFmt w:val="upp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8ED3E62"/>
    <w:multiLevelType w:val="hybridMultilevel"/>
    <w:tmpl w:val="30988010"/>
    <w:lvl w:ilvl="0" w:tplc="FFFFFFFF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270" w:hanging="360"/>
      </w:pPr>
    </w:lvl>
    <w:lvl w:ilvl="2" w:tplc="FFFFFFFF" w:tentative="1">
      <w:start w:val="1"/>
      <w:numFmt w:val="lowerRoman"/>
      <w:lvlText w:val="%3."/>
      <w:lvlJc w:val="right"/>
      <w:pPr>
        <w:ind w:left="2990" w:hanging="180"/>
      </w:pPr>
    </w:lvl>
    <w:lvl w:ilvl="3" w:tplc="FFFFFFFF" w:tentative="1">
      <w:start w:val="1"/>
      <w:numFmt w:val="decimal"/>
      <w:lvlText w:val="%4."/>
      <w:lvlJc w:val="left"/>
      <w:pPr>
        <w:ind w:left="3710" w:hanging="360"/>
      </w:pPr>
    </w:lvl>
    <w:lvl w:ilvl="4" w:tplc="FFFFFFFF" w:tentative="1">
      <w:start w:val="1"/>
      <w:numFmt w:val="lowerLetter"/>
      <w:lvlText w:val="%5."/>
      <w:lvlJc w:val="left"/>
      <w:pPr>
        <w:ind w:left="4430" w:hanging="360"/>
      </w:pPr>
    </w:lvl>
    <w:lvl w:ilvl="5" w:tplc="FFFFFFFF" w:tentative="1">
      <w:start w:val="1"/>
      <w:numFmt w:val="lowerRoman"/>
      <w:lvlText w:val="%6."/>
      <w:lvlJc w:val="right"/>
      <w:pPr>
        <w:ind w:left="5150" w:hanging="180"/>
      </w:pPr>
    </w:lvl>
    <w:lvl w:ilvl="6" w:tplc="FFFFFFFF" w:tentative="1">
      <w:start w:val="1"/>
      <w:numFmt w:val="decimal"/>
      <w:lvlText w:val="%7."/>
      <w:lvlJc w:val="left"/>
      <w:pPr>
        <w:ind w:left="5870" w:hanging="360"/>
      </w:pPr>
    </w:lvl>
    <w:lvl w:ilvl="7" w:tplc="FFFFFFFF" w:tentative="1">
      <w:start w:val="1"/>
      <w:numFmt w:val="lowerLetter"/>
      <w:lvlText w:val="%8."/>
      <w:lvlJc w:val="left"/>
      <w:pPr>
        <w:ind w:left="6590" w:hanging="360"/>
      </w:pPr>
    </w:lvl>
    <w:lvl w:ilvl="8" w:tplc="FFFFFFFF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26" w15:restartNumberingAfterBreak="0">
    <w:nsid w:val="2BDD00CF"/>
    <w:multiLevelType w:val="hybridMultilevel"/>
    <w:tmpl w:val="4A1CA042"/>
    <w:lvl w:ilvl="0" w:tplc="C99CEE36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76483AA0">
      <w:start w:val="1"/>
      <w:numFmt w:val="decimal"/>
      <w:lvlText w:val="%3-"/>
      <w:lvlJc w:val="left"/>
      <w:pPr>
        <w:ind w:left="2730" w:hanging="39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28" w15:restartNumberingAfterBreak="0">
    <w:nsid w:val="301D028F"/>
    <w:multiLevelType w:val="hybridMultilevel"/>
    <w:tmpl w:val="6DA491B0"/>
    <w:lvl w:ilvl="0" w:tplc="3A88E5C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12B69AE"/>
    <w:multiLevelType w:val="multilevel"/>
    <w:tmpl w:val="9C388F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1955151"/>
    <w:multiLevelType w:val="hybridMultilevel"/>
    <w:tmpl w:val="86A6EDB2"/>
    <w:lvl w:ilvl="0" w:tplc="43F208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485152B"/>
    <w:multiLevelType w:val="hybridMultilevel"/>
    <w:tmpl w:val="53BCC742"/>
    <w:lvl w:ilvl="0" w:tplc="AFEC736A">
      <w:start w:val="1"/>
      <w:numFmt w:val="lowerLetter"/>
      <w:lvlText w:val="%1)"/>
      <w:lvlJc w:val="left"/>
      <w:pPr>
        <w:ind w:left="1077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36DF4166"/>
    <w:multiLevelType w:val="hybridMultilevel"/>
    <w:tmpl w:val="43DA4E44"/>
    <w:lvl w:ilvl="0" w:tplc="EB4EBB44">
      <w:start w:val="5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3E72CF"/>
    <w:multiLevelType w:val="hybridMultilevel"/>
    <w:tmpl w:val="2EFA7F0A"/>
    <w:lvl w:ilvl="0" w:tplc="92ECE1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35" w15:restartNumberingAfterBreak="0">
    <w:nsid w:val="3D581263"/>
    <w:multiLevelType w:val="hybridMultilevel"/>
    <w:tmpl w:val="177A10E0"/>
    <w:lvl w:ilvl="0" w:tplc="9F2CFD64">
      <w:start w:val="1"/>
      <w:numFmt w:val="lowerRoman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43B239D1"/>
    <w:multiLevelType w:val="hybridMultilevel"/>
    <w:tmpl w:val="3A3A3BB2"/>
    <w:lvl w:ilvl="0" w:tplc="9B4884B4">
      <w:start w:val="4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C7A0D2A8">
      <w:start w:val="1"/>
      <w:numFmt w:val="lowerRoman"/>
      <w:lvlText w:val="%2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54525058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4606C59"/>
    <w:multiLevelType w:val="hybridMultilevel"/>
    <w:tmpl w:val="9DA8A572"/>
    <w:lvl w:ilvl="0" w:tplc="F774C7A4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4C7E52AF"/>
    <w:multiLevelType w:val="hybridMultilevel"/>
    <w:tmpl w:val="081A47D0"/>
    <w:lvl w:ilvl="0" w:tplc="C4380AC2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5973DC4"/>
    <w:multiLevelType w:val="hybridMultilevel"/>
    <w:tmpl w:val="6D98FBEC"/>
    <w:lvl w:ilvl="0" w:tplc="A1A492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3A7585"/>
    <w:multiLevelType w:val="hybridMultilevel"/>
    <w:tmpl w:val="98B86720"/>
    <w:lvl w:ilvl="0" w:tplc="C1EC314C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8D4807"/>
    <w:multiLevelType w:val="hybridMultilevel"/>
    <w:tmpl w:val="636E0E56"/>
    <w:lvl w:ilvl="0" w:tplc="CF80E470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5DBA6465"/>
    <w:multiLevelType w:val="hybridMultilevel"/>
    <w:tmpl w:val="60D4F86E"/>
    <w:lvl w:ilvl="0" w:tplc="CBB2EC0A">
      <w:start w:val="1"/>
      <w:numFmt w:val="lowerRoman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8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49" w15:restartNumberingAfterBreak="0">
    <w:nsid w:val="66A63355"/>
    <w:multiLevelType w:val="hybridMultilevel"/>
    <w:tmpl w:val="1D98A070"/>
    <w:lvl w:ilvl="0" w:tplc="82A46E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CBB2EC0A">
      <w:start w:val="1"/>
      <w:numFmt w:val="lowerRoman"/>
      <w:lvlText w:val="%2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C91A5F2A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51" w15:restartNumberingAfterBreak="0">
    <w:nsid w:val="680254AA"/>
    <w:multiLevelType w:val="hybridMultilevel"/>
    <w:tmpl w:val="AF4EF8D0"/>
    <w:lvl w:ilvl="0" w:tplc="CBB2EC0A">
      <w:start w:val="1"/>
      <w:numFmt w:val="lowerRoman"/>
      <w:lvlText w:val="%1."/>
      <w:lvlJc w:val="left"/>
      <w:pPr>
        <w:ind w:left="873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2" w15:restartNumberingAfterBreak="0">
    <w:nsid w:val="69146410"/>
    <w:multiLevelType w:val="hybridMultilevel"/>
    <w:tmpl w:val="271A8818"/>
    <w:lvl w:ilvl="0" w:tplc="92ECE10C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97A35ED"/>
    <w:multiLevelType w:val="hybridMultilevel"/>
    <w:tmpl w:val="14ECED10"/>
    <w:lvl w:ilvl="0" w:tplc="CBB2EC0A">
      <w:start w:val="1"/>
      <w:numFmt w:val="lowerRoman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4B79C0"/>
    <w:multiLevelType w:val="hybridMultilevel"/>
    <w:tmpl w:val="AFC80740"/>
    <w:lvl w:ilvl="0" w:tplc="AD122E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3B4936"/>
    <w:multiLevelType w:val="hybridMultilevel"/>
    <w:tmpl w:val="F272814A"/>
    <w:lvl w:ilvl="0" w:tplc="1809001B">
      <w:start w:val="1"/>
      <w:numFmt w:val="low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FFFFFFFF">
      <w:start w:val="1"/>
      <w:numFmt w:val="lowerRoman"/>
      <w:lvlText w:val="%2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FFFFFFFF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57" w15:restartNumberingAfterBreak="0">
    <w:nsid w:val="706B1B9B"/>
    <w:multiLevelType w:val="hybridMultilevel"/>
    <w:tmpl w:val="4C7EFAB6"/>
    <w:lvl w:ilvl="0" w:tplc="3BFCB73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 w15:restartNumberingAfterBreak="0">
    <w:nsid w:val="734906FB"/>
    <w:multiLevelType w:val="hybridMultilevel"/>
    <w:tmpl w:val="4AE6DC8E"/>
    <w:lvl w:ilvl="0" w:tplc="FFFFFFFF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56150F4"/>
    <w:multiLevelType w:val="hybridMultilevel"/>
    <w:tmpl w:val="8B3289A2"/>
    <w:lvl w:ilvl="0" w:tplc="DEAE5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162515"/>
    <w:multiLevelType w:val="hybridMultilevel"/>
    <w:tmpl w:val="B21203C8"/>
    <w:lvl w:ilvl="0" w:tplc="C91A5F2A">
      <w:start w:val="1"/>
      <w:numFmt w:val="lowerLetter"/>
      <w:lvlText w:val="%1.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83E29D8"/>
    <w:multiLevelType w:val="multilevel"/>
    <w:tmpl w:val="F91AE1A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62" w15:restartNumberingAfterBreak="0">
    <w:nsid w:val="79B267A9"/>
    <w:multiLevelType w:val="hybridMultilevel"/>
    <w:tmpl w:val="2EF01374"/>
    <w:lvl w:ilvl="0" w:tplc="99BEB6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A4C022C"/>
    <w:multiLevelType w:val="hybridMultilevel"/>
    <w:tmpl w:val="1AB4D0D6"/>
    <w:lvl w:ilvl="0" w:tplc="999A3A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BAC4DE4"/>
    <w:multiLevelType w:val="hybridMultilevel"/>
    <w:tmpl w:val="E3804464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23919401">
    <w:abstractNumId w:val="13"/>
  </w:num>
  <w:num w:numId="2" w16cid:durableId="1702782458">
    <w:abstractNumId w:val="21"/>
  </w:num>
  <w:num w:numId="3" w16cid:durableId="20500620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498923">
    <w:abstractNumId w:val="49"/>
  </w:num>
  <w:num w:numId="5" w16cid:durableId="1952426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037227">
    <w:abstractNumId w:val="34"/>
  </w:num>
  <w:num w:numId="7" w16cid:durableId="1492914087">
    <w:abstractNumId w:val="27"/>
  </w:num>
  <w:num w:numId="8" w16cid:durableId="831455638">
    <w:abstractNumId w:val="12"/>
  </w:num>
  <w:num w:numId="9" w16cid:durableId="1334726465">
    <w:abstractNumId w:val="10"/>
  </w:num>
  <w:num w:numId="10" w16cid:durableId="1419401146">
    <w:abstractNumId w:val="47"/>
  </w:num>
  <w:num w:numId="11" w16cid:durableId="2016958970">
    <w:abstractNumId w:val="50"/>
  </w:num>
  <w:num w:numId="12" w16cid:durableId="1314456502">
    <w:abstractNumId w:val="48"/>
  </w:num>
  <w:num w:numId="13" w16cid:durableId="759910735">
    <w:abstractNumId w:val="56"/>
  </w:num>
  <w:num w:numId="14" w16cid:durableId="10113971">
    <w:abstractNumId w:val="23"/>
  </w:num>
  <w:num w:numId="15" w16cid:durableId="1063870670">
    <w:abstractNumId w:val="39"/>
  </w:num>
  <w:num w:numId="16" w16cid:durableId="547231746">
    <w:abstractNumId w:val="5"/>
  </w:num>
  <w:num w:numId="17" w16cid:durableId="1477406983">
    <w:abstractNumId w:val="41"/>
  </w:num>
  <w:num w:numId="18" w16cid:durableId="41052985">
    <w:abstractNumId w:val="1"/>
  </w:num>
  <w:num w:numId="19" w16cid:durableId="1396277082">
    <w:abstractNumId w:val="0"/>
  </w:num>
  <w:num w:numId="20" w16cid:durableId="472216818">
    <w:abstractNumId w:val="43"/>
  </w:num>
  <w:num w:numId="21" w16cid:durableId="1032071348">
    <w:abstractNumId w:val="4"/>
  </w:num>
  <w:num w:numId="22" w16cid:durableId="2087408975">
    <w:abstractNumId w:val="9"/>
  </w:num>
  <w:num w:numId="23" w16cid:durableId="1483421730">
    <w:abstractNumId w:val="22"/>
  </w:num>
  <w:num w:numId="24" w16cid:durableId="268127033">
    <w:abstractNumId w:val="29"/>
  </w:num>
  <w:num w:numId="25" w16cid:durableId="405996402">
    <w:abstractNumId w:val="18"/>
  </w:num>
  <w:num w:numId="26" w16cid:durableId="1129132916">
    <w:abstractNumId w:val="35"/>
  </w:num>
  <w:num w:numId="27" w16cid:durableId="210390128">
    <w:abstractNumId w:val="33"/>
  </w:num>
  <w:num w:numId="28" w16cid:durableId="1345404783">
    <w:abstractNumId w:val="24"/>
  </w:num>
  <w:num w:numId="29" w16cid:durableId="1134953364">
    <w:abstractNumId w:val="54"/>
  </w:num>
  <w:num w:numId="30" w16cid:durableId="1725254654">
    <w:abstractNumId w:val="42"/>
  </w:num>
  <w:num w:numId="31" w16cid:durableId="2074233503">
    <w:abstractNumId w:val="26"/>
  </w:num>
  <w:num w:numId="32" w16cid:durableId="144595072">
    <w:abstractNumId w:val="44"/>
  </w:num>
  <w:num w:numId="33" w16cid:durableId="764110704">
    <w:abstractNumId w:val="51"/>
  </w:num>
  <w:num w:numId="34" w16cid:durableId="854029077">
    <w:abstractNumId w:val="2"/>
  </w:num>
  <w:num w:numId="35" w16cid:durableId="1461847454">
    <w:abstractNumId w:val="20"/>
  </w:num>
  <w:num w:numId="36" w16cid:durableId="216285048">
    <w:abstractNumId w:val="52"/>
  </w:num>
  <w:num w:numId="37" w16cid:durableId="237862550">
    <w:abstractNumId w:val="15"/>
  </w:num>
  <w:num w:numId="38" w16cid:durableId="244725558">
    <w:abstractNumId w:val="62"/>
  </w:num>
  <w:num w:numId="39" w16cid:durableId="1597716259">
    <w:abstractNumId w:val="59"/>
  </w:num>
  <w:num w:numId="40" w16cid:durableId="411245701">
    <w:abstractNumId w:val="11"/>
  </w:num>
  <w:num w:numId="41" w16cid:durableId="282033896">
    <w:abstractNumId w:val="7"/>
  </w:num>
  <w:num w:numId="42" w16cid:durableId="52699148">
    <w:abstractNumId w:val="53"/>
  </w:num>
  <w:num w:numId="43" w16cid:durableId="1403336250">
    <w:abstractNumId w:val="46"/>
  </w:num>
  <w:num w:numId="44" w16cid:durableId="2147232748">
    <w:abstractNumId w:val="60"/>
  </w:num>
  <w:num w:numId="45" w16cid:durableId="184369429">
    <w:abstractNumId w:val="6"/>
  </w:num>
  <w:num w:numId="46" w16cid:durableId="1854414914">
    <w:abstractNumId w:val="30"/>
  </w:num>
  <w:num w:numId="47" w16cid:durableId="323438957">
    <w:abstractNumId w:val="63"/>
  </w:num>
  <w:num w:numId="48" w16cid:durableId="124735024">
    <w:abstractNumId w:val="37"/>
  </w:num>
  <w:num w:numId="49" w16cid:durableId="1998531192">
    <w:abstractNumId w:val="31"/>
  </w:num>
  <w:num w:numId="50" w16cid:durableId="1214460003">
    <w:abstractNumId w:val="57"/>
  </w:num>
  <w:num w:numId="51" w16cid:durableId="1728917118">
    <w:abstractNumId w:val="28"/>
  </w:num>
  <w:num w:numId="52" w16cid:durableId="274944711">
    <w:abstractNumId w:val="8"/>
  </w:num>
  <w:num w:numId="53" w16cid:durableId="1449927566">
    <w:abstractNumId w:val="17"/>
  </w:num>
  <w:num w:numId="54" w16cid:durableId="2123451642">
    <w:abstractNumId w:val="16"/>
  </w:num>
  <w:num w:numId="55" w16cid:durableId="1477993595">
    <w:abstractNumId w:val="64"/>
  </w:num>
  <w:num w:numId="56" w16cid:durableId="447429158">
    <w:abstractNumId w:val="45"/>
  </w:num>
  <w:num w:numId="57" w16cid:durableId="1687053144">
    <w:abstractNumId w:val="55"/>
  </w:num>
  <w:num w:numId="58" w16cid:durableId="259142271">
    <w:abstractNumId w:val="14"/>
  </w:num>
  <w:num w:numId="59" w16cid:durableId="1269849193">
    <w:abstractNumId w:val="25"/>
  </w:num>
  <w:num w:numId="60" w16cid:durableId="1346396669">
    <w:abstractNumId w:val="61"/>
  </w:num>
  <w:num w:numId="61" w16cid:durableId="1539318911">
    <w:abstractNumId w:val="38"/>
  </w:num>
  <w:num w:numId="62" w16cid:durableId="1563326416">
    <w:abstractNumId w:val="19"/>
  </w:num>
  <w:num w:numId="63" w16cid:durableId="728844894">
    <w:abstractNumId w:val="3"/>
  </w:num>
  <w:num w:numId="64" w16cid:durableId="1974291356">
    <w:abstractNumId w:val="58"/>
  </w:num>
  <w:num w:numId="65" w16cid:durableId="1573730502">
    <w:abstractNumId w:val="32"/>
  </w:num>
  <w:num w:numId="66" w16cid:durableId="180599882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20"/>
  <w:hyphenationZone w:val="425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0442F5"/>
    <w:rsid w:val="00001A9C"/>
    <w:rsid w:val="0000461B"/>
    <w:rsid w:val="00004DA7"/>
    <w:rsid w:val="00011908"/>
    <w:rsid w:val="0001211F"/>
    <w:rsid w:val="00012F14"/>
    <w:rsid w:val="00015204"/>
    <w:rsid w:val="00015E2B"/>
    <w:rsid w:val="00016884"/>
    <w:rsid w:val="00016924"/>
    <w:rsid w:val="00020ECB"/>
    <w:rsid w:val="0002251B"/>
    <w:rsid w:val="000236B2"/>
    <w:rsid w:val="00026BB7"/>
    <w:rsid w:val="00026DCF"/>
    <w:rsid w:val="00030283"/>
    <w:rsid w:val="000314D8"/>
    <w:rsid w:val="00033005"/>
    <w:rsid w:val="00034704"/>
    <w:rsid w:val="000369C2"/>
    <w:rsid w:val="000371A5"/>
    <w:rsid w:val="00041455"/>
    <w:rsid w:val="00042D7B"/>
    <w:rsid w:val="0004325C"/>
    <w:rsid w:val="000442F5"/>
    <w:rsid w:val="0004464A"/>
    <w:rsid w:val="0004513C"/>
    <w:rsid w:val="000456D8"/>
    <w:rsid w:val="00046FE3"/>
    <w:rsid w:val="000508F0"/>
    <w:rsid w:val="00050EB9"/>
    <w:rsid w:val="00051090"/>
    <w:rsid w:val="000531F9"/>
    <w:rsid w:val="00054C3D"/>
    <w:rsid w:val="00054C7D"/>
    <w:rsid w:val="000575C3"/>
    <w:rsid w:val="00062608"/>
    <w:rsid w:val="00067138"/>
    <w:rsid w:val="0006798B"/>
    <w:rsid w:val="00074701"/>
    <w:rsid w:val="000770CD"/>
    <w:rsid w:val="000812C1"/>
    <w:rsid w:val="00082E97"/>
    <w:rsid w:val="00086C14"/>
    <w:rsid w:val="00095D42"/>
    <w:rsid w:val="00096354"/>
    <w:rsid w:val="000A055E"/>
    <w:rsid w:val="000A276B"/>
    <w:rsid w:val="000A5825"/>
    <w:rsid w:val="000A5C13"/>
    <w:rsid w:val="000B0AAF"/>
    <w:rsid w:val="000B1BDB"/>
    <w:rsid w:val="000B4557"/>
    <w:rsid w:val="000B46CA"/>
    <w:rsid w:val="000B51A9"/>
    <w:rsid w:val="000C3517"/>
    <w:rsid w:val="000C614B"/>
    <w:rsid w:val="000C64AD"/>
    <w:rsid w:val="000D23DD"/>
    <w:rsid w:val="000D3C54"/>
    <w:rsid w:val="000D7371"/>
    <w:rsid w:val="000E7DFF"/>
    <w:rsid w:val="000F176E"/>
    <w:rsid w:val="00100464"/>
    <w:rsid w:val="00102684"/>
    <w:rsid w:val="00102E32"/>
    <w:rsid w:val="00105CC5"/>
    <w:rsid w:val="00115C85"/>
    <w:rsid w:val="001169CB"/>
    <w:rsid w:val="00117CBD"/>
    <w:rsid w:val="00120336"/>
    <w:rsid w:val="0012340C"/>
    <w:rsid w:val="00124329"/>
    <w:rsid w:val="00124B6F"/>
    <w:rsid w:val="00125122"/>
    <w:rsid w:val="00126334"/>
    <w:rsid w:val="001368AC"/>
    <w:rsid w:val="0013791D"/>
    <w:rsid w:val="00137C03"/>
    <w:rsid w:val="00140522"/>
    <w:rsid w:val="00142B91"/>
    <w:rsid w:val="00143ABF"/>
    <w:rsid w:val="00144C96"/>
    <w:rsid w:val="001474B5"/>
    <w:rsid w:val="0015340B"/>
    <w:rsid w:val="001548B6"/>
    <w:rsid w:val="001555F0"/>
    <w:rsid w:val="001620DB"/>
    <w:rsid w:val="001622D8"/>
    <w:rsid w:val="00164ADE"/>
    <w:rsid w:val="0016750C"/>
    <w:rsid w:val="00170FBF"/>
    <w:rsid w:val="0017251B"/>
    <w:rsid w:val="00173E14"/>
    <w:rsid w:val="001759B4"/>
    <w:rsid w:val="00175C89"/>
    <w:rsid w:val="0017744F"/>
    <w:rsid w:val="00177552"/>
    <w:rsid w:val="00181BB0"/>
    <w:rsid w:val="0018463C"/>
    <w:rsid w:val="001874A6"/>
    <w:rsid w:val="00191564"/>
    <w:rsid w:val="00193E48"/>
    <w:rsid w:val="00196847"/>
    <w:rsid w:val="00197CE8"/>
    <w:rsid w:val="001A2EC1"/>
    <w:rsid w:val="001A6258"/>
    <w:rsid w:val="001A7BBF"/>
    <w:rsid w:val="001A7CAC"/>
    <w:rsid w:val="001B0D9B"/>
    <w:rsid w:val="001B645C"/>
    <w:rsid w:val="001B6590"/>
    <w:rsid w:val="001B6DD1"/>
    <w:rsid w:val="001C27EF"/>
    <w:rsid w:val="001C4D88"/>
    <w:rsid w:val="001C5A50"/>
    <w:rsid w:val="001C7129"/>
    <w:rsid w:val="001D3382"/>
    <w:rsid w:val="001D4EAD"/>
    <w:rsid w:val="001D69A5"/>
    <w:rsid w:val="001D7EE4"/>
    <w:rsid w:val="001E6859"/>
    <w:rsid w:val="001E731A"/>
    <w:rsid w:val="001F17A4"/>
    <w:rsid w:val="001F56DC"/>
    <w:rsid w:val="001F7806"/>
    <w:rsid w:val="0020109B"/>
    <w:rsid w:val="0020702F"/>
    <w:rsid w:val="0020770B"/>
    <w:rsid w:val="00207D52"/>
    <w:rsid w:val="00210BE0"/>
    <w:rsid w:val="00211A92"/>
    <w:rsid w:val="00222274"/>
    <w:rsid w:val="0022598D"/>
    <w:rsid w:val="00230614"/>
    <w:rsid w:val="00232CF6"/>
    <w:rsid w:val="0023543E"/>
    <w:rsid w:val="00235A26"/>
    <w:rsid w:val="002464D3"/>
    <w:rsid w:val="00250081"/>
    <w:rsid w:val="00250481"/>
    <w:rsid w:val="0025374D"/>
    <w:rsid w:val="002565B7"/>
    <w:rsid w:val="00256F72"/>
    <w:rsid w:val="00263A65"/>
    <w:rsid w:val="00264FE6"/>
    <w:rsid w:val="00265702"/>
    <w:rsid w:val="002727F7"/>
    <w:rsid w:val="00277BC0"/>
    <w:rsid w:val="00280D61"/>
    <w:rsid w:val="00283496"/>
    <w:rsid w:val="00284ADA"/>
    <w:rsid w:val="0029002E"/>
    <w:rsid w:val="0029110A"/>
    <w:rsid w:val="00291ACC"/>
    <w:rsid w:val="002928CD"/>
    <w:rsid w:val="00293076"/>
    <w:rsid w:val="002933E1"/>
    <w:rsid w:val="00295028"/>
    <w:rsid w:val="00295065"/>
    <w:rsid w:val="00295C90"/>
    <w:rsid w:val="00296518"/>
    <w:rsid w:val="0029714D"/>
    <w:rsid w:val="002A11D4"/>
    <w:rsid w:val="002A2303"/>
    <w:rsid w:val="002A3B51"/>
    <w:rsid w:val="002B0498"/>
    <w:rsid w:val="002B0F24"/>
    <w:rsid w:val="002B4509"/>
    <w:rsid w:val="002B52B3"/>
    <w:rsid w:val="002B70C6"/>
    <w:rsid w:val="002C0264"/>
    <w:rsid w:val="002C1559"/>
    <w:rsid w:val="002C4CEE"/>
    <w:rsid w:val="002C5098"/>
    <w:rsid w:val="002C6636"/>
    <w:rsid w:val="002C6BE5"/>
    <w:rsid w:val="002D014F"/>
    <w:rsid w:val="002D3277"/>
    <w:rsid w:val="002D67D0"/>
    <w:rsid w:val="002D6F97"/>
    <w:rsid w:val="002E10AC"/>
    <w:rsid w:val="002E1B91"/>
    <w:rsid w:val="002F16BD"/>
    <w:rsid w:val="002F4845"/>
    <w:rsid w:val="002F4F73"/>
    <w:rsid w:val="002F616D"/>
    <w:rsid w:val="0030040A"/>
    <w:rsid w:val="00304535"/>
    <w:rsid w:val="00305DC0"/>
    <w:rsid w:val="00307FC7"/>
    <w:rsid w:val="00312A8F"/>
    <w:rsid w:val="00313947"/>
    <w:rsid w:val="003151F7"/>
    <w:rsid w:val="00321140"/>
    <w:rsid w:val="00321874"/>
    <w:rsid w:val="00324224"/>
    <w:rsid w:val="00325713"/>
    <w:rsid w:val="00326F40"/>
    <w:rsid w:val="00327439"/>
    <w:rsid w:val="00332775"/>
    <w:rsid w:val="00332A85"/>
    <w:rsid w:val="00332C0F"/>
    <w:rsid w:val="003342BE"/>
    <w:rsid w:val="003358B3"/>
    <w:rsid w:val="00336A87"/>
    <w:rsid w:val="00336BC7"/>
    <w:rsid w:val="00341C6B"/>
    <w:rsid w:val="00343948"/>
    <w:rsid w:val="00345523"/>
    <w:rsid w:val="003458AA"/>
    <w:rsid w:val="00346146"/>
    <w:rsid w:val="003469DB"/>
    <w:rsid w:val="00354525"/>
    <w:rsid w:val="00355ECB"/>
    <w:rsid w:val="003618C5"/>
    <w:rsid w:val="0036238A"/>
    <w:rsid w:val="0036428C"/>
    <w:rsid w:val="00364FC0"/>
    <w:rsid w:val="00365A9A"/>
    <w:rsid w:val="003664A8"/>
    <w:rsid w:val="00372914"/>
    <w:rsid w:val="00373272"/>
    <w:rsid w:val="00374DC2"/>
    <w:rsid w:val="00374F76"/>
    <w:rsid w:val="003764EE"/>
    <w:rsid w:val="003765A5"/>
    <w:rsid w:val="00381583"/>
    <w:rsid w:val="00381BBC"/>
    <w:rsid w:val="00384B34"/>
    <w:rsid w:val="00387A82"/>
    <w:rsid w:val="0039008E"/>
    <w:rsid w:val="00391015"/>
    <w:rsid w:val="00392A3E"/>
    <w:rsid w:val="00393A93"/>
    <w:rsid w:val="0039646D"/>
    <w:rsid w:val="00396BCE"/>
    <w:rsid w:val="003A66DE"/>
    <w:rsid w:val="003B0EFB"/>
    <w:rsid w:val="003B2790"/>
    <w:rsid w:val="003B58FE"/>
    <w:rsid w:val="003C1D16"/>
    <w:rsid w:val="003C1D18"/>
    <w:rsid w:val="003C33B1"/>
    <w:rsid w:val="003C4F59"/>
    <w:rsid w:val="003C668A"/>
    <w:rsid w:val="003D0AAE"/>
    <w:rsid w:val="003D433B"/>
    <w:rsid w:val="003D476F"/>
    <w:rsid w:val="003D4D77"/>
    <w:rsid w:val="003E2897"/>
    <w:rsid w:val="003E4266"/>
    <w:rsid w:val="003E6E6B"/>
    <w:rsid w:val="003F629D"/>
    <w:rsid w:val="003F72C9"/>
    <w:rsid w:val="00401B69"/>
    <w:rsid w:val="00403BCE"/>
    <w:rsid w:val="004065A8"/>
    <w:rsid w:val="00407C0A"/>
    <w:rsid w:val="00411A2F"/>
    <w:rsid w:val="004133BD"/>
    <w:rsid w:val="00414335"/>
    <w:rsid w:val="004152C3"/>
    <w:rsid w:val="00415614"/>
    <w:rsid w:val="004165E0"/>
    <w:rsid w:val="00416D76"/>
    <w:rsid w:val="00421F63"/>
    <w:rsid w:val="004261E0"/>
    <w:rsid w:val="0042660D"/>
    <w:rsid w:val="00427727"/>
    <w:rsid w:val="00427762"/>
    <w:rsid w:val="00431D32"/>
    <w:rsid w:val="00432738"/>
    <w:rsid w:val="0043413B"/>
    <w:rsid w:val="00435C49"/>
    <w:rsid w:val="00441F0B"/>
    <w:rsid w:val="0044517C"/>
    <w:rsid w:val="00445F48"/>
    <w:rsid w:val="004473F5"/>
    <w:rsid w:val="004525DA"/>
    <w:rsid w:val="00452F5A"/>
    <w:rsid w:val="004556D2"/>
    <w:rsid w:val="00471B74"/>
    <w:rsid w:val="004755F4"/>
    <w:rsid w:val="004776A4"/>
    <w:rsid w:val="0048026D"/>
    <w:rsid w:val="004810CA"/>
    <w:rsid w:val="00483293"/>
    <w:rsid w:val="00483882"/>
    <w:rsid w:val="00484374"/>
    <w:rsid w:val="00493601"/>
    <w:rsid w:val="0049736F"/>
    <w:rsid w:val="00497548"/>
    <w:rsid w:val="00497669"/>
    <w:rsid w:val="004A6D40"/>
    <w:rsid w:val="004B0C34"/>
    <w:rsid w:val="004B10B5"/>
    <w:rsid w:val="004B2EF3"/>
    <w:rsid w:val="004B5C2A"/>
    <w:rsid w:val="004B74BC"/>
    <w:rsid w:val="004C0064"/>
    <w:rsid w:val="004D061A"/>
    <w:rsid w:val="004D1161"/>
    <w:rsid w:val="004D14A6"/>
    <w:rsid w:val="004D34AD"/>
    <w:rsid w:val="004D6830"/>
    <w:rsid w:val="004D6B12"/>
    <w:rsid w:val="004E0647"/>
    <w:rsid w:val="004E1CCE"/>
    <w:rsid w:val="004F16F9"/>
    <w:rsid w:val="004F192A"/>
    <w:rsid w:val="004F1FC4"/>
    <w:rsid w:val="004F3B88"/>
    <w:rsid w:val="004F668D"/>
    <w:rsid w:val="005003AE"/>
    <w:rsid w:val="00501DBF"/>
    <w:rsid w:val="0050219C"/>
    <w:rsid w:val="005021C4"/>
    <w:rsid w:val="00502FC2"/>
    <w:rsid w:val="005039EF"/>
    <w:rsid w:val="00503FD6"/>
    <w:rsid w:val="00504F2E"/>
    <w:rsid w:val="00506E88"/>
    <w:rsid w:val="00507D75"/>
    <w:rsid w:val="005105A1"/>
    <w:rsid w:val="0051165C"/>
    <w:rsid w:val="00512A31"/>
    <w:rsid w:val="0051324D"/>
    <w:rsid w:val="00514375"/>
    <w:rsid w:val="00523E17"/>
    <w:rsid w:val="00526607"/>
    <w:rsid w:val="00526ADF"/>
    <w:rsid w:val="00526E16"/>
    <w:rsid w:val="0053006D"/>
    <w:rsid w:val="00532832"/>
    <w:rsid w:val="005333AD"/>
    <w:rsid w:val="00533AE4"/>
    <w:rsid w:val="005440AC"/>
    <w:rsid w:val="0054472A"/>
    <w:rsid w:val="00544B04"/>
    <w:rsid w:val="00545B2F"/>
    <w:rsid w:val="00546CDE"/>
    <w:rsid w:val="005474DD"/>
    <w:rsid w:val="005536DD"/>
    <w:rsid w:val="00554E1F"/>
    <w:rsid w:val="00557962"/>
    <w:rsid w:val="00562354"/>
    <w:rsid w:val="00564D5B"/>
    <w:rsid w:val="00566315"/>
    <w:rsid w:val="00571910"/>
    <w:rsid w:val="0057276B"/>
    <w:rsid w:val="0057408B"/>
    <w:rsid w:val="00574327"/>
    <w:rsid w:val="00576C43"/>
    <w:rsid w:val="00577AF5"/>
    <w:rsid w:val="005832CC"/>
    <w:rsid w:val="0058489E"/>
    <w:rsid w:val="005902D7"/>
    <w:rsid w:val="00592A5F"/>
    <w:rsid w:val="005A370E"/>
    <w:rsid w:val="005A412F"/>
    <w:rsid w:val="005A4D83"/>
    <w:rsid w:val="005A745F"/>
    <w:rsid w:val="005B0B46"/>
    <w:rsid w:val="005B1A69"/>
    <w:rsid w:val="005B2FED"/>
    <w:rsid w:val="005B40D5"/>
    <w:rsid w:val="005B7579"/>
    <w:rsid w:val="005B7DF0"/>
    <w:rsid w:val="005C0DBD"/>
    <w:rsid w:val="005C2ABA"/>
    <w:rsid w:val="005C5481"/>
    <w:rsid w:val="005C6138"/>
    <w:rsid w:val="005C6594"/>
    <w:rsid w:val="005C7B32"/>
    <w:rsid w:val="005D3221"/>
    <w:rsid w:val="005E0688"/>
    <w:rsid w:val="005E3625"/>
    <w:rsid w:val="005E611A"/>
    <w:rsid w:val="005F0397"/>
    <w:rsid w:val="005F0E0A"/>
    <w:rsid w:val="005F4A56"/>
    <w:rsid w:val="005F6E6B"/>
    <w:rsid w:val="00606D3F"/>
    <w:rsid w:val="00611562"/>
    <w:rsid w:val="00613352"/>
    <w:rsid w:val="00613560"/>
    <w:rsid w:val="0061499B"/>
    <w:rsid w:val="00615130"/>
    <w:rsid w:val="006209FA"/>
    <w:rsid w:val="00622E98"/>
    <w:rsid w:val="00627715"/>
    <w:rsid w:val="00633726"/>
    <w:rsid w:val="00633A78"/>
    <w:rsid w:val="0064082D"/>
    <w:rsid w:val="006445C3"/>
    <w:rsid w:val="006461A6"/>
    <w:rsid w:val="00657E0E"/>
    <w:rsid w:val="00660F14"/>
    <w:rsid w:val="00661860"/>
    <w:rsid w:val="00663008"/>
    <w:rsid w:val="00663F9A"/>
    <w:rsid w:val="00665B4F"/>
    <w:rsid w:val="006668D8"/>
    <w:rsid w:val="00671053"/>
    <w:rsid w:val="0067348B"/>
    <w:rsid w:val="006773CE"/>
    <w:rsid w:val="00677805"/>
    <w:rsid w:val="00677E67"/>
    <w:rsid w:val="006867A4"/>
    <w:rsid w:val="006906AE"/>
    <w:rsid w:val="00697188"/>
    <w:rsid w:val="00697BDC"/>
    <w:rsid w:val="006B0930"/>
    <w:rsid w:val="006B1712"/>
    <w:rsid w:val="006B2D40"/>
    <w:rsid w:val="006B59A2"/>
    <w:rsid w:val="006B6657"/>
    <w:rsid w:val="006B7161"/>
    <w:rsid w:val="006D10E1"/>
    <w:rsid w:val="006D38D6"/>
    <w:rsid w:val="006D6281"/>
    <w:rsid w:val="006D6AED"/>
    <w:rsid w:val="006E34F7"/>
    <w:rsid w:val="006E4420"/>
    <w:rsid w:val="006E59A1"/>
    <w:rsid w:val="006F256F"/>
    <w:rsid w:val="006F2898"/>
    <w:rsid w:val="006F55B6"/>
    <w:rsid w:val="006F666A"/>
    <w:rsid w:val="006F723B"/>
    <w:rsid w:val="00701326"/>
    <w:rsid w:val="007019E7"/>
    <w:rsid w:val="0070514E"/>
    <w:rsid w:val="00710029"/>
    <w:rsid w:val="00710EED"/>
    <w:rsid w:val="00711243"/>
    <w:rsid w:val="007123ED"/>
    <w:rsid w:val="00717049"/>
    <w:rsid w:val="0071799C"/>
    <w:rsid w:val="00720766"/>
    <w:rsid w:val="00720951"/>
    <w:rsid w:val="007210F3"/>
    <w:rsid w:val="0072121D"/>
    <w:rsid w:val="007237B8"/>
    <w:rsid w:val="0072538B"/>
    <w:rsid w:val="007257F0"/>
    <w:rsid w:val="00726FB4"/>
    <w:rsid w:val="007302C9"/>
    <w:rsid w:val="007315B8"/>
    <w:rsid w:val="00734FD0"/>
    <w:rsid w:val="00740C50"/>
    <w:rsid w:val="00741A7A"/>
    <w:rsid w:val="00741C93"/>
    <w:rsid w:val="00745B62"/>
    <w:rsid w:val="0074772E"/>
    <w:rsid w:val="00750C29"/>
    <w:rsid w:val="00752831"/>
    <w:rsid w:val="00752850"/>
    <w:rsid w:val="00753463"/>
    <w:rsid w:val="00753B93"/>
    <w:rsid w:val="00754C35"/>
    <w:rsid w:val="0075622E"/>
    <w:rsid w:val="007629B8"/>
    <w:rsid w:val="00763003"/>
    <w:rsid w:val="00764CD2"/>
    <w:rsid w:val="0077075F"/>
    <w:rsid w:val="00770868"/>
    <w:rsid w:val="00770BD4"/>
    <w:rsid w:val="00770D15"/>
    <w:rsid w:val="007746DD"/>
    <w:rsid w:val="007754A5"/>
    <w:rsid w:val="00775A33"/>
    <w:rsid w:val="00775A7E"/>
    <w:rsid w:val="0078387C"/>
    <w:rsid w:val="00785906"/>
    <w:rsid w:val="00795B90"/>
    <w:rsid w:val="007979CA"/>
    <w:rsid w:val="007A002C"/>
    <w:rsid w:val="007A4DBB"/>
    <w:rsid w:val="007A56A1"/>
    <w:rsid w:val="007A5DD1"/>
    <w:rsid w:val="007A5F19"/>
    <w:rsid w:val="007A704E"/>
    <w:rsid w:val="007B1CF1"/>
    <w:rsid w:val="007B485D"/>
    <w:rsid w:val="007B706A"/>
    <w:rsid w:val="007B7B48"/>
    <w:rsid w:val="007C0A44"/>
    <w:rsid w:val="007C0C88"/>
    <w:rsid w:val="007C4E0C"/>
    <w:rsid w:val="007C72F6"/>
    <w:rsid w:val="007D1E08"/>
    <w:rsid w:val="007D3544"/>
    <w:rsid w:val="007E3BA1"/>
    <w:rsid w:val="007E434C"/>
    <w:rsid w:val="007E4583"/>
    <w:rsid w:val="007F0A5C"/>
    <w:rsid w:val="007F2769"/>
    <w:rsid w:val="007F2D9B"/>
    <w:rsid w:val="007F5375"/>
    <w:rsid w:val="007F7B2E"/>
    <w:rsid w:val="00801D5A"/>
    <w:rsid w:val="00802D55"/>
    <w:rsid w:val="00803223"/>
    <w:rsid w:val="00805640"/>
    <w:rsid w:val="0080609B"/>
    <w:rsid w:val="00807298"/>
    <w:rsid w:val="0080741F"/>
    <w:rsid w:val="00807B85"/>
    <w:rsid w:val="00807C9E"/>
    <w:rsid w:val="00812A88"/>
    <w:rsid w:val="00815E69"/>
    <w:rsid w:val="00816A2B"/>
    <w:rsid w:val="008172E2"/>
    <w:rsid w:val="00820985"/>
    <w:rsid w:val="00821F07"/>
    <w:rsid w:val="00825B94"/>
    <w:rsid w:val="0082799F"/>
    <w:rsid w:val="008309FC"/>
    <w:rsid w:val="008317D4"/>
    <w:rsid w:val="008334E3"/>
    <w:rsid w:val="00833705"/>
    <w:rsid w:val="00836324"/>
    <w:rsid w:val="00836816"/>
    <w:rsid w:val="00843D95"/>
    <w:rsid w:val="00846B27"/>
    <w:rsid w:val="00846CE7"/>
    <w:rsid w:val="008515FB"/>
    <w:rsid w:val="0085208E"/>
    <w:rsid w:val="00853AC4"/>
    <w:rsid w:val="00860B73"/>
    <w:rsid w:val="008618B1"/>
    <w:rsid w:val="00861D9F"/>
    <w:rsid w:val="00863406"/>
    <w:rsid w:val="00863626"/>
    <w:rsid w:val="00864DCD"/>
    <w:rsid w:val="00865A9D"/>
    <w:rsid w:val="00866C66"/>
    <w:rsid w:val="008674C0"/>
    <w:rsid w:val="00870C6A"/>
    <w:rsid w:val="0087287D"/>
    <w:rsid w:val="008806FA"/>
    <w:rsid w:val="008828D4"/>
    <w:rsid w:val="008848B5"/>
    <w:rsid w:val="008861D9"/>
    <w:rsid w:val="008902B1"/>
    <w:rsid w:val="00890F0D"/>
    <w:rsid w:val="00892259"/>
    <w:rsid w:val="008948A5"/>
    <w:rsid w:val="00897919"/>
    <w:rsid w:val="008A18BC"/>
    <w:rsid w:val="008A3CB7"/>
    <w:rsid w:val="008A559D"/>
    <w:rsid w:val="008A5B68"/>
    <w:rsid w:val="008A7E93"/>
    <w:rsid w:val="008B16AB"/>
    <w:rsid w:val="008B1CA3"/>
    <w:rsid w:val="008B1E43"/>
    <w:rsid w:val="008B74DD"/>
    <w:rsid w:val="008C3068"/>
    <w:rsid w:val="008C3AB2"/>
    <w:rsid w:val="008C5759"/>
    <w:rsid w:val="008D1DCC"/>
    <w:rsid w:val="008D2AB4"/>
    <w:rsid w:val="008D37F9"/>
    <w:rsid w:val="008D5571"/>
    <w:rsid w:val="008D71EF"/>
    <w:rsid w:val="008E0275"/>
    <w:rsid w:val="008E3BF9"/>
    <w:rsid w:val="008E4062"/>
    <w:rsid w:val="008E4E94"/>
    <w:rsid w:val="008F12AC"/>
    <w:rsid w:val="008F26C5"/>
    <w:rsid w:val="008F2CDE"/>
    <w:rsid w:val="008F5A1E"/>
    <w:rsid w:val="009000F0"/>
    <w:rsid w:val="00900825"/>
    <w:rsid w:val="0090138C"/>
    <w:rsid w:val="009013F3"/>
    <w:rsid w:val="00904729"/>
    <w:rsid w:val="00904979"/>
    <w:rsid w:val="009159A7"/>
    <w:rsid w:val="009162D0"/>
    <w:rsid w:val="0091739B"/>
    <w:rsid w:val="00920B9C"/>
    <w:rsid w:val="00921247"/>
    <w:rsid w:val="0092172E"/>
    <w:rsid w:val="00921ACD"/>
    <w:rsid w:val="00925EF8"/>
    <w:rsid w:val="0093046D"/>
    <w:rsid w:val="009329F1"/>
    <w:rsid w:val="00932D56"/>
    <w:rsid w:val="00936573"/>
    <w:rsid w:val="009368F1"/>
    <w:rsid w:val="009412D3"/>
    <w:rsid w:val="0094429F"/>
    <w:rsid w:val="00945368"/>
    <w:rsid w:val="00947BCE"/>
    <w:rsid w:val="009546BE"/>
    <w:rsid w:val="00957D47"/>
    <w:rsid w:val="00961876"/>
    <w:rsid w:val="009618E4"/>
    <w:rsid w:val="0096537D"/>
    <w:rsid w:val="0096752D"/>
    <w:rsid w:val="00970EF3"/>
    <w:rsid w:val="0097238E"/>
    <w:rsid w:val="00974667"/>
    <w:rsid w:val="00980D9E"/>
    <w:rsid w:val="009813AF"/>
    <w:rsid w:val="00981863"/>
    <w:rsid w:val="009861F5"/>
    <w:rsid w:val="0098722B"/>
    <w:rsid w:val="009872EE"/>
    <w:rsid w:val="009916D5"/>
    <w:rsid w:val="009965BA"/>
    <w:rsid w:val="00996699"/>
    <w:rsid w:val="009A606D"/>
    <w:rsid w:val="009B176A"/>
    <w:rsid w:val="009B23EB"/>
    <w:rsid w:val="009B2A4B"/>
    <w:rsid w:val="009B2F61"/>
    <w:rsid w:val="009B6EA8"/>
    <w:rsid w:val="009C221E"/>
    <w:rsid w:val="009C275F"/>
    <w:rsid w:val="009C496C"/>
    <w:rsid w:val="009D0772"/>
    <w:rsid w:val="009D15AC"/>
    <w:rsid w:val="009D22F2"/>
    <w:rsid w:val="009D3BC5"/>
    <w:rsid w:val="009D65D3"/>
    <w:rsid w:val="009D6AD7"/>
    <w:rsid w:val="009E2C04"/>
    <w:rsid w:val="009E2EA1"/>
    <w:rsid w:val="009E309F"/>
    <w:rsid w:val="009E5AE0"/>
    <w:rsid w:val="009F31BA"/>
    <w:rsid w:val="009F4041"/>
    <w:rsid w:val="00A04EED"/>
    <w:rsid w:val="00A05235"/>
    <w:rsid w:val="00A141E9"/>
    <w:rsid w:val="00A20B6A"/>
    <w:rsid w:val="00A2108A"/>
    <w:rsid w:val="00A22402"/>
    <w:rsid w:val="00A255BF"/>
    <w:rsid w:val="00A25D46"/>
    <w:rsid w:val="00A27600"/>
    <w:rsid w:val="00A27E0C"/>
    <w:rsid w:val="00A33BDE"/>
    <w:rsid w:val="00A35E9E"/>
    <w:rsid w:val="00A40CA2"/>
    <w:rsid w:val="00A42834"/>
    <w:rsid w:val="00A45079"/>
    <w:rsid w:val="00A51C4A"/>
    <w:rsid w:val="00A54EFB"/>
    <w:rsid w:val="00A56FE6"/>
    <w:rsid w:val="00A6007A"/>
    <w:rsid w:val="00A66FA2"/>
    <w:rsid w:val="00A70104"/>
    <w:rsid w:val="00A77677"/>
    <w:rsid w:val="00A77F76"/>
    <w:rsid w:val="00A80229"/>
    <w:rsid w:val="00A84D63"/>
    <w:rsid w:val="00A86D0B"/>
    <w:rsid w:val="00A94C5F"/>
    <w:rsid w:val="00AA0C07"/>
    <w:rsid w:val="00AA1CA7"/>
    <w:rsid w:val="00AA251D"/>
    <w:rsid w:val="00AA36A9"/>
    <w:rsid w:val="00AA6F85"/>
    <w:rsid w:val="00AA7DB4"/>
    <w:rsid w:val="00AB322D"/>
    <w:rsid w:val="00AB47A1"/>
    <w:rsid w:val="00AB7338"/>
    <w:rsid w:val="00AB745F"/>
    <w:rsid w:val="00AC16A7"/>
    <w:rsid w:val="00AC29A1"/>
    <w:rsid w:val="00AC5B96"/>
    <w:rsid w:val="00AD01B1"/>
    <w:rsid w:val="00AD0976"/>
    <w:rsid w:val="00AD3A3E"/>
    <w:rsid w:val="00AE4020"/>
    <w:rsid w:val="00AF1422"/>
    <w:rsid w:val="00AF203B"/>
    <w:rsid w:val="00AF2A26"/>
    <w:rsid w:val="00AF3BAB"/>
    <w:rsid w:val="00AF3E4A"/>
    <w:rsid w:val="00AF520F"/>
    <w:rsid w:val="00B00F48"/>
    <w:rsid w:val="00B049F9"/>
    <w:rsid w:val="00B05591"/>
    <w:rsid w:val="00B07E32"/>
    <w:rsid w:val="00B1273A"/>
    <w:rsid w:val="00B13D02"/>
    <w:rsid w:val="00B13E24"/>
    <w:rsid w:val="00B15313"/>
    <w:rsid w:val="00B2002A"/>
    <w:rsid w:val="00B21377"/>
    <w:rsid w:val="00B246B7"/>
    <w:rsid w:val="00B249F6"/>
    <w:rsid w:val="00B24D9B"/>
    <w:rsid w:val="00B2631C"/>
    <w:rsid w:val="00B26532"/>
    <w:rsid w:val="00B27DBF"/>
    <w:rsid w:val="00B3342F"/>
    <w:rsid w:val="00B35F1C"/>
    <w:rsid w:val="00B418CC"/>
    <w:rsid w:val="00B420EA"/>
    <w:rsid w:val="00B42D95"/>
    <w:rsid w:val="00B45260"/>
    <w:rsid w:val="00B457F8"/>
    <w:rsid w:val="00B47CDB"/>
    <w:rsid w:val="00B47D6F"/>
    <w:rsid w:val="00B54884"/>
    <w:rsid w:val="00B548AC"/>
    <w:rsid w:val="00B568A2"/>
    <w:rsid w:val="00B56D14"/>
    <w:rsid w:val="00B578A9"/>
    <w:rsid w:val="00B615B4"/>
    <w:rsid w:val="00B62EDD"/>
    <w:rsid w:val="00B70355"/>
    <w:rsid w:val="00B72939"/>
    <w:rsid w:val="00B76185"/>
    <w:rsid w:val="00B76FB9"/>
    <w:rsid w:val="00B7766A"/>
    <w:rsid w:val="00B815E3"/>
    <w:rsid w:val="00B87223"/>
    <w:rsid w:val="00B91BE0"/>
    <w:rsid w:val="00B932EC"/>
    <w:rsid w:val="00B942E0"/>
    <w:rsid w:val="00BA0515"/>
    <w:rsid w:val="00BA15DC"/>
    <w:rsid w:val="00BA42C6"/>
    <w:rsid w:val="00BA5751"/>
    <w:rsid w:val="00BB0FC6"/>
    <w:rsid w:val="00BB1DF5"/>
    <w:rsid w:val="00BB2068"/>
    <w:rsid w:val="00BB56D1"/>
    <w:rsid w:val="00BB5F42"/>
    <w:rsid w:val="00BC0409"/>
    <w:rsid w:val="00BC1A80"/>
    <w:rsid w:val="00BC250F"/>
    <w:rsid w:val="00BC2DAA"/>
    <w:rsid w:val="00BC3423"/>
    <w:rsid w:val="00BC5DDD"/>
    <w:rsid w:val="00BC61CF"/>
    <w:rsid w:val="00BC7F53"/>
    <w:rsid w:val="00BD2DC7"/>
    <w:rsid w:val="00BD33A7"/>
    <w:rsid w:val="00BD7C58"/>
    <w:rsid w:val="00BE09C7"/>
    <w:rsid w:val="00BE4BA1"/>
    <w:rsid w:val="00BE4C16"/>
    <w:rsid w:val="00BE6629"/>
    <w:rsid w:val="00BE702A"/>
    <w:rsid w:val="00BF09E3"/>
    <w:rsid w:val="00BF32AF"/>
    <w:rsid w:val="00BF38BD"/>
    <w:rsid w:val="00BF53A3"/>
    <w:rsid w:val="00BF716C"/>
    <w:rsid w:val="00C003E3"/>
    <w:rsid w:val="00C0147D"/>
    <w:rsid w:val="00C020A0"/>
    <w:rsid w:val="00C0291D"/>
    <w:rsid w:val="00C041E3"/>
    <w:rsid w:val="00C068D1"/>
    <w:rsid w:val="00C07889"/>
    <w:rsid w:val="00C07AEA"/>
    <w:rsid w:val="00C109E2"/>
    <w:rsid w:val="00C11149"/>
    <w:rsid w:val="00C11603"/>
    <w:rsid w:val="00C121DE"/>
    <w:rsid w:val="00C13B55"/>
    <w:rsid w:val="00C14706"/>
    <w:rsid w:val="00C158CA"/>
    <w:rsid w:val="00C1643D"/>
    <w:rsid w:val="00C17552"/>
    <w:rsid w:val="00C21921"/>
    <w:rsid w:val="00C21F71"/>
    <w:rsid w:val="00C24D2F"/>
    <w:rsid w:val="00C25FDB"/>
    <w:rsid w:val="00C317A9"/>
    <w:rsid w:val="00C33721"/>
    <w:rsid w:val="00C347F6"/>
    <w:rsid w:val="00C34C79"/>
    <w:rsid w:val="00C34CB6"/>
    <w:rsid w:val="00C40309"/>
    <w:rsid w:val="00C458F9"/>
    <w:rsid w:val="00C506E3"/>
    <w:rsid w:val="00C50CBE"/>
    <w:rsid w:val="00C50F7B"/>
    <w:rsid w:val="00C52389"/>
    <w:rsid w:val="00C52CFD"/>
    <w:rsid w:val="00C53C43"/>
    <w:rsid w:val="00C55D4C"/>
    <w:rsid w:val="00C565A4"/>
    <w:rsid w:val="00C61829"/>
    <w:rsid w:val="00C63D7C"/>
    <w:rsid w:val="00C63FA7"/>
    <w:rsid w:val="00C64270"/>
    <w:rsid w:val="00C66590"/>
    <w:rsid w:val="00C667C0"/>
    <w:rsid w:val="00C707A0"/>
    <w:rsid w:val="00C70CD0"/>
    <w:rsid w:val="00C70D68"/>
    <w:rsid w:val="00C713DD"/>
    <w:rsid w:val="00C842AF"/>
    <w:rsid w:val="00C8481E"/>
    <w:rsid w:val="00C86C53"/>
    <w:rsid w:val="00C90797"/>
    <w:rsid w:val="00C94B02"/>
    <w:rsid w:val="00CA1921"/>
    <w:rsid w:val="00CA3172"/>
    <w:rsid w:val="00CA5120"/>
    <w:rsid w:val="00CA6ADC"/>
    <w:rsid w:val="00CA7A4A"/>
    <w:rsid w:val="00CB09E0"/>
    <w:rsid w:val="00CB253B"/>
    <w:rsid w:val="00CB43A7"/>
    <w:rsid w:val="00CC09AC"/>
    <w:rsid w:val="00CC1756"/>
    <w:rsid w:val="00CC1891"/>
    <w:rsid w:val="00CC1A2C"/>
    <w:rsid w:val="00CC29A8"/>
    <w:rsid w:val="00CC3384"/>
    <w:rsid w:val="00CC373C"/>
    <w:rsid w:val="00CC3843"/>
    <w:rsid w:val="00CC7D76"/>
    <w:rsid w:val="00CC7EFA"/>
    <w:rsid w:val="00CD26BC"/>
    <w:rsid w:val="00CD498E"/>
    <w:rsid w:val="00CD6B86"/>
    <w:rsid w:val="00CD6ED4"/>
    <w:rsid w:val="00CE1ED6"/>
    <w:rsid w:val="00CE3630"/>
    <w:rsid w:val="00CF0917"/>
    <w:rsid w:val="00CF1135"/>
    <w:rsid w:val="00CF412D"/>
    <w:rsid w:val="00D00AB5"/>
    <w:rsid w:val="00D01C6E"/>
    <w:rsid w:val="00D06B73"/>
    <w:rsid w:val="00D073C2"/>
    <w:rsid w:val="00D07969"/>
    <w:rsid w:val="00D10FE7"/>
    <w:rsid w:val="00D12079"/>
    <w:rsid w:val="00D13239"/>
    <w:rsid w:val="00D132F4"/>
    <w:rsid w:val="00D1529E"/>
    <w:rsid w:val="00D24240"/>
    <w:rsid w:val="00D25DD0"/>
    <w:rsid w:val="00D25FB9"/>
    <w:rsid w:val="00D2673A"/>
    <w:rsid w:val="00D275BF"/>
    <w:rsid w:val="00D357DF"/>
    <w:rsid w:val="00D37676"/>
    <w:rsid w:val="00D43837"/>
    <w:rsid w:val="00D50219"/>
    <w:rsid w:val="00D53859"/>
    <w:rsid w:val="00D54947"/>
    <w:rsid w:val="00D55ACA"/>
    <w:rsid w:val="00D56E44"/>
    <w:rsid w:val="00D605C9"/>
    <w:rsid w:val="00D6096B"/>
    <w:rsid w:val="00D61D41"/>
    <w:rsid w:val="00D7055C"/>
    <w:rsid w:val="00D70FE9"/>
    <w:rsid w:val="00D72D27"/>
    <w:rsid w:val="00D7525E"/>
    <w:rsid w:val="00D77A43"/>
    <w:rsid w:val="00D77D44"/>
    <w:rsid w:val="00D812B2"/>
    <w:rsid w:val="00D81C3B"/>
    <w:rsid w:val="00D83DB7"/>
    <w:rsid w:val="00D84DA0"/>
    <w:rsid w:val="00D90307"/>
    <w:rsid w:val="00D90AAC"/>
    <w:rsid w:val="00D90BD8"/>
    <w:rsid w:val="00D92551"/>
    <w:rsid w:val="00D934C0"/>
    <w:rsid w:val="00D93836"/>
    <w:rsid w:val="00D95B36"/>
    <w:rsid w:val="00D97B3D"/>
    <w:rsid w:val="00DA2AD3"/>
    <w:rsid w:val="00DA5685"/>
    <w:rsid w:val="00DA74C7"/>
    <w:rsid w:val="00DB09CF"/>
    <w:rsid w:val="00DB40A5"/>
    <w:rsid w:val="00DC11B9"/>
    <w:rsid w:val="00DC1614"/>
    <w:rsid w:val="00DC25E7"/>
    <w:rsid w:val="00DC347A"/>
    <w:rsid w:val="00DD3E6F"/>
    <w:rsid w:val="00DE063E"/>
    <w:rsid w:val="00DE0884"/>
    <w:rsid w:val="00DE1D68"/>
    <w:rsid w:val="00DE2433"/>
    <w:rsid w:val="00DE3BED"/>
    <w:rsid w:val="00DE4086"/>
    <w:rsid w:val="00DE525C"/>
    <w:rsid w:val="00DF0130"/>
    <w:rsid w:val="00DF0AED"/>
    <w:rsid w:val="00DF1DD3"/>
    <w:rsid w:val="00DF3C59"/>
    <w:rsid w:val="00DF560D"/>
    <w:rsid w:val="00DF76BD"/>
    <w:rsid w:val="00DF7875"/>
    <w:rsid w:val="00E02B81"/>
    <w:rsid w:val="00E10C66"/>
    <w:rsid w:val="00E142B1"/>
    <w:rsid w:val="00E152E7"/>
    <w:rsid w:val="00E15CCB"/>
    <w:rsid w:val="00E1791B"/>
    <w:rsid w:val="00E21EC7"/>
    <w:rsid w:val="00E23446"/>
    <w:rsid w:val="00E30A54"/>
    <w:rsid w:val="00E30A75"/>
    <w:rsid w:val="00E32327"/>
    <w:rsid w:val="00E32AD5"/>
    <w:rsid w:val="00E33385"/>
    <w:rsid w:val="00E338F5"/>
    <w:rsid w:val="00E34D0D"/>
    <w:rsid w:val="00E35BE1"/>
    <w:rsid w:val="00E37935"/>
    <w:rsid w:val="00E41869"/>
    <w:rsid w:val="00E4424D"/>
    <w:rsid w:val="00E446F2"/>
    <w:rsid w:val="00E47719"/>
    <w:rsid w:val="00E47BED"/>
    <w:rsid w:val="00E528A7"/>
    <w:rsid w:val="00E52B4D"/>
    <w:rsid w:val="00E535D8"/>
    <w:rsid w:val="00E5484B"/>
    <w:rsid w:val="00E55631"/>
    <w:rsid w:val="00E573FA"/>
    <w:rsid w:val="00E57872"/>
    <w:rsid w:val="00E661B9"/>
    <w:rsid w:val="00E71C59"/>
    <w:rsid w:val="00E74034"/>
    <w:rsid w:val="00E74367"/>
    <w:rsid w:val="00E74CAF"/>
    <w:rsid w:val="00E754D1"/>
    <w:rsid w:val="00E77DDE"/>
    <w:rsid w:val="00E80F06"/>
    <w:rsid w:val="00E8390C"/>
    <w:rsid w:val="00E86C23"/>
    <w:rsid w:val="00E86C61"/>
    <w:rsid w:val="00E9233A"/>
    <w:rsid w:val="00EA272E"/>
    <w:rsid w:val="00EA354A"/>
    <w:rsid w:val="00EA5AC6"/>
    <w:rsid w:val="00EA5CBC"/>
    <w:rsid w:val="00EA609E"/>
    <w:rsid w:val="00EB2530"/>
    <w:rsid w:val="00EB2A67"/>
    <w:rsid w:val="00EB2CDE"/>
    <w:rsid w:val="00EB33B1"/>
    <w:rsid w:val="00EB4633"/>
    <w:rsid w:val="00EB4C63"/>
    <w:rsid w:val="00EB5D7F"/>
    <w:rsid w:val="00EB6682"/>
    <w:rsid w:val="00EB729D"/>
    <w:rsid w:val="00EC1324"/>
    <w:rsid w:val="00EC2A7D"/>
    <w:rsid w:val="00EC47CD"/>
    <w:rsid w:val="00EC5DCC"/>
    <w:rsid w:val="00ED2FA7"/>
    <w:rsid w:val="00ED3116"/>
    <w:rsid w:val="00ED71CB"/>
    <w:rsid w:val="00ED7929"/>
    <w:rsid w:val="00EE0083"/>
    <w:rsid w:val="00EE038E"/>
    <w:rsid w:val="00EE2D70"/>
    <w:rsid w:val="00EE2FCC"/>
    <w:rsid w:val="00EE6689"/>
    <w:rsid w:val="00EF0A45"/>
    <w:rsid w:val="00EF1F6E"/>
    <w:rsid w:val="00F02B0C"/>
    <w:rsid w:val="00F05162"/>
    <w:rsid w:val="00F05DB7"/>
    <w:rsid w:val="00F1014F"/>
    <w:rsid w:val="00F1260A"/>
    <w:rsid w:val="00F14A91"/>
    <w:rsid w:val="00F25D42"/>
    <w:rsid w:val="00F30F01"/>
    <w:rsid w:val="00F32C74"/>
    <w:rsid w:val="00F33CC0"/>
    <w:rsid w:val="00F36456"/>
    <w:rsid w:val="00F41459"/>
    <w:rsid w:val="00F52A81"/>
    <w:rsid w:val="00F5520A"/>
    <w:rsid w:val="00F60172"/>
    <w:rsid w:val="00F605A7"/>
    <w:rsid w:val="00F6530D"/>
    <w:rsid w:val="00F65835"/>
    <w:rsid w:val="00F65B17"/>
    <w:rsid w:val="00F65F1A"/>
    <w:rsid w:val="00F66796"/>
    <w:rsid w:val="00F669AF"/>
    <w:rsid w:val="00F6756A"/>
    <w:rsid w:val="00F710BE"/>
    <w:rsid w:val="00F7269C"/>
    <w:rsid w:val="00F7280F"/>
    <w:rsid w:val="00F73CA6"/>
    <w:rsid w:val="00F760AD"/>
    <w:rsid w:val="00F76B39"/>
    <w:rsid w:val="00F7705E"/>
    <w:rsid w:val="00F83660"/>
    <w:rsid w:val="00F8597E"/>
    <w:rsid w:val="00F9541E"/>
    <w:rsid w:val="00FA1AB6"/>
    <w:rsid w:val="00FA1F8A"/>
    <w:rsid w:val="00FA5166"/>
    <w:rsid w:val="00FA5348"/>
    <w:rsid w:val="00FA6322"/>
    <w:rsid w:val="00FB1406"/>
    <w:rsid w:val="00FB1FC5"/>
    <w:rsid w:val="00FB1FD6"/>
    <w:rsid w:val="00FB2BC1"/>
    <w:rsid w:val="00FB2CFC"/>
    <w:rsid w:val="00FB2E17"/>
    <w:rsid w:val="00FB4C21"/>
    <w:rsid w:val="00FC1454"/>
    <w:rsid w:val="00FC1BCC"/>
    <w:rsid w:val="00FC2A84"/>
    <w:rsid w:val="00FC39BF"/>
    <w:rsid w:val="00FC3C58"/>
    <w:rsid w:val="00FC4A9E"/>
    <w:rsid w:val="00FC5D31"/>
    <w:rsid w:val="00FC6878"/>
    <w:rsid w:val="00FC6BCD"/>
    <w:rsid w:val="00FD1D13"/>
    <w:rsid w:val="00FD2086"/>
    <w:rsid w:val="00FD2212"/>
    <w:rsid w:val="00FD2296"/>
    <w:rsid w:val="00FD43A6"/>
    <w:rsid w:val="00FD5F79"/>
    <w:rsid w:val="00FE281D"/>
    <w:rsid w:val="00FE3044"/>
    <w:rsid w:val="00FE7025"/>
    <w:rsid w:val="00FE7C85"/>
    <w:rsid w:val="00FF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2F88F73F"/>
  <w15:chartTrackingRefBased/>
  <w15:docId w15:val="{C96056FD-37F9-4583-8BE6-739C2FD2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mt-M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69C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442F5"/>
    <w:pPr>
      <w:spacing w:before="75" w:after="75"/>
      <w:ind w:right="-29"/>
      <w:jc w:val="center"/>
      <w:outlineLvl w:val="0"/>
    </w:pPr>
    <w:rPr>
      <w:rFonts w:eastAsia="Times New Roman"/>
      <w:b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33A"/>
    <w:pPr>
      <w:keepNext/>
      <w:keepLines/>
      <w:spacing w:before="200"/>
      <w:outlineLvl w:val="1"/>
    </w:pPr>
    <w:rPr>
      <w:rFonts w:eastAsia="SimSu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42F5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rsid w:val="000442F5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42F5"/>
    <w:pPr>
      <w:keepNext/>
      <w:keepLines/>
      <w:spacing w:before="20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42F5"/>
    <w:pPr>
      <w:keepNext/>
      <w:keepLines/>
      <w:spacing w:before="200"/>
      <w:outlineLvl w:val="5"/>
    </w:pPr>
    <w:rPr>
      <w:rFonts w:ascii="Cambria" w:eastAsia="SimSu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442F5"/>
    <w:rPr>
      <w:rFonts w:eastAsia="Times New Roman"/>
      <w:b/>
      <w:sz w:val="48"/>
      <w:szCs w:val="48"/>
    </w:rPr>
  </w:style>
  <w:style w:type="character" w:customStyle="1" w:styleId="Heading2Char">
    <w:name w:val="Heading 2 Char"/>
    <w:link w:val="Heading2"/>
    <w:uiPriority w:val="9"/>
    <w:rsid w:val="00E9233A"/>
    <w:rPr>
      <w:rFonts w:eastAsia="SimSun"/>
      <w:b/>
      <w:bCs/>
      <w:sz w:val="24"/>
      <w:szCs w:val="26"/>
      <w:lang w:val="mt-MT"/>
    </w:rPr>
  </w:style>
  <w:style w:type="character" w:customStyle="1" w:styleId="Heading3Char">
    <w:name w:val="Heading 3 Char"/>
    <w:link w:val="Heading3"/>
    <w:uiPriority w:val="9"/>
    <w:semiHidden/>
    <w:rsid w:val="000442F5"/>
    <w:rPr>
      <w:rFonts w:ascii="Cambria" w:eastAsia="SimSun" w:hAnsi="Cambria"/>
      <w:b/>
      <w:bCs/>
      <w:color w:val="4F81BD"/>
      <w:sz w:val="24"/>
      <w:lang w:eastAsia="en-US"/>
    </w:rPr>
  </w:style>
  <w:style w:type="character" w:customStyle="1" w:styleId="Heading4Char">
    <w:name w:val="Heading 4 Char"/>
    <w:link w:val="Heading4"/>
    <w:rsid w:val="000442F5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0442F5"/>
    <w:rPr>
      <w:rFonts w:ascii="Cambria" w:eastAsia="SimSun" w:hAnsi="Cambria"/>
      <w:color w:val="243F60"/>
      <w:sz w:val="24"/>
      <w:lang w:eastAsia="en-US"/>
    </w:rPr>
  </w:style>
  <w:style w:type="character" w:customStyle="1" w:styleId="Heading6Char">
    <w:name w:val="Heading 6 Char"/>
    <w:link w:val="Heading6"/>
    <w:uiPriority w:val="9"/>
    <w:semiHidden/>
    <w:rsid w:val="000442F5"/>
    <w:rPr>
      <w:rFonts w:ascii="Cambria" w:eastAsia="SimSun" w:hAnsi="Cambria"/>
      <w:i/>
      <w:iCs/>
      <w:color w:val="243F60"/>
      <w:sz w:val="24"/>
      <w:lang w:eastAsia="en-US"/>
    </w:rPr>
  </w:style>
  <w:style w:type="character" w:styleId="BookTitle">
    <w:name w:val="Book Title"/>
    <w:uiPriority w:val="33"/>
    <w:qFormat/>
    <w:rsid w:val="000442F5"/>
    <w:rPr>
      <w:b/>
      <w:bCs/>
      <w:smallCaps/>
      <w:spacing w:val="5"/>
    </w:rPr>
  </w:style>
  <w:style w:type="character" w:styleId="Strong">
    <w:name w:val="Strong"/>
    <w:uiPriority w:val="22"/>
    <w:qFormat/>
    <w:rsid w:val="000442F5"/>
    <w:rPr>
      <w:b/>
      <w:bCs/>
    </w:rPr>
  </w:style>
  <w:style w:type="character" w:styleId="Emphasis">
    <w:name w:val="Emphasis"/>
    <w:uiPriority w:val="20"/>
    <w:qFormat/>
    <w:rsid w:val="000442F5"/>
    <w:rPr>
      <w:i/>
      <w:iCs/>
    </w:rPr>
  </w:style>
  <w:style w:type="character" w:styleId="IntenseReference">
    <w:name w:val="Intense Reference"/>
    <w:uiPriority w:val="32"/>
    <w:qFormat/>
    <w:rsid w:val="000442F5"/>
    <w:rPr>
      <w:b/>
      <w:bCs/>
      <w:smallCaps/>
      <w:color w:val="C0504D"/>
      <w:spacing w:val="5"/>
      <w:u w:val="single"/>
    </w:rPr>
  </w:style>
  <w:style w:type="paragraph" w:styleId="ListParagraph">
    <w:name w:val="List Paragraph"/>
    <w:aliases w:val="Numbered Para 1,Dot pt,No Spacing1,List Paragraph Char Char Char,Indicator Text,Bullet 1,List Paragraph1,Bullet Points,MAIN CONTENT,List Paragraph12,F5 List Paragraph,Heading 2_sj,1st level - Bullet List Paragraph,Lettre d'introduction,L"/>
    <w:basedOn w:val="Normal"/>
    <w:link w:val="ListParagraphChar"/>
    <w:uiPriority w:val="34"/>
    <w:qFormat/>
    <w:rsid w:val="000442F5"/>
    <w:pPr>
      <w:ind w:left="720"/>
      <w:contextualSpacing/>
    </w:pPr>
  </w:style>
  <w:style w:type="paragraph" w:customStyle="1" w:styleId="Text2">
    <w:name w:val="Text 2"/>
    <w:basedOn w:val="Normal"/>
    <w:rsid w:val="000442F5"/>
    <w:pPr>
      <w:tabs>
        <w:tab w:val="left" w:pos="2161"/>
      </w:tabs>
      <w:spacing w:after="240"/>
      <w:ind w:left="1077"/>
      <w:jc w:val="both"/>
    </w:pPr>
    <w:rPr>
      <w:rFonts w:eastAsia="Times New Roman"/>
      <w:szCs w:val="24"/>
      <w:lang w:eastAsia="en-GB"/>
    </w:rPr>
  </w:style>
  <w:style w:type="paragraph" w:customStyle="1" w:styleId="NumPar2">
    <w:name w:val="NumPar 2"/>
    <w:basedOn w:val="Normal"/>
    <w:next w:val="Text2"/>
    <w:rsid w:val="000442F5"/>
    <w:pPr>
      <w:tabs>
        <w:tab w:val="num" w:pos="360"/>
      </w:tabs>
      <w:spacing w:before="120" w:after="120"/>
      <w:ind w:left="360" w:hanging="360"/>
      <w:jc w:val="both"/>
    </w:pPr>
    <w:rPr>
      <w:rFonts w:eastAsia="Times New Roman"/>
      <w:szCs w:val="24"/>
      <w:lang w:eastAsia="en-GB"/>
    </w:rPr>
  </w:style>
  <w:style w:type="paragraph" w:styleId="FootnoteText">
    <w:name w:val="footnote text"/>
    <w:aliases w:val="Schriftart: 9 pt,Schriftart: 10 pt,Schriftart: 8 pt,Voetnoottekst Char1,Voetnoottekst Char2 Char,Voetnoottekst Char1 Char Char,Voetnoottekst Char3 Char Char Char,Voetnoottekst Char2 Char Char Char Char,Voetnoottekst Char,fn,WB-Fußnotentext"/>
    <w:basedOn w:val="Normal"/>
    <w:link w:val="FootnoteTextChar"/>
    <w:uiPriority w:val="99"/>
    <w:unhideWhenUsed/>
    <w:qFormat/>
    <w:rsid w:val="000442F5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aliases w:val="Schriftart: 9 pt Char,Schriftart: 10 pt Char,Schriftart: 8 pt Char,Voetnoottekst Char1 Char,Voetnoottekst Char2 Char Char,Voetnoottekst Char1 Char Char Char,Voetnoottekst Char3 Char Char Char Char,Voetnoottekst Char Char,fn Char"/>
    <w:basedOn w:val="DefaultParagraphFont"/>
    <w:link w:val="FootnoteText"/>
    <w:uiPriority w:val="99"/>
    <w:qFormat/>
    <w:rsid w:val="000442F5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qFormat/>
    <w:rsid w:val="000442F5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0442F5"/>
    <w:pPr>
      <w:spacing w:after="160" w:line="240" w:lineRule="exact"/>
    </w:pPr>
    <w:rPr>
      <w:sz w:val="20"/>
      <w:vertAlign w:val="superscript"/>
      <w:lang w:eastAsia="en-GB"/>
    </w:rPr>
  </w:style>
  <w:style w:type="paragraph" w:customStyle="1" w:styleId="Default">
    <w:name w:val="Default"/>
    <w:rsid w:val="000442F5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eastAsia="en-GB"/>
    </w:rPr>
  </w:style>
  <w:style w:type="paragraph" w:customStyle="1" w:styleId="Sous-titreobjet">
    <w:name w:val="Sous-titre objet"/>
    <w:basedOn w:val="Normal"/>
    <w:rsid w:val="000442F5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0442F5"/>
    <w:pPr>
      <w:autoSpaceDE w:val="0"/>
      <w:autoSpaceDN w:val="0"/>
      <w:spacing w:before="120" w:after="120"/>
    </w:pPr>
    <w:rPr>
      <w:rFonts w:eastAsia="Times New Roman"/>
      <w:szCs w:val="24"/>
      <w:lang w:eastAsia="en-GB"/>
    </w:rPr>
  </w:style>
  <w:style w:type="paragraph" w:customStyle="1" w:styleId="Normal127Bullet63">
    <w:name w:val="Normal 127 Bullet6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161"/>
      </w:tabs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">
    <w:name w:val="Normal Kop 1.1"/>
    <w:basedOn w:val="Normal"/>
    <w:next w:val="Normal127Bullet63"/>
    <w:rsid w:val="000442F5"/>
    <w:pPr>
      <w:numPr>
        <w:ilvl w:val="1"/>
        <w:numId w:val="1"/>
      </w:numPr>
      <w:tabs>
        <w:tab w:val="left" w:pos="720"/>
        <w:tab w:val="left" w:pos="1077"/>
        <w:tab w:val="left" w:pos="1440"/>
        <w:tab w:val="left" w:pos="1797"/>
      </w:tabs>
      <w:spacing w:before="360" w:after="240"/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0442F5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Indent127">
    <w:name w:val="Normal 127 Indent 127"/>
    <w:basedOn w:val="NormalKop111"/>
    <w:qFormat/>
    <w:rsid w:val="000442F5"/>
    <w:pPr>
      <w:spacing w:before="120"/>
    </w:pPr>
  </w:style>
  <w:style w:type="paragraph" w:customStyle="1" w:styleId="NumPar3">
    <w:name w:val="NumPar 3"/>
    <w:basedOn w:val="Heading3"/>
    <w:next w:val="Normal"/>
    <w:rsid w:val="000442F5"/>
    <w:pPr>
      <w:keepNext w:val="0"/>
      <w:keepLines w:val="0"/>
      <w:tabs>
        <w:tab w:val="num" w:pos="360"/>
      </w:tabs>
      <w:spacing w:before="0"/>
      <w:ind w:left="1920" w:hanging="720"/>
      <w:jc w:val="both"/>
      <w:outlineLvl w:val="9"/>
    </w:pPr>
    <w:rPr>
      <w:rFonts w:ascii="Times New Roman" w:eastAsia="Times New Roman" w:hAnsi="Times New Roman"/>
      <w:b w:val="0"/>
      <w:color w:val="auto"/>
      <w:sz w:val="28"/>
      <w:szCs w:val="28"/>
      <w:lang w:eastAsia="en-GB"/>
    </w:rPr>
  </w:style>
  <w:style w:type="character" w:styleId="Hyperlink">
    <w:name w:val="Hyperlink"/>
    <w:uiPriority w:val="99"/>
    <w:rsid w:val="000442F5"/>
    <w:rPr>
      <w:color w:val="0000FF"/>
      <w:u w:val="single"/>
    </w:rPr>
  </w:style>
  <w:style w:type="paragraph" w:customStyle="1" w:styleId="Normal127">
    <w:name w:val="Normal 127"/>
    <w:basedOn w:val="NormalKop111"/>
    <w:qFormat/>
    <w:rsid w:val="000442F5"/>
  </w:style>
  <w:style w:type="paragraph" w:styleId="Footer">
    <w:name w:val="footer"/>
    <w:basedOn w:val="Normal"/>
    <w:link w:val="FooterChar"/>
    <w:uiPriority w:val="99"/>
    <w:rsid w:val="000442F5"/>
    <w:pPr>
      <w:tabs>
        <w:tab w:val="center" w:pos="4536"/>
        <w:tab w:val="right" w:pos="9072"/>
      </w:tabs>
    </w:pPr>
    <w:rPr>
      <w:rFonts w:eastAsia="Times New Roman"/>
      <w:szCs w:val="24"/>
      <w:lang w:eastAsia="en-GB"/>
    </w:rPr>
  </w:style>
  <w:style w:type="character" w:customStyle="1" w:styleId="FooterChar">
    <w:name w:val="Footer Char"/>
    <w:link w:val="Footer"/>
    <w:uiPriority w:val="99"/>
    <w:rsid w:val="000442F5"/>
    <w:rPr>
      <w:rFonts w:eastAsia="Times New Roman"/>
      <w:sz w:val="24"/>
      <w:szCs w:val="24"/>
    </w:rPr>
  </w:style>
  <w:style w:type="paragraph" w:customStyle="1" w:styleId="ListDash2">
    <w:name w:val="List Dash 2"/>
    <w:basedOn w:val="Text2"/>
    <w:rsid w:val="000442F5"/>
    <w:pPr>
      <w:numPr>
        <w:numId w:val="12"/>
      </w:numPr>
      <w:tabs>
        <w:tab w:val="clear" w:pos="2161"/>
      </w:tabs>
    </w:pPr>
    <w:rPr>
      <w:szCs w:val="20"/>
      <w:lang w:eastAsia="en-US"/>
    </w:rPr>
  </w:style>
  <w:style w:type="paragraph" w:customStyle="1" w:styleId="Text1">
    <w:name w:val="Text 1"/>
    <w:basedOn w:val="Normal"/>
    <w:uiPriority w:val="99"/>
    <w:rsid w:val="000442F5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Tiret0">
    <w:name w:val="Tiret 0"/>
    <w:basedOn w:val="Normal"/>
    <w:rsid w:val="000442F5"/>
    <w:pPr>
      <w:tabs>
        <w:tab w:val="num" w:pos="850"/>
      </w:tabs>
      <w:spacing w:before="120" w:after="120"/>
      <w:ind w:left="850" w:hanging="850"/>
      <w:jc w:val="both"/>
    </w:pPr>
    <w:rPr>
      <w:rFonts w:eastAsia="Times New Roman"/>
      <w:lang w:eastAsia="zh-CN"/>
    </w:rPr>
  </w:style>
  <w:style w:type="character" w:customStyle="1" w:styleId="Corpsdutexte2">
    <w:name w:val="Corps du texte (2)_"/>
    <w:link w:val="Corpsdutexte21"/>
    <w:uiPriority w:val="99"/>
    <w:rsid w:val="000442F5"/>
    <w:rPr>
      <w:i/>
      <w:iCs/>
      <w:sz w:val="15"/>
      <w:szCs w:val="15"/>
      <w:shd w:val="clear" w:color="auto" w:fill="FFFFFF"/>
    </w:rPr>
  </w:style>
  <w:style w:type="character" w:customStyle="1" w:styleId="Tabledesmatires3">
    <w:name w:val="Table des matières (3)_"/>
    <w:link w:val="Tabledesmatires31"/>
    <w:uiPriority w:val="99"/>
    <w:rsid w:val="000442F5"/>
    <w:rPr>
      <w:b/>
      <w:bCs/>
      <w:sz w:val="16"/>
      <w:szCs w:val="16"/>
      <w:shd w:val="clear" w:color="auto" w:fill="FFFFFF"/>
    </w:rPr>
  </w:style>
  <w:style w:type="character" w:customStyle="1" w:styleId="Corpsdutexte218">
    <w:name w:val="Corps du texte (2)18"/>
    <w:uiPriority w:val="99"/>
    <w:rsid w:val="000442F5"/>
  </w:style>
  <w:style w:type="paragraph" w:customStyle="1" w:styleId="Corpsdutexte21">
    <w:name w:val="Corps du texte (2)1"/>
    <w:basedOn w:val="Normal"/>
    <w:link w:val="Corpsdutexte2"/>
    <w:uiPriority w:val="99"/>
    <w:rsid w:val="000442F5"/>
    <w:pPr>
      <w:widowControl w:val="0"/>
      <w:shd w:val="clear" w:color="auto" w:fill="FFFFFF"/>
      <w:spacing w:before="240" w:after="480" w:line="240" w:lineRule="atLeast"/>
      <w:jc w:val="center"/>
    </w:pPr>
    <w:rPr>
      <w:i/>
      <w:iCs/>
      <w:sz w:val="15"/>
      <w:szCs w:val="15"/>
      <w:lang w:eastAsia="en-GB"/>
    </w:rPr>
  </w:style>
  <w:style w:type="paragraph" w:customStyle="1" w:styleId="Tabledesmatires31">
    <w:name w:val="Table des matières (3)1"/>
    <w:basedOn w:val="Normal"/>
    <w:link w:val="Tabledesmatires3"/>
    <w:uiPriority w:val="99"/>
    <w:rsid w:val="000442F5"/>
    <w:pPr>
      <w:widowControl w:val="0"/>
      <w:shd w:val="clear" w:color="auto" w:fill="FFFFFF"/>
      <w:spacing w:before="540" w:after="180" w:line="240" w:lineRule="atLeast"/>
      <w:jc w:val="both"/>
    </w:pPr>
    <w:rPr>
      <w:b/>
      <w:bCs/>
      <w:sz w:val="16"/>
      <w:szCs w:val="16"/>
      <w:lang w:eastAsia="en-GB"/>
    </w:rPr>
  </w:style>
  <w:style w:type="character" w:customStyle="1" w:styleId="Corpsdutexte">
    <w:name w:val="Corps du texte_"/>
    <w:link w:val="Corpsdutexte1"/>
    <w:rsid w:val="000442F5"/>
    <w:rPr>
      <w:sz w:val="15"/>
      <w:szCs w:val="15"/>
      <w:shd w:val="clear" w:color="auto" w:fill="FFFFFF"/>
    </w:rPr>
  </w:style>
  <w:style w:type="character" w:customStyle="1" w:styleId="Corpsdutexte4">
    <w:name w:val="Corps du texte (4)_"/>
    <w:link w:val="Corpsdutexte41"/>
    <w:uiPriority w:val="99"/>
    <w:rsid w:val="000442F5"/>
    <w:rPr>
      <w:b/>
      <w:bCs/>
      <w:sz w:val="16"/>
      <w:szCs w:val="16"/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0442F5"/>
    <w:pPr>
      <w:widowControl w:val="0"/>
      <w:shd w:val="clear" w:color="auto" w:fill="FFFFFF"/>
      <w:spacing w:after="300" w:line="240" w:lineRule="atLeast"/>
      <w:ind w:hanging="620"/>
      <w:jc w:val="both"/>
    </w:pPr>
    <w:rPr>
      <w:sz w:val="15"/>
      <w:szCs w:val="15"/>
      <w:lang w:eastAsia="en-GB"/>
    </w:rPr>
  </w:style>
  <w:style w:type="paragraph" w:customStyle="1" w:styleId="Corpsdutexte41">
    <w:name w:val="Corps du texte (4)1"/>
    <w:basedOn w:val="Normal"/>
    <w:link w:val="Corpsdutexte4"/>
    <w:uiPriority w:val="99"/>
    <w:rsid w:val="000442F5"/>
    <w:pPr>
      <w:widowControl w:val="0"/>
      <w:shd w:val="clear" w:color="auto" w:fill="FFFFFF"/>
      <w:spacing w:before="300" w:after="180" w:line="302" w:lineRule="exact"/>
      <w:jc w:val="center"/>
    </w:pPr>
    <w:rPr>
      <w:b/>
      <w:bCs/>
      <w:sz w:val="16"/>
      <w:szCs w:val="16"/>
      <w:lang w:eastAsia="en-GB"/>
    </w:rPr>
  </w:style>
  <w:style w:type="character" w:customStyle="1" w:styleId="Tabledesmatires">
    <w:name w:val="Table des matières_"/>
    <w:link w:val="Tabledesmatires0"/>
    <w:uiPriority w:val="99"/>
    <w:rsid w:val="000442F5"/>
    <w:rPr>
      <w:sz w:val="15"/>
      <w:szCs w:val="15"/>
      <w:shd w:val="clear" w:color="auto" w:fill="FFFFFF"/>
    </w:rPr>
  </w:style>
  <w:style w:type="paragraph" w:customStyle="1" w:styleId="Tabledesmatires0">
    <w:name w:val="Table des matières"/>
    <w:basedOn w:val="Normal"/>
    <w:link w:val="Tabledesmatires"/>
    <w:uiPriority w:val="99"/>
    <w:rsid w:val="000442F5"/>
    <w:pPr>
      <w:widowControl w:val="0"/>
      <w:shd w:val="clear" w:color="auto" w:fill="FFFFFF"/>
      <w:spacing w:line="379" w:lineRule="exact"/>
      <w:ind w:hanging="620"/>
      <w:jc w:val="both"/>
    </w:pPr>
    <w:rPr>
      <w:sz w:val="15"/>
      <w:szCs w:val="15"/>
      <w:lang w:eastAsia="en-GB"/>
    </w:rPr>
  </w:style>
  <w:style w:type="character" w:customStyle="1" w:styleId="Corpsdutexte216">
    <w:name w:val="Corps du texte (2)16"/>
    <w:uiPriority w:val="99"/>
    <w:rsid w:val="000442F5"/>
  </w:style>
  <w:style w:type="paragraph" w:customStyle="1" w:styleId="Text3">
    <w:name w:val="Text 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302"/>
      </w:tabs>
      <w:spacing w:after="240"/>
      <w:ind w:left="1202"/>
      <w:jc w:val="both"/>
    </w:pPr>
    <w:rPr>
      <w:rFonts w:eastAsia="Times New Roman" w:cs="Arial Unicode MS"/>
      <w:szCs w:val="24"/>
      <w:lang w:eastAsia="en-GB" w:bidi="si-LK"/>
    </w:rPr>
  </w:style>
  <w:style w:type="table" w:styleId="TableGrid">
    <w:name w:val="Table Grid"/>
    <w:basedOn w:val="TableNormal"/>
    <w:uiPriority w:val="59"/>
    <w:rsid w:val="00044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0442F5"/>
    <w:pPr>
      <w:numPr>
        <w:numId w:val="18"/>
      </w:numPr>
      <w:tabs>
        <w:tab w:val="clear" w:pos="360"/>
        <w:tab w:val="num" w:pos="283"/>
      </w:tabs>
      <w:spacing w:after="240"/>
      <w:ind w:left="283" w:hanging="283"/>
      <w:jc w:val="both"/>
    </w:pPr>
    <w:rPr>
      <w:rFonts w:eastAsia="Times New Roman"/>
    </w:rPr>
  </w:style>
  <w:style w:type="paragraph" w:customStyle="1" w:styleId="Point1">
    <w:name w:val="Point 1"/>
    <w:basedOn w:val="Normal"/>
    <w:uiPriority w:val="99"/>
    <w:rsid w:val="000442F5"/>
    <w:pPr>
      <w:spacing w:before="120" w:after="120"/>
      <w:ind w:left="1417" w:hanging="567"/>
      <w:jc w:val="both"/>
    </w:pPr>
    <w:rPr>
      <w:rFonts w:eastAsia="Times New Roman"/>
      <w:szCs w:val="24"/>
    </w:rPr>
  </w:style>
  <w:style w:type="paragraph" w:styleId="ListNumber">
    <w:name w:val="List Number"/>
    <w:basedOn w:val="Normal"/>
    <w:rsid w:val="000442F5"/>
    <w:pPr>
      <w:numPr>
        <w:numId w:val="19"/>
      </w:numPr>
      <w:tabs>
        <w:tab w:val="clear" w:pos="360"/>
        <w:tab w:val="num" w:pos="709"/>
      </w:tabs>
      <w:spacing w:after="240"/>
      <w:ind w:left="709" w:hanging="709"/>
      <w:jc w:val="both"/>
    </w:pPr>
    <w:rPr>
      <w:rFonts w:eastAsia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442F5"/>
    <w:rPr>
      <w:rFonts w:ascii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0442F5"/>
    <w:rPr>
      <w:rFonts w:ascii="Calibri" w:hAnsi="Calibri"/>
      <w:sz w:val="22"/>
      <w:szCs w:val="21"/>
      <w:lang w:eastAsia="en-US"/>
    </w:rPr>
  </w:style>
  <w:style w:type="paragraph" w:customStyle="1" w:styleId="ManualHeading2">
    <w:name w:val="Manual Heading 2"/>
    <w:basedOn w:val="Normal"/>
    <w:next w:val="Normal"/>
    <w:uiPriority w:val="99"/>
    <w:rsid w:val="000442F5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Times New Roman"/>
      <w:b/>
      <w:szCs w:val="24"/>
      <w:lang w:eastAsia="de-DE"/>
    </w:rPr>
  </w:style>
  <w:style w:type="paragraph" w:customStyle="1" w:styleId="NormalCentered">
    <w:name w:val="Normal Centered"/>
    <w:basedOn w:val="Normal"/>
    <w:uiPriority w:val="99"/>
    <w:rsid w:val="000442F5"/>
    <w:pPr>
      <w:spacing w:before="120" w:after="120"/>
      <w:jc w:val="center"/>
    </w:pPr>
    <w:rPr>
      <w:rFonts w:eastAsia="Times New Roman"/>
      <w:szCs w:val="24"/>
      <w:lang w:eastAsia="en-GB"/>
    </w:rPr>
  </w:style>
  <w:style w:type="paragraph" w:customStyle="1" w:styleId="ManualNumPar2">
    <w:name w:val="Manual NumPar 2"/>
    <w:basedOn w:val="Normal"/>
    <w:next w:val="Normal"/>
    <w:uiPriority w:val="99"/>
    <w:rsid w:val="000442F5"/>
    <w:pPr>
      <w:spacing w:before="120" w:after="120"/>
      <w:ind w:left="851" w:hanging="851"/>
      <w:jc w:val="both"/>
    </w:pPr>
    <w:rPr>
      <w:rFonts w:eastAsia="Times New Roman"/>
      <w:szCs w:val="24"/>
      <w:lang w:eastAsia="en-GB"/>
    </w:rPr>
  </w:style>
  <w:style w:type="paragraph" w:customStyle="1" w:styleId="Tiret1">
    <w:name w:val="Tiret 1"/>
    <w:basedOn w:val="Normal"/>
    <w:uiPriority w:val="99"/>
    <w:rsid w:val="000442F5"/>
    <w:pPr>
      <w:spacing w:before="120" w:after="120"/>
      <w:ind w:left="1418" w:hanging="567"/>
      <w:jc w:val="both"/>
    </w:pPr>
    <w:rPr>
      <w:rFonts w:eastAsia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442F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442F5"/>
    <w:rPr>
      <w:sz w:val="24"/>
      <w:lang w:eastAsia="en-US"/>
    </w:rPr>
  </w:style>
  <w:style w:type="paragraph" w:styleId="TOCHeading">
    <w:name w:val="TOC Heading"/>
    <w:basedOn w:val="Normal"/>
    <w:next w:val="Normal"/>
    <w:qFormat/>
    <w:rsid w:val="000442F5"/>
    <w:pPr>
      <w:keepNext/>
      <w:spacing w:before="240" w:after="240"/>
      <w:jc w:val="center"/>
    </w:pPr>
    <w:rPr>
      <w:rFonts w:eastAsia="Times New Roman"/>
      <w:b/>
    </w:rPr>
  </w:style>
  <w:style w:type="paragraph" w:styleId="TOC1">
    <w:name w:val="toc 1"/>
    <w:basedOn w:val="Normal"/>
    <w:next w:val="Normal"/>
    <w:rsid w:val="000442F5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eastAsia="Times New Roman"/>
      <w:caps/>
    </w:rPr>
  </w:style>
  <w:style w:type="paragraph" w:styleId="TOC2">
    <w:name w:val="toc 2"/>
    <w:basedOn w:val="Normal"/>
    <w:next w:val="Normal"/>
    <w:rsid w:val="000442F5"/>
    <w:pPr>
      <w:tabs>
        <w:tab w:val="right" w:leader="dot" w:pos="8640"/>
      </w:tabs>
      <w:spacing w:before="60" w:after="60"/>
      <w:ind w:left="1077" w:right="720" w:hanging="595"/>
      <w:jc w:val="both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2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442F5"/>
    <w:rPr>
      <w:rFonts w:ascii="Tahoma" w:hAnsi="Tahoma" w:cs="Tahoma"/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2F5"/>
    <w:rPr>
      <w:sz w:val="20"/>
    </w:rPr>
  </w:style>
  <w:style w:type="character" w:customStyle="1" w:styleId="EndnoteTextChar">
    <w:name w:val="Endnote Text Char"/>
    <w:link w:val="EndnoteText"/>
    <w:uiPriority w:val="99"/>
    <w:semiHidden/>
    <w:rsid w:val="000442F5"/>
    <w:rPr>
      <w:lang w:eastAsia="en-US"/>
    </w:rPr>
  </w:style>
  <w:style w:type="character" w:styleId="EndnoteReference">
    <w:name w:val="endnote reference"/>
    <w:uiPriority w:val="99"/>
    <w:semiHidden/>
    <w:unhideWhenUsed/>
    <w:rsid w:val="000442F5"/>
    <w:rPr>
      <w:vertAlign w:val="superscript"/>
    </w:rPr>
  </w:style>
  <w:style w:type="paragraph" w:customStyle="1" w:styleId="Contact">
    <w:name w:val="Contact"/>
    <w:basedOn w:val="Normal"/>
    <w:next w:val="Normal"/>
    <w:rsid w:val="000442F5"/>
    <w:pPr>
      <w:spacing w:before="480"/>
      <w:ind w:left="567" w:hanging="567"/>
    </w:pPr>
    <w:rPr>
      <w:rFonts w:eastAsia="Times New Roman"/>
    </w:rPr>
  </w:style>
  <w:style w:type="paragraph" w:customStyle="1" w:styleId="ListBullet1">
    <w:name w:val="List Bullet 1"/>
    <w:basedOn w:val="Text1"/>
    <w:rsid w:val="000442F5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0442F5"/>
    <w:pPr>
      <w:numPr>
        <w:numId w:val="7"/>
      </w:numPr>
      <w:tabs>
        <w:tab w:val="clear" w:pos="2161"/>
      </w:tabs>
    </w:pPr>
    <w:rPr>
      <w:szCs w:val="20"/>
      <w:lang w:eastAsia="en-US"/>
    </w:rPr>
  </w:style>
  <w:style w:type="paragraph" w:styleId="ListBullet3">
    <w:name w:val="List Bullet 3"/>
    <w:basedOn w:val="Text3"/>
    <w:rsid w:val="000442F5"/>
    <w:pPr>
      <w:numPr>
        <w:numId w:val="8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Bullet4">
    <w:name w:val="List Bullet 4"/>
    <w:basedOn w:val="Normal"/>
    <w:rsid w:val="000442F5"/>
    <w:pPr>
      <w:numPr>
        <w:numId w:val="9"/>
      </w:numPr>
      <w:spacing w:after="240"/>
      <w:jc w:val="both"/>
    </w:pPr>
    <w:rPr>
      <w:rFonts w:eastAsia="Times New Roman"/>
    </w:rPr>
  </w:style>
  <w:style w:type="paragraph" w:customStyle="1" w:styleId="ListDash">
    <w:name w:val="List Dash"/>
    <w:basedOn w:val="Normal"/>
    <w:rsid w:val="000442F5"/>
    <w:pPr>
      <w:numPr>
        <w:numId w:val="10"/>
      </w:numPr>
      <w:spacing w:after="240"/>
      <w:jc w:val="both"/>
    </w:pPr>
    <w:rPr>
      <w:rFonts w:eastAsia="Times New Roman"/>
    </w:rPr>
  </w:style>
  <w:style w:type="paragraph" w:customStyle="1" w:styleId="ListDash1">
    <w:name w:val="List Dash 1"/>
    <w:basedOn w:val="Text1"/>
    <w:rsid w:val="000442F5"/>
    <w:pPr>
      <w:numPr>
        <w:numId w:val="11"/>
      </w:numPr>
    </w:pPr>
    <w:rPr>
      <w:lang w:eastAsia="en-US"/>
    </w:rPr>
  </w:style>
  <w:style w:type="paragraph" w:customStyle="1" w:styleId="ListDash3">
    <w:name w:val="List Dash 3"/>
    <w:basedOn w:val="Text3"/>
    <w:rsid w:val="000442F5"/>
    <w:pPr>
      <w:numPr>
        <w:numId w:val="13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Dash4">
    <w:name w:val="List Dash 4"/>
    <w:basedOn w:val="Normal"/>
    <w:rsid w:val="000442F5"/>
    <w:pPr>
      <w:numPr>
        <w:numId w:val="14"/>
      </w:numPr>
      <w:spacing w:after="240"/>
      <w:jc w:val="both"/>
    </w:pPr>
    <w:rPr>
      <w:rFonts w:eastAsia="Times New Roman"/>
    </w:rPr>
  </w:style>
  <w:style w:type="paragraph" w:customStyle="1" w:styleId="ListNumber1">
    <w:name w:val="List Number 1"/>
    <w:basedOn w:val="Text1"/>
    <w:rsid w:val="000442F5"/>
    <w:pPr>
      <w:numPr>
        <w:numId w:val="5"/>
      </w:numPr>
    </w:pPr>
    <w:rPr>
      <w:lang w:eastAsia="en-US"/>
    </w:rPr>
  </w:style>
  <w:style w:type="paragraph" w:styleId="ListNumber2">
    <w:name w:val="List Number 2"/>
    <w:basedOn w:val="Text2"/>
    <w:rsid w:val="000442F5"/>
    <w:pPr>
      <w:numPr>
        <w:numId w:val="15"/>
      </w:numPr>
      <w:tabs>
        <w:tab w:val="clear" w:pos="2161"/>
      </w:tabs>
    </w:pPr>
    <w:rPr>
      <w:szCs w:val="20"/>
      <w:lang w:eastAsia="en-US"/>
    </w:rPr>
  </w:style>
  <w:style w:type="paragraph" w:styleId="ListNumber3">
    <w:name w:val="List Number 3"/>
    <w:basedOn w:val="Text3"/>
    <w:rsid w:val="000442F5"/>
    <w:pPr>
      <w:numPr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Number4">
    <w:name w:val="List Number 4"/>
    <w:basedOn w:val="Normal"/>
    <w:rsid w:val="000442F5"/>
    <w:pPr>
      <w:numPr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0442F5"/>
    <w:pPr>
      <w:numPr>
        <w:ilvl w:val="1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2">
    <w:name w:val="List Number 1 (Level 2)"/>
    <w:basedOn w:val="Text1"/>
    <w:rsid w:val="000442F5"/>
    <w:pPr>
      <w:numPr>
        <w:ilvl w:val="1"/>
        <w:numId w:val="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0442F5"/>
    <w:pPr>
      <w:numPr>
        <w:ilvl w:val="1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2">
    <w:name w:val="List Number 3 (Level 2)"/>
    <w:basedOn w:val="Text3"/>
    <w:rsid w:val="000442F5"/>
    <w:pPr>
      <w:numPr>
        <w:ilvl w:val="1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2">
    <w:name w:val="List Number 4 (Level 2)"/>
    <w:basedOn w:val="Normal"/>
    <w:rsid w:val="000442F5"/>
    <w:pPr>
      <w:numPr>
        <w:ilvl w:val="1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0442F5"/>
    <w:pPr>
      <w:numPr>
        <w:ilvl w:val="2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3">
    <w:name w:val="List Number 1 (Level 3)"/>
    <w:basedOn w:val="Text1"/>
    <w:rsid w:val="000442F5"/>
    <w:pPr>
      <w:numPr>
        <w:ilvl w:val="2"/>
        <w:numId w:val="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0442F5"/>
    <w:pPr>
      <w:numPr>
        <w:ilvl w:val="2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3">
    <w:name w:val="List Number 3 (Level 3)"/>
    <w:basedOn w:val="Text3"/>
    <w:rsid w:val="000442F5"/>
    <w:pPr>
      <w:numPr>
        <w:ilvl w:val="2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3">
    <w:name w:val="List Number 4 (Level 3)"/>
    <w:basedOn w:val="Normal"/>
    <w:rsid w:val="000442F5"/>
    <w:pPr>
      <w:numPr>
        <w:ilvl w:val="2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0442F5"/>
    <w:pPr>
      <w:numPr>
        <w:ilvl w:val="3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4">
    <w:name w:val="List Number 1 (Level 4)"/>
    <w:basedOn w:val="Text1"/>
    <w:rsid w:val="000442F5"/>
    <w:pPr>
      <w:numPr>
        <w:ilvl w:val="3"/>
        <w:numId w:val="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0442F5"/>
    <w:pPr>
      <w:numPr>
        <w:ilvl w:val="3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4">
    <w:name w:val="List Number 3 (Level 4)"/>
    <w:basedOn w:val="Text3"/>
    <w:rsid w:val="000442F5"/>
    <w:pPr>
      <w:numPr>
        <w:ilvl w:val="3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4">
    <w:name w:val="List Number 4 (Level 4)"/>
    <w:basedOn w:val="Normal"/>
    <w:rsid w:val="000442F5"/>
    <w:pPr>
      <w:numPr>
        <w:ilvl w:val="3"/>
        <w:numId w:val="17"/>
      </w:numPr>
      <w:spacing w:after="240"/>
      <w:jc w:val="both"/>
    </w:pPr>
    <w:rPr>
      <w:rFonts w:eastAsia="Times New Roman"/>
    </w:rPr>
  </w:style>
  <w:style w:type="paragraph" w:styleId="TOC5">
    <w:name w:val="toc 5"/>
    <w:basedOn w:val="Normal"/>
    <w:next w:val="Normal"/>
    <w:semiHidden/>
    <w:rsid w:val="000442F5"/>
    <w:pPr>
      <w:tabs>
        <w:tab w:val="right" w:leader="dot" w:pos="8641"/>
      </w:tabs>
      <w:spacing w:before="240" w:after="120"/>
      <w:ind w:right="720"/>
      <w:jc w:val="both"/>
    </w:pPr>
    <w:rPr>
      <w:rFonts w:eastAsia="Times New Roman"/>
      <w:caps/>
    </w:rPr>
  </w:style>
  <w:style w:type="numbering" w:customStyle="1" w:styleId="Style1">
    <w:name w:val="Style1"/>
    <w:uiPriority w:val="99"/>
    <w:rsid w:val="000442F5"/>
    <w:pPr>
      <w:numPr>
        <w:numId w:val="2"/>
      </w:numPr>
    </w:pPr>
  </w:style>
  <w:style w:type="character" w:customStyle="1" w:styleId="outputecliaff">
    <w:name w:val="outputecliaff"/>
    <w:rsid w:val="000442F5"/>
  </w:style>
  <w:style w:type="character" w:styleId="CommentReference">
    <w:name w:val="annotation reference"/>
    <w:uiPriority w:val="99"/>
    <w:unhideWhenUsed/>
    <w:rsid w:val="000442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42F5"/>
    <w:rPr>
      <w:sz w:val="20"/>
    </w:rPr>
  </w:style>
  <w:style w:type="character" w:customStyle="1" w:styleId="CommentTextChar">
    <w:name w:val="Comment Text Char"/>
    <w:link w:val="CommentText"/>
    <w:uiPriority w:val="99"/>
    <w:rsid w:val="000442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2F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442F5"/>
    <w:rPr>
      <w:b/>
      <w:bCs/>
      <w:lang w:eastAsia="en-US"/>
    </w:rPr>
  </w:style>
  <w:style w:type="paragraph" w:styleId="TOC3">
    <w:name w:val="toc 3"/>
    <w:basedOn w:val="Normal"/>
    <w:next w:val="Normal"/>
    <w:semiHidden/>
    <w:rsid w:val="000442F5"/>
    <w:pPr>
      <w:tabs>
        <w:tab w:val="right" w:leader="dot" w:pos="8640"/>
      </w:tabs>
      <w:spacing w:before="60" w:after="60"/>
      <w:ind w:left="1916" w:right="720" w:hanging="839"/>
      <w:jc w:val="both"/>
    </w:pPr>
    <w:rPr>
      <w:rFonts w:eastAsia="Times New Roman"/>
    </w:rPr>
  </w:style>
  <w:style w:type="paragraph" w:styleId="TOC4">
    <w:name w:val="toc 4"/>
    <w:basedOn w:val="Normal"/>
    <w:next w:val="Normal"/>
    <w:semiHidden/>
    <w:rsid w:val="000442F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eastAsia="Times New Roman"/>
    </w:rPr>
  </w:style>
  <w:style w:type="paragraph" w:styleId="Revision">
    <w:name w:val="Revision"/>
    <w:hidden/>
    <w:uiPriority w:val="99"/>
    <w:semiHidden/>
    <w:rsid w:val="000442F5"/>
    <w:rPr>
      <w:sz w:val="24"/>
    </w:rPr>
  </w:style>
  <w:style w:type="character" w:styleId="FollowedHyperlink">
    <w:name w:val="FollowedHyperlink"/>
    <w:uiPriority w:val="99"/>
    <w:semiHidden/>
    <w:unhideWhenUsed/>
    <w:rsid w:val="000442F5"/>
    <w:rPr>
      <w:color w:val="800080"/>
      <w:u w:val="single"/>
    </w:rPr>
  </w:style>
  <w:style w:type="paragraph" w:customStyle="1" w:styleId="Corpsdutexte0">
    <w:name w:val="Corps du texte"/>
    <w:basedOn w:val="Normal"/>
    <w:rsid w:val="000442F5"/>
    <w:pPr>
      <w:widowControl w:val="0"/>
      <w:shd w:val="clear" w:color="auto" w:fill="FFFFFF"/>
      <w:spacing w:after="300" w:line="0" w:lineRule="atLeast"/>
      <w:ind w:hanging="620"/>
      <w:jc w:val="both"/>
    </w:pPr>
    <w:rPr>
      <w:sz w:val="15"/>
      <w:szCs w:val="15"/>
      <w:lang w:eastAsia="en-GB"/>
    </w:rPr>
  </w:style>
  <w:style w:type="character" w:customStyle="1" w:styleId="Corpsdutexte11">
    <w:name w:val="Corps du texte (11)_"/>
    <w:link w:val="Corpsdutexte110"/>
    <w:locked/>
    <w:rsid w:val="000442F5"/>
    <w:rPr>
      <w:sz w:val="15"/>
      <w:szCs w:val="15"/>
      <w:shd w:val="clear" w:color="auto" w:fill="FFFFFF"/>
    </w:rPr>
  </w:style>
  <w:style w:type="paragraph" w:customStyle="1" w:styleId="Corpsdutexte110">
    <w:name w:val="Corps du texte (11)"/>
    <w:basedOn w:val="Normal"/>
    <w:link w:val="Corpsdutexte11"/>
    <w:rsid w:val="000442F5"/>
    <w:pPr>
      <w:widowControl w:val="0"/>
      <w:shd w:val="clear" w:color="auto" w:fill="FFFFFF"/>
      <w:spacing w:before="360" w:line="0" w:lineRule="atLeast"/>
      <w:jc w:val="center"/>
    </w:pPr>
    <w:rPr>
      <w:sz w:val="15"/>
      <w:szCs w:val="15"/>
      <w:lang w:eastAsia="en-GB"/>
    </w:rPr>
  </w:style>
  <w:style w:type="character" w:customStyle="1" w:styleId="Bodytext">
    <w:name w:val="Body text_"/>
    <w:link w:val="BodyText1"/>
    <w:locked/>
    <w:rsid w:val="000442F5"/>
    <w:rPr>
      <w:sz w:val="15"/>
      <w:szCs w:val="15"/>
      <w:shd w:val="clear" w:color="auto" w:fill="FFFFFF"/>
    </w:rPr>
  </w:style>
  <w:style w:type="paragraph" w:customStyle="1" w:styleId="BodyText1">
    <w:name w:val="Body Text1"/>
    <w:basedOn w:val="Normal"/>
    <w:link w:val="Bodytext"/>
    <w:rsid w:val="000442F5"/>
    <w:pPr>
      <w:widowControl w:val="0"/>
      <w:shd w:val="clear" w:color="auto" w:fill="FFFFFF"/>
      <w:spacing w:line="0" w:lineRule="atLeast"/>
      <w:ind w:hanging="580"/>
    </w:pPr>
    <w:rPr>
      <w:sz w:val="15"/>
      <w:szCs w:val="15"/>
      <w:lang w:eastAsia="en-GB"/>
    </w:rPr>
  </w:style>
  <w:style w:type="character" w:customStyle="1" w:styleId="Corpsdutexte9">
    <w:name w:val="Corps du texte (9)"/>
    <w:rsid w:val="000442F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mt-MT"/>
    </w:rPr>
  </w:style>
  <w:style w:type="paragraph" w:customStyle="1" w:styleId="CM1">
    <w:name w:val="CM1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442F5"/>
    <w:rPr>
      <w:rFonts w:eastAsia="Calibri" w:cs="Times New Roman"/>
      <w:color w:val="auto"/>
    </w:rPr>
  </w:style>
  <w:style w:type="character" w:customStyle="1" w:styleId="st1">
    <w:name w:val="st1"/>
    <w:rsid w:val="000442F5"/>
  </w:style>
  <w:style w:type="character" w:customStyle="1" w:styleId="Marker">
    <w:name w:val="Marker"/>
    <w:rsid w:val="000442F5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0442F5"/>
    <w:pPr>
      <w:jc w:val="both"/>
    </w:pPr>
    <w:rPr>
      <w:szCs w:val="22"/>
    </w:rPr>
  </w:style>
  <w:style w:type="paragraph" w:customStyle="1" w:styleId="FooterCoverPage">
    <w:name w:val="Footer Cover Page"/>
    <w:basedOn w:val="Normal"/>
    <w:link w:val="FooterCoverPageChar"/>
    <w:rsid w:val="000442F5"/>
    <w:pPr>
      <w:tabs>
        <w:tab w:val="center" w:pos="4535"/>
        <w:tab w:val="right" w:pos="9071"/>
        <w:tab w:val="right" w:pos="9921"/>
      </w:tabs>
      <w:spacing w:before="360"/>
      <w:ind w:left="-850" w:right="-850"/>
      <w:outlineLvl w:val="0"/>
    </w:pPr>
    <w:rPr>
      <w:rFonts w:eastAsia="Times New Roman"/>
      <w:szCs w:val="48"/>
      <w:lang w:eastAsia="en-GB"/>
    </w:rPr>
  </w:style>
  <w:style w:type="character" w:customStyle="1" w:styleId="FooterCoverPageChar">
    <w:name w:val="Footer Cover Page Char"/>
    <w:link w:val="FooterCoverPage"/>
    <w:rsid w:val="000442F5"/>
    <w:rPr>
      <w:rFonts w:eastAsia="Times New Roman"/>
      <w:sz w:val="24"/>
      <w:szCs w:val="48"/>
    </w:rPr>
  </w:style>
  <w:style w:type="paragraph" w:customStyle="1" w:styleId="HeaderCoverPage">
    <w:name w:val="Header Cover Page"/>
    <w:basedOn w:val="Normal"/>
    <w:link w:val="HeaderCoverPageChar"/>
    <w:rsid w:val="000442F5"/>
    <w:pPr>
      <w:tabs>
        <w:tab w:val="center" w:pos="4535"/>
        <w:tab w:val="right" w:pos="9071"/>
      </w:tabs>
      <w:spacing w:after="120"/>
      <w:jc w:val="both"/>
      <w:outlineLvl w:val="0"/>
    </w:pPr>
    <w:rPr>
      <w:rFonts w:eastAsia="Times New Roman"/>
      <w:szCs w:val="48"/>
      <w:lang w:eastAsia="en-GB"/>
    </w:rPr>
  </w:style>
  <w:style w:type="character" w:customStyle="1" w:styleId="HeaderCoverPageChar">
    <w:name w:val="Header Cover Page Char"/>
    <w:link w:val="HeaderCoverPage"/>
    <w:rsid w:val="000442F5"/>
    <w:rPr>
      <w:rFonts w:eastAsia="Times New Roman"/>
      <w:sz w:val="24"/>
      <w:szCs w:val="48"/>
    </w:rPr>
  </w:style>
  <w:style w:type="paragraph" w:customStyle="1" w:styleId="CharCharChar">
    <w:name w:val="Char Char Char"/>
    <w:basedOn w:val="Normal"/>
    <w:uiPriority w:val="99"/>
    <w:rsid w:val="006B6657"/>
    <w:pPr>
      <w:spacing w:after="160" w:line="240" w:lineRule="exact"/>
    </w:pPr>
    <w:rPr>
      <w:rFonts w:eastAsia="Times New Roman"/>
      <w:vertAlign w:val="superscript"/>
      <w:lang w:eastAsia="fr-BE"/>
    </w:rPr>
  </w:style>
  <w:style w:type="character" w:customStyle="1" w:styleId="oj-super">
    <w:name w:val="oj-super"/>
    <w:rsid w:val="00A94C5F"/>
  </w:style>
  <w:style w:type="character" w:customStyle="1" w:styleId="oj-italic">
    <w:name w:val="oj-italic"/>
    <w:rsid w:val="009D22F2"/>
  </w:style>
  <w:style w:type="paragraph" w:customStyle="1" w:styleId="oj-normal">
    <w:name w:val="oj-normal"/>
    <w:basedOn w:val="Normal"/>
    <w:rsid w:val="00FF1BF6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ListParagraphChar">
    <w:name w:val="List Paragraph Char"/>
    <w:aliases w:val="Numbered Para 1 Char,Dot pt Char,No Spacing1 Char,List Paragraph Char Char Char Char,Indicator Text Char,Bullet 1 Char,List Paragraph1 Char,Bullet Points Char,MAIN CONTENT Char,List Paragraph12 Char,F5 List Paragraph Char,L Char"/>
    <w:link w:val="ListParagraph"/>
    <w:uiPriority w:val="34"/>
    <w:qFormat/>
    <w:locked/>
    <w:rsid w:val="008E3BF9"/>
    <w:rPr>
      <w:sz w:val="24"/>
      <w:lang w:val="mt-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8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2FCCED0C3CA34289BDE3963578B741" ma:contentTypeVersion="3" ma:contentTypeDescription="Create a new document." ma:contentTypeScope="" ma:versionID="fc7af3474e9c5cda3d834e52bb51166d">
  <xsd:schema xmlns:xsd="http://www.w3.org/2001/XMLSchema" xmlns:xs="http://www.w3.org/2001/XMLSchema" xmlns:p="http://schemas.microsoft.com/office/2006/metadata/properties" xmlns:ns2="38080443-59f1-4468-9185-e277ce99790f" xmlns:ns3="aaad0b86-1dbf-48d2-99f8-fcc2ae493cdc" targetNamespace="http://schemas.microsoft.com/office/2006/metadata/properties" ma:root="true" ma:fieldsID="7e742c72fabc2c9633e3e9b3f801ed08" ns2:_="" ns3:_="">
    <xsd:import namespace="38080443-59f1-4468-9185-e277ce99790f"/>
    <xsd:import namespace="aaad0b86-1dbf-48d2-99f8-fcc2ae493c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Attachment_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080443-59f1-4468-9185-e277ce9979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b86-1dbf-48d2-99f8-fcc2ae493cdc" elementFormDefault="qualified">
    <xsd:import namespace="http://schemas.microsoft.com/office/2006/documentManagement/types"/>
    <xsd:import namespace="http://schemas.microsoft.com/office/infopath/2007/PartnerControls"/>
    <xsd:element name="Attachment_Id" ma:index="10" nillable="true" ma:displayName="Attachment_Id" ma:internalName="Attachment_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achment_Id xmlns="aaad0b86-1dbf-48d2-99f8-fcc2ae493cdc" xsi:nil="true"/>
  </documentManagement>
</p:properties>
</file>

<file path=customXml/itemProps1.xml><?xml version="1.0" encoding="utf-8"?>
<ds:datastoreItem xmlns:ds="http://schemas.openxmlformats.org/officeDocument/2006/customXml" ds:itemID="{58E21520-4101-4B2C-BD15-6C0C7E6F15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D1B53F-6B15-4F06-898D-534C93499D5E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6C82CBF-ADA3-4BCE-A474-B1514110CA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080443-59f1-4468-9185-e277ce99790f"/>
    <ds:schemaRef ds:uri="aaad0b86-1dbf-48d2-99f8-fcc2ae493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58E624-E7BA-4169-8B7D-21B7E160D09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1C1DA78-896E-461D-A61E-B93DC91F7A48}">
  <ds:schemaRefs>
    <ds:schemaRef ds:uri="http://purl.org/dc/dcmitype/"/>
    <ds:schemaRef ds:uri="http://schemas.microsoft.com/office/2006/documentManagement/types"/>
    <ds:schemaRef ds:uri="38080443-59f1-4468-9185-e277ce99790f"/>
    <ds:schemaRef ds:uri="http://schemas.microsoft.com/office/infopath/2007/PartnerControls"/>
    <ds:schemaRef ds:uri="http://schemas.microsoft.com/office/2006/metadata/properties"/>
    <ds:schemaRef ds:uri="aaad0b86-1dbf-48d2-99f8-fcc2ae493cdc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4146</Words>
  <Characters>21394</Characters>
  <Application>Microsoft Office Word</Application>
  <DocSecurity>0</DocSecurity>
  <Lines>465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CEEAG - Section 4.9 - Draft Notification Form rev 2.7.24.docx</vt:lpstr>
    </vt:vector>
  </TitlesOfParts>
  <Company>European Commission</Company>
  <LinksUpToDate>false</LinksUpToDate>
  <CharactersWithSpaces>25359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CEEAG - Section 4.9 - Draft Notification Form rev 2.7.24.docx</dc:title>
  <dc:subject/>
  <dc:creator>MICHEAU Claire (COMP)</dc:creator>
  <cp:keywords/>
  <cp:lastModifiedBy>MEILAK Moira (DGT)</cp:lastModifiedBy>
  <cp:revision>3</cp:revision>
  <cp:lastPrinted>2022-04-12T14:59:00Z</cp:lastPrinted>
  <dcterms:created xsi:type="dcterms:W3CDTF">2024-09-05T12:35:00Z</dcterms:created>
  <dcterms:modified xsi:type="dcterms:W3CDTF">2024-10-02T16:15:00Z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COMPCOLLAB-850037142-32</vt:lpwstr>
  </property>
  <property fmtid="{D5CDD505-2E9C-101B-9397-08002B2CF9AE}" pid="3" name="_dlc_DocIdItemGuid">
    <vt:lpwstr>9c0be35c-5fca-4ae5-950d-84002a276ae6</vt:lpwstr>
  </property>
  <property fmtid="{D5CDD505-2E9C-101B-9397-08002B2CF9AE}" pid="4" name="_dlc_DocIdUrl">
    <vt:lpwstr>https://compcollab.ec.europa.eu/cases/HT.6305/_layouts/15/DocIdRedir.aspx?ID=COMPCOLLAB-850037142-32, COMPCOLLAB-850037142-32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ContentTypeId">
    <vt:lpwstr>0x010100BF2FCCED0C3CA34289BDE3963578B741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2023-06-14T14:22:16Z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e664702f-64dc-4939-9d5d-d3ec7509dede</vt:lpwstr>
  </property>
  <property fmtid="{D5CDD505-2E9C-101B-9397-08002B2CF9AE}" pid="14" name="MSIP_Label_6bd9ddd1-4d20-43f6-abfa-fc3c07406f94_ContentBits">
    <vt:lpwstr>0</vt:lpwstr>
  </property>
</Properties>
</file>