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Del III.6</w:t>
            </w:r>
            <w:r>
              <w:rPr>
                <w:sz w:val="32"/>
              </w:rPr>
              <w:t xml:space="preserve">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 xml:space="preserve">Ajourført* Supplerende informationsskema for statsstøtte ydet i henhold til retningslinjerne for statsstøtte til klima, miljøbeskyttelse og energi 2022 (CEEAG)</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 xml:space="preserve">Kapitel 4.9 – Støtte til energiinfrastruktur</w:t>
            </w:r>
          </w:p>
          <w:p w14:paraId="469DC4EF" w14:textId="5E9F59D2" w:rsidR="008E3BF9" w:rsidRPr="00BA15DC" w:rsidRDefault="008E3BF9" w:rsidP="008E3BF9">
            <w:pPr>
              <w:rPr>
                <w:sz w:val="32"/>
                <w:szCs w:val="32"/>
              </w:rPr>
            </w:pPr>
            <w:r>
              <w:t xml:space="preserve">* endnu ikke formelt vedtaget</w:t>
            </w:r>
          </w:p>
        </w:tc>
      </w:tr>
    </w:tbl>
    <w:p w14:paraId="45497634" w14:textId="77777777" w:rsidR="008E3BF9" w:rsidRPr="00BA15DC" w:rsidRDefault="008E3BF9" w:rsidP="008E3BF9">
      <w:pPr>
        <w:spacing w:before="120" w:after="120"/>
        <w:ind w:right="-142"/>
        <w:jc w:val="both"/>
        <w:rPr>
          <w:i/>
          <w:iCs/>
        </w:rPr>
      </w:pPr>
      <w:r>
        <w:rPr>
          <w:i/>
        </w:rPr>
        <w:t xml:space="preserve">Dette supplerende informationsskema skal anvendes ved anmeldelse af enhver støtte, der er omfattet af retningslinjerne for statsstøtte til klima, miljøbeskyttelse og energi 2022 (herefter "CEEAG").</w:t>
      </w:r>
    </w:p>
    <w:p w14:paraId="3912F2B6" w14:textId="18735016" w:rsidR="008E3BF9" w:rsidRPr="00BA15DC" w:rsidRDefault="008E3BF9" w:rsidP="009E2EA1">
      <w:pPr>
        <w:spacing w:before="120" w:after="120"/>
        <w:ind w:right="-142"/>
        <w:jc w:val="both"/>
        <w:rPr>
          <w:i/>
          <w:iCs/>
        </w:rPr>
      </w:pPr>
      <w:r>
        <w:rPr>
          <w:i/>
        </w:rPr>
        <w:t xml:space="preserve">Dette supplerende informationsskema vedrører foranstaltninger, der er omhandlet i kapitel 4.9 i CEEAG.</w:t>
      </w:r>
      <w:r>
        <w:rPr>
          <w:i/>
        </w:rPr>
        <w:t xml:space="preserve"> </w:t>
      </w:r>
      <w:r>
        <w:rPr>
          <w:i/>
        </w:rPr>
        <w:t xml:space="preserve">Hvis anmeldelsen omfatter foranstaltninger, der er omhandlet i mere end et kapitel i CEEAG, skal det supplerende informationsskema, som omhandler det pågældende kapitel i CEEAG, ligeledes udfyldes, når skemaet bliver tilgængeligt.</w:t>
      </w:r>
      <w:r>
        <w:rPr>
          <w:i/>
        </w:rPr>
        <w:t xml:space="preserve"> </w:t>
      </w:r>
    </w:p>
    <w:p w14:paraId="516B301C" w14:textId="77777777" w:rsidR="008E3BF9" w:rsidRPr="00BA15DC" w:rsidRDefault="008E3BF9" w:rsidP="008E3BF9">
      <w:pPr>
        <w:spacing w:before="120" w:after="120"/>
        <w:ind w:right="-142"/>
        <w:jc w:val="both"/>
        <w:rPr>
          <w:i/>
          <w:iCs/>
        </w:rPr>
      </w:pPr>
      <w:r>
        <w:rPr>
          <w:i/>
        </w:rPr>
        <w:t xml:space="preserve">Alle de dokumenter, som medlemsstaterne vedlægger dette supplerende informationsskema som bilag, skal nummereres, og dokumentnumrene skal anføres i de relevante afsnit i dette supplerende informationsskema.</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 xml:space="preserve">Afsnit A:</w:t>
            </w:r>
            <w:r>
              <w:rPr>
                <w:b/>
                <w:sz w:val="32"/>
              </w:rPr>
              <w:t xml:space="preserve"> </w:t>
            </w:r>
            <w:r>
              <w:rPr>
                <w:b/>
                <w:sz w:val="32"/>
              </w:rPr>
              <w:t xml:space="preserve">Resumé af de vigtigste karakteristika ved den eller de anmeldte foranstaltninger</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 xml:space="preserve">Baggrund for og formål med den eller de anmeldte foranstaltninger.</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Hvis der ikke allerede er redegjort for det i afsnit 5.2 i formularen vedrørende generelle oplysninger (del</w:t>
      </w:r>
      <w:r>
        <w:t xml:space="preserve"> </w:t>
      </w:r>
      <w:r>
        <w:t xml:space="preserve">I), angives baggrunden og hovedformålet, herunder eventuelle EU-mål for reduktion og fjernelse af drivhusgasemissioner, som foranstaltningen har til formål at understøtte.</w:t>
      </w:r>
      <w:r>
        <w:t xml:space="preserve">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 xml:space="preserve">Angiv eventuelle andre formål, der forfølges med foranstaltningen.</w:t>
      </w:r>
      <w:r>
        <w:t xml:space="preserve"> </w:t>
      </w:r>
      <w:r>
        <w:t xml:space="preserve">For mål, der ikke er rent miljømæssige, skal det forklares, om de kan medføre forvridninger af det indre marked.</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 xml:space="preserve">Ikrafttræden og varighed:</w:t>
      </w:r>
    </w:p>
    <w:p w14:paraId="29824976" w14:textId="39DBFC0F" w:rsidR="008E3BF9" w:rsidRPr="00BA15DC" w:rsidRDefault="008E3BF9" w:rsidP="008E3BF9">
      <w:pPr>
        <w:pStyle w:val="ListParagraph"/>
        <w:numPr>
          <w:ilvl w:val="0"/>
          <w:numId w:val="59"/>
        </w:numPr>
        <w:ind w:left="993" w:hanging="142"/>
        <w:jc w:val="both"/>
        <w:rPr>
          <w:szCs w:val="24"/>
        </w:rPr>
      </w:pPr>
      <w:r>
        <w:t xml:space="preserve">Angiv den dato, fra hvilken det er hensigten, at foranstaltningen skal træde i kraft, for så vidt det ikke allerede er angivet i afsnit 5.5 i formularen vedrørende generelle oplysninger (del I).</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 xml:space="preserve">Hvis foranstaltningen vedrører en støtteordning, angives dens varighed</w:t>
      </w:r>
      <w:r>
        <w:rPr>
          <w:szCs w:val="24"/>
          <w:vertAlign w:val="superscript"/>
        </w:rPr>
        <w:footnoteReference w:id="3"/>
      </w:r>
      <w:r>
        <w:t xml:space="preserve">.</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Støttemodtager(e)</w:t>
      </w:r>
      <w:r>
        <w:tab/>
      </w:r>
    </w:p>
    <w:p w14:paraId="41CA72BE" w14:textId="77777777" w:rsidR="00F7269C" w:rsidRPr="00BA15DC" w:rsidRDefault="00F7269C" w:rsidP="00F7269C">
      <w:pPr>
        <w:pStyle w:val="ListParagraph"/>
        <w:numPr>
          <w:ilvl w:val="0"/>
          <w:numId w:val="22"/>
        </w:numPr>
        <w:ind w:left="1078" w:hanging="227"/>
        <w:jc w:val="both"/>
        <w:rPr>
          <w:szCs w:val="24"/>
        </w:rPr>
      </w:pPr>
      <w:r>
        <w:t xml:space="preserve">Beskriv foranstaltningens/foranstaltningernes (potentielle) støttemodtager(e), hvis dette ikke allerede er angivet i afsnit 3 i formularen vedrørende generelle oplysninger (del I).</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 xml:space="preserve">Angiv (de potentielle) støttemodtageres lokalisering (dvs. om kun økonomiske enheder, der er beliggende i de respektive medlemsstater, eller om dem i andre medlemsstater ligeledes er berettigede til at deltage i foranstaltningen).</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Angiv med henblik på at vurdere, om punkt 15 i CEEAG er overholdt, hvorvidt der inden for rammerne af foranstaltningen/foranstaltningerne ydes individuel støtte til fordel for en virksomhed (og hvorvidt dette er del af en ordning), der ikke har efterkommet et krav om tilbagebetaling af støtte, som Kommissionen ved en tidligere afgørelse har erklæret ulovlig og uforenelig med det indre marked.</w:t>
      </w:r>
      <w:r>
        <w:t xml:space="preserve">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Oplys i bekræftende fald det støttebeløb, der endnu ikke er tilbagebetalt, med henblik på Kommissionens hensyntagen til dette i vurderingen af støtteforanstaltningen/støtteforanstaltningerne.</w:t>
      </w:r>
      <w:r>
        <w:t xml:space="preserve">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 xml:space="preserve">Bekræft, at foranstaltningen/foranstaltningerne ikke omfatter støtte til aktiviteter, der falder uden for anvendelsesområdet for CEEAG (se punkt 13 i CEEAG).</w:t>
      </w:r>
      <w:r>
        <w:t xml:space="preserve"> </w:t>
      </w:r>
      <w:r>
        <w:t xml:space="preserve">Angiv i modsat fald nærmere oplysninger.</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 xml:space="preserve">I henhold til punkt 373 og 374 i CEEAG "er støtte til energiinfrastruktur inden for rammerne af et lovbestemt monopol ikke underlagt statsstøttereglerne".</w:t>
      </w:r>
      <w:r>
        <w:rPr>
          <w:i/>
        </w:rPr>
        <w:t xml:space="preserve"> </w:t>
      </w:r>
      <w:r>
        <w:t xml:space="preserve">Dette kan være særlig relevant, hvor anlæg og drift af visse infrastrukturer ved lov udelukkende er forbeholdt TSO'en eller DSO'en.</w:t>
      </w:r>
      <w:r>
        <w:t xml:space="preserve"> </w:t>
      </w:r>
      <w:r>
        <w:t xml:space="preserve">I henhold til punkt 375 mener Kommissionen "heller ikke, at der er tale om statsstøtte i forbindelse med investeringer, hvor energiinfrastrukturen drives under et 'naturligt monopol'".</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Anmeldes projektet inden for rammerne af et lovbestemt monopol, eller drives det under et "naturligt monopol"?</w:t>
      </w:r>
      <w:r>
        <w:t xml:space="preserve">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Hvis svaret på det foregående spørgsmål er ja, skal det forklares, hvorfor det anmeldte projekt falder inden for rammerne af et retligt og/eller naturligt monopol, med henvisning til hvert af de kumulative kriterier i CEEAG's punkt 374 for lovlige monopoler og/eller punkt 375 for naturlige monopoler.</w:t>
      </w:r>
      <w:r>
        <w:t xml:space="preserv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bCs/>
          <w:rFonts w:cs="Arial Unicode MS"/>
        </w:rPr>
      </w:pPr>
      <w:bookmarkStart w:id="6" w:name="_Ref171091150"/>
      <w:r>
        <w:rPr>
          <w:b/>
        </w:rPr>
        <w:t xml:space="preserve">Budget for og finansiering af foranstaltningen/foranstaltningerne</w:t>
      </w:r>
      <w:r>
        <w:t xml:space="preserve">.</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r>
        <w:t xml:space="preserve">Angiv det årlige og/eller samlede budget for foranstaltningens/foranstaltningernes fulde varighed, hvis det ikke allerede er nævnt i tabellen i afsnit 7.1 i formularen vedrørende generelle oplysninger (del I).</w:t>
      </w:r>
      <w:r>
        <w:t xml:space="preserve"> </w:t>
      </w:r>
      <w:r>
        <w:t xml:space="preserve">Angiv et anslået budget, hvis det samlede budget ikke er kendt (f.eks. fordi det afhænger af resultaterne af udbuddene), herunder de antagelser, der er lagt til grund for beregningen af det respektive anslåede budget</w:t>
      </w:r>
      <w:r>
        <w:rPr>
          <w:szCs w:val="24"/>
          <w:vertAlign w:val="superscript"/>
        </w:rPr>
        <w:footnoteReference w:id="4"/>
      </w:r>
      <w:r>
        <w:t xml:space="preserve">.</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bookmarkStart w:id="7" w:name="_Ref116914400"/>
      <w:r>
        <w:t xml:space="preserve">Præciser ved en afgiftsfinansieret foranstaltning, om:</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bCs/>
          <w:rFonts w:cs="Arial Unicode MS"/>
        </w:rPr>
      </w:pPr>
      <w:r>
        <w:t xml:space="preserve">afgiften er fastsat ved lov eller anden retsakt.</w:t>
      </w:r>
      <w:r>
        <w:t xml:space="preserve"> </w:t>
      </w:r>
      <w:r>
        <w:t xml:space="preserve">Angiv i bekræftende fald retsakten, dens nummer og datoen, hvor retsakten blev vedtaget og trådte i kraft, samt et link til retsakten</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bCs/>
          <w:rFonts w:cs="Arial Unicode MS"/>
        </w:rPr>
      </w:pPr>
      <w:r>
        <w:t xml:space="preserve">afgiften pålægges både indenlandske og importerede produkter</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bCs/>
          <w:rFonts w:cs="Arial Unicode MS"/>
        </w:rPr>
      </w:pPr>
      <w:r>
        <w:t xml:space="preserve">den anmeldte foranstaltning vil gavne både indenlandske og importerede produkter</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bCs/>
          <w:rFonts w:cs="Arial Unicode MS"/>
        </w:rPr>
      </w:pPr>
      <w:r>
        <w:t xml:space="preserve">afgiften fuldt ud finansierer foranstaltningen eller kun gør det delvist.</w:t>
      </w:r>
      <w:r>
        <w:t xml:space="preserve"> </w:t>
      </w:r>
      <w:r>
        <w:t xml:space="preserve">Hvis afgiften kun delvis finansierer foranstaltningen, skal de øvrige finansieringskilder for foranstaltningen og deres respektive andel angives</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bCs/>
          <w:rFonts w:cs="Arial Unicode MS"/>
        </w:rPr>
      </w:pPr>
      <w:r>
        <w:t xml:space="preserve">den afgift, der finansierer den anmeldte foranstaltning, også finansierer andre støtteforanstaltninger.</w:t>
      </w:r>
      <w:r>
        <w:t xml:space="preserve"> </w:t>
      </w:r>
      <w:r>
        <w:t xml:space="preserve">Angiv i bekræftende fald de øvrige støtteforanstaltninger, der finansieres af den pågældende afgift.</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 xml:space="preserve">Afsnit B:</w:t>
            </w:r>
            <w:r>
              <w:rPr>
                <w:b/>
                <w:sz w:val="32"/>
              </w:rPr>
              <w:t xml:space="preserve"> </w:t>
            </w:r>
            <w:r>
              <w:rPr>
                <w:b/>
                <w:sz w:val="32"/>
              </w:rPr>
              <w:t xml:space="preserve">Forenelighedsvurdering af støtten</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 xml:space="preserve">Positiv betingelse:</w:t>
            </w:r>
            <w:r>
              <w:rPr>
                <w:i/>
                <w:sz w:val="28"/>
              </w:rPr>
              <w:t xml:space="preserve"> </w:t>
            </w:r>
            <w:r>
              <w:rPr>
                <w:i/>
                <w:sz w:val="28"/>
              </w:rPr>
              <w:t xml:space="preserve">Støtten skal fremme udviklingen af en økonomisk aktivitet</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 xml:space="preserve">Bidrag til udviklingen af en økonomisk aktivitet</w:t>
            </w:r>
          </w:p>
        </w:tc>
      </w:tr>
    </w:tbl>
    <w:p w14:paraId="1E2599D2" w14:textId="075AAE16" w:rsidR="000442F5" w:rsidRPr="00BA15DC" w:rsidRDefault="000442F5" w:rsidP="003B0EFB">
      <w:pPr>
        <w:spacing w:before="120" w:after="120"/>
        <w:jc w:val="both"/>
        <w:rPr>
          <w:i/>
        </w:rPr>
      </w:pPr>
      <w:r>
        <w:rPr>
          <w:i/>
        </w:rPr>
        <w:t xml:space="preserve">Med henblik på angivelsen af oplysningerne i dette afsnit henvises til afsnit 3.1.1, punkt 23-25, og afsnit 4.9.1 og 4.9.2 i CEEAG.</w:t>
      </w:r>
      <w:r>
        <w:rPr>
          <w:i/>
        </w:rPr>
        <w:t xml:space="preserve">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Kommissionen kan i</w:t>
      </w:r>
      <w:bookmarkStart w:id="8" w:name="_Hlk170735690"/>
      <w:r>
        <w:t xml:space="preserve"> henhold til artikel 107, stk. 3, litra c), i traktaten om Den Europæiske Unions funktionsmåde (TEUF)</w:t>
      </w:r>
      <w:bookmarkEnd w:id="8"/>
      <w:r>
        <w:t xml:space="preserve"> erklære "støtte til fremme af udviklingen af visse erhvervsgrene eller økonomiske regioner, når den ikke ændrer samhandelsvilkårene på en måde, der strider mod den fælles interesse", forenelig med det indre marked.</w:t>
      </w:r>
      <w:r>
        <w:t xml:space="preserve"> </w:t>
      </w:r>
      <w:r>
        <w:t xml:space="preserve">Støtte, der er forenelig i henhold til denne bestemmelse i TEUF, skal derfor bidrage til udviklingen af en bestemt økonomisk aktivitet.</w:t>
      </w:r>
      <w:r>
        <w:t xml:space="preserve"> </w:t>
      </w:r>
    </w:p>
    <w:p w14:paraId="4688DCCE" w14:textId="77777777" w:rsidR="00F7269C" w:rsidRPr="00BA15DC" w:rsidRDefault="00F7269C" w:rsidP="000442F5">
      <w:pPr>
        <w:tabs>
          <w:tab w:val="left" w:leader="dot" w:pos="9072"/>
        </w:tabs>
        <w:spacing w:before="120" w:after="120"/>
        <w:ind w:left="567"/>
        <w:jc w:val="both"/>
      </w:pPr>
      <w:r>
        <w:t xml:space="preserve">Angiv de økonomiske aktiviteter, der vil blive fremmet som følge af støtten, og hvordan udviklingen af disse aktiviteter støttes, med henblik på at vurdere overholdelsen af punkt 23 i CEEAG.</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 xml:space="preserve">Redegør derudover nærmere for, i hvilket omfang støtten vedrører politikker, der er beskrevet i punkt 371 og 372 i CEEAG.</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 xml:space="preserve">Angiv oplysninger om støtteforanstaltningens/støtteforanstaltningernes omfang og de støttede aktiviteter, jf. punkt 376 i CEEAG.</w:t>
      </w:r>
      <w:r>
        <w:t xml:space="preserve"> </w:t>
      </w:r>
      <w:r>
        <w:t xml:space="preserve">I den forbindelse kræves følgende ligeledes:</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Det skal sikres, at projektet vedrører en energiinfrastruktur som defineret i punkt 19, nr. 36), i CEEAG.</w:t>
      </w:r>
      <w:r>
        <w:t xml:space="preserve"> </w:t>
      </w:r>
    </w:p>
    <w:p w14:paraId="200CB163" w14:textId="4FFB2EB0" w:rsidR="00D83DB7" w:rsidRPr="00BA15DC" w:rsidRDefault="00D83DB7" w:rsidP="00D83DB7">
      <w:pPr>
        <w:pStyle w:val="ListParagraph"/>
        <w:numPr>
          <w:ilvl w:val="0"/>
          <w:numId w:val="56"/>
        </w:numPr>
        <w:spacing w:before="120" w:after="120"/>
        <w:contextualSpacing w:val="0"/>
        <w:jc w:val="both"/>
      </w:pPr>
      <w:r>
        <w:t xml:space="preserve">Det skal sikres, at projektet ikke involverer særlig infrastruktur og/eller anden energiinfrastruktur kombineret med produktions- og/eller forbrugsaktiviteter.</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Det skal angives, hvilken type omkostninger der vil blive støttet af foranstaltningen:</w:t>
      </w:r>
      <w:r>
        <w:t xml:space="preserve"> </w:t>
      </w:r>
      <w:r>
        <w:t xml:space="preserve">investeringsomkostninger eller driftsomkostninger.</w:t>
      </w:r>
      <w:r>
        <w:t xml:space="preserve">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Hvis foranstaltningen skal dække driftsomkostninger, skal det påvises, at disse omkostninger ikke kan dækkes af netbrugerne og ikke er forbundet med irreversible omkostninger, og at driftsstøtten fører til en adfærdsændring, der gør det muligt at opfylde målene om forsyningssikkerhed eller miljøbeskyttelse.</w:t>
      </w:r>
      <w:r>
        <w:t xml:space="preserve">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 xml:space="preserve">Tilskyndelsesvirkning</w:t>
            </w:r>
          </w:p>
        </w:tc>
      </w:tr>
    </w:tbl>
    <w:p w14:paraId="20915284" w14:textId="0EA618F2" w:rsidR="00015E2B" w:rsidRPr="00BA15DC" w:rsidRDefault="00B15313" w:rsidP="003B0EFB">
      <w:pPr>
        <w:spacing w:before="120" w:after="120"/>
        <w:jc w:val="both"/>
        <w:rPr>
          <w:i/>
        </w:rPr>
      </w:pPr>
      <w:r>
        <w:rPr>
          <w:i/>
        </w:rPr>
        <w:t xml:space="preserve">Med henblik på angivelsen af oplysningerne i dette afsnit henvises til afsnit 3.1.2, punkt 26-32, i CEEAG.</w:t>
      </w:r>
      <w:r>
        <w:rPr>
          <w:i/>
        </w:rPr>
        <w:t xml:space="preserve">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 xml:space="preserve">Støtte kan kun anses for at fremme en økonomisk aktivitet, hvis den har en tilskyndelsesvirkning.</w:t>
      </w:r>
      <w:r>
        <w:t xml:space="preserve"> </w:t>
      </w:r>
      <w:r>
        <w:t xml:space="preserve">Redegør for, hvordan foranstaltningen/foranstaltningerne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w:t>
      </w:r>
      <w:r>
        <w:rPr>
          <w:rStyle w:val="FootnoteReference"/>
          <w:color w:val="000000"/>
          <w:shd w:val="clear" w:color="auto" w:fill="FFFFFF"/>
        </w:rPr>
        <w:footnoteReference w:id="5"/>
      </w:r>
      <w:r>
        <w:t xml:space="preserve">.</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Med henblik på at påvise en tilskyndelsesvirkning, kræves det i punkt 28 i CEEAG, at det faktiske scenario og det sandsynlige kontrafaktiske scenario afdækkes, hvis der ikke ydes støtte.</w:t>
      </w:r>
      <w:r>
        <w:t xml:space="preserve"> </w:t>
      </w:r>
      <w:r>
        <w:t xml:space="preserve">For så vidt angår støtte til energiinfrastruktur som forklaret i punkt 52 formodes det kontrafaktiske scenario at være den situation, hvor projektet ikke gennemføres.</w:t>
      </w:r>
      <w:r>
        <w:t xml:space="preserve"> </w:t>
      </w:r>
    </w:p>
    <w:p w14:paraId="4AA49B40" w14:textId="0DEE1851" w:rsidR="00D70FE9" w:rsidRPr="00BA15DC" w:rsidRDefault="00A255BF" w:rsidP="00526607">
      <w:pPr>
        <w:pStyle w:val="ListParagraph"/>
        <w:numPr>
          <w:ilvl w:val="0"/>
          <w:numId w:val="37"/>
        </w:numPr>
        <w:spacing w:before="120" w:after="120"/>
        <w:contextualSpacing w:val="0"/>
        <w:jc w:val="both"/>
      </w:pPr>
      <w:r>
        <w:t xml:space="preserve">Giv en udførlig beskrivelse af det faktiske scenario.</w:t>
      </w:r>
      <w:r>
        <w:t xml:space="preserve"> </w:t>
      </w:r>
      <w:r>
        <w:t xml:space="preserve">Hvis der er tale om ordninger, der dækker forskellige referenceprojekter</w:t>
      </w:r>
      <w:r>
        <w:rPr>
          <w:rStyle w:val="FootnoteReference"/>
          <w:lang w:val="en-IE" w:eastAsia="en-GB"/>
        </w:rPr>
        <w:footnoteReference w:id="6"/>
      </w:r>
      <w:r>
        <w:t xml:space="preserve">, skal der gives en beskrivelse af det faktiske scenario for hvert referenceprojekt.</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 xml:space="preserve">For så vidt foranstaltningen ikke er en støtteordning, skal der til denne anmeldelsesformular vedlægges alle officielle bestyrelsesdokumenter, risikovurderinger, finansielle rapporter, interne forretningsplaner, ekspertudtalelser og andre undersøgelser vedrørende det projekt, der vurderes, dokumenter, der indeholder oplysninger om efterspørgselsprognoser, omkostningsprognoser, finansielle prognoser, dokumenter, der forelægges et investeringsudvalg, og hvori der gøres rede for forskellige investerings-/driftsscenarier, eller dokumenter, der stilles til rådighed for de finansielle institutioner, jf. punkt 28, fodnote 39, i CEEAG.</w:t>
      </w:r>
    </w:p>
    <w:p w14:paraId="489E64F5" w14:textId="104163BA" w:rsidR="00C713DD" w:rsidRPr="00BA15DC" w:rsidRDefault="005F6E6B" w:rsidP="005F6E6B">
      <w:pPr>
        <w:pStyle w:val="ListParagraph"/>
        <w:spacing w:before="120" w:after="120"/>
        <w:ind w:left="1287"/>
        <w:contextualSpacing w:val="0"/>
        <w:jc w:val="both"/>
      </w:pPr>
      <w:r>
        <w:t xml:space="preserve">Bemærk, at disse dokumenter skal være aktuelle i beslutningsprocessen vedrørende investerings-/driftsafgørelsen.</w:t>
      </w:r>
    </w:p>
    <w:p w14:paraId="0F3CF49B" w14:textId="1DE4A9D5" w:rsidR="00DE063E" w:rsidRPr="00BA15DC" w:rsidRDefault="00E32AD5" w:rsidP="005F6E6B">
      <w:pPr>
        <w:pStyle w:val="ListParagraph"/>
        <w:spacing w:before="120" w:after="120"/>
        <w:ind w:left="1287"/>
        <w:contextualSpacing w:val="0"/>
        <w:jc w:val="both"/>
      </w:pPr>
      <w:r>
        <w:t xml:space="preserve">Hvis sådanne dokumenter er vedlagt anmeldelsesformularen, skal der nedenfor anføres en liste over disse dokumenter med angivelse af forfatteren, datoen for deres udarbejdelse og konteksten for deres anvendelse.</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 xml:space="preserve">Med henblik på at påvise overholdelsen af punkt 29 og 31 i CEEAG:</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 xml:space="preserve">bekræft, at arbejdet med projektet eller aktiviteten ikke blev påbegyndt, inden støttemodtageren indgav en skriftlig støtteansøgning til de nationale myndigheder</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 xml:space="preserve">ELLER</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påvis for projekter, som blev påbegyndt før støtteansøgningen, at projektet falder ind under et af de undtagelsestilfælde, der er omhandlet i punkt 31 (litra a), b) eller c), i CEEAG).</w:t>
      </w:r>
      <w:r>
        <w:t xml:space="preserve">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 xml:space="preserve">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 xml:space="preserve">Med henblik på at påvise overholdelsen af punkt 32 i CEEAG skal det angives, om der findes EU-standarder</w:t>
      </w:r>
      <w:r>
        <w:rPr>
          <w:rStyle w:val="FootnoteReference"/>
          <w:lang w:val="en-IE" w:eastAsia="en-GB"/>
        </w:rPr>
        <w:footnoteReference w:id="7"/>
      </w:r>
      <w:r>
        <w:t xml:space="preserve">, der finder anvendelse på den eller de anmeldte foranstaltninger, obligatoriske nationale standarder, der er strengere eller mere ambitiøse end de tilsvarende EU-standarder, eller obligatoriske nationale standarder, som er vedtaget i fravær af EU-standarder.</w:t>
      </w:r>
      <w:r>
        <w:t xml:space="preserve"> </w:t>
      </w:r>
      <w:r>
        <w:t xml:space="preserve">Fremlæg i den forbindelse oplysninger til påvisning af tilskyndelsesvirkningen.</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Når den relevante EU-standard allerede er vedtaget, men endnu ikke er trådt i kraft, skal det påvises, at støtten har en tilskyndelsesvirkning, fordi den tilskynder til, at investeringen gennemføres og afsluttes mindst 18 måneder før, at standarden træder i kraft.</w:t>
      </w:r>
      <w:r>
        <w:t xml:space="preserve">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 xml:space="preserve">Ingen overtrædelse af relevante EU-retlige bestemmelser</w:t>
            </w:r>
          </w:p>
        </w:tc>
      </w:tr>
    </w:tbl>
    <w:p w14:paraId="0AB413A5" w14:textId="77777777" w:rsidR="00B00F48" w:rsidRPr="00BA15DC" w:rsidRDefault="00B00F48" w:rsidP="003B0EFB">
      <w:pPr>
        <w:spacing w:before="120" w:after="120"/>
        <w:jc w:val="both"/>
        <w:rPr>
          <w:i/>
        </w:rPr>
      </w:pPr>
      <w:r>
        <w:rPr>
          <w:i/>
        </w:rPr>
        <w:t xml:space="preserve">Med henblik på angivelsen af oplysningerne i dette afsnit henvises til afsnit 3.1.3, punkt 33, i CEEAG.</w:t>
      </w:r>
      <w:r>
        <w:rPr>
          <w:i/>
        </w:rPr>
        <w:t xml:space="preserve">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Angiv oplysninger til bekræftelse af overholdelsen af de relevante bestemmelser i EU-retten i overensstemmelse med punkt 33 i CEEAG.</w:t>
      </w:r>
      <w:r>
        <w:t xml:space="preserve">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 xml:space="preserve">Hvis en afgift anvendes til at finansiere foranstaltningen/foranstaltningerne, skal det præciseres, om det er nødvendigt at foretage en vurdering af overholdelsen af artikel 30 og 110 i TEUF.</w:t>
      </w:r>
      <w:r>
        <w:t xml:space="preserve"> </w:t>
      </w:r>
      <w:r>
        <w:t xml:space="preserve">Påvis i bekræftende fald, hvordan foranstaltningen er i overensstemmelse med bestemmelserne i artikel 30 og 110 i TEUF.</w:t>
      </w:r>
      <w:r>
        <w:rPr>
          <w:i/>
        </w:rPr>
        <w:t xml:space="preserve"> </w:t>
      </w:r>
      <w:r>
        <w:t xml:space="preserve">I den forbindelse kan der henvises til de oplysninger, der er fremlagt ovenfor under spørgsmål </w:t>
      </w:r>
      <w:r>
        <w:fldChar w:fldCharType="begin" w:dirty="true"/>
      </w:r>
      <w:r>
        <w:instrText xml:space="preserve"> REF _Ref171091150 \r \h </w:instrText>
      </w:r>
      <w:r/>
      <w:r>
        <w:fldChar w:fldCharType="separate"/>
      </w:r>
      <w:r>
        <w:t xml:space="preserve">4</w:t>
      </w:r>
      <w:r>
        <w:fldChar w:fldCharType="end"/>
      </w:r>
      <w:r>
        <w:t xml:space="preserve">, nr. </w:t>
      </w:r>
      <w:r>
        <w:fldChar w:fldCharType="begin" w:dirty="true"/>
      </w:r>
      <w:r>
        <w:instrText xml:space="preserve"> REF _Ref116914400 \r \h </w:instrText>
      </w:r>
      <w:r/>
      <w:r>
        <w:fldChar w:fldCharType="separate"/>
      </w:r>
      <w:r>
        <w:t xml:space="preserve">ii</w:t>
      </w:r>
      <w:r>
        <w:fldChar w:fldCharType="end"/>
      </w:r>
      <w:r>
        <w:t xml:space="preserve">, såfremt den eller de anmeldte foranstaltninger finansieres gennem en afgift.</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 xml:space="preserve">Negativ betingelse:</w:t>
            </w:r>
            <w:r>
              <w:rPr>
                <w:i/>
                <w:color w:val="000000"/>
                <w:sz w:val="28"/>
              </w:rPr>
              <w:t xml:space="preserve"> </w:t>
            </w:r>
            <w:r>
              <w:rPr>
                <w:i/>
                <w:color w:val="000000"/>
                <w:sz w:val="28"/>
              </w:rPr>
              <w:t xml:space="preserve">Støtten påvirker ikke samhandelsvilkårene på en måde, der strider mod den fælles interesse</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w:t>
            </w:r>
            <w:r>
              <w:rPr>
                <w:i/>
                <w:color w:val="000000"/>
                <w:sz w:val="28"/>
              </w:rPr>
              <w:t xml:space="preserve">Minimering af konkurrence- og samhandelsfordrejninger</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 xml:space="preserve">Nødvendigheden og hensigtsmæssigheden af statsstøtte</w:t>
            </w:r>
          </w:p>
        </w:tc>
      </w:tr>
    </w:tbl>
    <w:p w14:paraId="3C23674F" w14:textId="4D2BAF74" w:rsidR="00663008" w:rsidRPr="00BA15DC" w:rsidRDefault="00663008" w:rsidP="003B0EFB">
      <w:pPr>
        <w:spacing w:before="120" w:after="120"/>
        <w:jc w:val="both"/>
        <w:rPr>
          <w:i/>
          <w:color w:val="000000"/>
        </w:rPr>
      </w:pPr>
      <w:r>
        <w:rPr>
          <w:i/>
        </w:rPr>
        <w:t xml:space="preserve">Med henblik på angivelsen af oplysningerne i dette afsnit henvises til afsnit 4.9.3.1, punkt 379 og 380, i CEEAG.</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 xml:space="preserve">I punkt 379 i CEEAG fastsættes det, at markedssvigt i forbindelse med energiinfrastruktur normalt afhjælpes/finansieres ved hjælp af obligatoriske brugertakster, der er underlagt regulering.</w:t>
      </w:r>
      <w:r>
        <w:t xml:space="preserve"> </w:t>
      </w:r>
      <w:r>
        <w:t xml:space="preserve">Som nævnt i punkt 380 i CEEAG behøver dette imidlertid ikke altid være tilfældet.</w:t>
      </w:r>
      <w:r>
        <w:t xml:space="preserve"> </w:t>
      </w:r>
      <w:r>
        <w:t xml:space="preserve">Forklar, i hvilket omfang foranstaltningen afhjælper markedssvigt, der ikke kan afhjælpes ved hjælp af obligatoriske brugertakster.</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 xml:space="preserve">For at påvise, at statsstøtten er nødvendig og hensigtsmæssig, skal det angives, under hvilke af de forskellige situationer det anmeldte projekt skal vurderes:</w:t>
      </w:r>
    </w:p>
    <w:p w14:paraId="14A4B66A" w14:textId="3266CF1A" w:rsidR="00C317A9" w:rsidRPr="00BA15DC" w:rsidRDefault="003618C5" w:rsidP="00C317A9">
      <w:pPr>
        <w:pStyle w:val="ListParagraph"/>
        <w:numPr>
          <w:ilvl w:val="0"/>
          <w:numId w:val="49"/>
        </w:numPr>
        <w:spacing w:before="120" w:after="120"/>
        <w:contextualSpacing w:val="0"/>
        <w:jc w:val="both"/>
      </w:pPr>
      <w:r>
        <w:t xml:space="preserve">det anmeldte projekt er et projekt af fælles interesse som defineret i artikel 2, nr. 4), i forordning (EU) nr. 347/2013, som er fuldt ud underlagt lovgivningen om det indre energimarked.</w:t>
      </w:r>
      <w:r>
        <w:t xml:space="preserve"> </w:t>
      </w:r>
      <w:r>
        <w:t xml:space="preserve">I denne situation er Kommissionen af den opfattelse, at der foreligger en formodning om markedssvigt.</w:t>
      </w:r>
      <w:r>
        <w:t xml:space="preserve"> </w:t>
      </w:r>
      <w:r>
        <w:t xml:space="preserve">Det ikke er nødvendigt, at medlemsstaten yderligere begrunder behovet for og hensigtsmæssigheden af statsstøtten, eller</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 xml:space="preserve">det anmeldte projekt ikke er et projekt af fælles interesse som defineret ovenfor eller er et projekt af fælles interesse, men er helt eller delvis undtaget fra lovgivningen om det indre energimarked, eller</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 xml:space="preserve">projektet er ikke et projekt af fælles interesse og er mellem Unionen og et tredjeland.</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Hvis det anmeldte projekt falder ind under den situation, der er nævnt i punkt </w:t>
      </w:r>
      <w:r>
        <w:rPr>
          <w:b/>
        </w:rPr>
        <w:t xml:space="preserve">19, litra b)</w:t>
      </w:r>
      <w:r>
        <w:t xml:space="preserve">, ovenfor, skal der for at begrunde nødvendigheden og hensigtsmæssigheden af foranstaltningen redegøres for, i hvilket omfang:</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markedssvigtet fører til en ikke optimal tilvejebringelse af den nødvendige infrastruktur</w:t>
      </w:r>
      <w:r>
        <w:t xml:space="preserv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tredjeparter har adgang til infrastrukturen og den er underlagt takstregulering</w:t>
      </w:r>
      <w:r>
        <w:t xml:space="preserve">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projektet bidrager til forsyningssikkerheden i Unionen eller til Unionens mål om klimaneutralitet.</w:t>
      </w:r>
      <w:r>
        <w:t xml:space="preserve">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Hvis projektet er omfattet af den situation, der er nævnt i punkt </w:t>
      </w:r>
      <w:r>
        <w:rPr>
          <w:b/>
        </w:rPr>
        <w:t xml:space="preserve">19.c</w:t>
      </w:r>
      <w:r>
        <w:t xml:space="preserve">, skal der redegøres for, om i) projektet for den del af infrastrukturen, der er beliggende på Unionens område, er bygget og drevet i overensstemmelse med EU-lovgivningen, navnlig direktiv 2009/73/EF og (EU) 2019/944, og om ii) projektet for den del, der er beliggende i tredjelande, har et højt niveau af lovgivningsmæssig tilpasning og støtter Unionens overordnede mål, navnlig for at sikre:</w:t>
      </w:r>
      <w:r>
        <w:t xml:space="preserve">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et velfungerende indre energimarked</w:t>
      </w:r>
      <w:r>
        <w:t xml:space="preserve">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energiforsyningssikkerhed baseret på samarbejde og solidaritet</w:t>
      </w:r>
      <w:r>
        <w:t xml:space="preserve"> </w:t>
      </w:r>
    </w:p>
    <w:p w14:paraId="6F1E0EF7" w14:textId="78DFE7A8" w:rsidR="0097238E" w:rsidRPr="00BA15DC" w:rsidRDefault="003618C5" w:rsidP="0097238E">
      <w:pPr>
        <w:pStyle w:val="ListParagraph"/>
        <w:numPr>
          <w:ilvl w:val="0"/>
          <w:numId w:val="53"/>
        </w:numPr>
        <w:spacing w:before="120" w:after="120"/>
        <w:contextualSpacing w:val="0"/>
        <w:jc w:val="both"/>
      </w:pPr>
      <w:r>
        <w:t xml:space="preserve">et energisystem i retning af dekarbonisering i overensstemmelse med Parisaftalen og Unionens klimamål og navnlig</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undgåelse af kulstoflækage.</w:t>
      </w:r>
      <w:r>
        <w:t xml:space="preserv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sz w:val="24"/>
                <w:color w:val="000000"/>
              </w:rPr>
              <w:t xml:space="preserve">Støttens proportionalitet</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 xml:space="preserve">Med henblik på angivelsen af oplysningerne i dette afsnit henvises til punkt 51-52 og 381 i CEEAG.</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I henhold til punkt 51 i CEEAG kan de typiske nettomeromkostninger anslås som forskellen mellem nettonutidsværdien for det faktiske scenario og for det kontrafaktiske scenario i projektets levetid eller pr. referenceprojekt, såfremt det er relevant.</w:t>
      </w:r>
      <w:r>
        <w:t xml:space="preserve"> </w:t>
      </w:r>
      <w:r>
        <w:t xml:space="preserve">Hvis det kontrafaktiske scenario er, at projektet ikke vil blive gennemført (se punkt 52 i CEEAG), er den negative nettonutidsværdi i det faktiske scenario lig med nettomeromkostningerne.</w:t>
      </w:r>
      <w:r>
        <w:t xml:space="preserve"> </w:t>
      </w:r>
    </w:p>
    <w:p w14:paraId="2FF71764" w14:textId="253C5AA4" w:rsidR="001620DB" w:rsidRPr="00BA15DC" w:rsidRDefault="00095D42" w:rsidP="00095D42">
      <w:pPr>
        <w:pStyle w:val="ListParagraph"/>
        <w:spacing w:before="120" w:after="120"/>
        <w:ind w:left="567"/>
        <w:contextualSpacing w:val="0"/>
        <w:jc w:val="both"/>
      </w:pPr>
      <w:r>
        <w:t xml:space="preserve">Angiv følgende i et bilag til denne anmeldelsesformular (ved hjælp af en Excel-fil, hvor alle formler er synlige).</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 xml:space="preserve">For at fastslå finansieringskløften</w:t>
      </w:r>
      <w:r>
        <w:rPr>
          <w:rStyle w:val="FootnoteReference"/>
          <w:shd w:val="clear" w:color="auto" w:fill="FFFFFF"/>
        </w:rPr>
        <w:footnoteReference w:id="8"/>
      </w:r>
      <w:r>
        <w:rPr>
          <w:shd w:val="clear" w:color="auto" w:fill="FFFFFF"/>
        </w:rPr>
        <w:t xml:space="preserve"> skal der for det faktiske scenario forelægges en kvantificering for:</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 xml:space="preserve">alle projektets vigtigste omkostninger og indtægter</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 xml:space="preserve">de anslåede vægtede gennemsnitlige kapitalomkostninger (WACC) for støttemodtagerne for at diskontere fremtidige pengestrømme</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 xml:space="preserve">nettonutidsværdien for det faktiske scenario i projektets levetid.</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Vedlæg i et bilag til denne anmeldelsesformular detaljerede oplysninger om de antagelser, metoder, begrundelser og bagvedliggende kilder, der er anvendt for hvert aspekt af kvantificeringen af omkostninger og indtægter i det faktiske scenario (angiv f.eks. de antagelser, der er anvendt til at udarbejde det faktiske scenario)</w:t>
      </w:r>
      <w:r>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 xml:space="preserve">I henhold til punkt 53 i CEEAG skal medlemsstaten i tilfælde af individuel støtte og ordninger til fordel for et særligt begrænset antal støttemodtagere fremlægge dokumentationen i den detaljerede forretningsplan for projektet.</w:t>
      </w:r>
    </w:p>
    <w:p w14:paraId="584CA833" w14:textId="436A6E2D" w:rsidR="00124B6F" w:rsidRPr="00C34CB6" w:rsidRDefault="00C53C43" w:rsidP="00232CF6">
      <w:pPr>
        <w:pStyle w:val="ListParagraph"/>
        <w:spacing w:before="120" w:after="120"/>
        <w:ind w:left="567"/>
        <w:contextualSpacing w:val="0"/>
        <w:jc w:val="both"/>
      </w:pPr>
      <w:r>
        <w:t xml:space="preserve">I tilfælde af støtteordninger skal medlemsstaten fremlægge dokumentation på grundlag af et eller flere referenceprojekter.</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 xml:space="preserve">For at gøre det muligt for Kommissionen at undersøge, om støttebeløbet ikke overstiger det minimum, der er nødvendigt for, at det støttemodtagende projekt er tilstrækkeligt rentabelt</w:t>
      </w:r>
      <w:r>
        <w:rPr>
          <w:rStyle w:val="FootnoteReference"/>
          <w:lang w:eastAsia="en-GB"/>
        </w:rPr>
        <w:footnoteReference w:id="9"/>
      </w:r>
      <w:r>
        <w:t xml:space="preserve">, gives følgende oplysninger:</w:t>
      </w:r>
    </w:p>
    <w:p w14:paraId="020A0406" w14:textId="40D27EEF" w:rsidR="00EC2A7D" w:rsidRPr="00BA15DC" w:rsidRDefault="00EC2A7D" w:rsidP="00C003E3">
      <w:pPr>
        <w:pStyle w:val="ListParagraph"/>
        <w:numPr>
          <w:ilvl w:val="1"/>
          <w:numId w:val="4"/>
        </w:numPr>
        <w:spacing w:before="120" w:after="120"/>
        <w:contextualSpacing w:val="0"/>
        <w:jc w:val="both"/>
      </w:pPr>
      <w:r>
        <w:t xml:space="preserve">det interne afkast (IRR) svarende til det sektor- eller virksomhedsspecifikke benchmark eller kritiske afkast</w:t>
      </w:r>
      <w:r>
        <w:t xml:space="preserve"> </w:t>
      </w:r>
      <w:r>
        <w:t xml:space="preserve">eller</w:t>
      </w:r>
    </w:p>
    <w:p w14:paraId="056D5BF9" w14:textId="64F3B5CD" w:rsidR="00AB47A1" w:rsidRPr="00BA15DC" w:rsidRDefault="007315B8" w:rsidP="00C003E3">
      <w:pPr>
        <w:pStyle w:val="ListParagraph"/>
        <w:numPr>
          <w:ilvl w:val="1"/>
          <w:numId w:val="4"/>
        </w:numPr>
        <w:spacing w:before="120" w:after="120"/>
        <w:contextualSpacing w:val="0"/>
        <w:jc w:val="both"/>
      </w:pPr>
      <w:r>
        <w:t xml:space="preserve">det afkast, støttemodtageren normalt kræver i forbindelse med andre investeringsprojekter af lignende art, støttemodtagerens generelle kapitalomkostninger</w:t>
      </w:r>
      <w:r>
        <w:t xml:space="preserve"> </w:t>
      </w:r>
      <w:r>
        <w:t xml:space="preserve">eller</w:t>
      </w:r>
    </w:p>
    <w:p w14:paraId="13B46137" w14:textId="062C7DC0" w:rsidR="0029714D" w:rsidRPr="00BA15DC" w:rsidRDefault="007315B8" w:rsidP="00C003E3">
      <w:pPr>
        <w:pStyle w:val="ListParagraph"/>
        <w:numPr>
          <w:ilvl w:val="1"/>
          <w:numId w:val="4"/>
        </w:numPr>
        <w:spacing w:before="120" w:after="120"/>
        <w:contextualSpacing w:val="0"/>
        <w:jc w:val="both"/>
      </w:pPr>
      <w:r>
        <w:t xml:space="preserve">det afkast, der ses generelt i den pågældende sektor,</w:t>
      </w:r>
      <w:r>
        <w:t xml:space="preserve"> </w:t>
      </w:r>
      <w:r>
        <w:t xml:space="preserve">eller</w:t>
      </w:r>
    </w:p>
    <w:p w14:paraId="0691A0E0" w14:textId="27443E78" w:rsidR="00445F48" w:rsidRPr="00BA15DC" w:rsidRDefault="001622D8" w:rsidP="00C003E3">
      <w:pPr>
        <w:pStyle w:val="ListParagraph"/>
        <w:numPr>
          <w:ilvl w:val="1"/>
          <w:numId w:val="4"/>
        </w:numPr>
        <w:spacing w:before="120" w:after="120"/>
        <w:contextualSpacing w:val="0"/>
        <w:jc w:val="both"/>
      </w:pPr>
      <w:r>
        <w:t xml:space="preserve">andre oplysninger, der begrunder, at støttebeløbet ikke overstiger det minimum, der er nødvendigt for, at det støttemodtagende projekt er tilstrækkeligt rentabelt.</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 xml:space="preserve">I henhold til punkt 381 CEEAG kan det være nødvendigt at indføre overvågnings- og tilbagebetalingsmekanismer, hvis støtten ligger tæt på det tilladte maksimum, og der er en betydelig risiko for uventede fortjenester, samtidig med at støttemodtagerne fortsat tilskyndes til at minimere deres omkostninger og udvikle deres virksomhed mere effektivt over tid.</w:t>
      </w:r>
      <w:r>
        <w:t xml:space="preserve"> </w:t>
      </w:r>
      <w:r>
        <w:t xml:space="preserve">Redegør for, om der er indført en overvågnings- og tilbagebetalingsmekanisme.</w:t>
      </w:r>
      <w:r>
        <w:t xml:space="preserve"> </w:t>
      </w:r>
      <w:r>
        <w:t xml:space="preserve">Hvis dette ikke er tilfældet, skal det begrundes.</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 xml:space="preserve">Kumulering</w:t>
            </w:r>
          </w:p>
        </w:tc>
      </w:tr>
    </w:tbl>
    <w:p w14:paraId="2346A85D" w14:textId="72F525D8" w:rsidR="00B21377" w:rsidRPr="00BA15DC" w:rsidRDefault="00B21377" w:rsidP="00B21377">
      <w:pPr>
        <w:pStyle w:val="ListParagraph"/>
        <w:spacing w:before="120" w:after="120"/>
        <w:ind w:left="567"/>
        <w:contextualSpacing w:val="0"/>
        <w:jc w:val="both"/>
      </w:pPr>
      <w:r>
        <w:rPr>
          <w:i/>
        </w:rPr>
        <w:t xml:space="preserve">Med henblik på angivelsen af oplysningerne i dette afsnit henvises til punkt 56-57 i CEEAG</w:t>
      </w:r>
      <w:r>
        <w:t xml:space="preserve">.</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For så vidt som det ikke allerede er angivet i afsnit 7.4 i formularen vedrørende generelle oplysninger (del I) og for at kontrollere overholdelsen af punkt 56 i CEEAG, skal det præciseres, om støtten inden for rammerne af den eller de anmeldte foranstaltninger kan tildeles sideløbende efter flere støtteordninger, eller den kan kumuleres med ad hoc-støtte eller de minimis-støtte i forbindelse med de samme støtteberettigede omkostninger.</w:t>
      </w:r>
      <w:r>
        <w:t xml:space="preserve"> </w:t>
      </w:r>
      <w:r>
        <w:t xml:space="preserve">Giv, hvis dette er tilfældet, nærmere oplysninger om disse støtteordninger, ad hoc-støtte eller de minimis-støtte, og hvordan støtten vil blive kumuleret.</w:t>
      </w:r>
      <w:r>
        <w:t xml:space="preserve"> </w:t>
      </w:r>
      <w:r>
        <w:t xml:space="preserve">Bemærk, at der kan henvises til kvantificeringen ovenfor.</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Såfremt støtte tildeles sideløbende efter flere støtteordninger, eller den kan kumuleres med ad hoc-støtte eller de minimis-støtte i forbindelse med de samme støtteberettigede omkostninger, skal det begrundes, hvordan det samlede støttebeløb, der ydes i henhold til den eller de anmeldte foranstaltninger til et projekt eller en aktivitet, ikke fører til overkompensation eller overstiger det maksimale støttebeløb, som er tilladt i henhold til punkt 51 og 381 i CEEAG.</w:t>
      </w:r>
      <w:r>
        <w:t xml:space="preserve"> </w:t>
      </w:r>
      <w:r>
        <w:t xml:space="preserve">Angiv for hver foranstaltning, hvorunder støtte givet i henhold til den eller de anmeldte støtteforanstaltninger kan kumuleres, den metode, der er anvendt til at sikre overholdelse af betingelserne i punkt 56 i CEEAG.</w:t>
      </w:r>
      <w:r>
        <w:t xml:space="preserve">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 xml:space="preserve">Hvis den støtte, der ydes i henhold til den eller de anmeldte foranstaltninger, kombineres med centralt forvaltede EU-midler, jf. punkt 57 i CEEAG</w:t>
      </w:r>
      <w:r>
        <w:rPr>
          <w:rStyle w:val="FootnoteReference"/>
          <w:lang w:eastAsia="en-GB"/>
        </w:rPr>
        <w:footnoteReference w:id="10"/>
      </w:r>
      <w:r>
        <w:t xml:space="preserve">, skal det begrundes, hvordan den samlede offentlige finansiering, der ydes i forbindelse med de samme støtteberettigede omkostninger, ikke fører til overkompensation.</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 xml:space="preserve">Gennemsigtighed</w:t>
            </w:r>
          </w:p>
        </w:tc>
      </w:tr>
    </w:tbl>
    <w:p w14:paraId="07229A8F" w14:textId="24C7C0FA" w:rsidR="006773CE" w:rsidRPr="00BA15DC" w:rsidRDefault="006773CE" w:rsidP="003B0EFB">
      <w:pPr>
        <w:spacing w:before="120" w:after="120"/>
        <w:jc w:val="both"/>
        <w:rPr>
          <w:i/>
        </w:rPr>
      </w:pPr>
      <w:r>
        <w:rPr>
          <w:i/>
        </w:rPr>
        <w:t xml:space="preserve">Med henblik på angivelsen af oplysningerne i dette afsnit henvises til afsnit 3.2.1.4, punkt 58-62, i CEEAG.</w:t>
      </w:r>
      <w:r>
        <w:rPr>
          <w:i/>
        </w:rPr>
        <w:t xml:space="preserve">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szCs w:val="24"/>
          <w:rFonts w:eastAsia="Times New Roman"/>
        </w:rPr>
      </w:pPr>
      <w:r>
        <w:t xml:space="preserve">Bekræft, at medlemsstaten vil opfylde kravene om gennemsigtighed i punkt 58-61 i CEEAG.</w:t>
      </w:r>
      <w:r>
        <w:t xml:space="preserve">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w:t>
            </w:r>
            <w:r>
              <w:rPr>
                <w:i/>
                <w:color w:val="000000"/>
                <w:sz w:val="28"/>
              </w:rPr>
              <w:t xml:space="preserve">Undgåelse af støttens uberettigede negative virkninger på konkurrencen og samhandelen og på balanceringen</w:t>
            </w:r>
          </w:p>
        </w:tc>
      </w:tr>
    </w:tbl>
    <w:p w14:paraId="32B25629" w14:textId="6CBE1875" w:rsidR="00F83660" w:rsidRPr="00BA15DC" w:rsidRDefault="00F83660" w:rsidP="003B0EFB">
      <w:pPr>
        <w:spacing w:before="360" w:after="120"/>
        <w:jc w:val="both"/>
      </w:pPr>
      <w:r>
        <w:t xml:space="preserve">Med henblik på angivelsen af oplysningerne i dette afsnit henvises til afsnit 4.9.4, punkt 382ff., i CEEAG.</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Hvis det anmeldte projekt helt eller delvis er undtaget fra lovgivningen om det indre energimarked, bedes du redegøre for:</w:t>
      </w:r>
      <w:r>
        <w:t xml:space="preserv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i hvilket omfang den støttede infrastruktur er åben for tredjepartsadgang</w:t>
      </w:r>
      <w:r>
        <w:t xml:space="preserve">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i hvilket omfang kunder kan få adgang til eventuel alternativ infrastruktur</w:t>
      </w:r>
      <w:r>
        <w:t xml:space="preserve"> </w:t>
      </w:r>
    </w:p>
    <w:p w14:paraId="14CAE043" w14:textId="0F765E36" w:rsidR="009013F3" w:rsidRPr="00BA15DC" w:rsidRDefault="009C221E" w:rsidP="00232CF6">
      <w:pPr>
        <w:pStyle w:val="ListParagraph"/>
        <w:numPr>
          <w:ilvl w:val="0"/>
          <w:numId w:val="53"/>
        </w:numPr>
        <w:spacing w:before="120" w:after="120"/>
        <w:contextualSpacing w:val="0"/>
        <w:jc w:val="both"/>
      </w:pPr>
      <w:r>
        <w:t xml:space="preserve">i hvilket omfang projektet kan føre til fortrængning af private investeringer</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støttemodtagerens/støttemodtagernes konkurrencemæssige stilling, både med hensyn til driften af infrastrukturen og med hensyn til relevante produktmarkeder for den vare, der transporteres med infrastrukturen.</w:t>
      </w:r>
      <w:r>
        <w:t xml:space="preserve">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 xml:space="preserve">Hvis det anmeldte projekt er en naturgasinfrastruktur, skal der gives oplysninger om, hvordan det anmeldte projekt vil opfylde følgende betingelser:</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infrastrukturen er klar til brug af brint og fører til øget anvendelse af vedvarende gasser,</w:t>
      </w:r>
      <w:r>
        <w:t xml:space="preserve"> </w:t>
      </w:r>
      <w:r>
        <w:t xml:space="preserve">eller alternativt grunden til, at det ikke er muligt at udforme projektet, så det er klar til brug af brint, og hvordan projektet ikke skaber en fastlåsning af brugen af naturgas</w:t>
      </w:r>
      <w:r>
        <w:t xml:space="preserve"> </w:t>
      </w:r>
    </w:p>
    <w:p w14:paraId="49495890" w14:textId="19234331" w:rsidR="009013F3" w:rsidRDefault="009013F3" w:rsidP="00232CF6">
      <w:pPr>
        <w:pStyle w:val="ListParagraph"/>
        <w:numPr>
          <w:ilvl w:val="0"/>
          <w:numId w:val="53"/>
        </w:numPr>
        <w:spacing w:before="120" w:after="120"/>
        <w:contextualSpacing w:val="0"/>
        <w:jc w:val="both"/>
      </w:pPr>
      <w:r>
        <w:t xml:space="preserve">investeringen bidrager til at nå Unionens klimamål for 2030 og mål om klimaneutralitet i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 xml:space="preserve">Hvis det anmeldte projekt er et projekt af fælles interesse eller et projekt af gensidig interesse, der ikke er omfattet af lovgivningen om det indre marked, bedes du forklare, hvilken indvirkning projektet vil få på relaterede tjenestemarkeder og på andre tjenestemarkeder.</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b/>
                <w:i/>
                <w:color w:val="000000"/>
                <w:sz w:val="28"/>
                <w:szCs w:val="28"/>
                <w:rFonts w:eastAsia="Times New Roman"/>
              </w:rPr>
            </w:pPr>
            <w:r>
              <w:br w:type="page"/>
            </w:r>
            <w:r>
              <w:rPr>
                <w:b/>
                <w:i/>
                <w:color w:val="000000"/>
                <w:sz w:val="28"/>
              </w:rPr>
              <w:t xml:space="preserve">Evaluering</w:t>
            </w:r>
          </w:p>
        </w:tc>
      </w:tr>
    </w:tbl>
    <w:p w14:paraId="78AC9B95" w14:textId="1FB76E7E" w:rsidR="00C33721" w:rsidRPr="00BA15DC" w:rsidRDefault="00C33721" w:rsidP="004F3B88">
      <w:pPr>
        <w:tabs>
          <w:tab w:val="left" w:leader="dot" w:pos="9072"/>
        </w:tabs>
        <w:spacing w:before="120" w:after="120"/>
        <w:ind w:left="567"/>
        <w:jc w:val="both"/>
        <w:rPr>
          <w:i/>
          <w:iCs/>
        </w:rPr>
      </w:pPr>
      <w:r>
        <w:rPr>
          <w:i/>
        </w:rPr>
        <w:t xml:space="preserve">Med henblik på angivelsen af oplysningerne i dette afsnit henvises til punkt 76, litra a), og kapitel 5, punkt 455-463, i CEEAG.</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 xml:space="preserve">Hvis den eller de anmeldte foranstaltninger overskrider budget- eller udgiftstærsklerne i punkt 456 i CEEAG, skal det enten forklares, hvorfor undtagelsen i punkt 457 i CEEAG efter jeres mening bør finde anvendelse, eller der skal vedlægges et bilag til denne anmeldelsesformular, som indeholder et udkast til evalueringsplan, der dækker det anvendelsesområde, der er nævnt i punkt 458 i CEEAG</w:t>
      </w:r>
      <w:r>
        <w:rPr>
          <w:vertAlign w:val="superscript"/>
          <w:lang w:eastAsia="en-GB"/>
        </w:rPr>
        <w:footnoteReference w:id="11"/>
      </w:r>
      <w:r>
        <w:t xml:space="preserve">.</w:t>
      </w:r>
    </w:p>
    <w:p w14:paraId="666FDAB3" w14:textId="77777777" w:rsidR="009618E4" w:rsidRPr="00BA15DC" w:rsidRDefault="009618E4" w:rsidP="009618E4">
      <w:pPr>
        <w:spacing w:before="120" w:after="120"/>
        <w:ind w:firstLine="567"/>
        <w:jc w:val="both"/>
      </w:pPr>
      <w:r>
        <w:t xml:space="preserve">……………………………………………………………………………………………</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 xml:space="preserve">Hvis der fremlægges et udkast til evalueringsplan, skal der:</w:t>
      </w:r>
    </w:p>
    <w:p w14:paraId="08BAA496" w14:textId="23665408" w:rsidR="009618E4" w:rsidRPr="00BA15DC" w:rsidRDefault="009618E4" w:rsidP="009618E4">
      <w:pPr>
        <w:numPr>
          <w:ilvl w:val="0"/>
          <w:numId w:val="61"/>
        </w:numPr>
        <w:spacing w:before="120" w:after="120"/>
        <w:jc w:val="both"/>
      </w:pPr>
      <w:r>
        <w:t xml:space="preserve">nedenfor gives et resumé af udkastet til evalueringsplanen i bilaget</w:t>
      </w:r>
    </w:p>
    <w:p w14:paraId="7B48B620" w14:textId="77777777" w:rsidR="009618E4" w:rsidRPr="00BA15DC" w:rsidRDefault="009618E4" w:rsidP="009618E4">
      <w:pPr>
        <w:spacing w:before="120" w:after="120"/>
        <w:ind w:left="1440"/>
        <w:jc w:val="both"/>
      </w:pPr>
      <w:r>
        <w:t xml:space="preserve">………………………………………………………………………………….</w:t>
      </w:r>
    </w:p>
    <w:p w14:paraId="2F7FED33" w14:textId="27B289B4" w:rsidR="009618E4" w:rsidRPr="00BA15DC" w:rsidRDefault="009618E4" w:rsidP="009618E4">
      <w:pPr>
        <w:numPr>
          <w:ilvl w:val="0"/>
          <w:numId w:val="61"/>
        </w:numPr>
        <w:spacing w:before="120" w:after="120"/>
        <w:jc w:val="both"/>
      </w:pPr>
      <w:r>
        <w:t xml:space="preserve">gives en bekræftelse af, at punkt 460 i CEEAG vil blive overholdt</w:t>
      </w:r>
    </w:p>
    <w:p w14:paraId="59BB95DE" w14:textId="77777777" w:rsidR="009618E4" w:rsidRPr="00BA15DC" w:rsidRDefault="009618E4" w:rsidP="009618E4">
      <w:pPr>
        <w:spacing w:before="120" w:after="120"/>
        <w:ind w:left="1440"/>
        <w:jc w:val="both"/>
      </w:pPr>
      <w:r>
        <w:t xml:space="preserve">………………………………………………………………………………….</w:t>
      </w:r>
      <w:r>
        <w:t xml:space="preserve"> </w:t>
      </w:r>
    </w:p>
    <w:p w14:paraId="0C714569" w14:textId="07598D38" w:rsidR="009618E4" w:rsidRPr="00BA15DC" w:rsidRDefault="009618E4" w:rsidP="009618E4">
      <w:pPr>
        <w:numPr>
          <w:ilvl w:val="0"/>
          <w:numId w:val="61"/>
        </w:numPr>
        <w:spacing w:before="120" w:after="120"/>
        <w:jc w:val="both"/>
      </w:pPr>
      <w:r>
        <w:t xml:space="preserve">angives den dato og det internetlink, hvor evalueringsplanen offentliggøres.</w:t>
      </w:r>
    </w:p>
    <w:p w14:paraId="708085DD" w14:textId="77777777" w:rsidR="009618E4" w:rsidRPr="00BA15DC" w:rsidRDefault="009618E4" w:rsidP="009618E4">
      <w:pPr>
        <w:spacing w:before="120" w:after="120"/>
        <w:ind w:left="1440"/>
        <w:jc w:val="both"/>
      </w:pPr>
      <w:r>
        <w:t xml:space="preserve">………………………………………………………………………………….</w:t>
      </w: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løbetid.</w:t>
      </w:r>
      <w:r>
        <w:t xml:space="preserv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 xml:space="preserve">Med henblik på at påvise overholdelsen af punkt 461 i CEEAG:</w:t>
      </w:r>
    </w:p>
    <w:p w14:paraId="3F285296" w14:textId="77777777" w:rsidR="009618E4" w:rsidRPr="00BA15DC" w:rsidRDefault="009618E4" w:rsidP="009618E4">
      <w:pPr>
        <w:numPr>
          <w:ilvl w:val="0"/>
          <w:numId w:val="62"/>
        </w:numPr>
        <w:spacing w:before="120" w:after="120"/>
        <w:jc w:val="both"/>
      </w:pPr>
      <w:r>
        <w:t xml:space="preserve">Angiv, om den uafhængige ekspert allerede er blevet udvalgt eller vil blive udvalgt senere.</w:t>
      </w:r>
    </w:p>
    <w:p w14:paraId="08F51425" w14:textId="77777777" w:rsidR="009618E4" w:rsidRPr="00BA15DC" w:rsidRDefault="009618E4" w:rsidP="009618E4">
      <w:pPr>
        <w:spacing w:before="120" w:after="120"/>
        <w:ind w:left="1440"/>
        <w:jc w:val="both"/>
      </w:pPr>
      <w:r>
        <w:t xml:space="preserve">…………………………………………………………………………………..</w:t>
      </w:r>
    </w:p>
    <w:p w14:paraId="3D128624" w14:textId="77777777" w:rsidR="009618E4" w:rsidRPr="00BA15DC" w:rsidRDefault="009618E4" w:rsidP="009618E4">
      <w:pPr>
        <w:numPr>
          <w:ilvl w:val="0"/>
          <w:numId w:val="62"/>
        </w:numPr>
        <w:spacing w:before="120" w:after="120"/>
        <w:jc w:val="both"/>
      </w:pPr>
      <w:r>
        <w:t xml:space="preserve">Angiv oplysninger om proceduren for udvælgelse af eksperten.</w:t>
      </w:r>
    </w:p>
    <w:p w14:paraId="0AB0DD7C" w14:textId="77777777" w:rsidR="009618E4" w:rsidRPr="00BA15DC" w:rsidRDefault="009618E4" w:rsidP="009618E4">
      <w:pPr>
        <w:spacing w:before="120" w:after="120"/>
        <w:ind w:left="1440"/>
        <w:jc w:val="both"/>
      </w:pPr>
      <w:r>
        <w:t xml:space="preserve">………………………………………………………………………………….</w:t>
      </w:r>
    </w:p>
    <w:p w14:paraId="3E2D9FAF" w14:textId="77777777" w:rsidR="009618E4" w:rsidRPr="00BA15DC" w:rsidRDefault="009618E4" w:rsidP="009618E4">
      <w:pPr>
        <w:numPr>
          <w:ilvl w:val="0"/>
          <w:numId w:val="62"/>
        </w:numPr>
        <w:spacing w:before="120" w:after="120"/>
        <w:jc w:val="both"/>
      </w:pPr>
      <w:r>
        <w:t xml:space="preserve">Begrund, hvordan eksperten er uafhængig af den støttetildelende myndighed.</w:t>
      </w:r>
    </w:p>
    <w:p w14:paraId="7753DAE8" w14:textId="77777777" w:rsidR="009618E4" w:rsidRPr="00BA15DC" w:rsidRDefault="009618E4" w:rsidP="009618E4">
      <w:pPr>
        <w:spacing w:before="120" w:after="120"/>
        <w:ind w:left="1440"/>
        <w:jc w:val="both"/>
      </w:pPr>
      <w:r>
        <w:t xml:space="preserve">…………………………………………………………………………………..</w:t>
      </w: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Med henblik på at påvise overholdelsen af punkt 461 i CEEAG:</w:t>
      </w:r>
      <w:r>
        <w:t xml:space="preserve"> </w:t>
      </w:r>
    </w:p>
    <w:p w14:paraId="4F8AF9B0" w14:textId="77777777" w:rsidR="009618E4" w:rsidRPr="00BA15DC" w:rsidRDefault="009618E4" w:rsidP="009618E4">
      <w:pPr>
        <w:numPr>
          <w:ilvl w:val="0"/>
          <w:numId w:val="63"/>
        </w:numPr>
        <w:spacing w:before="120" w:after="120"/>
        <w:jc w:val="both"/>
      </w:pPr>
      <w:r>
        <w:t xml:space="preserve">Angiv de foreslåede frister for indgivelse af midtvejsrapporten og den endelige evalueringsrapport.</w:t>
      </w:r>
      <w:r>
        <w:t xml:space="preserve"> </w:t>
      </w:r>
      <w:r>
        <w:t xml:space="preserve">Bemærk, at den endelige evalueringsrapport skal forelægges Kommissionen så betids, at den kan indgå i vurderingen af en eventuel forlængelse af støtteordningen, og senest ni måneder før dens udløb, jf. punkt 463 i CEEAG.</w:t>
      </w:r>
      <w:r>
        <w:t xml:space="preserve"> </w:t>
      </w:r>
      <w:r>
        <w:t xml:space="preserve">Bemærk, at denne frist kan afkortes for ordninger, der udløser evalueringskravet i de sidste to gennemførelsesår.</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Bekræft, at midtvejsrapporten og den endelige evalueringsrapport vil blive offentliggjort.</w:t>
      </w:r>
      <w:r>
        <w:t xml:space="preserve"> </w:t>
      </w:r>
      <w:r>
        <w:t xml:space="preserve">Angiv den dato og det internetlink, hvor disse rapporter offentliggøres.</w:t>
      </w:r>
      <w:r>
        <w:t xml:space="preserve">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b/>
                <w:i/>
                <w:sz w:val="28"/>
                <w:szCs w:val="28"/>
                <w:rFonts w:eastAsia="Times New Roman"/>
              </w:rPr>
            </w:pPr>
            <w:r>
              <w:rPr>
                <w:b/>
                <w:i/>
                <w:sz w:val="28"/>
              </w:rPr>
              <w:t xml:space="preserve">Rapportering og overvågning</w:t>
            </w:r>
          </w:p>
        </w:tc>
      </w:tr>
    </w:tbl>
    <w:p w14:paraId="21EA55F3" w14:textId="77777777" w:rsidR="009618E4" w:rsidRPr="00BA15DC" w:rsidRDefault="009618E4" w:rsidP="004F3B88">
      <w:pPr>
        <w:tabs>
          <w:tab w:val="left" w:leader="dot" w:pos="9072"/>
        </w:tabs>
        <w:spacing w:before="120" w:after="120"/>
        <w:ind w:left="567"/>
        <w:jc w:val="both"/>
      </w:pPr>
      <w:r>
        <w:rPr>
          <w:i/>
        </w:rPr>
        <w:t xml:space="preserve">Med henblik på angivelsen af oplysningerne i dette afsnit henvises til afsnit 6, punkt 464-465, i CEEAG.</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 xml:space="preserve">Bekræft, at medlemsstaten vil opfylde kravene om rapportering og overvågning i afsnit 6, punkt 464 og 465, i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 xml:space="preserve">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r>
      <w:r>
        <w:t xml:space="preserve">EUT C 80 af 18.2.2022, s. 1.</w:t>
      </w:r>
    </w:p>
  </w:footnote>
  <w:footnote w:id="3">
    <w:p w14:paraId="74C65A5D" w14:textId="77777777" w:rsidR="008E3BF9" w:rsidRPr="0067348B" w:rsidRDefault="008E3BF9" w:rsidP="008E3BF9">
      <w:pPr>
        <w:pStyle w:val="FootnoteText"/>
      </w:pPr>
      <w:r>
        <w:rPr>
          <w:rStyle w:val="FootnoteReference"/>
        </w:rPr>
        <w:footnoteRef/>
      </w:r>
      <w:r>
        <w:tab/>
      </w:r>
      <w:r>
        <w:t xml:space="preserve">Bemærk, at for en støtteordning er varigheden den periode, hvor der kan ansøges om og træffes afgørelse om støtte (herunder den tid, der er nødvendig for, at de nationale myndigheder kan godkende støtteansøgningerne).</w:t>
      </w:r>
      <w:r>
        <w:t xml:space="preserve"> </w:t>
      </w:r>
      <w:r>
        <w:t xml:space="preserve">Den varighed, der henvises til i dette spørgsmål, vedrører ikke varigheden af de kontrakter, der er indgået inden for rammerne af støtteordningen og kan fortsætte ud over foranstaltningens varighed.</w:t>
      </w:r>
    </w:p>
  </w:footnote>
  <w:footnote w:id="4">
    <w:p w14:paraId="5C28E81B" w14:textId="27D21C7E" w:rsidR="00F7269C" w:rsidRPr="0067348B" w:rsidRDefault="00F7269C" w:rsidP="00F7269C">
      <w:pPr>
        <w:pStyle w:val="FootnoteText"/>
      </w:pPr>
      <w:r>
        <w:rPr>
          <w:rStyle w:val="FootnoteReference"/>
        </w:rPr>
        <w:footnoteRef/>
      </w:r>
      <w:r>
        <w:tab/>
      </w:r>
      <w:r>
        <w:t xml:space="preserve">Bemærk, at en ændring af det faktiske eller anslåede budget kan være en ændring af støtten, som kræver en ny anmeldelse.</w:t>
      </w:r>
    </w:p>
  </w:footnote>
  <w:footnote w:id="5">
    <w:p w14:paraId="561DACBB" w14:textId="58A17E1F" w:rsidR="00802D55" w:rsidRDefault="00802D55">
      <w:pPr>
        <w:pStyle w:val="FootnoteText"/>
      </w:pPr>
      <w:r>
        <w:rPr>
          <w:rStyle w:val="FootnoteReference"/>
        </w:rPr>
        <w:footnoteRef/>
      </w:r>
      <w:r>
        <w:t xml:space="preserve"> </w:t>
      </w:r>
      <w:r>
        <w:tab/>
      </w:r>
      <w:r>
        <w:t xml:space="preserve">Se Domstolens dom af 13. juni 2013, HGA m.fl. mod Kommissionen, C-630/11 P til C-633/11 P, ECLI:EU:C:2013:387, præmis 104.</w:t>
      </w:r>
    </w:p>
  </w:footnote>
  <w:footnote w:id="6">
    <w:p w14:paraId="4C19DBFC" w14:textId="0C434BAC" w:rsidR="00802D55" w:rsidRPr="004B74BC" w:rsidRDefault="00802D55">
      <w:pPr>
        <w:pStyle w:val="FootnoteText"/>
      </w:pPr>
      <w:r>
        <w:rPr>
          <w:rStyle w:val="FootnoteReference"/>
        </w:rPr>
        <w:footnoteRef/>
      </w:r>
      <w:r>
        <w:tab/>
      </w:r>
      <w:r>
        <w:t xml:space="preserve">I henhold til punkt 19, nr. 63), i CEEAG er et "referenceprojekt" et eksempel på et projekt, der er repræsentativt for det gennemsnitlige projekt i en kategori af støtteberettigede modtagere under en støtteordning.</w:t>
      </w:r>
    </w:p>
  </w:footnote>
  <w:footnote w:id="7">
    <w:p w14:paraId="01EFD49C" w14:textId="77777777" w:rsidR="00801D5A" w:rsidRDefault="00801D5A" w:rsidP="00801D5A">
      <w:pPr>
        <w:pStyle w:val="FootnoteText"/>
      </w:pPr>
      <w:r>
        <w:rPr>
          <w:rStyle w:val="FootnoteReference"/>
        </w:rPr>
        <w:footnoteRef/>
      </w:r>
      <w:r>
        <w:tab/>
      </w:r>
      <w:r>
        <w:t xml:space="preserve">I henhold til punkt 19, nr. 89, i CEEAG forstås ved "EU-standard":</w:t>
      </w:r>
    </w:p>
    <w:p w14:paraId="68BC0B8F" w14:textId="77777777" w:rsidR="00801D5A" w:rsidRPr="004B74BC" w:rsidRDefault="00801D5A" w:rsidP="00801D5A">
      <w:pPr>
        <w:pStyle w:val="FootnoteText"/>
        <w:numPr>
          <w:ilvl w:val="0"/>
          <w:numId w:val="46"/>
        </w:numPr>
        <w:rPr>
          <w:i/>
        </w:rPr>
      </w:pPr>
      <w:r>
        <w:rPr>
          <w:i/>
        </w:rPr>
        <w:t xml:space="preserve">en obligatorisk EU-standard, der fastsætter de niveauer, som de enkelte virksomheder skal nå på miljøområdet, med undtagelse af standarder eller mål fastsat på EU-plan, som er bindende for medlemsstaterne, men ikke for individuelle virksomheder</w:t>
      </w:r>
    </w:p>
    <w:p w14:paraId="11145135" w14:textId="23A8CC97" w:rsidR="00801D5A" w:rsidRDefault="00801D5A" w:rsidP="00801D5A">
      <w:pPr>
        <w:pStyle w:val="FootnoteText"/>
        <w:numPr>
          <w:ilvl w:val="0"/>
          <w:numId w:val="46"/>
        </w:numPr>
      </w:pPr>
      <w:r>
        <w:rPr>
          <w:i/>
        </w:rPr>
        <w:t xml:space="preserve">forpligtelsen til at anvende den bedste tilgængelige teknik (BAT) som defineret i direktiv 2010/75/EU og til at sikre, at emissionsniveauerne ikke overstiger dem, der ville være opnået ved anvendelse af BAT.</w:t>
      </w:r>
      <w:r>
        <w:rPr>
          <w:i/>
        </w:rPr>
        <w:t xml:space="preserve"> </w:t>
      </w:r>
      <w:r>
        <w:rPr>
          <w:i/>
        </w:rPr>
        <w:t xml:space="preserve">Hvis de emissionsniveauer, der er forbundet med BAT, er defineret i gennemførelsesretsakter vedtaget i henhold til direktiv 2010/75/EU eller i henhold til andre gældende direktiver, finder disse niveauer anvendelse i forbindelse med disse retningslinjer.</w:t>
      </w:r>
      <w:r>
        <w:rPr>
          <w:i/>
        </w:rPr>
        <w:t xml:space="preserve"> </w:t>
      </w:r>
      <w:r>
        <w:rPr>
          <w:i/>
        </w:rPr>
        <w:t xml:space="preserve">Hvis disse niveauer er udtrykt som et interval, finder den grænse, for hvilken BAT først er opnået for den pågældende virksomhed, anvendelse.</w:t>
      </w:r>
    </w:p>
  </w:footnote>
  <w:footnote w:id="8">
    <w:p w14:paraId="6589188F" w14:textId="70D9D8AA" w:rsidR="00802D55" w:rsidRDefault="00802D55">
      <w:pPr>
        <w:pStyle w:val="FootnoteText"/>
      </w:pPr>
      <w:r>
        <w:rPr>
          <w:rStyle w:val="FootnoteReference"/>
        </w:rPr>
        <w:footnoteRef/>
      </w:r>
      <w:r>
        <w:t xml:space="preserve"> </w:t>
      </w:r>
      <w:r>
        <w:tab/>
      </w:r>
      <w:r>
        <w:t xml:space="preserve">De "typiske nettomeromkostninger kan anslås som forskellen mellem nettonutidsværdien for det faktiske scenario og for det kontrafaktiske scenario i referenceprojektets levetid", jf. punkt 51 i CEEAG".</w:t>
      </w:r>
    </w:p>
  </w:footnote>
  <w:footnote w:id="9">
    <w:p w14:paraId="4E6E256B" w14:textId="4AB0B555" w:rsidR="00802D55" w:rsidRDefault="00802D55">
      <w:pPr>
        <w:pStyle w:val="FootnoteText"/>
      </w:pPr>
      <w:r>
        <w:rPr>
          <w:rStyle w:val="FootnoteReference"/>
        </w:rPr>
        <w:footnoteRef/>
      </w:r>
      <w:r>
        <w:t xml:space="preserve"> </w:t>
      </w:r>
      <w:r>
        <w:tab/>
      </w:r>
      <w:r>
        <w:t xml:space="preserve">Bemærk, at der i henhold til fodnote 46 i CEEAG "skal tages hensyn til alle relevante forventede omkostninger og fordele i hele projektets levetid".</w:t>
      </w:r>
    </w:p>
  </w:footnote>
  <w:footnote w:id="10">
    <w:p w14:paraId="086AD512" w14:textId="7087BE19" w:rsidR="00802D55" w:rsidRDefault="00802D55">
      <w:pPr>
        <w:pStyle w:val="FootnoteText"/>
      </w:pPr>
      <w:r>
        <w:rPr>
          <w:rStyle w:val="FootnoteReference"/>
        </w:rPr>
        <w:footnoteRef/>
      </w:r>
      <w:r>
        <w:tab/>
      </w:r>
      <w:r>
        <w:t xml:space="preserve">Centralt forvaltede EU-midler, der forvaltes centralt af EU-institutioner, EU-agenturer, EU-kontorer, EU-fællesforetagender eller andre EU-organer, som ikke direkte eller indirekte er underlagt medlemsstatens kontrol.</w:t>
      </w:r>
    </w:p>
  </w:footnote>
  <w:footnote w:id="11">
    <w:p w14:paraId="0C0B9BEF" w14:textId="77777777" w:rsidR="009618E4" w:rsidRDefault="009618E4" w:rsidP="009618E4">
      <w:pPr>
        <w:pStyle w:val="FootnoteText"/>
      </w:pPr>
      <w:r>
        <w:rPr>
          <w:rStyle w:val="FootnoteReference"/>
        </w:rPr>
        <w:footnoteRef/>
      </w:r>
      <w:r>
        <w:t xml:space="preserve"> </w:t>
      </w:r>
      <w:r>
        <w:tab/>
      </w:r>
      <w:r>
        <w:t xml:space="preserve">Skabelonen til det supplerende informationsskema til anmeldelse af en evalueringsplan (del III.8) er tilgængelig her:</w:t>
      </w:r>
      <w:r>
        <w:t xml:space="preserve"> </w:t>
      </w:r>
      <w:hyperlink w:anchor="evaluation-plan" w:history="1">
        <w:r>
          <w:rPr>
            <w:rStyle w:val="Hyperlink"/>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oNotTrackMoves/>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lang w:val="da-DK"/>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da-DK"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da-DK"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da-DK"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da-DK"/>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da-DK"/>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3917</Words>
  <Characters>20215</Characters>
  <Application>Microsoft Office Word</Application>
  <DocSecurity>4</DocSecurity>
  <Lines>439</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COLUMB Damien (COMP)</cp:lastModifiedBy>
  <cp:revision>2</cp:revision>
  <cp:lastPrinted>2022-04-12T14:59:00Z</cp:lastPrinted>
  <dcterms:created xsi:type="dcterms:W3CDTF">2024-09-05T12:35:00Z</dcterms:created>
  <dcterms:modified xsi:type="dcterms:W3CDTF">2024-09-05T12:35:00Z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