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57571AEC" w:rsidR="007720B7" w:rsidRPr="0002770A" w:rsidRDefault="007720B7" w:rsidP="006763B5">
      <w:pPr>
        <w:pStyle w:val="Pagedecouverture"/>
        <w:rPr>
          <w:noProof/>
        </w:rPr>
      </w:pPr>
    </w:p>
    <w:p w14:paraId="73D265FC" w14:textId="77777777" w:rsidR="0019532E" w:rsidRPr="0002770A" w:rsidRDefault="0019532E" w:rsidP="0019532E">
      <w:pPr>
        <w:pStyle w:val="Annexetitre"/>
        <w:rPr>
          <w:noProof/>
        </w:rPr>
      </w:pPr>
      <w:r w:rsidRPr="0002770A">
        <w:rPr>
          <w:noProof/>
        </w:rPr>
        <w:t>II PIELIKUMS</w:t>
      </w:r>
    </w:p>
    <w:p w14:paraId="69F272DB" w14:textId="77777777" w:rsidR="00FC17FF" w:rsidRPr="0002770A" w:rsidRDefault="0019532E" w:rsidP="0019532E">
      <w:pPr>
        <w:spacing w:after="212" w:line="264" w:lineRule="auto"/>
        <w:ind w:right="3"/>
        <w:jc w:val="center"/>
        <w:rPr>
          <w:b/>
          <w:noProof/>
          <w:szCs w:val="24"/>
        </w:rPr>
      </w:pPr>
      <w:r w:rsidRPr="0002770A">
        <w:rPr>
          <w:b/>
          <w:noProof/>
        </w:rPr>
        <w:t>Informācija par valsts atbalstu, kam piešķirts atbrīvojums saskaņā ar šīs regulas nosacījumiem</w:t>
      </w:r>
    </w:p>
    <w:p w14:paraId="7018085C" w14:textId="77777777" w:rsidR="00FC17FF" w:rsidRPr="0002770A" w:rsidRDefault="00FC17FF" w:rsidP="00B01186">
      <w:pPr>
        <w:jc w:val="center"/>
        <w:rPr>
          <w:b/>
          <w:noProof/>
        </w:rPr>
      </w:pPr>
      <w:r w:rsidRPr="0002770A">
        <w:rPr>
          <w:b/>
          <w:noProof/>
        </w:rPr>
        <w:t>I DAĻA</w:t>
      </w:r>
    </w:p>
    <w:p w14:paraId="10FF3503" w14:textId="6505A423" w:rsidR="00FC17FF" w:rsidRPr="0002770A" w:rsidRDefault="00FC17FF" w:rsidP="00FC17FF">
      <w:pPr>
        <w:spacing w:after="212" w:line="264" w:lineRule="auto"/>
        <w:ind w:right="3"/>
        <w:jc w:val="center"/>
        <w:rPr>
          <w:b/>
          <w:noProof/>
          <w:szCs w:val="24"/>
        </w:rPr>
      </w:pPr>
      <w:r w:rsidRPr="0002770A">
        <w:rPr>
          <w:b/>
          <w:noProof/>
        </w:rPr>
        <w:t>Informācija, kuru, kā noteikts 11. pantā, sniedz, izmantojot Komisijas izveidoto elektroniskās paziņošanas sistēmu</w:t>
      </w:r>
    </w:p>
    <w:p w14:paraId="25D8B54B" w14:textId="77777777" w:rsidR="0019532E" w:rsidRPr="0002770A"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266"/>
        <w:gridCol w:w="2228"/>
        <w:gridCol w:w="482"/>
        <w:gridCol w:w="168"/>
        <w:gridCol w:w="1937"/>
        <w:gridCol w:w="64"/>
        <w:gridCol w:w="2144"/>
      </w:tblGrid>
      <w:tr w:rsidR="0019532E" w:rsidRPr="0002770A"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02770A" w:rsidRDefault="0019532E">
            <w:pPr>
              <w:rPr>
                <w:rFonts w:ascii="Arial Unicode MS" w:hAnsi="Arial Unicode MS"/>
                <w:b/>
                <w:noProof/>
                <w:sz w:val="21"/>
                <w:szCs w:val="21"/>
              </w:rPr>
            </w:pPr>
            <w:r w:rsidRPr="0002770A">
              <w:rPr>
                <w:rFonts w:ascii="Arial Unicode MS" w:hAnsi="Arial Unicode MS"/>
                <w:b/>
                <w:noProof/>
                <w:sz w:val="21"/>
              </w:rPr>
              <w:t>Atbalsta atsauces numurs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02770A" w:rsidRDefault="0019532E">
            <w:pPr>
              <w:rPr>
                <w:rFonts w:ascii="Arial Unicode MS" w:hAnsi="Arial Unicode MS"/>
                <w:i/>
                <w:noProof/>
                <w:sz w:val="21"/>
                <w:szCs w:val="21"/>
              </w:rPr>
            </w:pPr>
            <w:r w:rsidRPr="0002770A">
              <w:rPr>
                <w:rFonts w:ascii="Arial Unicode MS" w:hAnsi="Arial Unicode MS"/>
                <w:i/>
                <w:noProof/>
                <w:sz w:val="21"/>
              </w:rPr>
              <w:t>(aizpilda Komisija)</w:t>
            </w:r>
          </w:p>
        </w:tc>
      </w:tr>
      <w:tr w:rsidR="0019532E" w:rsidRPr="0002770A"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02770A" w:rsidRDefault="0019532E">
            <w:pPr>
              <w:rPr>
                <w:rFonts w:ascii="Arial Unicode MS" w:hAnsi="Arial Unicode MS"/>
                <w:b/>
                <w:noProof/>
                <w:sz w:val="21"/>
                <w:szCs w:val="21"/>
              </w:rPr>
            </w:pPr>
            <w:r w:rsidRPr="0002770A">
              <w:rPr>
                <w:rFonts w:ascii="Arial Unicode MS" w:hAnsi="Arial Unicode MS"/>
                <w:b/>
                <w:noProof/>
                <w:sz w:val="21"/>
              </w:rPr>
              <w:t>Dalībvalsts</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02770A" w:rsidRDefault="0019532E">
            <w:pPr>
              <w:tabs>
                <w:tab w:val="left" w:leader="dot" w:pos="567"/>
                <w:tab w:val="left" w:leader="dot" w:pos="735"/>
              </w:tabs>
              <w:rPr>
                <w:rFonts w:ascii="Arial Unicode MS" w:hAnsi="Arial Unicode MS"/>
                <w:noProof/>
                <w:sz w:val="21"/>
                <w:szCs w:val="21"/>
              </w:rPr>
            </w:pPr>
          </w:p>
        </w:tc>
      </w:tr>
      <w:tr w:rsidR="0019532E" w:rsidRPr="0002770A"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02770A" w:rsidRDefault="0019532E" w:rsidP="000F6A9D">
            <w:pPr>
              <w:jc w:val="left"/>
              <w:rPr>
                <w:rFonts w:ascii="Arial Unicode MS" w:hAnsi="Arial Unicode MS"/>
                <w:b/>
                <w:noProof/>
                <w:sz w:val="21"/>
                <w:szCs w:val="21"/>
              </w:rPr>
            </w:pPr>
            <w:r w:rsidRPr="0002770A">
              <w:rPr>
                <w:rFonts w:ascii="Arial Unicode MS" w:hAnsi="Arial Unicode MS"/>
                <w:b/>
                <w:noProof/>
                <w:sz w:val="21"/>
              </w:rPr>
              <w:t>Dalībvalsts atsauces numurs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02770A" w:rsidRDefault="0019532E">
            <w:pPr>
              <w:rPr>
                <w:rFonts w:ascii="Arial Unicode MS" w:hAnsi="Arial Unicode MS"/>
                <w:noProof/>
                <w:sz w:val="21"/>
                <w:szCs w:val="21"/>
              </w:rPr>
            </w:pPr>
            <w:r w:rsidRPr="0002770A">
              <w:rPr>
                <w:rFonts w:ascii="Arial Unicode MS" w:hAnsi="Arial Unicode MS"/>
                <w:noProof/>
                <w:sz w:val="21"/>
              </w:rPr>
              <w:t xml:space="preserve"> </w:t>
            </w:r>
          </w:p>
        </w:tc>
      </w:tr>
      <w:tr w:rsidR="00955689" w:rsidRPr="0002770A"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02770A" w:rsidRDefault="00955689">
            <w:pPr>
              <w:rPr>
                <w:rFonts w:ascii="Arial Unicode MS" w:hAnsi="Arial Unicode MS"/>
                <w:b/>
                <w:noProof/>
                <w:sz w:val="21"/>
                <w:szCs w:val="21"/>
              </w:rPr>
            </w:pPr>
            <w:r w:rsidRPr="0002770A">
              <w:rPr>
                <w:rFonts w:ascii="Arial Unicode MS" w:hAnsi="Arial Unicode MS"/>
                <w:b/>
                <w:noProof/>
                <w:sz w:val="21"/>
              </w:rPr>
              <w:t>Reģions</w:t>
            </w:r>
          </w:p>
          <w:p w14:paraId="6D653A12" w14:textId="666B1663" w:rsidR="00955689" w:rsidRPr="0002770A"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02770A" w:rsidRDefault="00955689" w:rsidP="0002770A">
            <w:pPr>
              <w:jc w:val="left"/>
              <w:rPr>
                <w:rFonts w:ascii="Arial Unicode MS" w:hAnsi="Arial Unicode MS"/>
                <w:b/>
                <w:noProof/>
                <w:sz w:val="21"/>
                <w:szCs w:val="21"/>
              </w:rPr>
            </w:pPr>
            <w:r w:rsidRPr="0002770A">
              <w:rPr>
                <w:rFonts w:ascii="Arial Unicode MS" w:hAnsi="Arial Unicode MS"/>
                <w:b/>
                <w:noProof/>
                <w:sz w:val="21"/>
              </w:rPr>
              <w:t>Reģiona (reģionu) nosaukums (</w:t>
            </w:r>
            <w:r w:rsidRPr="0002770A">
              <w:rPr>
                <w:rFonts w:ascii="Arial Unicode MS" w:hAnsi="Arial Unicode MS"/>
                <w:b/>
                <w:i/>
                <w:noProof/>
                <w:sz w:val="21"/>
              </w:rPr>
              <w:t>NUTS</w:t>
            </w:r>
            <w:r w:rsidRPr="0002770A">
              <w:rPr>
                <w:rFonts w:ascii="Arial Unicode MS" w:hAnsi="Arial Unicode MS"/>
                <w:b/>
                <w:noProof/>
                <w:sz w:val="21"/>
              </w:rPr>
              <w:t>)</w:t>
            </w:r>
            <w:r w:rsidRPr="0002770A">
              <w:rPr>
                <w:rStyle w:val="FootnoteReference"/>
                <w:rFonts w:ascii="Arial Unicode MS" w:hAnsi="Arial Unicode MS"/>
                <w:b/>
                <w:noProof/>
                <w:sz w:val="21"/>
                <w:szCs w:val="21"/>
              </w:rPr>
              <w:footnoteReference w:id="1"/>
            </w:r>
          </w:p>
          <w:p w14:paraId="06C8334D" w14:textId="77777777" w:rsidR="00FC17FF" w:rsidRPr="0002770A" w:rsidRDefault="00FC17FF">
            <w:pPr>
              <w:rPr>
                <w:rFonts w:ascii="Arial Unicode MS" w:hAnsi="Arial Unicode MS"/>
                <w:b/>
                <w:noProof/>
                <w:sz w:val="21"/>
                <w:szCs w:val="21"/>
              </w:rPr>
            </w:pPr>
          </w:p>
          <w:p w14:paraId="5F71BF92" w14:textId="614C8F8E" w:rsidR="00FC17FF" w:rsidRPr="0002770A" w:rsidRDefault="00FC17FF">
            <w:pPr>
              <w:rPr>
                <w:rFonts w:ascii="Arial Unicode MS" w:hAnsi="Arial Unicode MS"/>
                <w:b/>
                <w:noProof/>
                <w:sz w:val="21"/>
                <w:szCs w:val="21"/>
              </w:rPr>
            </w:pPr>
            <w:r w:rsidRPr="0002770A">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02770A" w:rsidRDefault="00955689" w:rsidP="00FC17FF">
            <w:pPr>
              <w:rPr>
                <w:rFonts w:ascii="Arial Unicode MS" w:hAnsi="Arial Unicode MS"/>
                <w:b/>
                <w:noProof/>
                <w:sz w:val="21"/>
                <w:szCs w:val="21"/>
              </w:rPr>
            </w:pPr>
            <w:r w:rsidRPr="0002770A">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02770A">
                  <w:rPr>
                    <w:rFonts w:ascii="Segoe UI Symbol" w:eastAsia="MS Gothic" w:hAnsi="Segoe UI Symbol" w:cs="Segoe UI Symbol"/>
                    <w:b/>
                    <w:noProof/>
                    <w:sz w:val="21"/>
                    <w:szCs w:val="21"/>
                  </w:rPr>
                  <w:t>☐</w:t>
                </w:r>
              </w:sdtContent>
            </w:sdt>
            <w:r w:rsidRPr="0002770A">
              <w:rPr>
                <w:rFonts w:ascii="Arial Unicode MS" w:hAnsi="Arial Unicode MS"/>
                <w:b/>
                <w:noProof/>
                <w:sz w:val="21"/>
              </w:rPr>
              <w:t xml:space="preserve"> Tālākie reģioni</w:t>
            </w:r>
          </w:p>
          <w:p w14:paraId="435FA86C" w14:textId="77777777" w:rsidR="00FC17FF" w:rsidRPr="0002770A" w:rsidRDefault="00EC4BD4"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Grieķijas attālās salas</w:t>
            </w:r>
          </w:p>
          <w:p w14:paraId="47CD1558" w14:textId="77777777" w:rsidR="00FC17FF" w:rsidRPr="0002770A" w:rsidRDefault="00EC4BD4"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Horvātijas salas </w:t>
            </w:r>
            <w:r w:rsidR="005F2C26" w:rsidRPr="0002770A">
              <w:rPr>
                <w:rFonts w:ascii="Arial Unicode MS" w:hAnsi="Arial Unicode MS"/>
                <w:b/>
                <w:i/>
                <w:noProof/>
                <w:sz w:val="21"/>
              </w:rPr>
              <w:t>Dugi Otok</w:t>
            </w:r>
            <w:r w:rsidR="005F2C26" w:rsidRPr="0002770A">
              <w:rPr>
                <w:rFonts w:ascii="Arial Unicode MS" w:hAnsi="Arial Unicode MS"/>
                <w:b/>
                <w:noProof/>
                <w:sz w:val="21"/>
              </w:rPr>
              <w:t xml:space="preserve">, </w:t>
            </w:r>
            <w:r w:rsidR="005F2C26" w:rsidRPr="0002770A">
              <w:rPr>
                <w:rFonts w:ascii="Arial Unicode MS" w:hAnsi="Arial Unicode MS"/>
                <w:b/>
                <w:i/>
                <w:noProof/>
                <w:sz w:val="21"/>
              </w:rPr>
              <w:t>Vis</w:t>
            </w:r>
            <w:r w:rsidR="005F2C26" w:rsidRPr="0002770A">
              <w:rPr>
                <w:rFonts w:ascii="Arial Unicode MS" w:hAnsi="Arial Unicode MS"/>
                <w:b/>
                <w:noProof/>
                <w:sz w:val="21"/>
              </w:rPr>
              <w:t xml:space="preserve">, </w:t>
            </w:r>
            <w:r w:rsidR="005F2C26" w:rsidRPr="0002770A">
              <w:rPr>
                <w:rFonts w:ascii="Arial Unicode MS" w:hAnsi="Arial Unicode MS"/>
                <w:b/>
                <w:i/>
                <w:noProof/>
                <w:sz w:val="21"/>
              </w:rPr>
              <w:t>Mljet</w:t>
            </w:r>
            <w:r w:rsidR="005F2C26" w:rsidRPr="0002770A">
              <w:rPr>
                <w:rFonts w:ascii="Arial Unicode MS" w:hAnsi="Arial Unicode MS"/>
                <w:b/>
                <w:noProof/>
                <w:sz w:val="21"/>
              </w:rPr>
              <w:t xml:space="preserve"> un </w:t>
            </w:r>
            <w:r w:rsidR="005F2C26" w:rsidRPr="0002770A">
              <w:rPr>
                <w:rFonts w:ascii="Arial Unicode MS" w:hAnsi="Arial Unicode MS"/>
                <w:b/>
                <w:i/>
                <w:noProof/>
                <w:sz w:val="21"/>
              </w:rPr>
              <w:t>Lastovo</w:t>
            </w:r>
          </w:p>
          <w:p w14:paraId="21B8B034" w14:textId="77777777" w:rsidR="00FC17FF" w:rsidRPr="0002770A" w:rsidRDefault="00EC4BD4"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Citi</w:t>
            </w:r>
          </w:p>
          <w:p w14:paraId="29CF27C5" w14:textId="77777777" w:rsidR="00955689" w:rsidRPr="0002770A" w:rsidRDefault="00955689">
            <w:pPr>
              <w:rPr>
                <w:rFonts w:ascii="Arial Unicode MS" w:hAnsi="Arial Unicode MS"/>
                <w:noProof/>
                <w:sz w:val="21"/>
                <w:szCs w:val="21"/>
              </w:rPr>
            </w:pPr>
          </w:p>
        </w:tc>
      </w:tr>
      <w:tr w:rsidR="00966C3B" w:rsidRPr="0002770A"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02770A" w:rsidRDefault="00966C3B">
            <w:pPr>
              <w:rPr>
                <w:rFonts w:ascii="Arial Unicode MS" w:hAnsi="Arial Unicode MS"/>
                <w:b/>
                <w:noProof/>
                <w:sz w:val="21"/>
                <w:szCs w:val="21"/>
              </w:rPr>
            </w:pPr>
            <w:r w:rsidRPr="0002770A">
              <w:rPr>
                <w:rFonts w:ascii="Arial Unicode MS" w:hAnsi="Arial Unicode MS"/>
                <w:b/>
                <w:noProof/>
                <w:sz w:val="21"/>
              </w:rPr>
              <w:t>Piešķīrēja iestāde</w:t>
            </w:r>
          </w:p>
          <w:p w14:paraId="1EAFB91B" w14:textId="24F25931" w:rsidR="00966C3B" w:rsidRPr="0002770A"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02770A" w:rsidRDefault="00966C3B">
            <w:pPr>
              <w:rPr>
                <w:rFonts w:ascii="Arial Unicode MS" w:hAnsi="Arial Unicode MS"/>
                <w:b/>
                <w:noProof/>
                <w:sz w:val="21"/>
                <w:szCs w:val="21"/>
              </w:rPr>
            </w:pPr>
            <w:r w:rsidRPr="0002770A">
              <w:rPr>
                <w:rFonts w:ascii="Arial Unicode MS" w:hAnsi="Arial Unicode MS"/>
                <w:b/>
                <w:noProof/>
                <w:sz w:val="21"/>
              </w:rPr>
              <w:t>Nosaukums</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02770A" w:rsidRDefault="00966C3B">
            <w:pPr>
              <w:rPr>
                <w:rFonts w:ascii="Arial Unicode MS" w:hAnsi="Arial Unicode MS"/>
                <w:noProof/>
                <w:sz w:val="21"/>
                <w:szCs w:val="21"/>
              </w:rPr>
            </w:pPr>
            <w:r w:rsidRPr="0002770A">
              <w:rPr>
                <w:rFonts w:ascii="Arial Unicode MS" w:hAnsi="Arial Unicode MS"/>
                <w:noProof/>
                <w:sz w:val="21"/>
              </w:rPr>
              <w:t xml:space="preserve"> </w:t>
            </w:r>
          </w:p>
        </w:tc>
      </w:tr>
      <w:tr w:rsidR="00966C3B" w:rsidRPr="0002770A"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02770A"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02770A" w:rsidRDefault="00966C3B" w:rsidP="00966C3B">
            <w:pPr>
              <w:jc w:val="left"/>
              <w:rPr>
                <w:rFonts w:ascii="Arial Unicode MS" w:hAnsi="Arial Unicode MS"/>
                <w:b/>
                <w:noProof/>
                <w:sz w:val="21"/>
                <w:szCs w:val="21"/>
              </w:rPr>
            </w:pPr>
            <w:r w:rsidRPr="0002770A">
              <w:rPr>
                <w:rFonts w:ascii="Arial Unicode MS" w:hAnsi="Arial Unicode MS"/>
                <w:b/>
                <w:noProof/>
                <w:sz w:val="21"/>
              </w:rPr>
              <w:t xml:space="preserve">Pasta adrese </w:t>
            </w:r>
            <w:r w:rsidRPr="0002770A">
              <w:rPr>
                <w:noProof/>
              </w:rPr>
              <w:t xml:space="preserve"> </w:t>
            </w:r>
            <w:r w:rsidRPr="0002770A">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02770A" w:rsidRDefault="00966C3B">
            <w:pPr>
              <w:rPr>
                <w:rFonts w:ascii="Arial Unicode MS" w:hAnsi="Arial Unicode MS"/>
                <w:noProof/>
                <w:sz w:val="21"/>
                <w:szCs w:val="21"/>
              </w:rPr>
            </w:pPr>
            <w:r w:rsidRPr="0002770A">
              <w:rPr>
                <w:rFonts w:ascii="Arial Unicode MS" w:hAnsi="Arial Unicode MS"/>
                <w:noProof/>
                <w:sz w:val="21"/>
              </w:rPr>
              <w:t xml:space="preserve"> </w:t>
            </w:r>
          </w:p>
        </w:tc>
      </w:tr>
      <w:tr w:rsidR="00966C3B" w:rsidRPr="0002770A"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02770A"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02770A" w:rsidRDefault="00966C3B" w:rsidP="00955689">
            <w:pPr>
              <w:jc w:val="left"/>
              <w:rPr>
                <w:rFonts w:ascii="Arial Unicode MS" w:hAnsi="Arial Unicode MS"/>
                <w:b/>
                <w:noProof/>
                <w:sz w:val="21"/>
                <w:szCs w:val="21"/>
              </w:rPr>
            </w:pPr>
            <w:r w:rsidRPr="0002770A">
              <w:rPr>
                <w:rFonts w:ascii="Arial Unicode MS" w:hAnsi="Arial Unicode MS"/>
                <w:b/>
                <w:noProof/>
                <w:sz w:val="21"/>
              </w:rPr>
              <w:t>Elektroniskā adrese</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02770A" w:rsidRDefault="00966C3B">
            <w:pPr>
              <w:rPr>
                <w:rFonts w:ascii="Arial Unicode MS" w:hAnsi="Arial Unicode MS"/>
                <w:noProof/>
                <w:sz w:val="21"/>
                <w:szCs w:val="21"/>
              </w:rPr>
            </w:pPr>
          </w:p>
        </w:tc>
      </w:tr>
      <w:tr w:rsidR="0019532E" w:rsidRPr="0002770A"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02770A" w:rsidRDefault="0019532E" w:rsidP="0002770A">
            <w:pPr>
              <w:jc w:val="left"/>
              <w:rPr>
                <w:rFonts w:ascii="Arial Unicode MS" w:hAnsi="Arial Unicode MS"/>
                <w:b/>
                <w:noProof/>
                <w:sz w:val="21"/>
                <w:szCs w:val="21"/>
              </w:rPr>
            </w:pPr>
            <w:r w:rsidRPr="0002770A">
              <w:rPr>
                <w:rFonts w:ascii="Arial Unicode MS" w:hAnsi="Arial Unicode MS"/>
                <w:b/>
                <w:noProof/>
                <w:sz w:val="21"/>
              </w:rPr>
              <w:t>Atbalsta pasākuma nosaukums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02770A" w:rsidRDefault="0019532E">
            <w:pPr>
              <w:rPr>
                <w:rFonts w:ascii="Arial Unicode MS" w:hAnsi="Arial Unicode MS"/>
                <w:noProof/>
                <w:sz w:val="21"/>
                <w:szCs w:val="21"/>
              </w:rPr>
            </w:pPr>
            <w:r w:rsidRPr="0002770A">
              <w:rPr>
                <w:rFonts w:ascii="Arial Unicode MS" w:hAnsi="Arial Unicode MS"/>
                <w:noProof/>
                <w:sz w:val="21"/>
              </w:rPr>
              <w:t xml:space="preserve"> </w:t>
            </w:r>
          </w:p>
        </w:tc>
      </w:tr>
      <w:tr w:rsidR="0019532E" w:rsidRPr="0002770A"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02770A" w:rsidRDefault="0019532E" w:rsidP="0002770A">
            <w:pPr>
              <w:jc w:val="left"/>
              <w:rPr>
                <w:rFonts w:ascii="Arial Unicode MS" w:hAnsi="Arial Unicode MS"/>
                <w:b/>
                <w:noProof/>
                <w:sz w:val="21"/>
                <w:szCs w:val="21"/>
              </w:rPr>
            </w:pPr>
            <w:r w:rsidRPr="0002770A">
              <w:rPr>
                <w:rFonts w:ascii="Arial Unicode MS" w:hAnsi="Arial Unicode MS"/>
                <w:b/>
                <w:noProof/>
                <w:sz w:val="21"/>
              </w:rPr>
              <w:t>Valsts līmeņa juridiskais pamats (atsauce uz relevanto valsts oficiālo publikāciju)</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02770A" w:rsidRDefault="0019532E">
            <w:pPr>
              <w:rPr>
                <w:rFonts w:ascii="Arial Unicode MS" w:hAnsi="Arial Unicode MS"/>
                <w:b/>
                <w:noProof/>
                <w:sz w:val="21"/>
                <w:szCs w:val="21"/>
              </w:rPr>
            </w:pPr>
          </w:p>
        </w:tc>
      </w:tr>
      <w:tr w:rsidR="0019532E" w:rsidRPr="0002770A"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02770A" w:rsidRDefault="0019532E" w:rsidP="0002770A">
            <w:pPr>
              <w:jc w:val="left"/>
              <w:rPr>
                <w:rFonts w:ascii="Arial Unicode MS" w:hAnsi="Arial Unicode MS"/>
                <w:b/>
                <w:noProof/>
                <w:sz w:val="21"/>
                <w:szCs w:val="21"/>
              </w:rPr>
            </w:pPr>
            <w:r w:rsidRPr="0002770A">
              <w:rPr>
                <w:rFonts w:ascii="Arial Unicode MS" w:hAnsi="Arial Unicode MS"/>
                <w:b/>
                <w:noProof/>
                <w:sz w:val="21"/>
              </w:rPr>
              <w:t>Tīmekļa saite uz pilnu atbalsta pasākuma tekstu</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02770A" w:rsidRDefault="0019532E">
            <w:pPr>
              <w:spacing w:line="480" w:lineRule="auto"/>
              <w:rPr>
                <w:rFonts w:ascii="Arial Unicode MS" w:hAnsi="Arial Unicode MS"/>
                <w:noProof/>
                <w:sz w:val="21"/>
                <w:szCs w:val="21"/>
              </w:rPr>
            </w:pPr>
            <w:r w:rsidRPr="0002770A">
              <w:rPr>
                <w:rFonts w:ascii="Arial Unicode MS" w:hAnsi="Arial Unicode MS"/>
                <w:noProof/>
                <w:sz w:val="21"/>
              </w:rPr>
              <w:t xml:space="preserve"> </w:t>
            </w:r>
          </w:p>
        </w:tc>
      </w:tr>
      <w:tr w:rsidR="00CE32A7" w:rsidRPr="0002770A"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02770A" w:rsidRDefault="00CE32A7">
            <w:pPr>
              <w:rPr>
                <w:rFonts w:ascii="Arial Unicode MS" w:hAnsi="Arial Unicode MS"/>
                <w:b/>
                <w:noProof/>
                <w:sz w:val="21"/>
                <w:szCs w:val="21"/>
              </w:rPr>
            </w:pPr>
            <w:r w:rsidRPr="0002770A">
              <w:rPr>
                <w:rFonts w:ascii="Arial Unicode MS" w:hAnsi="Arial Unicode MS"/>
                <w:b/>
                <w:noProof/>
                <w:sz w:val="21"/>
              </w:rPr>
              <w:t>Pasākuma veids</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02770A" w:rsidRDefault="00EC4BD4">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Shēma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02770A" w:rsidRDefault="00CE32A7">
            <w:pPr>
              <w:rPr>
                <w:rFonts w:ascii="Arial Unicode MS" w:hAnsi="Arial Unicode MS"/>
                <w:b/>
                <w:noProof/>
                <w:sz w:val="21"/>
                <w:szCs w:val="21"/>
              </w:rPr>
            </w:pPr>
            <w:r w:rsidRPr="0002770A">
              <w:rPr>
                <w:rFonts w:ascii="Arial Unicode MS" w:hAnsi="Arial Unicode MS"/>
                <w:b/>
                <w:noProof/>
                <w:sz w:val="21"/>
              </w:rPr>
              <w:t xml:space="preserve"> </w:t>
            </w:r>
          </w:p>
        </w:tc>
      </w:tr>
      <w:tr w:rsidR="00CE32A7" w:rsidRPr="0002770A"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02770A"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02770A" w:rsidRDefault="00EC4BD4">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w:t>
            </w:r>
            <w:r w:rsidR="005F2C26" w:rsidRPr="0002770A">
              <w:rPr>
                <w:rFonts w:ascii="Arial Unicode MS" w:hAnsi="Arial Unicode MS"/>
                <w:b/>
                <w:i/>
                <w:noProof/>
                <w:sz w:val="21"/>
              </w:rPr>
              <w:t>Ad hoc</w:t>
            </w:r>
            <w:r w:rsidR="005F2C26" w:rsidRPr="0002770A">
              <w:rPr>
                <w:rFonts w:ascii="Arial Unicode MS" w:hAnsi="Arial Unicode MS"/>
                <w:b/>
                <w:noProof/>
                <w:sz w:val="21"/>
              </w:rPr>
              <w:t xml:space="preserve"> atbalsts</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02770A" w:rsidRDefault="00CE32A7">
            <w:pPr>
              <w:rPr>
                <w:rFonts w:ascii="Arial Unicode MS" w:hAnsi="Arial Unicode MS"/>
                <w:b/>
                <w:noProof/>
                <w:sz w:val="21"/>
                <w:szCs w:val="21"/>
              </w:rPr>
            </w:pPr>
            <w:r w:rsidRPr="0002770A">
              <w:rPr>
                <w:rFonts w:ascii="Arial Unicode MS" w:hAnsi="Arial Unicode MS"/>
                <w:b/>
                <w:noProof/>
                <w:sz w:val="21"/>
              </w:rPr>
              <w:t>Labuma guvēja vārds/nosaukums un grupa</w:t>
            </w:r>
            <w:r w:rsidRPr="0002770A">
              <w:rPr>
                <w:rStyle w:val="FootnoteReference"/>
                <w:rFonts w:ascii="Arial Unicode MS" w:hAnsi="Arial Unicode MS"/>
                <w:b/>
                <w:noProof/>
                <w:sz w:val="21"/>
                <w:szCs w:val="21"/>
              </w:rPr>
              <w:footnoteReference w:id="2"/>
            </w:r>
            <w:r w:rsidRPr="0002770A">
              <w:rPr>
                <w:rFonts w:ascii="Arial Unicode MS" w:hAnsi="Arial Unicode MS"/>
                <w:b/>
                <w:noProof/>
                <w:sz w:val="21"/>
              </w:rPr>
              <w:t>, pie kuras tas pieder</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02770A" w:rsidRDefault="00CE32A7">
            <w:pPr>
              <w:rPr>
                <w:rFonts w:ascii="Arial Unicode MS" w:hAnsi="Arial Unicode MS"/>
                <w:b/>
                <w:noProof/>
                <w:sz w:val="21"/>
                <w:szCs w:val="21"/>
              </w:rPr>
            </w:pPr>
          </w:p>
        </w:tc>
      </w:tr>
      <w:tr w:rsidR="00CE32A7" w:rsidRPr="0002770A"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02770A"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02770A"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02770A"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02770A" w:rsidRDefault="00CE32A7">
            <w:pPr>
              <w:rPr>
                <w:rFonts w:ascii="Arial Unicode MS" w:hAnsi="Arial Unicode MS"/>
                <w:b/>
                <w:noProof/>
                <w:sz w:val="21"/>
                <w:szCs w:val="21"/>
              </w:rPr>
            </w:pPr>
          </w:p>
        </w:tc>
      </w:tr>
      <w:tr w:rsidR="0019532E" w:rsidRPr="0002770A"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02770A" w:rsidRDefault="0019532E" w:rsidP="0002770A">
            <w:pPr>
              <w:jc w:val="left"/>
              <w:rPr>
                <w:rFonts w:ascii="Arial Unicode MS" w:hAnsi="Arial Unicode MS"/>
                <w:b/>
                <w:noProof/>
                <w:sz w:val="21"/>
                <w:szCs w:val="21"/>
              </w:rPr>
            </w:pPr>
            <w:r w:rsidRPr="0002770A">
              <w:rPr>
                <w:rFonts w:ascii="Arial Unicode MS" w:hAnsi="Arial Unicode MS"/>
                <w:b/>
                <w:noProof/>
                <w:sz w:val="21"/>
              </w:rPr>
              <w:t xml:space="preserve">Spēkā esošas atbalsta shēmas vai </w:t>
            </w:r>
            <w:r w:rsidRPr="0002770A">
              <w:rPr>
                <w:rFonts w:ascii="Arial Unicode MS" w:hAnsi="Arial Unicode MS"/>
                <w:b/>
                <w:i/>
                <w:noProof/>
                <w:sz w:val="21"/>
              </w:rPr>
              <w:t>ad hoc</w:t>
            </w:r>
            <w:r w:rsidRPr="0002770A">
              <w:rPr>
                <w:rFonts w:ascii="Arial Unicode MS" w:hAnsi="Arial Unicode MS"/>
                <w:b/>
                <w:noProof/>
                <w:sz w:val="21"/>
              </w:rPr>
              <w:t xml:space="preserve"> atbalsta grozījums</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02770A" w:rsidRDefault="0019532E" w:rsidP="00FC17FF">
            <w:pPr>
              <w:rPr>
                <w:rFonts w:ascii="Arial Unicode MS" w:hAnsi="Arial Unicode MS"/>
                <w:b/>
                <w:noProof/>
                <w:sz w:val="21"/>
                <w:szCs w:val="21"/>
              </w:rPr>
            </w:pPr>
            <w:r w:rsidRPr="0002770A">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02770A" w:rsidRDefault="0019532E">
            <w:pPr>
              <w:rPr>
                <w:rFonts w:ascii="Arial Unicode MS" w:hAnsi="Arial Unicode MS"/>
                <w:b/>
                <w:noProof/>
                <w:sz w:val="21"/>
                <w:szCs w:val="21"/>
              </w:rPr>
            </w:pPr>
            <w:r w:rsidRPr="0002770A">
              <w:rPr>
                <w:rFonts w:ascii="Arial Unicode MS" w:hAnsi="Arial Unicode MS"/>
                <w:b/>
                <w:noProof/>
                <w:sz w:val="21"/>
              </w:rPr>
              <w:t>Komisijas piešķirtais atbalsta atsauces numurs</w:t>
            </w:r>
          </w:p>
        </w:tc>
      </w:tr>
      <w:tr w:rsidR="0019532E" w:rsidRPr="0002770A"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02770A"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02770A" w:rsidRDefault="00EC4BD4">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Pagarinājums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02770A" w:rsidRDefault="0019532E">
            <w:pPr>
              <w:rPr>
                <w:rFonts w:ascii="Arial Unicode MS" w:hAnsi="Arial Unicode MS"/>
                <w:b/>
                <w:noProof/>
                <w:sz w:val="21"/>
                <w:szCs w:val="21"/>
              </w:rPr>
            </w:pPr>
            <w:r w:rsidRPr="0002770A">
              <w:rPr>
                <w:rFonts w:ascii="Arial Unicode MS" w:hAnsi="Arial Unicode MS"/>
                <w:b/>
                <w:noProof/>
                <w:sz w:val="21"/>
              </w:rPr>
              <w:t xml:space="preserve"> </w:t>
            </w:r>
          </w:p>
        </w:tc>
      </w:tr>
      <w:tr w:rsidR="0019532E" w:rsidRPr="0002770A"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02770A"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02770A" w:rsidRDefault="00EC4BD4">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noProof/>
                    <w:sz w:val="21"/>
                    <w:szCs w:val="21"/>
                  </w:rPr>
                  <w:t>☐</w:t>
                </w:r>
              </w:sdtContent>
            </w:sdt>
            <w:r w:rsidR="005F2C26" w:rsidRPr="0002770A">
              <w:rPr>
                <w:rFonts w:ascii="Arial Unicode MS" w:hAnsi="Arial Unicode MS"/>
                <w:b/>
                <w:noProof/>
                <w:sz w:val="21"/>
              </w:rPr>
              <w:t xml:space="preserve"> Izmaiņas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02770A" w:rsidRDefault="0019532E">
            <w:pPr>
              <w:rPr>
                <w:rFonts w:ascii="Arial Unicode MS" w:hAnsi="Arial Unicode MS"/>
                <w:b/>
                <w:noProof/>
                <w:sz w:val="21"/>
                <w:szCs w:val="21"/>
              </w:rPr>
            </w:pPr>
            <w:r w:rsidRPr="0002770A">
              <w:rPr>
                <w:rFonts w:ascii="Arial Unicode MS" w:hAnsi="Arial Unicode MS"/>
                <w:b/>
                <w:noProof/>
                <w:sz w:val="21"/>
              </w:rPr>
              <w:t xml:space="preserve"> </w:t>
            </w:r>
          </w:p>
        </w:tc>
      </w:tr>
      <w:tr w:rsidR="0019532E" w:rsidRPr="0002770A"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Ilgums</w:t>
            </w:r>
            <w:r w:rsidRPr="0002770A">
              <w:rPr>
                <w:rStyle w:val="FootnoteReference"/>
                <w:rFonts w:ascii="Arial Unicode MS" w:hAnsi="Arial Unicode MS" w:cs="Arial"/>
                <w:b/>
                <w:bCs/>
                <w:noProof/>
                <w:sz w:val="21"/>
                <w:szCs w:val="21"/>
              </w:rPr>
              <w:footnoteReference w:id="3"/>
            </w:r>
            <w:r w:rsidRPr="0002770A">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Shēma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 xml:space="preserve">dd/mm/gggg </w:t>
            </w:r>
            <w:r w:rsidRPr="0002770A">
              <w:rPr>
                <w:rFonts w:ascii="Arial Unicode MS" w:hAnsi="Arial Unicode MS"/>
                <w:b/>
                <w:noProof/>
                <w:sz w:val="21"/>
              </w:rPr>
              <w:t>līdz</w:t>
            </w:r>
            <w:r w:rsidRPr="0002770A">
              <w:rPr>
                <w:rFonts w:ascii="Arial Unicode MS" w:hAnsi="Arial Unicode MS"/>
                <w:noProof/>
                <w:sz w:val="21"/>
              </w:rPr>
              <w:t xml:space="preserve"> dd/mm/gggg</w:t>
            </w:r>
          </w:p>
        </w:tc>
      </w:tr>
      <w:tr w:rsidR="0019532E" w:rsidRPr="0002770A"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Piešķiršanas datums</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w:t>
            </w:r>
            <w:r w:rsidR="005F2C26" w:rsidRPr="0002770A">
              <w:rPr>
                <w:rFonts w:ascii="Arial Unicode MS" w:hAnsi="Arial Unicode MS"/>
                <w:b/>
                <w:i/>
                <w:noProof/>
                <w:sz w:val="21"/>
              </w:rPr>
              <w:t>Ad hoc</w:t>
            </w:r>
            <w:r w:rsidR="005F2C26" w:rsidRPr="0002770A">
              <w:rPr>
                <w:rFonts w:ascii="Arial Unicode MS" w:hAnsi="Arial Unicode MS"/>
                <w:b/>
                <w:noProof/>
                <w:sz w:val="21"/>
              </w:rPr>
              <w:t xml:space="preserve"> atbalsts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dd/mm/gggg</w:t>
            </w:r>
          </w:p>
        </w:tc>
      </w:tr>
      <w:tr w:rsidR="0019532E" w:rsidRPr="0002770A"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Attiecīgā ekonomikas nozare (nozares)</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Uz atbalstu tiesīgas ir visas tautsaimniecības nozares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 xml:space="preserve"> </w:t>
            </w:r>
          </w:p>
        </w:tc>
      </w:tr>
      <w:tr w:rsidR="0019532E" w:rsidRPr="0002770A"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02770A"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Attiecas tikai uz atsevišķām nozarēm. Nozare jānorāda </w:t>
            </w:r>
            <w:r w:rsidR="005F2C26" w:rsidRPr="0002770A">
              <w:rPr>
                <w:rFonts w:ascii="Arial Unicode MS" w:hAnsi="Arial Unicode MS"/>
                <w:b/>
                <w:i/>
                <w:noProof/>
                <w:sz w:val="21"/>
              </w:rPr>
              <w:t>NACE</w:t>
            </w:r>
            <w:r w:rsidR="005F2C26" w:rsidRPr="0002770A">
              <w:rPr>
                <w:rFonts w:ascii="Arial Unicode MS" w:hAnsi="Arial Unicode MS"/>
                <w:b/>
                <w:noProof/>
                <w:sz w:val="21"/>
              </w:rPr>
              <w:t xml:space="preserve"> grupas līmenī</w:t>
            </w:r>
            <w:r w:rsidR="005F2C26" w:rsidRPr="0002770A">
              <w:rPr>
                <w:rStyle w:val="FootnoteReference"/>
                <w:rFonts w:ascii="Arial Unicode MS" w:hAnsi="Arial Unicode MS" w:cs="Arial"/>
                <w:b/>
                <w:bCs/>
                <w:noProof/>
                <w:sz w:val="21"/>
                <w:szCs w:val="21"/>
              </w:rPr>
              <w:footnoteReference w:id="4"/>
            </w:r>
            <w:r w:rsidR="005F2C26" w:rsidRPr="0002770A">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 xml:space="preserve"> </w:t>
            </w:r>
          </w:p>
        </w:tc>
      </w:tr>
      <w:tr w:rsidR="0019532E" w:rsidRPr="0002770A"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Labuma guvēja veids</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MVU</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 xml:space="preserve"> </w:t>
            </w:r>
          </w:p>
        </w:tc>
      </w:tr>
      <w:tr w:rsidR="0019532E" w:rsidRPr="0002770A"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02770A"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Lielie uzņēmumi</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02770A" w:rsidRDefault="0019532E">
            <w:pPr>
              <w:spacing w:before="0"/>
              <w:jc w:val="left"/>
              <w:rPr>
                <w:rFonts w:ascii="Arial Unicode MS" w:hAnsi="Arial Unicode MS" w:cs="Arial"/>
                <w:noProof/>
                <w:sz w:val="21"/>
                <w:szCs w:val="21"/>
              </w:rPr>
            </w:pPr>
            <w:r w:rsidRPr="0002770A">
              <w:rPr>
                <w:rFonts w:ascii="Arial Unicode MS" w:hAnsi="Arial Unicode MS"/>
                <w:noProof/>
                <w:sz w:val="21"/>
              </w:rPr>
              <w:t xml:space="preserve"> </w:t>
            </w:r>
          </w:p>
        </w:tc>
      </w:tr>
      <w:tr w:rsidR="0019532E" w:rsidRPr="0002770A"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Budžets</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Kopējais saskaņā ar shēmu ieplānotais gada budžets</w:t>
            </w:r>
            <w:r w:rsidRPr="0002770A">
              <w:rPr>
                <w:rStyle w:val="FootnoteReference"/>
                <w:rFonts w:ascii="Arial Unicode MS" w:hAnsi="Arial Unicode MS" w:cs="Arial"/>
                <w:b/>
                <w:bCs/>
                <w:noProof/>
                <w:sz w:val="21"/>
                <w:szCs w:val="21"/>
              </w:rPr>
              <w:footnoteReference w:id="5"/>
            </w:r>
            <w:r w:rsidRPr="0002770A">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Valsts valūta ........................ (pilnas summas)</w:t>
            </w:r>
          </w:p>
        </w:tc>
      </w:tr>
      <w:tr w:rsidR="0019532E" w:rsidRPr="0002770A"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02770A"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 xml:space="preserve">Uzņēmumam piešķirtā </w:t>
            </w:r>
            <w:r w:rsidRPr="0002770A">
              <w:rPr>
                <w:rFonts w:ascii="Arial Unicode MS" w:hAnsi="Arial Unicode MS"/>
                <w:b/>
                <w:i/>
                <w:noProof/>
                <w:sz w:val="21"/>
              </w:rPr>
              <w:t>ad hoc</w:t>
            </w:r>
            <w:r w:rsidRPr="0002770A">
              <w:rPr>
                <w:rFonts w:ascii="Arial Unicode MS" w:hAnsi="Arial Unicode MS"/>
                <w:b/>
                <w:noProof/>
                <w:sz w:val="21"/>
              </w:rPr>
              <w:t xml:space="preserve"> atbalsta kopsumma</w:t>
            </w:r>
            <w:r w:rsidRPr="0002770A">
              <w:rPr>
                <w:rStyle w:val="FootnoteReference"/>
                <w:rFonts w:ascii="Arial Unicode MS" w:hAnsi="Arial Unicode MS" w:cs="Arial"/>
                <w:b/>
                <w:bCs/>
                <w:noProof/>
                <w:sz w:val="21"/>
                <w:szCs w:val="21"/>
              </w:rPr>
              <w:footnoteReference w:id="6"/>
            </w:r>
            <w:r w:rsidRPr="0002770A">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Valsts valūta ........................ (pilnas summas)</w:t>
            </w:r>
          </w:p>
        </w:tc>
      </w:tr>
      <w:tr w:rsidR="0019532E" w:rsidRPr="0002770A"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02770A"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Garantijām</w:t>
            </w:r>
            <w:r w:rsidR="005F2C26" w:rsidRPr="0002770A">
              <w:rPr>
                <w:rStyle w:val="FootnoteReference"/>
                <w:rFonts w:ascii="Arial Unicode MS" w:hAnsi="Arial Unicode MS" w:cs="Arial"/>
                <w:b/>
                <w:bCs/>
                <w:noProof/>
                <w:sz w:val="21"/>
                <w:szCs w:val="21"/>
              </w:rPr>
              <w:footnoteReference w:id="7"/>
            </w:r>
            <w:r w:rsidR="005F2C26" w:rsidRPr="0002770A">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Valsts valūta ........................ (pilnas summas)</w:t>
            </w:r>
          </w:p>
        </w:tc>
      </w:tr>
      <w:tr w:rsidR="0019532E" w:rsidRPr="0002770A"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Atbalsta instruments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Dotācija / procentu likmes subsīdija</w:t>
            </w:r>
          </w:p>
        </w:tc>
      </w:tr>
      <w:tr w:rsidR="00CE32A7" w:rsidRPr="0002770A"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02770A"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Subsidēti pakalpojumi</w:t>
            </w:r>
          </w:p>
        </w:tc>
      </w:tr>
      <w:tr w:rsidR="0019532E" w:rsidRPr="0002770A"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02770A"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Aizdevums / atmaksājams avanss</w:t>
            </w:r>
          </w:p>
        </w:tc>
      </w:tr>
      <w:tr w:rsidR="0019532E" w:rsidRPr="0002770A"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02770A"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Garantija (attiecīgā gadījumā ar atsauci uz Komisijas lēmumu)</w:t>
            </w:r>
            <w:r w:rsidR="005F2C26" w:rsidRPr="0002770A">
              <w:rPr>
                <w:rStyle w:val="FootnoteReference"/>
                <w:rFonts w:ascii="Arial Unicode MS" w:hAnsi="Arial Unicode MS" w:cs="Arial"/>
                <w:b/>
                <w:bCs/>
                <w:noProof/>
                <w:sz w:val="21"/>
                <w:szCs w:val="21"/>
              </w:rPr>
              <w:footnoteReference w:id="8"/>
            </w:r>
          </w:p>
        </w:tc>
      </w:tr>
      <w:tr w:rsidR="0019532E" w:rsidRPr="0002770A"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02770A"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Nodokļu atvieglojums vai atbrīvojums no nodokļiem</w:t>
            </w:r>
          </w:p>
        </w:tc>
      </w:tr>
      <w:tr w:rsidR="0019532E" w:rsidRPr="0002770A"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02770A"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 xml:space="preserve"> </w:t>
            </w:r>
          </w:p>
        </w:tc>
      </w:tr>
      <w:tr w:rsidR="0019532E" w:rsidRPr="0002770A"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02770A"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Cits (precizēt)</w:t>
            </w:r>
          </w:p>
          <w:p w14:paraId="2887DC10" w14:textId="77777777" w:rsidR="0019532E" w:rsidRPr="0002770A" w:rsidRDefault="0019532E">
            <w:pPr>
              <w:spacing w:before="0"/>
              <w:jc w:val="left"/>
              <w:rPr>
                <w:rFonts w:ascii="Arial Unicode MS" w:hAnsi="Arial Unicode MS" w:cs="Arial"/>
                <w:b/>
                <w:bCs/>
                <w:noProof/>
                <w:sz w:val="21"/>
                <w:szCs w:val="21"/>
              </w:rPr>
            </w:pPr>
          </w:p>
          <w:p w14:paraId="7F1210AC" w14:textId="77777777" w:rsidR="0019532E" w:rsidRPr="0002770A" w:rsidRDefault="0019532E">
            <w:pPr>
              <w:spacing w:before="0"/>
              <w:jc w:val="left"/>
              <w:rPr>
                <w:rFonts w:ascii="Arial Unicode MS" w:hAnsi="Arial Unicode MS" w:cs="Arial"/>
                <w:b/>
                <w:bCs/>
                <w:noProof/>
                <w:sz w:val="21"/>
                <w:szCs w:val="21"/>
              </w:rPr>
            </w:pPr>
            <w:r w:rsidRPr="0002770A">
              <w:rPr>
                <w:rFonts w:ascii="Arial Unicode MS" w:hAnsi="Arial Unicode MS"/>
                <w:b/>
                <w:noProof/>
                <w:sz w:val="21"/>
              </w:rPr>
              <w:t>Norādīt, kurai kategorijai atbalsta instruments iedarbības/funkcionālā ziņā atbilst vislabāk:</w:t>
            </w:r>
          </w:p>
          <w:p w14:paraId="7316A5E5" w14:textId="4ADB0EB2"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Dotācija</w:t>
            </w:r>
          </w:p>
          <w:p w14:paraId="46E73582" w14:textId="71F0373A"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Subsidēti pakalpojumi</w:t>
            </w:r>
            <w:r w:rsidR="0002770A">
              <w:rPr>
                <w:rFonts w:ascii="Arial Unicode MS" w:hAnsi="Arial Unicode MS"/>
                <w:b/>
                <w:noProof/>
                <w:sz w:val="21"/>
              </w:rPr>
              <w:t xml:space="preserve"> </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Aizdevums</w:t>
            </w:r>
          </w:p>
          <w:p w14:paraId="2EFC84AF"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Garantija</w:t>
            </w:r>
          </w:p>
          <w:p w14:paraId="287AF9DA" w14:textId="77777777" w:rsidR="0019532E" w:rsidRPr="0002770A" w:rsidRDefault="00EC4BD4">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5F2C26" w:rsidRPr="0002770A">
                  <w:rPr>
                    <w:rFonts w:ascii="Segoe UI Symbol" w:eastAsia="MS Gothic" w:hAnsi="Segoe UI Symbol" w:cs="Segoe UI Symbol"/>
                    <w:b/>
                    <w:bCs/>
                    <w:noProof/>
                    <w:sz w:val="21"/>
                    <w:szCs w:val="21"/>
                  </w:rPr>
                  <w:t>☐</w:t>
                </w:r>
              </w:sdtContent>
            </w:sdt>
            <w:r w:rsidR="005F2C26" w:rsidRPr="0002770A">
              <w:rPr>
                <w:rFonts w:ascii="Arial Unicode MS" w:hAnsi="Arial Unicode MS"/>
                <w:b/>
                <w:noProof/>
                <w:sz w:val="21"/>
              </w:rPr>
              <w:t xml:space="preserve"> Nodokļu atvieglojums</w:t>
            </w:r>
          </w:p>
        </w:tc>
      </w:tr>
      <w:tr w:rsidR="003F1708" w:rsidRPr="0002770A"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02770A" w:rsidRDefault="003F1708" w:rsidP="003F1708">
            <w:pPr>
              <w:spacing w:before="0"/>
              <w:jc w:val="left"/>
              <w:rPr>
                <w:rFonts w:ascii="Arial Unicode MS" w:hAnsi="Arial Unicode MS" w:cs="Arial"/>
                <w:b/>
                <w:bCs/>
                <w:noProof/>
                <w:sz w:val="21"/>
                <w:szCs w:val="21"/>
              </w:rPr>
            </w:pPr>
            <w:r w:rsidRPr="0002770A">
              <w:rPr>
                <w:rFonts w:ascii="Arial Unicode MS" w:hAnsi="Arial Unicode MS"/>
                <w:b/>
                <w:noProof/>
                <w:sz w:val="21"/>
              </w:rPr>
              <w:t>Ja piešķirts ES fonda (fondu) līdzfinansējums</w:t>
            </w:r>
          </w:p>
          <w:p w14:paraId="0EA08BB4" w14:textId="35DC08DE" w:rsidR="003F1708" w:rsidRPr="0002770A"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02770A" w:rsidRDefault="003F1708" w:rsidP="003F1708">
            <w:pPr>
              <w:spacing w:before="0"/>
              <w:jc w:val="left"/>
              <w:rPr>
                <w:rFonts w:ascii="Arial Unicode MS" w:hAnsi="Arial Unicode MS" w:cs="Arial"/>
                <w:b/>
                <w:bCs/>
                <w:noProof/>
                <w:sz w:val="21"/>
                <w:szCs w:val="21"/>
              </w:rPr>
            </w:pPr>
            <w:r w:rsidRPr="0002770A">
              <w:rPr>
                <w:rFonts w:ascii="Arial Unicode MS" w:hAnsi="Arial Unicode MS"/>
                <w:b/>
                <w:noProof/>
                <w:sz w:val="21"/>
              </w:rPr>
              <w:t>ES fonda (fondu) nosaukums</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02770A" w:rsidRDefault="003F1708" w:rsidP="003F1708">
            <w:pPr>
              <w:spacing w:before="0"/>
              <w:jc w:val="left"/>
              <w:rPr>
                <w:rFonts w:ascii="Arial Unicode MS" w:hAnsi="Arial Unicode MS" w:cs="Arial"/>
                <w:b/>
                <w:bCs/>
                <w:noProof/>
                <w:sz w:val="21"/>
                <w:szCs w:val="21"/>
              </w:rPr>
            </w:pPr>
            <w:r w:rsidRPr="0002770A">
              <w:rPr>
                <w:rFonts w:ascii="Arial Unicode MS" w:hAnsi="Arial Unicode MS"/>
                <w:b/>
                <w:noProof/>
                <w:sz w:val="21"/>
              </w:rPr>
              <w:t>Finansējuma summa (par katru ES fondu)</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02770A" w:rsidRDefault="003F1708" w:rsidP="003F1708">
            <w:pPr>
              <w:spacing w:before="0"/>
              <w:jc w:val="left"/>
              <w:rPr>
                <w:rFonts w:ascii="Arial Unicode MS" w:hAnsi="Arial Unicode MS" w:cs="Arial"/>
                <w:b/>
                <w:bCs/>
                <w:noProof/>
                <w:sz w:val="21"/>
                <w:szCs w:val="21"/>
              </w:rPr>
            </w:pPr>
            <w:r w:rsidRPr="0002770A">
              <w:rPr>
                <w:rFonts w:ascii="Arial Unicode MS" w:hAnsi="Arial Unicode MS"/>
                <w:b/>
                <w:noProof/>
                <w:sz w:val="21"/>
              </w:rPr>
              <w:t>Valsts valūta (pilnas summas)</w:t>
            </w:r>
          </w:p>
        </w:tc>
      </w:tr>
      <w:tr w:rsidR="003F1708" w:rsidRPr="0002770A"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02770A"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02770A"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02770A"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02770A" w:rsidDel="003F1708" w:rsidRDefault="003F1708" w:rsidP="003F1708">
            <w:pPr>
              <w:spacing w:before="0"/>
              <w:jc w:val="left"/>
              <w:rPr>
                <w:b/>
                <w:bCs/>
                <w:noProof/>
                <w:sz w:val="17"/>
                <w:szCs w:val="17"/>
              </w:rPr>
            </w:pPr>
          </w:p>
        </w:tc>
      </w:tr>
    </w:tbl>
    <w:p w14:paraId="7DC87BF7" w14:textId="55B05021" w:rsidR="0019532E" w:rsidRPr="0002770A"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02770A" w:rsidRDefault="00FC17FF" w:rsidP="00FC17FF">
      <w:pPr>
        <w:spacing w:after="480"/>
        <w:jc w:val="center"/>
        <w:rPr>
          <w:b/>
          <w:bCs/>
          <w:noProof/>
          <w:szCs w:val="24"/>
        </w:rPr>
      </w:pPr>
      <w:r w:rsidRPr="0002770A">
        <w:rPr>
          <w:b/>
          <w:noProof/>
        </w:rPr>
        <w:t>II DAĻA</w:t>
      </w:r>
    </w:p>
    <w:p w14:paraId="5AF63414" w14:textId="77777777" w:rsidR="00FC17FF" w:rsidRPr="0002770A" w:rsidRDefault="00FC17FF" w:rsidP="00FC17FF">
      <w:pPr>
        <w:spacing w:after="480"/>
        <w:jc w:val="center"/>
        <w:rPr>
          <w:b/>
          <w:bCs/>
          <w:smallCaps/>
          <w:noProof/>
          <w:szCs w:val="24"/>
        </w:rPr>
      </w:pPr>
      <w:r w:rsidRPr="0002770A">
        <w:rPr>
          <w:b/>
          <w:noProof/>
        </w:rPr>
        <w:t>Informācija, kuru, kā noteikts 11. pantā, sniedz, izmantojot Komisijas izveidoto elektroniskās paziņošanas sistēmu</w:t>
      </w:r>
    </w:p>
    <w:p w14:paraId="3238B790" w14:textId="77777777" w:rsidR="00FC17FF" w:rsidRPr="0002770A" w:rsidRDefault="00FC17FF" w:rsidP="00FC17FF">
      <w:pPr>
        <w:spacing w:after="0"/>
        <w:rPr>
          <w:noProof/>
          <w:szCs w:val="24"/>
        </w:rPr>
      </w:pPr>
      <w:r w:rsidRPr="0002770A">
        <w:rPr>
          <w:noProof/>
        </w:rPr>
        <w:t>Norādīt grupu atbrīvojuma regulas noteikumu, kuru ievērojot konkrētais atbalsta pasākums tiek īstenots.</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02770A" w14:paraId="693AD275" w14:textId="77777777" w:rsidTr="00FC17FF">
        <w:trPr>
          <w:trHeight w:val="445"/>
        </w:trPr>
        <w:tc>
          <w:tcPr>
            <w:tcW w:w="8988" w:type="dxa"/>
            <w:gridSpan w:val="5"/>
          </w:tcPr>
          <w:p w14:paraId="44E6E70E"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inovācijai zvejniecībā (15. pants)</w:t>
            </w:r>
          </w:p>
        </w:tc>
      </w:tr>
      <w:tr w:rsidR="00FC17FF" w:rsidRPr="0002770A" w14:paraId="37A27BAF" w14:textId="77777777" w:rsidTr="00FC17FF">
        <w:trPr>
          <w:trHeight w:val="469"/>
        </w:trPr>
        <w:tc>
          <w:tcPr>
            <w:tcW w:w="8988" w:type="dxa"/>
            <w:gridSpan w:val="5"/>
          </w:tcPr>
          <w:p w14:paraId="10A8D28F" w14:textId="77777777" w:rsidR="00FC17FF" w:rsidRPr="0002770A" w:rsidRDefault="00FC17FF" w:rsidP="00FC17FF">
            <w:pPr>
              <w:spacing w:after="0"/>
              <w:rPr>
                <w:bCs/>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konsultāciju pakalpojumiem (16. pants)</w:t>
            </w:r>
          </w:p>
        </w:tc>
      </w:tr>
      <w:tr w:rsidR="00FC17FF" w:rsidRPr="0002770A" w14:paraId="2EAD20BB" w14:textId="77777777" w:rsidTr="00FC17FF">
        <w:trPr>
          <w:trHeight w:val="481"/>
        </w:trPr>
        <w:tc>
          <w:tcPr>
            <w:tcW w:w="8988" w:type="dxa"/>
            <w:gridSpan w:val="5"/>
          </w:tcPr>
          <w:p w14:paraId="6F6FCA34" w14:textId="49543CE8" w:rsidR="00FC17FF" w:rsidRPr="0002770A" w:rsidRDefault="00FC17FF" w:rsidP="00895161">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zinātnieku un zvejnieku partnerībai (17. pants)</w:t>
            </w:r>
          </w:p>
        </w:tc>
      </w:tr>
      <w:tr w:rsidR="00895161" w:rsidRPr="0002770A" w14:paraId="2C2FC7AC" w14:textId="77777777" w:rsidTr="00FC17FF">
        <w:trPr>
          <w:trHeight w:val="589"/>
        </w:trPr>
        <w:tc>
          <w:tcPr>
            <w:tcW w:w="8988" w:type="dxa"/>
            <w:gridSpan w:val="5"/>
          </w:tcPr>
          <w:p w14:paraId="51F7D83F" w14:textId="1DD7DF05" w:rsidR="00895161" w:rsidRPr="0002770A" w:rsidRDefault="00895161" w:rsidP="00842632">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cilvēkkapitāla, jaunu darbvietu radīšanas un sociālā dialoga veicināšanai (18. pants)</w:t>
            </w:r>
          </w:p>
        </w:tc>
      </w:tr>
      <w:tr w:rsidR="00FC17FF" w:rsidRPr="0002770A" w14:paraId="5FA32C7F" w14:textId="77777777" w:rsidTr="00FC17FF">
        <w:trPr>
          <w:trHeight w:val="589"/>
        </w:trPr>
        <w:tc>
          <w:tcPr>
            <w:tcW w:w="8988" w:type="dxa"/>
            <w:gridSpan w:val="5"/>
          </w:tcPr>
          <w:p w14:paraId="42CD78E1"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dažādošanai un jauniem ienākumu veidiem</w:t>
            </w:r>
            <w:r w:rsidRPr="0002770A">
              <w:rPr>
                <w:noProof/>
              </w:rPr>
              <w:t xml:space="preserve"> (19. pants)</w:t>
            </w:r>
          </w:p>
        </w:tc>
      </w:tr>
      <w:tr w:rsidR="00FC17FF" w:rsidRPr="0002770A" w14:paraId="18C897D1" w14:textId="77777777" w:rsidTr="00FC17FF">
        <w:trPr>
          <w:trHeight w:val="481"/>
        </w:trPr>
        <w:tc>
          <w:tcPr>
            <w:tcW w:w="8988" w:type="dxa"/>
            <w:gridSpan w:val="5"/>
          </w:tcPr>
          <w:p w14:paraId="11EEFF66"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zvejas kuģa pirmreizējai iegādei</w:t>
            </w:r>
            <w:r w:rsidRPr="0002770A">
              <w:rPr>
                <w:noProof/>
              </w:rPr>
              <w:t xml:space="preserve"> (20. pants)</w:t>
            </w:r>
          </w:p>
        </w:tc>
      </w:tr>
      <w:tr w:rsidR="00FC17FF" w:rsidRPr="0002770A" w14:paraId="39449BEB" w14:textId="77777777" w:rsidTr="00FC17FF">
        <w:trPr>
          <w:trHeight w:val="469"/>
        </w:trPr>
        <w:tc>
          <w:tcPr>
            <w:tcW w:w="8988" w:type="dxa"/>
            <w:gridSpan w:val="5"/>
          </w:tcPr>
          <w:p w14:paraId="6274E366"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zvejnieku veselības, drošības un darba apstākļu uzlabošanai</w:t>
            </w:r>
            <w:r w:rsidRPr="0002770A">
              <w:rPr>
                <w:noProof/>
              </w:rPr>
              <w:t xml:space="preserve"> (21. pants)</w:t>
            </w:r>
          </w:p>
        </w:tc>
      </w:tr>
      <w:tr w:rsidR="00FC17FF" w:rsidRPr="0002770A" w14:paraId="5E979DB9" w14:textId="77777777" w:rsidTr="00FC17FF">
        <w:trPr>
          <w:trHeight w:val="481"/>
        </w:trPr>
        <w:tc>
          <w:tcPr>
            <w:tcW w:w="8988" w:type="dxa"/>
            <w:gridSpan w:val="5"/>
          </w:tcPr>
          <w:p w14:paraId="181E5460" w14:textId="25F2BF92"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kopfondiem un apdrošināšanas prēmijām (22. pants)</w:t>
            </w:r>
          </w:p>
        </w:tc>
      </w:tr>
      <w:tr w:rsidR="00FC17FF" w:rsidRPr="0002770A" w14:paraId="5557CC9E" w14:textId="77777777" w:rsidTr="00FC17FF">
        <w:trPr>
          <w:trHeight w:val="469"/>
        </w:trPr>
        <w:tc>
          <w:tcPr>
            <w:tcW w:w="8988" w:type="dxa"/>
            <w:gridSpan w:val="5"/>
          </w:tcPr>
          <w:p w14:paraId="798A9A8B"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zvejas iespēju iedalīšanas sistēmām</w:t>
            </w:r>
            <w:r w:rsidRPr="0002770A">
              <w:rPr>
                <w:noProof/>
              </w:rPr>
              <w:t xml:space="preserve"> (23. pants)</w:t>
            </w:r>
          </w:p>
        </w:tc>
      </w:tr>
      <w:tr w:rsidR="00FC17FF" w:rsidRPr="0002770A" w14:paraId="6BBF2385" w14:textId="77777777" w:rsidTr="00FC17FF">
        <w:trPr>
          <w:trHeight w:val="721"/>
        </w:trPr>
        <w:tc>
          <w:tcPr>
            <w:tcW w:w="8988" w:type="dxa"/>
            <w:gridSpan w:val="5"/>
          </w:tcPr>
          <w:p w14:paraId="2451A8A2"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kas paredzēts, lai ierobežotu zvejošanas ietekmi uz vidi un lai zvejošanu pielāgotu sugu aizsardzības vajadzībām</w:t>
            </w:r>
            <w:r w:rsidRPr="0002770A">
              <w:rPr>
                <w:noProof/>
              </w:rPr>
              <w:t xml:space="preserve"> (24. pants)</w:t>
            </w:r>
          </w:p>
        </w:tc>
      </w:tr>
      <w:tr w:rsidR="00FC17FF" w:rsidRPr="0002770A" w14:paraId="280AA278" w14:textId="77777777" w:rsidTr="00FC17FF">
        <w:trPr>
          <w:trHeight w:val="709"/>
        </w:trPr>
        <w:tc>
          <w:tcPr>
            <w:tcW w:w="8988" w:type="dxa"/>
            <w:gridSpan w:val="5"/>
          </w:tcPr>
          <w:p w14:paraId="1EC288E6"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ar jūras bioloģisko resursu saglabāšanu saistītai inovācijai (25. pants)</w:t>
            </w:r>
          </w:p>
        </w:tc>
      </w:tr>
      <w:tr w:rsidR="00FC17FF" w:rsidRPr="0002770A" w14:paraId="2C501BA2" w14:textId="77777777" w:rsidTr="00FC17FF">
        <w:trPr>
          <w:trHeight w:val="709"/>
        </w:trPr>
        <w:tc>
          <w:tcPr>
            <w:tcW w:w="8988" w:type="dxa"/>
            <w:gridSpan w:val="5"/>
          </w:tcPr>
          <w:p w14:paraId="3B0790F0"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jūras biodaudzveidības un ekosistēmu aizsardzībai un atjaunošanai un režīmiem, kas saistīti ar ilgtspējīgām zvejas darbībām</w:t>
            </w:r>
            <w:r w:rsidRPr="0002770A">
              <w:rPr>
                <w:noProof/>
              </w:rPr>
              <w:t xml:space="preserve"> (26. pants)</w:t>
            </w:r>
          </w:p>
        </w:tc>
      </w:tr>
      <w:tr w:rsidR="00FC17FF" w:rsidRPr="0002770A" w14:paraId="0C8BDE3F" w14:textId="77777777" w:rsidTr="00FC17FF">
        <w:trPr>
          <w:trHeight w:val="745"/>
        </w:trPr>
        <w:tc>
          <w:tcPr>
            <w:tcW w:w="8988" w:type="dxa"/>
            <w:gridSpan w:val="5"/>
          </w:tcPr>
          <w:p w14:paraId="1840E487"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energoefektivitātes uzlabošanai un klimata pārmaiņu ietekmes mazināšanai</w:t>
            </w:r>
            <w:r w:rsidRPr="0002770A">
              <w:rPr>
                <w:noProof/>
              </w:rPr>
              <w:t xml:space="preserve"> (27. pants)</w:t>
            </w:r>
          </w:p>
        </w:tc>
      </w:tr>
      <w:tr w:rsidR="00FC17FF" w:rsidRPr="0002770A" w14:paraId="7A2C83D7" w14:textId="77777777" w:rsidTr="00FC17FF">
        <w:trPr>
          <w:trHeight w:val="553"/>
        </w:trPr>
        <w:tc>
          <w:tcPr>
            <w:tcW w:w="8988" w:type="dxa"/>
            <w:gridSpan w:val="5"/>
          </w:tcPr>
          <w:p w14:paraId="6CD9CA23"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kas vērsts uz pievienoto vērtību, produktu kvalitāti un nevēlamu nozveju izmantošanu</w:t>
            </w:r>
            <w:r w:rsidRPr="0002770A">
              <w:rPr>
                <w:noProof/>
              </w:rPr>
              <w:t xml:space="preserve"> (28. pants)</w:t>
            </w:r>
          </w:p>
        </w:tc>
      </w:tr>
      <w:tr w:rsidR="00FC17FF" w:rsidRPr="0002770A" w14:paraId="394BC6C1" w14:textId="77777777" w:rsidTr="00FC17FF">
        <w:trPr>
          <w:trHeight w:val="553"/>
        </w:trPr>
        <w:tc>
          <w:tcPr>
            <w:tcW w:w="8988" w:type="dxa"/>
            <w:gridSpan w:val="5"/>
          </w:tcPr>
          <w:p w14:paraId="18CADB4D"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zvejas ostām, izkraušanas vietām, izsoļu namiem un patvēruma vietām</w:t>
            </w:r>
            <w:r w:rsidRPr="0002770A">
              <w:rPr>
                <w:noProof/>
              </w:rPr>
              <w:t xml:space="preserve"> (29. pants)</w:t>
            </w:r>
          </w:p>
        </w:tc>
      </w:tr>
      <w:tr w:rsidR="00FC17FF" w:rsidRPr="0002770A" w14:paraId="542E8A7A" w14:textId="77777777" w:rsidTr="00FC17FF">
        <w:trPr>
          <w:trHeight w:val="433"/>
        </w:trPr>
        <w:tc>
          <w:tcPr>
            <w:tcW w:w="8988" w:type="dxa"/>
            <w:gridSpan w:val="5"/>
          </w:tcPr>
          <w:p w14:paraId="2B14B348"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zvejai iekšējos ūdeņos un par iekšējo ūdeņu dzīvniekiem un augiem</w:t>
            </w:r>
            <w:r w:rsidRPr="0002770A">
              <w:rPr>
                <w:noProof/>
              </w:rPr>
              <w:t xml:space="preserve"> (30. pants)</w:t>
            </w:r>
          </w:p>
        </w:tc>
      </w:tr>
      <w:tr w:rsidR="00FC17FF" w:rsidRPr="0002770A" w14:paraId="7E988D8A" w14:textId="77777777" w:rsidTr="00FC17FF">
        <w:trPr>
          <w:trHeight w:val="553"/>
        </w:trPr>
        <w:tc>
          <w:tcPr>
            <w:tcW w:w="8988" w:type="dxa"/>
            <w:gridSpan w:val="5"/>
          </w:tcPr>
          <w:p w14:paraId="18834270"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inovācijai akvakultūrā</w:t>
            </w:r>
            <w:r w:rsidRPr="0002770A">
              <w:rPr>
                <w:noProof/>
              </w:rPr>
              <w:t xml:space="preserve"> (32. pants)</w:t>
            </w:r>
          </w:p>
        </w:tc>
      </w:tr>
      <w:tr w:rsidR="00FC17FF" w:rsidRPr="0002770A" w14:paraId="2BED63E4" w14:textId="77777777" w:rsidTr="00FC17FF">
        <w:trPr>
          <w:trHeight w:val="445"/>
        </w:trPr>
        <w:tc>
          <w:tcPr>
            <w:tcW w:w="8988" w:type="dxa"/>
            <w:gridSpan w:val="5"/>
          </w:tcPr>
          <w:p w14:paraId="3D7AD295"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investīcijām, kas palielina akvakultūras ražīgumu vai labvēlīgi ietekmē akvakultūras vidi</w:t>
            </w:r>
            <w:r w:rsidRPr="0002770A">
              <w:rPr>
                <w:noProof/>
              </w:rPr>
              <w:t xml:space="preserve"> (33. pants)</w:t>
            </w:r>
          </w:p>
        </w:tc>
      </w:tr>
      <w:tr w:rsidR="00FC17FF" w:rsidRPr="0002770A" w14:paraId="0D2AFBE6" w14:textId="77777777" w:rsidTr="00FC17FF">
        <w:trPr>
          <w:trHeight w:val="445"/>
        </w:trPr>
        <w:tc>
          <w:tcPr>
            <w:tcW w:w="8988" w:type="dxa"/>
            <w:gridSpan w:val="5"/>
          </w:tcPr>
          <w:p w14:paraId="4D1DD96D"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akvakultūras saimniecībām paredzētiem pārvaldības, aizvietošanas un konsultāciju pakalpojumiem</w:t>
            </w:r>
            <w:r w:rsidRPr="0002770A">
              <w:rPr>
                <w:noProof/>
              </w:rPr>
              <w:t xml:space="preserve"> (34. pants)</w:t>
            </w:r>
          </w:p>
        </w:tc>
      </w:tr>
      <w:tr w:rsidR="00FC17FF" w:rsidRPr="0002770A" w14:paraId="53169146" w14:textId="77777777" w:rsidTr="00FC17FF">
        <w:trPr>
          <w:trHeight w:val="445"/>
        </w:trPr>
        <w:tc>
          <w:tcPr>
            <w:tcW w:w="8988" w:type="dxa"/>
            <w:gridSpan w:val="5"/>
          </w:tcPr>
          <w:p w14:paraId="450E5D1A"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cilvēkkapitāla un tīklošanās veicināšanai akvakultūrā</w:t>
            </w:r>
            <w:r w:rsidRPr="0002770A">
              <w:rPr>
                <w:noProof/>
              </w:rPr>
              <w:t xml:space="preserve"> (35. pants)</w:t>
            </w:r>
          </w:p>
        </w:tc>
      </w:tr>
      <w:tr w:rsidR="00FC17FF" w:rsidRPr="0002770A" w14:paraId="019C1613" w14:textId="77777777" w:rsidTr="00FC17FF">
        <w:trPr>
          <w:trHeight w:val="445"/>
        </w:trPr>
        <w:tc>
          <w:tcPr>
            <w:tcW w:w="8988" w:type="dxa"/>
            <w:gridSpan w:val="5"/>
          </w:tcPr>
          <w:p w14:paraId="23D01AAD"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akvakultūras saimniecību potenciāla palielināšanai</w:t>
            </w:r>
            <w:r w:rsidRPr="0002770A">
              <w:rPr>
                <w:noProof/>
              </w:rPr>
              <w:t xml:space="preserve"> (36. pants)</w:t>
            </w:r>
          </w:p>
        </w:tc>
      </w:tr>
      <w:tr w:rsidR="00FC17FF" w:rsidRPr="0002770A" w14:paraId="4520861F" w14:textId="77777777" w:rsidTr="00FC17FF">
        <w:trPr>
          <w:trHeight w:val="445"/>
        </w:trPr>
        <w:tc>
          <w:tcPr>
            <w:tcW w:w="8988" w:type="dxa"/>
            <w:gridSpan w:val="5"/>
          </w:tcPr>
          <w:p w14:paraId="6FDB24D2"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akvakultūras jaunpienācējiem, kas nodarbojas ar ilgtspējīgu akvakultūru</w:t>
            </w:r>
            <w:r w:rsidRPr="0002770A">
              <w:rPr>
                <w:noProof/>
              </w:rPr>
              <w:t xml:space="preserve"> (37. pants)</w:t>
            </w:r>
          </w:p>
        </w:tc>
      </w:tr>
      <w:tr w:rsidR="00FC17FF" w:rsidRPr="0002770A" w14:paraId="4EC278D7" w14:textId="77777777" w:rsidTr="00FC17FF">
        <w:trPr>
          <w:trHeight w:val="445"/>
        </w:trPr>
        <w:tc>
          <w:tcPr>
            <w:tcW w:w="8988" w:type="dxa"/>
            <w:gridSpan w:val="5"/>
          </w:tcPr>
          <w:p w14:paraId="0BC63A97"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pārejai uz vides vadības un audita sistēmām un bioloģisko akvakultūru</w:t>
            </w:r>
            <w:r w:rsidRPr="0002770A">
              <w:rPr>
                <w:noProof/>
              </w:rPr>
              <w:t xml:space="preserve"> (38. pants)</w:t>
            </w:r>
          </w:p>
        </w:tc>
      </w:tr>
      <w:tr w:rsidR="00FC17FF" w:rsidRPr="0002770A" w14:paraId="1A5ED19C" w14:textId="77777777" w:rsidTr="00FC17FF">
        <w:trPr>
          <w:trHeight w:val="445"/>
        </w:trPr>
        <w:tc>
          <w:tcPr>
            <w:tcW w:w="8988" w:type="dxa"/>
            <w:gridSpan w:val="5"/>
          </w:tcPr>
          <w:p w14:paraId="15A29C9C"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vidiskiem pakalpojumiem</w:t>
            </w:r>
            <w:r w:rsidRPr="0002770A">
              <w:rPr>
                <w:noProof/>
              </w:rPr>
              <w:t xml:space="preserve"> (39. pants)</w:t>
            </w:r>
          </w:p>
        </w:tc>
      </w:tr>
      <w:tr w:rsidR="00FC17FF" w:rsidRPr="0002770A" w14:paraId="7685D93B" w14:textId="77777777" w:rsidTr="00FC17FF">
        <w:trPr>
          <w:trHeight w:val="445"/>
        </w:trPr>
        <w:tc>
          <w:tcPr>
            <w:tcW w:w="8988" w:type="dxa"/>
            <w:gridSpan w:val="5"/>
          </w:tcPr>
          <w:p w14:paraId="429C0558"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pasākumiem sabiedrības veselības jomā</w:t>
            </w:r>
            <w:r w:rsidRPr="0002770A">
              <w:rPr>
                <w:noProof/>
              </w:rPr>
              <w:t xml:space="preserve"> (40. pants)</w:t>
            </w:r>
          </w:p>
        </w:tc>
      </w:tr>
      <w:tr w:rsidR="00FC17FF" w:rsidRPr="0002770A" w14:paraId="77227CC5" w14:textId="77777777" w:rsidTr="00FC17FF">
        <w:trPr>
          <w:trHeight w:val="445"/>
        </w:trPr>
        <w:tc>
          <w:tcPr>
            <w:tcW w:w="8988" w:type="dxa"/>
            <w:gridSpan w:val="5"/>
          </w:tcPr>
          <w:p w14:paraId="07EBAB97"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dzīvnieku veselības un labturības pasākumiem</w:t>
            </w:r>
            <w:r w:rsidRPr="0002770A">
              <w:rPr>
                <w:noProof/>
              </w:rPr>
              <w:t xml:space="preserve"> (41. pants)</w:t>
            </w:r>
          </w:p>
        </w:tc>
      </w:tr>
      <w:tr w:rsidR="00FC17FF" w:rsidRPr="0002770A" w14:paraId="4B19F9D6" w14:textId="77777777" w:rsidTr="00FC17FF">
        <w:trPr>
          <w:trHeight w:val="445"/>
        </w:trPr>
        <w:tc>
          <w:tcPr>
            <w:tcW w:w="8988" w:type="dxa"/>
            <w:gridSpan w:val="5"/>
          </w:tcPr>
          <w:p w14:paraId="01198543"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slimību profilaksei, kontrolei un izskaušanai</w:t>
            </w:r>
            <w:r w:rsidRPr="0002770A">
              <w:rPr>
                <w:noProof/>
              </w:rPr>
              <w:t xml:space="preserve"> (42. pants)</w:t>
            </w:r>
          </w:p>
        </w:tc>
      </w:tr>
      <w:tr w:rsidR="00FC17FF" w:rsidRPr="0002770A" w14:paraId="1025B60E" w14:textId="77777777" w:rsidTr="00FC17FF">
        <w:trPr>
          <w:trHeight w:val="445"/>
        </w:trPr>
        <w:tc>
          <w:tcPr>
            <w:tcW w:w="8988" w:type="dxa"/>
            <w:gridSpan w:val="5"/>
          </w:tcPr>
          <w:p w14:paraId="3E925DCF"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investīcijām, kuru mērķis ir novērst un mazināt dzīvnieku slimību nodarīto kaitējumu</w:t>
            </w:r>
            <w:r w:rsidRPr="0002770A">
              <w:rPr>
                <w:noProof/>
              </w:rPr>
              <w:t xml:space="preserve"> (43. pants)</w:t>
            </w:r>
          </w:p>
        </w:tc>
      </w:tr>
      <w:tr w:rsidR="00FC17FF" w:rsidRPr="0002770A" w14:paraId="6F5A3847" w14:textId="77777777" w:rsidTr="00FC17FF">
        <w:trPr>
          <w:trHeight w:val="445"/>
        </w:trPr>
        <w:tc>
          <w:tcPr>
            <w:tcW w:w="8988" w:type="dxa"/>
            <w:gridSpan w:val="5"/>
          </w:tcPr>
          <w:p w14:paraId="11C5E120"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akvakultūras krājuma apdrošināšanai</w:t>
            </w:r>
            <w:r w:rsidRPr="0002770A">
              <w:rPr>
                <w:noProof/>
              </w:rPr>
              <w:t xml:space="preserve"> (44. pants)</w:t>
            </w:r>
          </w:p>
        </w:tc>
      </w:tr>
      <w:tr w:rsidR="00FC17FF" w:rsidRPr="0002770A" w14:paraId="436BD6F0" w14:textId="77777777" w:rsidTr="00FC17FF">
        <w:trPr>
          <w:trHeight w:val="445"/>
        </w:trPr>
        <w:tc>
          <w:tcPr>
            <w:tcW w:w="8988" w:type="dxa"/>
            <w:gridSpan w:val="5"/>
          </w:tcPr>
          <w:p w14:paraId="732DE9B6"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tirdzniecības pasākumiem</w:t>
            </w:r>
            <w:r w:rsidRPr="0002770A">
              <w:rPr>
                <w:noProof/>
              </w:rPr>
              <w:t xml:space="preserve"> (45. pants)</w:t>
            </w:r>
          </w:p>
        </w:tc>
      </w:tr>
      <w:tr w:rsidR="00FC17FF" w:rsidRPr="0002770A" w14:paraId="73AC37DD" w14:textId="77777777" w:rsidTr="00FC17FF">
        <w:trPr>
          <w:trHeight w:val="445"/>
        </w:trPr>
        <w:tc>
          <w:tcPr>
            <w:tcW w:w="8988" w:type="dxa"/>
            <w:gridSpan w:val="5"/>
          </w:tcPr>
          <w:p w14:paraId="1B219DB7"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zvejas un akvakultūras produktu apstrādei</w:t>
            </w:r>
            <w:r w:rsidRPr="0002770A">
              <w:rPr>
                <w:noProof/>
              </w:rPr>
              <w:t xml:space="preserve"> (46. pants) </w:t>
            </w:r>
          </w:p>
        </w:tc>
      </w:tr>
      <w:tr w:rsidR="00FC17FF" w:rsidRPr="0002770A" w14:paraId="52C4E68E" w14:textId="77777777" w:rsidTr="00FC17FF">
        <w:trPr>
          <w:trHeight w:val="445"/>
        </w:trPr>
        <w:tc>
          <w:tcPr>
            <w:tcW w:w="8988" w:type="dxa"/>
            <w:gridSpan w:val="5"/>
          </w:tcPr>
          <w:p w14:paraId="30E816F1"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zvejniecības nozares datu vākšanai, pārvaldībai, izmantošanai un apstrādei</w:t>
            </w:r>
            <w:r w:rsidRPr="0002770A">
              <w:rPr>
                <w:noProof/>
              </w:rPr>
              <w:t xml:space="preserve"> (47. pants)</w:t>
            </w:r>
          </w:p>
        </w:tc>
      </w:tr>
      <w:tr w:rsidR="00FC17FF" w:rsidRPr="0002770A" w14:paraId="7ACA2609" w14:textId="77777777" w:rsidTr="00FC17FF">
        <w:trPr>
          <w:trHeight w:val="445"/>
        </w:trPr>
        <w:tc>
          <w:tcPr>
            <w:tcW w:w="8988" w:type="dxa"/>
            <w:gridSpan w:val="5"/>
          </w:tcPr>
          <w:p w14:paraId="66CDA89B"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dabas katastrofu nodarīta kaitējuma novēršanai un mazināšanai</w:t>
            </w:r>
            <w:r w:rsidRPr="0002770A">
              <w:rPr>
                <w:noProof/>
              </w:rPr>
              <w:t xml:space="preserve"> (48. pants)</w:t>
            </w:r>
          </w:p>
        </w:tc>
      </w:tr>
      <w:tr w:rsidR="00FC17FF" w:rsidRPr="0002770A" w14:paraId="2BAEFBEA" w14:textId="77777777" w:rsidTr="00FC17FF">
        <w:trPr>
          <w:trHeight w:val="445"/>
        </w:trPr>
        <w:tc>
          <w:tcPr>
            <w:tcW w:w="3708" w:type="dxa"/>
            <w:gridSpan w:val="2"/>
            <w:vMerge w:val="restart"/>
          </w:tcPr>
          <w:p w14:paraId="38221E68"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dabas katastrofu nodarīta kaitējuma atlīdzināšanai (49. pants)</w:t>
            </w:r>
          </w:p>
        </w:tc>
        <w:tc>
          <w:tcPr>
            <w:tcW w:w="2640" w:type="dxa"/>
            <w:gridSpan w:val="2"/>
          </w:tcPr>
          <w:p w14:paraId="0FF54E6E" w14:textId="77777777" w:rsidR="00FC17FF" w:rsidRPr="0002770A" w:rsidRDefault="00FC17FF" w:rsidP="00FC17FF">
            <w:pPr>
              <w:spacing w:after="0"/>
              <w:rPr>
                <w:bCs/>
                <w:noProof/>
                <w:szCs w:val="24"/>
              </w:rPr>
            </w:pPr>
            <w:r w:rsidRPr="0002770A">
              <w:rPr>
                <w:noProof/>
              </w:rPr>
              <w:t>Dabas katastrofas veids:</w:t>
            </w:r>
          </w:p>
        </w:tc>
        <w:tc>
          <w:tcPr>
            <w:tcW w:w="2640" w:type="dxa"/>
          </w:tcPr>
          <w:p w14:paraId="50CE92D9" w14:textId="77777777" w:rsidR="00FC17FF" w:rsidRPr="0002770A" w:rsidRDefault="00FC17FF" w:rsidP="00FC17FF">
            <w:pPr>
              <w:spacing w:before="40"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zemestrīce</w:t>
            </w:r>
          </w:p>
          <w:p w14:paraId="1FE47436"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lavīna</w:t>
            </w:r>
          </w:p>
          <w:p w14:paraId="1A4B0C3E"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zemes nogruvums</w:t>
            </w:r>
          </w:p>
          <w:p w14:paraId="4C216B15"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plūdi</w:t>
            </w:r>
          </w:p>
          <w:p w14:paraId="3915E630"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virpuļviesulis</w:t>
            </w:r>
          </w:p>
          <w:p w14:paraId="182C85F3"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viesuļvētra</w:t>
            </w:r>
          </w:p>
          <w:p w14:paraId="7F1B6BD4"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vulkāna izvirdums</w:t>
            </w:r>
          </w:p>
          <w:p w14:paraId="5A0498D4"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dabas ugunsgrēks</w:t>
            </w:r>
          </w:p>
          <w:p w14:paraId="7D67DDBF"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cits</w:t>
            </w:r>
          </w:p>
          <w:p w14:paraId="14B2D556" w14:textId="77777777" w:rsidR="00FC17FF" w:rsidRPr="0002770A" w:rsidRDefault="00FC17FF" w:rsidP="00FC17FF">
            <w:pPr>
              <w:spacing w:after="0"/>
              <w:rPr>
                <w:bCs/>
                <w:noProof/>
                <w:szCs w:val="24"/>
              </w:rPr>
            </w:pPr>
            <w:r w:rsidRPr="0002770A">
              <w:rPr>
                <w:noProof/>
              </w:rPr>
              <w:t>(precizēt) ….</w:t>
            </w:r>
          </w:p>
        </w:tc>
      </w:tr>
      <w:tr w:rsidR="00FC17FF" w:rsidRPr="0002770A" w14:paraId="36099074" w14:textId="77777777" w:rsidTr="00FC17FF">
        <w:trPr>
          <w:trHeight w:val="185"/>
        </w:trPr>
        <w:tc>
          <w:tcPr>
            <w:tcW w:w="3708" w:type="dxa"/>
            <w:gridSpan w:val="2"/>
            <w:vMerge/>
          </w:tcPr>
          <w:p w14:paraId="73031845" w14:textId="77777777" w:rsidR="00FC17FF" w:rsidRPr="0002770A" w:rsidRDefault="00FC17FF" w:rsidP="00FC17FF">
            <w:pPr>
              <w:spacing w:after="0"/>
              <w:rPr>
                <w:noProof/>
                <w:szCs w:val="24"/>
              </w:rPr>
            </w:pPr>
          </w:p>
        </w:tc>
        <w:tc>
          <w:tcPr>
            <w:tcW w:w="2640" w:type="dxa"/>
            <w:gridSpan w:val="2"/>
          </w:tcPr>
          <w:p w14:paraId="58C70E38" w14:textId="77777777" w:rsidR="00FC17FF" w:rsidRPr="0002770A" w:rsidRDefault="00FC17FF" w:rsidP="00FC17FF">
            <w:pPr>
              <w:spacing w:after="0"/>
              <w:rPr>
                <w:bCs/>
                <w:noProof/>
                <w:szCs w:val="24"/>
              </w:rPr>
            </w:pPr>
            <w:r w:rsidRPr="0002770A">
              <w:rPr>
                <w:noProof/>
              </w:rPr>
              <w:t>Dabas katastrofas laiks:</w:t>
            </w:r>
          </w:p>
        </w:tc>
        <w:tc>
          <w:tcPr>
            <w:tcW w:w="2640" w:type="dxa"/>
          </w:tcPr>
          <w:p w14:paraId="67795D9F" w14:textId="77777777" w:rsidR="00FC17FF" w:rsidRPr="0002770A" w:rsidRDefault="00FC17FF" w:rsidP="00FC17FF">
            <w:pPr>
              <w:spacing w:before="40" w:after="40"/>
              <w:rPr>
                <w:bCs/>
                <w:noProof/>
                <w:szCs w:val="24"/>
              </w:rPr>
            </w:pPr>
            <w:r w:rsidRPr="0002770A">
              <w:rPr>
                <w:noProof/>
              </w:rPr>
              <w:t>dd/mm/gggg līdz dd/mm/gggg</w:t>
            </w:r>
          </w:p>
        </w:tc>
      </w:tr>
      <w:tr w:rsidR="00FC17FF" w:rsidRPr="0002770A" w14:paraId="5B9D1211" w14:textId="77777777" w:rsidTr="00FC17FF">
        <w:trPr>
          <w:trHeight w:val="445"/>
        </w:trPr>
        <w:tc>
          <w:tcPr>
            <w:tcW w:w="8988" w:type="dxa"/>
            <w:gridSpan w:val="5"/>
          </w:tcPr>
          <w:p w14:paraId="27F77700"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dabas katastrofai pielīdzināmu nelabvēlīgu klimatisko apstākļu nodarīta kaitējuma novēršanai un mazināšanai</w:t>
            </w:r>
            <w:r w:rsidRPr="0002770A">
              <w:rPr>
                <w:noProof/>
              </w:rPr>
              <w:t xml:space="preserve"> (50. pants)</w:t>
            </w:r>
          </w:p>
        </w:tc>
      </w:tr>
      <w:tr w:rsidR="00FC17FF" w:rsidRPr="0002770A" w14:paraId="71150ECA" w14:textId="77777777" w:rsidTr="00FC17FF">
        <w:trPr>
          <w:trHeight w:val="1173"/>
        </w:trPr>
        <w:tc>
          <w:tcPr>
            <w:tcW w:w="3696" w:type="dxa"/>
            <w:vMerge w:val="restart"/>
          </w:tcPr>
          <w:p w14:paraId="33CAF290"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dabas katastrofai pielīdzināmu nelabvēlīgu klimatisko apstākļu nodarīta kaitējuma atlīdzināšanai</w:t>
            </w:r>
            <w:r w:rsidRPr="0002770A">
              <w:rPr>
                <w:noProof/>
              </w:rPr>
              <w:t xml:space="preserve"> (51. pants)</w:t>
            </w:r>
          </w:p>
        </w:tc>
        <w:tc>
          <w:tcPr>
            <w:tcW w:w="2646" w:type="dxa"/>
            <w:gridSpan w:val="2"/>
          </w:tcPr>
          <w:p w14:paraId="0BC856BB" w14:textId="77777777" w:rsidR="00FC17FF" w:rsidRPr="0002770A" w:rsidRDefault="00FC17FF" w:rsidP="00FC17FF">
            <w:pPr>
              <w:spacing w:after="0"/>
              <w:rPr>
                <w:bCs/>
                <w:noProof/>
                <w:szCs w:val="24"/>
              </w:rPr>
            </w:pPr>
            <w:r w:rsidRPr="0002770A">
              <w:rPr>
                <w:noProof/>
              </w:rPr>
              <w:t xml:space="preserve">Notikuma veids: </w:t>
            </w:r>
          </w:p>
        </w:tc>
        <w:tc>
          <w:tcPr>
            <w:tcW w:w="2646" w:type="dxa"/>
            <w:gridSpan w:val="2"/>
          </w:tcPr>
          <w:p w14:paraId="1FB4044D"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sals</w:t>
            </w:r>
          </w:p>
          <w:p w14:paraId="5815B292"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vētras</w:t>
            </w:r>
          </w:p>
          <w:p w14:paraId="53707882"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krusa</w:t>
            </w:r>
          </w:p>
          <w:p w14:paraId="1CCBFB87"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spēcīgs vai ilgstošs lietus</w:t>
            </w:r>
          </w:p>
          <w:p w14:paraId="587D3DE3"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ilgstošs sausums</w:t>
            </w:r>
          </w:p>
          <w:p w14:paraId="57BC111E" w14:textId="77777777" w:rsidR="00FC17FF" w:rsidRPr="0002770A" w:rsidRDefault="00FC17FF" w:rsidP="00FC17FF">
            <w:pPr>
              <w:spacing w:after="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cits</w:t>
            </w:r>
          </w:p>
          <w:p w14:paraId="64E99C10" w14:textId="77777777" w:rsidR="00FC17FF" w:rsidRPr="0002770A" w:rsidRDefault="00FC17FF" w:rsidP="00FC17FF">
            <w:pPr>
              <w:spacing w:after="0"/>
              <w:rPr>
                <w:noProof/>
                <w:szCs w:val="24"/>
              </w:rPr>
            </w:pPr>
            <w:r w:rsidRPr="0002770A">
              <w:rPr>
                <w:noProof/>
              </w:rPr>
              <w:t>(precizēt) …….</w:t>
            </w:r>
          </w:p>
        </w:tc>
      </w:tr>
      <w:tr w:rsidR="00FC17FF" w:rsidRPr="0002770A" w14:paraId="6089DCFC" w14:textId="77777777" w:rsidTr="00FC17FF">
        <w:trPr>
          <w:trHeight w:val="721"/>
        </w:trPr>
        <w:tc>
          <w:tcPr>
            <w:tcW w:w="3696" w:type="dxa"/>
            <w:vMerge/>
          </w:tcPr>
          <w:p w14:paraId="4FE55AAF" w14:textId="77777777" w:rsidR="00FC17FF" w:rsidRPr="0002770A" w:rsidRDefault="00FC17FF" w:rsidP="00FC17FF">
            <w:pPr>
              <w:spacing w:after="0"/>
              <w:rPr>
                <w:noProof/>
                <w:szCs w:val="24"/>
              </w:rPr>
            </w:pPr>
          </w:p>
        </w:tc>
        <w:tc>
          <w:tcPr>
            <w:tcW w:w="2646" w:type="dxa"/>
            <w:gridSpan w:val="2"/>
          </w:tcPr>
          <w:p w14:paraId="2CD4DCCB" w14:textId="77777777" w:rsidR="00FC17FF" w:rsidRPr="0002770A" w:rsidRDefault="00FC17FF" w:rsidP="00FC17FF">
            <w:pPr>
              <w:spacing w:after="0"/>
              <w:rPr>
                <w:bCs/>
                <w:noProof/>
                <w:szCs w:val="24"/>
              </w:rPr>
            </w:pPr>
            <w:r w:rsidRPr="0002770A">
              <w:rPr>
                <w:noProof/>
              </w:rPr>
              <w:t>Notikuma laiks:</w:t>
            </w:r>
          </w:p>
        </w:tc>
        <w:tc>
          <w:tcPr>
            <w:tcW w:w="2646" w:type="dxa"/>
            <w:gridSpan w:val="2"/>
          </w:tcPr>
          <w:p w14:paraId="7D271CD4" w14:textId="77777777" w:rsidR="00FC17FF" w:rsidRPr="0002770A" w:rsidRDefault="00FC17FF" w:rsidP="00FC17FF">
            <w:pPr>
              <w:spacing w:after="0"/>
              <w:rPr>
                <w:bCs/>
                <w:noProof/>
                <w:szCs w:val="24"/>
              </w:rPr>
            </w:pPr>
            <w:r w:rsidRPr="0002770A">
              <w:rPr>
                <w:noProof/>
              </w:rPr>
              <w:t>dd/mm/gggg līdz dd/mm/gggg</w:t>
            </w:r>
          </w:p>
        </w:tc>
      </w:tr>
      <w:tr w:rsidR="00FC17FF" w:rsidRPr="0002770A" w14:paraId="3BC07B3C" w14:textId="77777777" w:rsidTr="00FC17FF">
        <w:trPr>
          <w:trHeight w:val="445"/>
        </w:trPr>
        <w:tc>
          <w:tcPr>
            <w:tcW w:w="8988" w:type="dxa"/>
            <w:gridSpan w:val="5"/>
          </w:tcPr>
          <w:p w14:paraId="23EFA603"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aizsargājamo dzīvnieku nodarīta kaitējuma novēršanai un mazināšanai</w:t>
            </w:r>
            <w:r w:rsidRPr="0002770A">
              <w:rPr>
                <w:noProof/>
              </w:rPr>
              <w:t xml:space="preserve"> (52. pants)</w:t>
            </w:r>
          </w:p>
        </w:tc>
      </w:tr>
      <w:tr w:rsidR="00FC17FF" w:rsidRPr="0002770A" w14:paraId="79A8EFFD" w14:textId="77777777" w:rsidTr="00FC17FF">
        <w:trPr>
          <w:trHeight w:val="445"/>
        </w:trPr>
        <w:tc>
          <w:tcPr>
            <w:tcW w:w="8988" w:type="dxa"/>
            <w:gridSpan w:val="5"/>
          </w:tcPr>
          <w:p w14:paraId="624484D6"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50004"/>
              </w:rPr>
              <w:t>Atbalsts aizsargājamo dzīvnieku nodarīta kaitējuma atlīdzināšanai</w:t>
            </w:r>
            <w:r w:rsidRPr="0002770A">
              <w:rPr>
                <w:noProof/>
              </w:rPr>
              <w:t xml:space="preserve"> (53. pants)</w:t>
            </w:r>
          </w:p>
        </w:tc>
      </w:tr>
      <w:tr w:rsidR="00FC17FF" w:rsidRPr="0002770A" w14:paraId="17E4AFFF" w14:textId="77777777" w:rsidTr="00FC17FF">
        <w:trPr>
          <w:trHeight w:val="445"/>
        </w:trPr>
        <w:tc>
          <w:tcPr>
            <w:tcW w:w="8988" w:type="dxa"/>
            <w:gridSpan w:val="5"/>
          </w:tcPr>
          <w:p w14:paraId="610BAC7A"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Atbalsts SVVA projektiem (54. pants)</w:t>
            </w:r>
          </w:p>
        </w:tc>
      </w:tr>
      <w:tr w:rsidR="00FC17FF" w:rsidRPr="0002770A" w14:paraId="3426720B" w14:textId="77777777" w:rsidTr="00FC17FF">
        <w:trPr>
          <w:trHeight w:val="445"/>
        </w:trPr>
        <w:tc>
          <w:tcPr>
            <w:tcW w:w="8988" w:type="dxa"/>
            <w:gridSpan w:val="5"/>
          </w:tcPr>
          <w:p w14:paraId="3B407DCA" w14:textId="77777777" w:rsidR="00FC17FF" w:rsidRPr="0002770A" w:rsidRDefault="00FC17FF" w:rsidP="00FC17FF">
            <w:pPr>
              <w:spacing w:after="0"/>
              <w:rPr>
                <w:bCs/>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Ierobežotas atbalsta summas SVVA projektiem (55. pants)</w:t>
            </w:r>
          </w:p>
        </w:tc>
      </w:tr>
      <w:tr w:rsidR="00FC17FF" w:rsidRPr="0002770A" w14:paraId="78C426FD" w14:textId="77777777" w:rsidTr="00FC17FF">
        <w:trPr>
          <w:trHeight w:val="445"/>
        </w:trPr>
        <w:tc>
          <w:tcPr>
            <w:tcW w:w="8988" w:type="dxa"/>
            <w:gridSpan w:val="5"/>
          </w:tcPr>
          <w:p w14:paraId="41F1EAA9" w14:textId="77777777" w:rsidR="00FC17FF" w:rsidRPr="0002770A" w:rsidRDefault="00FC17FF" w:rsidP="00FC17FF">
            <w:pPr>
              <w:spacing w:after="0"/>
              <w:rPr>
                <w:noProof/>
                <w:szCs w:val="24"/>
              </w:rPr>
            </w:pPr>
            <w:r w:rsidRPr="0002770A">
              <w:rPr>
                <w:noProof/>
              </w:rPr>
              <w:fldChar w:fldCharType="begin">
                <w:ffData>
                  <w:name w:val=""/>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Atbrīvojumi no nodokļiem un nodokļu samazinājumi saskaņā ar Direktīvu 2003/96/EK (56. pants)</w:t>
            </w:r>
          </w:p>
        </w:tc>
      </w:tr>
      <w:tr w:rsidR="00FC17FF" w:rsidRPr="0002770A" w14:paraId="45DF43DC" w14:textId="77777777" w:rsidTr="00FC17FF">
        <w:trPr>
          <w:trHeight w:val="2561"/>
        </w:trPr>
        <w:tc>
          <w:tcPr>
            <w:tcW w:w="3708" w:type="dxa"/>
            <w:gridSpan w:val="2"/>
          </w:tcPr>
          <w:p w14:paraId="1818B0B3" w14:textId="77777777" w:rsidR="00FC17FF" w:rsidRPr="0002770A" w:rsidRDefault="00FC17FF" w:rsidP="00FC17FF">
            <w:pPr>
              <w:spacing w:after="0"/>
              <w:rPr>
                <w:noProof/>
                <w:szCs w:val="24"/>
              </w:rPr>
            </w:pPr>
            <w:r w:rsidRPr="0002770A">
              <w:rPr>
                <w:noProof/>
              </w:rPr>
              <w:t>Pamatojums</w:t>
            </w:r>
          </w:p>
        </w:tc>
        <w:tc>
          <w:tcPr>
            <w:tcW w:w="5280" w:type="dxa"/>
            <w:gridSpan w:val="3"/>
          </w:tcPr>
          <w:p w14:paraId="063F6F04" w14:textId="77777777" w:rsidR="00FC17FF" w:rsidRPr="0002770A" w:rsidRDefault="00FC17FF" w:rsidP="0002770A">
            <w:pPr>
              <w:spacing w:after="0"/>
              <w:jc w:val="left"/>
              <w:rPr>
                <w:bCs/>
                <w:noProof/>
                <w:szCs w:val="24"/>
              </w:rPr>
            </w:pPr>
            <w:r w:rsidRPr="0002770A">
              <w:rPr>
                <w:noProof/>
                <w:color w:val="000000"/>
              </w:rPr>
              <w:t xml:space="preserve">Norādīt, kāpēc ir izveidota valsts atbalsta shēma vai piešķirts </w:t>
            </w:r>
            <w:r w:rsidRPr="0002770A">
              <w:rPr>
                <w:i/>
                <w:noProof/>
                <w:color w:val="000000"/>
              </w:rPr>
              <w:t>ad hoc</w:t>
            </w:r>
            <w:r w:rsidRPr="0002770A">
              <w:rPr>
                <w:noProof/>
                <w:color w:val="000000"/>
              </w:rPr>
              <w:t xml:space="preserve"> atbalsts, nevis izmantota Eiropas Jūrlietu, zvejniecības un akvakultūras fonda (EJZAF) palīdzība:</w:t>
            </w:r>
            <w:r w:rsidRPr="0002770A">
              <w:rPr>
                <w:noProof/>
              </w:rPr>
              <w:t xml:space="preserve"> </w:t>
            </w:r>
            <w:r w:rsidRPr="0002770A">
              <w:rPr>
                <w:noProof/>
              </w:rPr>
              <w:br/>
            </w:r>
          </w:p>
          <w:p w14:paraId="4A929178" w14:textId="77777777" w:rsidR="00FC17FF" w:rsidRPr="0002770A" w:rsidRDefault="00FC17FF" w:rsidP="00FC17FF">
            <w:pPr>
              <w:spacing w:before="40"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00000"/>
              </w:rPr>
              <w:t>pasākums neietilpst valsts darbības programmā</w:t>
            </w:r>
          </w:p>
          <w:p w14:paraId="73E37817"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00000"/>
              </w:rPr>
              <w:t>valsts darbības programmas līdzekļu iedalīšanā noteiktās prioritātes</w:t>
            </w:r>
          </w:p>
          <w:p w14:paraId="7882FFD7" w14:textId="77777777" w:rsidR="00FC17FF" w:rsidRPr="0002770A" w:rsidRDefault="00FC17FF" w:rsidP="00FC17FF">
            <w:pPr>
              <w:spacing w:after="40"/>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00000"/>
              </w:rPr>
              <w:t>finansējums no EJZAF vairs nav pieejams</w:t>
            </w:r>
          </w:p>
          <w:p w14:paraId="549DD41D" w14:textId="2FCCDBDE" w:rsidR="00FC17FF" w:rsidRPr="0002770A" w:rsidRDefault="00FC17FF" w:rsidP="0002770A">
            <w:pPr>
              <w:spacing w:after="40"/>
              <w:jc w:val="left"/>
              <w:rPr>
                <w:noProof/>
                <w:szCs w:val="24"/>
              </w:rPr>
            </w:pPr>
            <w:r w:rsidRPr="0002770A">
              <w:rPr>
                <w:noProof/>
              </w:rPr>
              <w:fldChar w:fldCharType="begin">
                <w:ffData>
                  <w:name w:val="Check1"/>
                  <w:enabled/>
                  <w:calcOnExit w:val="0"/>
                  <w:checkBox>
                    <w:sizeAuto/>
                    <w:default w:val="0"/>
                  </w:checkBox>
                </w:ffData>
              </w:fldChar>
            </w:r>
            <w:r w:rsidRPr="0002770A">
              <w:rPr>
                <w:noProof/>
              </w:rPr>
              <w:instrText xml:space="preserve"> FORMCHECKBOX </w:instrText>
            </w:r>
            <w:r w:rsidR="00EC4BD4">
              <w:rPr>
                <w:noProof/>
              </w:rPr>
            </w:r>
            <w:r w:rsidR="00EC4BD4">
              <w:rPr>
                <w:noProof/>
              </w:rPr>
              <w:fldChar w:fldCharType="separate"/>
            </w:r>
            <w:r w:rsidRPr="0002770A">
              <w:rPr>
                <w:noProof/>
              </w:rPr>
              <w:fldChar w:fldCharType="end"/>
            </w:r>
            <w:r w:rsidRPr="0002770A">
              <w:rPr>
                <w:noProof/>
              </w:rPr>
              <w:t xml:space="preserve"> </w:t>
            </w:r>
            <w:r w:rsidRPr="0002770A">
              <w:rPr>
                <w:noProof/>
                <w:color w:val="000000"/>
              </w:rPr>
              <w:t xml:space="preserve">cits iemesls </w:t>
            </w:r>
            <w:r w:rsidRPr="0002770A">
              <w:rPr>
                <w:noProof/>
              </w:rPr>
              <w:t xml:space="preserve"> </w:t>
            </w:r>
            <w:r w:rsidRPr="0002770A">
              <w:rPr>
                <w:noProof/>
                <w:color w:val="000000"/>
              </w:rPr>
              <w:t>(precizēt) …….…….</w:t>
            </w:r>
          </w:p>
        </w:tc>
      </w:tr>
    </w:tbl>
    <w:p w14:paraId="60E0B399" w14:textId="4F800946" w:rsidR="007720B7" w:rsidRPr="0002770A" w:rsidRDefault="007720B7" w:rsidP="00EC4BD4">
      <w:pPr>
        <w:pStyle w:val="Annexetitre"/>
        <w:rPr>
          <w:noProof/>
        </w:rPr>
      </w:pPr>
    </w:p>
    <w:sectPr w:rsidR="007720B7" w:rsidRPr="0002770A" w:rsidSect="006763B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0C4B1" w14:textId="3EE39091" w:rsidR="006763B5" w:rsidRPr="006763B5" w:rsidRDefault="006763B5" w:rsidP="006763B5">
    <w:pPr>
      <w:pStyle w:val="Footer"/>
      <w:rPr>
        <w:rFonts w:ascii="Arial" w:hAnsi="Arial" w:cs="Arial"/>
        <w:b/>
        <w:sz w:val="48"/>
      </w:rPr>
    </w:pPr>
    <w:r w:rsidRPr="006763B5">
      <w:rPr>
        <w:rFonts w:ascii="Arial" w:hAnsi="Arial" w:cs="Arial"/>
        <w:b/>
        <w:sz w:val="48"/>
      </w:rPr>
      <w:t>LV</w:t>
    </w:r>
    <w:r w:rsidRPr="006763B5">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763B5">
      <w:tab/>
    </w:r>
    <w:r w:rsidRPr="006763B5">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DDAD" w14:textId="77777777" w:rsidR="006763B5" w:rsidRPr="006763B5" w:rsidRDefault="006763B5" w:rsidP="006763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Default="000A1304" w:rsidP="0019532E">
      <w:pPr>
        <w:pStyle w:val="FootnoteText"/>
        <w:rPr>
          <w:rFonts w:asciiTheme="minorHAnsi" w:hAnsiTheme="minorHAnsi" w:cstheme="minorBidi"/>
        </w:rPr>
      </w:pPr>
      <w:r>
        <w:rPr>
          <w:rStyle w:val="FootnoteReference"/>
        </w:rPr>
        <w:footnoteRef/>
      </w:r>
      <w:r>
        <w:tab/>
      </w:r>
      <w:r>
        <w:rPr>
          <w:i/>
        </w:rPr>
        <w:t>NUTS</w:t>
      </w:r>
      <w:r>
        <w:t> – Statistiski teritoriālo vienību nomenklatūra. Parasti reģionu norāda 2. līmenī.</w:t>
      </w:r>
    </w:p>
  </w:footnote>
  <w:footnote w:id="2">
    <w:p w14:paraId="1B177B98" w14:textId="77777777" w:rsidR="000A1304" w:rsidRDefault="000A1304" w:rsidP="0019532E">
      <w:pPr>
        <w:pStyle w:val="FootnoteText"/>
      </w:pPr>
      <w:r>
        <w:rPr>
          <w:rStyle w:val="FootnoteReference"/>
        </w:rPr>
        <w:footnoteRef/>
      </w:r>
      <w:r>
        <w:tab/>
        <w:t>Līguma konkurences noteikumu un šīs regulas piemērošanas labad uzņēmums neatkarīgi no tā juridiskā statusa un finansēšanas veida ir ikviens subjekts, kas veic saimniecisko darbību. Tiesa ir atzinusi, ka subjekti, kurus (juridiski vai faktiski) kontrolē viens un tas pats subjekts, būtu jāuzskata par vienu uzņēmumu.</w:t>
      </w:r>
    </w:p>
  </w:footnote>
  <w:footnote w:id="3">
    <w:p w14:paraId="6EED36A8" w14:textId="77777777" w:rsidR="000A1304" w:rsidRDefault="000A1304" w:rsidP="0019532E">
      <w:pPr>
        <w:pStyle w:val="FootnoteText"/>
        <w:rPr>
          <w:rFonts w:asciiTheme="minorHAnsi" w:hAnsiTheme="minorHAnsi" w:cstheme="minorBidi"/>
        </w:rPr>
      </w:pPr>
      <w:r>
        <w:rPr>
          <w:rStyle w:val="FootnoteReference"/>
        </w:rPr>
        <w:footnoteRef/>
      </w:r>
      <w:r>
        <w:tab/>
        <w:t>Periods, kura laikā piešķīrēja iestāde apņemas piešķirt atbalstu.</w:t>
      </w:r>
    </w:p>
  </w:footnote>
  <w:footnote w:id="4">
    <w:p w14:paraId="1D56ACF7" w14:textId="77777777" w:rsidR="000A1304" w:rsidRDefault="000A1304" w:rsidP="0019532E">
      <w:pPr>
        <w:pStyle w:val="FootnoteText"/>
      </w:pPr>
      <w:r>
        <w:rPr>
          <w:rStyle w:val="FootnoteReference"/>
        </w:rPr>
        <w:footnoteRef/>
      </w:r>
      <w:r>
        <w:tab/>
      </w:r>
      <w:r>
        <w:rPr>
          <w:i/>
        </w:rPr>
        <w:t>NACE</w:t>
      </w:r>
      <w:r>
        <w:t xml:space="preserve"> 2. red. Saimniecisko darbību statistiskā klasifikācija Eiropas Savienībā. Parasti nozari norāda grupas līmenī.</w:t>
      </w:r>
    </w:p>
  </w:footnote>
  <w:footnote w:id="5">
    <w:p w14:paraId="213642CB" w14:textId="77777777" w:rsidR="000A1304" w:rsidRDefault="000A1304" w:rsidP="0019532E">
      <w:pPr>
        <w:pStyle w:val="FootnoteText"/>
      </w:pPr>
      <w:r>
        <w:rPr>
          <w:rStyle w:val="FootnoteReference"/>
        </w:rPr>
        <w:footnoteRef/>
      </w:r>
      <w:r>
        <w:tab/>
        <w:t>Atbalsta shēmas gadījumā norādīt shēmā ieplānoto kopējo budžeta summu gadā vai nodokļu zaudējumu novērtējumu gadā visiem atbalsta instrumentiem, ko aptver šī shēma.</w:t>
      </w:r>
    </w:p>
  </w:footnote>
  <w:footnote w:id="6">
    <w:p w14:paraId="39AD2F07" w14:textId="77777777" w:rsidR="000A1304" w:rsidRDefault="000A1304" w:rsidP="0019532E">
      <w:pPr>
        <w:pStyle w:val="FootnoteText"/>
      </w:pPr>
      <w:r>
        <w:rPr>
          <w:rStyle w:val="FootnoteReference"/>
        </w:rPr>
        <w:footnoteRef/>
      </w:r>
      <w:r>
        <w:tab/>
      </w:r>
      <w:r>
        <w:rPr>
          <w:i/>
        </w:rPr>
        <w:t>Ad hoc</w:t>
      </w:r>
      <w:r>
        <w:t xml:space="preserve"> atbalsta piešķiršanas gadījumā norādīt kopējo atbalsta summu/nodokļu zaudējumu.</w:t>
      </w:r>
    </w:p>
  </w:footnote>
  <w:footnote w:id="7">
    <w:p w14:paraId="43F1EBBF" w14:textId="77777777" w:rsidR="000A1304" w:rsidRDefault="000A1304" w:rsidP="0019532E">
      <w:pPr>
        <w:pStyle w:val="FootnoteText"/>
      </w:pPr>
      <w:r>
        <w:rPr>
          <w:rStyle w:val="FootnoteReference"/>
        </w:rPr>
        <w:footnoteRef/>
      </w:r>
      <w:r>
        <w:tab/>
        <w:t>Attiecībā uz garantijām norādīt nodrošināto aizdevumu maksimālo summu.</w:t>
      </w:r>
    </w:p>
  </w:footnote>
  <w:footnote w:id="8">
    <w:p w14:paraId="32EDCDD0" w14:textId="77777777" w:rsidR="000A1304" w:rsidRDefault="000A1304" w:rsidP="0019532E">
      <w:pPr>
        <w:pStyle w:val="FootnoteText"/>
      </w:pPr>
      <w:r>
        <w:rPr>
          <w:rStyle w:val="FootnoteReference"/>
        </w:rPr>
        <w:footnoteRef/>
      </w:r>
      <w:r>
        <w:tab/>
        <w:t>Attiecīgā gadījumā atsauce uz Komisijas lēmumu, ar kuru saskaņā ar 5. panta 2. punkta c) apakšpunktu apstiprina dotācijas bruto ekvivalenta aprēķināšanas metodiku.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705960525"/>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50275832">
    <w:abstractNumId w:val="23"/>
  </w:num>
  <w:num w:numId="2" w16cid:durableId="1839611851">
    <w:abstractNumId w:val="7"/>
  </w:num>
  <w:num w:numId="3" w16cid:durableId="287516327">
    <w:abstractNumId w:val="5"/>
  </w:num>
  <w:num w:numId="4" w16cid:durableId="518814396">
    <w:abstractNumId w:val="4"/>
  </w:num>
  <w:num w:numId="5" w16cid:durableId="1407531843">
    <w:abstractNumId w:val="3"/>
  </w:num>
  <w:num w:numId="6" w16cid:durableId="1616132395">
    <w:abstractNumId w:val="6"/>
  </w:num>
  <w:num w:numId="7" w16cid:durableId="1457068776">
    <w:abstractNumId w:val="2"/>
  </w:num>
  <w:num w:numId="8" w16cid:durableId="1048189698">
    <w:abstractNumId w:val="1"/>
  </w:num>
  <w:num w:numId="9" w16cid:durableId="1122580911">
    <w:abstractNumId w:val="0"/>
  </w:num>
  <w:num w:numId="10" w16cid:durableId="1445611554">
    <w:abstractNumId w:val="9"/>
  </w:num>
  <w:num w:numId="11" w16cid:durableId="1192837472">
    <w:abstractNumId w:val="20"/>
  </w:num>
  <w:num w:numId="12" w16cid:durableId="2116092582">
    <w:abstractNumId w:val="13"/>
  </w:num>
  <w:num w:numId="13" w16cid:durableId="1751391245">
    <w:abstractNumId w:val="22"/>
  </w:num>
  <w:num w:numId="14" w16cid:durableId="2101833524">
    <w:abstractNumId w:val="12"/>
  </w:num>
  <w:num w:numId="15" w16cid:durableId="1861313784">
    <w:abstractNumId w:val="14"/>
  </w:num>
  <w:num w:numId="16" w16cid:durableId="1872377532">
    <w:abstractNumId w:val="15"/>
  </w:num>
  <w:num w:numId="17" w16cid:durableId="1623684007">
    <w:abstractNumId w:val="10"/>
  </w:num>
  <w:num w:numId="18" w16cid:durableId="1071195327">
    <w:abstractNumId w:val="21"/>
  </w:num>
  <w:num w:numId="19" w16cid:durableId="340398587">
    <w:abstractNumId w:val="8"/>
  </w:num>
  <w:num w:numId="20" w16cid:durableId="570507328">
    <w:abstractNumId w:val="16"/>
  </w:num>
  <w:num w:numId="21" w16cid:durableId="1400664112">
    <w:abstractNumId w:val="18"/>
  </w:num>
  <w:num w:numId="22" w16cid:durableId="673382822">
    <w:abstractNumId w:val="19"/>
  </w:num>
  <w:num w:numId="23" w16cid:durableId="1908762238">
    <w:abstractNumId w:val="11"/>
  </w:num>
  <w:num w:numId="24" w16cid:durableId="1770420147">
    <w:abstractNumId w:val="17"/>
  </w:num>
  <w:num w:numId="25" w16cid:durableId="1673799228">
    <w:abstractNumId w:val="24"/>
  </w:num>
  <w:num w:numId="26" w16cid:durableId="1622691697">
    <w:abstractNumId w:val="20"/>
  </w:num>
  <w:num w:numId="27" w16cid:durableId="1765296477">
    <w:abstractNumId w:val="13"/>
  </w:num>
  <w:num w:numId="28" w16cid:durableId="1073963811">
    <w:abstractNumId w:val="22"/>
  </w:num>
  <w:num w:numId="29" w16cid:durableId="1025013753">
    <w:abstractNumId w:val="12"/>
  </w:num>
  <w:num w:numId="30" w16cid:durableId="1289042800">
    <w:abstractNumId w:val="14"/>
  </w:num>
  <w:num w:numId="31" w16cid:durableId="2070227949">
    <w:abstractNumId w:val="15"/>
  </w:num>
  <w:num w:numId="32" w16cid:durableId="1257518457">
    <w:abstractNumId w:val="10"/>
  </w:num>
  <w:num w:numId="33" w16cid:durableId="1525947783">
    <w:abstractNumId w:val="21"/>
  </w:num>
  <w:num w:numId="34" w16cid:durableId="1545100710">
    <w:abstractNumId w:val="8"/>
  </w:num>
  <w:num w:numId="35" w16cid:durableId="268245498">
    <w:abstractNumId w:val="16"/>
  </w:num>
  <w:num w:numId="36" w16cid:durableId="470442090">
    <w:abstractNumId w:val="18"/>
  </w:num>
  <w:num w:numId="37" w16cid:durableId="1335105783">
    <w:abstractNumId w:val="19"/>
  </w:num>
  <w:num w:numId="38" w16cid:durableId="1950972085">
    <w:abstractNumId w:val="11"/>
  </w:num>
  <w:num w:numId="39" w16cid:durableId="942415447">
    <w:abstractNumId w:val="17"/>
  </w:num>
  <w:num w:numId="40" w16cid:durableId="51446424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0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okumentam"/>
    <w:docVar w:name="LW_ACCOMPAGNANT.CP" w:val="dokumentam"/>
    <w:docVar w:name="LW_ANNEX_NBR_FIRST" w:val="1"/>
    <w:docVar w:name="LW_ANNEX_NBR_LAST" w:val="4"/>
    <w:docVar w:name="LW_ANNEX_UNIQUE" w:val="0"/>
    <w:docVar w:name="LW_CORRIGENDUM" w:val="&lt;UNUSED&gt;"/>
    <w:docVar w:name="LW_COVERPAGE_EXISTS" w:val="True"/>
    <w:docVar w:name="LW_COVERPAGE_GUID" w:val="E8BF65D6-A102-4B97-BF04-5AA5A8EBBA2A"/>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isel\u275?, "/>
    <w:docVar w:name="LW_EMISSION_SUFFIX" w:val="."/>
    <w:docVar w:name="LW_ID_DOCSTRUCTURE" w:val="COM/ANNEX"/>
    <w:docVar w:name="LW_ID_DOCTYPE" w:val="SG-068"/>
    <w:docVar w:name="LW_LANGUE" w:val="LV"/>
    <w:docVar w:name="LW_LEVEL_OF_SENSITIVITY" w:val="Standard treatment"/>
    <w:docVar w:name="LW_NOM.INST" w:val="EIROPAS KOMISIJA"/>
    <w:docVar w:name="LW_NOM.INST_JOINTDOC" w:val="&lt;EMPTY&gt;"/>
    <w:docVar w:name="LW_OBJETACTEPRINCIPAL" w:val="ar kuru, piem\u275?rojot L\u299?guma par Eiropas Savien\u299?bas darb\u299?bu 107. un 108. pantu, da\u382?u kategoriju atbalstu uz\u326?\u275?mumiem, kas nodarbojas ar zvejas un akvakult\u363?ras produktu ra\u382?o\u353?anu, apstr\u257?di un tirdzniec\u299?bu, atz\u299?st par sader\u299?gu ar iek\u353?\u275?jo tirgu"/>
    <w:docVar w:name="LW_OBJETACTEPRINCIPAL.CP" w:val="ar kuru, piemērojot Līguma par Eiropas Savienības darbību 107. un 108. pantu, dažu kategoriju atbalstu uzņēmumiem, kas nodarbojas ar zvejas un akvakultūras produktu ražošanu, apstrādi un tirdzniecību, atzīst par saderīgu ar iekšējo tirgu"/>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IELIKUMI"/>
    <w:docVar w:name="LW_TYPE.DOC.CP" w:val="PIELIKUMI"/>
    <w:docVar w:name="LW_TYPEACTEPRINCIPAL" w:val="KOMISIJAS REGULA (ES) .../... ,"/>
    <w:docVar w:name="LW_TYPEACTEPRINCIPAL.CP" w:val="KOMISIJAS REGULA (ES) .../... ,"/>
    <w:docVar w:name="LwApiVersions" w:val="LW4CoDe 1.23.2.0; LW 8.0, Build 20211117"/>
  </w:docVars>
  <w:rsids>
    <w:rsidRoot w:val="007720B7"/>
    <w:rsid w:val="00010986"/>
    <w:rsid w:val="0002770A"/>
    <w:rsid w:val="000701AF"/>
    <w:rsid w:val="00096DAD"/>
    <w:rsid w:val="0009723E"/>
    <w:rsid w:val="000A1304"/>
    <w:rsid w:val="000D3B4F"/>
    <w:rsid w:val="000F5D7F"/>
    <w:rsid w:val="000F6A9D"/>
    <w:rsid w:val="001056FA"/>
    <w:rsid w:val="00114C1F"/>
    <w:rsid w:val="00152894"/>
    <w:rsid w:val="00153255"/>
    <w:rsid w:val="001600AD"/>
    <w:rsid w:val="001627E2"/>
    <w:rsid w:val="00183CC6"/>
    <w:rsid w:val="0019532E"/>
    <w:rsid w:val="00256FE6"/>
    <w:rsid w:val="00267706"/>
    <w:rsid w:val="00274670"/>
    <w:rsid w:val="00281A2B"/>
    <w:rsid w:val="002A2938"/>
    <w:rsid w:val="002C278F"/>
    <w:rsid w:val="002C3D52"/>
    <w:rsid w:val="002C594E"/>
    <w:rsid w:val="002D6D6D"/>
    <w:rsid w:val="002E250E"/>
    <w:rsid w:val="002E69F8"/>
    <w:rsid w:val="00323AA1"/>
    <w:rsid w:val="003A2E6C"/>
    <w:rsid w:val="003A58F3"/>
    <w:rsid w:val="003B217D"/>
    <w:rsid w:val="003C303E"/>
    <w:rsid w:val="003C41CB"/>
    <w:rsid w:val="003E23B7"/>
    <w:rsid w:val="003F1708"/>
    <w:rsid w:val="00442ED7"/>
    <w:rsid w:val="00451E2C"/>
    <w:rsid w:val="004B3AC8"/>
    <w:rsid w:val="005365AB"/>
    <w:rsid w:val="005A370F"/>
    <w:rsid w:val="005A5AE2"/>
    <w:rsid w:val="005B7D62"/>
    <w:rsid w:val="005C14A2"/>
    <w:rsid w:val="005F2C26"/>
    <w:rsid w:val="00613AC1"/>
    <w:rsid w:val="006207B1"/>
    <w:rsid w:val="00637CA3"/>
    <w:rsid w:val="00641F21"/>
    <w:rsid w:val="0064681B"/>
    <w:rsid w:val="006763B5"/>
    <w:rsid w:val="006870EB"/>
    <w:rsid w:val="00692EEB"/>
    <w:rsid w:val="006F3C12"/>
    <w:rsid w:val="0074216E"/>
    <w:rsid w:val="00742E88"/>
    <w:rsid w:val="007720B7"/>
    <w:rsid w:val="00776AFA"/>
    <w:rsid w:val="0078415E"/>
    <w:rsid w:val="007B057B"/>
    <w:rsid w:val="007F007D"/>
    <w:rsid w:val="007F17A7"/>
    <w:rsid w:val="00800618"/>
    <w:rsid w:val="00817397"/>
    <w:rsid w:val="00824438"/>
    <w:rsid w:val="00833E5D"/>
    <w:rsid w:val="00836933"/>
    <w:rsid w:val="00842632"/>
    <w:rsid w:val="00880213"/>
    <w:rsid w:val="00895161"/>
    <w:rsid w:val="008B2A2E"/>
    <w:rsid w:val="00920185"/>
    <w:rsid w:val="00955689"/>
    <w:rsid w:val="00966C3B"/>
    <w:rsid w:val="00967035"/>
    <w:rsid w:val="00983339"/>
    <w:rsid w:val="00990C76"/>
    <w:rsid w:val="009B217B"/>
    <w:rsid w:val="009C246D"/>
    <w:rsid w:val="009D2053"/>
    <w:rsid w:val="009D5BB9"/>
    <w:rsid w:val="009E449E"/>
    <w:rsid w:val="009E7B27"/>
    <w:rsid w:val="00A0708A"/>
    <w:rsid w:val="00A56649"/>
    <w:rsid w:val="00AA6B58"/>
    <w:rsid w:val="00AC095B"/>
    <w:rsid w:val="00AE5793"/>
    <w:rsid w:val="00B01186"/>
    <w:rsid w:val="00B15298"/>
    <w:rsid w:val="00B16EEF"/>
    <w:rsid w:val="00B2365F"/>
    <w:rsid w:val="00B62194"/>
    <w:rsid w:val="00B62C16"/>
    <w:rsid w:val="00B6770D"/>
    <w:rsid w:val="00B85448"/>
    <w:rsid w:val="00B90055"/>
    <w:rsid w:val="00BF7FED"/>
    <w:rsid w:val="00C40797"/>
    <w:rsid w:val="00C477B4"/>
    <w:rsid w:val="00C52A61"/>
    <w:rsid w:val="00C57AA4"/>
    <w:rsid w:val="00C70F30"/>
    <w:rsid w:val="00C7167D"/>
    <w:rsid w:val="00C90F70"/>
    <w:rsid w:val="00CE1F08"/>
    <w:rsid w:val="00CE2015"/>
    <w:rsid w:val="00CE32A7"/>
    <w:rsid w:val="00D13A81"/>
    <w:rsid w:val="00D2446F"/>
    <w:rsid w:val="00D25FAC"/>
    <w:rsid w:val="00D47339"/>
    <w:rsid w:val="00D5066C"/>
    <w:rsid w:val="00D65A22"/>
    <w:rsid w:val="00D76F18"/>
    <w:rsid w:val="00D8312A"/>
    <w:rsid w:val="00D9159E"/>
    <w:rsid w:val="00D94CD0"/>
    <w:rsid w:val="00D97F61"/>
    <w:rsid w:val="00DD3108"/>
    <w:rsid w:val="00DF68E6"/>
    <w:rsid w:val="00DF764B"/>
    <w:rsid w:val="00E42D10"/>
    <w:rsid w:val="00E4704A"/>
    <w:rsid w:val="00EB4DBF"/>
    <w:rsid w:val="00EB5F7A"/>
    <w:rsid w:val="00EC4BD4"/>
    <w:rsid w:val="00F5208E"/>
    <w:rsid w:val="00F94857"/>
    <w:rsid w:val="00FC17FF"/>
    <w:rsid w:val="00FC31B5"/>
    <w:rsid w:val="00FE0D3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lv-LV"/>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lv-LV"/>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lv-LV"/>
    </w:rPr>
  </w:style>
  <w:style w:type="paragraph" w:styleId="Header">
    <w:name w:val="header"/>
    <w:basedOn w:val="Normal"/>
    <w:link w:val="HeaderChar"/>
    <w:uiPriority w:val="99"/>
    <w:unhideWhenUsed/>
    <w:rsid w:val="006763B5"/>
    <w:pPr>
      <w:tabs>
        <w:tab w:val="center" w:pos="4535"/>
        <w:tab w:val="right" w:pos="9071"/>
      </w:tabs>
      <w:spacing w:before="0"/>
    </w:pPr>
  </w:style>
  <w:style w:type="character" w:customStyle="1" w:styleId="HeaderChar">
    <w:name w:val="Header Char"/>
    <w:basedOn w:val="DefaultParagraphFont"/>
    <w:link w:val="Header"/>
    <w:uiPriority w:val="99"/>
    <w:rsid w:val="006763B5"/>
    <w:rPr>
      <w:rFonts w:ascii="Times New Roman" w:hAnsi="Times New Roman" w:cs="Times New Roman"/>
      <w:sz w:val="24"/>
      <w:lang w:val="lv-LV"/>
    </w:rPr>
  </w:style>
  <w:style w:type="paragraph" w:styleId="Footer">
    <w:name w:val="footer"/>
    <w:basedOn w:val="Normal"/>
    <w:link w:val="FooterChar"/>
    <w:uiPriority w:val="99"/>
    <w:unhideWhenUsed/>
    <w:rsid w:val="006763B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6763B5"/>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6763B5"/>
    <w:pPr>
      <w:tabs>
        <w:tab w:val="center" w:pos="7285"/>
        <w:tab w:val="right" w:pos="14003"/>
      </w:tabs>
      <w:spacing w:before="0"/>
    </w:pPr>
  </w:style>
  <w:style w:type="paragraph" w:customStyle="1" w:styleId="FooterLandscape">
    <w:name w:val="FooterLandscape"/>
    <w:basedOn w:val="Normal"/>
    <w:rsid w:val="006763B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763B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763B5"/>
    <w:pPr>
      <w:spacing w:before="0"/>
      <w:jc w:val="right"/>
    </w:pPr>
    <w:rPr>
      <w:sz w:val="28"/>
    </w:rPr>
  </w:style>
  <w:style w:type="paragraph" w:customStyle="1" w:styleId="FooterSensitivity">
    <w:name w:val="Footer Sensitivity"/>
    <w:basedOn w:val="Normal"/>
    <w:rsid w:val="006763B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C8DD4-FAE8-4536-BE71-33BB9441882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f4bbdaa-dd5a-4bb7-a3f6-76c067b32c48"/>
    <ds:schemaRef ds:uri="http://www.w3.org/XML/1998/namespace"/>
    <ds:schemaRef ds:uri="http://purl.org/dc/dcmitype/"/>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6</Pages>
  <Words>1027</Words>
  <Characters>6605</Characters>
  <Application>Microsoft Office Word</Application>
  <DocSecurity>0</DocSecurity>
  <Lines>227</Lines>
  <Paragraphs>119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2023-09-18T14:24:00Z</dcterms:created>
  <dcterms:modified xsi:type="dcterms:W3CDTF">2023-09-18T14:24:00Z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2023-09-18T14:24:02Z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e687124f-7dff-48ab-b715-6a9eb9f066ae</vt:lpwstr>
  </property>
  <property fmtid="{D5CDD505-2E9C-101B-9397-08002B2CF9AE}" pid="24" name="MSIP_Label_6bd9ddd1-4d20-43f6-abfa-fc3c07406f94_ContentBits">
    <vt:lpwstr>0</vt:lpwstr>
  </property>
</Properties>
</file>