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48AF7D79" w:rsidR="007720B7" w:rsidRPr="001F5BA1" w:rsidRDefault="007720B7" w:rsidP="00F72839">
      <w:pPr>
        <w:pStyle w:val="Pagedecouverture"/>
        <w:rPr>
          <w:noProof/>
        </w:rPr>
      </w:pPr>
    </w:p>
    <w:p w14:paraId="73D265FC" w14:textId="77777777" w:rsidR="0019532E" w:rsidRPr="001F5BA1" w:rsidRDefault="0019532E" w:rsidP="0019532E">
      <w:pPr>
        <w:pStyle w:val="Annexetitre"/>
        <w:rPr>
          <w:noProof/>
        </w:rPr>
      </w:pPr>
      <w:r w:rsidRPr="001F5BA1">
        <w:rPr>
          <w:noProof/>
        </w:rPr>
        <w:t>BILAGA II</w:t>
      </w:r>
    </w:p>
    <w:p w14:paraId="69F272DB" w14:textId="77777777" w:rsidR="00FC17FF" w:rsidRPr="001F5BA1" w:rsidRDefault="0019532E" w:rsidP="0019532E">
      <w:pPr>
        <w:spacing w:after="212" w:line="264" w:lineRule="auto"/>
        <w:ind w:right="3"/>
        <w:jc w:val="center"/>
        <w:rPr>
          <w:b/>
          <w:noProof/>
          <w:szCs w:val="24"/>
        </w:rPr>
      </w:pPr>
      <w:r w:rsidRPr="001F5BA1">
        <w:rPr>
          <w:b/>
          <w:noProof/>
        </w:rPr>
        <w:t>Information om statligt stöd som undantas enligt villkoren i denna förordning</w:t>
      </w:r>
    </w:p>
    <w:p w14:paraId="7018085C" w14:textId="77777777" w:rsidR="00FC17FF" w:rsidRPr="001F5BA1" w:rsidRDefault="00FC17FF" w:rsidP="00B01186">
      <w:pPr>
        <w:jc w:val="center"/>
        <w:rPr>
          <w:b/>
          <w:noProof/>
        </w:rPr>
      </w:pPr>
      <w:r w:rsidRPr="001F5BA1">
        <w:rPr>
          <w:b/>
          <w:noProof/>
        </w:rPr>
        <w:t>DEL I</w:t>
      </w:r>
    </w:p>
    <w:p w14:paraId="10FF3503" w14:textId="6505A423" w:rsidR="00FC17FF" w:rsidRPr="001F5BA1" w:rsidRDefault="00FC17FF" w:rsidP="00FC17FF">
      <w:pPr>
        <w:spacing w:after="212" w:line="264" w:lineRule="auto"/>
        <w:ind w:right="3"/>
        <w:jc w:val="center"/>
        <w:rPr>
          <w:b/>
          <w:noProof/>
          <w:szCs w:val="24"/>
        </w:rPr>
      </w:pPr>
      <w:r w:rsidRPr="001F5BA1">
        <w:rPr>
          <w:b/>
          <w:noProof/>
        </w:rPr>
        <w:t>Informationen ska lämnas genom kommissionens elektroniska anmälningssystem enligt vad som föreskrivs i artikel 11</w:t>
      </w:r>
    </w:p>
    <w:p w14:paraId="25D8B54B" w14:textId="77777777" w:rsidR="0019532E" w:rsidRPr="001F5BA1"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293"/>
        <w:gridCol w:w="2252"/>
        <w:gridCol w:w="485"/>
        <w:gridCol w:w="216"/>
        <w:gridCol w:w="1760"/>
        <w:gridCol w:w="216"/>
        <w:gridCol w:w="2067"/>
      </w:tblGrid>
      <w:tr w:rsidR="0019532E" w:rsidRPr="001F5BA1"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Stödreferens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1F5BA1" w:rsidRDefault="0019532E">
            <w:pPr>
              <w:rPr>
                <w:rFonts w:ascii="Arial Unicode MS" w:hAnsi="Arial Unicode MS"/>
                <w:i/>
                <w:noProof/>
                <w:sz w:val="21"/>
                <w:szCs w:val="21"/>
              </w:rPr>
            </w:pPr>
            <w:r w:rsidRPr="001F5BA1">
              <w:rPr>
                <w:rFonts w:ascii="Arial Unicode MS" w:hAnsi="Arial Unicode MS"/>
                <w:i/>
                <w:noProof/>
                <w:sz w:val="21"/>
              </w:rPr>
              <w:t>(ska fyllas i av kommissionen)</w:t>
            </w:r>
          </w:p>
        </w:tc>
      </w:tr>
      <w:tr w:rsidR="0019532E" w:rsidRPr="001F5BA1"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Medlemsstat</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1F5BA1" w:rsidRDefault="0019532E">
            <w:pPr>
              <w:tabs>
                <w:tab w:val="left" w:leader="dot" w:pos="567"/>
                <w:tab w:val="left" w:leader="dot" w:pos="735"/>
              </w:tabs>
              <w:rPr>
                <w:rFonts w:ascii="Arial Unicode MS" w:hAnsi="Arial Unicode MS"/>
                <w:noProof/>
                <w:sz w:val="21"/>
                <w:szCs w:val="21"/>
              </w:rPr>
            </w:pPr>
          </w:p>
        </w:tc>
      </w:tr>
      <w:tr w:rsidR="0019532E" w:rsidRPr="001F5BA1"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1F5BA1" w:rsidRDefault="0019532E" w:rsidP="000F6A9D">
            <w:pPr>
              <w:jc w:val="left"/>
              <w:rPr>
                <w:rFonts w:ascii="Arial Unicode MS" w:hAnsi="Arial Unicode MS"/>
                <w:b/>
                <w:noProof/>
                <w:sz w:val="21"/>
                <w:szCs w:val="21"/>
              </w:rPr>
            </w:pPr>
            <w:r w:rsidRPr="001F5BA1">
              <w:rPr>
                <w:rFonts w:ascii="Arial Unicode MS" w:hAnsi="Arial Unicode MS"/>
                <w:b/>
                <w:noProof/>
                <w:sz w:val="21"/>
              </w:rPr>
              <w:t>Medlemsstatens referensnummer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1F5BA1" w:rsidRDefault="0019532E">
            <w:pPr>
              <w:rPr>
                <w:rFonts w:ascii="Arial Unicode MS" w:hAnsi="Arial Unicode MS"/>
                <w:noProof/>
                <w:sz w:val="21"/>
                <w:szCs w:val="21"/>
              </w:rPr>
            </w:pPr>
            <w:r w:rsidRPr="001F5BA1">
              <w:rPr>
                <w:rFonts w:ascii="Arial Unicode MS" w:hAnsi="Arial Unicode MS"/>
                <w:noProof/>
                <w:sz w:val="21"/>
              </w:rPr>
              <w:t xml:space="preserve"> </w:t>
            </w:r>
          </w:p>
        </w:tc>
      </w:tr>
      <w:tr w:rsidR="00955689" w:rsidRPr="001F5BA1"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1F5BA1" w:rsidRDefault="00955689">
            <w:pPr>
              <w:rPr>
                <w:rFonts w:ascii="Arial Unicode MS" w:hAnsi="Arial Unicode MS"/>
                <w:b/>
                <w:noProof/>
                <w:sz w:val="21"/>
                <w:szCs w:val="21"/>
              </w:rPr>
            </w:pPr>
            <w:r w:rsidRPr="001F5BA1">
              <w:rPr>
                <w:rFonts w:ascii="Arial Unicode MS" w:hAnsi="Arial Unicode MS"/>
                <w:b/>
                <w:noProof/>
                <w:sz w:val="21"/>
              </w:rPr>
              <w:t>Region</w:t>
            </w:r>
          </w:p>
          <w:p w14:paraId="6D653A12" w14:textId="666B1663" w:rsidR="00955689" w:rsidRPr="001F5BA1"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1F5BA1" w:rsidRDefault="00955689">
            <w:pPr>
              <w:rPr>
                <w:rFonts w:ascii="Arial Unicode MS" w:hAnsi="Arial Unicode MS"/>
                <w:b/>
                <w:noProof/>
                <w:sz w:val="21"/>
                <w:szCs w:val="21"/>
              </w:rPr>
            </w:pPr>
            <w:r w:rsidRPr="001F5BA1">
              <w:rPr>
                <w:rFonts w:ascii="Arial Unicode MS" w:hAnsi="Arial Unicode MS"/>
                <w:b/>
                <w:noProof/>
                <w:sz w:val="21"/>
              </w:rPr>
              <w:t xml:space="preserve">Regionens eller regionernas namn </w:t>
            </w:r>
            <w:r w:rsidRPr="001F5BA1">
              <w:rPr>
                <w:rFonts w:ascii="Arial Unicode MS" w:hAnsi="Arial Unicode MS"/>
                <w:b/>
                <w:i/>
                <w:noProof/>
                <w:sz w:val="21"/>
              </w:rPr>
              <w:t>Nuts</w:t>
            </w:r>
            <w:r w:rsidRPr="001F5BA1">
              <w:rPr>
                <w:rFonts w:ascii="Arial Unicode MS" w:hAnsi="Arial Unicode MS"/>
                <w:b/>
                <w:noProof/>
                <w:sz w:val="21"/>
              </w:rPr>
              <w:t>(</w:t>
            </w:r>
            <w:r w:rsidRPr="001F5BA1">
              <w:rPr>
                <w:rStyle w:val="FootnoteReference"/>
                <w:rFonts w:ascii="Arial Unicode MS" w:hAnsi="Arial Unicode MS"/>
                <w:b/>
                <w:noProof/>
                <w:sz w:val="21"/>
                <w:szCs w:val="21"/>
              </w:rPr>
              <w:footnoteReference w:id="1"/>
            </w:r>
            <w:r w:rsidRPr="001F5BA1">
              <w:rPr>
                <w:rFonts w:ascii="Arial Unicode MS" w:hAnsi="Arial Unicode MS"/>
                <w:b/>
                <w:noProof/>
                <w:sz w:val="21"/>
              </w:rPr>
              <w:t>)</w:t>
            </w:r>
          </w:p>
          <w:p w14:paraId="06C8334D" w14:textId="77777777" w:rsidR="00FC17FF" w:rsidRPr="001F5BA1" w:rsidRDefault="00FC17FF">
            <w:pPr>
              <w:rPr>
                <w:rFonts w:ascii="Arial Unicode MS" w:hAnsi="Arial Unicode MS"/>
                <w:b/>
                <w:noProof/>
                <w:sz w:val="21"/>
                <w:szCs w:val="21"/>
              </w:rPr>
            </w:pPr>
          </w:p>
          <w:p w14:paraId="5F71BF92" w14:textId="614C8F8E" w:rsidR="00FC17FF" w:rsidRPr="001F5BA1" w:rsidRDefault="00FC17FF">
            <w:pPr>
              <w:rPr>
                <w:rFonts w:ascii="Arial Unicode MS" w:hAnsi="Arial Unicode MS"/>
                <w:b/>
                <w:noProof/>
                <w:sz w:val="21"/>
                <w:szCs w:val="21"/>
              </w:rPr>
            </w:pPr>
            <w:r w:rsidRPr="001F5BA1">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1F5BA1" w:rsidRDefault="00955689" w:rsidP="00FC17FF">
            <w:pPr>
              <w:rPr>
                <w:rFonts w:ascii="Arial Unicode MS" w:hAnsi="Arial Unicode MS"/>
                <w:b/>
                <w:noProof/>
                <w:sz w:val="21"/>
                <w:szCs w:val="21"/>
              </w:rPr>
            </w:pPr>
            <w:r w:rsidRPr="001F5BA1">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1F5BA1">
                  <w:rPr>
                    <w:rFonts w:ascii="Segoe UI Symbol" w:eastAsia="MS Gothic" w:hAnsi="Segoe UI Symbol" w:cs="Segoe UI Symbol"/>
                    <w:b/>
                    <w:noProof/>
                    <w:sz w:val="21"/>
                    <w:szCs w:val="21"/>
                  </w:rPr>
                  <w:t>☐</w:t>
                </w:r>
              </w:sdtContent>
            </w:sdt>
            <w:r w:rsidRPr="001F5BA1">
              <w:rPr>
                <w:rFonts w:ascii="Arial Unicode MS" w:hAnsi="Arial Unicode MS"/>
                <w:b/>
                <w:noProof/>
                <w:sz w:val="21"/>
              </w:rPr>
              <w:t>De yttersta randområdena</w:t>
            </w:r>
          </w:p>
          <w:p w14:paraId="435FA86C" w14:textId="77777777" w:rsidR="00FC17FF" w:rsidRPr="001F5BA1" w:rsidRDefault="00D233FD"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noProof/>
                    <w:sz w:val="21"/>
                    <w:szCs w:val="21"/>
                  </w:rPr>
                  <w:t>☐</w:t>
                </w:r>
              </w:sdtContent>
            </w:sdt>
            <w:r w:rsidR="005F2C26" w:rsidRPr="001F5BA1">
              <w:rPr>
                <w:rFonts w:ascii="Arial Unicode MS" w:hAnsi="Arial Unicode MS"/>
                <w:b/>
                <w:noProof/>
                <w:sz w:val="21"/>
              </w:rPr>
              <w:t xml:space="preserve"> Avlägset belägna grekiska öar</w:t>
            </w:r>
          </w:p>
          <w:p w14:paraId="47CD1558" w14:textId="77777777" w:rsidR="00FC17FF" w:rsidRPr="001F5BA1" w:rsidRDefault="00D233FD"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noProof/>
                    <w:sz w:val="21"/>
                    <w:szCs w:val="21"/>
                  </w:rPr>
                  <w:t>☐</w:t>
                </w:r>
              </w:sdtContent>
            </w:sdt>
            <w:r w:rsidR="005F2C26" w:rsidRPr="001F5BA1">
              <w:rPr>
                <w:rFonts w:ascii="Arial Unicode MS" w:hAnsi="Arial Unicode MS"/>
                <w:b/>
                <w:noProof/>
                <w:sz w:val="21"/>
              </w:rPr>
              <w:t>De kroatiska öarna Dugi Otok, Vis, Mljet och Lastovo</w:t>
            </w:r>
          </w:p>
          <w:p w14:paraId="21B8B034" w14:textId="77777777" w:rsidR="00FC17FF" w:rsidRPr="001F5BA1" w:rsidRDefault="00D233FD"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noProof/>
                    <w:sz w:val="21"/>
                    <w:szCs w:val="21"/>
                  </w:rPr>
                  <w:t>☐</w:t>
                </w:r>
              </w:sdtContent>
            </w:sdt>
            <w:r w:rsidR="005F2C26" w:rsidRPr="001F5BA1">
              <w:rPr>
                <w:rFonts w:ascii="Arial Unicode MS" w:hAnsi="Arial Unicode MS"/>
                <w:b/>
                <w:noProof/>
                <w:sz w:val="21"/>
              </w:rPr>
              <w:t>Annan</w:t>
            </w:r>
          </w:p>
          <w:p w14:paraId="29CF27C5" w14:textId="77777777" w:rsidR="00955689" w:rsidRPr="001F5BA1" w:rsidRDefault="00955689">
            <w:pPr>
              <w:rPr>
                <w:rFonts w:ascii="Arial Unicode MS" w:hAnsi="Arial Unicode MS"/>
                <w:noProof/>
                <w:sz w:val="21"/>
                <w:szCs w:val="21"/>
              </w:rPr>
            </w:pPr>
          </w:p>
        </w:tc>
      </w:tr>
      <w:tr w:rsidR="00966C3B" w:rsidRPr="001F5BA1"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1F5BA1" w:rsidRDefault="00966C3B">
            <w:pPr>
              <w:rPr>
                <w:rFonts w:ascii="Arial Unicode MS" w:hAnsi="Arial Unicode MS"/>
                <w:b/>
                <w:noProof/>
                <w:sz w:val="21"/>
                <w:szCs w:val="21"/>
              </w:rPr>
            </w:pPr>
            <w:r w:rsidRPr="001F5BA1">
              <w:rPr>
                <w:rFonts w:ascii="Arial Unicode MS" w:hAnsi="Arial Unicode MS"/>
                <w:b/>
                <w:noProof/>
                <w:sz w:val="21"/>
              </w:rPr>
              <w:t>Beviljande myndighet</w:t>
            </w:r>
          </w:p>
          <w:p w14:paraId="1EAFB91B" w14:textId="24F25931" w:rsidR="00966C3B" w:rsidRPr="001F5BA1"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1F5BA1" w:rsidRDefault="00966C3B">
            <w:pPr>
              <w:rPr>
                <w:rFonts w:ascii="Arial Unicode MS" w:hAnsi="Arial Unicode MS"/>
                <w:b/>
                <w:noProof/>
                <w:sz w:val="21"/>
                <w:szCs w:val="21"/>
              </w:rPr>
            </w:pPr>
            <w:r w:rsidRPr="001F5BA1">
              <w:rPr>
                <w:rFonts w:ascii="Arial Unicode MS" w:hAnsi="Arial Unicode MS"/>
                <w:b/>
                <w:noProof/>
                <w:sz w:val="21"/>
              </w:rPr>
              <w:t>Namn</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1F5BA1" w:rsidRDefault="00966C3B">
            <w:pPr>
              <w:rPr>
                <w:rFonts w:ascii="Arial Unicode MS" w:hAnsi="Arial Unicode MS"/>
                <w:noProof/>
                <w:sz w:val="21"/>
                <w:szCs w:val="21"/>
              </w:rPr>
            </w:pPr>
            <w:r w:rsidRPr="001F5BA1">
              <w:rPr>
                <w:rFonts w:ascii="Arial Unicode MS" w:hAnsi="Arial Unicode MS"/>
                <w:noProof/>
                <w:sz w:val="21"/>
              </w:rPr>
              <w:t xml:space="preserve"> </w:t>
            </w:r>
          </w:p>
        </w:tc>
      </w:tr>
      <w:tr w:rsidR="00966C3B" w:rsidRPr="001F5BA1"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1F5BA1"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1F5BA1" w:rsidRDefault="00966C3B" w:rsidP="00966C3B">
            <w:pPr>
              <w:jc w:val="left"/>
              <w:rPr>
                <w:rFonts w:ascii="Arial Unicode MS" w:hAnsi="Arial Unicode MS"/>
                <w:b/>
                <w:noProof/>
                <w:sz w:val="21"/>
                <w:szCs w:val="21"/>
              </w:rPr>
            </w:pPr>
            <w:r w:rsidRPr="001F5BA1">
              <w:rPr>
                <w:rFonts w:ascii="Arial Unicode MS" w:hAnsi="Arial Unicode MS"/>
                <w:b/>
                <w:noProof/>
                <w:sz w:val="21"/>
              </w:rPr>
              <w:t xml:space="preserve">Postadress </w:t>
            </w:r>
            <w:r w:rsidRPr="001F5BA1">
              <w:rPr>
                <w:noProof/>
              </w:rPr>
              <w:t xml:space="preserve"> </w:t>
            </w:r>
            <w:r w:rsidRPr="001F5BA1">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1F5BA1" w:rsidRDefault="00966C3B">
            <w:pPr>
              <w:rPr>
                <w:rFonts w:ascii="Arial Unicode MS" w:hAnsi="Arial Unicode MS"/>
                <w:noProof/>
                <w:sz w:val="21"/>
                <w:szCs w:val="21"/>
              </w:rPr>
            </w:pPr>
            <w:r w:rsidRPr="001F5BA1">
              <w:rPr>
                <w:rFonts w:ascii="Arial Unicode MS" w:hAnsi="Arial Unicode MS"/>
                <w:noProof/>
                <w:sz w:val="21"/>
              </w:rPr>
              <w:t xml:space="preserve"> </w:t>
            </w:r>
          </w:p>
        </w:tc>
      </w:tr>
      <w:tr w:rsidR="00966C3B" w:rsidRPr="001F5BA1"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1F5BA1"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1F5BA1" w:rsidRDefault="00966C3B" w:rsidP="00955689">
            <w:pPr>
              <w:jc w:val="left"/>
              <w:rPr>
                <w:rFonts w:ascii="Arial Unicode MS" w:hAnsi="Arial Unicode MS"/>
                <w:b/>
                <w:noProof/>
                <w:sz w:val="21"/>
                <w:szCs w:val="21"/>
              </w:rPr>
            </w:pPr>
            <w:r w:rsidRPr="001F5BA1">
              <w:rPr>
                <w:rFonts w:ascii="Arial Unicode MS" w:hAnsi="Arial Unicode MS"/>
                <w:b/>
                <w:noProof/>
                <w:sz w:val="21"/>
              </w:rPr>
              <w:t>Webbadress</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1F5BA1" w:rsidRDefault="00966C3B">
            <w:pPr>
              <w:rPr>
                <w:rFonts w:ascii="Arial Unicode MS" w:hAnsi="Arial Unicode MS"/>
                <w:noProof/>
                <w:sz w:val="21"/>
                <w:szCs w:val="21"/>
              </w:rPr>
            </w:pPr>
          </w:p>
        </w:tc>
      </w:tr>
      <w:tr w:rsidR="0019532E" w:rsidRPr="001F5BA1"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Stödåtgärdens benämning</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1F5BA1" w:rsidRDefault="0019532E">
            <w:pPr>
              <w:rPr>
                <w:rFonts w:ascii="Arial Unicode MS" w:hAnsi="Arial Unicode MS"/>
                <w:noProof/>
                <w:sz w:val="21"/>
                <w:szCs w:val="21"/>
              </w:rPr>
            </w:pPr>
            <w:r w:rsidRPr="001F5BA1">
              <w:rPr>
                <w:rFonts w:ascii="Arial Unicode MS" w:hAnsi="Arial Unicode MS"/>
                <w:noProof/>
                <w:sz w:val="21"/>
              </w:rPr>
              <w:t xml:space="preserve"> </w:t>
            </w:r>
          </w:p>
        </w:tc>
      </w:tr>
      <w:tr w:rsidR="0019532E" w:rsidRPr="001F5BA1"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Nationell rättslig grund (hänvisning till relevant nationell officiell tidning)</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1F5BA1" w:rsidRDefault="0019532E">
            <w:pPr>
              <w:rPr>
                <w:rFonts w:ascii="Arial Unicode MS" w:hAnsi="Arial Unicode MS"/>
                <w:b/>
                <w:noProof/>
                <w:sz w:val="21"/>
                <w:szCs w:val="21"/>
              </w:rPr>
            </w:pPr>
          </w:p>
        </w:tc>
      </w:tr>
      <w:tr w:rsidR="0019532E" w:rsidRPr="001F5BA1"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Webblänk till stödåtgärdens fullständiga text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1F5BA1" w:rsidRDefault="0019532E">
            <w:pPr>
              <w:spacing w:line="480" w:lineRule="auto"/>
              <w:rPr>
                <w:rFonts w:ascii="Arial Unicode MS" w:hAnsi="Arial Unicode MS"/>
                <w:noProof/>
                <w:sz w:val="21"/>
                <w:szCs w:val="21"/>
              </w:rPr>
            </w:pPr>
            <w:r w:rsidRPr="001F5BA1">
              <w:rPr>
                <w:rFonts w:ascii="Arial Unicode MS" w:hAnsi="Arial Unicode MS"/>
                <w:noProof/>
                <w:sz w:val="21"/>
              </w:rPr>
              <w:t xml:space="preserve"> </w:t>
            </w:r>
          </w:p>
        </w:tc>
      </w:tr>
      <w:tr w:rsidR="00CE32A7" w:rsidRPr="001F5BA1"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1F5BA1" w:rsidRDefault="00CE32A7">
            <w:pPr>
              <w:rPr>
                <w:rFonts w:ascii="Arial Unicode MS" w:hAnsi="Arial Unicode MS"/>
                <w:b/>
                <w:noProof/>
                <w:sz w:val="21"/>
                <w:szCs w:val="21"/>
              </w:rPr>
            </w:pPr>
            <w:r w:rsidRPr="001F5BA1">
              <w:rPr>
                <w:rFonts w:ascii="Arial Unicode MS" w:hAnsi="Arial Unicode MS"/>
                <w:b/>
                <w:noProof/>
                <w:sz w:val="21"/>
              </w:rPr>
              <w:t>Typ av åtgärd</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1F5BA1" w:rsidRDefault="00D233FD">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noProof/>
                    <w:sz w:val="21"/>
                    <w:szCs w:val="21"/>
                  </w:rPr>
                  <w:t>☐</w:t>
                </w:r>
              </w:sdtContent>
            </w:sdt>
            <w:r w:rsidR="005F2C26" w:rsidRPr="001F5BA1">
              <w:rPr>
                <w:rFonts w:ascii="Arial Unicode MS" w:hAnsi="Arial Unicode MS"/>
                <w:b/>
                <w:noProof/>
                <w:sz w:val="21"/>
              </w:rPr>
              <w:t>Stödordning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1F5BA1" w:rsidRDefault="00CE32A7">
            <w:pPr>
              <w:rPr>
                <w:rFonts w:ascii="Arial Unicode MS" w:hAnsi="Arial Unicode MS"/>
                <w:b/>
                <w:noProof/>
                <w:sz w:val="21"/>
                <w:szCs w:val="21"/>
              </w:rPr>
            </w:pPr>
            <w:r w:rsidRPr="001F5BA1">
              <w:rPr>
                <w:rFonts w:ascii="Arial Unicode MS" w:hAnsi="Arial Unicode MS"/>
                <w:b/>
                <w:noProof/>
                <w:sz w:val="21"/>
              </w:rPr>
              <w:t xml:space="preserve"> </w:t>
            </w:r>
          </w:p>
        </w:tc>
      </w:tr>
      <w:tr w:rsidR="00CE32A7" w:rsidRPr="001F5BA1"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1F5BA1"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1F5BA1" w:rsidRDefault="00D233FD">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noProof/>
                    <w:sz w:val="21"/>
                    <w:szCs w:val="21"/>
                  </w:rPr>
                  <w:t>☐</w:t>
                </w:r>
              </w:sdtContent>
            </w:sdt>
            <w:r w:rsidR="005F2C26" w:rsidRPr="001F5BA1">
              <w:rPr>
                <w:rFonts w:ascii="Arial Unicode MS" w:hAnsi="Arial Unicode MS"/>
                <w:b/>
                <w:noProof/>
                <w:sz w:val="21"/>
              </w:rPr>
              <w:t>Stöd för särskilda ändamål</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1F5BA1" w:rsidRDefault="00CE32A7">
            <w:pPr>
              <w:rPr>
                <w:rFonts w:ascii="Arial Unicode MS" w:hAnsi="Arial Unicode MS"/>
                <w:b/>
                <w:noProof/>
                <w:sz w:val="21"/>
                <w:szCs w:val="21"/>
              </w:rPr>
            </w:pPr>
            <w:r w:rsidRPr="001F5BA1">
              <w:rPr>
                <w:rFonts w:ascii="Arial Unicode MS" w:hAnsi="Arial Unicode MS"/>
                <w:b/>
                <w:noProof/>
                <w:sz w:val="21"/>
              </w:rPr>
              <w:t>Det stödmottagande företagets namn och den koncern(</w:t>
            </w:r>
            <w:r w:rsidRPr="001F5BA1">
              <w:rPr>
                <w:rStyle w:val="FootnoteReference"/>
                <w:rFonts w:ascii="Arial Unicode MS" w:hAnsi="Arial Unicode MS"/>
                <w:b/>
                <w:noProof/>
                <w:sz w:val="21"/>
                <w:szCs w:val="21"/>
              </w:rPr>
              <w:footnoteReference w:id="2"/>
            </w:r>
            <w:r w:rsidRPr="001F5BA1">
              <w:rPr>
                <w:rFonts w:ascii="Arial Unicode MS" w:hAnsi="Arial Unicode MS"/>
                <w:b/>
                <w:noProof/>
                <w:sz w:val="21"/>
              </w:rPr>
              <w:t>) det tillhör</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1F5BA1" w:rsidRDefault="00CE32A7">
            <w:pPr>
              <w:rPr>
                <w:rFonts w:ascii="Arial Unicode MS" w:hAnsi="Arial Unicode MS"/>
                <w:b/>
                <w:noProof/>
                <w:sz w:val="21"/>
                <w:szCs w:val="21"/>
              </w:rPr>
            </w:pPr>
          </w:p>
        </w:tc>
      </w:tr>
      <w:tr w:rsidR="00CE32A7" w:rsidRPr="001F5BA1"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1F5BA1"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1F5BA1"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1F5BA1"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1F5BA1" w:rsidRDefault="00CE32A7">
            <w:pPr>
              <w:rPr>
                <w:rFonts w:ascii="Arial Unicode MS" w:hAnsi="Arial Unicode MS"/>
                <w:b/>
                <w:noProof/>
                <w:sz w:val="21"/>
                <w:szCs w:val="21"/>
              </w:rPr>
            </w:pPr>
          </w:p>
        </w:tc>
      </w:tr>
      <w:tr w:rsidR="0019532E" w:rsidRPr="001F5BA1"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Ändring av en befintlig stödordning eller ett befintligt stöd för särskilda ändamål</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1F5BA1" w:rsidRDefault="0019532E" w:rsidP="00FC17FF">
            <w:pPr>
              <w:rPr>
                <w:rFonts w:ascii="Arial Unicode MS" w:hAnsi="Arial Unicode MS"/>
                <w:b/>
                <w:noProof/>
                <w:sz w:val="21"/>
                <w:szCs w:val="21"/>
              </w:rPr>
            </w:pPr>
            <w:r w:rsidRPr="001F5BA1">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Kommissionens stödreferens</w:t>
            </w:r>
          </w:p>
        </w:tc>
      </w:tr>
      <w:tr w:rsidR="0019532E" w:rsidRPr="001F5BA1"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1F5BA1"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1F5BA1" w:rsidRDefault="00D233FD">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noProof/>
                    <w:sz w:val="21"/>
                    <w:szCs w:val="21"/>
                  </w:rPr>
                  <w:t>☐</w:t>
                </w:r>
              </w:sdtContent>
            </w:sdt>
            <w:r w:rsidR="005F2C26" w:rsidRPr="001F5BA1">
              <w:rPr>
                <w:rFonts w:ascii="Arial Unicode MS" w:hAnsi="Arial Unicode MS"/>
                <w:b/>
                <w:noProof/>
                <w:sz w:val="21"/>
              </w:rPr>
              <w:t>Förlängning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 xml:space="preserve"> </w:t>
            </w:r>
          </w:p>
        </w:tc>
      </w:tr>
      <w:tr w:rsidR="0019532E" w:rsidRPr="001F5BA1"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1F5BA1"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1F5BA1" w:rsidRDefault="00D233FD">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noProof/>
                    <w:sz w:val="21"/>
                    <w:szCs w:val="21"/>
                  </w:rPr>
                  <w:t>☐</w:t>
                </w:r>
              </w:sdtContent>
            </w:sdt>
            <w:r w:rsidR="005F2C26" w:rsidRPr="001F5BA1">
              <w:rPr>
                <w:rFonts w:ascii="Arial Unicode MS" w:hAnsi="Arial Unicode MS"/>
                <w:b/>
                <w:noProof/>
                <w:sz w:val="21"/>
              </w:rPr>
              <w:t>Ändring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1F5BA1" w:rsidRDefault="0019532E">
            <w:pPr>
              <w:rPr>
                <w:rFonts w:ascii="Arial Unicode MS" w:hAnsi="Arial Unicode MS"/>
                <w:b/>
                <w:noProof/>
                <w:sz w:val="21"/>
                <w:szCs w:val="21"/>
              </w:rPr>
            </w:pPr>
            <w:r w:rsidRPr="001F5BA1">
              <w:rPr>
                <w:rFonts w:ascii="Arial Unicode MS" w:hAnsi="Arial Unicode MS"/>
                <w:b/>
                <w:noProof/>
                <w:sz w:val="21"/>
              </w:rPr>
              <w:t xml:space="preserve"> </w:t>
            </w:r>
          </w:p>
        </w:tc>
      </w:tr>
      <w:tr w:rsidR="0019532E" w:rsidRPr="001F5BA1"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Varaktighet(</w:t>
            </w:r>
            <w:r w:rsidRPr="001F5BA1">
              <w:rPr>
                <w:rStyle w:val="FootnoteReference"/>
                <w:rFonts w:ascii="Arial Unicode MS" w:hAnsi="Arial Unicode MS" w:cs="Arial"/>
                <w:b/>
                <w:bCs/>
                <w:noProof/>
                <w:sz w:val="21"/>
                <w:szCs w:val="21"/>
              </w:rPr>
              <w:footnoteReference w:id="3"/>
            </w:r>
            <w:r w:rsidRPr="001F5BA1">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Stödordning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31F3AAC3" w:rsidR="0019532E" w:rsidRPr="001F5BA1" w:rsidRDefault="001F5BA1">
            <w:pPr>
              <w:spacing w:before="0"/>
              <w:jc w:val="left"/>
              <w:rPr>
                <w:rFonts w:ascii="Arial Unicode MS" w:hAnsi="Arial Unicode MS" w:cs="Arial"/>
                <w:noProof/>
                <w:sz w:val="21"/>
                <w:szCs w:val="21"/>
              </w:rPr>
            </w:pPr>
            <w:r>
              <w:rPr>
                <w:rFonts w:ascii="Arial Unicode MS" w:hAnsi="Arial Unicode MS"/>
                <w:noProof/>
                <w:sz w:val="21"/>
              </w:rPr>
              <w:t>dd/mm/åååå</w:t>
            </w:r>
            <w:r w:rsidR="0019532E" w:rsidRPr="001F5BA1">
              <w:rPr>
                <w:rFonts w:ascii="Arial Unicode MS" w:hAnsi="Arial Unicode MS"/>
                <w:noProof/>
                <w:sz w:val="21"/>
              </w:rPr>
              <w:t>–dd/mm/åååå</w:t>
            </w:r>
          </w:p>
        </w:tc>
      </w:tr>
      <w:tr w:rsidR="0019532E" w:rsidRPr="001F5BA1"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Datum för beviljande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Stöd för särskilda ändamål</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1F5BA1" w:rsidRDefault="0019532E">
            <w:pPr>
              <w:spacing w:before="0"/>
              <w:jc w:val="left"/>
              <w:rPr>
                <w:rFonts w:ascii="Arial Unicode MS" w:hAnsi="Arial Unicode MS" w:cs="Arial"/>
                <w:noProof/>
                <w:sz w:val="21"/>
                <w:szCs w:val="21"/>
              </w:rPr>
            </w:pPr>
            <w:r w:rsidRPr="001F5BA1">
              <w:rPr>
                <w:rFonts w:ascii="Arial Unicode MS" w:hAnsi="Arial Unicode MS"/>
                <w:noProof/>
                <w:sz w:val="21"/>
              </w:rPr>
              <w:t>dd/mm/åååå</w:t>
            </w:r>
          </w:p>
        </w:tc>
      </w:tr>
      <w:tr w:rsidR="0019532E" w:rsidRPr="001F5BA1"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Berörd(a) ekonomisk(a) sektor(er)</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Alla stödberättigade ekonomiska sektorer</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1F5BA1" w:rsidRDefault="0019532E">
            <w:pPr>
              <w:spacing w:before="0"/>
              <w:jc w:val="left"/>
              <w:rPr>
                <w:rFonts w:ascii="Arial Unicode MS" w:hAnsi="Arial Unicode MS" w:cs="Arial"/>
                <w:noProof/>
                <w:sz w:val="21"/>
                <w:szCs w:val="21"/>
              </w:rPr>
            </w:pPr>
            <w:r w:rsidRPr="001F5BA1">
              <w:rPr>
                <w:rFonts w:ascii="Arial Unicode MS" w:hAnsi="Arial Unicode MS"/>
                <w:noProof/>
                <w:sz w:val="21"/>
              </w:rPr>
              <w:t xml:space="preserve"> </w:t>
            </w:r>
          </w:p>
        </w:tc>
      </w:tr>
      <w:tr w:rsidR="0019532E" w:rsidRPr="001F5BA1"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1F5BA1"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Begränsat till vissa sektorer: Precisera på Nace-gruppnivå(</w:t>
            </w:r>
            <w:r w:rsidR="005F2C26" w:rsidRPr="001F5BA1">
              <w:rPr>
                <w:rStyle w:val="FootnoteReference"/>
                <w:rFonts w:ascii="Arial Unicode MS" w:hAnsi="Arial Unicode MS" w:cs="Arial"/>
                <w:b/>
                <w:bCs/>
                <w:noProof/>
                <w:sz w:val="21"/>
                <w:szCs w:val="21"/>
              </w:rPr>
              <w:footnoteReference w:id="4"/>
            </w:r>
            <w:r w:rsidR="005F2C26" w:rsidRPr="001F5BA1">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1F5BA1" w:rsidRDefault="0019532E">
            <w:pPr>
              <w:spacing w:before="0"/>
              <w:jc w:val="left"/>
              <w:rPr>
                <w:rFonts w:ascii="Arial Unicode MS" w:hAnsi="Arial Unicode MS" w:cs="Arial"/>
                <w:noProof/>
                <w:sz w:val="21"/>
                <w:szCs w:val="21"/>
              </w:rPr>
            </w:pPr>
            <w:r w:rsidRPr="001F5BA1">
              <w:rPr>
                <w:rFonts w:ascii="Arial Unicode MS" w:hAnsi="Arial Unicode MS"/>
                <w:noProof/>
                <w:sz w:val="21"/>
              </w:rPr>
              <w:t xml:space="preserve"> </w:t>
            </w:r>
          </w:p>
        </w:tc>
      </w:tr>
      <w:tr w:rsidR="0019532E" w:rsidRPr="001F5BA1"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Typ av stödmottagare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Mikroföretag samt små och medelstora företag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1F5BA1" w:rsidRDefault="0019532E">
            <w:pPr>
              <w:spacing w:before="0"/>
              <w:jc w:val="left"/>
              <w:rPr>
                <w:rFonts w:ascii="Arial Unicode MS" w:hAnsi="Arial Unicode MS" w:cs="Arial"/>
                <w:noProof/>
                <w:sz w:val="21"/>
                <w:szCs w:val="21"/>
              </w:rPr>
            </w:pPr>
            <w:r w:rsidRPr="001F5BA1">
              <w:rPr>
                <w:rFonts w:ascii="Arial Unicode MS" w:hAnsi="Arial Unicode MS"/>
                <w:noProof/>
                <w:sz w:val="21"/>
              </w:rPr>
              <w:t xml:space="preserve"> </w:t>
            </w:r>
          </w:p>
        </w:tc>
      </w:tr>
      <w:tr w:rsidR="0019532E" w:rsidRPr="001F5BA1"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1F5BA1"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Stora företag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1F5BA1" w:rsidRDefault="0019532E">
            <w:pPr>
              <w:spacing w:before="0"/>
              <w:jc w:val="left"/>
              <w:rPr>
                <w:rFonts w:ascii="Arial Unicode MS" w:hAnsi="Arial Unicode MS" w:cs="Arial"/>
                <w:noProof/>
                <w:sz w:val="21"/>
                <w:szCs w:val="21"/>
              </w:rPr>
            </w:pPr>
            <w:r w:rsidRPr="001F5BA1">
              <w:rPr>
                <w:rFonts w:ascii="Arial Unicode MS" w:hAnsi="Arial Unicode MS"/>
                <w:noProof/>
                <w:sz w:val="21"/>
              </w:rPr>
              <w:t xml:space="preserve"> </w:t>
            </w:r>
          </w:p>
        </w:tc>
      </w:tr>
      <w:tr w:rsidR="0019532E" w:rsidRPr="001F5BA1"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Budget</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Årligt totalbelopp för den budget som planeras enligt stödordningen(</w:t>
            </w:r>
            <w:r w:rsidRPr="001F5BA1">
              <w:rPr>
                <w:rStyle w:val="FootnoteReference"/>
                <w:rFonts w:ascii="Arial Unicode MS" w:hAnsi="Arial Unicode MS" w:cs="Arial"/>
                <w:b/>
                <w:bCs/>
                <w:noProof/>
                <w:sz w:val="21"/>
                <w:szCs w:val="21"/>
              </w:rPr>
              <w:footnoteReference w:id="5"/>
            </w:r>
            <w:r w:rsidRPr="001F5BA1">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Nationell valuta ………………….. (avrundade belopp)</w:t>
            </w:r>
          </w:p>
        </w:tc>
      </w:tr>
      <w:tr w:rsidR="0019532E" w:rsidRPr="001F5BA1"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1F5BA1"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Sammanlagt belopp av stöd för särskilda ändamål som beviljats företaget(</w:t>
            </w:r>
            <w:r w:rsidRPr="001F5BA1">
              <w:rPr>
                <w:rStyle w:val="FootnoteReference"/>
                <w:rFonts w:ascii="Arial Unicode MS" w:hAnsi="Arial Unicode MS" w:cs="Arial"/>
                <w:b/>
                <w:bCs/>
                <w:noProof/>
                <w:sz w:val="21"/>
                <w:szCs w:val="21"/>
              </w:rPr>
              <w:footnoteReference w:id="6"/>
            </w:r>
            <w:r w:rsidRPr="001F5BA1">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Nationell valuta ………………….. (avrundade belopp)</w:t>
            </w:r>
          </w:p>
        </w:tc>
      </w:tr>
      <w:tr w:rsidR="0019532E" w:rsidRPr="001F5BA1"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1F5BA1"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För garantier(</w:t>
            </w:r>
            <w:r w:rsidR="005F2C26" w:rsidRPr="001F5BA1">
              <w:rPr>
                <w:rStyle w:val="FootnoteReference"/>
                <w:rFonts w:ascii="Arial Unicode MS" w:hAnsi="Arial Unicode MS" w:cs="Arial"/>
                <w:b/>
                <w:bCs/>
                <w:noProof/>
                <w:sz w:val="21"/>
                <w:szCs w:val="21"/>
              </w:rPr>
              <w:footnoteReference w:id="7"/>
            </w:r>
            <w:r w:rsidR="005F2C26" w:rsidRPr="001F5BA1">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Nationell valuta ………………….. (avrundade belopp)</w:t>
            </w:r>
          </w:p>
        </w:tc>
      </w:tr>
      <w:tr w:rsidR="0019532E" w:rsidRPr="001F5BA1"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Stödinstrument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Bidrag/Räntesubvention</w:t>
            </w:r>
          </w:p>
        </w:tc>
      </w:tr>
      <w:tr w:rsidR="00CE32A7" w:rsidRPr="001F5BA1"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1F5BA1"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Subventionerade tjänster</w:t>
            </w:r>
          </w:p>
        </w:tc>
      </w:tr>
      <w:tr w:rsidR="0019532E" w:rsidRPr="001F5BA1"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1F5BA1"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Lån/Återbetalningspliktiga förskott</w:t>
            </w:r>
          </w:p>
        </w:tc>
      </w:tr>
      <w:tr w:rsidR="0019532E" w:rsidRPr="001F5BA1"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1F5BA1"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Garanti (i förekommande fall med en hänvisning till kommissionens beslut(</w:t>
            </w:r>
            <w:r w:rsidR="005F2C26" w:rsidRPr="001F5BA1">
              <w:rPr>
                <w:rStyle w:val="FootnoteReference"/>
                <w:rFonts w:ascii="Arial Unicode MS" w:hAnsi="Arial Unicode MS" w:cs="Arial"/>
                <w:b/>
                <w:bCs/>
                <w:noProof/>
                <w:sz w:val="21"/>
                <w:szCs w:val="21"/>
              </w:rPr>
              <w:footnoteReference w:id="8"/>
            </w:r>
            <w:r w:rsidR="005F2C26" w:rsidRPr="001F5BA1">
              <w:rPr>
                <w:rFonts w:ascii="Arial Unicode MS" w:hAnsi="Arial Unicode MS"/>
                <w:b/>
                <w:noProof/>
                <w:sz w:val="21"/>
              </w:rPr>
              <w:t>) )</w:t>
            </w:r>
          </w:p>
        </w:tc>
      </w:tr>
      <w:tr w:rsidR="0019532E" w:rsidRPr="001F5BA1"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1F5BA1"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Skatteförmån eller skattebefrielse</w:t>
            </w:r>
          </w:p>
        </w:tc>
      </w:tr>
      <w:tr w:rsidR="0019532E" w:rsidRPr="001F5BA1"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1F5BA1"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 xml:space="preserve"> </w:t>
            </w:r>
          </w:p>
        </w:tc>
      </w:tr>
      <w:tr w:rsidR="0019532E" w:rsidRPr="001F5BA1"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1F5BA1"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Annat (precisera)</w:t>
            </w:r>
          </w:p>
          <w:p w14:paraId="2887DC10" w14:textId="77777777" w:rsidR="0019532E" w:rsidRPr="001F5BA1" w:rsidRDefault="0019532E">
            <w:pPr>
              <w:spacing w:before="0"/>
              <w:jc w:val="left"/>
              <w:rPr>
                <w:rFonts w:ascii="Arial Unicode MS" w:hAnsi="Arial Unicode MS" w:cs="Arial"/>
                <w:b/>
                <w:bCs/>
                <w:noProof/>
                <w:sz w:val="21"/>
                <w:szCs w:val="21"/>
              </w:rPr>
            </w:pPr>
          </w:p>
          <w:p w14:paraId="7F1210AC" w14:textId="77777777" w:rsidR="0019532E" w:rsidRPr="001F5BA1" w:rsidRDefault="0019532E">
            <w:pPr>
              <w:spacing w:before="0"/>
              <w:jc w:val="left"/>
              <w:rPr>
                <w:rFonts w:ascii="Arial Unicode MS" w:hAnsi="Arial Unicode MS" w:cs="Arial"/>
                <w:b/>
                <w:bCs/>
                <w:noProof/>
                <w:sz w:val="21"/>
                <w:szCs w:val="21"/>
              </w:rPr>
            </w:pPr>
            <w:r w:rsidRPr="001F5BA1">
              <w:rPr>
                <w:rFonts w:ascii="Arial Unicode MS" w:hAnsi="Arial Unicode MS"/>
                <w:b/>
                <w:noProof/>
                <w:sz w:val="21"/>
              </w:rPr>
              <w:t>Ange i vilken av nedanstående bredare kategori stödet passar bäst med hänsyn till dess verkningar/funktion:</w:t>
            </w:r>
          </w:p>
          <w:p w14:paraId="7316A5E5" w14:textId="4ADB0EB2"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Bidrag</w:t>
            </w:r>
          </w:p>
          <w:p w14:paraId="46E73582" w14:textId="68CE992C"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 xml:space="preserve"> Subventionerade tjänster</w:t>
            </w:r>
            <w:r w:rsidR="001F5BA1">
              <w:rPr>
                <w:rFonts w:ascii="Arial Unicode MS" w:hAnsi="Arial Unicode MS"/>
                <w:b/>
                <w:noProof/>
                <w:sz w:val="21"/>
              </w:rPr>
              <w:t xml:space="preserve"> </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 xml:space="preserve"> Lån</w:t>
            </w:r>
          </w:p>
          <w:p w14:paraId="2EFC84AF"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Garanti</w:t>
            </w:r>
          </w:p>
          <w:p w14:paraId="287AF9DA" w14:textId="77777777" w:rsidR="0019532E" w:rsidRPr="001F5BA1" w:rsidRDefault="00D233FD">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5F2C26" w:rsidRPr="001F5BA1">
                  <w:rPr>
                    <w:rFonts w:ascii="Segoe UI Symbol" w:eastAsia="MS Gothic" w:hAnsi="Segoe UI Symbol" w:cs="Segoe UI Symbol"/>
                    <w:b/>
                    <w:bCs/>
                    <w:noProof/>
                    <w:sz w:val="21"/>
                    <w:szCs w:val="21"/>
                  </w:rPr>
                  <w:t>☐</w:t>
                </w:r>
              </w:sdtContent>
            </w:sdt>
            <w:r w:rsidR="005F2C26" w:rsidRPr="001F5BA1">
              <w:rPr>
                <w:rFonts w:ascii="Arial Unicode MS" w:hAnsi="Arial Unicode MS"/>
                <w:b/>
                <w:noProof/>
                <w:sz w:val="21"/>
              </w:rPr>
              <w:t>Skatteförmån</w:t>
            </w:r>
          </w:p>
        </w:tc>
      </w:tr>
      <w:tr w:rsidR="003F1708" w:rsidRPr="001F5BA1"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1F5BA1" w:rsidRDefault="003F1708" w:rsidP="003F1708">
            <w:pPr>
              <w:spacing w:before="0"/>
              <w:jc w:val="left"/>
              <w:rPr>
                <w:rFonts w:ascii="Arial Unicode MS" w:hAnsi="Arial Unicode MS" w:cs="Arial"/>
                <w:b/>
                <w:bCs/>
                <w:noProof/>
                <w:sz w:val="21"/>
                <w:szCs w:val="21"/>
              </w:rPr>
            </w:pPr>
            <w:r w:rsidRPr="001F5BA1">
              <w:rPr>
                <w:rFonts w:ascii="Arial Unicode MS" w:hAnsi="Arial Unicode MS"/>
                <w:b/>
                <w:noProof/>
                <w:sz w:val="21"/>
              </w:rPr>
              <w:t>Vid medfinansiering från EU-fond(er)</w:t>
            </w:r>
          </w:p>
          <w:p w14:paraId="0EA08BB4" w14:textId="35DC08DE" w:rsidR="003F1708" w:rsidRPr="001F5BA1"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0211A9" w:rsidRDefault="003F1708" w:rsidP="003F1708">
            <w:pPr>
              <w:spacing w:before="0"/>
              <w:jc w:val="left"/>
              <w:rPr>
                <w:rFonts w:ascii="Arial Unicode MS" w:hAnsi="Arial Unicode MS" w:cs="Arial"/>
                <w:b/>
                <w:bCs/>
                <w:noProof/>
                <w:sz w:val="21"/>
                <w:szCs w:val="21"/>
                <w:lang w:val="da-DK"/>
              </w:rPr>
            </w:pPr>
            <w:r w:rsidRPr="000211A9">
              <w:rPr>
                <w:rFonts w:ascii="Arial Unicode MS" w:hAnsi="Arial Unicode MS"/>
                <w:b/>
                <w:noProof/>
                <w:sz w:val="21"/>
                <w:lang w:val="da-DK"/>
              </w:rPr>
              <w:t>Namn på EU-fond(er):</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1F5BA1" w:rsidRDefault="003F1708" w:rsidP="003F1708">
            <w:pPr>
              <w:spacing w:before="0"/>
              <w:jc w:val="left"/>
              <w:rPr>
                <w:rFonts w:ascii="Arial Unicode MS" w:hAnsi="Arial Unicode MS" w:cs="Arial"/>
                <w:b/>
                <w:bCs/>
                <w:noProof/>
                <w:sz w:val="21"/>
                <w:szCs w:val="21"/>
              </w:rPr>
            </w:pPr>
            <w:r w:rsidRPr="001F5BA1">
              <w:rPr>
                <w:rFonts w:ascii="Arial Unicode MS" w:hAnsi="Arial Unicode MS"/>
                <w:b/>
                <w:noProof/>
                <w:sz w:val="21"/>
              </w:rPr>
              <w:t>Finansieringsbelopp (per EU-fond)</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1F5BA1" w:rsidRDefault="003F1708" w:rsidP="003F1708">
            <w:pPr>
              <w:spacing w:before="0"/>
              <w:jc w:val="left"/>
              <w:rPr>
                <w:rFonts w:ascii="Arial Unicode MS" w:hAnsi="Arial Unicode MS" w:cs="Arial"/>
                <w:b/>
                <w:bCs/>
                <w:noProof/>
                <w:sz w:val="21"/>
                <w:szCs w:val="21"/>
              </w:rPr>
            </w:pPr>
            <w:r w:rsidRPr="001F5BA1">
              <w:rPr>
                <w:rFonts w:ascii="Arial Unicode MS" w:hAnsi="Arial Unicode MS"/>
                <w:b/>
                <w:noProof/>
                <w:sz w:val="21"/>
              </w:rPr>
              <w:t>Nationell valuta (avrundade belopp)</w:t>
            </w:r>
          </w:p>
        </w:tc>
      </w:tr>
      <w:tr w:rsidR="003F1708" w:rsidRPr="001F5BA1"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1F5BA1"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1F5BA1"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1F5BA1"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1F5BA1" w:rsidDel="003F1708" w:rsidRDefault="003F1708" w:rsidP="003F1708">
            <w:pPr>
              <w:spacing w:before="0"/>
              <w:jc w:val="left"/>
              <w:rPr>
                <w:b/>
                <w:bCs/>
                <w:noProof/>
                <w:sz w:val="17"/>
                <w:szCs w:val="17"/>
              </w:rPr>
            </w:pPr>
          </w:p>
        </w:tc>
      </w:tr>
    </w:tbl>
    <w:p w14:paraId="7DC87BF7" w14:textId="55B05021" w:rsidR="0019532E" w:rsidRPr="001F5BA1"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1F5BA1" w:rsidRDefault="00FC17FF" w:rsidP="00FC17FF">
      <w:pPr>
        <w:spacing w:after="480"/>
        <w:jc w:val="center"/>
        <w:rPr>
          <w:b/>
          <w:bCs/>
          <w:noProof/>
          <w:szCs w:val="24"/>
        </w:rPr>
      </w:pPr>
      <w:r w:rsidRPr="001F5BA1">
        <w:rPr>
          <w:b/>
          <w:noProof/>
        </w:rPr>
        <w:t>DEL II</w:t>
      </w:r>
    </w:p>
    <w:p w14:paraId="5AF63414" w14:textId="77777777" w:rsidR="00FC17FF" w:rsidRPr="001F5BA1" w:rsidRDefault="00FC17FF" w:rsidP="00FC17FF">
      <w:pPr>
        <w:spacing w:after="480"/>
        <w:jc w:val="center"/>
        <w:rPr>
          <w:b/>
          <w:bCs/>
          <w:smallCaps/>
          <w:noProof/>
          <w:szCs w:val="24"/>
        </w:rPr>
      </w:pPr>
      <w:r w:rsidRPr="001F5BA1">
        <w:rPr>
          <w:b/>
          <w:noProof/>
        </w:rPr>
        <w:t>Informationen ska lämnas genom kommissionens elektroniska anmälningssystem enligt vad som föreskrivs i artikel 11</w:t>
      </w:r>
    </w:p>
    <w:p w14:paraId="3238B790" w14:textId="77777777" w:rsidR="00FC17FF" w:rsidRPr="001F5BA1" w:rsidRDefault="00FC17FF" w:rsidP="00FC17FF">
      <w:pPr>
        <w:spacing w:after="0"/>
        <w:rPr>
          <w:noProof/>
          <w:szCs w:val="24"/>
        </w:rPr>
      </w:pPr>
      <w:r w:rsidRPr="001F5BA1">
        <w:rPr>
          <w:noProof/>
        </w:rPr>
        <w:t>Ange enligt vilken bestämmelse i gruppundantagsförordningen för fiskerisektorn stödåtgärden genomförs.</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1F5BA1" w14:paraId="693AD275" w14:textId="77777777" w:rsidTr="00FC17FF">
        <w:trPr>
          <w:trHeight w:val="445"/>
        </w:trPr>
        <w:tc>
          <w:tcPr>
            <w:tcW w:w="8988" w:type="dxa"/>
            <w:gridSpan w:val="5"/>
          </w:tcPr>
          <w:p w14:paraId="44E6E70E" w14:textId="002F4CC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001F5BA1">
              <w:rPr>
                <w:noProof/>
              </w:rPr>
              <w:t xml:space="preserve"> </w:t>
            </w:r>
            <w:r w:rsidRPr="001F5BA1">
              <w:rPr>
                <w:noProof/>
              </w:rPr>
              <w:t>Stöd för innovation inom fisket (artikel 15)</w:t>
            </w:r>
          </w:p>
        </w:tc>
      </w:tr>
      <w:tr w:rsidR="00FC17FF" w:rsidRPr="001F5BA1" w14:paraId="37A27BAF" w14:textId="77777777" w:rsidTr="00FC17FF">
        <w:trPr>
          <w:trHeight w:val="469"/>
        </w:trPr>
        <w:tc>
          <w:tcPr>
            <w:tcW w:w="8988" w:type="dxa"/>
            <w:gridSpan w:val="5"/>
          </w:tcPr>
          <w:p w14:paraId="10A8D28F" w14:textId="77777777" w:rsidR="00FC17FF" w:rsidRPr="001F5BA1" w:rsidRDefault="00FC17FF" w:rsidP="00FC17FF">
            <w:pPr>
              <w:spacing w:after="0"/>
              <w:rPr>
                <w:bCs/>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Stöd för rådgivningstjänster (artikel 16)</w:t>
            </w:r>
          </w:p>
        </w:tc>
      </w:tr>
      <w:tr w:rsidR="00FC17FF" w:rsidRPr="001F5BA1" w14:paraId="2EAD20BB" w14:textId="77777777" w:rsidTr="00FC17FF">
        <w:trPr>
          <w:trHeight w:val="481"/>
        </w:trPr>
        <w:tc>
          <w:tcPr>
            <w:tcW w:w="8988" w:type="dxa"/>
            <w:gridSpan w:val="5"/>
          </w:tcPr>
          <w:p w14:paraId="6F6FCA34" w14:textId="49543CE8" w:rsidR="00FC17FF" w:rsidRPr="001F5BA1" w:rsidRDefault="00FC17FF" w:rsidP="00895161">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Stöd för partnerskap mellan forskare och fiskare (artikel 17)</w:t>
            </w:r>
          </w:p>
        </w:tc>
      </w:tr>
      <w:tr w:rsidR="00895161" w:rsidRPr="001F5BA1" w14:paraId="2C2FC7AC" w14:textId="77777777" w:rsidTr="00FC17FF">
        <w:trPr>
          <w:trHeight w:val="589"/>
        </w:trPr>
        <w:tc>
          <w:tcPr>
            <w:tcW w:w="8988" w:type="dxa"/>
            <w:gridSpan w:val="5"/>
          </w:tcPr>
          <w:p w14:paraId="51F7D83F" w14:textId="1DD7DF05" w:rsidR="00895161" w:rsidRPr="001F5BA1" w:rsidRDefault="00895161" w:rsidP="00842632">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Stöd för att främja humankapital och social dialog (artikel 18)</w:t>
            </w:r>
          </w:p>
        </w:tc>
      </w:tr>
      <w:tr w:rsidR="00FC17FF" w:rsidRPr="001F5BA1" w14:paraId="5FA32C7F" w14:textId="77777777" w:rsidTr="00FC17FF">
        <w:trPr>
          <w:trHeight w:val="589"/>
        </w:trPr>
        <w:tc>
          <w:tcPr>
            <w:tcW w:w="8988" w:type="dxa"/>
            <w:gridSpan w:val="5"/>
          </w:tcPr>
          <w:p w14:paraId="42CD78E1"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underlätta diversifiering och nya former av inkomst</w:t>
            </w:r>
            <w:r w:rsidRPr="001F5BA1">
              <w:rPr>
                <w:noProof/>
              </w:rPr>
              <w:t xml:space="preserve"> (artikel 19)</w:t>
            </w:r>
          </w:p>
        </w:tc>
      </w:tr>
      <w:tr w:rsidR="00FC17FF" w:rsidRPr="001F5BA1" w14:paraId="18C897D1" w14:textId="77777777" w:rsidTr="00FC17FF">
        <w:trPr>
          <w:trHeight w:val="481"/>
        </w:trPr>
        <w:tc>
          <w:tcPr>
            <w:tcW w:w="8988" w:type="dxa"/>
            <w:gridSpan w:val="5"/>
          </w:tcPr>
          <w:p w14:paraId="11EEFF66"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till det första förvärvet av ett fiskefartyg</w:t>
            </w:r>
            <w:r w:rsidRPr="001F5BA1">
              <w:rPr>
                <w:noProof/>
              </w:rPr>
              <w:t xml:space="preserve"> (artikel 20)</w:t>
            </w:r>
          </w:p>
        </w:tc>
      </w:tr>
      <w:tr w:rsidR="00FC17FF" w:rsidRPr="001F5BA1" w14:paraId="39449BEB" w14:textId="77777777" w:rsidTr="00FC17FF">
        <w:trPr>
          <w:trHeight w:val="469"/>
        </w:trPr>
        <w:tc>
          <w:tcPr>
            <w:tcW w:w="8988" w:type="dxa"/>
            <w:gridSpan w:val="5"/>
          </w:tcPr>
          <w:p w14:paraId="6274E366"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förbättra hälsa, säkerhet och arbetsvillkor för fiskare</w:t>
            </w:r>
            <w:r w:rsidRPr="001F5BA1">
              <w:rPr>
                <w:noProof/>
              </w:rPr>
              <w:t xml:space="preserve"> (artikel 21)</w:t>
            </w:r>
          </w:p>
        </w:tc>
      </w:tr>
      <w:tr w:rsidR="00FC17FF" w:rsidRPr="001F5BA1" w14:paraId="5E979DB9" w14:textId="77777777" w:rsidTr="00FC17FF">
        <w:trPr>
          <w:trHeight w:val="481"/>
        </w:trPr>
        <w:tc>
          <w:tcPr>
            <w:tcW w:w="8988" w:type="dxa"/>
            <w:gridSpan w:val="5"/>
          </w:tcPr>
          <w:p w14:paraId="181E5460" w14:textId="25F2BF92"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Stöd för betalning av försäkringspremier och för ekonomiska bidrag till gemensamma fonder (artikel 22)</w:t>
            </w:r>
          </w:p>
        </w:tc>
      </w:tr>
      <w:tr w:rsidR="00FC17FF" w:rsidRPr="001F5BA1" w14:paraId="5557CC9E" w14:textId="77777777" w:rsidTr="00FC17FF">
        <w:trPr>
          <w:trHeight w:val="469"/>
        </w:trPr>
        <w:tc>
          <w:tcPr>
            <w:tcW w:w="8988" w:type="dxa"/>
            <w:gridSpan w:val="5"/>
          </w:tcPr>
          <w:p w14:paraId="798A9A8B"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till system för tilldelning av fiskemöjligheter</w:t>
            </w:r>
            <w:r w:rsidRPr="001F5BA1">
              <w:rPr>
                <w:noProof/>
              </w:rPr>
              <w:t xml:space="preserve"> (artikel 23)</w:t>
            </w:r>
          </w:p>
        </w:tc>
      </w:tr>
      <w:tr w:rsidR="00FC17FF" w:rsidRPr="001F5BA1" w14:paraId="6BBF2385" w14:textId="77777777" w:rsidTr="00FC17FF">
        <w:trPr>
          <w:trHeight w:val="721"/>
        </w:trPr>
        <w:tc>
          <w:tcPr>
            <w:tcW w:w="8988" w:type="dxa"/>
            <w:gridSpan w:val="5"/>
          </w:tcPr>
          <w:p w14:paraId="2451A8A2"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begränsa fiskets inverkan på miljön och anpassa fisket efter artskyddet</w:t>
            </w:r>
            <w:r w:rsidRPr="001F5BA1">
              <w:rPr>
                <w:noProof/>
              </w:rPr>
              <w:t xml:space="preserve"> (artikel 24)</w:t>
            </w:r>
          </w:p>
        </w:tc>
      </w:tr>
      <w:tr w:rsidR="00FC17FF" w:rsidRPr="001F5BA1" w14:paraId="280AA278" w14:textId="77777777" w:rsidTr="00FC17FF">
        <w:trPr>
          <w:trHeight w:val="709"/>
        </w:trPr>
        <w:tc>
          <w:tcPr>
            <w:tcW w:w="8988" w:type="dxa"/>
            <w:gridSpan w:val="5"/>
          </w:tcPr>
          <w:p w14:paraId="1EC288E6"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Stöd för innovation kopplad till bevarandet av de marina biologiska resurserna (artikel 25)</w:t>
            </w:r>
          </w:p>
        </w:tc>
      </w:tr>
      <w:tr w:rsidR="00FC17FF" w:rsidRPr="001F5BA1" w14:paraId="2C501BA2" w14:textId="77777777" w:rsidTr="00FC17FF">
        <w:trPr>
          <w:trHeight w:val="709"/>
        </w:trPr>
        <w:tc>
          <w:tcPr>
            <w:tcW w:w="8988" w:type="dxa"/>
            <w:gridSpan w:val="5"/>
          </w:tcPr>
          <w:p w14:paraId="3B0790F0"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skydd och återställande av den marina biologiska mångfalden och av ekosystemen och för ordningar inom ramen för hållbart fiske</w:t>
            </w:r>
            <w:r w:rsidRPr="001F5BA1">
              <w:rPr>
                <w:noProof/>
              </w:rPr>
              <w:t xml:space="preserve"> (artikel 26)</w:t>
            </w:r>
          </w:p>
        </w:tc>
      </w:tr>
      <w:tr w:rsidR="00FC17FF" w:rsidRPr="001F5BA1" w14:paraId="0C8BDE3F" w14:textId="77777777" w:rsidTr="00FC17FF">
        <w:trPr>
          <w:trHeight w:val="745"/>
        </w:trPr>
        <w:tc>
          <w:tcPr>
            <w:tcW w:w="8988" w:type="dxa"/>
            <w:gridSpan w:val="5"/>
          </w:tcPr>
          <w:p w14:paraId="1840E487"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förbättra energieffektivitet och för att lindra effekterna av klimatförändringarna</w:t>
            </w:r>
            <w:r w:rsidRPr="001F5BA1">
              <w:rPr>
                <w:noProof/>
              </w:rPr>
              <w:t xml:space="preserve"> (artikel 27)</w:t>
            </w:r>
          </w:p>
        </w:tc>
      </w:tr>
      <w:tr w:rsidR="00FC17FF" w:rsidRPr="001F5BA1" w14:paraId="7A2C83D7" w14:textId="77777777" w:rsidTr="00FC17FF">
        <w:trPr>
          <w:trHeight w:val="553"/>
        </w:trPr>
        <w:tc>
          <w:tcPr>
            <w:tcW w:w="8988" w:type="dxa"/>
            <w:gridSpan w:val="5"/>
          </w:tcPr>
          <w:p w14:paraId="6CD9CA23"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mervärde, produktkvalitet och användning av oönskade fångster</w:t>
            </w:r>
            <w:r w:rsidRPr="001F5BA1">
              <w:rPr>
                <w:noProof/>
              </w:rPr>
              <w:t xml:space="preserve"> (artikel 28)</w:t>
            </w:r>
          </w:p>
        </w:tc>
      </w:tr>
      <w:tr w:rsidR="00FC17FF" w:rsidRPr="001F5BA1" w14:paraId="394BC6C1" w14:textId="77777777" w:rsidTr="00FC17FF">
        <w:trPr>
          <w:trHeight w:val="553"/>
        </w:trPr>
        <w:tc>
          <w:tcPr>
            <w:tcW w:w="8988" w:type="dxa"/>
            <w:gridSpan w:val="5"/>
          </w:tcPr>
          <w:p w14:paraId="18CADB4D"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till fiskehamnar, landningsplatser, auktionshallar och skyddshamnar</w:t>
            </w:r>
            <w:r w:rsidRPr="001F5BA1">
              <w:rPr>
                <w:noProof/>
              </w:rPr>
              <w:t xml:space="preserve"> (artikel 29)</w:t>
            </w:r>
          </w:p>
        </w:tc>
      </w:tr>
      <w:tr w:rsidR="00FC17FF" w:rsidRPr="001F5BA1" w14:paraId="542E8A7A" w14:textId="77777777" w:rsidTr="00FC17FF">
        <w:trPr>
          <w:trHeight w:val="433"/>
        </w:trPr>
        <w:tc>
          <w:tcPr>
            <w:tcW w:w="8988" w:type="dxa"/>
            <w:gridSpan w:val="5"/>
          </w:tcPr>
          <w:p w14:paraId="2B14B348"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inlandsfiske och den akvatiska faunan och floran i inlandet</w:t>
            </w:r>
            <w:r w:rsidRPr="001F5BA1">
              <w:rPr>
                <w:noProof/>
              </w:rPr>
              <w:t xml:space="preserve"> (artikel 30)</w:t>
            </w:r>
          </w:p>
        </w:tc>
      </w:tr>
      <w:tr w:rsidR="00FC17FF" w:rsidRPr="001F5BA1" w14:paraId="7E988D8A" w14:textId="77777777" w:rsidTr="00FC17FF">
        <w:trPr>
          <w:trHeight w:val="553"/>
        </w:trPr>
        <w:tc>
          <w:tcPr>
            <w:tcW w:w="8988" w:type="dxa"/>
            <w:gridSpan w:val="5"/>
          </w:tcPr>
          <w:p w14:paraId="18834270"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innovation inom vattenbruket</w:t>
            </w:r>
            <w:r w:rsidRPr="001F5BA1">
              <w:rPr>
                <w:noProof/>
              </w:rPr>
              <w:t xml:space="preserve"> (artikel 32)</w:t>
            </w:r>
          </w:p>
        </w:tc>
      </w:tr>
      <w:tr w:rsidR="00FC17FF" w:rsidRPr="001F5BA1" w14:paraId="2BED63E4" w14:textId="77777777" w:rsidTr="00FC17FF">
        <w:trPr>
          <w:trHeight w:val="445"/>
        </w:trPr>
        <w:tc>
          <w:tcPr>
            <w:tcW w:w="8988" w:type="dxa"/>
            <w:gridSpan w:val="5"/>
          </w:tcPr>
          <w:p w14:paraId="3D7AD295"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till investeringar som ökar produktiviteten eller har en positiv inverkan på miljön inom vattenbruket</w:t>
            </w:r>
            <w:r w:rsidRPr="001F5BA1">
              <w:rPr>
                <w:noProof/>
              </w:rPr>
              <w:t xml:space="preserve"> (artikel 33)</w:t>
            </w:r>
          </w:p>
        </w:tc>
      </w:tr>
      <w:tr w:rsidR="00FC17FF" w:rsidRPr="001F5BA1" w14:paraId="0D2AFBE6" w14:textId="77777777" w:rsidTr="00FC17FF">
        <w:trPr>
          <w:trHeight w:val="445"/>
        </w:trPr>
        <w:tc>
          <w:tcPr>
            <w:tcW w:w="8988" w:type="dxa"/>
            <w:gridSpan w:val="5"/>
          </w:tcPr>
          <w:p w14:paraId="4D1DD96D"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förvaltnings-, avbytar- och rådgivningstjänster för vattenbruk</w:t>
            </w:r>
            <w:r w:rsidRPr="001F5BA1">
              <w:rPr>
                <w:noProof/>
              </w:rPr>
              <w:t xml:space="preserve"> (artikel 34)</w:t>
            </w:r>
          </w:p>
        </w:tc>
      </w:tr>
      <w:tr w:rsidR="00FC17FF" w:rsidRPr="001F5BA1" w14:paraId="53169146" w14:textId="77777777" w:rsidTr="00FC17FF">
        <w:trPr>
          <w:trHeight w:val="445"/>
        </w:trPr>
        <w:tc>
          <w:tcPr>
            <w:tcW w:w="8988" w:type="dxa"/>
            <w:gridSpan w:val="5"/>
          </w:tcPr>
          <w:p w14:paraId="450E5D1A"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främja humankapital och nätverksbyggande inom vattenbruket</w:t>
            </w:r>
            <w:r w:rsidRPr="001F5BA1">
              <w:rPr>
                <w:noProof/>
              </w:rPr>
              <w:t xml:space="preserve"> (artikel 35)</w:t>
            </w:r>
          </w:p>
        </w:tc>
      </w:tr>
      <w:tr w:rsidR="00FC17FF" w:rsidRPr="001F5BA1" w14:paraId="019C1613" w14:textId="77777777" w:rsidTr="00FC17FF">
        <w:trPr>
          <w:trHeight w:val="445"/>
        </w:trPr>
        <w:tc>
          <w:tcPr>
            <w:tcW w:w="8988" w:type="dxa"/>
            <w:gridSpan w:val="5"/>
          </w:tcPr>
          <w:p w14:paraId="23D01AAD"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förbättra potentialen för vattenbruksanläggningar</w:t>
            </w:r>
            <w:r w:rsidRPr="001F5BA1">
              <w:rPr>
                <w:noProof/>
              </w:rPr>
              <w:t xml:space="preserve"> (artikel 36)</w:t>
            </w:r>
          </w:p>
        </w:tc>
      </w:tr>
      <w:tr w:rsidR="00FC17FF" w:rsidRPr="001F5BA1" w14:paraId="4520861F" w14:textId="77777777" w:rsidTr="00FC17FF">
        <w:trPr>
          <w:trHeight w:val="445"/>
        </w:trPr>
        <w:tc>
          <w:tcPr>
            <w:tcW w:w="8988" w:type="dxa"/>
            <w:gridSpan w:val="5"/>
          </w:tcPr>
          <w:p w14:paraId="6FDB24D2"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främja nya vattenbruksföretagare som bedriver hållbart vattenbruk</w:t>
            </w:r>
            <w:r w:rsidRPr="001F5BA1">
              <w:rPr>
                <w:noProof/>
              </w:rPr>
              <w:t xml:space="preserve"> (artikel 37)</w:t>
            </w:r>
          </w:p>
        </w:tc>
      </w:tr>
      <w:tr w:rsidR="00FC17FF" w:rsidRPr="001F5BA1" w14:paraId="4EC278D7" w14:textId="77777777" w:rsidTr="00FC17FF">
        <w:trPr>
          <w:trHeight w:val="445"/>
        </w:trPr>
        <w:tc>
          <w:tcPr>
            <w:tcW w:w="8988" w:type="dxa"/>
            <w:gridSpan w:val="5"/>
          </w:tcPr>
          <w:p w14:paraId="0BC63A97"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omställning till miljöledningsordning, miljörevisionsordning och ekologiskt vattenbruk</w:t>
            </w:r>
            <w:r w:rsidRPr="001F5BA1">
              <w:rPr>
                <w:noProof/>
              </w:rPr>
              <w:t xml:space="preserve"> (artikel 38)</w:t>
            </w:r>
          </w:p>
        </w:tc>
      </w:tr>
      <w:tr w:rsidR="00FC17FF" w:rsidRPr="001F5BA1" w14:paraId="1A5ED19C" w14:textId="77777777" w:rsidTr="00FC17FF">
        <w:trPr>
          <w:trHeight w:val="445"/>
        </w:trPr>
        <w:tc>
          <w:tcPr>
            <w:tcW w:w="8988" w:type="dxa"/>
            <w:gridSpan w:val="5"/>
          </w:tcPr>
          <w:p w14:paraId="15A29C9C"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Stöd för miljötjänster (artikel 39)</w:t>
            </w:r>
          </w:p>
        </w:tc>
      </w:tr>
      <w:tr w:rsidR="00FC17FF" w:rsidRPr="001F5BA1" w14:paraId="7685D93B" w14:textId="77777777" w:rsidTr="00FC17FF">
        <w:trPr>
          <w:trHeight w:val="445"/>
        </w:trPr>
        <w:tc>
          <w:tcPr>
            <w:tcW w:w="8988" w:type="dxa"/>
            <w:gridSpan w:val="5"/>
          </w:tcPr>
          <w:p w14:paraId="429C0558"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folkhälsoåtgärder</w:t>
            </w:r>
            <w:r w:rsidRPr="001F5BA1">
              <w:rPr>
                <w:noProof/>
              </w:rPr>
              <w:t xml:space="preserve"> (artikel 40)</w:t>
            </w:r>
          </w:p>
        </w:tc>
      </w:tr>
      <w:tr w:rsidR="00FC17FF" w:rsidRPr="001F5BA1" w14:paraId="77227CC5" w14:textId="77777777" w:rsidTr="00FC17FF">
        <w:trPr>
          <w:trHeight w:val="445"/>
        </w:trPr>
        <w:tc>
          <w:tcPr>
            <w:tcW w:w="8988" w:type="dxa"/>
            <w:gridSpan w:val="5"/>
          </w:tcPr>
          <w:p w14:paraId="07EBAB97"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åtgärder för djurs hälsa och välbefinnande</w:t>
            </w:r>
            <w:r w:rsidRPr="001F5BA1">
              <w:rPr>
                <w:noProof/>
              </w:rPr>
              <w:t xml:space="preserve"> (artikel 41)</w:t>
            </w:r>
          </w:p>
        </w:tc>
      </w:tr>
      <w:tr w:rsidR="00FC17FF" w:rsidRPr="001F5BA1" w14:paraId="4B19F9D6" w14:textId="77777777" w:rsidTr="00FC17FF">
        <w:trPr>
          <w:trHeight w:val="445"/>
        </w:trPr>
        <w:tc>
          <w:tcPr>
            <w:tcW w:w="8988" w:type="dxa"/>
            <w:gridSpan w:val="5"/>
          </w:tcPr>
          <w:p w14:paraId="01198543"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förebyggande, kontroll och utrotning av sjukdomar</w:t>
            </w:r>
            <w:r w:rsidRPr="001F5BA1">
              <w:rPr>
                <w:noProof/>
              </w:rPr>
              <w:t xml:space="preserve"> (artikel 42)</w:t>
            </w:r>
          </w:p>
        </w:tc>
      </w:tr>
      <w:tr w:rsidR="00FC17FF" w:rsidRPr="001F5BA1" w14:paraId="1025B60E" w14:textId="77777777" w:rsidTr="00FC17FF">
        <w:trPr>
          <w:trHeight w:val="445"/>
        </w:trPr>
        <w:tc>
          <w:tcPr>
            <w:tcW w:w="8988" w:type="dxa"/>
            <w:gridSpan w:val="5"/>
          </w:tcPr>
          <w:p w14:paraId="3E925DCF"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till investeringar för att förebygga och lindra skador orsakade av djursjukdomar</w:t>
            </w:r>
            <w:r w:rsidRPr="001F5BA1">
              <w:rPr>
                <w:noProof/>
              </w:rPr>
              <w:t xml:space="preserve"> (artikel 43)</w:t>
            </w:r>
          </w:p>
        </w:tc>
      </w:tr>
      <w:tr w:rsidR="00FC17FF" w:rsidRPr="001F5BA1" w14:paraId="6F5A3847" w14:textId="77777777" w:rsidTr="00FC17FF">
        <w:trPr>
          <w:trHeight w:val="445"/>
        </w:trPr>
        <w:tc>
          <w:tcPr>
            <w:tcW w:w="8988" w:type="dxa"/>
            <w:gridSpan w:val="5"/>
          </w:tcPr>
          <w:p w14:paraId="11C5E120"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försäkring för vattenbruksbestånd</w:t>
            </w:r>
            <w:r w:rsidRPr="001F5BA1">
              <w:rPr>
                <w:noProof/>
              </w:rPr>
              <w:t xml:space="preserve"> (artikel 44)</w:t>
            </w:r>
          </w:p>
        </w:tc>
      </w:tr>
      <w:tr w:rsidR="00FC17FF" w:rsidRPr="001F5BA1" w14:paraId="436BD6F0" w14:textId="77777777" w:rsidTr="00FC17FF">
        <w:trPr>
          <w:trHeight w:val="445"/>
        </w:trPr>
        <w:tc>
          <w:tcPr>
            <w:tcW w:w="8988" w:type="dxa"/>
            <w:gridSpan w:val="5"/>
          </w:tcPr>
          <w:p w14:paraId="732DE9B6"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saluföringsåtgärder</w:t>
            </w:r>
            <w:r w:rsidRPr="001F5BA1">
              <w:rPr>
                <w:noProof/>
              </w:rPr>
              <w:t xml:space="preserve"> (artikel 45)</w:t>
            </w:r>
          </w:p>
        </w:tc>
      </w:tr>
      <w:tr w:rsidR="00FC17FF" w:rsidRPr="001F5BA1" w14:paraId="73AC37DD" w14:textId="77777777" w:rsidTr="00FC17FF">
        <w:trPr>
          <w:trHeight w:val="445"/>
        </w:trPr>
        <w:tc>
          <w:tcPr>
            <w:tcW w:w="8988" w:type="dxa"/>
            <w:gridSpan w:val="5"/>
          </w:tcPr>
          <w:p w14:paraId="1B219DB7"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beredning av fiskeri- och vattenbruksprodukter</w:t>
            </w:r>
            <w:r w:rsidRPr="001F5BA1">
              <w:rPr>
                <w:noProof/>
              </w:rPr>
              <w:t xml:space="preserve"> (artikel 46) </w:t>
            </w:r>
          </w:p>
        </w:tc>
      </w:tr>
      <w:tr w:rsidR="00FC17FF" w:rsidRPr="001F5BA1" w14:paraId="52C4E68E" w14:textId="77777777" w:rsidTr="00FC17FF">
        <w:trPr>
          <w:trHeight w:val="445"/>
        </w:trPr>
        <w:tc>
          <w:tcPr>
            <w:tcW w:w="8988" w:type="dxa"/>
            <w:gridSpan w:val="5"/>
          </w:tcPr>
          <w:p w14:paraId="30E816F1"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insamling, förvaltning, användning och bearbetning av data inom fiskerisektorn</w:t>
            </w:r>
            <w:r w:rsidRPr="001F5BA1">
              <w:rPr>
                <w:noProof/>
              </w:rPr>
              <w:t xml:space="preserve"> (artikel 47)</w:t>
            </w:r>
          </w:p>
        </w:tc>
      </w:tr>
      <w:tr w:rsidR="00FC17FF" w:rsidRPr="001F5BA1" w14:paraId="7ACA2609" w14:textId="77777777" w:rsidTr="00FC17FF">
        <w:trPr>
          <w:trHeight w:val="445"/>
        </w:trPr>
        <w:tc>
          <w:tcPr>
            <w:tcW w:w="8988" w:type="dxa"/>
            <w:gridSpan w:val="5"/>
          </w:tcPr>
          <w:p w14:paraId="66CDA89B"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förebygga och lindra skador orsakade av naturkatastrofer</w:t>
            </w:r>
            <w:r w:rsidRPr="001F5BA1">
              <w:rPr>
                <w:noProof/>
              </w:rPr>
              <w:t xml:space="preserve"> (artikel 48)</w:t>
            </w:r>
          </w:p>
        </w:tc>
      </w:tr>
      <w:tr w:rsidR="00FC17FF" w:rsidRPr="001F5BA1" w14:paraId="2BAEFBEA" w14:textId="77777777" w:rsidTr="00FC17FF">
        <w:trPr>
          <w:trHeight w:val="445"/>
        </w:trPr>
        <w:tc>
          <w:tcPr>
            <w:tcW w:w="3708" w:type="dxa"/>
            <w:gridSpan w:val="2"/>
            <w:vMerge w:val="restart"/>
          </w:tcPr>
          <w:p w14:paraId="38221E68"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Stöd för att avhjälpa skador som orsakats av naturkatastrofer (artikel 49)</w:t>
            </w:r>
          </w:p>
        </w:tc>
        <w:tc>
          <w:tcPr>
            <w:tcW w:w="2640" w:type="dxa"/>
            <w:gridSpan w:val="2"/>
          </w:tcPr>
          <w:p w14:paraId="0FF54E6E" w14:textId="77777777" w:rsidR="00FC17FF" w:rsidRPr="001F5BA1" w:rsidRDefault="00FC17FF" w:rsidP="00FC17FF">
            <w:pPr>
              <w:spacing w:after="0"/>
              <w:rPr>
                <w:bCs/>
                <w:noProof/>
                <w:szCs w:val="24"/>
              </w:rPr>
            </w:pPr>
            <w:r w:rsidRPr="001F5BA1">
              <w:rPr>
                <w:noProof/>
              </w:rPr>
              <w:t>Typ av naturkatastrof</w:t>
            </w:r>
          </w:p>
        </w:tc>
        <w:tc>
          <w:tcPr>
            <w:tcW w:w="2640" w:type="dxa"/>
          </w:tcPr>
          <w:p w14:paraId="50CE92D9" w14:textId="77777777" w:rsidR="00FC17FF" w:rsidRPr="001F5BA1" w:rsidRDefault="00FC17FF" w:rsidP="00FC17FF">
            <w:pPr>
              <w:spacing w:before="40"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jordbävning</w:t>
            </w:r>
          </w:p>
          <w:p w14:paraId="1FE47436"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lavin</w:t>
            </w:r>
          </w:p>
          <w:p w14:paraId="1A4B0C3E"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jordskred</w:t>
            </w:r>
          </w:p>
          <w:p w14:paraId="4C216B15"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översvämning</w:t>
            </w:r>
          </w:p>
          <w:p w14:paraId="3915E630"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tornado</w:t>
            </w:r>
          </w:p>
          <w:p w14:paraId="182C85F3"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orkan</w:t>
            </w:r>
          </w:p>
          <w:p w14:paraId="7F1B6BD4"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vulkanutbrott</w:t>
            </w:r>
          </w:p>
          <w:p w14:paraId="5A0498D4" w14:textId="77777777" w:rsidR="00FC17FF" w:rsidRPr="001F5BA1" w:rsidRDefault="00FC17FF" w:rsidP="00FC17FF">
            <w:pPr>
              <w:spacing w:after="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terrängbrand</w:t>
            </w:r>
          </w:p>
          <w:p w14:paraId="7D67DDBF" w14:textId="77777777" w:rsidR="00FC17FF" w:rsidRPr="001F5BA1" w:rsidRDefault="00FC17FF" w:rsidP="00FC17FF">
            <w:pPr>
              <w:spacing w:after="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annan</w:t>
            </w:r>
          </w:p>
          <w:p w14:paraId="14B2D556" w14:textId="77777777" w:rsidR="00FC17FF" w:rsidRPr="001F5BA1" w:rsidRDefault="00FC17FF" w:rsidP="00FC17FF">
            <w:pPr>
              <w:spacing w:after="0"/>
              <w:rPr>
                <w:bCs/>
                <w:noProof/>
                <w:szCs w:val="24"/>
              </w:rPr>
            </w:pPr>
            <w:r w:rsidRPr="001F5BA1">
              <w:rPr>
                <w:noProof/>
              </w:rPr>
              <w:t>Precisera: ….</w:t>
            </w:r>
          </w:p>
        </w:tc>
      </w:tr>
      <w:tr w:rsidR="00FC17FF" w:rsidRPr="001F5BA1" w14:paraId="36099074" w14:textId="77777777" w:rsidTr="00FC17FF">
        <w:trPr>
          <w:trHeight w:val="185"/>
        </w:trPr>
        <w:tc>
          <w:tcPr>
            <w:tcW w:w="3708" w:type="dxa"/>
            <w:gridSpan w:val="2"/>
            <w:vMerge/>
          </w:tcPr>
          <w:p w14:paraId="73031845" w14:textId="77777777" w:rsidR="00FC17FF" w:rsidRPr="001F5BA1" w:rsidRDefault="00FC17FF" w:rsidP="00FC17FF">
            <w:pPr>
              <w:spacing w:after="0"/>
              <w:rPr>
                <w:noProof/>
                <w:szCs w:val="24"/>
              </w:rPr>
            </w:pPr>
          </w:p>
        </w:tc>
        <w:tc>
          <w:tcPr>
            <w:tcW w:w="2640" w:type="dxa"/>
            <w:gridSpan w:val="2"/>
          </w:tcPr>
          <w:p w14:paraId="58C70E38" w14:textId="77777777" w:rsidR="00FC17FF" w:rsidRPr="001F5BA1" w:rsidRDefault="00FC17FF" w:rsidP="00FC17FF">
            <w:pPr>
              <w:spacing w:after="0"/>
              <w:rPr>
                <w:bCs/>
                <w:noProof/>
                <w:szCs w:val="24"/>
              </w:rPr>
            </w:pPr>
            <w:r w:rsidRPr="001F5BA1">
              <w:rPr>
                <w:noProof/>
              </w:rPr>
              <w:t>Dag då naturkatastrofen inträffade</w:t>
            </w:r>
          </w:p>
        </w:tc>
        <w:tc>
          <w:tcPr>
            <w:tcW w:w="2640" w:type="dxa"/>
          </w:tcPr>
          <w:p w14:paraId="67795D9F" w14:textId="77777777" w:rsidR="00FC17FF" w:rsidRPr="001F5BA1" w:rsidRDefault="00FC17FF" w:rsidP="00FC17FF">
            <w:pPr>
              <w:spacing w:before="40" w:after="40"/>
              <w:rPr>
                <w:bCs/>
                <w:noProof/>
                <w:szCs w:val="24"/>
              </w:rPr>
            </w:pPr>
            <w:r w:rsidRPr="001F5BA1">
              <w:rPr>
                <w:noProof/>
              </w:rPr>
              <w:t>dd/mm/åååå –dd/mm/åååå</w:t>
            </w:r>
          </w:p>
        </w:tc>
      </w:tr>
      <w:tr w:rsidR="00FC17FF" w:rsidRPr="001F5BA1" w14:paraId="5B9D1211" w14:textId="77777777" w:rsidTr="00FC17FF">
        <w:trPr>
          <w:trHeight w:val="445"/>
        </w:trPr>
        <w:tc>
          <w:tcPr>
            <w:tcW w:w="8988" w:type="dxa"/>
            <w:gridSpan w:val="5"/>
          </w:tcPr>
          <w:p w14:paraId="27F77700"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förebygga och lindra skador orsakade av allvarliga klimathändelser som kan likställas med en naturkatastrof</w:t>
            </w:r>
            <w:r w:rsidRPr="001F5BA1">
              <w:rPr>
                <w:noProof/>
              </w:rPr>
              <w:t xml:space="preserve"> (artikel 50)</w:t>
            </w:r>
          </w:p>
        </w:tc>
      </w:tr>
      <w:tr w:rsidR="00FC17FF" w:rsidRPr="001F5BA1" w14:paraId="71150ECA" w14:textId="77777777" w:rsidTr="00FC17FF">
        <w:trPr>
          <w:trHeight w:val="1173"/>
        </w:trPr>
        <w:tc>
          <w:tcPr>
            <w:tcW w:w="3696" w:type="dxa"/>
            <w:vMerge w:val="restart"/>
          </w:tcPr>
          <w:p w14:paraId="33CAF290"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avhjälpa skador som orsakats av allvarliga klimathändelser som kan likställas med en naturkatastrof</w:t>
            </w:r>
            <w:r w:rsidRPr="001F5BA1">
              <w:rPr>
                <w:noProof/>
              </w:rPr>
              <w:t xml:space="preserve"> (artikel 51)</w:t>
            </w:r>
          </w:p>
        </w:tc>
        <w:tc>
          <w:tcPr>
            <w:tcW w:w="2646" w:type="dxa"/>
            <w:gridSpan w:val="2"/>
          </w:tcPr>
          <w:p w14:paraId="0BC856BB" w14:textId="77777777" w:rsidR="00FC17FF" w:rsidRPr="001F5BA1" w:rsidRDefault="00FC17FF" w:rsidP="00FC17FF">
            <w:pPr>
              <w:spacing w:after="0"/>
              <w:rPr>
                <w:bCs/>
                <w:noProof/>
                <w:szCs w:val="24"/>
              </w:rPr>
            </w:pPr>
            <w:r w:rsidRPr="001F5BA1">
              <w:rPr>
                <w:noProof/>
              </w:rPr>
              <w:t xml:space="preserve">Typ av händelse: </w:t>
            </w:r>
          </w:p>
        </w:tc>
        <w:tc>
          <w:tcPr>
            <w:tcW w:w="2646" w:type="dxa"/>
            <w:gridSpan w:val="2"/>
          </w:tcPr>
          <w:p w14:paraId="1FB4044D" w14:textId="77777777" w:rsidR="00FC17FF" w:rsidRPr="001F5BA1" w:rsidRDefault="00FC17FF" w:rsidP="00FC17FF">
            <w:pPr>
              <w:spacing w:after="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frost</w:t>
            </w:r>
          </w:p>
          <w:p w14:paraId="5815B292" w14:textId="77777777" w:rsidR="00FC17FF" w:rsidRPr="001F5BA1" w:rsidRDefault="00FC17FF" w:rsidP="00FC17FF">
            <w:pPr>
              <w:spacing w:after="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stormar</w:t>
            </w:r>
          </w:p>
          <w:p w14:paraId="53707882" w14:textId="77777777" w:rsidR="00FC17FF" w:rsidRPr="001F5BA1" w:rsidRDefault="00FC17FF" w:rsidP="00FC17FF">
            <w:pPr>
              <w:spacing w:after="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hagel</w:t>
            </w:r>
          </w:p>
          <w:p w14:paraId="1CCBFB87" w14:textId="77777777" w:rsidR="00FC17FF" w:rsidRPr="001F5BA1" w:rsidRDefault="00FC17FF" w:rsidP="00FC17FF">
            <w:pPr>
              <w:spacing w:after="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kraftiga eller ihållande regn</w:t>
            </w:r>
          </w:p>
          <w:p w14:paraId="587D3DE3" w14:textId="77777777" w:rsidR="00FC17FF" w:rsidRPr="001F5BA1" w:rsidRDefault="00FC17FF" w:rsidP="00FC17FF">
            <w:pPr>
              <w:spacing w:after="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svåra torrperioder</w:t>
            </w:r>
          </w:p>
          <w:p w14:paraId="57BC111E" w14:textId="77777777" w:rsidR="00FC17FF" w:rsidRPr="001F5BA1" w:rsidRDefault="00FC17FF" w:rsidP="00FC17FF">
            <w:pPr>
              <w:spacing w:after="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annan</w:t>
            </w:r>
          </w:p>
          <w:p w14:paraId="64E99C10" w14:textId="77777777" w:rsidR="00FC17FF" w:rsidRPr="001F5BA1" w:rsidRDefault="00FC17FF" w:rsidP="00FC17FF">
            <w:pPr>
              <w:spacing w:after="0"/>
              <w:rPr>
                <w:noProof/>
                <w:szCs w:val="24"/>
              </w:rPr>
            </w:pPr>
            <w:r w:rsidRPr="001F5BA1">
              <w:rPr>
                <w:noProof/>
              </w:rPr>
              <w:t>Precisera: …….</w:t>
            </w:r>
          </w:p>
        </w:tc>
      </w:tr>
      <w:tr w:rsidR="00FC17FF" w:rsidRPr="001F5BA1" w14:paraId="6089DCFC" w14:textId="77777777" w:rsidTr="00FC17FF">
        <w:trPr>
          <w:trHeight w:val="721"/>
        </w:trPr>
        <w:tc>
          <w:tcPr>
            <w:tcW w:w="3696" w:type="dxa"/>
            <w:vMerge/>
          </w:tcPr>
          <w:p w14:paraId="4FE55AAF" w14:textId="77777777" w:rsidR="00FC17FF" w:rsidRPr="001F5BA1" w:rsidRDefault="00FC17FF" w:rsidP="00FC17FF">
            <w:pPr>
              <w:spacing w:after="0"/>
              <w:rPr>
                <w:noProof/>
                <w:szCs w:val="24"/>
              </w:rPr>
            </w:pPr>
          </w:p>
        </w:tc>
        <w:tc>
          <w:tcPr>
            <w:tcW w:w="2646" w:type="dxa"/>
            <w:gridSpan w:val="2"/>
          </w:tcPr>
          <w:p w14:paraId="2CD4DCCB" w14:textId="77777777" w:rsidR="00FC17FF" w:rsidRPr="001F5BA1" w:rsidRDefault="00FC17FF" w:rsidP="00FC17FF">
            <w:pPr>
              <w:spacing w:after="0"/>
              <w:rPr>
                <w:bCs/>
                <w:noProof/>
                <w:szCs w:val="24"/>
              </w:rPr>
            </w:pPr>
            <w:r w:rsidRPr="001F5BA1">
              <w:rPr>
                <w:noProof/>
              </w:rPr>
              <w:t>Dag då händelsen inträffade:</w:t>
            </w:r>
          </w:p>
        </w:tc>
        <w:tc>
          <w:tcPr>
            <w:tcW w:w="2646" w:type="dxa"/>
            <w:gridSpan w:val="2"/>
          </w:tcPr>
          <w:p w14:paraId="7D271CD4" w14:textId="77777777" w:rsidR="00FC17FF" w:rsidRPr="001F5BA1" w:rsidRDefault="00FC17FF" w:rsidP="00FC17FF">
            <w:pPr>
              <w:spacing w:after="0"/>
              <w:rPr>
                <w:bCs/>
                <w:noProof/>
                <w:szCs w:val="24"/>
              </w:rPr>
            </w:pPr>
            <w:r w:rsidRPr="001F5BA1">
              <w:rPr>
                <w:noProof/>
              </w:rPr>
              <w:t>dd/mm/åååå –dd/mm/åååå</w:t>
            </w:r>
          </w:p>
        </w:tc>
      </w:tr>
      <w:tr w:rsidR="00FC17FF" w:rsidRPr="001F5BA1" w14:paraId="3BC07B3C" w14:textId="77777777" w:rsidTr="00FC17FF">
        <w:trPr>
          <w:trHeight w:val="445"/>
        </w:trPr>
        <w:tc>
          <w:tcPr>
            <w:tcW w:w="8988" w:type="dxa"/>
            <w:gridSpan w:val="5"/>
          </w:tcPr>
          <w:p w14:paraId="23EFA603"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förebygga och lindra skador orsakade av skyddade djur</w:t>
            </w:r>
            <w:r w:rsidRPr="001F5BA1">
              <w:rPr>
                <w:noProof/>
              </w:rPr>
              <w:t xml:space="preserve"> (artikel 52)</w:t>
            </w:r>
          </w:p>
        </w:tc>
      </w:tr>
      <w:tr w:rsidR="00FC17FF" w:rsidRPr="001F5BA1" w14:paraId="79A8EFFD" w14:textId="77777777" w:rsidTr="00FC17FF">
        <w:trPr>
          <w:trHeight w:val="445"/>
        </w:trPr>
        <w:tc>
          <w:tcPr>
            <w:tcW w:w="8988" w:type="dxa"/>
            <w:gridSpan w:val="5"/>
          </w:tcPr>
          <w:p w14:paraId="624484D6"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50004"/>
              </w:rPr>
              <w:t>Stöd för att avhjälpa skador som orsakats av skyddade djur</w:t>
            </w:r>
            <w:r w:rsidRPr="001F5BA1">
              <w:rPr>
                <w:noProof/>
              </w:rPr>
              <w:t xml:space="preserve"> (artikel 53)</w:t>
            </w:r>
          </w:p>
        </w:tc>
      </w:tr>
      <w:tr w:rsidR="00FC17FF" w:rsidRPr="001F5BA1" w14:paraId="17E4AFFF" w14:textId="77777777" w:rsidTr="00FC17FF">
        <w:trPr>
          <w:trHeight w:val="445"/>
        </w:trPr>
        <w:tc>
          <w:tcPr>
            <w:tcW w:w="8988" w:type="dxa"/>
            <w:gridSpan w:val="5"/>
          </w:tcPr>
          <w:p w14:paraId="610BAC7A"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Stöd för LLU-projekt (artikel 54)</w:t>
            </w:r>
          </w:p>
        </w:tc>
      </w:tr>
      <w:tr w:rsidR="00FC17FF" w:rsidRPr="001F5BA1" w14:paraId="3426720B" w14:textId="77777777" w:rsidTr="00FC17FF">
        <w:trPr>
          <w:trHeight w:val="445"/>
        </w:trPr>
        <w:tc>
          <w:tcPr>
            <w:tcW w:w="8988" w:type="dxa"/>
            <w:gridSpan w:val="5"/>
          </w:tcPr>
          <w:p w14:paraId="3B407DCA" w14:textId="77777777" w:rsidR="00FC17FF" w:rsidRPr="001F5BA1" w:rsidRDefault="00FC17FF" w:rsidP="00FC17FF">
            <w:pPr>
              <w:spacing w:after="0"/>
              <w:rPr>
                <w:bCs/>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Begränsade stödbelopp till LLU-projekt (artikel 55)</w:t>
            </w:r>
          </w:p>
        </w:tc>
      </w:tr>
      <w:tr w:rsidR="00FC17FF" w:rsidRPr="001F5BA1" w14:paraId="78C426FD" w14:textId="77777777" w:rsidTr="00FC17FF">
        <w:trPr>
          <w:trHeight w:val="445"/>
        </w:trPr>
        <w:tc>
          <w:tcPr>
            <w:tcW w:w="8988" w:type="dxa"/>
            <w:gridSpan w:val="5"/>
          </w:tcPr>
          <w:p w14:paraId="41F1EAA9" w14:textId="77777777" w:rsidR="00FC17FF" w:rsidRPr="001F5BA1" w:rsidRDefault="00FC17FF" w:rsidP="00FC17FF">
            <w:pPr>
              <w:spacing w:after="0"/>
              <w:rPr>
                <w:noProof/>
                <w:szCs w:val="24"/>
              </w:rPr>
            </w:pPr>
            <w:r w:rsidRPr="001F5BA1">
              <w:rPr>
                <w:noProof/>
              </w:rPr>
              <w:fldChar w:fldCharType="begin">
                <w:ffData>
                  <w:name w:val=""/>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Skattebefrielser och skattenedsättningar i enlighet med direktiv 2003/96/EG (artikel 56)</w:t>
            </w:r>
          </w:p>
        </w:tc>
      </w:tr>
      <w:tr w:rsidR="00FC17FF" w:rsidRPr="001F5BA1" w14:paraId="45DF43DC" w14:textId="77777777" w:rsidTr="00FC17FF">
        <w:trPr>
          <w:trHeight w:val="2561"/>
        </w:trPr>
        <w:tc>
          <w:tcPr>
            <w:tcW w:w="3708" w:type="dxa"/>
            <w:gridSpan w:val="2"/>
          </w:tcPr>
          <w:p w14:paraId="1818B0B3" w14:textId="77777777" w:rsidR="00FC17FF" w:rsidRPr="001F5BA1" w:rsidRDefault="00FC17FF" w:rsidP="00FC17FF">
            <w:pPr>
              <w:spacing w:after="0"/>
              <w:rPr>
                <w:noProof/>
                <w:szCs w:val="24"/>
              </w:rPr>
            </w:pPr>
            <w:r w:rsidRPr="001F5BA1">
              <w:rPr>
                <w:noProof/>
              </w:rPr>
              <w:t>Motivering</w:t>
            </w:r>
          </w:p>
        </w:tc>
        <w:tc>
          <w:tcPr>
            <w:tcW w:w="5280" w:type="dxa"/>
            <w:gridSpan w:val="3"/>
          </w:tcPr>
          <w:p w14:paraId="063F6F04" w14:textId="77777777" w:rsidR="00FC17FF" w:rsidRPr="001F5BA1" w:rsidRDefault="00FC17FF" w:rsidP="00FC17FF">
            <w:pPr>
              <w:spacing w:after="0"/>
              <w:rPr>
                <w:bCs/>
                <w:noProof/>
                <w:szCs w:val="24"/>
              </w:rPr>
            </w:pPr>
            <w:r w:rsidRPr="001F5BA1">
              <w:rPr>
                <w:noProof/>
                <w:color w:val="000000"/>
              </w:rPr>
              <w:t>Ange varför en ordning för statligt stöd har inrättats eller ett stöd för särskilda ändamål har beviljats i stället för stöd genom Europeiska havs-, fiskeri- och vattenbruksfonden (EHFVF):</w:t>
            </w:r>
            <w:r w:rsidRPr="001F5BA1">
              <w:rPr>
                <w:noProof/>
              </w:rPr>
              <w:t xml:space="preserve"> </w:t>
            </w:r>
            <w:r w:rsidRPr="001F5BA1">
              <w:rPr>
                <w:noProof/>
              </w:rPr>
              <w:br/>
            </w:r>
          </w:p>
          <w:p w14:paraId="4A929178" w14:textId="77777777" w:rsidR="00FC17FF" w:rsidRPr="001F5BA1" w:rsidRDefault="00FC17FF" w:rsidP="00FC17FF">
            <w:pPr>
              <w:spacing w:before="40"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00000"/>
              </w:rPr>
              <w:t>Åtgärden omfattas inte av det nationella operativa programmet.</w:t>
            </w:r>
          </w:p>
          <w:p w14:paraId="73E37817"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00000"/>
              </w:rPr>
              <w:t>Prioritering vid tilldelningen av medel enligt det nationella operativa programmet.</w:t>
            </w:r>
          </w:p>
          <w:p w14:paraId="7882FFD7"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00000"/>
              </w:rPr>
              <w:t>Finansiering enligt EHFVF är inte längre tillgänglig.</w:t>
            </w:r>
          </w:p>
          <w:p w14:paraId="549DD41D" w14:textId="77777777" w:rsidR="00FC17FF" w:rsidRPr="001F5BA1" w:rsidRDefault="00FC17FF" w:rsidP="00FC17FF">
            <w:pPr>
              <w:spacing w:after="40"/>
              <w:rPr>
                <w:noProof/>
                <w:szCs w:val="24"/>
              </w:rPr>
            </w:pPr>
            <w:r w:rsidRPr="001F5BA1">
              <w:rPr>
                <w:noProof/>
              </w:rPr>
              <w:fldChar w:fldCharType="begin">
                <w:ffData>
                  <w:name w:val="Check1"/>
                  <w:enabled/>
                  <w:calcOnExit w:val="0"/>
                  <w:checkBox>
                    <w:sizeAuto/>
                    <w:default w:val="0"/>
                  </w:checkBox>
                </w:ffData>
              </w:fldChar>
            </w:r>
            <w:r w:rsidRPr="001F5BA1">
              <w:rPr>
                <w:noProof/>
              </w:rPr>
              <w:instrText xml:space="preserve"> FORMCHECKBOX </w:instrText>
            </w:r>
            <w:r w:rsidR="00D233FD">
              <w:rPr>
                <w:noProof/>
              </w:rPr>
            </w:r>
            <w:r w:rsidR="00D233FD">
              <w:rPr>
                <w:noProof/>
              </w:rPr>
              <w:fldChar w:fldCharType="separate"/>
            </w:r>
            <w:r w:rsidRPr="001F5BA1">
              <w:rPr>
                <w:noProof/>
              </w:rPr>
              <w:fldChar w:fldCharType="end"/>
            </w:r>
            <w:r w:rsidRPr="001F5BA1">
              <w:rPr>
                <w:noProof/>
              </w:rPr>
              <w:t xml:space="preserve"> </w:t>
            </w:r>
            <w:r w:rsidRPr="001F5BA1">
              <w:rPr>
                <w:noProof/>
                <w:color w:val="000000"/>
              </w:rPr>
              <w:t>Annat</w:t>
            </w:r>
            <w:r w:rsidRPr="001F5BA1">
              <w:rPr>
                <w:noProof/>
              </w:rPr>
              <w:br/>
            </w:r>
            <w:r w:rsidRPr="001F5BA1">
              <w:rPr>
                <w:noProof/>
                <w:color w:val="000000"/>
              </w:rPr>
              <w:t>(precisera): …….…….</w:t>
            </w:r>
          </w:p>
        </w:tc>
      </w:tr>
    </w:tbl>
    <w:p w14:paraId="07C1CE9C" w14:textId="77777777" w:rsidR="0019532E" w:rsidRPr="001F5BA1" w:rsidRDefault="0019532E" w:rsidP="0019532E">
      <w:pPr>
        <w:rPr>
          <w:noProof/>
        </w:rPr>
      </w:pPr>
    </w:p>
    <w:sectPr w:rsidR="0019532E" w:rsidRPr="001F5BA1" w:rsidSect="00D233FD">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0A1304" w:rsidRDefault="000A1304" w:rsidP="007720B7">
      <w:pPr>
        <w:spacing w:before="0" w:after="0"/>
      </w:pPr>
      <w:r>
        <w:separator/>
      </w:r>
    </w:p>
  </w:endnote>
  <w:endnote w:type="continuationSeparator" w:id="0">
    <w:p w14:paraId="7F4427AE" w14:textId="77777777" w:rsidR="000A1304" w:rsidRDefault="000A1304"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0A1304" w:rsidRDefault="000A1304" w:rsidP="007720B7">
      <w:pPr>
        <w:spacing w:before="0" w:after="0"/>
      </w:pPr>
      <w:r>
        <w:separator/>
      </w:r>
    </w:p>
  </w:footnote>
  <w:footnote w:type="continuationSeparator" w:id="0">
    <w:p w14:paraId="374F72FB" w14:textId="77777777" w:rsidR="000A1304" w:rsidRDefault="000A1304" w:rsidP="007720B7">
      <w:pPr>
        <w:spacing w:before="0" w:after="0"/>
      </w:pPr>
      <w:r>
        <w:continuationSeparator/>
      </w:r>
    </w:p>
  </w:footnote>
  <w:footnote w:id="1">
    <w:p w14:paraId="5DC2F400" w14:textId="77777777" w:rsidR="000A1304" w:rsidRPr="001F5BA1" w:rsidRDefault="000A1304" w:rsidP="0019532E">
      <w:pPr>
        <w:pStyle w:val="FootnoteText"/>
        <w:rPr>
          <w:rFonts w:asciiTheme="minorHAnsi" w:hAnsiTheme="minorHAnsi" w:cstheme="minorBidi"/>
        </w:rPr>
      </w:pPr>
      <w:r>
        <w:rPr>
          <w:rStyle w:val="FootnoteReference"/>
        </w:rPr>
        <w:footnoteRef/>
      </w:r>
      <w:r w:rsidRPr="001F5BA1">
        <w:tab/>
        <w:t>Nuts – Nomenklaturen för statistiska territoriella enheter. Vanligen anges regionen på nivå 2.</w:t>
      </w:r>
    </w:p>
  </w:footnote>
  <w:footnote w:id="2">
    <w:p w14:paraId="1B177B98" w14:textId="77777777" w:rsidR="000A1304" w:rsidRPr="001F5BA1" w:rsidRDefault="000A1304" w:rsidP="0019532E">
      <w:pPr>
        <w:pStyle w:val="FootnoteText"/>
      </w:pPr>
      <w:r>
        <w:rPr>
          <w:rStyle w:val="FootnoteReference"/>
        </w:rPr>
        <w:footnoteRef/>
      </w:r>
      <w:r w:rsidRPr="001F5BA1">
        <w:tab/>
        <w:t>Med företag avses vid tillämpningen av konkurrensreglerna i fördraget och vid tillämpningen av denna förordning en enhet som bedriver ekonomisk verksamhet, oavsett enhetens rättsliga form och hur den finansieras. Domstolen har fastställt att enheter som (rättsligt eller faktiskt) kontrolleras av samma enhet bör betraktas som ett företag.</w:t>
      </w:r>
    </w:p>
  </w:footnote>
  <w:footnote w:id="3">
    <w:p w14:paraId="6EED36A8" w14:textId="77777777" w:rsidR="000A1304" w:rsidRPr="001F5BA1" w:rsidRDefault="000A1304" w:rsidP="0019532E">
      <w:pPr>
        <w:pStyle w:val="FootnoteText"/>
        <w:rPr>
          <w:rFonts w:asciiTheme="minorHAnsi" w:hAnsiTheme="minorHAnsi" w:cstheme="minorBidi"/>
        </w:rPr>
      </w:pPr>
      <w:r>
        <w:rPr>
          <w:rStyle w:val="FootnoteReference"/>
        </w:rPr>
        <w:footnoteRef/>
      </w:r>
      <w:r w:rsidRPr="001F5BA1">
        <w:tab/>
        <w:t>Period under vilken den beviljande myndigheten kan åta sig att bevilja stödet.</w:t>
      </w:r>
    </w:p>
  </w:footnote>
  <w:footnote w:id="4">
    <w:p w14:paraId="1D56ACF7" w14:textId="77777777" w:rsidR="000A1304" w:rsidRPr="001F5BA1" w:rsidRDefault="000A1304" w:rsidP="0019532E">
      <w:pPr>
        <w:pStyle w:val="FootnoteText"/>
      </w:pPr>
      <w:r>
        <w:rPr>
          <w:rStyle w:val="FootnoteReference"/>
        </w:rPr>
        <w:footnoteRef/>
      </w:r>
      <w:r w:rsidRPr="001F5BA1">
        <w:tab/>
        <w:t>Nace Rev. 2 – Statistisk näringsgrensindelning i Europeiska unionen. Sektorn ska vanligen anges på gruppnivå.</w:t>
      </w:r>
    </w:p>
  </w:footnote>
  <w:footnote w:id="5">
    <w:p w14:paraId="213642CB" w14:textId="77777777" w:rsidR="000A1304" w:rsidRPr="001F5BA1" w:rsidRDefault="000A1304" w:rsidP="0019532E">
      <w:pPr>
        <w:pStyle w:val="FootnoteText"/>
      </w:pPr>
      <w:r>
        <w:rPr>
          <w:rStyle w:val="FootnoteReference"/>
        </w:rPr>
        <w:footnoteRef/>
      </w:r>
      <w:r w:rsidRPr="001F5BA1">
        <w:tab/>
        <w:t>För stödordning: Ange det sammanlagda stödbelopp som planeras enligt stödordningen per år eller den beräknade skatteförlusten per år för samtliga stödinstrument som ingår i stödordningen.</w:t>
      </w:r>
    </w:p>
  </w:footnote>
  <w:footnote w:id="6">
    <w:p w14:paraId="39AD2F07" w14:textId="77777777" w:rsidR="000A1304" w:rsidRPr="001F5BA1" w:rsidRDefault="000A1304" w:rsidP="0019532E">
      <w:pPr>
        <w:pStyle w:val="FootnoteText"/>
      </w:pPr>
      <w:r>
        <w:rPr>
          <w:rStyle w:val="FootnoteReference"/>
        </w:rPr>
        <w:footnoteRef/>
      </w:r>
      <w:r w:rsidRPr="001F5BA1">
        <w:tab/>
        <w:t>I fall av stöd för särskilda ändamål: Ange totalt stödbelopp/skattebortfall.</w:t>
      </w:r>
    </w:p>
  </w:footnote>
  <w:footnote w:id="7">
    <w:p w14:paraId="43F1EBBF" w14:textId="77777777" w:rsidR="000A1304" w:rsidRPr="001F5BA1" w:rsidRDefault="000A1304" w:rsidP="0019532E">
      <w:pPr>
        <w:pStyle w:val="FootnoteText"/>
      </w:pPr>
      <w:r>
        <w:rPr>
          <w:rStyle w:val="FootnoteReference"/>
        </w:rPr>
        <w:footnoteRef/>
      </w:r>
      <w:r w:rsidRPr="001F5BA1">
        <w:tab/>
        <w:t>För garantier, ange de garanterade lånens högsta belopp.</w:t>
      </w:r>
    </w:p>
  </w:footnote>
  <w:footnote w:id="8">
    <w:p w14:paraId="32EDCDD0" w14:textId="77777777" w:rsidR="000A1304" w:rsidRPr="001F5BA1" w:rsidRDefault="000A1304" w:rsidP="0019532E">
      <w:pPr>
        <w:pStyle w:val="FootnoteText"/>
      </w:pPr>
      <w:r>
        <w:rPr>
          <w:rStyle w:val="FootnoteReference"/>
        </w:rPr>
        <w:footnoteRef/>
      </w:r>
      <w:r w:rsidRPr="001F5BA1">
        <w:tab/>
        <w:t>I förekommande fall, hänvisning till kommissionens beslut om att godkänna metoden för att beräkna bruttobidragsekvivalenten, i överensstämmelse med artikel 5.2 c i förordningen.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1857744960"/>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420251535">
    <w:abstractNumId w:val="23"/>
  </w:num>
  <w:num w:numId="2" w16cid:durableId="1438715044">
    <w:abstractNumId w:val="7"/>
  </w:num>
  <w:num w:numId="3" w16cid:durableId="2100518579">
    <w:abstractNumId w:val="5"/>
  </w:num>
  <w:num w:numId="4" w16cid:durableId="1359038960">
    <w:abstractNumId w:val="4"/>
  </w:num>
  <w:num w:numId="5" w16cid:durableId="859977514">
    <w:abstractNumId w:val="3"/>
  </w:num>
  <w:num w:numId="6" w16cid:durableId="3437804">
    <w:abstractNumId w:val="6"/>
  </w:num>
  <w:num w:numId="7" w16cid:durableId="561449798">
    <w:abstractNumId w:val="2"/>
  </w:num>
  <w:num w:numId="8" w16cid:durableId="377365803">
    <w:abstractNumId w:val="1"/>
  </w:num>
  <w:num w:numId="9" w16cid:durableId="1069184975">
    <w:abstractNumId w:val="0"/>
  </w:num>
  <w:num w:numId="10" w16cid:durableId="1002195327">
    <w:abstractNumId w:val="9"/>
  </w:num>
  <w:num w:numId="11" w16cid:durableId="1290746128">
    <w:abstractNumId w:val="20"/>
  </w:num>
  <w:num w:numId="12" w16cid:durableId="1520393577">
    <w:abstractNumId w:val="13"/>
  </w:num>
  <w:num w:numId="13" w16cid:durableId="384842156">
    <w:abstractNumId w:val="22"/>
  </w:num>
  <w:num w:numId="14" w16cid:durableId="560100305">
    <w:abstractNumId w:val="12"/>
  </w:num>
  <w:num w:numId="15" w16cid:durableId="546340011">
    <w:abstractNumId w:val="14"/>
  </w:num>
  <w:num w:numId="16" w16cid:durableId="1345672320">
    <w:abstractNumId w:val="15"/>
  </w:num>
  <w:num w:numId="17" w16cid:durableId="1620184281">
    <w:abstractNumId w:val="10"/>
  </w:num>
  <w:num w:numId="18" w16cid:durableId="1954707938">
    <w:abstractNumId w:val="21"/>
  </w:num>
  <w:num w:numId="19" w16cid:durableId="773087521">
    <w:abstractNumId w:val="8"/>
  </w:num>
  <w:num w:numId="20" w16cid:durableId="46341776">
    <w:abstractNumId w:val="16"/>
  </w:num>
  <w:num w:numId="21" w16cid:durableId="2114937029">
    <w:abstractNumId w:val="18"/>
  </w:num>
  <w:num w:numId="22" w16cid:durableId="2026132789">
    <w:abstractNumId w:val="19"/>
  </w:num>
  <w:num w:numId="23" w16cid:durableId="382604028">
    <w:abstractNumId w:val="11"/>
  </w:num>
  <w:num w:numId="24" w16cid:durableId="380861861">
    <w:abstractNumId w:val="17"/>
  </w:num>
  <w:num w:numId="25" w16cid:durableId="1170099344">
    <w:abstractNumId w:val="24"/>
  </w:num>
  <w:num w:numId="26" w16cid:durableId="555628941">
    <w:abstractNumId w:val="20"/>
  </w:num>
  <w:num w:numId="27" w16cid:durableId="970328780">
    <w:abstractNumId w:val="13"/>
  </w:num>
  <w:num w:numId="28" w16cid:durableId="1683510525">
    <w:abstractNumId w:val="22"/>
  </w:num>
  <w:num w:numId="29" w16cid:durableId="1511070193">
    <w:abstractNumId w:val="12"/>
  </w:num>
  <w:num w:numId="30" w16cid:durableId="1906917724">
    <w:abstractNumId w:val="14"/>
  </w:num>
  <w:num w:numId="31" w16cid:durableId="1125931951">
    <w:abstractNumId w:val="15"/>
  </w:num>
  <w:num w:numId="32" w16cid:durableId="476075115">
    <w:abstractNumId w:val="10"/>
  </w:num>
  <w:num w:numId="33" w16cid:durableId="1636525759">
    <w:abstractNumId w:val="21"/>
  </w:num>
  <w:num w:numId="34" w16cid:durableId="322507537">
    <w:abstractNumId w:val="8"/>
  </w:num>
  <w:num w:numId="35" w16cid:durableId="1618876515">
    <w:abstractNumId w:val="16"/>
  </w:num>
  <w:num w:numId="36" w16cid:durableId="2142653945">
    <w:abstractNumId w:val="18"/>
  </w:num>
  <w:num w:numId="37" w16cid:durableId="839009408">
    <w:abstractNumId w:val="19"/>
  </w:num>
  <w:num w:numId="38" w16cid:durableId="1865437158">
    <w:abstractNumId w:val="11"/>
  </w:num>
  <w:num w:numId="39" w16cid:durableId="810361843">
    <w:abstractNumId w:val="17"/>
  </w:num>
  <w:num w:numId="40" w16cid:durableId="1768236647">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da-DK" w:vendorID="64" w:dllVersion="6" w:nlCheck="1" w:checkStyle="0"/>
  <w:activeWritingStyle w:appName="MSWord" w:lang="sv-SE" w:vendorID="64" w:dllVersion="0" w:nlCheck="1" w:checkStyle="0"/>
  <w:attachedTemplate r:id="rId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19:3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till"/>
    <w:docVar w:name="LW_ACCOMPAGNANT.CP" w:val="till"/>
    <w:docVar w:name="LW_ANNEX_NBR_FIRST" w:val="1"/>
    <w:docVar w:name="LW_ANNEX_NBR_LAST" w:val="4"/>
    <w:docVar w:name="LW_ANNEX_UNIQUE" w:val="0"/>
    <w:docVar w:name="LW_CORRIGENDUM" w:val="&lt;UNUSED&gt;"/>
    <w:docVar w:name="LW_COVERPAGE_EXISTS" w:val="True"/>
    <w:docVar w:name="LW_COVERPAGE_GUID" w:val="497EC8F4-5D70-4EF5-B367-64B3E9EF307D"/>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yssel den "/>
    <w:docVar w:name="LW_EMISSION_SUFFIX" w:val=" "/>
    <w:docVar w:name="LW_ID_DOCSTRUCTURE" w:val="COM/ANNEX"/>
    <w:docVar w:name="LW_ID_DOCTYPE" w:val="SG-068"/>
    <w:docVar w:name="LW_LANGUE" w:val="SV"/>
    <w:docVar w:name="LW_LEVEL_OF_SENSITIVITY" w:val="Standard treatment"/>
    <w:docVar w:name="LW_NOM.INST" w:val="EUROPEISKA KOMMISSIONEN"/>
    <w:docVar w:name="LW_NOM.INST_JOINTDOC" w:val="&lt;EMPTY&gt;"/>
    <w:docVar w:name="LW_OBJETACTEPRINCIPAL" w:val="genom vilken vissa kategorier av stöd till företag som är verksamma inom produktion, beredning och saluföring av fiskeri- och vattenbruksprodukter förklaras förenliga med den inre marknaden enligt artiklarna 107 och 108 i fördraget om Europeiska unionens funktionssätt"/>
    <w:docVar w:name="LW_OBJETACTEPRINCIPAL.CP" w:val="genom vilken vissa kategorier av stöd till företag som är verksamma inom produktion, beredning och saluföring av fiskeri- och vattenbruksprodukter förklaras förenliga med den inre marknaden enligt artiklarna 107 och 108 i fördraget om Europeiska unionens funktionssätt"/>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LAGOR"/>
    <w:docVar w:name="LW_TYPE.DOC.CP" w:val="BILAGOR"/>
    <w:docVar w:name="LW_TYPEACTEPRINCIPAL" w:val="KOMMISSIONENS FÖRORDNING (EU) .../..."/>
    <w:docVar w:name="LW_TYPEACTEPRINCIPAL.CP" w:val="KOMMISSIONENS FÖRORDNING (EU) .../..."/>
    <w:docVar w:name="LwApiVersions" w:val="LW4CoDe 1.23.2.0; LW 8.0, Build 20211117"/>
  </w:docVars>
  <w:rsids>
    <w:rsidRoot w:val="007720B7"/>
    <w:rsid w:val="00010986"/>
    <w:rsid w:val="000211A9"/>
    <w:rsid w:val="00034C3B"/>
    <w:rsid w:val="000701AF"/>
    <w:rsid w:val="00096DAD"/>
    <w:rsid w:val="0009723E"/>
    <w:rsid w:val="000A1304"/>
    <w:rsid w:val="000D3B4F"/>
    <w:rsid w:val="000D40F2"/>
    <w:rsid w:val="000F6A9D"/>
    <w:rsid w:val="00102B2B"/>
    <w:rsid w:val="001056FA"/>
    <w:rsid w:val="00114C1F"/>
    <w:rsid w:val="00152894"/>
    <w:rsid w:val="001627E2"/>
    <w:rsid w:val="0019532E"/>
    <w:rsid w:val="001F5BA1"/>
    <w:rsid w:val="00256FE6"/>
    <w:rsid w:val="00261942"/>
    <w:rsid w:val="00267706"/>
    <w:rsid w:val="00274670"/>
    <w:rsid w:val="0028616E"/>
    <w:rsid w:val="002C3D52"/>
    <w:rsid w:val="002D6D6D"/>
    <w:rsid w:val="002E250E"/>
    <w:rsid w:val="002F4121"/>
    <w:rsid w:val="00323AA1"/>
    <w:rsid w:val="003A02EF"/>
    <w:rsid w:val="003A0BAD"/>
    <w:rsid w:val="003A2E6C"/>
    <w:rsid w:val="003A58F3"/>
    <w:rsid w:val="003B217D"/>
    <w:rsid w:val="003C41CB"/>
    <w:rsid w:val="003F1708"/>
    <w:rsid w:val="00442ED7"/>
    <w:rsid w:val="00451E2C"/>
    <w:rsid w:val="00493DC9"/>
    <w:rsid w:val="004A2C76"/>
    <w:rsid w:val="004B03D9"/>
    <w:rsid w:val="004B3AC8"/>
    <w:rsid w:val="005365AB"/>
    <w:rsid w:val="00591C96"/>
    <w:rsid w:val="005A370F"/>
    <w:rsid w:val="005A5AE2"/>
    <w:rsid w:val="005B0732"/>
    <w:rsid w:val="005C14A2"/>
    <w:rsid w:val="005D637F"/>
    <w:rsid w:val="005F2C26"/>
    <w:rsid w:val="0060409D"/>
    <w:rsid w:val="006207B1"/>
    <w:rsid w:val="00637CA3"/>
    <w:rsid w:val="00641F21"/>
    <w:rsid w:val="0064681B"/>
    <w:rsid w:val="00692EEB"/>
    <w:rsid w:val="006B50A0"/>
    <w:rsid w:val="006C4E82"/>
    <w:rsid w:val="006F3C12"/>
    <w:rsid w:val="00712EEB"/>
    <w:rsid w:val="0074216E"/>
    <w:rsid w:val="00742E88"/>
    <w:rsid w:val="0074334B"/>
    <w:rsid w:val="007531A6"/>
    <w:rsid w:val="007720B7"/>
    <w:rsid w:val="00776AFA"/>
    <w:rsid w:val="007775F7"/>
    <w:rsid w:val="0078415E"/>
    <w:rsid w:val="007B057B"/>
    <w:rsid w:val="007F007D"/>
    <w:rsid w:val="007F17A7"/>
    <w:rsid w:val="00817397"/>
    <w:rsid w:val="00824438"/>
    <w:rsid w:val="00836933"/>
    <w:rsid w:val="00842632"/>
    <w:rsid w:val="00880213"/>
    <w:rsid w:val="008849A4"/>
    <w:rsid w:val="00895161"/>
    <w:rsid w:val="008D52D0"/>
    <w:rsid w:val="00920185"/>
    <w:rsid w:val="00955689"/>
    <w:rsid w:val="00966C3B"/>
    <w:rsid w:val="00967035"/>
    <w:rsid w:val="00983339"/>
    <w:rsid w:val="00990C76"/>
    <w:rsid w:val="009B217B"/>
    <w:rsid w:val="009C246D"/>
    <w:rsid w:val="009D2053"/>
    <w:rsid w:val="009E7B27"/>
    <w:rsid w:val="00A0708A"/>
    <w:rsid w:val="00A56649"/>
    <w:rsid w:val="00AA6B58"/>
    <w:rsid w:val="00AC095B"/>
    <w:rsid w:val="00AC5FB0"/>
    <w:rsid w:val="00AE5793"/>
    <w:rsid w:val="00B01186"/>
    <w:rsid w:val="00B06A24"/>
    <w:rsid w:val="00B15298"/>
    <w:rsid w:val="00B16EEF"/>
    <w:rsid w:val="00B2365F"/>
    <w:rsid w:val="00B62194"/>
    <w:rsid w:val="00B62C16"/>
    <w:rsid w:val="00B85448"/>
    <w:rsid w:val="00B90055"/>
    <w:rsid w:val="00BD4F28"/>
    <w:rsid w:val="00BD6135"/>
    <w:rsid w:val="00BF7FED"/>
    <w:rsid w:val="00C40797"/>
    <w:rsid w:val="00C477B4"/>
    <w:rsid w:val="00C53888"/>
    <w:rsid w:val="00C70F30"/>
    <w:rsid w:val="00C7167D"/>
    <w:rsid w:val="00CE2015"/>
    <w:rsid w:val="00CE32A7"/>
    <w:rsid w:val="00CF6189"/>
    <w:rsid w:val="00D233FD"/>
    <w:rsid w:val="00D2446F"/>
    <w:rsid w:val="00D25FAC"/>
    <w:rsid w:val="00D449A9"/>
    <w:rsid w:val="00D47339"/>
    <w:rsid w:val="00D5066C"/>
    <w:rsid w:val="00D65A22"/>
    <w:rsid w:val="00D76F18"/>
    <w:rsid w:val="00D8312A"/>
    <w:rsid w:val="00D9159E"/>
    <w:rsid w:val="00D94CD0"/>
    <w:rsid w:val="00D97F61"/>
    <w:rsid w:val="00DC2505"/>
    <w:rsid w:val="00DD3108"/>
    <w:rsid w:val="00DF68E6"/>
    <w:rsid w:val="00DF7DA2"/>
    <w:rsid w:val="00E42D10"/>
    <w:rsid w:val="00E4704A"/>
    <w:rsid w:val="00E7534E"/>
    <w:rsid w:val="00E974FC"/>
    <w:rsid w:val="00EB4DBF"/>
    <w:rsid w:val="00EF5D26"/>
    <w:rsid w:val="00F5208E"/>
    <w:rsid w:val="00F72839"/>
    <w:rsid w:val="00F731C6"/>
    <w:rsid w:val="00F7423E"/>
    <w:rsid w:val="00F840B2"/>
    <w:rsid w:val="00FC092B"/>
    <w:rsid w:val="00FC17FF"/>
    <w:rsid w:val="00FC4AD0"/>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sv-SE"/>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sv-SE"/>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sv-SE"/>
    </w:rPr>
  </w:style>
  <w:style w:type="paragraph" w:styleId="Header">
    <w:name w:val="header"/>
    <w:basedOn w:val="Normal"/>
    <w:link w:val="HeaderChar"/>
    <w:uiPriority w:val="99"/>
    <w:unhideWhenUsed/>
    <w:rsid w:val="00F72839"/>
    <w:pPr>
      <w:tabs>
        <w:tab w:val="center" w:pos="4535"/>
        <w:tab w:val="right" w:pos="9071"/>
      </w:tabs>
      <w:spacing w:before="0"/>
    </w:pPr>
  </w:style>
  <w:style w:type="character" w:customStyle="1" w:styleId="HeaderChar">
    <w:name w:val="Header Char"/>
    <w:basedOn w:val="DefaultParagraphFont"/>
    <w:link w:val="Header"/>
    <w:uiPriority w:val="99"/>
    <w:rsid w:val="00F72839"/>
    <w:rPr>
      <w:rFonts w:ascii="Times New Roman" w:hAnsi="Times New Roman" w:cs="Times New Roman"/>
      <w:sz w:val="24"/>
      <w:lang w:val="sv-SE"/>
    </w:rPr>
  </w:style>
  <w:style w:type="paragraph" w:styleId="Footer">
    <w:name w:val="footer"/>
    <w:basedOn w:val="Normal"/>
    <w:link w:val="FooterChar"/>
    <w:uiPriority w:val="99"/>
    <w:unhideWhenUsed/>
    <w:rsid w:val="00F72839"/>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F72839"/>
    <w:rPr>
      <w:rFonts w:ascii="Times New Roman" w:hAnsi="Times New Roman" w:cs="Times New Roman"/>
      <w:sz w:val="24"/>
      <w:lang w:val="sv-S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F72839"/>
    <w:pPr>
      <w:tabs>
        <w:tab w:val="center" w:pos="7285"/>
        <w:tab w:val="right" w:pos="14003"/>
      </w:tabs>
      <w:spacing w:before="0"/>
    </w:pPr>
  </w:style>
  <w:style w:type="paragraph" w:customStyle="1" w:styleId="FooterLandscape">
    <w:name w:val="FooterLandscape"/>
    <w:basedOn w:val="Normal"/>
    <w:rsid w:val="00F72839"/>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7283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72839"/>
    <w:pPr>
      <w:spacing w:before="0"/>
      <w:jc w:val="right"/>
    </w:pPr>
    <w:rPr>
      <w:sz w:val="28"/>
    </w:rPr>
  </w:style>
  <w:style w:type="paragraph" w:customStyle="1" w:styleId="FooterSensitivity">
    <w:name w:val="Footer Sensitivity"/>
    <w:basedOn w:val="Normal"/>
    <w:rsid w:val="00F7283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Props1.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3.xml><?xml version="1.0" encoding="utf-8"?>
<ds:datastoreItem xmlns:ds="http://schemas.openxmlformats.org/officeDocument/2006/customXml" ds:itemID="{729C8DD4-FAE8-4536-BE71-33BB94418825}">
  <ds:schemaRefs>
    <ds:schemaRef ds:uri="http://purl.org/dc/terms/"/>
    <ds:schemaRef ds:uri="9f4bbdaa-dd5a-4bb7-a3f6-76c067b32c48"/>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5</Pages>
  <Words>1087</Words>
  <Characters>6602</Characters>
  <Application>Microsoft Office Word</Application>
  <DocSecurity>0</DocSecurity>
  <Lines>220</Lines>
  <Paragraphs>116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2023-09-18T14:33:00Z</dcterms:created>
  <dcterms:modified xsi:type="dcterms:W3CDTF">2023-09-18T14:33:00Z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2023-09-18T14:33:25Z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4a8274c7-3134-4a4a-b8bd-85e7c1100bd8</vt:lpwstr>
  </property>
  <property fmtid="{D5CDD505-2E9C-101B-9397-08002B2CF9AE}" pid="24" name="MSIP_Label_6bd9ddd1-4d20-43f6-abfa-fc3c07406f94_ContentBits">
    <vt:lpwstr>0</vt:lpwstr>
  </property>
</Properties>
</file>