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20B7" w:rsidRPr="00D439D1" w:rsidRDefault="007720B7" w:rsidP="00E46AAD">
      <w:pPr>
        <w:pStyle w:val="Pagedecouverture"/>
        <w:rPr>
          <w:noProof/>
        </w:rPr>
      </w:pPr>
    </w:p>
    <w:p w:rsidR="0019532E" w:rsidRPr="00D439D1" w:rsidRDefault="0019532E" w:rsidP="0019532E">
      <w:pPr>
        <w:pStyle w:val="Annexetitre"/>
        <w:rPr>
          <w:noProof/>
        </w:rPr>
      </w:pPr>
      <w:r w:rsidRPr="00D439D1">
        <w:rPr>
          <w:noProof/>
        </w:rPr>
        <w:t>ПРИЛОЖЕНИЕ II</w:t>
      </w:r>
    </w:p>
    <w:p w:rsidR="00FC17FF" w:rsidRPr="00D439D1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D439D1">
        <w:rPr>
          <w:b/>
          <w:noProof/>
        </w:rPr>
        <w:t>Информация относно държавните помощи, освободени от задължението за уведомяване съгласно разпоредбите на настоящия регламент</w:t>
      </w:r>
    </w:p>
    <w:p w:rsidR="00FC17FF" w:rsidRPr="00D439D1" w:rsidRDefault="00FC17FF" w:rsidP="00B01186">
      <w:pPr>
        <w:jc w:val="center"/>
        <w:rPr>
          <w:b/>
          <w:noProof/>
        </w:rPr>
      </w:pPr>
      <w:r w:rsidRPr="00D439D1">
        <w:rPr>
          <w:b/>
          <w:noProof/>
        </w:rPr>
        <w:t>ЧАСТ I</w:t>
      </w:r>
    </w:p>
    <w:p w:rsidR="00FC17FF" w:rsidRPr="00D439D1" w:rsidRDefault="00FC17FF" w:rsidP="00FC17FF">
      <w:pPr>
        <w:spacing w:after="212" w:line="264" w:lineRule="auto"/>
        <w:ind w:right="3"/>
        <w:jc w:val="center"/>
        <w:rPr>
          <w:b/>
          <w:noProof/>
          <w:szCs w:val="24"/>
        </w:rPr>
      </w:pPr>
      <w:r w:rsidRPr="00D439D1">
        <w:rPr>
          <w:b/>
          <w:noProof/>
        </w:rPr>
        <w:t>Предоставя се чрез установената от Комисията електронна система за уведомяване, посочена в член 11</w:t>
      </w:r>
    </w:p>
    <w:p w:rsidR="0019532E" w:rsidRPr="00D439D1" w:rsidRDefault="0019532E" w:rsidP="0019532E">
      <w:pPr>
        <w:spacing w:after="212" w:line="264" w:lineRule="auto"/>
        <w:ind w:right="3"/>
        <w:jc w:val="center"/>
        <w:rPr>
          <w:b/>
          <w:noProof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5"/>
        <w:gridCol w:w="2304"/>
        <w:gridCol w:w="492"/>
        <w:gridCol w:w="166"/>
        <w:gridCol w:w="1652"/>
        <w:gridCol w:w="58"/>
        <w:gridCol w:w="2272"/>
      </w:tblGrid>
      <w:tr w:rsidR="0019532E" w:rsidRPr="00D439D1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Референтен номер на помощта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i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i/>
                <w:noProof/>
                <w:sz w:val="21"/>
              </w:rPr>
              <w:t>(попълва се от Комисията)</w:t>
            </w:r>
          </w:p>
        </w:tc>
      </w:tr>
      <w:tr w:rsidR="0019532E" w:rsidRPr="00D439D1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Държава членка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532E" w:rsidRPr="00D439D1" w:rsidRDefault="0019532E">
            <w:pPr>
              <w:tabs>
                <w:tab w:val="left" w:leader="dot" w:pos="567"/>
                <w:tab w:val="left" w:leader="dot" w:pos="735"/>
              </w:tabs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D439D1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 w:rsidP="000F6A9D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Референтен номер на държавата членка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55689" w:rsidRPr="00D439D1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955689" w:rsidRPr="00D439D1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Регион</w:t>
            </w:r>
          </w:p>
          <w:p w:rsidR="00955689" w:rsidRPr="00D439D1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55689" w:rsidRPr="00D439D1" w:rsidRDefault="00955689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Име на региона/регионите (NUTS(</w:t>
            </w:r>
            <w:r w:rsidRPr="00D439D1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1"/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>)</w:t>
            </w:r>
          </w:p>
          <w:p w:rsidR="00FC17FF" w:rsidRPr="00D439D1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  <w:p w:rsidR="00FC17FF" w:rsidRPr="00D439D1" w:rsidRDefault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noProof/>
              </w:rPr>
              <w:t>………………………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17FF" w:rsidRPr="00D439D1" w:rsidRDefault="00955689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48658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Pr="00D439D1">
              <w:rPr>
                <w:noProof/>
              </w:rPr>
              <w:t xml:space="preserve"> </w:t>
            </w:r>
            <w:r w:rsidRPr="00D439D1">
              <w:rPr>
                <w:b/>
                <w:noProof/>
              </w:rPr>
              <w:t>Най-отдалечени региони</w:t>
            </w:r>
          </w:p>
          <w:p w:rsidR="00FC17FF" w:rsidRPr="00D439D1" w:rsidRDefault="006F354F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62743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b/>
                <w:noProof/>
              </w:rPr>
              <w:t>Отдалечени гръцки острови</w:t>
            </w:r>
          </w:p>
          <w:p w:rsidR="00FC17FF" w:rsidRPr="00D439D1" w:rsidRDefault="006F354F" w:rsidP="00FC17FF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20352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b/>
                <w:noProof/>
              </w:rPr>
              <w:t xml:space="preserve"> Хърватски острови Dugi Otok, Vis, Mljet и Lastovo</w:t>
            </w:r>
          </w:p>
          <w:p w:rsidR="00FC17FF" w:rsidRPr="00D439D1" w:rsidRDefault="006F354F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3987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b/>
                <w:noProof/>
              </w:rPr>
              <w:t>Друг</w:t>
            </w:r>
          </w:p>
          <w:p w:rsidR="00955689" w:rsidRPr="00D439D1" w:rsidRDefault="00955689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966C3B" w:rsidRPr="00D439D1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966C3B" w:rsidRPr="00D439D1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Предоставящ помощта орган</w:t>
            </w:r>
          </w:p>
          <w:p w:rsidR="00966C3B" w:rsidRPr="00D439D1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6C3B" w:rsidRPr="00D439D1" w:rsidRDefault="00966C3B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Наименование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6C3B" w:rsidRPr="00D439D1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D439D1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6C3B" w:rsidRPr="00D439D1" w:rsidRDefault="00966C3B" w:rsidP="00FC17FF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C3B" w:rsidRPr="00D439D1" w:rsidRDefault="00966C3B" w:rsidP="00966C3B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Пощенски адрес </w:t>
            </w:r>
            <w:r w:rsidRPr="00D439D1">
              <w:rPr>
                <w:noProof/>
              </w:rPr>
              <w:t xml:space="preserve"> </w:t>
            </w:r>
            <w:r w:rsidRPr="00D439D1">
              <w:rPr>
                <w:noProof/>
              </w:rPr>
              <w:br/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6C3B" w:rsidRPr="00D439D1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966C3B" w:rsidRPr="00D439D1" w:rsidTr="000F6A9D">
        <w:trPr>
          <w:trHeight w:val="300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C3B" w:rsidRPr="00D439D1" w:rsidRDefault="00966C3B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B" w:rsidRPr="00D439D1" w:rsidRDefault="00966C3B" w:rsidP="00955689">
            <w:pPr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URL адрес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6C3B" w:rsidRPr="00D439D1" w:rsidRDefault="00966C3B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</w:p>
        </w:tc>
      </w:tr>
      <w:tr w:rsidR="0019532E" w:rsidRPr="00D439D1" w:rsidTr="000F6A9D">
        <w:trPr>
          <w:trHeight w:val="6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Наименование на мярката за помощ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142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Национално правно основание (позоваване на съответната национална официална публикация)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D439D1" w:rsidTr="000F6A9D">
        <w:trPr>
          <w:trHeight w:val="1297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Уебвръзка към пълния текст на мярката за помощ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line="480" w:lineRule="auto"/>
              <w:rPr>
                <w:rFonts w:ascii="Arial Unicode MS" w:hAnsi="Arial Unicode MS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CE32A7" w:rsidRPr="00D439D1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Вид на мярката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32A7" w:rsidRPr="00D439D1" w:rsidRDefault="006F354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8096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Схема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CE32A7" w:rsidRPr="00D439D1" w:rsidTr="000F6A9D">
        <w:trPr>
          <w:trHeight w:val="462"/>
        </w:trPr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32A7" w:rsidRPr="00D439D1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CE32A7" w:rsidRPr="00D439D1" w:rsidRDefault="006F354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26837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Помощ </w:t>
            </w:r>
            <w:r w:rsidR="002016B5" w:rsidRPr="00D439D1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Име на бенефициера и групата(</w:t>
            </w:r>
            <w:r w:rsidRPr="00D439D1">
              <w:rPr>
                <w:rStyle w:val="FootnoteReference"/>
                <w:rFonts w:ascii="Arial Unicode MS" w:hAnsi="Arial Unicode MS"/>
                <w:b/>
                <w:noProof/>
                <w:sz w:val="21"/>
                <w:szCs w:val="21"/>
              </w:rPr>
              <w:footnoteReference w:id="2"/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>), към която принадлежи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CE32A7" w:rsidRPr="00D439D1" w:rsidTr="000F6A9D">
        <w:trPr>
          <w:trHeight w:val="461"/>
        </w:trPr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2A7" w:rsidRPr="00D439D1" w:rsidRDefault="00CE32A7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2A7" w:rsidRPr="00D439D1" w:rsidRDefault="00CE32A7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</w:tr>
      <w:tr w:rsidR="0019532E" w:rsidRPr="00D439D1" w:rsidTr="00096DAD">
        <w:trPr>
          <w:trHeight w:val="46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Изменение на съществуваща схема за помощ или помощ </w:t>
            </w:r>
            <w:r w:rsidRPr="00D439D1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9532E" w:rsidRPr="00D439D1" w:rsidRDefault="0019532E" w:rsidP="00FC17F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Референтен номер на помощта, даден от Комисията</w:t>
            </w:r>
          </w:p>
        </w:tc>
      </w:tr>
      <w:tr w:rsidR="0019532E" w:rsidRPr="00D439D1" w:rsidTr="000F6A9D">
        <w:trPr>
          <w:trHeight w:val="49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-113464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Удължаване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630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/>
                  <w:b/>
                  <w:noProof/>
                  <w:sz w:val="21"/>
                  <w:szCs w:val="21"/>
                </w:rPr>
                <w:id w:val="149637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Изменение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rPr>
                <w:rFonts w:ascii="Arial Unicode MS" w:hAnsi="Arial Unicode MS"/>
                <w:b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Продължителност (</w:t>
            </w:r>
            <w:r w:rsidRPr="00D439D1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3"/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37703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Схема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от дд/мм/гггг </w:t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>до</w:t>
            </w:r>
            <w:r w:rsidRPr="00D439D1">
              <w:rPr>
                <w:rFonts w:ascii="Arial Unicode MS" w:hAnsi="Arial Unicode MS"/>
                <w:noProof/>
                <w:sz w:val="21"/>
              </w:rPr>
              <w:t xml:space="preserve"> дд/мм/гггг</w:t>
            </w:r>
          </w:p>
        </w:tc>
      </w:tr>
      <w:tr w:rsidR="0019532E" w:rsidRPr="00D439D1" w:rsidTr="000F6A9D">
        <w:trPr>
          <w:trHeight w:val="30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Дата на предоставяне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67970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Помощ </w:t>
            </w:r>
            <w:r w:rsidR="002016B5" w:rsidRPr="00D439D1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>дд/мм/гггг.</w:t>
            </w:r>
          </w:p>
        </w:tc>
      </w:tr>
      <w:tr w:rsidR="0019532E" w:rsidRPr="00D439D1" w:rsidTr="000F6A9D">
        <w:trPr>
          <w:trHeight w:val="675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Засегнат/и икономически сектор/и: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4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Всички икономически сектори, които отговарят на условията за получаване на помощ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9996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Само за някои сектори: моля, уточнете нивото на групата по NACE (</w:t>
            </w:r>
            <w:r w:rsidR="002016B5" w:rsidRPr="00D439D1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4"/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Вид бенефициер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36844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МСП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9247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Големи предприятия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6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Бюджет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Общ годишен размер на планирания бюджет по схемата (</w:t>
            </w:r>
            <w:r w:rsidRPr="00D439D1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5"/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Национална парична единица………………….. (цели суми)</w:t>
            </w:r>
          </w:p>
        </w:tc>
      </w:tr>
      <w:tr w:rsidR="0019532E" w:rsidRPr="00D439D1" w:rsidTr="000F6A9D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Общ размер на помощта </w:t>
            </w:r>
            <w:r w:rsidRPr="00D439D1">
              <w:rPr>
                <w:rFonts w:ascii="Arial Unicode MS" w:hAnsi="Arial Unicode MS"/>
                <w:b/>
                <w:i/>
                <w:noProof/>
                <w:sz w:val="21"/>
              </w:rPr>
              <w:t>ad hoc</w:t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>, предоставена на предприятието (</w:t>
            </w:r>
            <w:r w:rsidRPr="00D439D1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6"/>
            </w: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Национална парична единица………………….. (цели суми)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2129188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 За гаранции(</w:t>
            </w:r>
            <w:r w:rsidR="002016B5" w:rsidRPr="00D439D1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7"/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 xml:space="preserve">) 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Национална парична единица………………….. (цели суми)</w:t>
            </w:r>
          </w:p>
        </w:tc>
      </w:tr>
      <w:tr w:rsidR="0019532E" w:rsidRPr="00D439D1" w:rsidTr="000F6A9D">
        <w:trPr>
          <w:trHeight w:val="30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Инструмент на помощта</w:t>
            </w: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3600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Безвъзмездни средства/лихвена субсидия</w:t>
            </w:r>
          </w:p>
        </w:tc>
      </w:tr>
      <w:tr w:rsidR="00CE32A7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2A7" w:rsidRPr="00D439D1" w:rsidRDefault="00CE32A7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2A7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71871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ab/>
            </w:r>
            <w:r w:rsidR="002016B5" w:rsidRPr="00D439D1">
              <w:rPr>
                <w:b/>
                <w:noProof/>
              </w:rPr>
              <w:t>Субсидирани услуги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04140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Заем/подлежащи на възстановяване авансови плащания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93706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Гаранция (при необходимост с позоваване на решението на Комисията(</w:t>
            </w:r>
            <w:r w:rsidR="002016B5" w:rsidRPr="00D439D1">
              <w:rPr>
                <w:rStyle w:val="FootnoteReference"/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  <w:footnoteReference w:id="8"/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)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14743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Данъчно предимство или освобождаване от данъци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 xml:space="preserve"> </w:t>
            </w:r>
          </w:p>
        </w:tc>
      </w:tr>
      <w:tr w:rsidR="0019532E" w:rsidRPr="00D439D1" w:rsidTr="000F6A9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2E" w:rsidRPr="00D439D1" w:rsidRDefault="0019532E">
            <w:pPr>
              <w:spacing w:before="0" w:after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6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89672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Друго (моля да се посочи)</w:t>
            </w:r>
          </w:p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  <w:p w:rsidR="0019532E" w:rsidRPr="00D439D1" w:rsidRDefault="0019532E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Посочете на коя от следните общи категории съответства най-добре инструментът за помощ от гледна точка на неговия ефект/неговата функция:</w:t>
            </w:r>
          </w:p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38445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Безвъзмездна помощ</w:t>
            </w:r>
          </w:p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02239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ab/>
            </w:r>
            <w:r w:rsidR="002016B5" w:rsidRPr="00D439D1">
              <w:rPr>
                <w:b/>
                <w:noProof/>
              </w:rPr>
              <w:t>Субсидирани услуги</w:t>
            </w: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17130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b/>
                <w:noProof/>
              </w:rPr>
              <w:t xml:space="preserve"> Заем</w:t>
            </w:r>
          </w:p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-2105562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Гаранция</w:t>
            </w:r>
          </w:p>
          <w:p w:rsidR="0019532E" w:rsidRPr="00D439D1" w:rsidRDefault="006F354F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sdt>
              <w:sdtPr>
                <w:rPr>
                  <w:rFonts w:ascii="Arial Unicode MS" w:hAnsi="Arial Unicode MS" w:cs="Arial"/>
                  <w:b/>
                  <w:bCs/>
                  <w:noProof/>
                  <w:sz w:val="21"/>
                  <w:szCs w:val="21"/>
                </w:rPr>
                <w:id w:val="189553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6B5" w:rsidRPr="00D439D1">
                  <w:rPr>
                    <w:rFonts w:ascii="Segoe UI Symbol" w:eastAsia="MS Gothic" w:hAnsi="Segoe UI Symbol" w:cs="Segoe UI Symbol"/>
                    <w:b/>
                    <w:bCs/>
                    <w:noProof/>
                    <w:sz w:val="21"/>
                    <w:szCs w:val="21"/>
                  </w:rPr>
                  <w:t>☐</w:t>
                </w:r>
              </w:sdtContent>
            </w:sdt>
            <w:r w:rsidR="002016B5" w:rsidRPr="00D439D1">
              <w:rPr>
                <w:noProof/>
              </w:rPr>
              <w:t xml:space="preserve"> </w:t>
            </w:r>
            <w:r w:rsidR="002016B5" w:rsidRPr="00D439D1">
              <w:rPr>
                <w:rFonts w:ascii="Arial Unicode MS" w:hAnsi="Arial Unicode MS"/>
                <w:b/>
                <w:noProof/>
                <w:sz w:val="21"/>
              </w:rPr>
              <w:t>Данъчно предимство</w:t>
            </w:r>
          </w:p>
        </w:tc>
      </w:tr>
      <w:tr w:rsidR="003F1708" w:rsidRPr="00D439D1" w:rsidTr="000F6A9D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708" w:rsidRPr="00D439D1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Ако има съфинансиране от фонд/фондове на ЕС</w:t>
            </w:r>
          </w:p>
          <w:p w:rsidR="003F1708" w:rsidRPr="00D439D1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08" w:rsidRPr="00D439D1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Име на фонда/фондовете на ЕС: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D439D1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Размер на финансирането (по отделни фондове на ЕС)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D439D1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  <w:r w:rsidRPr="00D439D1">
              <w:rPr>
                <w:rFonts w:ascii="Arial Unicode MS" w:hAnsi="Arial Unicode MS"/>
                <w:b/>
                <w:noProof/>
                <w:sz w:val="21"/>
              </w:rPr>
              <w:t>Национална парична единица. (цели суми)</w:t>
            </w:r>
          </w:p>
        </w:tc>
      </w:tr>
      <w:tr w:rsidR="003F1708" w:rsidRPr="00D439D1" w:rsidTr="000F6A9D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D439D1" w:rsidRDefault="003F1708" w:rsidP="003F1708">
            <w:pPr>
              <w:spacing w:before="0"/>
              <w:jc w:val="left"/>
              <w:rPr>
                <w:rFonts w:ascii="Arial Unicode MS" w:hAnsi="Arial Unicode MS" w:cs="Arial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708" w:rsidRPr="00D439D1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D439D1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08" w:rsidRPr="00D439D1" w:rsidDel="003F1708" w:rsidRDefault="003F1708" w:rsidP="003F1708">
            <w:pPr>
              <w:spacing w:before="0"/>
              <w:jc w:val="left"/>
              <w:rPr>
                <w:b/>
                <w:bCs/>
                <w:noProof/>
                <w:sz w:val="17"/>
                <w:szCs w:val="17"/>
              </w:rPr>
            </w:pPr>
          </w:p>
        </w:tc>
      </w:tr>
    </w:tbl>
    <w:p w:rsidR="0019532E" w:rsidRPr="00D439D1" w:rsidRDefault="0019532E" w:rsidP="0019532E">
      <w:pPr>
        <w:shd w:val="clear" w:color="auto" w:fill="FFFFFF"/>
        <w:spacing w:after="0" w:line="312" w:lineRule="atLeast"/>
        <w:rPr>
          <w:rFonts w:ascii="Arial Unicode MS" w:eastAsia="Times New Roman" w:hAnsi="Arial Unicode MS"/>
          <w:noProof/>
          <w:color w:val="444444"/>
          <w:sz w:val="21"/>
          <w:szCs w:val="21"/>
          <w:lang w:eastAsia="de-DE"/>
        </w:rPr>
      </w:pPr>
    </w:p>
    <w:p w:rsidR="00FC17FF" w:rsidRPr="00D439D1" w:rsidRDefault="00FC17FF" w:rsidP="00FC17FF">
      <w:pPr>
        <w:spacing w:after="480"/>
        <w:jc w:val="center"/>
        <w:rPr>
          <w:b/>
          <w:bCs/>
          <w:noProof/>
          <w:szCs w:val="24"/>
        </w:rPr>
      </w:pPr>
      <w:r w:rsidRPr="00D439D1">
        <w:rPr>
          <w:b/>
          <w:noProof/>
        </w:rPr>
        <w:t>ЧАСТ II</w:t>
      </w:r>
    </w:p>
    <w:p w:rsidR="00FC17FF" w:rsidRPr="00D439D1" w:rsidRDefault="00FC17FF" w:rsidP="00FC17FF">
      <w:pPr>
        <w:spacing w:after="480"/>
        <w:jc w:val="center"/>
        <w:rPr>
          <w:b/>
          <w:bCs/>
          <w:smallCaps/>
          <w:noProof/>
          <w:szCs w:val="24"/>
        </w:rPr>
      </w:pPr>
      <w:r w:rsidRPr="00D439D1">
        <w:rPr>
          <w:b/>
          <w:noProof/>
        </w:rPr>
        <w:t>Предоставя се чрез установената от Комисията електронна система за уведомяване, посочена в член 11</w:t>
      </w:r>
    </w:p>
    <w:p w:rsidR="00FC17FF" w:rsidRPr="00D439D1" w:rsidRDefault="00FC17FF" w:rsidP="00FC17FF">
      <w:pPr>
        <w:spacing w:after="0"/>
        <w:rPr>
          <w:noProof/>
          <w:szCs w:val="24"/>
        </w:rPr>
      </w:pPr>
      <w:r w:rsidRPr="00D439D1">
        <w:rPr>
          <w:noProof/>
        </w:rPr>
        <w:t>Моля, посочете разпоредбата от РГОР, съгласно която мярката за помощ се привежда в действие.</w:t>
      </w:r>
    </w:p>
    <w:tbl>
      <w:tblPr>
        <w:tblW w:w="898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6"/>
        <w:gridCol w:w="12"/>
        <w:gridCol w:w="2634"/>
        <w:gridCol w:w="6"/>
        <w:gridCol w:w="2640"/>
      </w:tblGrid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иновации в рибарството (член 15)</w:t>
            </w:r>
          </w:p>
        </w:tc>
      </w:tr>
      <w:tr w:rsidR="00FC17FF" w:rsidRPr="00D439D1" w:rsidTr="00FC17FF">
        <w:trPr>
          <w:trHeight w:val="469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консултантски услуги (член 16)</w:t>
            </w:r>
          </w:p>
        </w:tc>
      </w:tr>
      <w:tr w:rsidR="00FC17FF" w:rsidRPr="00D439D1" w:rsidTr="00FC17FF">
        <w:trPr>
          <w:trHeight w:val="481"/>
        </w:trPr>
        <w:tc>
          <w:tcPr>
            <w:tcW w:w="8988" w:type="dxa"/>
            <w:gridSpan w:val="5"/>
          </w:tcPr>
          <w:p w:rsidR="00FC17FF" w:rsidRPr="00D439D1" w:rsidRDefault="00FC17FF" w:rsidP="00895161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партньорства между учени и рибари (член 17)</w:t>
            </w:r>
          </w:p>
        </w:tc>
      </w:tr>
      <w:tr w:rsidR="00895161" w:rsidRPr="00D439D1" w:rsidTr="00FC17FF">
        <w:trPr>
          <w:trHeight w:val="589"/>
        </w:trPr>
        <w:tc>
          <w:tcPr>
            <w:tcW w:w="8988" w:type="dxa"/>
            <w:gridSpan w:val="5"/>
          </w:tcPr>
          <w:p w:rsidR="00895161" w:rsidRPr="00D439D1" w:rsidRDefault="00895161" w:rsidP="00842632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насърчаване на човешкия капитал и социалния диалог (член 18)</w:t>
            </w:r>
          </w:p>
        </w:tc>
      </w:tr>
      <w:tr w:rsidR="00FC17FF" w:rsidRPr="00D439D1" w:rsidTr="00FC17FF">
        <w:trPr>
          <w:trHeight w:val="589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подпомагане на диверсификацията и новите източници на приходи (член 19)</w:t>
            </w:r>
          </w:p>
        </w:tc>
      </w:tr>
      <w:tr w:rsidR="00FC17FF" w:rsidRPr="00D439D1" w:rsidTr="00FC17FF">
        <w:trPr>
          <w:trHeight w:val="481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първо придобиване на риболовен кораб (член 20)</w:t>
            </w:r>
          </w:p>
        </w:tc>
      </w:tr>
      <w:tr w:rsidR="00FC17FF" w:rsidRPr="00D439D1" w:rsidTr="00FC17FF">
        <w:trPr>
          <w:trHeight w:val="469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подобряване на здравето, безопасността и условията на труд на рибарите (член 21)</w:t>
            </w:r>
          </w:p>
        </w:tc>
      </w:tr>
      <w:tr w:rsidR="00FC17FF" w:rsidRPr="00D439D1" w:rsidTr="00FC17FF">
        <w:trPr>
          <w:trHeight w:val="481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заплащане на застрахователни премии и за финансови вноски във взаимоспомагателни фондове (член 22)</w:t>
            </w:r>
          </w:p>
        </w:tc>
      </w:tr>
      <w:tr w:rsidR="00FC17FF" w:rsidRPr="00D439D1" w:rsidTr="00FC17FF">
        <w:trPr>
          <w:trHeight w:val="469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системи за подпомагане за разпределяне на възможностите за риболов (член 23)</w:t>
            </w:r>
          </w:p>
        </w:tc>
      </w:tr>
      <w:tr w:rsidR="00FC17FF" w:rsidRPr="00D439D1" w:rsidTr="00FC17FF">
        <w:trPr>
          <w:trHeight w:val="721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ограничаване на въздействието на риболова върху околната среда и за приспособяване на риболова към опазването на видовете (член 24)</w:t>
            </w:r>
          </w:p>
        </w:tc>
      </w:tr>
      <w:tr w:rsidR="00FC17FF" w:rsidRPr="00D439D1" w:rsidTr="00FC17FF">
        <w:trPr>
          <w:trHeight w:val="709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иновации, свързани с опазването на морските биологични ресурси (член 25)</w:t>
            </w:r>
          </w:p>
        </w:tc>
      </w:tr>
      <w:tr w:rsidR="00FC17FF" w:rsidRPr="00D439D1" w:rsidTr="00FC17FF">
        <w:trPr>
          <w:trHeight w:val="709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опазване и възстановяване на морското биологично разнообразие и морските екосистеми и за режимите при устойчивите риболовни дейности (член 26)</w:t>
            </w:r>
          </w:p>
        </w:tc>
      </w:tr>
      <w:tr w:rsidR="00FC17FF" w:rsidRPr="00D439D1" w:rsidTr="00FC17FF">
        <w:trPr>
          <w:trHeight w:val="7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подобряване на енергийната ефективност и за смекчаване на последствията от изменението на климата (член 27)</w:t>
            </w:r>
          </w:p>
        </w:tc>
      </w:tr>
      <w:tr w:rsidR="00FC17FF" w:rsidRPr="00D439D1" w:rsidTr="00FC17FF">
        <w:trPr>
          <w:trHeight w:val="553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добавена стойност, качество на продуктите и използване на нежелания улов (член 28)</w:t>
            </w:r>
          </w:p>
        </w:tc>
      </w:tr>
      <w:tr w:rsidR="00FC17FF" w:rsidRPr="00D439D1" w:rsidTr="00FC17FF">
        <w:trPr>
          <w:trHeight w:val="553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рибарски пристанища, кейове за разтоварване, рибни борси и покрити лодкостоянки (член 29)</w:t>
            </w:r>
          </w:p>
        </w:tc>
      </w:tr>
      <w:tr w:rsidR="00FC17FF" w:rsidRPr="00D439D1" w:rsidTr="00FC17FF">
        <w:trPr>
          <w:trHeight w:val="433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риболова във вътрешни водоеми и за водната флора и фауна във вътрешни водоеми (член 30)</w:t>
            </w:r>
          </w:p>
        </w:tc>
      </w:tr>
      <w:tr w:rsidR="00FC17FF" w:rsidRPr="00D439D1" w:rsidTr="00FC17FF">
        <w:trPr>
          <w:trHeight w:val="553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иновации в сектора на аквакултурите (член 32)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инвестиции, повишаващи производителността или оказващи положително въздействие върху околната среда в сектора на аквакултурите (член 33)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услуги по управление, възстановяване и консултантски услуги за стопанствата за аквакултури (член 34)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насърчаване на човешкия капитал и изграждането на връзки в сектора на аквакултурите (член 35)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увеличаване на потенциала на обектите за производство на аквакултури (член 36)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насърчаване на нови предприемачи на аквакултури, развиващи устойчиви аквакултури (член 37)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преминаване към схемата за управление по околна среда и одит и към биологично производство на аквакултури (член 38)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екологични услуги (член 39)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мерки в областта на общественото здраве (член 40)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мерки за здравето на животните и хуманното отношение към тях (член 41)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предотвратяване, контрол и ликвидиране на болести (член 42)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инвестиции за предотвратяване и смекчаване на щети, причинени от болести по животните (член 43)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Помощ за застраховане на запасите от аквакултури (член 44)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мерки, свързани с предлагането на пазара (член 45)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преработване на продуктите от риболов и аквакултури (член 46) 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събиране, управление, използване и обработка на данни в сектора на рибарството (член 47)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предотвратяване и смекчаване на щети, причинени от природни бедствия (член 48)</w:t>
            </w:r>
          </w:p>
        </w:tc>
      </w:tr>
      <w:tr w:rsidR="00FC17FF" w:rsidRPr="00D439D1" w:rsidTr="00FC17FF">
        <w:trPr>
          <w:trHeight w:val="445"/>
        </w:trPr>
        <w:tc>
          <w:tcPr>
            <w:tcW w:w="3708" w:type="dxa"/>
            <w:gridSpan w:val="2"/>
            <w:vMerge w:val="restart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отстраняване и компенсиране на щетите, причинени от природни бедствия в селскостопанския сектор (член 49)</w:t>
            </w:r>
          </w:p>
        </w:tc>
        <w:tc>
          <w:tcPr>
            <w:tcW w:w="2640" w:type="dxa"/>
            <w:gridSpan w:val="2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>Вид природно бедствие:</w:t>
            </w:r>
          </w:p>
        </w:tc>
        <w:tc>
          <w:tcPr>
            <w:tcW w:w="2640" w:type="dxa"/>
          </w:tcPr>
          <w:p w:rsidR="00FC17FF" w:rsidRPr="00D439D1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земетресение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лавина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свлачище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наводнение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смерч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ураган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вулканично изригванe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горски пожар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друго</w:t>
            </w:r>
          </w:p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>Моля, посочете: ….</w:t>
            </w:r>
          </w:p>
        </w:tc>
      </w:tr>
      <w:tr w:rsidR="00FC17FF" w:rsidRPr="00D439D1" w:rsidTr="00FC17FF">
        <w:trPr>
          <w:trHeight w:val="185"/>
        </w:trPr>
        <w:tc>
          <w:tcPr>
            <w:tcW w:w="3708" w:type="dxa"/>
            <w:gridSpan w:val="2"/>
            <w:vMerge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0" w:type="dxa"/>
            <w:gridSpan w:val="2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>Дата на възникване на природното бедствие:</w:t>
            </w:r>
          </w:p>
        </w:tc>
        <w:tc>
          <w:tcPr>
            <w:tcW w:w="2640" w:type="dxa"/>
          </w:tcPr>
          <w:p w:rsidR="00FC17FF" w:rsidRPr="00D439D1" w:rsidRDefault="00FC17FF" w:rsidP="00FC17FF">
            <w:pPr>
              <w:spacing w:before="40" w:after="4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>от дд/мм/гггг до дд/мм/гггг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предотвратяване и смекчаване на щети, причинени от неблагоприятни климатични събития, които могат да бъдат приравнени на природно бедствие (член 50)</w:t>
            </w:r>
          </w:p>
        </w:tc>
      </w:tr>
      <w:tr w:rsidR="00FC17FF" w:rsidRPr="00D439D1" w:rsidTr="00FC17FF">
        <w:trPr>
          <w:trHeight w:val="1173"/>
        </w:trPr>
        <w:tc>
          <w:tcPr>
            <w:tcW w:w="3696" w:type="dxa"/>
            <w:vMerge w:val="restart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отстраняване и компенсиране на щетите, причинени от неблагоприятни климатични събития, които могат да бъдат приравнени на природно бедствие (член 51)</w:t>
            </w:r>
          </w:p>
        </w:tc>
        <w:tc>
          <w:tcPr>
            <w:tcW w:w="2646" w:type="dxa"/>
            <w:gridSpan w:val="2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 xml:space="preserve">Вид на събитието: </w:t>
            </w:r>
          </w:p>
        </w:tc>
        <w:tc>
          <w:tcPr>
            <w:tcW w:w="2646" w:type="dxa"/>
            <w:gridSpan w:val="2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слана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бури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градушка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силен или проливен валеж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тежки суши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друго</w:t>
            </w:r>
          </w:p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t>Моля, посочете: …….</w:t>
            </w:r>
          </w:p>
        </w:tc>
      </w:tr>
      <w:tr w:rsidR="00FC17FF" w:rsidRPr="00D439D1" w:rsidTr="00FC17FF">
        <w:trPr>
          <w:trHeight w:val="721"/>
        </w:trPr>
        <w:tc>
          <w:tcPr>
            <w:tcW w:w="3696" w:type="dxa"/>
            <w:vMerge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</w:p>
        </w:tc>
        <w:tc>
          <w:tcPr>
            <w:tcW w:w="2646" w:type="dxa"/>
            <w:gridSpan w:val="2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>Дата на събитието:</w:t>
            </w:r>
          </w:p>
        </w:tc>
        <w:tc>
          <w:tcPr>
            <w:tcW w:w="2646" w:type="dxa"/>
            <w:gridSpan w:val="2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t>от дд/мм/гггг до дд/мм/гггг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предотвратяване и смекчаване на щети, причинени от защитени животни (член 52)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отстраняване и компенсиране на щетите, причинени от защитени животни (член 53)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за проекти за ВОМР (член 54)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Помощ в ограничен размер за проекти за ВОМР (член 55)</w:t>
            </w:r>
          </w:p>
        </w:tc>
      </w:tr>
      <w:tr w:rsidR="00FC17FF" w:rsidRPr="00D439D1" w:rsidTr="00FC17FF">
        <w:trPr>
          <w:trHeight w:val="445"/>
        </w:trPr>
        <w:tc>
          <w:tcPr>
            <w:tcW w:w="8988" w:type="dxa"/>
            <w:gridSpan w:val="5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ab/>
              <w:t>Освобождаване от данъци и намаляване на облагането съгласно Директива 2003/96/ЕО (член 56)</w:t>
            </w:r>
          </w:p>
        </w:tc>
      </w:tr>
      <w:tr w:rsidR="00FC17FF" w:rsidRPr="00D439D1" w:rsidTr="00FC17FF">
        <w:trPr>
          <w:trHeight w:val="2561"/>
        </w:trPr>
        <w:tc>
          <w:tcPr>
            <w:tcW w:w="3708" w:type="dxa"/>
            <w:gridSpan w:val="2"/>
          </w:tcPr>
          <w:p w:rsidR="00FC17FF" w:rsidRPr="00D439D1" w:rsidRDefault="00FC17FF" w:rsidP="00FC17FF">
            <w:pPr>
              <w:spacing w:after="0"/>
              <w:rPr>
                <w:noProof/>
                <w:szCs w:val="24"/>
              </w:rPr>
            </w:pPr>
            <w:r w:rsidRPr="00D439D1">
              <w:rPr>
                <w:noProof/>
              </w:rPr>
              <w:t>Обосновка</w:t>
            </w:r>
          </w:p>
        </w:tc>
        <w:tc>
          <w:tcPr>
            <w:tcW w:w="5280" w:type="dxa"/>
            <w:gridSpan w:val="3"/>
          </w:tcPr>
          <w:p w:rsidR="00FC17FF" w:rsidRPr="00D439D1" w:rsidRDefault="00FC17FF" w:rsidP="00FC17FF">
            <w:pPr>
              <w:spacing w:after="0"/>
              <w:rPr>
                <w:bCs/>
                <w:noProof/>
                <w:szCs w:val="24"/>
              </w:rPr>
            </w:pPr>
            <w:r w:rsidRPr="00D439D1">
              <w:rPr>
                <w:noProof/>
                <w:color w:val="000000"/>
              </w:rPr>
              <w:t xml:space="preserve">Посочете основанието, поради което е била създадена държавна схема за помощ или е била предоставена помощ </w:t>
            </w:r>
            <w:r w:rsidRPr="00D439D1">
              <w:rPr>
                <w:i/>
                <w:noProof/>
                <w:color w:val="000000"/>
              </w:rPr>
              <w:t>ad hoc</w:t>
            </w:r>
            <w:r w:rsidRPr="00D439D1">
              <w:rPr>
                <w:noProof/>
                <w:color w:val="000000"/>
              </w:rPr>
              <w:t xml:space="preserve"> вместо подпомагане в рамките на Европейския фонд за морско дело, рибарство и аквакултури (ЕФМДРА):</w:t>
            </w:r>
            <w:r w:rsidRPr="00D439D1">
              <w:rPr>
                <w:noProof/>
              </w:rPr>
              <w:t xml:space="preserve"> </w:t>
            </w:r>
            <w:r w:rsidRPr="00D439D1">
              <w:rPr>
                <w:noProof/>
              </w:rPr>
              <w:br/>
            </w:r>
          </w:p>
          <w:p w:rsidR="00FC17FF" w:rsidRPr="00D439D1" w:rsidRDefault="00FC17FF" w:rsidP="00FC17FF">
            <w:pPr>
              <w:spacing w:before="40"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мярката не е обхваната от националната оперативна програма;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определяне на приоритети при разпределянето на средства в рамките на националната оперативна програма;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финансиране по ЕФМДРА вече не е възможно;</w:t>
            </w:r>
          </w:p>
          <w:p w:rsidR="00FC17FF" w:rsidRPr="00D439D1" w:rsidRDefault="00FC17FF" w:rsidP="00FC17FF">
            <w:pPr>
              <w:spacing w:after="40"/>
              <w:rPr>
                <w:noProof/>
                <w:szCs w:val="24"/>
              </w:rPr>
            </w:pPr>
            <w:r w:rsidRPr="00D439D1"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39D1">
              <w:rPr>
                <w:noProof/>
              </w:rPr>
              <w:instrText xml:space="preserve"> FORMCHECKBOX </w:instrText>
            </w:r>
            <w:r w:rsidR="006F354F">
              <w:rPr>
                <w:noProof/>
              </w:rPr>
            </w:r>
            <w:r w:rsidR="006F354F">
              <w:rPr>
                <w:noProof/>
              </w:rPr>
              <w:fldChar w:fldCharType="separate"/>
            </w:r>
            <w:r w:rsidRPr="00D439D1">
              <w:rPr>
                <w:noProof/>
              </w:rPr>
              <w:fldChar w:fldCharType="end"/>
            </w:r>
            <w:r w:rsidRPr="00D439D1">
              <w:rPr>
                <w:noProof/>
              </w:rPr>
              <w:t xml:space="preserve"> </w:t>
            </w:r>
            <w:r w:rsidRPr="00D439D1">
              <w:rPr>
                <w:noProof/>
                <w:color w:val="000000"/>
              </w:rPr>
              <w:t>друго</w:t>
            </w:r>
            <w:r w:rsidRPr="00D439D1">
              <w:rPr>
                <w:noProof/>
              </w:rPr>
              <w:t xml:space="preserve"> </w:t>
            </w:r>
            <w:r w:rsidRPr="00D439D1">
              <w:rPr>
                <w:noProof/>
              </w:rPr>
              <w:br/>
            </w:r>
            <w:r w:rsidRPr="00D439D1">
              <w:rPr>
                <w:noProof/>
                <w:color w:val="000000"/>
              </w:rPr>
              <w:t>Моля да се посочи: …….…….</w:t>
            </w:r>
          </w:p>
        </w:tc>
      </w:tr>
    </w:tbl>
    <w:p w:rsidR="0019532E" w:rsidRPr="00D439D1" w:rsidRDefault="0019532E" w:rsidP="0019532E">
      <w:pPr>
        <w:rPr>
          <w:noProof/>
        </w:rPr>
      </w:pPr>
    </w:p>
    <w:sectPr w:rsidR="0019532E" w:rsidRPr="00D439D1" w:rsidSect="006F354F">
      <w:pgSz w:w="11907" w:h="16839"/>
      <w:pgMar w:top="1134" w:right="1417" w:bottom="1134" w:left="141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1304" w:rsidRDefault="000A1304" w:rsidP="007720B7">
      <w:pPr>
        <w:spacing w:before="0" w:after="0"/>
      </w:pPr>
      <w:r>
        <w:separator/>
      </w:r>
    </w:p>
  </w:endnote>
  <w:endnote w:type="continuationSeparator" w:id="0">
    <w:p w:rsidR="000A1304" w:rsidRDefault="000A1304" w:rsidP="007720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1304" w:rsidRDefault="000A1304" w:rsidP="007720B7">
      <w:pPr>
        <w:spacing w:before="0" w:after="0"/>
      </w:pPr>
      <w:r>
        <w:separator/>
      </w:r>
    </w:p>
  </w:footnote>
  <w:footnote w:type="continuationSeparator" w:id="0">
    <w:p w:rsidR="000A1304" w:rsidRDefault="000A1304" w:rsidP="007720B7">
      <w:pPr>
        <w:spacing w:before="0" w:after="0"/>
      </w:pPr>
      <w:r>
        <w:continuationSeparator/>
      </w:r>
    </w:p>
  </w:footnote>
  <w:footnote w:id="1">
    <w:p w:rsidR="000A1304" w:rsidRDefault="000A1304" w:rsidP="0019532E">
      <w:pPr>
        <w:pStyle w:val="FootnoteText"/>
        <w:rPr>
          <w:rFonts w:asciiTheme="minorHAnsi" w:hAnsiTheme="minorHAnsi" w:cstheme="minorBidi"/>
        </w:rPr>
      </w:pPr>
      <w:r w:rsidRPr="00D947F6">
        <w:rPr>
          <w:rStyle w:val="FootnoteReference"/>
        </w:rPr>
        <w:footnoteRef/>
      </w:r>
      <w:r w:rsidR="00D947F6">
        <w:tab/>
      </w:r>
      <w:r>
        <w:t>NUTS = Номенклатура на териториалните единици за статистически цели. Обикновено регионът се посочва на ниво 2.</w:t>
      </w:r>
    </w:p>
  </w:footnote>
  <w:footnote w:id="2">
    <w:p w:rsidR="000A1304" w:rsidRDefault="000A1304" w:rsidP="0019532E">
      <w:pPr>
        <w:pStyle w:val="FootnoteText"/>
      </w:pPr>
      <w:r w:rsidRPr="00D947F6">
        <w:rPr>
          <w:rStyle w:val="FootnoteReference"/>
        </w:rPr>
        <w:footnoteRef/>
      </w:r>
      <w:r w:rsidR="00D947F6">
        <w:tab/>
      </w:r>
      <w:r>
        <w:t xml:space="preserve">За целите на правилата в областта на конкуренцията, определени в Договора, и за целите на настоящия регламент „предприятие“ е субект, който извършва стопанска дейност, независимо от неговия правен статут и начина на неговото финансиране. Съдът на Европейския съюз постанови, че субектите, които са под контрола (въз основа на правно основание или </w:t>
      </w:r>
      <w:r>
        <w:rPr>
          <w:i/>
        </w:rPr>
        <w:t>de facto</w:t>
      </w:r>
      <w:r>
        <w:t>) на един и същ субект, следва да се разглеждат като едно предприятие.</w:t>
      </w:r>
    </w:p>
  </w:footnote>
  <w:footnote w:id="3">
    <w:p w:rsidR="000A1304" w:rsidRDefault="000A1304" w:rsidP="0019532E">
      <w:pPr>
        <w:pStyle w:val="FootnoteText"/>
        <w:rPr>
          <w:rFonts w:asciiTheme="minorHAnsi" w:hAnsiTheme="minorHAnsi" w:cstheme="minorBidi"/>
        </w:rPr>
      </w:pPr>
      <w:r w:rsidRPr="00D947F6">
        <w:rPr>
          <w:rStyle w:val="FootnoteReference"/>
        </w:rPr>
        <w:footnoteRef/>
      </w:r>
      <w:r w:rsidR="00D947F6">
        <w:tab/>
      </w:r>
      <w:r>
        <w:t>Срок, през който предоставящият помощта орган може да се ангажира с предоставянето на помощта.</w:t>
      </w:r>
    </w:p>
  </w:footnote>
  <w:footnote w:id="4">
    <w:p w:rsidR="000A1304" w:rsidRDefault="000A1304" w:rsidP="0019532E">
      <w:pPr>
        <w:pStyle w:val="FootnoteText"/>
      </w:pPr>
      <w:r w:rsidRPr="00D947F6">
        <w:rPr>
          <w:rStyle w:val="FootnoteReference"/>
        </w:rPr>
        <w:footnoteRef/>
      </w:r>
      <w:r w:rsidR="00D947F6">
        <w:tab/>
      </w:r>
      <w:r>
        <w:t>NACE Rev. 2 — Статистическа класификация на икономическите дейности в Европейския съюз. Обикновено секторът се определя на ниво група.</w:t>
      </w:r>
    </w:p>
  </w:footnote>
  <w:footnote w:id="5">
    <w:p w:rsidR="000A1304" w:rsidRDefault="000A1304" w:rsidP="0019532E">
      <w:pPr>
        <w:pStyle w:val="FootnoteText"/>
      </w:pPr>
      <w:r w:rsidRPr="00D947F6">
        <w:rPr>
          <w:rStyle w:val="FootnoteReference"/>
        </w:rPr>
        <w:footnoteRef/>
      </w:r>
      <w:r w:rsidR="00D947F6">
        <w:tab/>
      </w:r>
      <w:r>
        <w:t>В случай на схема за подпомагане: посочва се общият годишен размер на планирания бюджет по схемата или прогнозираните данъчни загуби на година за всички механизми на помощ, съдържащи се в схемата.</w:t>
      </w:r>
    </w:p>
  </w:footnote>
  <w:footnote w:id="6">
    <w:p w:rsidR="000A1304" w:rsidRDefault="000A1304" w:rsidP="0019532E">
      <w:pPr>
        <w:pStyle w:val="FootnoteText"/>
      </w:pPr>
      <w:r w:rsidRPr="00D947F6">
        <w:rPr>
          <w:rStyle w:val="FootnoteReference"/>
        </w:rPr>
        <w:footnoteRef/>
      </w:r>
      <w:r w:rsidR="00D947F6">
        <w:tab/>
      </w:r>
      <w:r>
        <w:t xml:space="preserve">При предоставяне на помощ </w:t>
      </w:r>
      <w:r>
        <w:rPr>
          <w:i/>
        </w:rPr>
        <w:t>ad hoc</w:t>
      </w:r>
      <w:r>
        <w:t>: посочва се общият размер на помощта/данъчните загуби.</w:t>
      </w:r>
    </w:p>
  </w:footnote>
  <w:footnote w:id="7">
    <w:p w:rsidR="000A1304" w:rsidRDefault="000A1304" w:rsidP="0019532E">
      <w:pPr>
        <w:pStyle w:val="FootnoteText"/>
      </w:pPr>
      <w:r w:rsidRPr="00D947F6">
        <w:rPr>
          <w:rStyle w:val="FootnoteReference"/>
        </w:rPr>
        <w:footnoteRef/>
      </w:r>
      <w:r w:rsidR="00D947F6">
        <w:tab/>
      </w:r>
      <w:r>
        <w:t>За гаранции се посочва (максималният) размер на обезпечените заеми.</w:t>
      </w:r>
    </w:p>
  </w:footnote>
  <w:footnote w:id="8">
    <w:p w:rsidR="000A1304" w:rsidRDefault="000A1304" w:rsidP="0019532E">
      <w:pPr>
        <w:pStyle w:val="FootnoteText"/>
      </w:pPr>
      <w:r w:rsidRPr="00D947F6">
        <w:rPr>
          <w:rStyle w:val="FootnoteReference"/>
        </w:rPr>
        <w:footnoteRef/>
      </w:r>
      <w:r w:rsidR="00D947F6">
        <w:tab/>
      </w:r>
      <w:r>
        <w:t>Ако е уместно, позоваване на решението на Комисията за одобряване на методиката за изчисляване на брутния еквивалент на безвъзмездна помощ в съответствие с член 5, параграф 2, буква в).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D8024D5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8D640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751072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916222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FBA8C5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1A5470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55283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C29A21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1E46D67"/>
    <w:multiLevelType w:val="hybridMultilevel"/>
    <w:tmpl w:val="B5C85434"/>
    <w:lvl w:ilvl="0" w:tplc="AF886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6A6901C1"/>
    <w:multiLevelType w:val="singleLevel"/>
    <w:tmpl w:val="208841AE"/>
    <w:name w:val="931210477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407266446">
    <w:abstractNumId w:val="23"/>
  </w:num>
  <w:num w:numId="2" w16cid:durableId="1745250761">
    <w:abstractNumId w:val="7"/>
  </w:num>
  <w:num w:numId="3" w16cid:durableId="1144856353">
    <w:abstractNumId w:val="5"/>
  </w:num>
  <w:num w:numId="4" w16cid:durableId="562985578">
    <w:abstractNumId w:val="4"/>
  </w:num>
  <w:num w:numId="5" w16cid:durableId="260533573">
    <w:abstractNumId w:val="3"/>
  </w:num>
  <w:num w:numId="6" w16cid:durableId="186910975">
    <w:abstractNumId w:val="6"/>
  </w:num>
  <w:num w:numId="7" w16cid:durableId="1745299188">
    <w:abstractNumId w:val="2"/>
  </w:num>
  <w:num w:numId="8" w16cid:durableId="289747925">
    <w:abstractNumId w:val="1"/>
  </w:num>
  <w:num w:numId="9" w16cid:durableId="1454400569">
    <w:abstractNumId w:val="0"/>
  </w:num>
  <w:num w:numId="10" w16cid:durableId="347488609">
    <w:abstractNumId w:val="9"/>
  </w:num>
  <w:num w:numId="11" w16cid:durableId="267391319">
    <w:abstractNumId w:val="20"/>
  </w:num>
  <w:num w:numId="12" w16cid:durableId="2117212433">
    <w:abstractNumId w:val="13"/>
  </w:num>
  <w:num w:numId="13" w16cid:durableId="1733576324">
    <w:abstractNumId w:val="22"/>
  </w:num>
  <w:num w:numId="14" w16cid:durableId="337848371">
    <w:abstractNumId w:val="12"/>
  </w:num>
  <w:num w:numId="15" w16cid:durableId="1118839660">
    <w:abstractNumId w:val="14"/>
  </w:num>
  <w:num w:numId="16" w16cid:durableId="210462736">
    <w:abstractNumId w:val="15"/>
  </w:num>
  <w:num w:numId="17" w16cid:durableId="1497528350">
    <w:abstractNumId w:val="10"/>
  </w:num>
  <w:num w:numId="18" w16cid:durableId="963778949">
    <w:abstractNumId w:val="21"/>
  </w:num>
  <w:num w:numId="19" w16cid:durableId="801772819">
    <w:abstractNumId w:val="8"/>
  </w:num>
  <w:num w:numId="20" w16cid:durableId="1234702773">
    <w:abstractNumId w:val="16"/>
  </w:num>
  <w:num w:numId="21" w16cid:durableId="373577789">
    <w:abstractNumId w:val="18"/>
  </w:num>
  <w:num w:numId="22" w16cid:durableId="1081677928">
    <w:abstractNumId w:val="19"/>
  </w:num>
  <w:num w:numId="23" w16cid:durableId="179664992">
    <w:abstractNumId w:val="11"/>
  </w:num>
  <w:num w:numId="24" w16cid:durableId="308637578">
    <w:abstractNumId w:val="17"/>
  </w:num>
  <w:num w:numId="25" w16cid:durableId="2144501096">
    <w:abstractNumId w:val="24"/>
  </w:num>
  <w:num w:numId="26" w16cid:durableId="377558452">
    <w:abstractNumId w:val="20"/>
  </w:num>
  <w:num w:numId="27" w16cid:durableId="1769504617">
    <w:abstractNumId w:val="13"/>
  </w:num>
  <w:num w:numId="28" w16cid:durableId="1417555916">
    <w:abstractNumId w:val="22"/>
  </w:num>
  <w:num w:numId="29" w16cid:durableId="678657050">
    <w:abstractNumId w:val="12"/>
  </w:num>
  <w:num w:numId="30" w16cid:durableId="495847568">
    <w:abstractNumId w:val="14"/>
  </w:num>
  <w:num w:numId="31" w16cid:durableId="372776898">
    <w:abstractNumId w:val="15"/>
  </w:num>
  <w:num w:numId="32" w16cid:durableId="1376738923">
    <w:abstractNumId w:val="10"/>
  </w:num>
  <w:num w:numId="33" w16cid:durableId="1508516440">
    <w:abstractNumId w:val="21"/>
  </w:num>
  <w:num w:numId="34" w16cid:durableId="1105461639">
    <w:abstractNumId w:val="8"/>
  </w:num>
  <w:num w:numId="35" w16cid:durableId="1219363398">
    <w:abstractNumId w:val="16"/>
  </w:num>
  <w:num w:numId="36" w16cid:durableId="1185091304">
    <w:abstractNumId w:val="18"/>
  </w:num>
  <w:num w:numId="37" w16cid:durableId="629745142">
    <w:abstractNumId w:val="19"/>
  </w:num>
  <w:num w:numId="38" w16cid:durableId="1034310784">
    <w:abstractNumId w:val="11"/>
  </w:num>
  <w:num w:numId="39" w16cid:durableId="1827437285">
    <w:abstractNumId w:val="17"/>
  </w:num>
  <w:num w:numId="40" w16cid:durableId="15814486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hideSpellingErrors/>
  <w:hideGrammaticalErrors/>
  <w:attachedTemplate r:id="rId1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QCDateTime" w:val="2022-12-12 18:18:27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ACCOMPAGNANT" w:val="\u1082?\u1098?\u1084?"/>
    <w:docVar w:name="LW_ACCOMPAGNANT.CP" w:val="към"/>
    <w:docVar w:name="LW_ANNEX_NBR_FIRST" w:val="1"/>
    <w:docVar w:name="LW_ANNEX_NBR_LAST" w:val="4"/>
    <w:docVar w:name="LW_ANNEX_UNIQUE" w:val="0"/>
    <w:docVar w:name="LW_CORRIGENDUM" w:val="&lt;UNUSED&gt;"/>
    <w:docVar w:name="LW_COVERPAGE_EXISTS" w:val="True"/>
    <w:docVar w:name="LW_COVERPAGE_GUID" w:val="145F8758-79A5-48F6-A62A-5DC768DB4068"/>
    <w:docVar w:name="LW_COVERPAGE_TYPE" w:val="1"/>
    <w:docVar w:name="LW_CROSSREFERENCE" w:val="{SEC(2022) 441 final} - {SWD(2022) 408 final} - {SWD(2022) 409 final}"/>
    <w:docVar w:name="LW_DocType" w:val="ANNEX"/>
    <w:docVar w:name="LW_EMISSION" w:val="14.12.2022"/>
    <w:docVar w:name="LW_EMISSION_ISODATE" w:val="2022-12-14"/>
    <w:docVar w:name="LW_EMISSION_LOCATION" w:val="BRX"/>
    <w:docVar w:name="LW_EMISSION_PREFIX" w:val="\u1041?\u1088?\u1102?\u1082?\u1089?\u1077?\u1083?, "/>
    <w:docVar w:name="LW_EMISSION_SUFFIX" w:val=" \u1075?."/>
    <w:docVar w:name="LW_ID_DOCSTRUCTURE" w:val="COM/ANNEX"/>
    <w:docVar w:name="LW_ID_DOCTYPE" w:val="SG-068"/>
    <w:docVar w:name="LW_LANGUE" w:val="BG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OBJETACTEPRINCIPAL" w:val="\u1079?\u1072? \u1086?\u1073?\u1103?\u1074?\u1103?\u1074?\u1072?\u1085?\u1077? \u1085?\u1072? \u1085?\u1103?\u1082?\u1086?\u1080? \u1082?\u1072?\u1090?\u1077?\u1075?\u1086?\u1088?\u1080?\u1080? \u1087?\u1086?\u1084?\u1086?\u1097?\u1080? \u8212? \u1079?\u1072? \u1087?\u1088?\u1077?\u1076?\u1087?\u1088?\u1080?\u1103?\u1090?\u1080?\u1103?, \u1082?\u1086?\u1080?\u1090?\u1086? \u1087?\u1088?\u1086?\u1080?\u1079?\u1074?\u1077?\u1078?\u1076?\u1072?\u1090?, \u1087?\u1088?\u1077?\u1088?\u1072?\u1073?\u1086?\u1090?\u1074?\u1072?\u1090? \u1080? \u1087?\u1088?\u1077?\u1076?\u1083?\u1072?\u1075?\u1072?\u1090? \u1085?\u1072? \u1087?\u1072?\u1079?\u1072?\u1088?\u1072? \u1087?\u1088?\u1086?\u1076?\u1091?\u1082?\u1090?\u1080? \u1086?\u1090? \u1088?\u1080?\u1073?\u1086?\u1083?\u1086?\u1074? \u1080? \u1072?\u1082?\u1074?\u1072?\u1082?\u1091?\u1083?\u1090?\u1091?\u1088?\u1080? \u8212? \u1079?\u1072? \u1089?\u1098?\u1074?\u1084?\u1077?\u1089?\u1090?\u1080?\u1084?\u1080? \u1089? \u1074?\u1098?\u1090?\u1088?\u1077?\u1096?\u1085?\u1080?\u1103? \u1087?\u1072?\u1079?\u1072?\u1088? \u1074? \u1087?\u1088?\u1080?\u1083?\u1086?\u1078?\u1077?\u1085?\u1080?\u1077? \u1085?\u1072? \u1095?\u1083?\u1077?\u1085?\u1086?\u1074?\u1077? 107 \u1080? 108 \u1086?\u1090? \u1044?\u1086?\u1075?\u1086?\u1074?\u1086?\u1088?\u1072? \u1079?\u1072? \u1092?\u1091?\u1085?\u1082?\u1094?\u1080?\u1086?\u1085?\u1080?\u1088?\u1072?\u1085?\u1077?\u1090?\u1086? \u1085?\u1072? \u1045?\u1074?\u1088?\u1086?\u1087?\u1077?\u1081?\u1089?\u1082?\u1080?\u1103? \u1089?\u1098?\u1102?\u1079?"/>
    <w:docVar w:name="LW_OBJETACTEPRINCIPAL.CP" w:val="за обявяване на някои категории помощи — за предприятия, които произвеждат, преработват и предлагат на пазара продукти от риболов и аквакултури — за съвместими с вътрешния пазар в приложение на членове 107 и 108 от Договора за функционирането на Европейския съюз"/>
    <w:docVar w:name="LW_PART_NBR" w:val="&lt;UNUSED&gt;"/>
    <w:docVar w:name="LW_PART_NBR_TOTAL" w:val="&lt;UNUSED&gt;"/>
    <w:docVar w:name="LW_REF.INST.NEW" w:val="C"/>
    <w:docVar w:name="LW_REF.INST.NEW_ADOPTED" w:val="final"/>
    <w:docVar w:name="LW_REF.INST.NEW_TEXT" w:val="(2022) 9139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\u1055?\u1056?\u1048?\u1051?\u1054?\u1046?\u1045?\u1053?\u1048?\u1071?"/>
    <w:docVar w:name="LW_TYPE.DOC.CP" w:val="ПРИЛОЖЕНИЯ"/>
    <w:docVar w:name="LW_TYPEACTEPRINCIPAL" w:val="\u1056?\u1045?\u1043?\u1051?\u1040?\u1052?\u1045?\u1053?\u1058? (\u1045?\u1057?) \u8470? .../... \u1053?\u1040? \u1050?\u1054?\u1052?\u1048?\u1057?\u1048?\u1071?\u1058?\u1040?"/>
    <w:docVar w:name="LW_TYPEACTEPRINCIPAL.CP" w:val="РЕГЛАМЕНТ (ЕС) № .../... НА КОМИСИЯТА"/>
    <w:docVar w:name="LwApiVersions" w:val="LW4CoDe 1.23.2.0; LW 8.0, Build 20211117"/>
  </w:docVars>
  <w:rsids>
    <w:rsidRoot w:val="007720B7"/>
    <w:rsid w:val="00010986"/>
    <w:rsid w:val="0005302C"/>
    <w:rsid w:val="000701AF"/>
    <w:rsid w:val="00075125"/>
    <w:rsid w:val="00096DAD"/>
    <w:rsid w:val="0009723E"/>
    <w:rsid w:val="000A1304"/>
    <w:rsid w:val="000C0A3C"/>
    <w:rsid w:val="000D3B4F"/>
    <w:rsid w:val="000F6A9D"/>
    <w:rsid w:val="001056FA"/>
    <w:rsid w:val="00114C1F"/>
    <w:rsid w:val="0011561C"/>
    <w:rsid w:val="001479E4"/>
    <w:rsid w:val="00152894"/>
    <w:rsid w:val="0015541B"/>
    <w:rsid w:val="001627E2"/>
    <w:rsid w:val="0019532E"/>
    <w:rsid w:val="002016B5"/>
    <w:rsid w:val="0025376E"/>
    <w:rsid w:val="00256FE6"/>
    <w:rsid w:val="00257362"/>
    <w:rsid w:val="00267706"/>
    <w:rsid w:val="00274670"/>
    <w:rsid w:val="002C3D52"/>
    <w:rsid w:val="002D6D6D"/>
    <w:rsid w:val="002E250E"/>
    <w:rsid w:val="00323AA1"/>
    <w:rsid w:val="00325B4F"/>
    <w:rsid w:val="00357589"/>
    <w:rsid w:val="003A2E6C"/>
    <w:rsid w:val="003A58F3"/>
    <w:rsid w:val="003A64C6"/>
    <w:rsid w:val="003B217D"/>
    <w:rsid w:val="003B3E5A"/>
    <w:rsid w:val="003B5EBD"/>
    <w:rsid w:val="003C41CB"/>
    <w:rsid w:val="003F1708"/>
    <w:rsid w:val="004400C7"/>
    <w:rsid w:val="00442ED7"/>
    <w:rsid w:val="00451E2C"/>
    <w:rsid w:val="0045398F"/>
    <w:rsid w:val="004B3AC8"/>
    <w:rsid w:val="004C52F0"/>
    <w:rsid w:val="004F447D"/>
    <w:rsid w:val="005365AB"/>
    <w:rsid w:val="00550DF7"/>
    <w:rsid w:val="005A370F"/>
    <w:rsid w:val="005A5AE2"/>
    <w:rsid w:val="005C14A2"/>
    <w:rsid w:val="005F2C26"/>
    <w:rsid w:val="006207B1"/>
    <w:rsid w:val="00623441"/>
    <w:rsid w:val="00637CA3"/>
    <w:rsid w:val="00641F21"/>
    <w:rsid w:val="0064681B"/>
    <w:rsid w:val="00691352"/>
    <w:rsid w:val="00692EEB"/>
    <w:rsid w:val="006C2751"/>
    <w:rsid w:val="006F354F"/>
    <w:rsid w:val="006F3C12"/>
    <w:rsid w:val="00702282"/>
    <w:rsid w:val="0074216E"/>
    <w:rsid w:val="00742E88"/>
    <w:rsid w:val="007720B7"/>
    <w:rsid w:val="00776AFA"/>
    <w:rsid w:val="0078415E"/>
    <w:rsid w:val="007B057B"/>
    <w:rsid w:val="007F007D"/>
    <w:rsid w:val="007F17A7"/>
    <w:rsid w:val="0080130B"/>
    <w:rsid w:val="00817397"/>
    <w:rsid w:val="00824438"/>
    <w:rsid w:val="00836933"/>
    <w:rsid w:val="00842632"/>
    <w:rsid w:val="0084680E"/>
    <w:rsid w:val="00880213"/>
    <w:rsid w:val="00895161"/>
    <w:rsid w:val="008C1036"/>
    <w:rsid w:val="008C7AF5"/>
    <w:rsid w:val="008D6067"/>
    <w:rsid w:val="008E258D"/>
    <w:rsid w:val="00913945"/>
    <w:rsid w:val="00920185"/>
    <w:rsid w:val="00955689"/>
    <w:rsid w:val="00965771"/>
    <w:rsid w:val="00966C3B"/>
    <w:rsid w:val="00967035"/>
    <w:rsid w:val="00973247"/>
    <w:rsid w:val="00983339"/>
    <w:rsid w:val="00990C76"/>
    <w:rsid w:val="009B217B"/>
    <w:rsid w:val="009C246D"/>
    <w:rsid w:val="009D2053"/>
    <w:rsid w:val="009E7B27"/>
    <w:rsid w:val="00A0708A"/>
    <w:rsid w:val="00A13419"/>
    <w:rsid w:val="00A56649"/>
    <w:rsid w:val="00A57F00"/>
    <w:rsid w:val="00AA6B58"/>
    <w:rsid w:val="00AB5ABD"/>
    <w:rsid w:val="00AC095B"/>
    <w:rsid w:val="00AE4875"/>
    <w:rsid w:val="00AE5793"/>
    <w:rsid w:val="00B01186"/>
    <w:rsid w:val="00B15298"/>
    <w:rsid w:val="00B16EEF"/>
    <w:rsid w:val="00B2365F"/>
    <w:rsid w:val="00B25898"/>
    <w:rsid w:val="00B62194"/>
    <w:rsid w:val="00B62C16"/>
    <w:rsid w:val="00B82F7B"/>
    <w:rsid w:val="00B85448"/>
    <w:rsid w:val="00B90055"/>
    <w:rsid w:val="00B948EE"/>
    <w:rsid w:val="00BF7FED"/>
    <w:rsid w:val="00C40797"/>
    <w:rsid w:val="00C477B4"/>
    <w:rsid w:val="00C6692A"/>
    <w:rsid w:val="00C70F30"/>
    <w:rsid w:val="00C7167D"/>
    <w:rsid w:val="00C92C6B"/>
    <w:rsid w:val="00CD534E"/>
    <w:rsid w:val="00CE2015"/>
    <w:rsid w:val="00CE3045"/>
    <w:rsid w:val="00CE32A7"/>
    <w:rsid w:val="00D2446F"/>
    <w:rsid w:val="00D25FAC"/>
    <w:rsid w:val="00D34584"/>
    <w:rsid w:val="00D439D1"/>
    <w:rsid w:val="00D47339"/>
    <w:rsid w:val="00D5066C"/>
    <w:rsid w:val="00D535CF"/>
    <w:rsid w:val="00D65A22"/>
    <w:rsid w:val="00D76F18"/>
    <w:rsid w:val="00D8312A"/>
    <w:rsid w:val="00D9159E"/>
    <w:rsid w:val="00D93F3C"/>
    <w:rsid w:val="00D947F6"/>
    <w:rsid w:val="00D94CD0"/>
    <w:rsid w:val="00D97F61"/>
    <w:rsid w:val="00DD3108"/>
    <w:rsid w:val="00DF68E6"/>
    <w:rsid w:val="00E37149"/>
    <w:rsid w:val="00E42D10"/>
    <w:rsid w:val="00E46AAD"/>
    <w:rsid w:val="00E4704A"/>
    <w:rsid w:val="00EB4DBF"/>
    <w:rsid w:val="00EE1F0B"/>
    <w:rsid w:val="00F5208E"/>
    <w:rsid w:val="00FC17FF"/>
    <w:rsid w:val="00FC4499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8A4D60F"/>
  <w15:docId w15:val="{5E085342-BB38-49B9-B9BC-FE1E8BD0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33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33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33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0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772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2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20B7"/>
    <w:rPr>
      <w:rFonts w:ascii="Times New Roman" w:hAnsi="Times New Roman" w:cs="Times New Roman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7720B7"/>
    <w:rPr>
      <w:color w:val="0000FF" w:themeColor="hyperlink"/>
      <w:u w:val="single"/>
    </w:rPr>
  </w:style>
  <w:style w:type="paragraph" w:customStyle="1" w:styleId="ListBullet1">
    <w:name w:val="List Bullet 1"/>
    <w:basedOn w:val="Normal"/>
    <w:rsid w:val="007720B7"/>
    <w:pPr>
      <w:numPr>
        <w:numId w:val="1"/>
      </w:numPr>
    </w:pPr>
    <w:rPr>
      <w:rFonts w:eastAsia="Times New Roman"/>
      <w:szCs w:val="24"/>
      <w:lang w:eastAsia="de-DE"/>
    </w:rPr>
  </w:style>
  <w:style w:type="table" w:styleId="TableGrid">
    <w:name w:val="Table Grid"/>
    <w:basedOn w:val="TableNormal"/>
    <w:uiPriority w:val="59"/>
    <w:rsid w:val="00772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B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B7"/>
    <w:rPr>
      <w:rFonts w:ascii="Segoe UI" w:hAnsi="Segoe UI" w:cs="Segoe UI"/>
      <w:sz w:val="18"/>
      <w:szCs w:val="18"/>
      <w:lang w:val="bg-BG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27E2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27E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627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27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27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27E2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627E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27E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27E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27E2"/>
    <w:pPr>
      <w:numPr>
        <w:numId w:val="9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167D"/>
    <w:rPr>
      <w:rFonts w:ascii="Times New Roman" w:hAnsi="Times New Roman" w:cs="Times New Roman"/>
      <w:b/>
      <w:b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E46AAD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46AAD"/>
    <w:rPr>
      <w:rFonts w:ascii="Times New Roman" w:hAnsi="Times New Roman" w:cs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46AA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E46AAD"/>
    <w:rPr>
      <w:rFonts w:ascii="Times New Roman" w:hAnsi="Times New Roman" w:cs="Times New Roman"/>
      <w:sz w:val="24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shd w:val="clear" w:color="auto" w:fill="auto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E46AAD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E46AA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E46A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E46AAD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E46A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26"/>
      </w:numPr>
    </w:pPr>
  </w:style>
  <w:style w:type="paragraph" w:customStyle="1" w:styleId="Tiret1">
    <w:name w:val="Tiret 1"/>
    <w:basedOn w:val="Point1"/>
    <w:pPr>
      <w:numPr>
        <w:numId w:val="27"/>
      </w:numPr>
    </w:pPr>
  </w:style>
  <w:style w:type="paragraph" w:customStyle="1" w:styleId="Tiret2">
    <w:name w:val="Tiret 2"/>
    <w:basedOn w:val="Point2"/>
    <w:pPr>
      <w:numPr>
        <w:numId w:val="28"/>
      </w:numPr>
    </w:pPr>
  </w:style>
  <w:style w:type="paragraph" w:customStyle="1" w:styleId="Tiret3">
    <w:name w:val="Tiret 3"/>
    <w:basedOn w:val="Point3"/>
    <w:pPr>
      <w:numPr>
        <w:numId w:val="29"/>
      </w:numPr>
    </w:pPr>
  </w:style>
  <w:style w:type="paragraph" w:customStyle="1" w:styleId="Tiret4">
    <w:name w:val="Tiret 4"/>
    <w:basedOn w:val="Point4"/>
    <w:pPr>
      <w:numPr>
        <w:numId w:val="30"/>
      </w:numPr>
    </w:pPr>
  </w:style>
  <w:style w:type="paragraph" w:customStyle="1" w:styleId="Tiret5">
    <w:name w:val="Tiret 5"/>
    <w:basedOn w:val="Point5"/>
    <w:pPr>
      <w:numPr>
        <w:numId w:val="31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2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32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32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32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32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34"/>
      </w:numPr>
    </w:pPr>
  </w:style>
  <w:style w:type="paragraph" w:customStyle="1" w:styleId="Point1number">
    <w:name w:val="Point 1 (number)"/>
    <w:basedOn w:val="Normal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pPr>
      <w:numPr>
        <w:ilvl w:val="8"/>
        <w:numId w:val="34"/>
      </w:numPr>
    </w:pPr>
  </w:style>
  <w:style w:type="paragraph" w:customStyle="1" w:styleId="Bullet0">
    <w:name w:val="Bullet 0"/>
    <w:basedOn w:val="Normal"/>
    <w:pPr>
      <w:numPr>
        <w:numId w:val="35"/>
      </w:numPr>
    </w:pPr>
  </w:style>
  <w:style w:type="paragraph" w:customStyle="1" w:styleId="Bullet1">
    <w:name w:val="Bullet 1"/>
    <w:basedOn w:val="Normal"/>
    <w:pPr>
      <w:numPr>
        <w:numId w:val="36"/>
      </w:numPr>
    </w:pPr>
  </w:style>
  <w:style w:type="paragraph" w:customStyle="1" w:styleId="Bullet2">
    <w:name w:val="Bullet 2"/>
    <w:basedOn w:val="Normal"/>
    <w:pPr>
      <w:numPr>
        <w:numId w:val="37"/>
      </w:numPr>
    </w:pPr>
  </w:style>
  <w:style w:type="paragraph" w:customStyle="1" w:styleId="Bullet3">
    <w:name w:val="Bullet 3"/>
    <w:basedOn w:val="Normal"/>
    <w:pPr>
      <w:numPr>
        <w:numId w:val="38"/>
      </w:numPr>
    </w:pPr>
  </w:style>
  <w:style w:type="paragraph" w:customStyle="1" w:styleId="Bullet4">
    <w:name w:val="Bullet 4"/>
    <w:basedOn w:val="Normal"/>
    <w:pPr>
      <w:numPr>
        <w:numId w:val="39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ypedudocumentPagedecouverture">
    <w:name w:val="Type du document (Page de couverture)"/>
    <w:basedOn w:val="Typedudocument"/>
    <w:next w:val="Accompagnan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D6F3899EB978742823CC5188791B68D" ma:contentTypeVersion="5" ma:contentTypeDescription="Upload a any type of Document to this Document Library, Tag and Categorize." ma:contentTypeScope="" ma:versionID="472f0f5255ba9495b5afecb5983a0f67">
  <xsd:schema xmlns:xsd="http://www.w3.org/2001/XMLSchema" xmlns:xs="http://www.w3.org/2001/XMLSchema" xmlns:p="http://schemas.microsoft.com/office/2006/metadata/properties" xmlns:ns1="9f4bbdaa-dd5a-4bb7-a3f6-76c067b32c48" targetNamespace="http://schemas.microsoft.com/office/2006/metadata/properties" ma:root="true" ma:fieldsID="4418c45c1a8cac14d14fc1e636038b58" ns1:_="">
    <xsd:import namespace="9f4bbdaa-dd5a-4bb7-a3f6-76c067b32c48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g6a4a41a5c354ca892a8e7e732e66e97" minOccurs="0"/>
                <xsd:element ref="ns1:TaxCatchAll" minOccurs="0"/>
                <xsd:element ref="ns1:TaxCatchAllLabel" minOccurs="0"/>
                <xsd:element ref="ns1:p28c9e1a07b745c390916c01249af0e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bbdaa-dd5a-4bb7-a3f6-76c067b32c48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g6a4a41a5c354ca892a8e7e732e66e97" ma:index="6" nillable="true" ma:taxonomy="true" ma:internalName="g6a4a41a5c354ca892a8e7e732e66e97" ma:taxonomyFieldName="documentGeneralTags" ma:displayName="General Tags" ma:fieldId="{06a4a41a-5c35-4ca8-92a8-e7e732e66e97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950a500-978c-4c27-a021-4c2918e14205}" ma:internalName="TaxCatchAll" ma:showField="CatchAllData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950a500-978c-4c27-a021-4c2918e14205}" ma:internalName="TaxCatchAllLabel" ma:readOnly="true" ma:showField="CatchAllDataLabel" ma:web="9f4bbdaa-dd5a-4bb7-a3f6-76c067b32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28c9e1a07b745c390916c01249af0e7" ma:index="10" nillable="true" ma:taxonomy="true" ma:internalName="p28c9e1a07b745c390916c01249af0e7" ma:taxonomyFieldName="documentCaseTags" ma:displayName="Case Tags" ma:fieldId="{928c9e1a-07b7-45c3-9091-6c01249af0e7}" ma:taxonomyMulti="true" ma:sspId="0b3cc5dc-dc2a-4346-9392-57628a0b46cb" ma:termSetId="66025777-f547-420d-9cf2-e3b9f75c39d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28c9e1a07b745c390916c01249af0e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p28c9e1a07b745c390916c01249af0e7>
    <documentSummary xmlns="9f4bbdaa-dd5a-4bb7-a3f6-76c067b32c48" xsi:nil="true"/>
    <documentTitle xmlns="9f4bbdaa-dd5a-4bb7-a3f6-76c067b32c48" xsi:nil="true"/>
    <g6a4a41a5c354ca892a8e7e732e66e97 xmlns="9f4bbdaa-dd5a-4bb7-a3f6-76c067b32c4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g6a4a41a5c354ca892a8e7e732e66e97>
    <documentFollowUp xmlns="9f4bbdaa-dd5a-4bb7-a3f6-76c067b32c48" xsi:nil="true"/>
    <TaxCatchAll xmlns="9f4bbdaa-dd5a-4bb7-a3f6-76c067b32c48"/>
    <_dlc_DocId xmlns="9f4bbdaa-dd5a-4bb7-a3f6-76c067b32c48">COMPCOLLAB-335816230-436</_dlc_DocId>
    <_dlc_DocIdUrl xmlns="9f4bbdaa-dd5a-4bb7-a3f6-76c067b32c48">
      <Url>https://compcollab.ec.europa.eu/cases/HT.5822/_layouts/15/DocIdRedir.aspx?ID=COMPCOLLAB-335816230-436</Url>
      <Description>COMPCOLLAB-335816230-436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F6C4511-B2CF-4F91-A353-E483825C9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bbdaa-dd5a-4bb7-a3f6-76c067b32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9C8DD4-FAE8-4536-BE71-33BB944188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4bbdaa-dd5a-4bb7-a3f6-76c067b32c4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4E728D-AA72-4B6A-8961-758DEFBA30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C60F07-A886-4B1E-A4E2-D26F89CDA04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1</TotalTime>
  <Pages>6</Pages>
  <Words>1226</Words>
  <Characters>7041</Characters>
  <Application>Microsoft Office Word</Application>
  <DocSecurity>0</DocSecurity>
  <Lines>251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 Mateo (COMP)</dc:creator>
  <cp:keywords/>
  <dc:description/>
  <cp:lastModifiedBy>FILIPOVIC Mateo (COMP)</cp:lastModifiedBy>
  <cp:revision>2</cp:revision>
  <dcterms:created xsi:type="dcterms:W3CDTF">2023-09-18T14:06:00Z</dcterms:created>
  <dcterms:modified xsi:type="dcterms:W3CDTF">2023-09-18T14:06:00Z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Version">
    <vt:lpwstr>8.0.25.0</vt:lpwstr>
  </property>
  <property fmtid="{D5CDD505-2E9C-101B-9397-08002B2CF9AE}" pid="4" name="Last edited using">
    <vt:lpwstr>LW 9.0, Build 20230317</vt:lpwstr>
  </property>
  <property fmtid="{D5CDD505-2E9C-101B-9397-08002B2CF9AE}" pid="5" name="Created using">
    <vt:lpwstr>LW 8.0, Build 20220128</vt:lpwstr>
  </property>
  <property fmtid="{D5CDD505-2E9C-101B-9397-08002B2CF9AE}" pid="6" name="First annex">
    <vt:lpwstr>1</vt:lpwstr>
  </property>
  <property fmtid="{D5CDD505-2E9C-101B-9397-08002B2CF9AE}" pid="7" name="Last annex">
    <vt:lpwstr>4</vt:lpwstr>
  </property>
  <property fmtid="{D5CDD505-2E9C-101B-9397-08002B2CF9AE}" pid="8" name="Unique annex">
    <vt:lpwstr>0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evel of sensitivity">
    <vt:lpwstr>Standard treatment</vt:lpwstr>
  </property>
  <property fmtid="{D5CDD505-2E9C-101B-9397-08002B2CF9AE}" pid="12" name="LWTemplateID">
    <vt:lpwstr>SG-068</vt:lpwstr>
  </property>
  <property fmtid="{D5CDD505-2E9C-101B-9397-08002B2CF9AE}" pid="13" name="ContentTypeId">
    <vt:lpwstr>0x01010400988603A364794F7AA753E65AAE732805001D6F3899EB978742823CC5188791B68D</vt:lpwstr>
  </property>
  <property fmtid="{D5CDD505-2E9C-101B-9397-08002B2CF9AE}" pid="14" name="_dlc_DocIdItemGuid">
    <vt:lpwstr>029b512c-e174-4b26-b2dc-d52c6fa755fe</vt:lpwstr>
  </property>
  <property fmtid="{D5CDD505-2E9C-101B-9397-08002B2CF9AE}" pid="15" name="documentCaseTags">
    <vt:lpwstr/>
  </property>
  <property fmtid="{D5CDD505-2E9C-101B-9397-08002B2CF9AE}" pid="16" name="documentGeneralTags">
    <vt:lpwstr/>
  </property>
  <property fmtid="{D5CDD505-2E9C-101B-9397-08002B2CF9AE}" pid="17" name="DQCStatus">
    <vt:lpwstr>Yellow (DQC version 03)</vt:lpwstr>
  </property>
  <property fmtid="{D5CDD505-2E9C-101B-9397-08002B2CF9AE}" pid="18" name="MSIP_Label_6bd9ddd1-4d20-43f6-abfa-fc3c07406f94_Enabled">
    <vt:lpwstr>true</vt:lpwstr>
  </property>
  <property fmtid="{D5CDD505-2E9C-101B-9397-08002B2CF9AE}" pid="19" name="MSIP_Label_6bd9ddd1-4d20-43f6-abfa-fc3c07406f94_SetDate">
    <vt:lpwstr>2023-09-18T14:05:35Z</vt:lpwstr>
  </property>
  <property fmtid="{D5CDD505-2E9C-101B-9397-08002B2CF9AE}" pid="20" name="MSIP_Label_6bd9ddd1-4d20-43f6-abfa-fc3c07406f94_Method">
    <vt:lpwstr>Standard</vt:lpwstr>
  </property>
  <property fmtid="{D5CDD505-2E9C-101B-9397-08002B2CF9AE}" pid="21" name="MSIP_Label_6bd9ddd1-4d20-43f6-abfa-fc3c07406f94_Name">
    <vt:lpwstr>Commission Use</vt:lpwstr>
  </property>
  <property fmtid="{D5CDD505-2E9C-101B-9397-08002B2CF9AE}" pid="22" name="MSIP_Label_6bd9ddd1-4d20-43f6-abfa-fc3c07406f94_SiteId">
    <vt:lpwstr>b24c8b06-522c-46fe-9080-70926f8dddb1</vt:lpwstr>
  </property>
  <property fmtid="{D5CDD505-2E9C-101B-9397-08002B2CF9AE}" pid="23" name="MSIP_Label_6bd9ddd1-4d20-43f6-abfa-fc3c07406f94_ActionId">
    <vt:lpwstr>fb45e93e-e015-4536-a713-05b97dc359b4</vt:lpwstr>
  </property>
  <property fmtid="{D5CDD505-2E9C-101B-9397-08002B2CF9AE}" pid="24" name="MSIP_Label_6bd9ddd1-4d20-43f6-abfa-fc3c07406f94_ContentBits">
    <vt:lpwstr>0</vt:lpwstr>
  </property>
</Properties>
</file>