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4B3E" w14:textId="77777777" w:rsidR="00105F90" w:rsidRDefault="00B855FF">
      <w:pPr>
        <w:spacing w:after="0" w:line="240" w:lineRule="auto"/>
        <w:rPr>
          <w:rFonts w:ascii="Arial" w:hAnsi="Arial" w:cs="Arial"/>
          <w:sz w:val="21"/>
          <w:szCs w:val="21"/>
        </w:rPr>
      </w:pPr>
      <w:r>
        <w:rPr>
          <w:rFonts w:ascii="Arial" w:hAnsi="Arial" w:cs="Arial"/>
          <w:noProof/>
          <w:sz w:val="21"/>
          <w:szCs w:val="21"/>
          <w:lang w:eastAsia="fr-FR"/>
        </w:rPr>
        <w:drawing>
          <wp:inline distT="0" distB="0" distL="0" distR="0" wp14:anchorId="317D23DA" wp14:editId="28D52854">
            <wp:extent cx="1024668" cy="900000"/>
            <wp:effectExtent l="0" t="0" r="444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24668" cy="900000"/>
                    </a:xfrm>
                    <a:prstGeom prst="rect">
                      <a:avLst/>
                    </a:prstGeom>
                  </pic:spPr>
                </pic:pic>
              </a:graphicData>
            </a:graphic>
          </wp:inline>
        </w:drawing>
      </w:r>
    </w:p>
    <w:tbl>
      <w:tblPr>
        <w:tblW w:w="9984" w:type="dxa"/>
        <w:tblCellMar>
          <w:left w:w="0" w:type="dxa"/>
          <w:right w:w="0" w:type="dxa"/>
        </w:tblCellMar>
        <w:tblLook w:val="01E0" w:firstRow="1" w:lastRow="1" w:firstColumn="1" w:lastColumn="1" w:noHBand="0" w:noVBand="0"/>
      </w:tblPr>
      <w:tblGrid>
        <w:gridCol w:w="9984"/>
      </w:tblGrid>
      <w:tr w:rsidR="00105F90" w14:paraId="5C406891" w14:textId="77777777" w:rsidTr="00A312BC">
        <w:trPr>
          <w:trHeight w:hRule="exact" w:val="604"/>
        </w:trPr>
        <w:tc>
          <w:tcPr>
            <w:tcW w:w="9984" w:type="dxa"/>
            <w:shd w:val="clear" w:color="auto" w:fill="auto"/>
          </w:tcPr>
          <w:p w14:paraId="0EA1477E" w14:textId="77777777" w:rsidR="00105F90" w:rsidRDefault="00B855FF">
            <w:pPr>
              <w:pStyle w:val="Paris-Date"/>
              <w:tabs>
                <w:tab w:val="left" w:pos="9639"/>
              </w:tabs>
              <w:ind w:left="284" w:right="448"/>
              <w:jc w:val="right"/>
              <w:rPr>
                <w:rFonts w:ascii="Arial" w:hAnsi="Arial" w:cs="Arial"/>
                <w:sz w:val="20"/>
                <w:szCs w:val="20"/>
              </w:rPr>
            </w:pPr>
            <w:r>
              <w:rPr>
                <w:rFonts w:ascii="Arial" w:hAnsi="Arial" w:cs="Arial"/>
                <w:sz w:val="20"/>
                <w:szCs w:val="20"/>
              </w:rPr>
              <w:t xml:space="preserve">                                                                     Paris, </w:t>
            </w:r>
            <w:r>
              <w:rPr>
                <w:rFonts w:ascii="Arial" w:hAnsi="Arial" w:cs="Arial"/>
                <w:color w:val="000000" w:themeColor="text1"/>
                <w:sz w:val="20"/>
                <w:szCs w:val="20"/>
              </w:rPr>
              <w:t xml:space="preserve">le 19 </w:t>
            </w:r>
            <w:r>
              <w:rPr>
                <w:rFonts w:ascii="Arial" w:hAnsi="Arial" w:cs="Arial"/>
                <w:sz w:val="20"/>
                <w:szCs w:val="20"/>
              </w:rPr>
              <w:t>juillet 2024</w:t>
            </w:r>
          </w:p>
        </w:tc>
      </w:tr>
      <w:tr w:rsidR="00105F90" w14:paraId="11C0FCB3" w14:textId="77777777" w:rsidTr="00A312BC">
        <w:trPr>
          <w:trHeight w:hRule="exact" w:val="2420"/>
        </w:trPr>
        <w:tc>
          <w:tcPr>
            <w:tcW w:w="9984" w:type="dxa"/>
            <w:shd w:val="clear" w:color="auto" w:fill="auto"/>
          </w:tcPr>
          <w:p w14:paraId="2DF85A91" w14:textId="77777777" w:rsidR="00105F90" w:rsidRDefault="00105F90">
            <w:pPr>
              <w:pStyle w:val="NAF"/>
              <w:spacing w:line="240" w:lineRule="auto"/>
              <w:jc w:val="left"/>
              <w:rPr>
                <w:rFonts w:ascii="Arial" w:hAnsi="Arial" w:cs="Arial"/>
                <w:b w:val="0"/>
                <w:i/>
                <w:sz w:val="21"/>
                <w:szCs w:val="21"/>
              </w:rPr>
            </w:pPr>
          </w:p>
          <w:p w14:paraId="2BB748FD" w14:textId="77777777" w:rsidR="00105F90" w:rsidRDefault="00B855FF">
            <w:pPr>
              <w:pStyle w:val="NAF"/>
              <w:spacing w:line="240" w:lineRule="auto"/>
              <w:rPr>
                <w:rFonts w:ascii="Arial" w:hAnsi="Arial" w:cs="Arial"/>
                <w:bCs w:val="0"/>
                <w:iCs/>
                <w:sz w:val="21"/>
                <w:szCs w:val="21"/>
              </w:rPr>
            </w:pPr>
            <w:r>
              <w:rPr>
                <w:rFonts w:ascii="Arial" w:hAnsi="Arial" w:cs="Arial"/>
                <w:bCs w:val="0"/>
                <w:iCs/>
                <w:sz w:val="21"/>
                <w:szCs w:val="21"/>
              </w:rPr>
              <w:t>NOTE DES AUTORITÉS FRANÇAISES</w:t>
            </w:r>
          </w:p>
          <w:p w14:paraId="3177E35C" w14:textId="77777777" w:rsidR="00105F90" w:rsidRDefault="00B855FF">
            <w:pPr>
              <w:pStyle w:val="NAF"/>
              <w:spacing w:line="240" w:lineRule="auto"/>
              <w:rPr>
                <w:rFonts w:ascii="Arial" w:hAnsi="Arial" w:cs="Arial"/>
                <w:bCs w:val="0"/>
                <w:iCs/>
                <w:sz w:val="21"/>
                <w:szCs w:val="21"/>
              </w:rPr>
            </w:pPr>
            <w:r>
              <w:rPr>
                <w:rFonts w:ascii="Arial" w:hAnsi="Arial" w:cs="Arial"/>
                <w:bCs w:val="0"/>
                <w:iCs/>
                <w:sz w:val="21"/>
                <w:szCs w:val="21"/>
              </w:rPr>
              <w:t>À LA COMMISSION EUROPÉENNE</w:t>
            </w:r>
          </w:p>
          <w:p w14:paraId="5F5A04E8" w14:textId="77777777" w:rsidR="00105F90" w:rsidRDefault="00105F90">
            <w:pPr>
              <w:pStyle w:val="NAF"/>
              <w:spacing w:line="240" w:lineRule="auto"/>
              <w:rPr>
                <w:rFonts w:ascii="Arial" w:hAnsi="Arial" w:cs="Arial"/>
                <w:bCs w:val="0"/>
                <w:iCs/>
                <w:sz w:val="21"/>
                <w:szCs w:val="21"/>
              </w:rPr>
            </w:pPr>
          </w:p>
          <w:p w14:paraId="1B7B12DF" w14:textId="356801DE" w:rsidR="00105F90" w:rsidRDefault="00B855FF">
            <w:pPr>
              <w:spacing w:after="0" w:line="240" w:lineRule="auto"/>
              <w:ind w:left="567" w:right="708"/>
              <w:jc w:val="center"/>
              <w:rPr>
                <w:rFonts w:ascii="Arial" w:hAnsi="Arial" w:cs="Arial"/>
                <w:b/>
                <w:i/>
                <w:sz w:val="21"/>
                <w:szCs w:val="21"/>
              </w:rPr>
            </w:pPr>
            <w:r>
              <w:rPr>
                <w:rFonts w:ascii="Arial" w:hAnsi="Arial" w:cs="Arial"/>
                <w:b/>
                <w:i/>
                <w:sz w:val="21"/>
                <w:szCs w:val="21"/>
              </w:rPr>
              <w:t>DG COMP, unité H6</w:t>
            </w:r>
          </w:p>
          <w:p w14:paraId="721C68FA" w14:textId="46F43C07" w:rsidR="00A312BC" w:rsidRDefault="00A312BC">
            <w:pPr>
              <w:spacing w:after="0" w:line="240" w:lineRule="auto"/>
              <w:ind w:left="567" w:right="708"/>
              <w:jc w:val="center"/>
              <w:rPr>
                <w:rFonts w:ascii="Arial" w:hAnsi="Arial" w:cs="Arial"/>
                <w:b/>
                <w:i/>
                <w:sz w:val="21"/>
                <w:szCs w:val="21"/>
              </w:rPr>
            </w:pPr>
            <w:proofErr w:type="gramStart"/>
            <w:r>
              <w:rPr>
                <w:rFonts w:ascii="Arial" w:hAnsi="Arial" w:cs="Arial"/>
                <w:b/>
                <w:i/>
                <w:sz w:val="21"/>
                <w:szCs w:val="21"/>
              </w:rPr>
              <w:t>à</w:t>
            </w:r>
            <w:proofErr w:type="gramEnd"/>
          </w:p>
          <w:p w14:paraId="15A68F82" w14:textId="6E3D292A" w:rsidR="00A312BC" w:rsidRPr="00A312BC" w:rsidRDefault="00A312BC" w:rsidP="00A312BC">
            <w:pPr>
              <w:spacing w:after="0" w:line="240" w:lineRule="auto"/>
              <w:ind w:left="567" w:right="708"/>
              <w:rPr>
                <w:rFonts w:ascii="Arial" w:hAnsi="Arial" w:cs="Arial"/>
                <w:bCs/>
                <w:iCs/>
                <w:sz w:val="21"/>
                <w:szCs w:val="21"/>
              </w:rPr>
            </w:pPr>
            <w:r w:rsidRPr="00A312BC">
              <w:rPr>
                <w:rFonts w:ascii="Arial" w:hAnsi="Arial" w:cs="Arial"/>
                <w:bCs/>
                <w:i/>
                <w:sz w:val="21"/>
                <w:szCs w:val="21"/>
              </w:rPr>
              <w:t xml:space="preserve">                                                </w:t>
            </w:r>
            <w:hyperlink r:id="rId9" w:history="1">
              <w:r w:rsidRPr="00A312BC">
                <w:rPr>
                  <w:rStyle w:val="Hyperlink"/>
                  <w:rFonts w:ascii="Arial" w:hAnsi="Arial" w:cs="Arial"/>
                  <w:bCs/>
                  <w:iCs/>
                  <w:sz w:val="21"/>
                  <w:szCs w:val="21"/>
                </w:rPr>
                <w:t>Stateaidgreffe@ec.europa.eu</w:t>
              </w:r>
            </w:hyperlink>
          </w:p>
          <w:p w14:paraId="5B8FBFA4" w14:textId="2C364E10" w:rsidR="00105F90" w:rsidRPr="00A312BC" w:rsidRDefault="00A312BC" w:rsidP="00A312BC">
            <w:pPr>
              <w:spacing w:after="0" w:line="240" w:lineRule="auto"/>
              <w:ind w:left="567" w:right="708"/>
              <w:rPr>
                <w:rFonts w:ascii="Arial" w:hAnsi="Arial" w:cs="Arial"/>
                <w:bCs/>
                <w:iCs/>
                <w:sz w:val="21"/>
                <w:szCs w:val="21"/>
              </w:rPr>
            </w:pPr>
            <w:r w:rsidRPr="00A312BC">
              <w:rPr>
                <w:rFonts w:ascii="Arial" w:hAnsi="Arial" w:cs="Arial"/>
                <w:bCs/>
                <w:iCs/>
                <w:sz w:val="21"/>
                <w:szCs w:val="21"/>
              </w:rPr>
              <w:t xml:space="preserve">Copie à : </w:t>
            </w:r>
            <w:r w:rsidR="00B855FF" w:rsidRPr="00A312BC">
              <w:rPr>
                <w:rStyle w:val="Hyperlink"/>
                <w:rFonts w:ascii="Arial" w:hAnsi="Arial" w:cs="Arial"/>
                <w:bCs/>
                <w:iCs/>
                <w:sz w:val="21"/>
                <w:szCs w:val="21"/>
              </w:rPr>
              <w:t>COMP-H6@ec.europa.eu</w:t>
            </w:r>
            <w:r w:rsidR="00B855FF" w:rsidRPr="00A312BC">
              <w:rPr>
                <w:rFonts w:ascii="Arial" w:hAnsi="Arial" w:cs="Arial"/>
                <w:bCs/>
                <w:iCs/>
                <w:sz w:val="21"/>
                <w:szCs w:val="21"/>
              </w:rPr>
              <w:t xml:space="preserve"> </w:t>
            </w:r>
            <w:r w:rsidRPr="00A312BC">
              <w:rPr>
                <w:rFonts w:ascii="Arial" w:hAnsi="Arial" w:cs="Arial"/>
                <w:bCs/>
                <w:iCs/>
                <w:sz w:val="21"/>
                <w:szCs w:val="21"/>
              </w:rPr>
              <w:t xml:space="preserve">et </w:t>
            </w:r>
            <w:hyperlink r:id="rId10" w:history="1">
              <w:r w:rsidRPr="00A312BC">
                <w:rPr>
                  <w:rStyle w:val="Hyperlink"/>
                  <w:rFonts w:ascii="Arial" w:hAnsi="Arial" w:cs="Arial"/>
                  <w:bCs/>
                  <w:iCs/>
                  <w:sz w:val="21"/>
                  <w:szCs w:val="21"/>
                </w:rPr>
                <w:t>COMP-H6-CONSULTATION@ec.europa.eu</w:t>
              </w:r>
            </w:hyperlink>
          </w:p>
          <w:p w14:paraId="58586887" w14:textId="77777777" w:rsidR="00A312BC" w:rsidRPr="00A312BC" w:rsidRDefault="00A312BC" w:rsidP="00A312BC">
            <w:pPr>
              <w:spacing w:after="0" w:line="240" w:lineRule="auto"/>
              <w:ind w:left="567" w:right="708"/>
              <w:rPr>
                <w:rFonts w:ascii="Arial" w:hAnsi="Arial" w:cs="Arial"/>
                <w:bCs/>
                <w:i/>
                <w:sz w:val="21"/>
                <w:szCs w:val="21"/>
              </w:rPr>
            </w:pPr>
          </w:p>
          <w:p w14:paraId="34B7CD1F" w14:textId="77777777" w:rsidR="00105F90" w:rsidRPr="00A312BC" w:rsidRDefault="00B855FF">
            <w:pPr>
              <w:spacing w:after="0" w:line="240" w:lineRule="auto"/>
              <w:ind w:left="567" w:right="708"/>
              <w:jc w:val="center"/>
              <w:rPr>
                <w:rFonts w:ascii="Arial" w:hAnsi="Arial" w:cs="Arial"/>
                <w:bCs/>
                <w:i/>
                <w:sz w:val="21"/>
                <w:szCs w:val="21"/>
              </w:rPr>
            </w:pPr>
            <w:r w:rsidRPr="00A312BC">
              <w:rPr>
                <w:rFonts w:ascii="Arial" w:hAnsi="Arial" w:cs="Arial"/>
                <w:bCs/>
                <w:i/>
                <w:sz w:val="21"/>
                <w:szCs w:val="21"/>
              </w:rPr>
              <w:t xml:space="preserve"> </w:t>
            </w:r>
          </w:p>
          <w:p w14:paraId="0A44F03D" w14:textId="77777777" w:rsidR="00105F90" w:rsidRDefault="00105F90">
            <w:pPr>
              <w:spacing w:after="0" w:line="240" w:lineRule="auto"/>
              <w:ind w:left="567" w:right="708"/>
              <w:jc w:val="center"/>
              <w:rPr>
                <w:rFonts w:ascii="Arial" w:hAnsi="Arial" w:cs="Arial"/>
                <w:i/>
                <w:sz w:val="21"/>
                <w:szCs w:val="21"/>
              </w:rPr>
            </w:pPr>
          </w:p>
        </w:tc>
      </w:tr>
    </w:tbl>
    <w:p w14:paraId="33AB1CC5" w14:textId="77777777" w:rsidR="00105F90" w:rsidRDefault="00105F90">
      <w:pPr>
        <w:spacing w:after="0" w:line="240" w:lineRule="auto"/>
        <w:rPr>
          <w:rFonts w:ascii="Arial" w:hAnsi="Arial" w:cs="Arial"/>
          <w:b/>
          <w:i/>
          <w:sz w:val="20"/>
          <w:szCs w:val="20"/>
          <w:u w:val="single"/>
        </w:rPr>
      </w:pPr>
    </w:p>
    <w:p w14:paraId="467B7ED1" w14:textId="77777777" w:rsidR="00105F90" w:rsidRDefault="00B855FF">
      <w:pPr>
        <w:spacing w:after="0" w:line="240" w:lineRule="auto"/>
        <w:ind w:left="1410" w:hanging="1410"/>
        <w:jc w:val="both"/>
        <w:rPr>
          <w:rFonts w:ascii="Arial" w:hAnsi="Arial" w:cs="Arial"/>
          <w:sz w:val="20"/>
          <w:szCs w:val="20"/>
        </w:rPr>
      </w:pPr>
      <w:r>
        <w:rPr>
          <w:rFonts w:ascii="Arial" w:hAnsi="Arial" w:cs="Arial"/>
          <w:b/>
          <w:sz w:val="20"/>
          <w:szCs w:val="20"/>
        </w:rPr>
        <w:t>Objet</w:t>
      </w:r>
      <w:r>
        <w:rPr>
          <w:rFonts w:ascii="Arial" w:hAnsi="Arial" w:cs="Arial"/>
          <w:sz w:val="20"/>
          <w:szCs w:val="20"/>
        </w:rPr>
        <w:t xml:space="preserve"> : </w:t>
      </w:r>
      <w:r>
        <w:rPr>
          <w:rFonts w:ascii="Arial" w:hAnsi="Arial" w:cs="Arial"/>
          <w:sz w:val="20"/>
          <w:szCs w:val="20"/>
        </w:rPr>
        <w:tab/>
        <w:t xml:space="preserve">Consultation de la Commission : Révision du règlement (UE) n° 1408/2013 de la Commission du 18 décembre 2013 relatif à l’application des articles 107 et 108 du traité sur le fonctionnement de l’Union européenne aux aides </w:t>
      </w:r>
      <w:r>
        <w:rPr>
          <w:rFonts w:ascii="Arial" w:hAnsi="Arial" w:cs="Arial"/>
          <w:i/>
          <w:sz w:val="20"/>
          <w:szCs w:val="20"/>
        </w:rPr>
        <w:t>de minimis</w:t>
      </w:r>
      <w:r>
        <w:rPr>
          <w:rFonts w:ascii="Arial" w:hAnsi="Arial" w:cs="Arial"/>
          <w:sz w:val="20"/>
          <w:szCs w:val="20"/>
        </w:rPr>
        <w:t xml:space="preserve"> dans le secteur de l’agriculture </w:t>
      </w:r>
    </w:p>
    <w:p w14:paraId="0ABCFC2F" w14:textId="77777777" w:rsidR="00105F90" w:rsidRDefault="00105F90">
      <w:pPr>
        <w:spacing w:after="0" w:line="240" w:lineRule="auto"/>
        <w:jc w:val="both"/>
        <w:rPr>
          <w:rFonts w:ascii="Arial" w:hAnsi="Arial" w:cs="Arial"/>
          <w:b/>
          <w:sz w:val="20"/>
          <w:szCs w:val="20"/>
        </w:rPr>
      </w:pPr>
    </w:p>
    <w:p w14:paraId="0F234BE7" w14:textId="77777777" w:rsidR="00105F90" w:rsidRDefault="00B855FF">
      <w:pPr>
        <w:spacing w:after="0" w:line="240" w:lineRule="auto"/>
        <w:ind w:left="1410" w:hanging="1410"/>
        <w:jc w:val="both"/>
        <w:rPr>
          <w:rFonts w:ascii="Arial" w:hAnsi="Arial" w:cs="Arial"/>
          <w:sz w:val="20"/>
          <w:szCs w:val="20"/>
        </w:rPr>
      </w:pPr>
      <w:r>
        <w:rPr>
          <w:rFonts w:ascii="Arial" w:hAnsi="Arial" w:cs="Arial"/>
          <w:b/>
          <w:sz w:val="20"/>
          <w:szCs w:val="20"/>
        </w:rPr>
        <w:t xml:space="preserve">Réf.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Projet de règlement de la Commission modifiant le règlement (UE) nº 1408/2013 de la Commission relatif à l’application des articles 107 et 108 du traité sur le fonctionnement de l’Union européenne (TFUE) aux aides </w:t>
      </w:r>
      <w:r>
        <w:rPr>
          <w:rFonts w:ascii="Arial" w:hAnsi="Arial" w:cs="Arial"/>
          <w:i/>
          <w:sz w:val="20"/>
          <w:szCs w:val="20"/>
        </w:rPr>
        <w:t>de minimis</w:t>
      </w:r>
      <w:r>
        <w:rPr>
          <w:rFonts w:ascii="Arial" w:hAnsi="Arial" w:cs="Arial"/>
          <w:sz w:val="20"/>
          <w:szCs w:val="20"/>
        </w:rPr>
        <w:t xml:space="preserve"> dans le secteur de l’agriculture</w:t>
      </w:r>
    </w:p>
    <w:p w14:paraId="58239291" w14:textId="77777777" w:rsidR="00105F90" w:rsidRDefault="00105F90">
      <w:pPr>
        <w:spacing w:after="0" w:line="240" w:lineRule="auto"/>
        <w:jc w:val="both"/>
        <w:rPr>
          <w:rFonts w:ascii="Arial" w:hAnsi="Arial" w:cs="Arial"/>
          <w:sz w:val="20"/>
          <w:szCs w:val="20"/>
        </w:rPr>
      </w:pPr>
    </w:p>
    <w:p w14:paraId="67BAA09C" w14:textId="77777777" w:rsidR="00105F90" w:rsidRDefault="00105F90">
      <w:pPr>
        <w:spacing w:after="0" w:line="240" w:lineRule="auto"/>
        <w:jc w:val="both"/>
        <w:rPr>
          <w:rFonts w:ascii="Arial" w:hAnsi="Arial" w:cs="Arial"/>
          <w:sz w:val="20"/>
          <w:szCs w:val="20"/>
        </w:rPr>
      </w:pPr>
    </w:p>
    <w:p w14:paraId="7DB07C00" w14:textId="77777777" w:rsidR="00105F90" w:rsidRDefault="00B855FF">
      <w:pPr>
        <w:spacing w:after="0" w:line="240" w:lineRule="auto"/>
        <w:jc w:val="both"/>
        <w:rPr>
          <w:rFonts w:ascii="Arial" w:hAnsi="Arial" w:cs="Arial"/>
          <w:sz w:val="20"/>
          <w:szCs w:val="20"/>
        </w:rPr>
      </w:pPr>
      <w:r>
        <w:rPr>
          <w:rFonts w:ascii="Arial" w:hAnsi="Arial" w:cs="Arial"/>
          <w:sz w:val="20"/>
          <w:szCs w:val="20"/>
        </w:rPr>
        <w:t>Le 7 juin 2024, la Commission européenne a lancé l’appel à contributions et la consultation publique sur la révision du règlement (UE) n° 1408/2013 de la Commission du 18 décembre 2013 cité en référence</w:t>
      </w:r>
      <w:r>
        <w:rPr>
          <w:rStyle w:val="FootnoteReference"/>
          <w:rFonts w:ascii="Arial" w:hAnsi="Arial" w:cs="Arial"/>
          <w:sz w:val="20"/>
          <w:szCs w:val="20"/>
        </w:rPr>
        <w:footnoteReference w:id="1"/>
      </w:r>
      <w:r>
        <w:rPr>
          <w:rFonts w:ascii="Arial" w:hAnsi="Arial" w:cs="Arial"/>
          <w:sz w:val="20"/>
          <w:szCs w:val="20"/>
        </w:rPr>
        <w:t xml:space="preserve">. </w:t>
      </w:r>
    </w:p>
    <w:p w14:paraId="76920B73" w14:textId="77777777" w:rsidR="00105F90" w:rsidRDefault="00105F90">
      <w:pPr>
        <w:spacing w:after="0" w:line="240" w:lineRule="auto"/>
        <w:jc w:val="both"/>
        <w:rPr>
          <w:rFonts w:ascii="Arial" w:hAnsi="Arial" w:cs="Arial"/>
          <w:sz w:val="20"/>
          <w:szCs w:val="20"/>
        </w:rPr>
      </w:pPr>
    </w:p>
    <w:p w14:paraId="5BCE39EE" w14:textId="77777777" w:rsidR="00105F90" w:rsidRDefault="00B855FF">
      <w:pPr>
        <w:spacing w:after="0" w:line="240" w:lineRule="auto"/>
        <w:jc w:val="both"/>
        <w:rPr>
          <w:rFonts w:ascii="Arial" w:hAnsi="Arial" w:cs="Arial"/>
          <w:sz w:val="20"/>
          <w:szCs w:val="20"/>
        </w:rPr>
      </w:pPr>
      <w:r>
        <w:rPr>
          <w:rFonts w:ascii="Arial" w:hAnsi="Arial" w:cs="Arial"/>
          <w:sz w:val="20"/>
          <w:szCs w:val="20"/>
        </w:rPr>
        <w:t xml:space="preserve">Les autorités françaises remercient la Commission, et accueillent favorablement un certain nombre d’évolutions proposées par son projet du règlement </w:t>
      </w:r>
      <w:r>
        <w:rPr>
          <w:rFonts w:ascii="Arial" w:hAnsi="Arial" w:cs="Arial"/>
          <w:i/>
          <w:sz w:val="20"/>
          <w:szCs w:val="20"/>
        </w:rPr>
        <w:t>de minimis</w:t>
      </w:r>
      <w:r>
        <w:rPr>
          <w:rFonts w:ascii="Arial" w:hAnsi="Arial" w:cs="Arial"/>
          <w:sz w:val="20"/>
          <w:szCs w:val="20"/>
        </w:rPr>
        <w:t xml:space="preserve"> agricole révisé. Celui-ci appelle toutefois des demandes de modifications que les autorités françaises ont l’honneur de porter à la connaissance de la Commission européenne.</w:t>
      </w:r>
    </w:p>
    <w:p w14:paraId="119142BE" w14:textId="77777777" w:rsidR="00105F90" w:rsidRDefault="00105F90">
      <w:pPr>
        <w:pStyle w:val="BodyText"/>
        <w:spacing w:line="240" w:lineRule="auto"/>
        <w:jc w:val="both"/>
        <w:rPr>
          <w:szCs w:val="20"/>
        </w:rPr>
      </w:pPr>
    </w:p>
    <w:p w14:paraId="0CBA405A" w14:textId="77777777" w:rsidR="00105F90" w:rsidRDefault="00B855FF">
      <w:pPr>
        <w:pStyle w:val="BodyText"/>
        <w:numPr>
          <w:ilvl w:val="0"/>
          <w:numId w:val="6"/>
        </w:numPr>
        <w:spacing w:line="240" w:lineRule="auto"/>
        <w:jc w:val="both"/>
        <w:rPr>
          <w:b/>
          <w:szCs w:val="20"/>
          <w:u w:val="single"/>
        </w:rPr>
      </w:pPr>
      <w:r>
        <w:rPr>
          <w:b/>
          <w:szCs w:val="20"/>
          <w:u w:val="single"/>
        </w:rPr>
        <w:t>Le relèvement du double plafond proposé par la Commission</w:t>
      </w:r>
    </w:p>
    <w:p w14:paraId="6043818E" w14:textId="77777777" w:rsidR="00105F90" w:rsidRDefault="00105F90">
      <w:pPr>
        <w:pStyle w:val="BodyText"/>
        <w:spacing w:line="240" w:lineRule="auto"/>
        <w:ind w:left="720"/>
        <w:jc w:val="both"/>
        <w:rPr>
          <w:b/>
          <w:szCs w:val="20"/>
        </w:rPr>
      </w:pPr>
    </w:p>
    <w:p w14:paraId="18CDFBA8" w14:textId="77777777" w:rsidR="00105F90" w:rsidRDefault="00B855FF">
      <w:pPr>
        <w:pStyle w:val="BodyText"/>
        <w:spacing w:line="240" w:lineRule="auto"/>
        <w:jc w:val="both"/>
        <w:rPr>
          <w:szCs w:val="20"/>
        </w:rPr>
      </w:pPr>
      <w:r>
        <w:rPr>
          <w:szCs w:val="20"/>
        </w:rPr>
        <w:t>La Commission propose un relèvement :</w:t>
      </w:r>
    </w:p>
    <w:p w14:paraId="313C120E" w14:textId="77777777" w:rsidR="00105F90" w:rsidRDefault="00B855FF">
      <w:pPr>
        <w:pStyle w:val="BodyText"/>
        <w:numPr>
          <w:ilvl w:val="0"/>
          <w:numId w:val="16"/>
        </w:numPr>
        <w:spacing w:line="240" w:lineRule="auto"/>
        <w:jc w:val="both"/>
        <w:rPr>
          <w:szCs w:val="20"/>
        </w:rPr>
      </w:pPr>
      <w:proofErr w:type="gramStart"/>
      <w:r>
        <w:rPr>
          <w:szCs w:val="20"/>
        </w:rPr>
        <w:t>du</w:t>
      </w:r>
      <w:proofErr w:type="gramEnd"/>
      <w:r>
        <w:rPr>
          <w:szCs w:val="20"/>
        </w:rPr>
        <w:t xml:space="preserve"> plafond individuel de 20 000 à 37 000 EUR par entreprise unique sur une période de 3 ans ;</w:t>
      </w:r>
    </w:p>
    <w:p w14:paraId="688D7B80" w14:textId="77777777" w:rsidR="00105F90" w:rsidRDefault="00B855FF">
      <w:pPr>
        <w:pStyle w:val="BodyText"/>
        <w:numPr>
          <w:ilvl w:val="0"/>
          <w:numId w:val="16"/>
        </w:numPr>
        <w:spacing w:line="240" w:lineRule="auto"/>
        <w:jc w:val="both"/>
        <w:rPr>
          <w:szCs w:val="20"/>
        </w:rPr>
      </w:pPr>
      <w:proofErr w:type="gramStart"/>
      <w:r>
        <w:rPr>
          <w:szCs w:val="20"/>
        </w:rPr>
        <w:t>du</w:t>
      </w:r>
      <w:proofErr w:type="gramEnd"/>
      <w:r>
        <w:rPr>
          <w:szCs w:val="20"/>
        </w:rPr>
        <w:t xml:space="preserve"> plafond national à 1,5 % de la moyenne des trois valeurs les plus élevées de la production agricole annuelle au cours de la période 2012-2023 : soit 1 365 060 000 EUR sur une période de 3 ans pour la France.</w:t>
      </w:r>
    </w:p>
    <w:p w14:paraId="16C7C43B" w14:textId="77777777" w:rsidR="00105F90" w:rsidRDefault="00105F90">
      <w:pPr>
        <w:pStyle w:val="BodyText"/>
        <w:spacing w:line="240" w:lineRule="auto"/>
        <w:jc w:val="both"/>
        <w:rPr>
          <w:szCs w:val="20"/>
        </w:rPr>
      </w:pPr>
    </w:p>
    <w:p w14:paraId="08BFC009" w14:textId="77777777" w:rsidR="00105F90" w:rsidRDefault="00B855FF">
      <w:pPr>
        <w:pStyle w:val="BodyText"/>
        <w:spacing w:line="240" w:lineRule="auto"/>
        <w:jc w:val="both"/>
        <w:rPr>
          <w:b/>
          <w:szCs w:val="20"/>
        </w:rPr>
      </w:pPr>
      <w:r>
        <w:rPr>
          <w:b/>
          <w:szCs w:val="20"/>
        </w:rPr>
        <w:t xml:space="preserve">Les autorités françaises considèrent que ces relèvements des plafonds, à la fois au niveau individuel et national, sont insuffisants au regard des difficultés auxquelles sont confrontés les agriculteurs de l’Union européenne depuis la précédente révision de 2019 : </w:t>
      </w:r>
    </w:p>
    <w:p w14:paraId="3F36E060" w14:textId="77777777" w:rsidR="00105F90" w:rsidRDefault="00B855FF">
      <w:pPr>
        <w:pStyle w:val="BodyText"/>
        <w:numPr>
          <w:ilvl w:val="0"/>
          <w:numId w:val="7"/>
        </w:numPr>
        <w:spacing w:line="240" w:lineRule="auto"/>
        <w:jc w:val="both"/>
        <w:rPr>
          <w:szCs w:val="20"/>
        </w:rPr>
      </w:pPr>
      <w:proofErr w:type="gramStart"/>
      <w:r>
        <w:rPr>
          <w:szCs w:val="20"/>
        </w:rPr>
        <w:t>au</w:t>
      </w:r>
      <w:proofErr w:type="gramEnd"/>
      <w:r>
        <w:rPr>
          <w:szCs w:val="20"/>
        </w:rPr>
        <w:t xml:space="preserve"> plan économique : retour de l’inflation entraînant une augmentation des coûts de production ; des déséquilibres tout au long de la chaîne d'approvisionnement et des changements dans le comportement des consommateurs ;</w:t>
      </w:r>
    </w:p>
    <w:p w14:paraId="374AAB2D" w14:textId="77777777" w:rsidR="00105F90" w:rsidRDefault="00B855FF">
      <w:pPr>
        <w:pStyle w:val="BodyText"/>
        <w:numPr>
          <w:ilvl w:val="0"/>
          <w:numId w:val="7"/>
        </w:numPr>
        <w:spacing w:line="240" w:lineRule="auto"/>
        <w:jc w:val="both"/>
        <w:rPr>
          <w:szCs w:val="20"/>
        </w:rPr>
      </w:pPr>
      <w:proofErr w:type="gramStart"/>
      <w:r>
        <w:rPr>
          <w:szCs w:val="20"/>
        </w:rPr>
        <w:t>au</w:t>
      </w:r>
      <w:proofErr w:type="gramEnd"/>
      <w:r>
        <w:rPr>
          <w:szCs w:val="20"/>
        </w:rPr>
        <w:t xml:space="preserve"> plan sanitaire : crises dues aux maladies animales ou aux parasites des plantes, y compris les dommages liés à l'interdiction de certains produits phytopharmaceutiques ; </w:t>
      </w:r>
    </w:p>
    <w:p w14:paraId="4695B131" w14:textId="77777777" w:rsidR="00105F90" w:rsidRDefault="00B855FF">
      <w:pPr>
        <w:pStyle w:val="BodyText"/>
        <w:numPr>
          <w:ilvl w:val="0"/>
          <w:numId w:val="7"/>
        </w:numPr>
        <w:spacing w:line="240" w:lineRule="auto"/>
        <w:jc w:val="both"/>
        <w:rPr>
          <w:szCs w:val="20"/>
        </w:rPr>
      </w:pPr>
      <w:proofErr w:type="gramStart"/>
      <w:r>
        <w:rPr>
          <w:szCs w:val="20"/>
        </w:rPr>
        <w:t>au</w:t>
      </w:r>
      <w:proofErr w:type="gramEnd"/>
      <w:r>
        <w:rPr>
          <w:szCs w:val="20"/>
        </w:rPr>
        <w:t xml:space="preserve"> plan climatique : multiplication des événements tels que les sécheresses, les inondations, les épisodes de gel, les tempêtes, etc. </w:t>
      </w:r>
    </w:p>
    <w:p w14:paraId="77BB8874" w14:textId="77777777" w:rsidR="00105F90" w:rsidRDefault="00B855FF">
      <w:pPr>
        <w:pStyle w:val="BodyText"/>
        <w:numPr>
          <w:ilvl w:val="0"/>
          <w:numId w:val="7"/>
        </w:numPr>
        <w:spacing w:line="240" w:lineRule="auto"/>
        <w:jc w:val="both"/>
        <w:rPr>
          <w:szCs w:val="20"/>
        </w:rPr>
      </w:pPr>
      <w:proofErr w:type="gramStart"/>
      <w:r>
        <w:rPr>
          <w:szCs w:val="20"/>
        </w:rPr>
        <w:lastRenderedPageBreak/>
        <w:t>dans</w:t>
      </w:r>
      <w:proofErr w:type="gramEnd"/>
      <w:r>
        <w:rPr>
          <w:szCs w:val="20"/>
        </w:rPr>
        <w:t xml:space="preserve"> les régions ultrapériphériques (RUP) :les difficultés énumérées </w:t>
      </w:r>
      <w:r>
        <w:rPr>
          <w:i/>
          <w:iCs/>
          <w:szCs w:val="20"/>
        </w:rPr>
        <w:t>supra</w:t>
      </w:r>
      <w:r>
        <w:rPr>
          <w:szCs w:val="20"/>
        </w:rPr>
        <w:t xml:space="preserve"> sont encore aggravées par l’existence des handicaps structurels reconnus par l’article 349 du TFUE :étroitesse des marchés ; insularité entraînant une dépendance à l’importation et aux surcoûts ; vulnérabilité géographique.</w:t>
      </w:r>
    </w:p>
    <w:p w14:paraId="706EBA4E" w14:textId="77777777" w:rsidR="00105F90" w:rsidRDefault="00105F90">
      <w:pPr>
        <w:pStyle w:val="BodyText"/>
        <w:spacing w:line="240" w:lineRule="auto"/>
        <w:ind w:left="720"/>
        <w:jc w:val="both"/>
        <w:rPr>
          <w:szCs w:val="20"/>
        </w:rPr>
      </w:pPr>
    </w:p>
    <w:p w14:paraId="62EE3F64" w14:textId="77777777" w:rsidR="00105F90" w:rsidRDefault="00105F90">
      <w:pPr>
        <w:pStyle w:val="BodyText"/>
        <w:spacing w:line="240" w:lineRule="auto"/>
        <w:jc w:val="both"/>
        <w:rPr>
          <w:szCs w:val="20"/>
        </w:rPr>
      </w:pPr>
    </w:p>
    <w:p w14:paraId="6902BF4F" w14:textId="77777777" w:rsidR="00105F90" w:rsidRDefault="00105F90">
      <w:pPr>
        <w:pStyle w:val="BodyText"/>
        <w:spacing w:line="240" w:lineRule="auto"/>
        <w:jc w:val="both"/>
        <w:rPr>
          <w:szCs w:val="20"/>
        </w:rPr>
      </w:pPr>
    </w:p>
    <w:p w14:paraId="29722DB1" w14:textId="77777777" w:rsidR="00105F90" w:rsidRDefault="00B855FF">
      <w:pPr>
        <w:pStyle w:val="BodyText"/>
        <w:spacing w:line="240" w:lineRule="auto"/>
        <w:jc w:val="both"/>
        <w:rPr>
          <w:szCs w:val="20"/>
        </w:rPr>
      </w:pPr>
      <w:r>
        <w:rPr>
          <w:szCs w:val="20"/>
        </w:rPr>
        <w:t>Les plafonds existants, et ceux révisés par la Commission, ne sont plus adaptés à ces circonstances. Un relèvement de 0,25% (de 1,25% en 2019 à 1,5% dans la version proposée) de la production annuelle agricole apparaît insuffisant.</w:t>
      </w:r>
    </w:p>
    <w:p w14:paraId="1C4F99AC" w14:textId="77777777" w:rsidR="00105F90" w:rsidRDefault="00105F90">
      <w:pPr>
        <w:pStyle w:val="BodyText"/>
        <w:spacing w:line="240" w:lineRule="auto"/>
        <w:jc w:val="both"/>
        <w:rPr>
          <w:szCs w:val="20"/>
        </w:rPr>
      </w:pPr>
    </w:p>
    <w:p w14:paraId="34C72211" w14:textId="77777777" w:rsidR="00105F90" w:rsidRDefault="00B855FF">
      <w:pPr>
        <w:pStyle w:val="BodyText"/>
        <w:spacing w:line="240" w:lineRule="auto"/>
        <w:jc w:val="both"/>
        <w:rPr>
          <w:szCs w:val="20"/>
        </w:rPr>
      </w:pPr>
      <w:r>
        <w:rPr>
          <w:b/>
          <w:szCs w:val="20"/>
        </w:rPr>
        <w:t>Les autorités françaises soulignent de plus que les relèvements proposés par Commission amènent à prolonger la tendance d’une évolution non proportionnelle entre les plafonds national et individuel.</w:t>
      </w:r>
      <w:r>
        <w:rPr>
          <w:szCs w:val="20"/>
        </w:rPr>
        <w:t xml:space="preserve"> Depuis 2008, les plafonds </w:t>
      </w:r>
      <w:r>
        <w:rPr>
          <w:i/>
          <w:szCs w:val="20"/>
        </w:rPr>
        <w:t>de minimis</w:t>
      </w:r>
      <w:r>
        <w:rPr>
          <w:szCs w:val="20"/>
        </w:rPr>
        <w:t xml:space="preserve"> agricole, tant individuel que national, ont connu des évolutions divergentes. En 2014, le plafond individuel a doublé (+100%) par rapport à celui fixé en 2008, tandis que le plafond national a augmenté de près de 65%. En 2019, suite à une révision du règlement, le plafond individuel a progressé de 33%, comparé à une hausse de 29% pour le plafond national. </w:t>
      </w:r>
    </w:p>
    <w:p w14:paraId="5672C40F" w14:textId="77777777" w:rsidR="00105F90" w:rsidRDefault="00105F90">
      <w:pPr>
        <w:pStyle w:val="BodyText"/>
        <w:spacing w:line="240" w:lineRule="auto"/>
        <w:jc w:val="both"/>
        <w:rPr>
          <w:szCs w:val="20"/>
        </w:rPr>
      </w:pPr>
    </w:p>
    <w:p w14:paraId="0BD86425" w14:textId="77777777" w:rsidR="00105F90" w:rsidRDefault="00B855FF">
      <w:pPr>
        <w:pStyle w:val="BodyText"/>
        <w:spacing w:line="240" w:lineRule="auto"/>
        <w:jc w:val="both"/>
        <w:rPr>
          <w:b/>
          <w:bCs/>
          <w:szCs w:val="20"/>
        </w:rPr>
      </w:pPr>
      <w:r w:rsidRPr="009D521E">
        <w:rPr>
          <w:b/>
          <w:bCs/>
          <w:szCs w:val="20"/>
          <w:highlight w:val="yellow"/>
        </w:rPr>
        <w:t xml:space="preserve">La présente proposition de révision du règlement </w:t>
      </w:r>
      <w:r w:rsidRPr="009D521E">
        <w:rPr>
          <w:b/>
          <w:bCs/>
          <w:i/>
          <w:szCs w:val="20"/>
          <w:highlight w:val="yellow"/>
        </w:rPr>
        <w:t>de minimis</w:t>
      </w:r>
      <w:r w:rsidRPr="009D521E">
        <w:rPr>
          <w:b/>
          <w:bCs/>
          <w:szCs w:val="20"/>
          <w:highlight w:val="yellow"/>
        </w:rPr>
        <w:t xml:space="preserve"> conduirait à accentuer l’écart avec un rehaussement de 85% du plafond individuel, contre seulement 46% pour le plafond national.</w:t>
      </w:r>
      <w:r>
        <w:rPr>
          <w:b/>
          <w:bCs/>
          <w:szCs w:val="20"/>
        </w:rPr>
        <w:t xml:space="preserve"> </w:t>
      </w:r>
    </w:p>
    <w:p w14:paraId="07869A1D" w14:textId="77777777" w:rsidR="00105F90" w:rsidRDefault="00105F90">
      <w:pPr>
        <w:pStyle w:val="BodyText"/>
        <w:spacing w:line="240" w:lineRule="auto"/>
        <w:jc w:val="both"/>
        <w:rPr>
          <w:szCs w:val="20"/>
        </w:rPr>
      </w:pPr>
    </w:p>
    <w:p w14:paraId="51D306A0" w14:textId="77777777" w:rsidR="00105F90" w:rsidRDefault="00B855FF">
      <w:pPr>
        <w:pStyle w:val="CommentText"/>
        <w:jc w:val="both"/>
      </w:pPr>
      <w:r>
        <w:t>À travers ces différentes révisions du règlement, ainsi que celle en cours, le nombre d'exploitants susceptibles d’être aidés en France jusqu’au plafond individuel serait en baisse importante</w:t>
      </w:r>
      <w:r>
        <w:rPr>
          <w:rStyle w:val="FootnoteReference"/>
        </w:rPr>
        <w:footnoteReference w:id="2"/>
      </w:r>
      <w:r>
        <w:t>. Ce manque de coordination entre l’évolution des deux plafonds ne permet donc pas de tenir la promesse d’un soutien renforcé aux agriculteurs, dans un contexte de pression inflationniste et de prix élevé des matières premières.</w:t>
      </w:r>
    </w:p>
    <w:p w14:paraId="27B21BE4" w14:textId="77777777" w:rsidR="00105F90" w:rsidRDefault="00105F90">
      <w:pPr>
        <w:pStyle w:val="CommentText"/>
        <w:jc w:val="both"/>
      </w:pPr>
    </w:p>
    <w:p w14:paraId="76E4C5A7" w14:textId="77777777" w:rsidR="00105F90" w:rsidRDefault="00B855FF">
      <w:pPr>
        <w:pStyle w:val="BodyText"/>
        <w:spacing w:line="240" w:lineRule="auto"/>
        <w:jc w:val="both"/>
        <w:rPr>
          <w:b/>
          <w:szCs w:val="20"/>
        </w:rPr>
      </w:pPr>
      <w:r>
        <w:rPr>
          <w:szCs w:val="20"/>
        </w:rPr>
        <w:t xml:space="preserve">En conséquence, </w:t>
      </w:r>
      <w:r>
        <w:rPr>
          <w:b/>
          <w:szCs w:val="20"/>
        </w:rPr>
        <w:t xml:space="preserve">les autorités françaises considèrent qu’il est indispensable d’établir un relèvement proportionnel du plafond individuel et national afin de maintenir un niveau d'intervention approprié et de permettre aux Etats membres de disposer d’un outil d’intervention réactif face à la multiplication de crises complexes et imprévisibles. </w:t>
      </w:r>
    </w:p>
    <w:p w14:paraId="417F90FA" w14:textId="77777777" w:rsidR="00105F90" w:rsidRDefault="00105F90">
      <w:pPr>
        <w:pStyle w:val="BodyText"/>
        <w:spacing w:line="240" w:lineRule="auto"/>
        <w:jc w:val="both"/>
        <w:rPr>
          <w:b/>
          <w:szCs w:val="20"/>
        </w:rPr>
      </w:pPr>
    </w:p>
    <w:p w14:paraId="55E9A3A8" w14:textId="77777777" w:rsidR="00105F90" w:rsidRDefault="00B855FF">
      <w:pPr>
        <w:pStyle w:val="BodyText"/>
        <w:spacing w:line="240" w:lineRule="auto"/>
        <w:jc w:val="both"/>
        <w:rPr>
          <w:b/>
          <w:szCs w:val="20"/>
        </w:rPr>
      </w:pPr>
      <w:r>
        <w:rPr>
          <w:szCs w:val="20"/>
        </w:rPr>
        <w:t>Par conséquent</w:t>
      </w:r>
      <w:r>
        <w:rPr>
          <w:b/>
          <w:szCs w:val="20"/>
        </w:rPr>
        <w:t xml:space="preserve">, elles demandent de porter des </w:t>
      </w:r>
      <w:r w:rsidRPr="009D521E">
        <w:rPr>
          <w:b/>
          <w:szCs w:val="20"/>
          <w:highlight w:val="yellow"/>
        </w:rPr>
        <w:t>seuils à</w:t>
      </w:r>
      <w:r>
        <w:rPr>
          <w:b/>
          <w:szCs w:val="20"/>
        </w:rPr>
        <w:t> :</w:t>
      </w:r>
    </w:p>
    <w:p w14:paraId="7F383FE4" w14:textId="77777777" w:rsidR="00105F90" w:rsidRDefault="00B855FF">
      <w:pPr>
        <w:pStyle w:val="BodyText"/>
        <w:numPr>
          <w:ilvl w:val="0"/>
          <w:numId w:val="10"/>
        </w:numPr>
        <w:spacing w:line="240" w:lineRule="auto"/>
        <w:jc w:val="both"/>
        <w:rPr>
          <w:szCs w:val="20"/>
        </w:rPr>
      </w:pPr>
      <w:r>
        <w:rPr>
          <w:b/>
          <w:szCs w:val="20"/>
        </w:rPr>
        <w:t>50 000 EUR</w:t>
      </w:r>
      <w:r>
        <w:rPr>
          <w:szCs w:val="20"/>
        </w:rPr>
        <w:t xml:space="preserve">, au lieu de 37 000 EUR, pour le plafond individuel ; </w:t>
      </w:r>
    </w:p>
    <w:p w14:paraId="2BF80231" w14:textId="77777777" w:rsidR="00105F90" w:rsidRDefault="00B855FF">
      <w:pPr>
        <w:pStyle w:val="ListParagraph"/>
        <w:numPr>
          <w:ilvl w:val="0"/>
          <w:numId w:val="10"/>
        </w:numPr>
        <w:spacing w:after="0" w:line="240" w:lineRule="auto"/>
        <w:jc w:val="both"/>
      </w:pPr>
      <w:r>
        <w:rPr>
          <w:rFonts w:ascii="Arial" w:hAnsi="Arial" w:cs="Arial"/>
          <w:b/>
          <w:sz w:val="20"/>
          <w:szCs w:val="20"/>
        </w:rPr>
        <w:t>2,5%,</w:t>
      </w:r>
      <w:r>
        <w:rPr>
          <w:rFonts w:ascii="Arial" w:hAnsi="Arial" w:cs="Arial"/>
          <w:sz w:val="20"/>
          <w:szCs w:val="20"/>
        </w:rPr>
        <w:t xml:space="preserve"> au lieu de 1,5%, de la moyenne des trois valeurs les plus élevées de la production agricole annuelle au cours de la période 2012-2023 pour le plafond national, soit 2 275 100 000 EUR, au lieu de 1 365 060 000 EUR, pour la France. Ce rehaussement permettra de répondre aux besoins d'un plus grand nombre d'agriculteurs en corrigeant la divergence constatée entre les plafonds individuel et national successifs depuis 2008.</w:t>
      </w:r>
    </w:p>
    <w:p w14:paraId="6478EF16" w14:textId="77777777" w:rsidR="00105F90" w:rsidRDefault="00105F90">
      <w:pPr>
        <w:pStyle w:val="ListParagraph"/>
        <w:spacing w:after="0" w:line="240" w:lineRule="auto"/>
        <w:jc w:val="both"/>
        <w:rPr>
          <w:rFonts w:ascii="Arial" w:hAnsi="Arial" w:cs="Arial"/>
          <w:sz w:val="20"/>
          <w:szCs w:val="20"/>
        </w:rPr>
      </w:pPr>
    </w:p>
    <w:p w14:paraId="0E78FE4E" w14:textId="77777777" w:rsidR="00105F90" w:rsidRDefault="00B855FF">
      <w:pPr>
        <w:pStyle w:val="ListParagraph"/>
        <w:numPr>
          <w:ilvl w:val="0"/>
          <w:numId w:val="6"/>
        </w:numPr>
        <w:spacing w:after="0" w:line="240" w:lineRule="auto"/>
        <w:jc w:val="both"/>
        <w:rPr>
          <w:rFonts w:ascii="Arial" w:hAnsi="Arial" w:cs="Arial"/>
          <w:sz w:val="20"/>
          <w:szCs w:val="20"/>
          <w:u w:val="single"/>
        </w:rPr>
      </w:pPr>
      <w:r>
        <w:rPr>
          <w:rFonts w:ascii="Arial" w:hAnsi="Arial" w:cs="Arial"/>
          <w:b/>
          <w:sz w:val="20"/>
          <w:szCs w:val="20"/>
          <w:u w:val="single"/>
        </w:rPr>
        <w:t>La révision de l’obligation d’un registre central national ou européen</w:t>
      </w:r>
    </w:p>
    <w:p w14:paraId="52C0AB9C" w14:textId="77777777" w:rsidR="00105F90" w:rsidRDefault="00105F90">
      <w:pPr>
        <w:pStyle w:val="ListParagraph"/>
        <w:spacing w:after="0" w:line="240" w:lineRule="auto"/>
        <w:jc w:val="both"/>
        <w:rPr>
          <w:rFonts w:ascii="Arial" w:hAnsi="Arial" w:cs="Arial"/>
          <w:sz w:val="20"/>
          <w:szCs w:val="20"/>
        </w:rPr>
      </w:pPr>
    </w:p>
    <w:p w14:paraId="44845F21" w14:textId="77777777" w:rsidR="00105F90" w:rsidRDefault="00B855FF">
      <w:pPr>
        <w:spacing w:after="0" w:line="240" w:lineRule="auto"/>
        <w:jc w:val="both"/>
        <w:rPr>
          <w:rFonts w:ascii="Arial" w:hAnsi="Arial" w:cs="Arial"/>
          <w:sz w:val="20"/>
          <w:szCs w:val="20"/>
        </w:rPr>
      </w:pPr>
      <w:r>
        <w:rPr>
          <w:rFonts w:ascii="Arial" w:hAnsi="Arial" w:cs="Arial"/>
          <w:sz w:val="20"/>
          <w:szCs w:val="20"/>
        </w:rPr>
        <w:t xml:space="preserve">Les autorités françaises prennent note de la proposition de la Commission de systématisation de l’usage de registres centraux des aides </w:t>
      </w:r>
      <w:r>
        <w:rPr>
          <w:rFonts w:ascii="Arial" w:hAnsi="Arial" w:cs="Arial"/>
          <w:i/>
          <w:sz w:val="20"/>
          <w:szCs w:val="20"/>
        </w:rPr>
        <w:t>de minimis</w:t>
      </w:r>
      <w:r>
        <w:rPr>
          <w:rFonts w:ascii="Arial" w:hAnsi="Arial" w:cs="Arial"/>
          <w:sz w:val="20"/>
          <w:szCs w:val="20"/>
        </w:rPr>
        <w:t xml:space="preserve"> agricole</w:t>
      </w:r>
      <w:r>
        <w:rPr>
          <w:sz w:val="20"/>
          <w:szCs w:val="20"/>
        </w:rPr>
        <w:t xml:space="preserve"> </w:t>
      </w:r>
      <w:r>
        <w:rPr>
          <w:rFonts w:ascii="Arial" w:hAnsi="Arial" w:cs="Arial"/>
          <w:sz w:val="20"/>
          <w:szCs w:val="20"/>
        </w:rPr>
        <w:t xml:space="preserve">en vue de répondre aux exigences de transparence, prévues par le règlement des aides </w:t>
      </w:r>
      <w:r>
        <w:rPr>
          <w:rFonts w:ascii="Arial" w:hAnsi="Arial" w:cs="Arial"/>
          <w:i/>
          <w:sz w:val="20"/>
          <w:szCs w:val="20"/>
        </w:rPr>
        <w:t>de minimis</w:t>
      </w:r>
      <w:r>
        <w:rPr>
          <w:rFonts w:ascii="Arial" w:hAnsi="Arial" w:cs="Arial"/>
          <w:sz w:val="20"/>
          <w:szCs w:val="20"/>
        </w:rPr>
        <w:t xml:space="preserve"> général soumis au règlement (UE) 2023/2831 en vigueur depuis le 1</w:t>
      </w:r>
      <w:r>
        <w:rPr>
          <w:rFonts w:ascii="Arial" w:hAnsi="Arial" w:cs="Arial"/>
          <w:sz w:val="20"/>
          <w:szCs w:val="20"/>
          <w:vertAlign w:val="superscript"/>
        </w:rPr>
        <w:t>er</w:t>
      </w:r>
      <w:r>
        <w:rPr>
          <w:rFonts w:ascii="Arial" w:hAnsi="Arial" w:cs="Arial"/>
          <w:sz w:val="20"/>
          <w:szCs w:val="20"/>
        </w:rPr>
        <w:t xml:space="preserve"> janvier 2024.</w:t>
      </w:r>
    </w:p>
    <w:p w14:paraId="25425E90" w14:textId="77777777" w:rsidR="00105F90" w:rsidRDefault="00105F90">
      <w:pPr>
        <w:spacing w:after="0" w:line="240" w:lineRule="auto"/>
        <w:jc w:val="both"/>
        <w:rPr>
          <w:rFonts w:ascii="Arial" w:hAnsi="Arial" w:cs="Arial"/>
          <w:sz w:val="20"/>
          <w:szCs w:val="20"/>
        </w:rPr>
      </w:pPr>
    </w:p>
    <w:p w14:paraId="7E329187" w14:textId="77777777" w:rsidR="00105F90" w:rsidRDefault="00B855FF">
      <w:pPr>
        <w:spacing w:after="0" w:line="240" w:lineRule="auto"/>
        <w:jc w:val="both"/>
        <w:rPr>
          <w:rFonts w:ascii="Arial" w:hAnsi="Arial" w:cs="Arial"/>
          <w:b/>
          <w:sz w:val="20"/>
          <w:szCs w:val="20"/>
        </w:rPr>
      </w:pPr>
      <w:r>
        <w:rPr>
          <w:rFonts w:ascii="Arial" w:hAnsi="Arial" w:cs="Arial"/>
          <w:sz w:val="20"/>
          <w:szCs w:val="20"/>
        </w:rPr>
        <w:t xml:space="preserve">Toutefois, les autorités françaises estiment que le </w:t>
      </w:r>
      <w:r w:rsidRPr="009D521E">
        <w:rPr>
          <w:rFonts w:ascii="Arial" w:hAnsi="Arial" w:cs="Arial"/>
          <w:sz w:val="20"/>
          <w:szCs w:val="20"/>
          <w:highlight w:val="yellow"/>
        </w:rPr>
        <w:t>délai du 1</w:t>
      </w:r>
      <w:r w:rsidRPr="009D521E">
        <w:rPr>
          <w:rFonts w:ascii="Arial" w:hAnsi="Arial" w:cs="Arial"/>
          <w:sz w:val="20"/>
          <w:szCs w:val="20"/>
          <w:highlight w:val="yellow"/>
          <w:vertAlign w:val="superscript"/>
        </w:rPr>
        <w:t>er</w:t>
      </w:r>
      <w:r w:rsidRPr="009D521E">
        <w:rPr>
          <w:rFonts w:ascii="Arial" w:hAnsi="Arial" w:cs="Arial"/>
          <w:sz w:val="20"/>
          <w:szCs w:val="20"/>
          <w:highlight w:val="yellow"/>
        </w:rPr>
        <w:t xml:space="preserve"> janvier 2026 est peu réaliste</w:t>
      </w:r>
      <w:r>
        <w:rPr>
          <w:rFonts w:ascii="Arial" w:hAnsi="Arial" w:cs="Arial"/>
          <w:sz w:val="20"/>
          <w:szCs w:val="20"/>
        </w:rPr>
        <w:t xml:space="preserve"> au regard du temps nécessaire pour développer des solutions informatiques robustes, y compris pour collecter les données dans un format harmonisé répondant pleinement aux exigences de la règlementation européenne. </w:t>
      </w:r>
      <w:r>
        <w:rPr>
          <w:rFonts w:ascii="Arial" w:hAnsi="Arial" w:cs="Arial"/>
          <w:b/>
          <w:sz w:val="20"/>
          <w:szCs w:val="20"/>
        </w:rPr>
        <w:t xml:space="preserve">Elles demandent donc d’envisager un </w:t>
      </w:r>
      <w:r w:rsidRPr="009D521E">
        <w:rPr>
          <w:rFonts w:ascii="Arial" w:hAnsi="Arial" w:cs="Arial"/>
          <w:b/>
          <w:sz w:val="20"/>
          <w:szCs w:val="20"/>
          <w:highlight w:val="yellow"/>
        </w:rPr>
        <w:t>délai transitoire</w:t>
      </w:r>
      <w:r>
        <w:rPr>
          <w:rFonts w:ascii="Arial" w:hAnsi="Arial" w:cs="Arial"/>
          <w:b/>
          <w:sz w:val="20"/>
          <w:szCs w:val="20"/>
        </w:rPr>
        <w:t xml:space="preserve"> suffisant en tenant compte de la volumétrie des dossiers susceptibles de bénéficier d’aides </w:t>
      </w:r>
      <w:r>
        <w:rPr>
          <w:rFonts w:ascii="Arial" w:hAnsi="Arial" w:cs="Arial"/>
          <w:b/>
          <w:i/>
          <w:iCs/>
          <w:sz w:val="20"/>
          <w:szCs w:val="20"/>
        </w:rPr>
        <w:t>de minimis</w:t>
      </w:r>
      <w:r>
        <w:rPr>
          <w:rFonts w:ascii="Arial" w:hAnsi="Arial" w:cs="Arial"/>
          <w:b/>
          <w:sz w:val="20"/>
          <w:szCs w:val="20"/>
        </w:rPr>
        <w:t xml:space="preserve"> et de la diversité des financeurs.</w:t>
      </w:r>
    </w:p>
    <w:p w14:paraId="7505D25D" w14:textId="77777777" w:rsidR="00105F90" w:rsidRDefault="00105F90">
      <w:pPr>
        <w:spacing w:after="0" w:line="240" w:lineRule="auto"/>
        <w:jc w:val="both"/>
        <w:rPr>
          <w:rFonts w:ascii="Arial" w:hAnsi="Arial" w:cs="Arial"/>
          <w:b/>
          <w:sz w:val="20"/>
          <w:szCs w:val="20"/>
        </w:rPr>
      </w:pPr>
    </w:p>
    <w:p w14:paraId="7B643065" w14:textId="77777777" w:rsidR="00105F90" w:rsidRDefault="00B855FF">
      <w:pPr>
        <w:spacing w:after="0" w:line="240" w:lineRule="auto"/>
        <w:jc w:val="both"/>
        <w:rPr>
          <w:rFonts w:ascii="Arial" w:hAnsi="Arial" w:cs="Arial"/>
          <w:sz w:val="20"/>
          <w:szCs w:val="20"/>
        </w:rPr>
      </w:pPr>
      <w:r>
        <w:rPr>
          <w:rFonts w:ascii="Arial" w:hAnsi="Arial" w:cs="Arial"/>
          <w:sz w:val="20"/>
          <w:szCs w:val="20"/>
        </w:rPr>
        <w:t xml:space="preserve">Par ailleurs, les autorités françaises, s’appuyant sur la particularité des aides </w:t>
      </w:r>
      <w:r>
        <w:rPr>
          <w:rFonts w:ascii="Arial" w:hAnsi="Arial" w:cs="Arial"/>
          <w:i/>
          <w:sz w:val="20"/>
          <w:szCs w:val="20"/>
        </w:rPr>
        <w:t>de minimis</w:t>
      </w:r>
      <w:r>
        <w:rPr>
          <w:rFonts w:ascii="Arial" w:hAnsi="Arial" w:cs="Arial"/>
          <w:sz w:val="20"/>
          <w:szCs w:val="20"/>
        </w:rPr>
        <w:t xml:space="preserve"> (ex. seuils très bas des aides </w:t>
      </w:r>
      <w:r>
        <w:rPr>
          <w:rFonts w:ascii="Arial" w:hAnsi="Arial" w:cs="Arial"/>
          <w:i/>
          <w:sz w:val="20"/>
          <w:szCs w:val="20"/>
        </w:rPr>
        <w:t>de minimis</w:t>
      </w:r>
      <w:r>
        <w:rPr>
          <w:rFonts w:ascii="Arial" w:hAnsi="Arial" w:cs="Arial"/>
          <w:sz w:val="20"/>
          <w:szCs w:val="20"/>
        </w:rPr>
        <w:t xml:space="preserve"> agricoles qui justifient l'absence de menace de distorsion de la concurrence dans l'Union européenne, à la différence des aides d’Etat), estiment que les modalités exigées par la Commission ne sont pas proportionnées au montant et à la nature de ces aides et entraîneraient des </w:t>
      </w:r>
      <w:r w:rsidRPr="009D521E">
        <w:rPr>
          <w:rFonts w:ascii="Arial" w:hAnsi="Arial" w:cs="Arial"/>
          <w:sz w:val="20"/>
          <w:szCs w:val="20"/>
          <w:highlight w:val="yellow"/>
        </w:rPr>
        <w:lastRenderedPageBreak/>
        <w:t>charges administratives supplémentaires non justifiées pour les Etats membres</w:t>
      </w:r>
      <w:r>
        <w:rPr>
          <w:rFonts w:ascii="Arial" w:hAnsi="Arial" w:cs="Arial"/>
          <w:sz w:val="20"/>
          <w:szCs w:val="20"/>
        </w:rPr>
        <w:t xml:space="preserve">. En conséquence, </w:t>
      </w:r>
      <w:r>
        <w:rPr>
          <w:rFonts w:ascii="Arial" w:hAnsi="Arial" w:cs="Arial"/>
          <w:b/>
          <w:sz w:val="20"/>
          <w:szCs w:val="20"/>
        </w:rPr>
        <w:t>les autorités françaises proposent</w:t>
      </w:r>
      <w:r>
        <w:rPr>
          <w:rFonts w:ascii="Arial" w:hAnsi="Arial" w:cs="Arial"/>
          <w:sz w:val="20"/>
          <w:szCs w:val="20"/>
        </w:rPr>
        <w:t xml:space="preserve"> </w:t>
      </w:r>
      <w:r>
        <w:rPr>
          <w:rFonts w:ascii="Arial" w:hAnsi="Arial" w:cs="Arial"/>
          <w:b/>
          <w:sz w:val="20"/>
          <w:szCs w:val="20"/>
        </w:rPr>
        <w:t>que</w:t>
      </w:r>
      <w:r>
        <w:rPr>
          <w:rFonts w:ascii="Arial" w:hAnsi="Arial" w:cs="Arial"/>
          <w:sz w:val="20"/>
          <w:szCs w:val="20"/>
        </w:rPr>
        <w:t xml:space="preserve"> </w:t>
      </w:r>
      <w:r>
        <w:rPr>
          <w:rFonts w:ascii="Arial" w:hAnsi="Arial" w:cs="Arial"/>
          <w:b/>
          <w:sz w:val="20"/>
          <w:szCs w:val="20"/>
        </w:rPr>
        <w:t>les exigences de gestion pour l’utilisation d’un registre central prévues par la Commission soient assouplies dans le sens suivant :</w:t>
      </w:r>
    </w:p>
    <w:p w14:paraId="4DA18136" w14:textId="77777777" w:rsidR="00105F90" w:rsidRDefault="00B855FF">
      <w:pPr>
        <w:pStyle w:val="ListParagraph"/>
        <w:numPr>
          <w:ilvl w:val="0"/>
          <w:numId w:val="9"/>
        </w:numPr>
        <w:spacing w:after="0" w:line="240" w:lineRule="auto"/>
        <w:jc w:val="both"/>
        <w:rPr>
          <w:rFonts w:ascii="Arial" w:hAnsi="Arial" w:cs="Arial"/>
          <w:b/>
          <w:sz w:val="20"/>
          <w:szCs w:val="20"/>
        </w:rPr>
      </w:pPr>
      <w:proofErr w:type="gramStart"/>
      <w:r>
        <w:rPr>
          <w:rFonts w:ascii="Arial" w:hAnsi="Arial" w:cs="Arial"/>
          <w:b/>
          <w:sz w:val="20"/>
          <w:szCs w:val="20"/>
        </w:rPr>
        <w:t>révision</w:t>
      </w:r>
      <w:proofErr w:type="gramEnd"/>
      <w:r>
        <w:rPr>
          <w:rFonts w:ascii="Arial" w:hAnsi="Arial" w:cs="Arial"/>
          <w:b/>
          <w:sz w:val="20"/>
          <w:szCs w:val="20"/>
        </w:rPr>
        <w:t xml:space="preserve"> du délai de saisie dans le registre central </w:t>
      </w:r>
      <w:r>
        <w:rPr>
          <w:rFonts w:ascii="Arial" w:hAnsi="Arial" w:cs="Arial"/>
          <w:sz w:val="20"/>
          <w:szCs w:val="20"/>
        </w:rPr>
        <w:t xml:space="preserve">passant de 20 jours ouvrables </w:t>
      </w:r>
      <w:r>
        <w:rPr>
          <w:rFonts w:ascii="Arial" w:hAnsi="Arial" w:cs="Arial"/>
          <w:b/>
          <w:sz w:val="20"/>
          <w:szCs w:val="20"/>
        </w:rPr>
        <w:t xml:space="preserve">à 12 mois suivant l’octroi de l’aide </w:t>
      </w:r>
      <w:r>
        <w:rPr>
          <w:rFonts w:ascii="Arial" w:hAnsi="Arial" w:cs="Arial"/>
          <w:b/>
          <w:i/>
          <w:sz w:val="20"/>
          <w:szCs w:val="20"/>
        </w:rPr>
        <w:t>de minimis</w:t>
      </w:r>
      <w:r>
        <w:rPr>
          <w:rFonts w:ascii="Arial" w:hAnsi="Arial" w:cs="Arial"/>
          <w:b/>
          <w:sz w:val="20"/>
          <w:szCs w:val="20"/>
        </w:rPr>
        <w:t xml:space="preserve"> agricole. </w:t>
      </w:r>
      <w:r>
        <w:rPr>
          <w:rFonts w:ascii="Arial" w:hAnsi="Arial" w:cs="Arial"/>
          <w:sz w:val="20"/>
          <w:szCs w:val="20"/>
        </w:rPr>
        <w:t xml:space="preserve">Ce délai allongé permettrait notamment de saisir de manière exhaustive les données des aides </w:t>
      </w:r>
      <w:r>
        <w:rPr>
          <w:rFonts w:ascii="Arial" w:hAnsi="Arial" w:cs="Arial"/>
          <w:i/>
          <w:sz w:val="20"/>
          <w:szCs w:val="20"/>
        </w:rPr>
        <w:t>de minimis</w:t>
      </w:r>
      <w:r>
        <w:rPr>
          <w:rFonts w:ascii="Arial" w:hAnsi="Arial" w:cs="Arial"/>
          <w:sz w:val="20"/>
          <w:szCs w:val="20"/>
        </w:rPr>
        <w:t xml:space="preserve"> agricole sous forme fiscales dont la date d’octroi correspond au fait générateur ; la détermination de ce dernier variant en fonction de chaque dispositif d’aide fiscale ;</w:t>
      </w:r>
    </w:p>
    <w:p w14:paraId="47E6CB75" w14:textId="77777777" w:rsidR="00105F90" w:rsidRDefault="00B855FF">
      <w:pPr>
        <w:pStyle w:val="ListParagraph"/>
        <w:numPr>
          <w:ilvl w:val="0"/>
          <w:numId w:val="9"/>
        </w:numPr>
        <w:spacing w:after="0" w:line="240" w:lineRule="auto"/>
        <w:jc w:val="both"/>
        <w:rPr>
          <w:rFonts w:ascii="Arial" w:hAnsi="Arial" w:cs="Arial"/>
          <w:sz w:val="20"/>
          <w:szCs w:val="20"/>
        </w:rPr>
      </w:pPr>
      <w:proofErr w:type="gramStart"/>
      <w:r>
        <w:rPr>
          <w:rFonts w:ascii="Arial" w:hAnsi="Arial" w:cs="Arial"/>
          <w:b/>
          <w:sz w:val="20"/>
          <w:szCs w:val="20"/>
        </w:rPr>
        <w:t>suppression</w:t>
      </w:r>
      <w:proofErr w:type="gramEnd"/>
      <w:r>
        <w:rPr>
          <w:rFonts w:ascii="Arial" w:hAnsi="Arial" w:cs="Arial"/>
          <w:b/>
          <w:sz w:val="20"/>
          <w:szCs w:val="20"/>
        </w:rPr>
        <w:t xml:space="preserve"> de la transmission annuelle </w:t>
      </w:r>
      <w:r>
        <w:rPr>
          <w:rFonts w:ascii="Arial" w:hAnsi="Arial" w:cs="Arial"/>
          <w:sz w:val="20"/>
          <w:szCs w:val="20"/>
        </w:rPr>
        <w:t xml:space="preserve">à la Commission, au plus tard le 30 juin de chaque année, des données agrégées sur les aides </w:t>
      </w:r>
      <w:r>
        <w:rPr>
          <w:rFonts w:ascii="Arial" w:hAnsi="Arial" w:cs="Arial"/>
          <w:i/>
          <w:sz w:val="20"/>
          <w:szCs w:val="20"/>
        </w:rPr>
        <w:t>de minimis</w:t>
      </w:r>
      <w:r>
        <w:rPr>
          <w:rFonts w:ascii="Arial" w:hAnsi="Arial" w:cs="Arial"/>
          <w:sz w:val="20"/>
          <w:szCs w:val="20"/>
        </w:rPr>
        <w:t xml:space="preserve"> octroyées l’année précédente</w:t>
      </w:r>
      <w:r>
        <w:rPr>
          <w:rFonts w:ascii="Arial" w:hAnsi="Arial" w:cs="Arial"/>
          <w:b/>
          <w:sz w:val="20"/>
          <w:szCs w:val="20"/>
        </w:rPr>
        <w:t xml:space="preserve">, </w:t>
      </w:r>
      <w:r>
        <w:rPr>
          <w:rFonts w:ascii="Arial" w:hAnsi="Arial" w:cs="Arial"/>
          <w:sz w:val="20"/>
          <w:szCs w:val="20"/>
        </w:rPr>
        <w:t xml:space="preserve">par les États membres utilisant un registre central au niveau national. </w:t>
      </w:r>
    </w:p>
    <w:p w14:paraId="7C183558" w14:textId="77777777" w:rsidR="00105F90" w:rsidRDefault="00105F90">
      <w:pPr>
        <w:spacing w:after="0" w:line="240" w:lineRule="auto"/>
        <w:jc w:val="both"/>
        <w:rPr>
          <w:rFonts w:ascii="Arial" w:hAnsi="Arial" w:cs="Arial"/>
          <w:sz w:val="20"/>
          <w:szCs w:val="20"/>
        </w:rPr>
      </w:pPr>
    </w:p>
    <w:p w14:paraId="47C37C1C" w14:textId="77777777" w:rsidR="00105F90" w:rsidRDefault="00B855FF">
      <w:pPr>
        <w:spacing w:after="0" w:line="240" w:lineRule="auto"/>
        <w:jc w:val="both"/>
        <w:rPr>
          <w:rFonts w:ascii="Arial" w:hAnsi="Arial" w:cs="Arial"/>
          <w:sz w:val="20"/>
          <w:szCs w:val="20"/>
        </w:rPr>
      </w:pPr>
      <w:r>
        <w:rPr>
          <w:rFonts w:ascii="Arial" w:hAnsi="Arial" w:cs="Arial"/>
          <w:sz w:val="20"/>
          <w:szCs w:val="20"/>
        </w:rPr>
        <w:t>Les autorités françaises remercient la Commission pour la prise en compte de leurs demandes et se tiennent à sa disposition pour lui fournir tout élément d’information complémentaire.</w:t>
      </w:r>
    </w:p>
    <w:sectPr w:rsidR="00105F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A1C62" w14:textId="77777777" w:rsidR="00B855FF" w:rsidRDefault="00B855FF">
      <w:pPr>
        <w:spacing w:after="0" w:line="240" w:lineRule="auto"/>
      </w:pPr>
      <w:r>
        <w:separator/>
      </w:r>
    </w:p>
  </w:endnote>
  <w:endnote w:type="continuationSeparator" w:id="0">
    <w:p w14:paraId="5AB89ECE" w14:textId="77777777" w:rsidR="00B855FF" w:rsidRDefault="00B85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0000000000000000000"/>
    <w:charset w:val="00"/>
    <w:family w:val="modern"/>
    <w:notTrueType/>
    <w:pitch w:val="variable"/>
    <w:sig w:usb0="0000000F"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2C0A5" w14:textId="77777777" w:rsidR="00B855FF" w:rsidRDefault="00B855FF">
      <w:pPr>
        <w:spacing w:after="0" w:line="240" w:lineRule="auto"/>
      </w:pPr>
      <w:r>
        <w:separator/>
      </w:r>
    </w:p>
  </w:footnote>
  <w:footnote w:type="continuationSeparator" w:id="0">
    <w:p w14:paraId="4F6A9726" w14:textId="77777777" w:rsidR="00B855FF" w:rsidRDefault="00B855FF">
      <w:pPr>
        <w:spacing w:after="0" w:line="240" w:lineRule="auto"/>
      </w:pPr>
      <w:r>
        <w:continuationSeparator/>
      </w:r>
    </w:p>
  </w:footnote>
  <w:footnote w:id="1">
    <w:p w14:paraId="510E1558" w14:textId="77777777" w:rsidR="00105F90" w:rsidRDefault="00B855FF">
      <w:pPr>
        <w:pStyle w:val="FootnoteText"/>
        <w:rPr>
          <w:rFonts w:ascii="Arial" w:hAnsi="Arial" w:cs="Arial"/>
          <w:sz w:val="17"/>
          <w:szCs w:val="17"/>
        </w:rPr>
      </w:pPr>
      <w:r>
        <w:rPr>
          <w:rStyle w:val="FootnoteReference"/>
          <w:rFonts w:ascii="Arial" w:hAnsi="Arial" w:cs="Arial"/>
          <w:sz w:val="17"/>
          <w:szCs w:val="17"/>
        </w:rPr>
        <w:footnoteRef/>
      </w:r>
      <w:r>
        <w:rPr>
          <w:rFonts w:ascii="Arial" w:hAnsi="Arial" w:cs="Arial"/>
          <w:sz w:val="17"/>
          <w:szCs w:val="17"/>
        </w:rPr>
        <w:t xml:space="preserve"> Ce règlement </w:t>
      </w:r>
      <w:r>
        <w:rPr>
          <w:rFonts w:ascii="Arial" w:hAnsi="Arial" w:cs="Arial"/>
          <w:i/>
          <w:sz w:val="17"/>
          <w:szCs w:val="17"/>
        </w:rPr>
        <w:t>de minimis</w:t>
      </w:r>
      <w:r>
        <w:rPr>
          <w:rFonts w:ascii="Arial" w:hAnsi="Arial" w:cs="Arial"/>
          <w:sz w:val="17"/>
          <w:szCs w:val="17"/>
        </w:rPr>
        <w:t xml:space="preserve"> agricole a été modifié par les règlements de la Commission (UE) 2019/316 du 21 février 2019, (UE) 2022/2046 du 24 octobre 2022 et (UE) 2023/2391 de la Commission du 4 octobre 2023.</w:t>
      </w:r>
    </w:p>
  </w:footnote>
  <w:footnote w:id="2">
    <w:p w14:paraId="2455B560" w14:textId="77777777" w:rsidR="00105F90" w:rsidRDefault="00B855FF">
      <w:pPr>
        <w:pStyle w:val="FootnoteText"/>
        <w:rPr>
          <w:rFonts w:ascii="Arial" w:hAnsi="Arial" w:cs="Arial"/>
          <w:sz w:val="17"/>
          <w:szCs w:val="17"/>
        </w:rPr>
      </w:pPr>
      <w:r>
        <w:rPr>
          <w:rStyle w:val="FootnoteReference"/>
          <w:rFonts w:ascii="Arial" w:hAnsi="Arial" w:cs="Arial"/>
          <w:sz w:val="17"/>
          <w:szCs w:val="17"/>
        </w:rPr>
        <w:footnoteRef/>
      </w:r>
      <w:r>
        <w:rPr>
          <w:rFonts w:ascii="Arial" w:hAnsi="Arial" w:cs="Arial"/>
          <w:sz w:val="17"/>
          <w:szCs w:val="17"/>
        </w:rPr>
        <w:t xml:space="preserve"> Baisse cumulée d’environ 37% par rapport à la période 2008-2013.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6EAA"/>
    <w:multiLevelType w:val="hybridMultilevel"/>
    <w:tmpl w:val="73CCDA6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CF01AA"/>
    <w:multiLevelType w:val="hybridMultilevel"/>
    <w:tmpl w:val="2BE0B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96428B"/>
    <w:multiLevelType w:val="hybridMultilevel"/>
    <w:tmpl w:val="141CC620"/>
    <w:lvl w:ilvl="0" w:tplc="040C0001">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C5C19"/>
    <w:multiLevelType w:val="hybridMultilevel"/>
    <w:tmpl w:val="196CB226"/>
    <w:lvl w:ilvl="0" w:tplc="FF7AB99C">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D13CCE"/>
    <w:multiLevelType w:val="hybridMultilevel"/>
    <w:tmpl w:val="33D2636E"/>
    <w:lvl w:ilvl="0" w:tplc="7454240C">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23345"/>
    <w:multiLevelType w:val="hybridMultilevel"/>
    <w:tmpl w:val="E144688E"/>
    <w:lvl w:ilvl="0" w:tplc="D7C400B8">
      <w:numFmt w:val="bullet"/>
      <w:lvlText w:val="-"/>
      <w:lvlJc w:val="left"/>
      <w:pPr>
        <w:ind w:left="720" w:hanging="360"/>
      </w:pPr>
      <w:rPr>
        <w:rFonts w:ascii="Arial" w:eastAsiaTheme="minorHAnsi" w:hAnsi="Arial" w:cs="Aria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22C67"/>
    <w:multiLevelType w:val="hybridMultilevel"/>
    <w:tmpl w:val="645A3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B4D5D"/>
    <w:multiLevelType w:val="hybridMultilevel"/>
    <w:tmpl w:val="ED906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8A4352"/>
    <w:multiLevelType w:val="hybridMultilevel"/>
    <w:tmpl w:val="2B26D3DA"/>
    <w:lvl w:ilvl="0" w:tplc="0F8CD352">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8D3278"/>
    <w:multiLevelType w:val="hybridMultilevel"/>
    <w:tmpl w:val="D3726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5E6523"/>
    <w:multiLevelType w:val="hybridMultilevel"/>
    <w:tmpl w:val="5456C3E8"/>
    <w:lvl w:ilvl="0" w:tplc="D7C400B8">
      <w:numFmt w:val="bullet"/>
      <w:lvlText w:val="-"/>
      <w:lvlJc w:val="left"/>
      <w:pPr>
        <w:ind w:left="720" w:hanging="360"/>
      </w:pPr>
      <w:rPr>
        <w:rFonts w:ascii="Arial" w:eastAsiaTheme="minorHAnsi" w:hAnsi="Arial" w:cs="Aria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E70940"/>
    <w:multiLevelType w:val="hybridMultilevel"/>
    <w:tmpl w:val="19345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3235BA"/>
    <w:multiLevelType w:val="hybridMultilevel"/>
    <w:tmpl w:val="48AAF98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15:restartNumberingAfterBreak="0">
    <w:nsid w:val="6453133D"/>
    <w:multiLevelType w:val="hybridMultilevel"/>
    <w:tmpl w:val="52AE72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5E71104"/>
    <w:multiLevelType w:val="hybridMultilevel"/>
    <w:tmpl w:val="EA4046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D97A08"/>
    <w:multiLevelType w:val="hybridMultilevel"/>
    <w:tmpl w:val="92AAF1A0"/>
    <w:lvl w:ilvl="0" w:tplc="E8EAEB9A">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0743251">
    <w:abstractNumId w:val="15"/>
  </w:num>
  <w:num w:numId="2" w16cid:durableId="1042486845">
    <w:abstractNumId w:val="14"/>
  </w:num>
  <w:num w:numId="3" w16cid:durableId="1425876998">
    <w:abstractNumId w:val="4"/>
  </w:num>
  <w:num w:numId="4" w16cid:durableId="118765339">
    <w:abstractNumId w:val="0"/>
  </w:num>
  <w:num w:numId="5" w16cid:durableId="409541901">
    <w:abstractNumId w:val="13"/>
  </w:num>
  <w:num w:numId="6" w16cid:durableId="1374035419">
    <w:abstractNumId w:val="8"/>
  </w:num>
  <w:num w:numId="7" w16cid:durableId="26374142">
    <w:abstractNumId w:val="11"/>
  </w:num>
  <w:num w:numId="8" w16cid:durableId="501089737">
    <w:abstractNumId w:val="3"/>
  </w:num>
  <w:num w:numId="9" w16cid:durableId="1137913291">
    <w:abstractNumId w:val="9"/>
  </w:num>
  <w:num w:numId="10" w16cid:durableId="1056009544">
    <w:abstractNumId w:val="7"/>
  </w:num>
  <w:num w:numId="11" w16cid:durableId="1398896713">
    <w:abstractNumId w:val="12"/>
  </w:num>
  <w:num w:numId="12" w16cid:durableId="1437479969">
    <w:abstractNumId w:val="1"/>
  </w:num>
  <w:num w:numId="13" w16cid:durableId="44915816">
    <w:abstractNumId w:val="6"/>
  </w:num>
  <w:num w:numId="14" w16cid:durableId="410473132">
    <w:abstractNumId w:val="5"/>
  </w:num>
  <w:num w:numId="15" w16cid:durableId="1705399943">
    <w:abstractNumId w:val="10"/>
  </w:num>
  <w:num w:numId="16" w16cid:durableId="126049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05F90"/>
    <w:rsid w:val="00105F90"/>
    <w:rsid w:val="00721DD4"/>
    <w:rsid w:val="009D521E"/>
    <w:rsid w:val="00A312BC"/>
    <w:rsid w:val="00B85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763C"/>
  <w15:chartTrackingRefBased/>
  <w15:docId w15:val="{6BDEC7C9-8965-43CB-8255-43601C45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suppressAutoHyphens/>
      <w:spacing w:after="120" w:line="240" w:lineRule="auto"/>
      <w:jc w:val="both"/>
      <w:outlineLvl w:val="0"/>
    </w:pPr>
    <w:rPr>
      <w:rFonts w:ascii="Arial" w:eastAsia="Times New Roman" w:hAnsi="Arial" w:cs="Arial"/>
      <w:b/>
      <w:sz w:val="24"/>
      <w:szCs w:val="32"/>
      <w:u w:val="single"/>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Times New Roman" w:hAnsi="Arial" w:cs="Arial"/>
      <w:b/>
      <w:sz w:val="24"/>
      <w:szCs w:val="32"/>
      <w:u w:val="single"/>
      <w:lang w:eastAsia="fr-FR"/>
    </w:rPr>
  </w:style>
  <w:style w:type="paragraph" w:customStyle="1" w:styleId="Paris-Date">
    <w:name w:val="Paris-Date"/>
    <w:qFormat/>
    <w:pPr>
      <w:suppressAutoHyphens/>
      <w:spacing w:after="0" w:line="240" w:lineRule="auto"/>
    </w:pPr>
    <w:rPr>
      <w:rFonts w:eastAsia="Times New Roman" w:cs="Times New Roman"/>
      <w:szCs w:val="23"/>
      <w:lang w:eastAsia="fr-FR"/>
    </w:rPr>
  </w:style>
  <w:style w:type="paragraph" w:customStyle="1" w:styleId="NAF">
    <w:name w:val="NAF"/>
    <w:basedOn w:val="Normal"/>
    <w:qFormat/>
    <w:pPr>
      <w:suppressAutoHyphens/>
      <w:spacing w:after="0" w:line="360" w:lineRule="auto"/>
      <w:jc w:val="center"/>
    </w:pPr>
    <w:rPr>
      <w:rFonts w:eastAsia="Times New Roman" w:cs="Times New Roman"/>
      <w:b/>
      <w:bCs/>
      <w:sz w:val="36"/>
      <w:szCs w:val="20"/>
      <w:lang w:eastAsia="fr-FR"/>
    </w:rPr>
  </w:style>
  <w:style w:type="character" w:styleId="Hyperlink">
    <w:name w:val="Hyperlink"/>
    <w:basedOn w:val="DefaultParagraphFont"/>
    <w:uiPriority w:val="99"/>
    <w:rPr>
      <w:color w:val="0563C1" w:themeColor="hyperlink"/>
      <w:u w:val="single"/>
    </w:rPr>
  </w:style>
  <w:style w:type="paragraph" w:styleId="FootnoteText">
    <w:name w:val="footnote text"/>
    <w:basedOn w:val="Normal"/>
    <w:link w:val="FootnoteTextChar"/>
    <w:uiPriority w:val="99"/>
    <w:unhideWhenUsed/>
    <w:pPr>
      <w:suppressAutoHyphens/>
      <w:spacing w:after="0" w:line="240" w:lineRule="auto"/>
      <w:jc w:val="both"/>
    </w:pPr>
    <w:rPr>
      <w:rFonts w:eastAsia="Times New Roman" w:cs="Times New Roman"/>
      <w:sz w:val="20"/>
      <w:szCs w:val="20"/>
      <w:lang w:eastAsia="fr-FR"/>
    </w:rPr>
  </w:style>
  <w:style w:type="character" w:customStyle="1" w:styleId="FootnoteTextChar">
    <w:name w:val="Footnote Text Char"/>
    <w:basedOn w:val="DefaultParagraphFont"/>
    <w:link w:val="FootnoteText"/>
    <w:uiPriority w:val="99"/>
    <w:qFormat/>
    <w:rPr>
      <w:rFonts w:eastAsia="Times New Roman" w:cs="Times New Roman"/>
      <w:sz w:val="20"/>
      <w:szCs w:val="20"/>
      <w:lang w:eastAsia="fr-FR"/>
    </w:rPr>
  </w:style>
  <w:style w:type="character" w:styleId="FootnoteReference">
    <w:name w:val="footnote reference"/>
    <w:basedOn w:val="DefaultParagraphFont"/>
    <w:uiPriority w:val="99"/>
    <w:semiHidden/>
    <w:unhideWhenUsed/>
    <w:qFormat/>
    <w:rPr>
      <w:vertAlign w:val="superscript"/>
    </w:rPr>
  </w:style>
  <w:style w:type="paragraph" w:styleId="BodyText">
    <w:name w:val="Body Text"/>
    <w:basedOn w:val="Normal"/>
    <w:link w:val="BodyTextChar"/>
    <w:uiPriority w:val="1"/>
    <w:qFormat/>
    <w:pPr>
      <w:widowControl w:val="0"/>
      <w:autoSpaceDE w:val="0"/>
      <w:autoSpaceDN w:val="0"/>
      <w:spacing w:after="0" w:line="276" w:lineRule="auto"/>
    </w:pPr>
    <w:rPr>
      <w:rFonts w:ascii="Arial" w:hAnsi="Arial" w:cs="Arial"/>
      <w:sz w:val="20"/>
    </w:rPr>
  </w:style>
  <w:style w:type="character" w:customStyle="1" w:styleId="BodyTextChar">
    <w:name w:val="Body Text Char"/>
    <w:basedOn w:val="DefaultParagraphFont"/>
    <w:link w:val="BodyText"/>
    <w:uiPriority w:val="1"/>
    <w:rPr>
      <w:rFonts w:ascii="Arial" w:hAnsi="Arial" w:cs="Arial"/>
      <w:sz w:val="20"/>
    </w:rPr>
  </w:style>
  <w:style w:type="paragraph" w:customStyle="1" w:styleId="Index">
    <w:name w:val="Index"/>
    <w:basedOn w:val="Normal"/>
    <w:qFormat/>
    <w:pPr>
      <w:widowControl w:val="0"/>
      <w:suppressLineNumbers/>
      <w:suppressAutoHyphens/>
      <w:spacing w:after="0" w:line="240" w:lineRule="auto"/>
    </w:pPr>
    <w:rPr>
      <w:rFonts w:ascii="Arial" w:eastAsia="Calibri" w:hAnsi="Arial" w:cs="Lucida San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widowControl w:val="0"/>
      <w:autoSpaceDE w:val="0"/>
      <w:autoSpaceDN w:val="0"/>
      <w:spacing w:after="0" w:line="240" w:lineRule="auto"/>
    </w:pPr>
    <w:rPr>
      <w:rFonts w:ascii="Arial" w:hAnsi="Arial" w:cs="Arial"/>
      <w:sz w:val="20"/>
      <w:szCs w:val="20"/>
    </w:rPr>
  </w:style>
  <w:style w:type="character" w:customStyle="1" w:styleId="CommentTextChar">
    <w:name w:val="Comment Text Char"/>
    <w:basedOn w:val="DefaultParagraphFont"/>
    <w:link w:val="CommentText"/>
    <w:uiPriority w:val="99"/>
    <w:rPr>
      <w:rFonts w:ascii="Arial" w:hAnsi="Arial" w:cs="Arial"/>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pPr>
      <w:widowControl/>
      <w:autoSpaceDE/>
      <w:autoSpaceDN/>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Pr>
      <w:rFonts w:ascii="Arial" w:hAnsi="Arial" w:cs="Arial"/>
      <w:b/>
      <w:bCs/>
      <w:sz w:val="20"/>
      <w:szCs w:val="20"/>
    </w:rPr>
  </w:style>
  <w:style w:type="paragraph" w:styleId="ListParagraph">
    <w:name w:val="List Paragraph"/>
    <w:basedOn w:val="Normal"/>
    <w:uiPriority w:val="34"/>
    <w:qFormat/>
    <w:pPr>
      <w:ind w:left="720"/>
      <w:contextualSpacing/>
    </w:pPr>
  </w:style>
  <w:style w:type="paragraph" w:styleId="Revision">
    <w:name w:val="Revision"/>
    <w:hidden/>
    <w:uiPriority w:val="99"/>
    <w:semiHidden/>
    <w:pPr>
      <w:spacing w:after="0" w:line="240" w:lineRule="auto"/>
    </w:pPr>
  </w:style>
  <w:style w:type="character" w:styleId="FollowedHyperlink">
    <w:name w:val="FollowedHyperlink"/>
    <w:basedOn w:val="DefaultParagraphFont"/>
    <w:uiPriority w:val="99"/>
    <w:semiHidden/>
    <w:unhideWhenUsed/>
    <w:rPr>
      <w:color w:val="954F72" w:themeColor="followedHyperlink"/>
      <w:u w:val="single"/>
    </w:rPr>
  </w:style>
  <w:style w:type="character" w:styleId="UnresolvedMention">
    <w:name w:val="Unresolved Mention"/>
    <w:basedOn w:val="DefaultParagraphFont"/>
    <w:uiPriority w:val="99"/>
    <w:semiHidden/>
    <w:unhideWhenUsed/>
    <w:rsid w:val="00A31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OMP-H6-CONSULTATION@ec.europa.eu" TargetMode="External"/><Relationship Id="rId4" Type="http://schemas.openxmlformats.org/officeDocument/2006/relationships/settings" Target="settings.xml"/><Relationship Id="rId9" Type="http://schemas.openxmlformats.org/officeDocument/2006/relationships/hyperlink" Target="mailto:Stateaidgreffe@ec.europa.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8ECA1-10E3-4722-BFE2-D1B5AC54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1199</Words>
  <Characters>6600</Characters>
  <Application>Microsoft Office Word</Application>
  <DocSecurity>0</DocSecurity>
  <Lines>129</Lines>
  <Paragraphs>42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Le Galloudec</dc:creator>
  <cp:keywords/>
  <dc:description/>
  <cp:lastModifiedBy>BLEHOVA Lenka (COMP)</cp:lastModifiedBy>
  <cp:revision>3</cp:revision>
  <cp:lastPrinted>2024-07-09T08:42:00Z</cp:lastPrinted>
  <dcterms:created xsi:type="dcterms:W3CDTF">2024-07-24T08:00:00Z</dcterms:created>
  <dcterms:modified xsi:type="dcterms:W3CDTF">2024-07-24T08:14:00Z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2024-07-24T08:00:51Z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4f07411b-f00e-48d5-a49a-6445238184ca</vt:lpwstr>
  </property>
  <property fmtid="{D5CDD505-2E9C-101B-9397-08002B2CF9AE}" pid="8" name="MSIP_Label_6bd9ddd1-4d20-43f6-abfa-fc3c07406f94_ContentBits">
    <vt:lpwstr>0</vt:lpwstr>
  </property>
</Properties>
</file>