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E2771" w14:textId="541A7A16" w:rsidR="00212205" w:rsidRPr="009940D3" w:rsidRDefault="00BC64EA" w:rsidP="002C4C35">
      <w:pPr>
        <w:pBdr>
          <w:top w:val="single" w:sz="4" w:space="1" w:color="auto"/>
          <w:left w:val="single" w:sz="4" w:space="4" w:color="auto"/>
          <w:bottom w:val="single" w:sz="4" w:space="1" w:color="auto"/>
          <w:right w:val="single" w:sz="4" w:space="4" w:color="auto"/>
        </w:pBdr>
        <w:jc w:val="both"/>
        <w:rPr>
          <w:rFonts w:ascii="Arial" w:hAnsi="Arial" w:cs="Arial"/>
          <w:b/>
          <w:bCs/>
          <w:color w:val="2F5496" w:themeColor="accent5" w:themeShade="BF"/>
          <w:lang w:val="en-US"/>
        </w:rPr>
      </w:pPr>
      <w:r w:rsidRPr="009940D3">
        <w:rPr>
          <w:rFonts w:ascii="Arial" w:hAnsi="Arial" w:cs="Arial"/>
          <w:b/>
          <w:bCs/>
          <w:color w:val="2F5496" w:themeColor="accent5" w:themeShade="BF"/>
          <w:lang w:val="en-US"/>
        </w:rPr>
        <w:t xml:space="preserve">Comments </w:t>
      </w:r>
      <w:r w:rsidR="00C4494A">
        <w:rPr>
          <w:rFonts w:ascii="Arial" w:hAnsi="Arial" w:cs="Arial"/>
          <w:b/>
          <w:bCs/>
          <w:color w:val="2F5496" w:themeColor="accent5" w:themeShade="BF"/>
          <w:lang w:val="en-US"/>
        </w:rPr>
        <w:t>of</w:t>
      </w:r>
      <w:r w:rsidR="00722A90" w:rsidRPr="009940D3">
        <w:rPr>
          <w:rFonts w:ascii="Arial" w:hAnsi="Arial" w:cs="Arial"/>
          <w:b/>
          <w:bCs/>
          <w:color w:val="2F5496" w:themeColor="accent5" w:themeShade="BF"/>
          <w:lang w:val="en-US"/>
        </w:rPr>
        <w:t xml:space="preserve"> Czech</w:t>
      </w:r>
      <w:r w:rsidR="002157ED">
        <w:rPr>
          <w:rFonts w:ascii="Arial" w:hAnsi="Arial" w:cs="Arial"/>
          <w:b/>
          <w:bCs/>
          <w:color w:val="2F5496" w:themeColor="accent5" w:themeShade="BF"/>
          <w:lang w:val="en-US"/>
        </w:rPr>
        <w:t xml:space="preserve">ia </w:t>
      </w:r>
      <w:r w:rsidRPr="009940D3">
        <w:rPr>
          <w:rFonts w:ascii="Arial" w:hAnsi="Arial" w:cs="Arial"/>
          <w:b/>
          <w:bCs/>
          <w:color w:val="2F5496" w:themeColor="accent5" w:themeShade="BF"/>
          <w:lang w:val="en-US"/>
        </w:rPr>
        <w:t>on the 1</w:t>
      </w:r>
      <w:r w:rsidRPr="0053556C">
        <w:rPr>
          <w:rFonts w:ascii="Arial" w:hAnsi="Arial" w:cs="Arial"/>
          <w:b/>
          <w:bCs/>
          <w:color w:val="2F5496" w:themeColor="accent5" w:themeShade="BF"/>
          <w:vertAlign w:val="superscript"/>
          <w:lang w:val="en-US"/>
        </w:rPr>
        <w:t>st</w:t>
      </w:r>
      <w:r w:rsidRPr="009940D3">
        <w:rPr>
          <w:rFonts w:ascii="Arial" w:hAnsi="Arial" w:cs="Arial"/>
          <w:b/>
          <w:bCs/>
          <w:color w:val="2F5496" w:themeColor="accent5" w:themeShade="BF"/>
          <w:lang w:val="en-US"/>
        </w:rPr>
        <w:t xml:space="preserve"> draft </w:t>
      </w:r>
      <w:r w:rsidR="002B0695" w:rsidRPr="009940D3">
        <w:rPr>
          <w:rFonts w:ascii="Arial" w:hAnsi="Arial" w:cs="Arial"/>
          <w:b/>
          <w:bCs/>
          <w:color w:val="2F5496" w:themeColor="accent5" w:themeShade="BF"/>
          <w:lang w:val="en-US"/>
        </w:rPr>
        <w:t xml:space="preserve">Commission Regulation (EU) .../... of ... amending Regulation (EU) No 1408/2013 on the application of Articles 107 and 108 of the Treaty on the Functioning of the European Union to </w:t>
      </w:r>
      <w:r w:rsidR="002B0695" w:rsidRPr="009940D3">
        <w:rPr>
          <w:rFonts w:ascii="Arial" w:hAnsi="Arial" w:cs="Arial"/>
          <w:b/>
          <w:bCs/>
          <w:i/>
          <w:iCs/>
          <w:color w:val="2F5496" w:themeColor="accent5" w:themeShade="BF"/>
          <w:lang w:val="en-US"/>
        </w:rPr>
        <w:t xml:space="preserve">de minimis </w:t>
      </w:r>
      <w:r w:rsidR="002B0695" w:rsidRPr="009940D3">
        <w:rPr>
          <w:rFonts w:ascii="Arial" w:hAnsi="Arial" w:cs="Arial"/>
          <w:b/>
          <w:bCs/>
          <w:color w:val="2F5496" w:themeColor="accent5" w:themeShade="BF"/>
          <w:lang w:val="en-US"/>
        </w:rPr>
        <w:t>aid in the agriculture sector</w:t>
      </w:r>
    </w:p>
    <w:p w14:paraId="0C2BDFAA" w14:textId="77777777" w:rsidR="00495546" w:rsidRPr="009940D3" w:rsidRDefault="00495546" w:rsidP="003E30E6">
      <w:pPr>
        <w:rPr>
          <w:rFonts w:ascii="Arial" w:hAnsi="Arial" w:cs="Arial"/>
          <w:lang w:val="en-US"/>
        </w:rPr>
      </w:pPr>
    </w:p>
    <w:p w14:paraId="0A30266C" w14:textId="4E0EDFBB" w:rsidR="00212205" w:rsidRPr="009940D3" w:rsidRDefault="00BC64EA">
      <w:pPr>
        <w:pStyle w:val="ListParagraph"/>
        <w:numPr>
          <w:ilvl w:val="0"/>
          <w:numId w:val="1"/>
        </w:numPr>
        <w:ind w:left="284"/>
        <w:contextualSpacing w:val="0"/>
        <w:jc w:val="both"/>
        <w:rPr>
          <w:rFonts w:ascii="Arial" w:hAnsi="Arial" w:cs="Arial"/>
          <w:lang w:val="en-US"/>
        </w:rPr>
      </w:pPr>
      <w:r w:rsidRPr="009940D3">
        <w:rPr>
          <w:rFonts w:ascii="Arial" w:hAnsi="Arial" w:cs="Arial"/>
          <w:lang w:val="en-US"/>
        </w:rPr>
        <w:t>Czech</w:t>
      </w:r>
      <w:r w:rsidR="002157ED">
        <w:rPr>
          <w:rFonts w:ascii="Arial" w:hAnsi="Arial" w:cs="Arial"/>
          <w:lang w:val="en-US"/>
        </w:rPr>
        <w:t xml:space="preserve">ia </w:t>
      </w:r>
      <w:r w:rsidRPr="009940D3">
        <w:rPr>
          <w:rFonts w:ascii="Arial" w:hAnsi="Arial" w:cs="Arial"/>
          <w:lang w:val="en-US"/>
        </w:rPr>
        <w:t xml:space="preserve">welcomes the </w:t>
      </w:r>
      <w:r w:rsidR="006B578A" w:rsidRPr="009940D3">
        <w:rPr>
          <w:rFonts w:ascii="Arial" w:hAnsi="Arial" w:cs="Arial"/>
          <w:lang w:val="en-US"/>
        </w:rPr>
        <w:t xml:space="preserve">Commission's efforts to </w:t>
      </w:r>
      <w:r w:rsidR="00495546" w:rsidRPr="009940D3">
        <w:rPr>
          <w:rFonts w:ascii="Arial" w:hAnsi="Arial" w:cs="Arial"/>
          <w:lang w:val="en-US"/>
        </w:rPr>
        <w:t>ensure compliance with Commission Regulation (EU) 2023/2831</w:t>
      </w:r>
      <w:r w:rsidR="006B578A" w:rsidRPr="009940D3">
        <w:rPr>
          <w:rFonts w:ascii="Arial" w:hAnsi="Arial" w:cs="Arial"/>
          <w:lang w:val="en-US"/>
        </w:rPr>
        <w:t xml:space="preserve">, but in order to </w:t>
      </w:r>
      <w:r w:rsidRPr="009940D3">
        <w:rPr>
          <w:rFonts w:ascii="Arial" w:hAnsi="Arial" w:cs="Arial"/>
          <w:lang w:val="en-US"/>
        </w:rPr>
        <w:t xml:space="preserve">fully </w:t>
      </w:r>
      <w:r w:rsidR="006B578A" w:rsidRPr="009940D3">
        <w:rPr>
          <w:rFonts w:ascii="Arial" w:hAnsi="Arial" w:cs="Arial"/>
          <w:lang w:val="en-US"/>
        </w:rPr>
        <w:t xml:space="preserve">align the conditions for </w:t>
      </w:r>
      <w:r w:rsidR="006B578A" w:rsidRPr="009940D3">
        <w:rPr>
          <w:rFonts w:ascii="Arial" w:hAnsi="Arial" w:cs="Arial"/>
          <w:i/>
          <w:iCs/>
          <w:lang w:val="en-US"/>
        </w:rPr>
        <w:t xml:space="preserve">de minimis </w:t>
      </w:r>
      <w:r w:rsidR="006B578A" w:rsidRPr="009940D3">
        <w:rPr>
          <w:rFonts w:ascii="Arial" w:hAnsi="Arial" w:cs="Arial"/>
          <w:lang w:val="en-US"/>
        </w:rPr>
        <w:t>aid</w:t>
      </w:r>
      <w:r w:rsidR="00495546" w:rsidRPr="009940D3">
        <w:rPr>
          <w:rFonts w:ascii="Arial" w:hAnsi="Arial" w:cs="Arial"/>
          <w:lang w:val="en-US"/>
        </w:rPr>
        <w:t xml:space="preserve">, it is </w:t>
      </w:r>
      <w:r w:rsidR="002E63AB" w:rsidRPr="009940D3">
        <w:rPr>
          <w:rFonts w:ascii="Arial" w:hAnsi="Arial" w:cs="Arial"/>
          <w:b/>
          <w:bCs/>
          <w:u w:val="single"/>
          <w:lang w:val="en-US"/>
        </w:rPr>
        <w:t>absolutely</w:t>
      </w:r>
      <w:r w:rsidR="002E63AB" w:rsidRPr="0053556C">
        <w:rPr>
          <w:rFonts w:ascii="Arial" w:hAnsi="Arial" w:cs="Arial"/>
          <w:b/>
          <w:bCs/>
          <w:lang w:val="en-US"/>
        </w:rPr>
        <w:t xml:space="preserve"> </w:t>
      </w:r>
      <w:r w:rsidR="00495546" w:rsidRPr="009940D3">
        <w:rPr>
          <w:rFonts w:ascii="Arial" w:hAnsi="Arial" w:cs="Arial"/>
          <w:lang w:val="en-US"/>
        </w:rPr>
        <w:t xml:space="preserve">necessary to </w:t>
      </w:r>
      <w:r w:rsidR="00495546" w:rsidRPr="009940D3">
        <w:rPr>
          <w:rFonts w:ascii="Arial" w:hAnsi="Arial" w:cs="Arial"/>
          <w:b/>
          <w:bCs/>
          <w:u w:val="single"/>
          <w:lang w:val="en-US"/>
        </w:rPr>
        <w:t xml:space="preserve">adjust </w:t>
      </w:r>
      <w:r w:rsidR="002157ED">
        <w:rPr>
          <w:rFonts w:ascii="Arial" w:hAnsi="Arial" w:cs="Arial"/>
          <w:b/>
          <w:bCs/>
          <w:u w:val="single"/>
          <w:lang w:val="en-US"/>
        </w:rPr>
        <w:t>any</w:t>
      </w:r>
      <w:r w:rsidR="002157ED" w:rsidRPr="009940D3">
        <w:rPr>
          <w:rFonts w:ascii="Arial" w:hAnsi="Arial" w:cs="Arial"/>
          <w:b/>
          <w:bCs/>
          <w:u w:val="single"/>
          <w:lang w:val="en-US"/>
        </w:rPr>
        <w:t xml:space="preserve"> </w:t>
      </w:r>
      <w:r w:rsidR="006B578A" w:rsidRPr="009940D3">
        <w:rPr>
          <w:rFonts w:ascii="Arial" w:hAnsi="Arial" w:cs="Arial"/>
          <w:b/>
          <w:bCs/>
          <w:u w:val="single"/>
          <w:lang w:val="en-US"/>
        </w:rPr>
        <w:t>PERIOD</w:t>
      </w:r>
      <w:r w:rsidR="008127EB">
        <w:rPr>
          <w:rFonts w:ascii="Arial" w:hAnsi="Arial" w:cs="Arial"/>
          <w:b/>
          <w:bCs/>
          <w:u w:val="single"/>
          <w:lang w:val="en-US"/>
        </w:rPr>
        <w:t xml:space="preserve"> </w:t>
      </w:r>
      <w:r w:rsidR="008127EB" w:rsidRPr="008127EB">
        <w:rPr>
          <w:rFonts w:ascii="Arial" w:hAnsi="Arial" w:cs="Arial"/>
          <w:b/>
          <w:bCs/>
          <w:caps/>
          <w:u w:val="single"/>
          <w:lang w:val="en-US"/>
        </w:rPr>
        <w:t>of 3 years</w:t>
      </w:r>
      <w:r w:rsidR="006B578A" w:rsidRPr="009940D3">
        <w:rPr>
          <w:rFonts w:ascii="Arial" w:hAnsi="Arial" w:cs="Arial"/>
          <w:b/>
          <w:bCs/>
          <w:u w:val="single"/>
          <w:lang w:val="en-US"/>
        </w:rPr>
        <w:t xml:space="preserve"> </w:t>
      </w:r>
      <w:r w:rsidR="002E63AB" w:rsidRPr="009940D3">
        <w:rPr>
          <w:rFonts w:ascii="Arial" w:hAnsi="Arial" w:cs="Arial"/>
          <w:b/>
          <w:bCs/>
          <w:u w:val="single"/>
          <w:lang w:val="en-US"/>
        </w:rPr>
        <w:t xml:space="preserve">also </w:t>
      </w:r>
      <w:r w:rsidR="006B578A" w:rsidRPr="009940D3">
        <w:rPr>
          <w:rFonts w:ascii="Arial" w:hAnsi="Arial" w:cs="Arial"/>
          <w:b/>
          <w:bCs/>
          <w:u w:val="single"/>
          <w:lang w:val="en-US"/>
        </w:rPr>
        <w:t xml:space="preserve">for </w:t>
      </w:r>
      <w:r w:rsidR="00495546" w:rsidRPr="009940D3">
        <w:rPr>
          <w:rFonts w:ascii="Arial" w:hAnsi="Arial" w:cs="Arial"/>
          <w:b/>
          <w:bCs/>
          <w:u w:val="single"/>
          <w:lang w:val="en-US"/>
        </w:rPr>
        <w:t>Commission Regulation (EU) No 717/2014</w:t>
      </w:r>
      <w:r w:rsidR="00495546" w:rsidRPr="0053556C">
        <w:rPr>
          <w:rFonts w:ascii="Arial" w:hAnsi="Arial" w:cs="Arial"/>
          <w:b/>
          <w:bCs/>
          <w:lang w:val="en-US"/>
        </w:rPr>
        <w:t xml:space="preserve"> </w:t>
      </w:r>
      <w:r w:rsidR="003B2133">
        <w:rPr>
          <w:rFonts w:ascii="Arial" w:hAnsi="Arial" w:cs="Arial"/>
          <w:b/>
          <w:bCs/>
          <w:lang w:val="en-US"/>
        </w:rPr>
        <w:t>to</w:t>
      </w:r>
      <w:r w:rsidR="00495546" w:rsidRPr="009940D3">
        <w:rPr>
          <w:rFonts w:ascii="Arial" w:hAnsi="Arial" w:cs="Arial"/>
          <w:b/>
          <w:bCs/>
          <w:lang w:val="en-US"/>
        </w:rPr>
        <w:t xml:space="preserve"> </w:t>
      </w:r>
      <w:r w:rsidR="00495546" w:rsidRPr="009940D3">
        <w:rPr>
          <w:rFonts w:ascii="Arial" w:hAnsi="Arial" w:cs="Arial"/>
          <w:b/>
          <w:bCs/>
          <w:i/>
          <w:iCs/>
          <w:lang w:val="en-US"/>
        </w:rPr>
        <w:t xml:space="preserve">de minimis </w:t>
      </w:r>
      <w:r w:rsidR="00495546" w:rsidRPr="009940D3">
        <w:rPr>
          <w:rFonts w:ascii="Arial" w:hAnsi="Arial" w:cs="Arial"/>
          <w:b/>
          <w:bCs/>
          <w:lang w:val="en-US"/>
        </w:rPr>
        <w:t>aid in the fisher</w:t>
      </w:r>
      <w:r w:rsidR="003B2133">
        <w:rPr>
          <w:rFonts w:ascii="Arial" w:hAnsi="Arial" w:cs="Arial"/>
          <w:b/>
          <w:bCs/>
          <w:lang w:val="en-US"/>
        </w:rPr>
        <w:t>y</w:t>
      </w:r>
      <w:r w:rsidR="00495546" w:rsidRPr="009940D3">
        <w:rPr>
          <w:rFonts w:ascii="Arial" w:hAnsi="Arial" w:cs="Arial"/>
          <w:b/>
          <w:bCs/>
          <w:lang w:val="en-US"/>
        </w:rPr>
        <w:t xml:space="preserve"> and aquaculture sector</w:t>
      </w:r>
      <w:r w:rsidR="00495546" w:rsidRPr="009940D3">
        <w:rPr>
          <w:rFonts w:ascii="Arial" w:hAnsi="Arial" w:cs="Arial"/>
          <w:lang w:val="en-US"/>
        </w:rPr>
        <w:t xml:space="preserve">, </w:t>
      </w:r>
      <w:r w:rsidR="002E63AB" w:rsidRPr="009940D3">
        <w:rPr>
          <w:rFonts w:ascii="Arial" w:hAnsi="Arial" w:cs="Arial"/>
          <w:lang w:val="en-US"/>
        </w:rPr>
        <w:t xml:space="preserve">which </w:t>
      </w:r>
      <w:r w:rsidR="006B578A" w:rsidRPr="009940D3">
        <w:rPr>
          <w:rFonts w:ascii="Arial" w:hAnsi="Arial" w:cs="Arial"/>
          <w:lang w:val="en-US"/>
        </w:rPr>
        <w:t xml:space="preserve">still </w:t>
      </w:r>
      <w:r w:rsidR="002E63AB" w:rsidRPr="009940D3">
        <w:rPr>
          <w:rFonts w:ascii="Arial" w:hAnsi="Arial" w:cs="Arial"/>
          <w:lang w:val="en-US"/>
        </w:rPr>
        <w:t xml:space="preserve">defines the </w:t>
      </w:r>
      <w:r w:rsidR="00A63E01">
        <w:rPr>
          <w:rFonts w:ascii="Arial" w:hAnsi="Arial" w:cs="Arial"/>
          <w:lang w:val="en-US"/>
        </w:rPr>
        <w:t>reference</w:t>
      </w:r>
      <w:r w:rsidR="002E63AB" w:rsidRPr="009940D3">
        <w:rPr>
          <w:rFonts w:ascii="Arial" w:hAnsi="Arial" w:cs="Arial"/>
          <w:lang w:val="en-US"/>
        </w:rPr>
        <w:t xml:space="preserve"> period for the assessment of the </w:t>
      </w:r>
      <w:r w:rsidR="002E63AB" w:rsidRPr="009940D3">
        <w:rPr>
          <w:rFonts w:ascii="Arial" w:hAnsi="Arial" w:cs="Arial"/>
          <w:i/>
          <w:iCs/>
          <w:lang w:val="en-US"/>
        </w:rPr>
        <w:t xml:space="preserve">de minimis </w:t>
      </w:r>
      <w:r w:rsidR="002E63AB" w:rsidRPr="009940D3">
        <w:rPr>
          <w:rFonts w:ascii="Arial" w:hAnsi="Arial" w:cs="Arial"/>
          <w:lang w:val="en-US"/>
        </w:rPr>
        <w:t xml:space="preserve">ceiling as three </w:t>
      </w:r>
      <w:r w:rsidR="00621EE3">
        <w:rPr>
          <w:rFonts w:ascii="Arial" w:hAnsi="Arial" w:cs="Arial"/>
          <w:lang w:val="en-US"/>
        </w:rPr>
        <w:t>fiscal years</w:t>
      </w:r>
      <w:r w:rsidR="002E63AB" w:rsidRPr="009940D3">
        <w:rPr>
          <w:rFonts w:ascii="Arial" w:hAnsi="Arial" w:cs="Arial"/>
          <w:lang w:val="en-US"/>
        </w:rPr>
        <w:t xml:space="preserve">. </w:t>
      </w:r>
      <w:r w:rsidRPr="009940D3">
        <w:rPr>
          <w:rFonts w:ascii="Arial" w:hAnsi="Arial" w:cs="Arial"/>
          <w:b/>
          <w:bCs/>
          <w:u w:val="single"/>
          <w:lang w:val="en-US"/>
        </w:rPr>
        <w:t xml:space="preserve">This modification of Regulation (EU) No 717/2014 is very </w:t>
      </w:r>
      <w:r w:rsidRPr="009940D3">
        <w:rPr>
          <w:rFonts w:ascii="Arial" w:hAnsi="Arial" w:cs="Arial"/>
          <w:b/>
          <w:bCs/>
          <w:u w:val="single"/>
          <w:lang w:val="en-US"/>
        </w:rPr>
        <w:t>crucial for Czech</w:t>
      </w:r>
      <w:r w:rsidR="002157ED">
        <w:rPr>
          <w:rFonts w:ascii="Arial" w:hAnsi="Arial" w:cs="Arial"/>
          <w:b/>
          <w:bCs/>
          <w:u w:val="single"/>
          <w:lang w:val="en-US"/>
        </w:rPr>
        <w:t>ia</w:t>
      </w:r>
      <w:r w:rsidRPr="009940D3">
        <w:rPr>
          <w:rFonts w:ascii="Arial" w:hAnsi="Arial" w:cs="Arial"/>
          <w:lang w:val="en-US"/>
        </w:rPr>
        <w:t xml:space="preserve">. </w:t>
      </w:r>
      <w:r w:rsidR="001A03CD" w:rsidRPr="009940D3">
        <w:rPr>
          <w:rFonts w:ascii="Arial" w:hAnsi="Arial" w:cs="Arial"/>
          <w:lang w:val="en-US"/>
        </w:rPr>
        <w:t xml:space="preserve">This step would </w:t>
      </w:r>
      <w:proofErr w:type="gramStart"/>
      <w:r w:rsidR="001A03CD" w:rsidRPr="009940D3">
        <w:rPr>
          <w:rFonts w:ascii="Arial" w:hAnsi="Arial" w:cs="Arial"/>
          <w:lang w:val="en-US"/>
        </w:rPr>
        <w:t>definitely help</w:t>
      </w:r>
      <w:proofErr w:type="gramEnd"/>
      <w:r w:rsidR="001A03CD" w:rsidRPr="009940D3">
        <w:rPr>
          <w:rFonts w:ascii="Arial" w:hAnsi="Arial" w:cs="Arial"/>
          <w:lang w:val="en-US"/>
        </w:rPr>
        <w:t xml:space="preserve"> the Commission to reduce the administrative burden on both </w:t>
      </w:r>
      <w:r w:rsidR="00F213F0">
        <w:rPr>
          <w:rFonts w:ascii="Arial" w:hAnsi="Arial" w:cs="Arial"/>
          <w:lang w:val="en-US"/>
        </w:rPr>
        <w:t xml:space="preserve">aid </w:t>
      </w:r>
      <w:r w:rsidR="001A03CD" w:rsidRPr="009940D3">
        <w:rPr>
          <w:rFonts w:ascii="Arial" w:hAnsi="Arial" w:cs="Arial"/>
          <w:lang w:val="en-US"/>
        </w:rPr>
        <w:t xml:space="preserve">beneficiaries and </w:t>
      </w:r>
      <w:r w:rsidR="00F213F0">
        <w:rPr>
          <w:rFonts w:ascii="Arial" w:hAnsi="Arial" w:cs="Arial"/>
          <w:lang w:val="en-US"/>
        </w:rPr>
        <w:t>granting authorities</w:t>
      </w:r>
      <w:r w:rsidR="001A03CD" w:rsidRPr="009940D3">
        <w:rPr>
          <w:rFonts w:ascii="Arial" w:hAnsi="Arial" w:cs="Arial"/>
          <w:lang w:val="en-US"/>
        </w:rPr>
        <w:t xml:space="preserve"> and would clarify and simplify the provision of </w:t>
      </w:r>
      <w:r w:rsidR="001A03CD" w:rsidRPr="009940D3">
        <w:rPr>
          <w:rFonts w:ascii="Arial" w:hAnsi="Arial" w:cs="Arial"/>
          <w:i/>
          <w:iCs/>
          <w:lang w:val="en-US"/>
        </w:rPr>
        <w:t xml:space="preserve">de minimis </w:t>
      </w:r>
      <w:r w:rsidR="001A03CD" w:rsidRPr="009940D3">
        <w:rPr>
          <w:rFonts w:ascii="Arial" w:hAnsi="Arial" w:cs="Arial"/>
          <w:lang w:val="en-US"/>
        </w:rPr>
        <w:t>aid, which historically has always been one of the simplest instruments.</w:t>
      </w:r>
    </w:p>
    <w:p w14:paraId="743EB068" w14:textId="5DC9A286" w:rsidR="00212205" w:rsidRPr="009940D3" w:rsidRDefault="00BC64EA">
      <w:pPr>
        <w:pStyle w:val="ListParagraph"/>
        <w:ind w:left="284"/>
        <w:contextualSpacing w:val="0"/>
        <w:jc w:val="both"/>
        <w:rPr>
          <w:rFonts w:ascii="Arial" w:hAnsi="Arial" w:cs="Arial"/>
          <w:lang w:val="en-US"/>
        </w:rPr>
      </w:pPr>
      <w:r w:rsidRPr="009940D3">
        <w:rPr>
          <w:rFonts w:ascii="Arial" w:hAnsi="Arial" w:cs="Arial"/>
          <w:lang w:val="en-US"/>
        </w:rPr>
        <w:t xml:space="preserve">Without </w:t>
      </w:r>
      <w:r w:rsidR="00BE57F3" w:rsidRPr="009940D3">
        <w:rPr>
          <w:rFonts w:ascii="Arial" w:hAnsi="Arial" w:cs="Arial"/>
          <w:lang w:val="en-US"/>
        </w:rPr>
        <w:t>harmonization</w:t>
      </w:r>
      <w:r w:rsidRPr="009940D3">
        <w:rPr>
          <w:rFonts w:ascii="Arial" w:hAnsi="Arial" w:cs="Arial"/>
          <w:lang w:val="en-US"/>
        </w:rPr>
        <w:t xml:space="preserve"> of the reference period for all </w:t>
      </w:r>
      <w:r w:rsidRPr="009940D3">
        <w:rPr>
          <w:rFonts w:ascii="Arial" w:hAnsi="Arial" w:cs="Arial"/>
          <w:i/>
          <w:iCs/>
          <w:lang w:val="en-US"/>
        </w:rPr>
        <w:t xml:space="preserve">de minimis </w:t>
      </w:r>
      <w:r w:rsidRPr="009940D3">
        <w:rPr>
          <w:rFonts w:ascii="Arial" w:hAnsi="Arial" w:cs="Arial"/>
          <w:lang w:val="en-US"/>
        </w:rPr>
        <w:t xml:space="preserve">aid regulations, it is not possible to ensure an effective and comprehensible evaluation of the cumulation rules between the different </w:t>
      </w:r>
      <w:r w:rsidR="00F213F0">
        <w:rPr>
          <w:rFonts w:ascii="Arial" w:hAnsi="Arial" w:cs="Arial"/>
          <w:lang w:val="en-US"/>
        </w:rPr>
        <w:t>sectors</w:t>
      </w:r>
      <w:r w:rsidRPr="009940D3">
        <w:rPr>
          <w:rFonts w:ascii="Arial" w:hAnsi="Arial" w:cs="Arial"/>
          <w:lang w:val="en-US"/>
        </w:rPr>
        <w:t xml:space="preserve"> (regulations) of </w:t>
      </w:r>
      <w:r w:rsidRPr="009940D3">
        <w:rPr>
          <w:rFonts w:ascii="Arial" w:hAnsi="Arial" w:cs="Arial"/>
          <w:i/>
          <w:iCs/>
          <w:lang w:val="en-US"/>
        </w:rPr>
        <w:t xml:space="preserve">de minimis </w:t>
      </w:r>
      <w:r w:rsidRPr="009940D3">
        <w:rPr>
          <w:rFonts w:ascii="Arial" w:hAnsi="Arial" w:cs="Arial"/>
          <w:lang w:val="en-US"/>
        </w:rPr>
        <w:t xml:space="preserve">aid for both </w:t>
      </w:r>
      <w:r w:rsidR="007F4661">
        <w:rPr>
          <w:rFonts w:ascii="Arial" w:hAnsi="Arial" w:cs="Arial"/>
          <w:lang w:val="en-US"/>
        </w:rPr>
        <w:t xml:space="preserve">aid </w:t>
      </w:r>
      <w:r w:rsidRPr="009940D3">
        <w:rPr>
          <w:rFonts w:ascii="Arial" w:hAnsi="Arial" w:cs="Arial"/>
          <w:lang w:val="en-US"/>
        </w:rPr>
        <w:t xml:space="preserve">beneficiaries </w:t>
      </w:r>
      <w:r w:rsidR="00244DFD" w:rsidRPr="009940D3">
        <w:rPr>
          <w:rFonts w:ascii="Arial" w:hAnsi="Arial" w:cs="Arial"/>
          <w:lang w:val="en-US"/>
        </w:rPr>
        <w:t xml:space="preserve">and </w:t>
      </w:r>
      <w:r w:rsidR="00F213F0">
        <w:rPr>
          <w:rFonts w:ascii="Arial" w:hAnsi="Arial" w:cs="Arial"/>
          <w:lang w:val="en-US"/>
        </w:rPr>
        <w:t>granting authorities</w:t>
      </w:r>
      <w:r w:rsidR="00C04D30" w:rsidRPr="009940D3">
        <w:rPr>
          <w:rFonts w:ascii="Arial" w:hAnsi="Arial" w:cs="Arial"/>
          <w:lang w:val="en-US"/>
        </w:rPr>
        <w:t>. Moreover, this double-tracking</w:t>
      </w:r>
      <w:r w:rsidR="00F213F0">
        <w:rPr>
          <w:rFonts w:ascii="Arial" w:hAnsi="Arial" w:cs="Arial"/>
          <w:lang w:val="en-US"/>
        </w:rPr>
        <w:t xml:space="preserve"> rules</w:t>
      </w:r>
      <w:r w:rsidR="00C04D30" w:rsidRPr="009940D3">
        <w:rPr>
          <w:rFonts w:ascii="Arial" w:hAnsi="Arial" w:cs="Arial"/>
          <w:lang w:val="en-US"/>
        </w:rPr>
        <w:t xml:space="preserve"> o</w:t>
      </w:r>
      <w:r w:rsidR="00F213F0">
        <w:rPr>
          <w:rFonts w:ascii="Arial" w:hAnsi="Arial" w:cs="Arial"/>
          <w:lang w:val="en-US"/>
        </w:rPr>
        <w:t>n</w:t>
      </w:r>
      <w:r w:rsidR="00C04D30" w:rsidRPr="009940D3">
        <w:rPr>
          <w:rFonts w:ascii="Arial" w:hAnsi="Arial" w:cs="Arial"/>
          <w:lang w:val="en-US"/>
        </w:rPr>
        <w:t xml:space="preserve"> the calculation of the reference periods </w:t>
      </w:r>
      <w:r w:rsidR="007F4661">
        <w:rPr>
          <w:rFonts w:ascii="Arial" w:hAnsi="Arial" w:cs="Arial"/>
          <w:lang w:val="en-US"/>
        </w:rPr>
        <w:t>are</w:t>
      </w:r>
      <w:r w:rsidR="00C04D30" w:rsidRPr="009940D3">
        <w:rPr>
          <w:rFonts w:ascii="Arial" w:hAnsi="Arial" w:cs="Arial"/>
          <w:lang w:val="en-US"/>
        </w:rPr>
        <w:t xml:space="preserve"> </w:t>
      </w:r>
      <w:r w:rsidR="00244DFD" w:rsidRPr="009940D3">
        <w:rPr>
          <w:rFonts w:ascii="Arial" w:hAnsi="Arial" w:cs="Arial"/>
          <w:lang w:val="en-US"/>
        </w:rPr>
        <w:t xml:space="preserve">technically </w:t>
      </w:r>
      <w:r w:rsidR="00C04D30" w:rsidRPr="009940D3">
        <w:rPr>
          <w:rFonts w:ascii="Arial" w:hAnsi="Arial" w:cs="Arial"/>
          <w:lang w:val="en-US"/>
        </w:rPr>
        <w:t xml:space="preserve">very difficult to implement even </w:t>
      </w:r>
      <w:r w:rsidR="00244DFD" w:rsidRPr="009940D3">
        <w:rPr>
          <w:rFonts w:ascii="Arial" w:hAnsi="Arial" w:cs="Arial"/>
          <w:lang w:val="en-US"/>
        </w:rPr>
        <w:t xml:space="preserve">in the central </w:t>
      </w:r>
      <w:r w:rsidR="00244DFD" w:rsidRPr="009940D3">
        <w:rPr>
          <w:rFonts w:ascii="Arial" w:hAnsi="Arial" w:cs="Arial"/>
          <w:i/>
          <w:iCs/>
          <w:lang w:val="en-US"/>
        </w:rPr>
        <w:t xml:space="preserve">de minimis </w:t>
      </w:r>
      <w:r w:rsidR="00244DFD" w:rsidRPr="009940D3">
        <w:rPr>
          <w:rFonts w:ascii="Arial" w:hAnsi="Arial" w:cs="Arial"/>
          <w:lang w:val="en-US"/>
        </w:rPr>
        <w:t xml:space="preserve">register, which has been helping </w:t>
      </w:r>
      <w:r w:rsidR="00F213F0">
        <w:rPr>
          <w:rFonts w:ascii="Arial" w:hAnsi="Arial" w:cs="Arial"/>
          <w:lang w:val="en-US"/>
        </w:rPr>
        <w:t>granting authorities</w:t>
      </w:r>
      <w:r w:rsidR="00244DFD" w:rsidRPr="009940D3">
        <w:rPr>
          <w:rFonts w:ascii="Arial" w:hAnsi="Arial" w:cs="Arial"/>
          <w:lang w:val="en-US"/>
        </w:rPr>
        <w:t xml:space="preserve"> in </w:t>
      </w:r>
      <w:r w:rsidR="002157ED">
        <w:rPr>
          <w:rFonts w:ascii="Arial" w:hAnsi="Arial" w:cs="Arial"/>
          <w:lang w:val="en-US"/>
        </w:rPr>
        <w:t>Czechia</w:t>
      </w:r>
      <w:r w:rsidR="00244DFD" w:rsidRPr="009940D3">
        <w:rPr>
          <w:rFonts w:ascii="Arial" w:hAnsi="Arial" w:cs="Arial"/>
          <w:lang w:val="en-US"/>
        </w:rPr>
        <w:t xml:space="preserve"> </w:t>
      </w:r>
      <w:r w:rsidR="00722A90" w:rsidRPr="009940D3">
        <w:rPr>
          <w:rFonts w:ascii="Arial" w:hAnsi="Arial" w:cs="Arial"/>
          <w:lang w:val="en-US"/>
        </w:rPr>
        <w:t xml:space="preserve">for 14 years </w:t>
      </w:r>
      <w:r w:rsidR="00696D78" w:rsidRPr="009940D3">
        <w:rPr>
          <w:rFonts w:ascii="Arial" w:hAnsi="Arial" w:cs="Arial"/>
          <w:lang w:val="en-US"/>
        </w:rPr>
        <w:t xml:space="preserve">to check the </w:t>
      </w:r>
      <w:r w:rsidR="00244DFD" w:rsidRPr="009940D3">
        <w:rPr>
          <w:rFonts w:ascii="Arial" w:hAnsi="Arial" w:cs="Arial"/>
          <w:lang w:val="en-US"/>
        </w:rPr>
        <w:t xml:space="preserve">limits </w:t>
      </w:r>
      <w:r w:rsidR="00696D78" w:rsidRPr="009940D3">
        <w:rPr>
          <w:rFonts w:ascii="Arial" w:hAnsi="Arial" w:cs="Arial"/>
          <w:lang w:val="en-US"/>
        </w:rPr>
        <w:t xml:space="preserve">and cumulation of </w:t>
      </w:r>
      <w:r w:rsidR="00244DFD" w:rsidRPr="009940D3">
        <w:rPr>
          <w:rFonts w:ascii="Arial" w:hAnsi="Arial" w:cs="Arial"/>
          <w:lang w:val="en-US"/>
        </w:rPr>
        <w:t xml:space="preserve">aid </w:t>
      </w:r>
      <w:r w:rsidR="00696D78" w:rsidRPr="009940D3">
        <w:rPr>
          <w:rFonts w:ascii="Arial" w:hAnsi="Arial" w:cs="Arial"/>
          <w:lang w:val="en-US"/>
        </w:rPr>
        <w:t xml:space="preserve">for </w:t>
      </w:r>
      <w:r w:rsidR="00244DFD" w:rsidRPr="009940D3">
        <w:rPr>
          <w:rFonts w:ascii="Arial" w:hAnsi="Arial" w:cs="Arial"/>
          <w:lang w:val="en-US"/>
        </w:rPr>
        <w:t>individual beneficiaries</w:t>
      </w:r>
      <w:r w:rsidRPr="009940D3">
        <w:rPr>
          <w:rFonts w:ascii="Arial" w:hAnsi="Arial" w:cs="Arial"/>
          <w:lang w:val="en-US"/>
        </w:rPr>
        <w:t xml:space="preserve">. </w:t>
      </w:r>
      <w:proofErr w:type="gramStart"/>
      <w:r w:rsidR="00C0057F" w:rsidRPr="009940D3">
        <w:rPr>
          <w:rFonts w:ascii="Arial" w:hAnsi="Arial" w:cs="Arial"/>
          <w:lang w:val="en-US"/>
        </w:rPr>
        <w:t>On the basis of</w:t>
      </w:r>
      <w:proofErr w:type="gramEnd"/>
      <w:r w:rsidR="00C0057F" w:rsidRPr="009940D3">
        <w:rPr>
          <w:rFonts w:ascii="Arial" w:hAnsi="Arial" w:cs="Arial"/>
          <w:lang w:val="en-US"/>
        </w:rPr>
        <w:t xml:space="preserve"> our long </w:t>
      </w:r>
      <w:r w:rsidR="004B5C52" w:rsidRPr="009940D3">
        <w:rPr>
          <w:rFonts w:ascii="Arial" w:hAnsi="Arial" w:cs="Arial"/>
          <w:lang w:val="en-US"/>
        </w:rPr>
        <w:t xml:space="preserve">experience </w:t>
      </w:r>
      <w:r w:rsidR="00C0057F" w:rsidRPr="009940D3">
        <w:rPr>
          <w:rFonts w:ascii="Arial" w:hAnsi="Arial" w:cs="Arial"/>
          <w:lang w:val="en-US"/>
        </w:rPr>
        <w:t xml:space="preserve">with the </w:t>
      </w:r>
      <w:r w:rsidR="001A03CD" w:rsidRPr="009940D3">
        <w:rPr>
          <w:rFonts w:ascii="Arial" w:hAnsi="Arial" w:cs="Arial"/>
          <w:lang w:val="en-US"/>
        </w:rPr>
        <w:t>operation</w:t>
      </w:r>
      <w:r w:rsidR="00C0057F" w:rsidRPr="009940D3">
        <w:rPr>
          <w:rFonts w:ascii="Arial" w:hAnsi="Arial" w:cs="Arial"/>
          <w:lang w:val="en-US"/>
        </w:rPr>
        <w:t xml:space="preserve"> of the central register, we can state that if the </w:t>
      </w:r>
      <w:r w:rsidR="00722A90" w:rsidRPr="009940D3">
        <w:rPr>
          <w:rFonts w:ascii="Arial" w:hAnsi="Arial" w:cs="Arial"/>
          <w:lang w:val="en-US"/>
        </w:rPr>
        <w:t xml:space="preserve">reference period for </w:t>
      </w:r>
      <w:r w:rsidR="001E5AB7" w:rsidRPr="009940D3">
        <w:rPr>
          <w:rFonts w:ascii="Arial" w:hAnsi="Arial" w:cs="Arial"/>
          <w:lang w:val="en-US"/>
        </w:rPr>
        <w:t xml:space="preserve">all </w:t>
      </w:r>
      <w:r w:rsidR="001E5AB7" w:rsidRPr="009940D3">
        <w:rPr>
          <w:rFonts w:ascii="Arial" w:hAnsi="Arial" w:cs="Arial"/>
          <w:i/>
          <w:iCs/>
          <w:lang w:val="en-US"/>
        </w:rPr>
        <w:t>de</w:t>
      </w:r>
      <w:r w:rsidR="008127EB">
        <w:rPr>
          <w:rFonts w:ascii="Arial" w:hAnsi="Arial" w:cs="Arial"/>
          <w:i/>
          <w:iCs/>
          <w:lang w:val="en-US"/>
        </w:rPr>
        <w:t> </w:t>
      </w:r>
      <w:r w:rsidR="001E5AB7" w:rsidRPr="009940D3">
        <w:rPr>
          <w:rFonts w:ascii="Arial" w:hAnsi="Arial" w:cs="Arial"/>
          <w:i/>
          <w:iCs/>
          <w:lang w:val="en-US"/>
        </w:rPr>
        <w:t xml:space="preserve">minimis </w:t>
      </w:r>
      <w:r w:rsidR="001E5AB7" w:rsidRPr="009940D3">
        <w:rPr>
          <w:rFonts w:ascii="Arial" w:hAnsi="Arial" w:cs="Arial"/>
          <w:lang w:val="en-US"/>
        </w:rPr>
        <w:t xml:space="preserve">regulations </w:t>
      </w:r>
      <w:r w:rsidR="00722A90" w:rsidRPr="009940D3">
        <w:rPr>
          <w:rFonts w:ascii="Arial" w:hAnsi="Arial" w:cs="Arial"/>
          <w:lang w:val="en-US"/>
        </w:rPr>
        <w:t xml:space="preserve">is not </w:t>
      </w:r>
      <w:r w:rsidR="00BE57F3" w:rsidRPr="009940D3">
        <w:rPr>
          <w:rFonts w:ascii="Arial" w:hAnsi="Arial" w:cs="Arial"/>
          <w:lang w:val="en-US"/>
        </w:rPr>
        <w:t>harmonized</w:t>
      </w:r>
      <w:r w:rsidR="00722A90" w:rsidRPr="009940D3">
        <w:rPr>
          <w:rFonts w:ascii="Arial" w:hAnsi="Arial" w:cs="Arial"/>
          <w:lang w:val="en-US"/>
        </w:rPr>
        <w:t>, the administrative burden for beneficiaries will unfortunately not</w:t>
      </w:r>
      <w:r w:rsidR="00F213F0">
        <w:rPr>
          <w:rFonts w:ascii="Arial" w:hAnsi="Arial" w:cs="Arial"/>
          <w:lang w:val="en-US"/>
        </w:rPr>
        <w:t xml:space="preserve"> be reduced</w:t>
      </w:r>
      <w:r w:rsidR="00722A90" w:rsidRPr="009940D3">
        <w:rPr>
          <w:rFonts w:ascii="Arial" w:hAnsi="Arial" w:cs="Arial"/>
          <w:lang w:val="en-US"/>
        </w:rPr>
        <w:t xml:space="preserve"> as the </w:t>
      </w:r>
      <w:r w:rsidR="001E5AB7" w:rsidRPr="009940D3">
        <w:rPr>
          <w:rFonts w:ascii="Arial" w:hAnsi="Arial" w:cs="Arial"/>
          <w:lang w:val="en-US"/>
        </w:rPr>
        <w:t xml:space="preserve">Commission envisages but will </w:t>
      </w:r>
      <w:r w:rsidR="00722A90" w:rsidRPr="009940D3">
        <w:rPr>
          <w:rFonts w:ascii="Arial" w:hAnsi="Arial" w:cs="Arial"/>
          <w:lang w:val="en-US"/>
        </w:rPr>
        <w:t>instead</w:t>
      </w:r>
      <w:r w:rsidR="003578AE">
        <w:rPr>
          <w:rFonts w:ascii="Arial" w:hAnsi="Arial" w:cs="Arial"/>
          <w:lang w:val="en-US"/>
        </w:rPr>
        <w:t xml:space="preserve"> be</w:t>
      </w:r>
      <w:r w:rsidR="00722A90" w:rsidRPr="009940D3">
        <w:rPr>
          <w:rFonts w:ascii="Arial" w:hAnsi="Arial" w:cs="Arial"/>
          <w:lang w:val="en-US"/>
        </w:rPr>
        <w:t xml:space="preserve"> increase</w:t>
      </w:r>
      <w:r w:rsidR="003578AE">
        <w:rPr>
          <w:rFonts w:ascii="Arial" w:hAnsi="Arial" w:cs="Arial"/>
          <w:lang w:val="en-US"/>
        </w:rPr>
        <w:t>d</w:t>
      </w:r>
      <w:r w:rsidR="00722A90" w:rsidRPr="009940D3">
        <w:rPr>
          <w:rFonts w:ascii="Arial" w:hAnsi="Arial" w:cs="Arial"/>
          <w:lang w:val="en-US"/>
        </w:rPr>
        <w:t xml:space="preserve"> on all sides</w:t>
      </w:r>
      <w:r w:rsidR="001A03CD" w:rsidRPr="009940D3">
        <w:rPr>
          <w:rFonts w:ascii="Arial" w:hAnsi="Arial" w:cs="Arial"/>
          <w:lang w:val="en-US"/>
        </w:rPr>
        <w:t xml:space="preserve">. </w:t>
      </w:r>
    </w:p>
    <w:p w14:paraId="2402884F" w14:textId="77777777" w:rsidR="00212205" w:rsidRPr="009940D3" w:rsidRDefault="00BC64EA">
      <w:pPr>
        <w:pStyle w:val="ListParagraph"/>
        <w:ind w:left="284"/>
        <w:contextualSpacing w:val="0"/>
        <w:jc w:val="both"/>
        <w:rPr>
          <w:rFonts w:ascii="Arial" w:hAnsi="Arial" w:cs="Arial"/>
          <w:lang w:val="en-US"/>
        </w:rPr>
      </w:pPr>
      <w:r w:rsidRPr="009940D3">
        <w:rPr>
          <w:rFonts w:ascii="Arial" w:hAnsi="Arial" w:cs="Arial"/>
          <w:lang w:val="en-US"/>
        </w:rPr>
        <w:t xml:space="preserve">At the same time, we would like to draw the Commission's attention to the practical implications if the reference period is adjusted now only for </w:t>
      </w:r>
      <w:r w:rsidR="0004179E" w:rsidRPr="009940D3">
        <w:rPr>
          <w:rFonts w:ascii="Arial" w:hAnsi="Arial" w:cs="Arial"/>
          <w:lang w:val="en-US"/>
        </w:rPr>
        <w:t xml:space="preserve">Commission </w:t>
      </w:r>
      <w:r w:rsidRPr="009940D3">
        <w:rPr>
          <w:rFonts w:ascii="Arial" w:hAnsi="Arial" w:cs="Arial"/>
          <w:lang w:val="en-US"/>
        </w:rPr>
        <w:t xml:space="preserve">Regulation </w:t>
      </w:r>
      <w:r w:rsidR="0004179E" w:rsidRPr="009940D3">
        <w:rPr>
          <w:rFonts w:ascii="Arial" w:hAnsi="Arial" w:cs="Arial"/>
          <w:lang w:val="en-US"/>
        </w:rPr>
        <w:t xml:space="preserve">(EU) </w:t>
      </w:r>
      <w:r w:rsidRPr="009940D3">
        <w:rPr>
          <w:rFonts w:ascii="Arial" w:hAnsi="Arial" w:cs="Arial"/>
          <w:lang w:val="en-US"/>
        </w:rPr>
        <w:t>No 1408/2013</w:t>
      </w:r>
      <w:r w:rsidR="00A07C23" w:rsidRPr="009940D3">
        <w:rPr>
          <w:rFonts w:ascii="Arial" w:hAnsi="Arial" w:cs="Arial"/>
          <w:lang w:val="en-US"/>
        </w:rPr>
        <w:t xml:space="preserve">, while </w:t>
      </w:r>
      <w:r w:rsidRPr="009940D3">
        <w:rPr>
          <w:rFonts w:ascii="Arial" w:hAnsi="Arial" w:cs="Arial"/>
          <w:lang w:val="en-US"/>
        </w:rPr>
        <w:t xml:space="preserve">its adjustment under Regulation </w:t>
      </w:r>
      <w:r w:rsidR="0004179E" w:rsidRPr="009940D3">
        <w:rPr>
          <w:rFonts w:ascii="Arial" w:hAnsi="Arial" w:cs="Arial"/>
          <w:lang w:val="en-US"/>
        </w:rPr>
        <w:t xml:space="preserve">(EU) </w:t>
      </w:r>
      <w:r w:rsidRPr="009940D3">
        <w:rPr>
          <w:rFonts w:ascii="Arial" w:hAnsi="Arial" w:cs="Arial"/>
          <w:lang w:val="en-US"/>
        </w:rPr>
        <w:t xml:space="preserve">No 717/2014 would only take place </w:t>
      </w:r>
      <w:r w:rsidR="00282A4E" w:rsidRPr="009940D3">
        <w:rPr>
          <w:rFonts w:ascii="Arial" w:hAnsi="Arial" w:cs="Arial"/>
          <w:lang w:val="en-US"/>
        </w:rPr>
        <w:t xml:space="preserve">separately </w:t>
      </w:r>
      <w:r w:rsidRPr="009940D3">
        <w:rPr>
          <w:rFonts w:ascii="Arial" w:hAnsi="Arial" w:cs="Arial"/>
          <w:lang w:val="en-US"/>
        </w:rPr>
        <w:t xml:space="preserve">in subsequent years, as the Commission indicated in the Advisory Committee.  </w:t>
      </w:r>
      <w:r w:rsidR="00282A4E" w:rsidRPr="009940D3">
        <w:rPr>
          <w:rFonts w:ascii="Arial" w:hAnsi="Arial" w:cs="Arial"/>
          <w:lang w:val="en-US"/>
        </w:rPr>
        <w:t xml:space="preserve">In practice, </w:t>
      </w:r>
      <w:r w:rsidR="00A07C23" w:rsidRPr="009940D3">
        <w:rPr>
          <w:rFonts w:ascii="Arial" w:hAnsi="Arial" w:cs="Arial"/>
          <w:lang w:val="en-US"/>
        </w:rPr>
        <w:t xml:space="preserve">this separation would be </w:t>
      </w:r>
      <w:r w:rsidR="00282A4E" w:rsidRPr="009940D3">
        <w:rPr>
          <w:rFonts w:ascii="Arial" w:hAnsi="Arial" w:cs="Arial"/>
          <w:b/>
          <w:bCs/>
          <w:u w:val="single"/>
          <w:lang w:val="en-US"/>
        </w:rPr>
        <w:t>doubly burdensome</w:t>
      </w:r>
      <w:r w:rsidR="00A07C23" w:rsidRPr="009940D3">
        <w:rPr>
          <w:rFonts w:ascii="Arial" w:hAnsi="Arial" w:cs="Arial"/>
          <w:lang w:val="en-US"/>
        </w:rPr>
        <w:t>:</w:t>
      </w:r>
    </w:p>
    <w:p w14:paraId="1034025D" w14:textId="38FED4D9" w:rsidR="00212205" w:rsidRPr="009940D3" w:rsidRDefault="00A07C23">
      <w:pPr>
        <w:pStyle w:val="ListParagraph"/>
        <w:numPr>
          <w:ilvl w:val="0"/>
          <w:numId w:val="3"/>
        </w:numPr>
        <w:contextualSpacing w:val="0"/>
        <w:jc w:val="both"/>
        <w:rPr>
          <w:rFonts w:ascii="Arial" w:hAnsi="Arial" w:cs="Arial"/>
          <w:lang w:val="en-US"/>
        </w:rPr>
      </w:pPr>
      <w:r w:rsidRPr="009940D3">
        <w:rPr>
          <w:rFonts w:ascii="Arial" w:hAnsi="Arial" w:cs="Arial"/>
          <w:u w:val="single"/>
          <w:lang w:val="en-US"/>
        </w:rPr>
        <w:t>Technical adaptation of the register</w:t>
      </w:r>
      <w:r w:rsidRPr="009940D3">
        <w:rPr>
          <w:rFonts w:ascii="Arial" w:hAnsi="Arial" w:cs="Arial"/>
          <w:lang w:val="en-US"/>
        </w:rPr>
        <w:t xml:space="preserve">: the </w:t>
      </w:r>
      <w:r w:rsidR="00282A4E" w:rsidRPr="009940D3">
        <w:rPr>
          <w:rFonts w:ascii="Arial" w:hAnsi="Arial" w:cs="Arial"/>
          <w:lang w:val="en-US"/>
        </w:rPr>
        <w:t xml:space="preserve">change in the calculation of the reference period needs to be implemented in the central </w:t>
      </w:r>
      <w:r w:rsidR="00282A4E" w:rsidRPr="009940D3">
        <w:rPr>
          <w:rFonts w:ascii="Arial" w:hAnsi="Arial" w:cs="Arial"/>
          <w:i/>
          <w:iCs/>
          <w:lang w:val="en-US"/>
        </w:rPr>
        <w:t xml:space="preserve">de minimis </w:t>
      </w:r>
      <w:r w:rsidR="00282A4E" w:rsidRPr="009940D3">
        <w:rPr>
          <w:rFonts w:ascii="Arial" w:hAnsi="Arial" w:cs="Arial"/>
          <w:lang w:val="en-US"/>
        </w:rPr>
        <w:t xml:space="preserve">register operated by </w:t>
      </w:r>
      <w:r w:rsidR="002157ED">
        <w:rPr>
          <w:rFonts w:ascii="Arial" w:hAnsi="Arial" w:cs="Arial"/>
          <w:lang w:val="en-US"/>
        </w:rPr>
        <w:t>Czechia</w:t>
      </w:r>
      <w:r w:rsidR="00282A4E" w:rsidRPr="009940D3">
        <w:rPr>
          <w:rFonts w:ascii="Arial" w:hAnsi="Arial" w:cs="Arial"/>
          <w:lang w:val="en-US"/>
        </w:rPr>
        <w:t xml:space="preserve">, which of course involves financial costs for programming </w:t>
      </w:r>
      <w:r w:rsidR="00860C46" w:rsidRPr="009940D3">
        <w:rPr>
          <w:rFonts w:ascii="Arial" w:hAnsi="Arial" w:cs="Arial"/>
          <w:lang w:val="en-US"/>
        </w:rPr>
        <w:t>work</w:t>
      </w:r>
      <w:r w:rsidR="00282A4E" w:rsidRPr="009940D3">
        <w:rPr>
          <w:rFonts w:ascii="Arial" w:hAnsi="Arial" w:cs="Arial"/>
          <w:lang w:val="en-US"/>
        </w:rPr>
        <w:t xml:space="preserve">, etc. </w:t>
      </w:r>
      <w:r w:rsidR="00C60382" w:rsidRPr="009940D3">
        <w:rPr>
          <w:rFonts w:ascii="Arial" w:hAnsi="Arial" w:cs="Arial"/>
          <w:lang w:val="en-US"/>
        </w:rPr>
        <w:t xml:space="preserve">If the legislative </w:t>
      </w:r>
      <w:r w:rsidR="00F564B6">
        <w:rPr>
          <w:rFonts w:ascii="Arial" w:hAnsi="Arial" w:cs="Arial"/>
          <w:lang w:val="en-US"/>
        </w:rPr>
        <w:t>amendment</w:t>
      </w:r>
      <w:r w:rsidR="00C60382" w:rsidRPr="009940D3">
        <w:rPr>
          <w:rFonts w:ascii="Arial" w:hAnsi="Arial" w:cs="Arial"/>
          <w:lang w:val="en-US"/>
        </w:rPr>
        <w:t xml:space="preserve"> now</w:t>
      </w:r>
      <w:r w:rsidR="00607EF5">
        <w:rPr>
          <w:rFonts w:ascii="Arial" w:hAnsi="Arial" w:cs="Arial"/>
          <w:lang w:val="en-US"/>
        </w:rPr>
        <w:t xml:space="preserve"> focuses</w:t>
      </w:r>
      <w:r w:rsidR="00C60382" w:rsidRPr="009940D3">
        <w:rPr>
          <w:rFonts w:ascii="Arial" w:hAnsi="Arial" w:cs="Arial"/>
          <w:lang w:val="en-US"/>
        </w:rPr>
        <w:t xml:space="preserve"> only </w:t>
      </w:r>
      <w:r w:rsidR="00607EF5">
        <w:rPr>
          <w:rFonts w:ascii="Arial" w:hAnsi="Arial" w:cs="Arial"/>
          <w:lang w:val="en-US"/>
        </w:rPr>
        <w:t>o</w:t>
      </w:r>
      <w:r w:rsidR="00C60382" w:rsidRPr="009940D3">
        <w:rPr>
          <w:rFonts w:ascii="Arial" w:hAnsi="Arial" w:cs="Arial"/>
          <w:lang w:val="en-US"/>
        </w:rPr>
        <w:t xml:space="preserve">n Regulation </w:t>
      </w:r>
      <w:r w:rsidR="0004179E" w:rsidRPr="009940D3">
        <w:rPr>
          <w:rFonts w:ascii="Arial" w:hAnsi="Arial" w:cs="Arial"/>
          <w:lang w:val="en-US"/>
        </w:rPr>
        <w:t xml:space="preserve">(EU) </w:t>
      </w:r>
      <w:r w:rsidR="00C60382" w:rsidRPr="009940D3">
        <w:rPr>
          <w:rFonts w:ascii="Arial" w:hAnsi="Arial" w:cs="Arial"/>
          <w:lang w:val="en-US"/>
        </w:rPr>
        <w:t>No 1408/2013, while the a</w:t>
      </w:r>
      <w:r w:rsidR="00A741B6">
        <w:rPr>
          <w:rFonts w:ascii="Arial" w:hAnsi="Arial" w:cs="Arial"/>
          <w:lang w:val="en-US"/>
        </w:rPr>
        <w:t>mendment</w:t>
      </w:r>
      <w:r w:rsidR="00C60382" w:rsidRPr="009940D3">
        <w:rPr>
          <w:rFonts w:ascii="Arial" w:hAnsi="Arial" w:cs="Arial"/>
          <w:lang w:val="en-US"/>
        </w:rPr>
        <w:t xml:space="preserve"> </w:t>
      </w:r>
      <w:r w:rsidR="00A741B6">
        <w:rPr>
          <w:rFonts w:ascii="Arial" w:hAnsi="Arial" w:cs="Arial"/>
          <w:lang w:val="en-US"/>
        </w:rPr>
        <w:t>of</w:t>
      </w:r>
      <w:r w:rsidR="00C60382" w:rsidRPr="009940D3">
        <w:rPr>
          <w:rFonts w:ascii="Arial" w:hAnsi="Arial" w:cs="Arial"/>
          <w:lang w:val="en-US"/>
        </w:rPr>
        <w:t xml:space="preserve"> Regulation </w:t>
      </w:r>
      <w:r w:rsidR="0004179E" w:rsidRPr="009940D3">
        <w:rPr>
          <w:rFonts w:ascii="Arial" w:hAnsi="Arial" w:cs="Arial"/>
          <w:lang w:val="en-US"/>
        </w:rPr>
        <w:t xml:space="preserve">(EU) </w:t>
      </w:r>
      <w:r w:rsidR="00C60382" w:rsidRPr="009940D3">
        <w:rPr>
          <w:rFonts w:ascii="Arial" w:hAnsi="Arial" w:cs="Arial"/>
          <w:lang w:val="en-US"/>
        </w:rPr>
        <w:t xml:space="preserve">No 717/2014 will only be approved in the future, this means splitting the programming work into two </w:t>
      </w:r>
      <w:r w:rsidR="00860C46" w:rsidRPr="009940D3">
        <w:rPr>
          <w:rFonts w:ascii="Arial" w:hAnsi="Arial" w:cs="Arial"/>
          <w:lang w:val="en-US"/>
        </w:rPr>
        <w:t xml:space="preserve">different </w:t>
      </w:r>
      <w:r w:rsidR="00C60382" w:rsidRPr="009940D3">
        <w:rPr>
          <w:rFonts w:ascii="Arial" w:hAnsi="Arial" w:cs="Arial"/>
          <w:lang w:val="en-US"/>
        </w:rPr>
        <w:t xml:space="preserve">projects, which logically entails higher costs (both time and financial) than </w:t>
      </w:r>
      <w:r w:rsidR="00A901ED" w:rsidRPr="009940D3">
        <w:rPr>
          <w:rFonts w:ascii="Arial" w:hAnsi="Arial" w:cs="Arial"/>
          <w:lang w:val="en-US"/>
        </w:rPr>
        <w:t>implementation under one common project</w:t>
      </w:r>
      <w:r w:rsidR="00C60382" w:rsidRPr="009940D3">
        <w:rPr>
          <w:rFonts w:ascii="Arial" w:hAnsi="Arial" w:cs="Arial"/>
          <w:lang w:val="en-US"/>
        </w:rPr>
        <w:t xml:space="preserve">. The technical modifications of the register need to be thoroughly programmed, tested and described in the methodological materials for </w:t>
      </w:r>
      <w:r w:rsidR="00607EF5">
        <w:rPr>
          <w:rFonts w:ascii="Arial" w:hAnsi="Arial" w:cs="Arial"/>
          <w:lang w:val="en-US"/>
        </w:rPr>
        <w:t>granting authorities</w:t>
      </w:r>
      <w:r w:rsidR="00C60382" w:rsidRPr="009940D3">
        <w:rPr>
          <w:rFonts w:ascii="Arial" w:hAnsi="Arial" w:cs="Arial"/>
          <w:lang w:val="en-US"/>
        </w:rPr>
        <w:t xml:space="preserve"> and beneficiaries of </w:t>
      </w:r>
      <w:r w:rsidR="00C60382" w:rsidRPr="009940D3">
        <w:rPr>
          <w:rFonts w:ascii="Arial" w:hAnsi="Arial" w:cs="Arial"/>
          <w:i/>
          <w:iCs/>
          <w:lang w:val="en-US"/>
        </w:rPr>
        <w:t xml:space="preserve">de minimis </w:t>
      </w:r>
      <w:r w:rsidR="00C60382" w:rsidRPr="009940D3">
        <w:rPr>
          <w:rFonts w:ascii="Arial" w:hAnsi="Arial" w:cs="Arial"/>
          <w:lang w:val="en-US"/>
        </w:rPr>
        <w:t>aid.</w:t>
      </w:r>
    </w:p>
    <w:p w14:paraId="364B5E16" w14:textId="429F9BEB" w:rsidR="00212205" w:rsidRPr="009940D3" w:rsidRDefault="00BC64EA">
      <w:pPr>
        <w:pStyle w:val="ListParagraph"/>
        <w:numPr>
          <w:ilvl w:val="0"/>
          <w:numId w:val="3"/>
        </w:numPr>
        <w:contextualSpacing w:val="0"/>
        <w:jc w:val="both"/>
        <w:rPr>
          <w:rFonts w:ascii="Arial" w:hAnsi="Arial" w:cs="Arial"/>
          <w:lang w:val="en-US"/>
        </w:rPr>
      </w:pPr>
      <w:r w:rsidRPr="009940D3">
        <w:rPr>
          <w:rFonts w:ascii="Arial" w:hAnsi="Arial" w:cs="Arial"/>
          <w:u w:val="single"/>
          <w:lang w:val="en-US"/>
        </w:rPr>
        <w:t>Revision of national legislation</w:t>
      </w:r>
      <w:r w:rsidRPr="009940D3">
        <w:rPr>
          <w:rFonts w:ascii="Arial" w:hAnsi="Arial" w:cs="Arial"/>
          <w:lang w:val="en-US"/>
        </w:rPr>
        <w:t xml:space="preserve">: a </w:t>
      </w:r>
      <w:r w:rsidR="00DF7FE4" w:rsidRPr="009940D3">
        <w:rPr>
          <w:rFonts w:ascii="Arial" w:hAnsi="Arial" w:cs="Arial"/>
          <w:lang w:val="en-US"/>
        </w:rPr>
        <w:t xml:space="preserve">clear definition of the reference period to which the </w:t>
      </w:r>
      <w:r w:rsidR="00D50B91" w:rsidRPr="009940D3">
        <w:rPr>
          <w:rFonts w:ascii="Arial" w:hAnsi="Arial" w:cs="Arial"/>
          <w:lang w:val="en-US"/>
        </w:rPr>
        <w:t xml:space="preserve">maximum applicable </w:t>
      </w:r>
      <w:r w:rsidR="00DF7FE4" w:rsidRPr="009940D3">
        <w:rPr>
          <w:rFonts w:ascii="Arial" w:hAnsi="Arial" w:cs="Arial"/>
          <w:i/>
          <w:iCs/>
          <w:lang w:val="en-US"/>
        </w:rPr>
        <w:t xml:space="preserve">de minimis </w:t>
      </w:r>
      <w:r w:rsidR="00DF7FE4" w:rsidRPr="009940D3">
        <w:rPr>
          <w:rFonts w:ascii="Arial" w:hAnsi="Arial" w:cs="Arial"/>
          <w:lang w:val="en-US"/>
        </w:rPr>
        <w:t xml:space="preserve">aid ceiling applies is a key criterion for both </w:t>
      </w:r>
      <w:r w:rsidR="002A3705">
        <w:rPr>
          <w:rFonts w:ascii="Arial" w:hAnsi="Arial" w:cs="Arial"/>
          <w:lang w:val="en-US"/>
        </w:rPr>
        <w:t>granting authorities</w:t>
      </w:r>
      <w:r w:rsidR="00DF7FE4" w:rsidRPr="009940D3">
        <w:rPr>
          <w:rFonts w:ascii="Arial" w:hAnsi="Arial" w:cs="Arial"/>
          <w:lang w:val="en-US"/>
        </w:rPr>
        <w:t xml:space="preserve"> and </w:t>
      </w:r>
      <w:r w:rsidR="002A3705">
        <w:rPr>
          <w:rFonts w:ascii="Arial" w:hAnsi="Arial" w:cs="Arial"/>
          <w:lang w:val="en-US"/>
        </w:rPr>
        <w:t>beneficiaries</w:t>
      </w:r>
      <w:r w:rsidR="00DF7FE4" w:rsidRPr="009940D3">
        <w:rPr>
          <w:rFonts w:ascii="Arial" w:hAnsi="Arial" w:cs="Arial"/>
          <w:lang w:val="en-US"/>
        </w:rPr>
        <w:t xml:space="preserve"> of </w:t>
      </w:r>
      <w:r w:rsidR="00D50B91" w:rsidRPr="009940D3">
        <w:rPr>
          <w:rFonts w:ascii="Arial" w:hAnsi="Arial" w:cs="Arial"/>
          <w:i/>
          <w:iCs/>
          <w:lang w:val="en-US"/>
        </w:rPr>
        <w:t xml:space="preserve">de minimis </w:t>
      </w:r>
      <w:r w:rsidR="00DF7FE4" w:rsidRPr="009940D3">
        <w:rPr>
          <w:rFonts w:ascii="Arial" w:hAnsi="Arial" w:cs="Arial"/>
          <w:lang w:val="en-US"/>
        </w:rPr>
        <w:t xml:space="preserve">aid. For this reason, </w:t>
      </w:r>
      <w:r w:rsidR="002157ED">
        <w:rPr>
          <w:rFonts w:ascii="Arial" w:hAnsi="Arial" w:cs="Arial"/>
          <w:lang w:val="en-US"/>
        </w:rPr>
        <w:t>Czechia</w:t>
      </w:r>
      <w:r w:rsidR="00DF7FE4" w:rsidRPr="009940D3">
        <w:rPr>
          <w:rFonts w:ascii="Arial" w:hAnsi="Arial" w:cs="Arial"/>
          <w:lang w:val="en-US"/>
        </w:rPr>
        <w:t xml:space="preserve"> has defined the concept of the reference period for </w:t>
      </w:r>
      <w:r w:rsidR="00DF7FE4" w:rsidRPr="009940D3">
        <w:rPr>
          <w:rFonts w:ascii="Arial" w:hAnsi="Arial" w:cs="Arial"/>
          <w:i/>
          <w:iCs/>
          <w:lang w:val="en-US"/>
        </w:rPr>
        <w:t xml:space="preserve">de minimis </w:t>
      </w:r>
      <w:r w:rsidR="00DF7FE4" w:rsidRPr="009940D3">
        <w:rPr>
          <w:rFonts w:ascii="Arial" w:hAnsi="Arial" w:cs="Arial"/>
          <w:lang w:val="en-US"/>
        </w:rPr>
        <w:t xml:space="preserve">aid in national Decree </w:t>
      </w:r>
      <w:r w:rsidR="00D50B91" w:rsidRPr="009940D3">
        <w:rPr>
          <w:rFonts w:ascii="Arial" w:hAnsi="Arial" w:cs="Arial"/>
          <w:lang w:val="en-US"/>
        </w:rPr>
        <w:t>No</w:t>
      </w:r>
      <w:r w:rsidR="002157ED">
        <w:rPr>
          <w:rFonts w:ascii="Arial" w:hAnsi="Arial" w:cs="Arial"/>
          <w:lang w:val="en-US"/>
        </w:rPr>
        <w:t> </w:t>
      </w:r>
      <w:r w:rsidR="00D50B91" w:rsidRPr="009940D3">
        <w:rPr>
          <w:rFonts w:ascii="Arial" w:hAnsi="Arial" w:cs="Arial"/>
          <w:lang w:val="en-US"/>
        </w:rPr>
        <w:t>298/2020 Coll.</w:t>
      </w:r>
      <w:r w:rsidR="00DF7FE4" w:rsidRPr="009940D3">
        <w:rPr>
          <w:rFonts w:ascii="Arial" w:hAnsi="Arial" w:cs="Arial"/>
          <w:lang w:val="en-US"/>
        </w:rPr>
        <w:t xml:space="preserve">, which is a binding legal regulation for </w:t>
      </w:r>
      <w:r w:rsidR="006300DE">
        <w:rPr>
          <w:rFonts w:ascii="Arial" w:hAnsi="Arial" w:cs="Arial"/>
          <w:lang w:val="en-US"/>
        </w:rPr>
        <w:t>granting authorities</w:t>
      </w:r>
      <w:r w:rsidR="00DF7FE4" w:rsidRPr="009940D3">
        <w:rPr>
          <w:rFonts w:ascii="Arial" w:hAnsi="Arial" w:cs="Arial"/>
          <w:lang w:val="en-US"/>
        </w:rPr>
        <w:t xml:space="preserve"> of </w:t>
      </w:r>
      <w:r w:rsidR="00DF7FE4" w:rsidRPr="009940D3">
        <w:rPr>
          <w:rFonts w:ascii="Arial" w:hAnsi="Arial" w:cs="Arial"/>
          <w:i/>
          <w:iCs/>
          <w:lang w:val="en-US"/>
        </w:rPr>
        <w:t>de</w:t>
      </w:r>
      <w:r w:rsidR="002157ED">
        <w:rPr>
          <w:rFonts w:ascii="Arial" w:hAnsi="Arial" w:cs="Arial"/>
          <w:i/>
          <w:iCs/>
          <w:lang w:val="en-US"/>
        </w:rPr>
        <w:t> </w:t>
      </w:r>
      <w:r w:rsidR="00DF7FE4" w:rsidRPr="009940D3">
        <w:rPr>
          <w:rFonts w:ascii="Arial" w:hAnsi="Arial" w:cs="Arial"/>
          <w:i/>
          <w:iCs/>
          <w:lang w:val="en-US"/>
        </w:rPr>
        <w:t xml:space="preserve">minimis </w:t>
      </w:r>
      <w:r w:rsidR="00DF7FE4" w:rsidRPr="009940D3">
        <w:rPr>
          <w:rFonts w:ascii="Arial" w:hAnsi="Arial" w:cs="Arial"/>
          <w:lang w:val="en-US"/>
        </w:rPr>
        <w:t xml:space="preserve">aid. If the definition of the reference period in the EU de </w:t>
      </w:r>
      <w:r w:rsidR="00DF7FE4" w:rsidRPr="009940D3">
        <w:rPr>
          <w:rFonts w:ascii="Arial" w:hAnsi="Arial" w:cs="Arial"/>
          <w:i/>
          <w:iCs/>
          <w:lang w:val="en-US"/>
        </w:rPr>
        <w:t>minimis</w:t>
      </w:r>
      <w:r w:rsidR="00DF7FE4" w:rsidRPr="009940D3">
        <w:rPr>
          <w:rFonts w:ascii="Arial" w:hAnsi="Arial" w:cs="Arial"/>
          <w:lang w:val="en-US"/>
        </w:rPr>
        <w:t xml:space="preserve"> regulations is changed, </w:t>
      </w:r>
      <w:r w:rsidR="002157ED">
        <w:rPr>
          <w:rFonts w:ascii="Arial" w:hAnsi="Arial" w:cs="Arial"/>
          <w:lang w:val="en-US"/>
        </w:rPr>
        <w:t>Czechia</w:t>
      </w:r>
      <w:r w:rsidR="00DF7FE4" w:rsidRPr="009940D3">
        <w:rPr>
          <w:rFonts w:ascii="Arial" w:hAnsi="Arial" w:cs="Arial"/>
          <w:lang w:val="en-US"/>
        </w:rPr>
        <w:t xml:space="preserve"> must reflect this</w:t>
      </w:r>
      <w:r w:rsidR="00727AA1">
        <w:rPr>
          <w:rFonts w:ascii="Arial" w:hAnsi="Arial" w:cs="Arial"/>
          <w:lang w:val="en-US"/>
        </w:rPr>
        <w:t xml:space="preserve"> change</w:t>
      </w:r>
      <w:r w:rsidR="00DF7FE4" w:rsidRPr="009940D3">
        <w:rPr>
          <w:rFonts w:ascii="Arial" w:hAnsi="Arial" w:cs="Arial"/>
          <w:lang w:val="en-US"/>
        </w:rPr>
        <w:t xml:space="preserve"> in its national decree. </w:t>
      </w:r>
      <w:r w:rsidR="00D50B91" w:rsidRPr="009940D3">
        <w:rPr>
          <w:rFonts w:ascii="Arial" w:hAnsi="Arial" w:cs="Arial"/>
          <w:lang w:val="en-US"/>
        </w:rPr>
        <w:t xml:space="preserve">If the Commission were to split the </w:t>
      </w:r>
      <w:r w:rsidR="00727AA1">
        <w:rPr>
          <w:rFonts w:ascii="Arial" w:hAnsi="Arial" w:cs="Arial"/>
          <w:lang w:val="en-US"/>
        </w:rPr>
        <w:t>revision</w:t>
      </w:r>
      <w:r w:rsidR="00D50B91" w:rsidRPr="009940D3">
        <w:rPr>
          <w:rFonts w:ascii="Arial" w:hAnsi="Arial" w:cs="Arial"/>
          <w:lang w:val="en-US"/>
        </w:rPr>
        <w:t xml:space="preserve"> of the reference period into two separate </w:t>
      </w:r>
      <w:r w:rsidR="00D50B91" w:rsidRPr="009940D3">
        <w:rPr>
          <w:rFonts w:ascii="Arial" w:hAnsi="Arial" w:cs="Arial"/>
          <w:lang w:val="en-US"/>
        </w:rPr>
        <w:lastRenderedPageBreak/>
        <w:t xml:space="preserve">steps, this would mean a double process of amending the national regulation for </w:t>
      </w:r>
      <w:r w:rsidR="002157ED">
        <w:rPr>
          <w:rFonts w:ascii="Arial" w:hAnsi="Arial" w:cs="Arial"/>
          <w:lang w:val="en-US"/>
        </w:rPr>
        <w:t>Czechia</w:t>
      </w:r>
      <w:r w:rsidR="00D50B91" w:rsidRPr="009940D3">
        <w:rPr>
          <w:rFonts w:ascii="Arial" w:hAnsi="Arial" w:cs="Arial"/>
          <w:lang w:val="en-US"/>
        </w:rPr>
        <w:t xml:space="preserve">, which </w:t>
      </w:r>
      <w:r w:rsidR="0004179E" w:rsidRPr="009940D3">
        <w:rPr>
          <w:rFonts w:ascii="Arial" w:hAnsi="Arial" w:cs="Arial"/>
          <w:lang w:val="en-US"/>
        </w:rPr>
        <w:t xml:space="preserve">again </w:t>
      </w:r>
      <w:r w:rsidR="00D50B91" w:rsidRPr="009940D3">
        <w:rPr>
          <w:rFonts w:ascii="Arial" w:hAnsi="Arial" w:cs="Arial"/>
          <w:lang w:val="en-US"/>
        </w:rPr>
        <w:t xml:space="preserve">brings not only a significant administrative burden - the process of legislative change at national level takes at least 6 months - but the frequent amendments to the legislation make it </w:t>
      </w:r>
      <w:r w:rsidR="00727AA1">
        <w:rPr>
          <w:rFonts w:ascii="Arial" w:hAnsi="Arial" w:cs="Arial"/>
          <w:lang w:val="en-US"/>
        </w:rPr>
        <w:t>confusing</w:t>
      </w:r>
      <w:r w:rsidR="00D50B91" w:rsidRPr="009940D3">
        <w:rPr>
          <w:rFonts w:ascii="Arial" w:hAnsi="Arial" w:cs="Arial"/>
          <w:lang w:val="en-US"/>
        </w:rPr>
        <w:t xml:space="preserve"> for its addressees </w:t>
      </w:r>
      <w:r w:rsidR="00727AA1">
        <w:rPr>
          <w:rFonts w:ascii="Arial" w:hAnsi="Arial" w:cs="Arial"/>
          <w:lang w:val="en-US"/>
        </w:rPr>
        <w:t>–</w:t>
      </w:r>
      <w:r w:rsidR="00D50B91" w:rsidRPr="009940D3">
        <w:rPr>
          <w:rFonts w:ascii="Arial" w:hAnsi="Arial" w:cs="Arial"/>
          <w:lang w:val="en-US"/>
        </w:rPr>
        <w:t xml:space="preserve"> </w:t>
      </w:r>
      <w:r w:rsidR="00727AA1">
        <w:rPr>
          <w:rFonts w:ascii="Arial" w:hAnsi="Arial" w:cs="Arial"/>
          <w:lang w:val="en-US"/>
        </w:rPr>
        <w:t>granting authorities</w:t>
      </w:r>
      <w:r w:rsidR="00D50B91" w:rsidRPr="009940D3">
        <w:rPr>
          <w:rFonts w:ascii="Arial" w:hAnsi="Arial" w:cs="Arial"/>
          <w:lang w:val="en-US"/>
        </w:rPr>
        <w:t xml:space="preserve"> and </w:t>
      </w:r>
      <w:r w:rsidR="00727AA1">
        <w:rPr>
          <w:rFonts w:ascii="Arial" w:hAnsi="Arial" w:cs="Arial"/>
          <w:lang w:val="en-US"/>
        </w:rPr>
        <w:t>beneficiaries</w:t>
      </w:r>
      <w:r w:rsidR="00D50B91" w:rsidRPr="009940D3">
        <w:rPr>
          <w:rFonts w:ascii="Arial" w:hAnsi="Arial" w:cs="Arial"/>
          <w:lang w:val="en-US"/>
        </w:rPr>
        <w:t xml:space="preserve"> of </w:t>
      </w:r>
      <w:r w:rsidR="00D50B91" w:rsidRPr="009940D3">
        <w:rPr>
          <w:rFonts w:ascii="Arial" w:hAnsi="Arial" w:cs="Arial"/>
          <w:i/>
          <w:iCs/>
          <w:lang w:val="en-US"/>
        </w:rPr>
        <w:t xml:space="preserve">de minimis </w:t>
      </w:r>
      <w:r w:rsidR="00D50B91" w:rsidRPr="009940D3">
        <w:rPr>
          <w:rFonts w:ascii="Arial" w:hAnsi="Arial" w:cs="Arial"/>
          <w:lang w:val="en-US"/>
        </w:rPr>
        <w:t xml:space="preserve">aid. </w:t>
      </w:r>
    </w:p>
    <w:p w14:paraId="04654398" w14:textId="571F6088" w:rsidR="00212205" w:rsidRPr="009940D3" w:rsidRDefault="002157ED">
      <w:pPr>
        <w:pStyle w:val="ListParagraph"/>
        <w:ind w:left="284"/>
        <w:contextualSpacing w:val="0"/>
        <w:jc w:val="both"/>
        <w:rPr>
          <w:rFonts w:ascii="Arial" w:hAnsi="Arial" w:cs="Arial"/>
          <w:lang w:val="en-US"/>
        </w:rPr>
      </w:pPr>
      <w:r>
        <w:rPr>
          <w:rFonts w:ascii="Arial" w:hAnsi="Arial" w:cs="Arial"/>
          <w:lang w:val="en-US"/>
        </w:rPr>
        <w:t>Czechia</w:t>
      </w:r>
      <w:r w:rsidRPr="009940D3">
        <w:rPr>
          <w:rFonts w:ascii="Arial" w:hAnsi="Arial" w:cs="Arial"/>
          <w:lang w:val="en-US"/>
        </w:rPr>
        <w:t xml:space="preserve"> considers that the aspects described above do not only concern </w:t>
      </w:r>
      <w:r w:rsidR="00D17E47" w:rsidRPr="009940D3">
        <w:rPr>
          <w:rFonts w:ascii="Arial" w:hAnsi="Arial" w:cs="Arial"/>
          <w:lang w:val="en-US"/>
        </w:rPr>
        <w:t>itself</w:t>
      </w:r>
      <w:r w:rsidRPr="009940D3">
        <w:rPr>
          <w:rFonts w:ascii="Arial" w:hAnsi="Arial" w:cs="Arial"/>
          <w:lang w:val="en-US"/>
        </w:rPr>
        <w:t xml:space="preserve">, but also </w:t>
      </w:r>
      <w:r w:rsidR="00DB358E" w:rsidRPr="009940D3">
        <w:rPr>
          <w:rFonts w:ascii="Arial" w:hAnsi="Arial" w:cs="Arial"/>
          <w:lang w:val="en-US"/>
        </w:rPr>
        <w:t xml:space="preserve">other </w:t>
      </w:r>
      <w:r w:rsidRPr="009940D3">
        <w:rPr>
          <w:rFonts w:ascii="Arial" w:hAnsi="Arial" w:cs="Arial"/>
          <w:lang w:val="en-US"/>
        </w:rPr>
        <w:t xml:space="preserve">MS in the </w:t>
      </w:r>
      <w:r w:rsidR="00DB358E" w:rsidRPr="009940D3">
        <w:rPr>
          <w:rFonts w:ascii="Arial" w:hAnsi="Arial" w:cs="Arial"/>
          <w:lang w:val="en-US"/>
        </w:rPr>
        <w:t>same situation</w:t>
      </w:r>
      <w:r w:rsidRPr="009940D3">
        <w:rPr>
          <w:rFonts w:ascii="Arial" w:hAnsi="Arial" w:cs="Arial"/>
          <w:lang w:val="en-US"/>
        </w:rPr>
        <w:t xml:space="preserve">. </w:t>
      </w:r>
      <w:r>
        <w:rPr>
          <w:rFonts w:ascii="Arial" w:hAnsi="Arial" w:cs="Arial"/>
          <w:lang w:val="en-US"/>
        </w:rPr>
        <w:t>Czechia</w:t>
      </w:r>
      <w:r w:rsidRPr="009940D3">
        <w:rPr>
          <w:rFonts w:ascii="Arial" w:hAnsi="Arial" w:cs="Arial"/>
          <w:lang w:val="en-US"/>
        </w:rPr>
        <w:t xml:space="preserve"> therefore reiterates its call on the Commission to make a purely technical revision of the provisions of </w:t>
      </w:r>
      <w:r w:rsidR="00D17E47" w:rsidRPr="009940D3">
        <w:rPr>
          <w:rFonts w:ascii="Arial" w:hAnsi="Arial" w:cs="Arial"/>
          <w:lang w:val="en-US"/>
        </w:rPr>
        <w:t xml:space="preserve">Regulation </w:t>
      </w:r>
      <w:r w:rsidR="0004179E" w:rsidRPr="009940D3">
        <w:rPr>
          <w:rFonts w:ascii="Arial" w:hAnsi="Arial" w:cs="Arial"/>
          <w:lang w:val="en-US"/>
        </w:rPr>
        <w:t xml:space="preserve">(EU) </w:t>
      </w:r>
      <w:r w:rsidRPr="009940D3">
        <w:rPr>
          <w:rFonts w:ascii="Arial" w:hAnsi="Arial" w:cs="Arial"/>
          <w:lang w:val="en-US"/>
        </w:rPr>
        <w:t xml:space="preserve">No 717/2014 concerning the format of the reference period as part of the current revision of </w:t>
      </w:r>
      <w:r w:rsidR="00D17E47" w:rsidRPr="009940D3">
        <w:rPr>
          <w:rFonts w:ascii="Arial" w:hAnsi="Arial" w:cs="Arial"/>
          <w:lang w:val="en-US"/>
        </w:rPr>
        <w:t xml:space="preserve">Regulation </w:t>
      </w:r>
      <w:r w:rsidR="0004179E" w:rsidRPr="009940D3">
        <w:rPr>
          <w:rFonts w:ascii="Arial" w:hAnsi="Arial" w:cs="Arial"/>
          <w:lang w:val="en-US"/>
        </w:rPr>
        <w:t xml:space="preserve">(EU) </w:t>
      </w:r>
      <w:r w:rsidR="00D17E47" w:rsidRPr="009940D3">
        <w:rPr>
          <w:rFonts w:ascii="Arial" w:hAnsi="Arial" w:cs="Arial"/>
          <w:lang w:val="en-US"/>
        </w:rPr>
        <w:t>No 1408/2013</w:t>
      </w:r>
      <w:r w:rsidRPr="009940D3">
        <w:rPr>
          <w:rFonts w:ascii="Arial" w:hAnsi="Arial" w:cs="Arial"/>
          <w:lang w:val="en-US"/>
        </w:rPr>
        <w:t>.</w:t>
      </w:r>
    </w:p>
    <w:p w14:paraId="3BDECA47" w14:textId="77777777" w:rsidR="00D50B91" w:rsidRPr="009940D3" w:rsidRDefault="00D50B91" w:rsidP="003E30E6">
      <w:pPr>
        <w:pStyle w:val="ListParagraph"/>
        <w:ind w:left="284"/>
        <w:contextualSpacing w:val="0"/>
        <w:jc w:val="both"/>
        <w:rPr>
          <w:rFonts w:ascii="Arial" w:hAnsi="Arial" w:cs="Arial"/>
          <w:lang w:val="en-US"/>
        </w:rPr>
      </w:pPr>
    </w:p>
    <w:p w14:paraId="6D02D823" w14:textId="0574A5A4" w:rsidR="00212205" w:rsidRPr="009940D3" w:rsidRDefault="00BC64EA">
      <w:pPr>
        <w:pStyle w:val="ListParagraph"/>
        <w:numPr>
          <w:ilvl w:val="0"/>
          <w:numId w:val="1"/>
        </w:numPr>
        <w:ind w:left="284"/>
        <w:contextualSpacing w:val="0"/>
        <w:jc w:val="both"/>
        <w:rPr>
          <w:rFonts w:ascii="Arial" w:hAnsi="Arial" w:cs="Arial"/>
          <w:lang w:val="en-US"/>
        </w:rPr>
      </w:pPr>
      <w:r w:rsidRPr="009940D3">
        <w:rPr>
          <w:rFonts w:ascii="Arial" w:hAnsi="Arial" w:cs="Arial"/>
          <w:u w:val="single"/>
          <w:lang w:val="en-US"/>
        </w:rPr>
        <w:t xml:space="preserve">Concerning </w:t>
      </w:r>
      <w:r w:rsidRPr="009940D3">
        <w:rPr>
          <w:rFonts w:ascii="Arial" w:hAnsi="Arial" w:cs="Arial"/>
          <w:b/>
          <w:bCs/>
          <w:u w:val="single"/>
          <w:lang w:val="en-US"/>
        </w:rPr>
        <w:t xml:space="preserve">Article 1, point 2 of </w:t>
      </w:r>
      <w:r w:rsidRPr="009940D3">
        <w:rPr>
          <w:rFonts w:ascii="Arial" w:hAnsi="Arial" w:cs="Arial"/>
          <w:u w:val="single"/>
          <w:lang w:val="en-US"/>
        </w:rPr>
        <w:t xml:space="preserve">the </w:t>
      </w:r>
      <w:r w:rsidR="00D65E2F">
        <w:rPr>
          <w:rFonts w:ascii="Arial" w:hAnsi="Arial" w:cs="Arial"/>
          <w:u w:val="single"/>
          <w:lang w:val="en-US"/>
        </w:rPr>
        <w:t>draft</w:t>
      </w:r>
      <w:r w:rsidRPr="009940D3">
        <w:rPr>
          <w:rFonts w:ascii="Arial" w:hAnsi="Arial" w:cs="Arial"/>
          <w:u w:val="single"/>
          <w:lang w:val="en-US"/>
        </w:rPr>
        <w:t xml:space="preserve"> Regulation</w:t>
      </w:r>
      <w:r w:rsidRPr="009940D3">
        <w:rPr>
          <w:rFonts w:ascii="Arial" w:hAnsi="Arial" w:cs="Arial"/>
          <w:lang w:val="en-US"/>
        </w:rPr>
        <w:t xml:space="preserve">: As regards the replaced paragraph 4, it is necessary to clarify what is </w:t>
      </w:r>
      <w:r w:rsidR="00C977F5" w:rsidRPr="009940D3">
        <w:rPr>
          <w:rFonts w:ascii="Arial" w:hAnsi="Arial" w:cs="Arial"/>
          <w:lang w:val="en-US"/>
        </w:rPr>
        <w:t>meant by '</w:t>
      </w:r>
      <w:r w:rsidRPr="009940D3">
        <w:rPr>
          <w:rFonts w:ascii="Arial" w:hAnsi="Arial" w:cs="Arial"/>
          <w:i/>
          <w:iCs/>
          <w:lang w:val="en-US"/>
        </w:rPr>
        <w:t>measures</w:t>
      </w:r>
      <w:r w:rsidR="00C977F5" w:rsidRPr="009940D3">
        <w:rPr>
          <w:rFonts w:ascii="Arial" w:hAnsi="Arial" w:cs="Arial"/>
          <w:i/>
          <w:iCs/>
          <w:lang w:val="en-US"/>
        </w:rPr>
        <w:t xml:space="preserve">' </w:t>
      </w:r>
      <w:r w:rsidR="00C977F5" w:rsidRPr="009940D3">
        <w:rPr>
          <w:rFonts w:ascii="Arial" w:hAnsi="Arial" w:cs="Arial"/>
          <w:lang w:val="en-US"/>
        </w:rPr>
        <w:t xml:space="preserve">in the context of the condition </w:t>
      </w:r>
      <w:r w:rsidRPr="009940D3">
        <w:rPr>
          <w:rFonts w:ascii="Arial" w:hAnsi="Arial" w:cs="Arial"/>
          <w:lang w:val="en-US"/>
        </w:rPr>
        <w:t>'</w:t>
      </w:r>
      <w:r w:rsidRPr="009940D3">
        <w:rPr>
          <w:rFonts w:ascii="Arial" w:hAnsi="Arial" w:cs="Arial"/>
          <w:i/>
          <w:iCs/>
          <w:lang w:val="en-US"/>
        </w:rPr>
        <w:t xml:space="preserve">aid measures </w:t>
      </w:r>
      <w:r w:rsidR="007763F2">
        <w:rPr>
          <w:rFonts w:ascii="Arial" w:hAnsi="Arial" w:cs="Arial"/>
          <w:i/>
          <w:iCs/>
          <w:lang w:val="en-US"/>
        </w:rPr>
        <w:t>which</w:t>
      </w:r>
      <w:r w:rsidRPr="009940D3">
        <w:rPr>
          <w:rFonts w:ascii="Arial" w:hAnsi="Arial" w:cs="Arial"/>
          <w:i/>
          <w:iCs/>
          <w:lang w:val="en-US"/>
        </w:rPr>
        <w:t xml:space="preserve"> benefit only one</w:t>
      </w:r>
      <w:r w:rsidR="007763F2">
        <w:rPr>
          <w:rFonts w:ascii="Arial" w:hAnsi="Arial" w:cs="Arial"/>
          <w:i/>
          <w:iCs/>
          <w:lang w:val="en-US"/>
        </w:rPr>
        <w:t xml:space="preserve"> single</w:t>
      </w:r>
      <w:r w:rsidRPr="009940D3">
        <w:rPr>
          <w:rFonts w:ascii="Arial" w:hAnsi="Arial" w:cs="Arial"/>
          <w:i/>
          <w:iCs/>
          <w:lang w:val="en-US"/>
        </w:rPr>
        <w:t xml:space="preserve"> product sector</w:t>
      </w:r>
      <w:r w:rsidRPr="009940D3">
        <w:rPr>
          <w:rFonts w:ascii="Arial" w:hAnsi="Arial" w:cs="Arial"/>
          <w:lang w:val="en-US"/>
        </w:rPr>
        <w:t xml:space="preserve">'. </w:t>
      </w:r>
      <w:r w:rsidR="00C977F5" w:rsidRPr="009940D3">
        <w:rPr>
          <w:rFonts w:ascii="Arial" w:hAnsi="Arial" w:cs="Arial"/>
          <w:lang w:val="en-US"/>
        </w:rPr>
        <w:t>Does it mean a scheme that is targeted at one specific sector (e.g. aid for</w:t>
      </w:r>
      <w:r w:rsidR="007763F2">
        <w:rPr>
          <w:rFonts w:ascii="Arial" w:hAnsi="Arial" w:cs="Arial"/>
          <w:lang w:val="en-US"/>
        </w:rPr>
        <w:t xml:space="preserve"> </w:t>
      </w:r>
      <w:r w:rsidR="007763F2" w:rsidRPr="007763F2">
        <w:rPr>
          <w:rFonts w:ascii="Arial" w:hAnsi="Arial" w:cs="Arial"/>
          <w:lang w:val="en-US"/>
        </w:rPr>
        <w:t>growing of</w:t>
      </w:r>
      <w:r w:rsidR="00C977F5" w:rsidRPr="009940D3">
        <w:rPr>
          <w:rFonts w:ascii="Arial" w:hAnsi="Arial" w:cs="Arial"/>
          <w:lang w:val="en-US"/>
        </w:rPr>
        <w:t xml:space="preserve"> potato</w:t>
      </w:r>
      <w:r w:rsidR="007763F2">
        <w:rPr>
          <w:rFonts w:ascii="Arial" w:hAnsi="Arial" w:cs="Arial"/>
          <w:lang w:val="en-US"/>
        </w:rPr>
        <w:t>es</w:t>
      </w:r>
      <w:r w:rsidR="00C977F5" w:rsidRPr="009940D3">
        <w:rPr>
          <w:rFonts w:ascii="Arial" w:hAnsi="Arial" w:cs="Arial"/>
          <w:lang w:val="en-US"/>
        </w:rPr>
        <w:t xml:space="preserve">) or does it mean all aid going to one sector, regardless of the specific aid scheme under </w:t>
      </w:r>
      <w:r w:rsidR="00E26E62" w:rsidRPr="009940D3">
        <w:rPr>
          <w:rFonts w:ascii="Arial" w:hAnsi="Arial" w:cs="Arial"/>
          <w:lang w:val="en-US"/>
        </w:rPr>
        <w:t>which it is granted</w:t>
      </w:r>
      <w:r w:rsidR="00C977F5" w:rsidRPr="009940D3">
        <w:rPr>
          <w:rFonts w:ascii="Arial" w:hAnsi="Arial" w:cs="Arial"/>
          <w:lang w:val="en-US"/>
        </w:rPr>
        <w:t>?</w:t>
      </w:r>
    </w:p>
    <w:p w14:paraId="212AA875" w14:textId="77777777" w:rsidR="00244DFD" w:rsidRPr="009940D3" w:rsidRDefault="00244DFD" w:rsidP="003E30E6">
      <w:pPr>
        <w:pStyle w:val="ListParagraph"/>
        <w:ind w:left="284"/>
        <w:contextualSpacing w:val="0"/>
        <w:jc w:val="both"/>
        <w:rPr>
          <w:rFonts w:ascii="Arial" w:hAnsi="Arial" w:cs="Arial"/>
          <w:lang w:val="en-US"/>
        </w:rPr>
      </w:pPr>
    </w:p>
    <w:p w14:paraId="7C8D6026" w14:textId="16A3AF1B" w:rsidR="00212205" w:rsidRPr="009940D3" w:rsidRDefault="00BC64EA">
      <w:pPr>
        <w:pStyle w:val="ListParagraph"/>
        <w:numPr>
          <w:ilvl w:val="0"/>
          <w:numId w:val="1"/>
        </w:numPr>
        <w:spacing w:after="0" w:line="240" w:lineRule="auto"/>
        <w:jc w:val="both"/>
        <w:rPr>
          <w:rFonts w:ascii="Arial" w:hAnsi="Arial" w:cs="Arial"/>
          <w:lang w:val="en-US"/>
        </w:rPr>
      </w:pPr>
      <w:r w:rsidRPr="009940D3">
        <w:rPr>
          <w:rFonts w:ascii="Arial" w:hAnsi="Arial" w:cs="Arial"/>
          <w:u w:val="single"/>
          <w:lang w:val="en-US"/>
        </w:rPr>
        <w:t xml:space="preserve">On Article </w:t>
      </w:r>
      <w:r w:rsidRPr="009940D3">
        <w:rPr>
          <w:rFonts w:ascii="Arial" w:hAnsi="Arial" w:cs="Arial"/>
          <w:b/>
          <w:bCs/>
          <w:u w:val="single"/>
          <w:lang w:val="en-US"/>
        </w:rPr>
        <w:t xml:space="preserve">1(3) of </w:t>
      </w:r>
      <w:r w:rsidRPr="009940D3">
        <w:rPr>
          <w:rFonts w:ascii="Arial" w:hAnsi="Arial" w:cs="Arial"/>
          <w:u w:val="single"/>
          <w:lang w:val="en-US"/>
        </w:rPr>
        <w:t xml:space="preserve">the </w:t>
      </w:r>
      <w:r w:rsidR="00D65E2F">
        <w:rPr>
          <w:rFonts w:ascii="Arial" w:hAnsi="Arial" w:cs="Arial"/>
          <w:u w:val="single"/>
          <w:lang w:val="en-US"/>
        </w:rPr>
        <w:t>draft</w:t>
      </w:r>
      <w:r w:rsidRPr="009940D3">
        <w:rPr>
          <w:rFonts w:ascii="Arial" w:hAnsi="Arial" w:cs="Arial"/>
          <w:u w:val="single"/>
          <w:lang w:val="en-US"/>
        </w:rPr>
        <w:t xml:space="preserve"> Regulation </w:t>
      </w:r>
      <w:r w:rsidR="005A2F0B" w:rsidRPr="009940D3">
        <w:rPr>
          <w:rFonts w:ascii="Arial" w:hAnsi="Arial" w:cs="Arial"/>
          <w:u w:val="single"/>
          <w:lang w:val="en-US"/>
        </w:rPr>
        <w:t>(</w:t>
      </w:r>
      <w:r w:rsidR="00965137" w:rsidRPr="009940D3">
        <w:rPr>
          <w:rFonts w:ascii="Arial" w:hAnsi="Arial" w:cs="Arial"/>
          <w:u w:val="single"/>
          <w:lang w:val="en-US"/>
        </w:rPr>
        <w:t xml:space="preserve">individual </w:t>
      </w:r>
      <w:r w:rsidR="005A2F0B" w:rsidRPr="009940D3">
        <w:rPr>
          <w:rFonts w:ascii="Arial" w:hAnsi="Arial" w:cs="Arial"/>
          <w:i/>
          <w:iCs/>
          <w:u w:val="single"/>
          <w:lang w:val="en-US"/>
        </w:rPr>
        <w:t xml:space="preserve">de minimis </w:t>
      </w:r>
      <w:r w:rsidR="005A2F0B" w:rsidRPr="009940D3">
        <w:rPr>
          <w:rFonts w:ascii="Arial" w:hAnsi="Arial" w:cs="Arial"/>
          <w:u w:val="single"/>
          <w:lang w:val="en-US"/>
        </w:rPr>
        <w:t>ceiling)</w:t>
      </w:r>
      <w:r w:rsidRPr="009940D3">
        <w:rPr>
          <w:rFonts w:ascii="Arial" w:hAnsi="Arial" w:cs="Arial"/>
          <w:lang w:val="en-US"/>
        </w:rPr>
        <w:t xml:space="preserve">: </w:t>
      </w:r>
      <w:r w:rsidR="002157ED">
        <w:rPr>
          <w:rFonts w:ascii="Arial" w:hAnsi="Arial" w:cs="Arial"/>
          <w:lang w:val="en-US"/>
        </w:rPr>
        <w:t>Czechia</w:t>
      </w:r>
      <w:r w:rsidR="00B50776" w:rsidRPr="009940D3">
        <w:rPr>
          <w:rFonts w:ascii="Arial" w:hAnsi="Arial" w:cs="Arial"/>
          <w:lang w:val="en-US"/>
        </w:rPr>
        <w:t xml:space="preserve"> is of the opinion that the proposed </w:t>
      </w:r>
      <w:r w:rsidR="00B50776" w:rsidRPr="009940D3">
        <w:rPr>
          <w:rFonts w:ascii="Arial" w:hAnsi="Arial" w:cs="Arial"/>
          <w:i/>
          <w:iCs/>
          <w:lang w:val="en-US"/>
        </w:rPr>
        <w:t xml:space="preserve">de minimis </w:t>
      </w:r>
      <w:r w:rsidR="00B50776" w:rsidRPr="009940D3">
        <w:rPr>
          <w:rFonts w:ascii="Arial" w:hAnsi="Arial" w:cs="Arial"/>
          <w:lang w:val="en-US"/>
        </w:rPr>
        <w:t xml:space="preserve">ceiling of EUR 37 000 </w:t>
      </w:r>
      <w:r w:rsidR="00965137" w:rsidRPr="009940D3">
        <w:rPr>
          <w:rFonts w:ascii="Arial" w:hAnsi="Arial" w:cs="Arial"/>
          <w:lang w:val="en-US"/>
        </w:rPr>
        <w:t xml:space="preserve">per </w:t>
      </w:r>
      <w:r w:rsidR="00C15508">
        <w:rPr>
          <w:rFonts w:ascii="Arial" w:hAnsi="Arial" w:cs="Arial"/>
          <w:lang w:val="en-US"/>
        </w:rPr>
        <w:t xml:space="preserve">a single </w:t>
      </w:r>
      <w:r w:rsidR="00965137" w:rsidRPr="009940D3">
        <w:rPr>
          <w:rFonts w:ascii="Arial" w:hAnsi="Arial" w:cs="Arial"/>
          <w:lang w:val="en-US"/>
        </w:rPr>
        <w:t xml:space="preserve">undertaking </w:t>
      </w:r>
      <w:r w:rsidR="00B50776" w:rsidRPr="009940D3">
        <w:rPr>
          <w:rFonts w:ascii="Arial" w:hAnsi="Arial" w:cs="Arial"/>
          <w:lang w:val="en-US"/>
        </w:rPr>
        <w:t xml:space="preserve">is inadequately low and should be </w:t>
      </w:r>
      <w:r w:rsidR="00B50776" w:rsidRPr="009940D3">
        <w:rPr>
          <w:rFonts w:ascii="Arial" w:hAnsi="Arial" w:cs="Arial"/>
          <w:b/>
          <w:bCs/>
          <w:lang w:val="en-US"/>
        </w:rPr>
        <w:t xml:space="preserve">increased to EUR 50 000 </w:t>
      </w:r>
      <w:r w:rsidR="002D38A1" w:rsidRPr="009940D3">
        <w:rPr>
          <w:rFonts w:ascii="Arial" w:hAnsi="Arial" w:cs="Arial"/>
          <w:lang w:val="en-US"/>
        </w:rPr>
        <w:t xml:space="preserve">and the national </w:t>
      </w:r>
      <w:r w:rsidR="007763F2">
        <w:rPr>
          <w:rFonts w:ascii="Arial" w:hAnsi="Arial" w:cs="Arial"/>
          <w:lang w:val="en-US"/>
        </w:rPr>
        <w:t>cap</w:t>
      </w:r>
      <w:r w:rsidR="002D38A1" w:rsidRPr="009940D3">
        <w:rPr>
          <w:rFonts w:ascii="Arial" w:hAnsi="Arial" w:cs="Arial"/>
          <w:lang w:val="en-US"/>
        </w:rPr>
        <w:t xml:space="preserve"> for Member States set out in the Annex to the Regulation should be increased in proportion</w:t>
      </w:r>
      <w:r w:rsidR="000768E3" w:rsidRPr="009940D3">
        <w:rPr>
          <w:rFonts w:ascii="Arial" w:hAnsi="Arial" w:cs="Arial"/>
          <w:lang w:val="en-US"/>
        </w:rPr>
        <w:t xml:space="preserve">. </w:t>
      </w:r>
    </w:p>
    <w:p w14:paraId="56AE953A" w14:textId="77777777" w:rsidR="000768E3" w:rsidRPr="009940D3" w:rsidRDefault="000768E3" w:rsidP="000768E3">
      <w:pPr>
        <w:spacing w:after="0" w:line="240" w:lineRule="auto"/>
        <w:jc w:val="both"/>
        <w:rPr>
          <w:rFonts w:ascii="Arial" w:hAnsi="Arial" w:cs="Arial"/>
          <w:lang w:val="en-US"/>
        </w:rPr>
      </w:pPr>
    </w:p>
    <w:p w14:paraId="029FC2FE" w14:textId="57C93778" w:rsidR="00212205" w:rsidRPr="009940D3" w:rsidRDefault="00BC64EA">
      <w:pPr>
        <w:spacing w:after="0" w:line="240" w:lineRule="auto"/>
        <w:ind w:left="360"/>
        <w:jc w:val="both"/>
        <w:rPr>
          <w:rFonts w:ascii="Arial" w:hAnsi="Arial" w:cs="Arial"/>
          <w:lang w:val="en-US"/>
        </w:rPr>
      </w:pPr>
      <w:r w:rsidRPr="009940D3">
        <w:rPr>
          <w:rFonts w:ascii="Arial" w:hAnsi="Arial" w:cs="Arial"/>
          <w:lang w:val="en-US"/>
        </w:rPr>
        <w:t xml:space="preserve">There have been changes in the market over the past period that justify the higher </w:t>
      </w:r>
      <w:r w:rsidR="007763F2">
        <w:rPr>
          <w:rFonts w:ascii="Arial" w:hAnsi="Arial" w:cs="Arial"/>
          <w:lang w:val="en-US"/>
        </w:rPr>
        <w:t>ceiling</w:t>
      </w:r>
      <w:r w:rsidRPr="009940D3">
        <w:rPr>
          <w:rFonts w:ascii="Arial" w:hAnsi="Arial" w:cs="Arial"/>
          <w:lang w:val="en-US"/>
        </w:rPr>
        <w:t xml:space="preserve">. </w:t>
      </w:r>
      <w:r w:rsidR="000768E3" w:rsidRPr="009940D3">
        <w:rPr>
          <w:rFonts w:ascii="Arial" w:hAnsi="Arial" w:cs="Arial"/>
          <w:lang w:val="en-US"/>
        </w:rPr>
        <w:t xml:space="preserve">Inflation in </w:t>
      </w:r>
      <w:r w:rsidR="002157ED">
        <w:rPr>
          <w:rFonts w:ascii="Arial" w:hAnsi="Arial" w:cs="Arial"/>
          <w:lang w:val="en-US"/>
        </w:rPr>
        <w:t>Czechia</w:t>
      </w:r>
      <w:r w:rsidR="000768E3" w:rsidRPr="009940D3">
        <w:rPr>
          <w:rFonts w:ascii="Arial" w:hAnsi="Arial" w:cs="Arial"/>
          <w:lang w:val="en-US"/>
        </w:rPr>
        <w:t xml:space="preserve"> was higher than the EU average. Inflation was particularly high in 2022 and 2023. EUROSTAT's methodology differs compared to </w:t>
      </w:r>
      <w:r w:rsidR="002157ED">
        <w:rPr>
          <w:rFonts w:ascii="Arial" w:hAnsi="Arial" w:cs="Arial"/>
          <w:lang w:val="en-US"/>
        </w:rPr>
        <w:t>Czechia</w:t>
      </w:r>
      <w:r w:rsidR="000768E3" w:rsidRPr="009940D3">
        <w:rPr>
          <w:rFonts w:ascii="Arial" w:hAnsi="Arial" w:cs="Arial"/>
          <w:lang w:val="en-US"/>
        </w:rPr>
        <w:t xml:space="preserve">. It uses the HICP index. Therefore, the EUROSTAT data for </w:t>
      </w:r>
      <w:r w:rsidR="002157ED">
        <w:rPr>
          <w:rFonts w:ascii="Arial" w:hAnsi="Arial" w:cs="Arial"/>
          <w:lang w:val="en-US"/>
        </w:rPr>
        <w:t>Czechia</w:t>
      </w:r>
      <w:r w:rsidR="000768E3" w:rsidRPr="009940D3">
        <w:rPr>
          <w:rFonts w:ascii="Arial" w:hAnsi="Arial" w:cs="Arial"/>
          <w:lang w:val="en-US"/>
        </w:rPr>
        <w:t xml:space="preserve"> are different compared to the Czech Statistical Office (CSO) methodology. The difference between the EUROSTAT index and the CSO methodology is due to imputed rents, which the CSO includes</w:t>
      </w:r>
      <w:r w:rsidR="008127EB">
        <w:rPr>
          <w:rFonts w:ascii="Arial" w:hAnsi="Arial" w:cs="Arial"/>
          <w:lang w:val="en-US"/>
        </w:rPr>
        <w:t>,</w:t>
      </w:r>
      <w:r w:rsidR="000768E3" w:rsidRPr="009940D3">
        <w:rPr>
          <w:rFonts w:ascii="Arial" w:hAnsi="Arial" w:cs="Arial"/>
          <w:lang w:val="en-US"/>
        </w:rPr>
        <w:t xml:space="preserve"> and EUROSTAT does not </w:t>
      </w:r>
      <w:r w:rsidR="00442815" w:rsidRPr="009940D3">
        <w:rPr>
          <w:rFonts w:ascii="Arial" w:hAnsi="Arial" w:cs="Arial"/>
          <w:lang w:val="en-US"/>
        </w:rPr>
        <w:t xml:space="preserve">because of the high share of owner-occupied housing in </w:t>
      </w:r>
      <w:r w:rsidR="002157ED">
        <w:rPr>
          <w:rFonts w:ascii="Arial" w:hAnsi="Arial" w:cs="Arial"/>
          <w:lang w:val="en-US"/>
        </w:rPr>
        <w:t>Czechia</w:t>
      </w:r>
      <w:r w:rsidR="000768E3" w:rsidRPr="009940D3">
        <w:rPr>
          <w:rFonts w:ascii="Arial" w:hAnsi="Arial" w:cs="Arial"/>
          <w:lang w:val="en-US"/>
        </w:rPr>
        <w:t xml:space="preserve">. </w:t>
      </w:r>
    </w:p>
    <w:p w14:paraId="4608337C" w14:textId="77777777" w:rsidR="000768E3" w:rsidRPr="009940D3" w:rsidRDefault="000768E3" w:rsidP="000768E3">
      <w:pPr>
        <w:spacing w:after="0" w:line="240" w:lineRule="auto"/>
        <w:jc w:val="both"/>
        <w:rPr>
          <w:rFonts w:ascii="Arial" w:hAnsi="Arial" w:cs="Arial"/>
          <w:b/>
          <w:bCs/>
          <w:lang w:val="en-US"/>
        </w:rPr>
      </w:pPr>
    </w:p>
    <w:p w14:paraId="43ABF224" w14:textId="7A510395" w:rsidR="00212205" w:rsidRPr="009940D3" w:rsidRDefault="00BC64EA">
      <w:pPr>
        <w:spacing w:after="0" w:line="240" w:lineRule="auto"/>
        <w:ind w:left="360"/>
        <w:jc w:val="both"/>
        <w:rPr>
          <w:rFonts w:ascii="Arial" w:hAnsi="Arial" w:cs="Arial"/>
          <w:lang w:val="en-US"/>
        </w:rPr>
      </w:pPr>
      <w:r w:rsidRPr="009940D3">
        <w:rPr>
          <w:rFonts w:ascii="Arial" w:hAnsi="Arial" w:cs="Arial"/>
          <w:lang w:val="en-US"/>
        </w:rPr>
        <w:t xml:space="preserve">The different inflation rates between the EU and </w:t>
      </w:r>
      <w:r w:rsidR="002157ED">
        <w:rPr>
          <w:rFonts w:ascii="Arial" w:hAnsi="Arial" w:cs="Arial"/>
          <w:lang w:val="en-US"/>
        </w:rPr>
        <w:t>Czechia</w:t>
      </w:r>
      <w:r w:rsidRPr="009940D3">
        <w:rPr>
          <w:rFonts w:ascii="Arial" w:hAnsi="Arial" w:cs="Arial"/>
          <w:lang w:val="en-US"/>
        </w:rPr>
        <w:t xml:space="preserve"> and the different structure of farms in </w:t>
      </w:r>
      <w:r w:rsidR="002157ED">
        <w:rPr>
          <w:rFonts w:ascii="Arial" w:hAnsi="Arial" w:cs="Arial"/>
          <w:lang w:val="en-US"/>
        </w:rPr>
        <w:t>Czechia</w:t>
      </w:r>
      <w:r w:rsidRPr="009940D3">
        <w:rPr>
          <w:rFonts w:ascii="Arial" w:hAnsi="Arial" w:cs="Arial"/>
          <w:lang w:val="en-US"/>
        </w:rPr>
        <w:t xml:space="preserve"> and the EU constitute a strong argument to justify the increase of the proposed limit. In the view of </w:t>
      </w:r>
      <w:r w:rsidR="002157ED">
        <w:rPr>
          <w:rFonts w:ascii="Arial" w:hAnsi="Arial" w:cs="Arial"/>
          <w:lang w:val="en-US"/>
        </w:rPr>
        <w:t>Czechia</w:t>
      </w:r>
      <w:r w:rsidRPr="009940D3">
        <w:rPr>
          <w:rFonts w:ascii="Arial" w:hAnsi="Arial" w:cs="Arial"/>
          <w:lang w:val="en-US"/>
        </w:rPr>
        <w:t>, the increased limit will not distort competition.</w:t>
      </w:r>
    </w:p>
    <w:p w14:paraId="3675349B" w14:textId="77777777" w:rsidR="000768E3" w:rsidRPr="009940D3" w:rsidRDefault="000768E3" w:rsidP="000768E3">
      <w:pPr>
        <w:spacing w:after="0" w:line="240" w:lineRule="auto"/>
        <w:jc w:val="both"/>
        <w:rPr>
          <w:rFonts w:ascii="Arial" w:hAnsi="Arial" w:cs="Arial"/>
          <w:b/>
          <w:bCs/>
          <w:lang w:val="en-US"/>
        </w:rPr>
      </w:pPr>
    </w:p>
    <w:p w14:paraId="496FFCDE" w14:textId="4C5600E6" w:rsidR="00212205" w:rsidRPr="009940D3" w:rsidRDefault="00BC64EA">
      <w:pPr>
        <w:spacing w:after="0" w:line="240" w:lineRule="auto"/>
        <w:jc w:val="both"/>
        <w:rPr>
          <w:rFonts w:ascii="Arial" w:hAnsi="Arial" w:cs="Arial"/>
          <w:b/>
          <w:bCs/>
          <w:lang w:val="en-US"/>
        </w:rPr>
      </w:pPr>
      <w:r w:rsidRPr="009940D3">
        <w:rPr>
          <w:rFonts w:ascii="Arial" w:hAnsi="Arial" w:cs="Arial"/>
          <w:b/>
          <w:bCs/>
          <w:lang w:val="en-US"/>
        </w:rPr>
        <w:t xml:space="preserve">HICP inflation rates in the EU27 and </w:t>
      </w:r>
      <w:r w:rsidR="002157ED">
        <w:rPr>
          <w:rFonts w:ascii="Arial" w:hAnsi="Arial" w:cs="Arial"/>
          <w:b/>
          <w:bCs/>
          <w:lang w:val="en-US"/>
        </w:rPr>
        <w:t>Czechia</w:t>
      </w:r>
      <w:r w:rsidRPr="009940D3">
        <w:rPr>
          <w:rFonts w:ascii="Arial" w:hAnsi="Arial" w:cs="Arial"/>
          <w:b/>
          <w:bCs/>
          <w:lang w:val="en-US"/>
        </w:rPr>
        <w:t xml:space="preserve"> (Source: EUROSTAT)</w:t>
      </w:r>
    </w:p>
    <w:tbl>
      <w:tblPr>
        <w:tblW w:w="9227" w:type="dxa"/>
        <w:tblLayout w:type="fixed"/>
        <w:tblCellMar>
          <w:left w:w="70" w:type="dxa"/>
          <w:right w:w="70" w:type="dxa"/>
        </w:tblCellMar>
        <w:tblLook w:val="04A0" w:firstRow="1" w:lastRow="0" w:firstColumn="1" w:lastColumn="0" w:noHBand="0" w:noVBand="1"/>
      </w:tblPr>
      <w:tblGrid>
        <w:gridCol w:w="869"/>
        <w:gridCol w:w="685"/>
        <w:gridCol w:w="698"/>
        <w:gridCol w:w="697"/>
        <w:gridCol w:w="698"/>
        <w:gridCol w:w="697"/>
        <w:gridCol w:w="698"/>
        <w:gridCol w:w="697"/>
        <w:gridCol w:w="698"/>
        <w:gridCol w:w="697"/>
        <w:gridCol w:w="698"/>
        <w:gridCol w:w="697"/>
        <w:gridCol w:w="698"/>
      </w:tblGrid>
      <w:tr w:rsidR="000768E3" w:rsidRPr="009940D3" w14:paraId="58D8DCAE" w14:textId="77777777" w:rsidTr="0093785B">
        <w:trPr>
          <w:trHeight w:val="20"/>
        </w:trPr>
        <w:tc>
          <w:tcPr>
            <w:tcW w:w="869" w:type="dxa"/>
            <w:shd w:val="clear" w:color="auto" w:fill="002060"/>
            <w:noWrap/>
            <w:vAlign w:val="center"/>
          </w:tcPr>
          <w:p w14:paraId="6844B354" w14:textId="77777777" w:rsidR="000768E3" w:rsidRPr="009940D3" w:rsidRDefault="000768E3" w:rsidP="00454980">
            <w:pPr>
              <w:spacing w:after="0" w:line="240" w:lineRule="auto"/>
              <w:jc w:val="both"/>
              <w:rPr>
                <w:rFonts w:ascii="Arial" w:eastAsia="Times New Roman" w:hAnsi="Arial" w:cs="Arial"/>
                <w:b/>
                <w:bCs/>
                <w:kern w:val="0"/>
                <w:lang w:val="en-US" w:eastAsia="cs-CZ"/>
                <w14:ligatures w14:val="none"/>
              </w:rPr>
            </w:pPr>
          </w:p>
        </w:tc>
        <w:tc>
          <w:tcPr>
            <w:tcW w:w="685" w:type="dxa"/>
            <w:shd w:val="clear" w:color="auto" w:fill="002060"/>
            <w:noWrap/>
            <w:vAlign w:val="center"/>
            <w:hideMark/>
          </w:tcPr>
          <w:p w14:paraId="2EA07FD3" w14:textId="77777777" w:rsidR="00212205" w:rsidRPr="009940D3" w:rsidRDefault="00BC64EA">
            <w:pPr>
              <w:spacing w:after="0" w:line="240" w:lineRule="auto"/>
              <w:jc w:val="both"/>
              <w:rPr>
                <w:rFonts w:ascii="Arial" w:eastAsia="Times New Roman" w:hAnsi="Arial" w:cs="Arial"/>
                <w:b/>
                <w:bCs/>
                <w:kern w:val="0"/>
                <w:lang w:val="en-US" w:eastAsia="cs-CZ"/>
                <w14:ligatures w14:val="none"/>
              </w:rPr>
            </w:pPr>
            <w:r w:rsidRPr="009940D3">
              <w:rPr>
                <w:rFonts w:ascii="Arial" w:eastAsia="Times New Roman" w:hAnsi="Arial" w:cs="Arial"/>
                <w:b/>
                <w:bCs/>
                <w:kern w:val="0"/>
                <w:lang w:val="en-US" w:eastAsia="cs-CZ"/>
                <w14:ligatures w14:val="none"/>
              </w:rPr>
              <w:t>2012</w:t>
            </w:r>
          </w:p>
        </w:tc>
        <w:tc>
          <w:tcPr>
            <w:tcW w:w="698" w:type="dxa"/>
            <w:shd w:val="clear" w:color="auto" w:fill="002060"/>
            <w:noWrap/>
            <w:vAlign w:val="center"/>
            <w:hideMark/>
          </w:tcPr>
          <w:p w14:paraId="5E54811D" w14:textId="77777777" w:rsidR="00212205" w:rsidRPr="009940D3" w:rsidRDefault="00BC64EA">
            <w:pPr>
              <w:spacing w:after="0" w:line="240" w:lineRule="auto"/>
              <w:jc w:val="both"/>
              <w:rPr>
                <w:rFonts w:ascii="Arial" w:eastAsia="Times New Roman" w:hAnsi="Arial" w:cs="Arial"/>
                <w:b/>
                <w:bCs/>
                <w:kern w:val="0"/>
                <w:lang w:val="en-US" w:eastAsia="cs-CZ"/>
                <w14:ligatures w14:val="none"/>
              </w:rPr>
            </w:pPr>
            <w:r w:rsidRPr="009940D3">
              <w:rPr>
                <w:rFonts w:ascii="Arial" w:eastAsia="Times New Roman" w:hAnsi="Arial" w:cs="Arial"/>
                <w:b/>
                <w:bCs/>
                <w:kern w:val="0"/>
                <w:lang w:val="en-US" w:eastAsia="cs-CZ"/>
                <w14:ligatures w14:val="none"/>
              </w:rPr>
              <w:t>2013</w:t>
            </w:r>
          </w:p>
        </w:tc>
        <w:tc>
          <w:tcPr>
            <w:tcW w:w="697" w:type="dxa"/>
            <w:shd w:val="clear" w:color="auto" w:fill="002060"/>
            <w:noWrap/>
            <w:vAlign w:val="center"/>
            <w:hideMark/>
          </w:tcPr>
          <w:p w14:paraId="6AEA2FF7" w14:textId="77777777" w:rsidR="00212205" w:rsidRPr="009940D3" w:rsidRDefault="00BC64EA">
            <w:pPr>
              <w:spacing w:after="0" w:line="240" w:lineRule="auto"/>
              <w:jc w:val="both"/>
              <w:rPr>
                <w:rFonts w:ascii="Arial" w:eastAsia="Times New Roman" w:hAnsi="Arial" w:cs="Arial"/>
                <w:b/>
                <w:bCs/>
                <w:kern w:val="0"/>
                <w:lang w:val="en-US" w:eastAsia="cs-CZ"/>
                <w14:ligatures w14:val="none"/>
              </w:rPr>
            </w:pPr>
            <w:r w:rsidRPr="009940D3">
              <w:rPr>
                <w:rFonts w:ascii="Arial" w:eastAsia="Times New Roman" w:hAnsi="Arial" w:cs="Arial"/>
                <w:b/>
                <w:bCs/>
                <w:kern w:val="0"/>
                <w:lang w:val="en-US" w:eastAsia="cs-CZ"/>
                <w14:ligatures w14:val="none"/>
              </w:rPr>
              <w:t>2014</w:t>
            </w:r>
          </w:p>
        </w:tc>
        <w:tc>
          <w:tcPr>
            <w:tcW w:w="698" w:type="dxa"/>
            <w:shd w:val="clear" w:color="auto" w:fill="002060"/>
            <w:noWrap/>
            <w:vAlign w:val="center"/>
            <w:hideMark/>
          </w:tcPr>
          <w:p w14:paraId="353F0F4B" w14:textId="77777777" w:rsidR="00212205" w:rsidRPr="009940D3" w:rsidRDefault="00BC64EA">
            <w:pPr>
              <w:spacing w:after="0" w:line="240" w:lineRule="auto"/>
              <w:jc w:val="both"/>
              <w:rPr>
                <w:rFonts w:ascii="Arial" w:eastAsia="Times New Roman" w:hAnsi="Arial" w:cs="Arial"/>
                <w:b/>
                <w:bCs/>
                <w:kern w:val="0"/>
                <w:lang w:val="en-US" w:eastAsia="cs-CZ"/>
                <w14:ligatures w14:val="none"/>
              </w:rPr>
            </w:pPr>
            <w:r w:rsidRPr="009940D3">
              <w:rPr>
                <w:rFonts w:ascii="Arial" w:eastAsia="Times New Roman" w:hAnsi="Arial" w:cs="Arial"/>
                <w:b/>
                <w:bCs/>
                <w:kern w:val="0"/>
                <w:lang w:val="en-US" w:eastAsia="cs-CZ"/>
                <w14:ligatures w14:val="none"/>
              </w:rPr>
              <w:t>2015</w:t>
            </w:r>
          </w:p>
        </w:tc>
        <w:tc>
          <w:tcPr>
            <w:tcW w:w="697" w:type="dxa"/>
            <w:shd w:val="clear" w:color="auto" w:fill="002060"/>
            <w:noWrap/>
            <w:vAlign w:val="center"/>
            <w:hideMark/>
          </w:tcPr>
          <w:p w14:paraId="4F3A6DC3" w14:textId="77777777" w:rsidR="00212205" w:rsidRPr="009940D3" w:rsidRDefault="00BC64EA">
            <w:pPr>
              <w:spacing w:after="0" w:line="240" w:lineRule="auto"/>
              <w:jc w:val="both"/>
              <w:rPr>
                <w:rFonts w:ascii="Arial" w:eastAsia="Times New Roman" w:hAnsi="Arial" w:cs="Arial"/>
                <w:b/>
                <w:bCs/>
                <w:kern w:val="0"/>
                <w:lang w:val="en-US" w:eastAsia="cs-CZ"/>
                <w14:ligatures w14:val="none"/>
              </w:rPr>
            </w:pPr>
            <w:r w:rsidRPr="009940D3">
              <w:rPr>
                <w:rFonts w:ascii="Arial" w:eastAsia="Times New Roman" w:hAnsi="Arial" w:cs="Arial"/>
                <w:b/>
                <w:bCs/>
                <w:kern w:val="0"/>
                <w:lang w:val="en-US" w:eastAsia="cs-CZ"/>
                <w14:ligatures w14:val="none"/>
              </w:rPr>
              <w:t>2016</w:t>
            </w:r>
          </w:p>
        </w:tc>
        <w:tc>
          <w:tcPr>
            <w:tcW w:w="698" w:type="dxa"/>
            <w:shd w:val="clear" w:color="auto" w:fill="002060"/>
            <w:noWrap/>
            <w:vAlign w:val="center"/>
            <w:hideMark/>
          </w:tcPr>
          <w:p w14:paraId="0F91B08D" w14:textId="77777777" w:rsidR="00212205" w:rsidRPr="009940D3" w:rsidRDefault="00BC64EA">
            <w:pPr>
              <w:spacing w:after="0" w:line="240" w:lineRule="auto"/>
              <w:jc w:val="both"/>
              <w:rPr>
                <w:rFonts w:ascii="Arial" w:eastAsia="Times New Roman" w:hAnsi="Arial" w:cs="Arial"/>
                <w:b/>
                <w:bCs/>
                <w:kern w:val="0"/>
                <w:lang w:val="en-US" w:eastAsia="cs-CZ"/>
                <w14:ligatures w14:val="none"/>
              </w:rPr>
            </w:pPr>
            <w:r w:rsidRPr="009940D3">
              <w:rPr>
                <w:rFonts w:ascii="Arial" w:eastAsia="Times New Roman" w:hAnsi="Arial" w:cs="Arial"/>
                <w:b/>
                <w:bCs/>
                <w:kern w:val="0"/>
                <w:lang w:val="en-US" w:eastAsia="cs-CZ"/>
                <w14:ligatures w14:val="none"/>
              </w:rPr>
              <w:t>2017</w:t>
            </w:r>
          </w:p>
        </w:tc>
        <w:tc>
          <w:tcPr>
            <w:tcW w:w="697" w:type="dxa"/>
            <w:shd w:val="clear" w:color="auto" w:fill="002060"/>
            <w:noWrap/>
            <w:vAlign w:val="center"/>
            <w:hideMark/>
          </w:tcPr>
          <w:p w14:paraId="632EDB7A" w14:textId="77777777" w:rsidR="00212205" w:rsidRPr="009940D3" w:rsidRDefault="00BC64EA">
            <w:pPr>
              <w:spacing w:after="0" w:line="240" w:lineRule="auto"/>
              <w:jc w:val="both"/>
              <w:rPr>
                <w:rFonts w:ascii="Arial" w:eastAsia="Times New Roman" w:hAnsi="Arial" w:cs="Arial"/>
                <w:b/>
                <w:bCs/>
                <w:kern w:val="0"/>
                <w:lang w:val="en-US" w:eastAsia="cs-CZ"/>
                <w14:ligatures w14:val="none"/>
              </w:rPr>
            </w:pPr>
            <w:r w:rsidRPr="009940D3">
              <w:rPr>
                <w:rFonts w:ascii="Arial" w:eastAsia="Times New Roman" w:hAnsi="Arial" w:cs="Arial"/>
                <w:b/>
                <w:bCs/>
                <w:kern w:val="0"/>
                <w:lang w:val="en-US" w:eastAsia="cs-CZ"/>
                <w14:ligatures w14:val="none"/>
              </w:rPr>
              <w:t>2018</w:t>
            </w:r>
          </w:p>
        </w:tc>
        <w:tc>
          <w:tcPr>
            <w:tcW w:w="698" w:type="dxa"/>
            <w:shd w:val="clear" w:color="auto" w:fill="002060"/>
            <w:noWrap/>
            <w:vAlign w:val="center"/>
            <w:hideMark/>
          </w:tcPr>
          <w:p w14:paraId="17A6B163" w14:textId="77777777" w:rsidR="00212205" w:rsidRPr="009940D3" w:rsidRDefault="00BC64EA">
            <w:pPr>
              <w:spacing w:after="0" w:line="240" w:lineRule="auto"/>
              <w:jc w:val="both"/>
              <w:rPr>
                <w:rFonts w:ascii="Arial" w:eastAsia="Times New Roman" w:hAnsi="Arial" w:cs="Arial"/>
                <w:b/>
                <w:bCs/>
                <w:kern w:val="0"/>
                <w:lang w:val="en-US" w:eastAsia="cs-CZ"/>
                <w14:ligatures w14:val="none"/>
              </w:rPr>
            </w:pPr>
            <w:r w:rsidRPr="009940D3">
              <w:rPr>
                <w:rFonts w:ascii="Arial" w:eastAsia="Times New Roman" w:hAnsi="Arial" w:cs="Arial"/>
                <w:b/>
                <w:bCs/>
                <w:kern w:val="0"/>
                <w:lang w:val="en-US" w:eastAsia="cs-CZ"/>
                <w14:ligatures w14:val="none"/>
              </w:rPr>
              <w:t>2019</w:t>
            </w:r>
          </w:p>
        </w:tc>
        <w:tc>
          <w:tcPr>
            <w:tcW w:w="697" w:type="dxa"/>
            <w:shd w:val="clear" w:color="auto" w:fill="002060"/>
            <w:noWrap/>
            <w:vAlign w:val="center"/>
            <w:hideMark/>
          </w:tcPr>
          <w:p w14:paraId="70EFE32D" w14:textId="77777777" w:rsidR="00212205" w:rsidRPr="009940D3" w:rsidRDefault="00BC64EA">
            <w:pPr>
              <w:spacing w:after="0" w:line="240" w:lineRule="auto"/>
              <w:jc w:val="both"/>
              <w:rPr>
                <w:rFonts w:ascii="Arial" w:eastAsia="Times New Roman" w:hAnsi="Arial" w:cs="Arial"/>
                <w:b/>
                <w:bCs/>
                <w:kern w:val="0"/>
                <w:lang w:val="en-US" w:eastAsia="cs-CZ"/>
                <w14:ligatures w14:val="none"/>
              </w:rPr>
            </w:pPr>
            <w:r w:rsidRPr="009940D3">
              <w:rPr>
                <w:rFonts w:ascii="Arial" w:eastAsia="Times New Roman" w:hAnsi="Arial" w:cs="Arial"/>
                <w:b/>
                <w:bCs/>
                <w:kern w:val="0"/>
                <w:lang w:val="en-US" w:eastAsia="cs-CZ"/>
                <w14:ligatures w14:val="none"/>
              </w:rPr>
              <w:t>2020</w:t>
            </w:r>
          </w:p>
        </w:tc>
        <w:tc>
          <w:tcPr>
            <w:tcW w:w="698" w:type="dxa"/>
            <w:shd w:val="clear" w:color="auto" w:fill="002060"/>
            <w:noWrap/>
            <w:vAlign w:val="center"/>
            <w:hideMark/>
          </w:tcPr>
          <w:p w14:paraId="3DEB28BD" w14:textId="77777777" w:rsidR="00212205" w:rsidRPr="009940D3" w:rsidRDefault="00BC64EA">
            <w:pPr>
              <w:spacing w:after="0" w:line="240" w:lineRule="auto"/>
              <w:jc w:val="both"/>
              <w:rPr>
                <w:rFonts w:ascii="Arial" w:eastAsia="Times New Roman" w:hAnsi="Arial" w:cs="Arial"/>
                <w:b/>
                <w:bCs/>
                <w:kern w:val="0"/>
                <w:lang w:val="en-US" w:eastAsia="cs-CZ"/>
                <w14:ligatures w14:val="none"/>
              </w:rPr>
            </w:pPr>
            <w:r w:rsidRPr="009940D3">
              <w:rPr>
                <w:rFonts w:ascii="Arial" w:eastAsia="Times New Roman" w:hAnsi="Arial" w:cs="Arial"/>
                <w:b/>
                <w:bCs/>
                <w:kern w:val="0"/>
                <w:lang w:val="en-US" w:eastAsia="cs-CZ"/>
                <w14:ligatures w14:val="none"/>
              </w:rPr>
              <w:t>2021</w:t>
            </w:r>
          </w:p>
        </w:tc>
        <w:tc>
          <w:tcPr>
            <w:tcW w:w="697" w:type="dxa"/>
            <w:shd w:val="clear" w:color="auto" w:fill="002060"/>
            <w:noWrap/>
            <w:vAlign w:val="center"/>
            <w:hideMark/>
          </w:tcPr>
          <w:p w14:paraId="0186AA03" w14:textId="77777777" w:rsidR="00212205" w:rsidRPr="009940D3" w:rsidRDefault="00BC64EA">
            <w:pPr>
              <w:spacing w:after="0" w:line="240" w:lineRule="auto"/>
              <w:jc w:val="both"/>
              <w:rPr>
                <w:rFonts w:ascii="Arial" w:eastAsia="Times New Roman" w:hAnsi="Arial" w:cs="Arial"/>
                <w:b/>
                <w:bCs/>
                <w:kern w:val="0"/>
                <w:lang w:val="en-US" w:eastAsia="cs-CZ"/>
                <w14:ligatures w14:val="none"/>
              </w:rPr>
            </w:pPr>
            <w:r w:rsidRPr="009940D3">
              <w:rPr>
                <w:rFonts w:ascii="Arial" w:eastAsia="Times New Roman" w:hAnsi="Arial" w:cs="Arial"/>
                <w:b/>
                <w:bCs/>
                <w:kern w:val="0"/>
                <w:lang w:val="en-US" w:eastAsia="cs-CZ"/>
                <w14:ligatures w14:val="none"/>
              </w:rPr>
              <w:t>2022</w:t>
            </w:r>
          </w:p>
        </w:tc>
        <w:tc>
          <w:tcPr>
            <w:tcW w:w="698" w:type="dxa"/>
            <w:shd w:val="clear" w:color="auto" w:fill="002060"/>
            <w:noWrap/>
            <w:vAlign w:val="center"/>
            <w:hideMark/>
          </w:tcPr>
          <w:p w14:paraId="2634F648" w14:textId="77777777" w:rsidR="00212205" w:rsidRPr="009940D3" w:rsidRDefault="00BC64EA">
            <w:pPr>
              <w:spacing w:after="0" w:line="240" w:lineRule="auto"/>
              <w:jc w:val="both"/>
              <w:rPr>
                <w:rFonts w:ascii="Arial" w:eastAsia="Times New Roman" w:hAnsi="Arial" w:cs="Arial"/>
                <w:b/>
                <w:bCs/>
                <w:kern w:val="0"/>
                <w:lang w:val="en-US" w:eastAsia="cs-CZ"/>
                <w14:ligatures w14:val="none"/>
              </w:rPr>
            </w:pPr>
            <w:r w:rsidRPr="009940D3">
              <w:rPr>
                <w:rFonts w:ascii="Arial" w:eastAsia="Times New Roman" w:hAnsi="Arial" w:cs="Arial"/>
                <w:b/>
                <w:bCs/>
                <w:kern w:val="0"/>
                <w:lang w:val="en-US" w:eastAsia="cs-CZ"/>
                <w14:ligatures w14:val="none"/>
              </w:rPr>
              <w:t>2023</w:t>
            </w:r>
          </w:p>
        </w:tc>
      </w:tr>
      <w:tr w:rsidR="000768E3" w:rsidRPr="009940D3" w14:paraId="0B143D89" w14:textId="77777777" w:rsidTr="0093785B">
        <w:trPr>
          <w:trHeight w:val="20"/>
        </w:trPr>
        <w:tc>
          <w:tcPr>
            <w:tcW w:w="869" w:type="dxa"/>
            <w:tcBorders>
              <w:bottom w:val="single" w:sz="12" w:space="0" w:color="auto"/>
            </w:tcBorders>
            <w:shd w:val="clear" w:color="auto" w:fill="auto"/>
            <w:noWrap/>
            <w:vAlign w:val="center"/>
            <w:hideMark/>
          </w:tcPr>
          <w:p w14:paraId="1296F138" w14:textId="77777777" w:rsidR="00212205" w:rsidRPr="009940D3" w:rsidRDefault="00BC64EA">
            <w:pPr>
              <w:spacing w:after="0" w:line="240" w:lineRule="auto"/>
              <w:jc w:val="both"/>
              <w:rPr>
                <w:rFonts w:ascii="Arial" w:eastAsia="Times New Roman" w:hAnsi="Arial" w:cs="Arial"/>
                <w:b/>
                <w:bCs/>
                <w:kern w:val="0"/>
                <w:lang w:val="en-US" w:eastAsia="cs-CZ"/>
                <w14:ligatures w14:val="none"/>
              </w:rPr>
            </w:pPr>
            <w:r w:rsidRPr="009940D3">
              <w:rPr>
                <w:rFonts w:ascii="Arial" w:eastAsia="Times New Roman" w:hAnsi="Arial" w:cs="Arial"/>
                <w:b/>
                <w:bCs/>
                <w:kern w:val="0"/>
                <w:lang w:val="en-US" w:eastAsia="cs-CZ"/>
                <w14:ligatures w14:val="none"/>
              </w:rPr>
              <w:t>EU 27</w:t>
            </w:r>
          </w:p>
        </w:tc>
        <w:tc>
          <w:tcPr>
            <w:tcW w:w="685" w:type="dxa"/>
            <w:tcBorders>
              <w:bottom w:val="single" w:sz="12" w:space="0" w:color="auto"/>
            </w:tcBorders>
            <w:shd w:val="clear" w:color="auto" w:fill="auto"/>
            <w:noWrap/>
            <w:vAlign w:val="center"/>
            <w:hideMark/>
          </w:tcPr>
          <w:p w14:paraId="43B09FA6"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2,6</w:t>
            </w:r>
          </w:p>
        </w:tc>
        <w:tc>
          <w:tcPr>
            <w:tcW w:w="698" w:type="dxa"/>
            <w:tcBorders>
              <w:bottom w:val="single" w:sz="12" w:space="0" w:color="auto"/>
            </w:tcBorders>
            <w:shd w:val="clear" w:color="auto" w:fill="auto"/>
            <w:noWrap/>
            <w:vAlign w:val="center"/>
            <w:hideMark/>
          </w:tcPr>
          <w:p w14:paraId="69E986E2"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1,3</w:t>
            </w:r>
          </w:p>
        </w:tc>
        <w:tc>
          <w:tcPr>
            <w:tcW w:w="697" w:type="dxa"/>
            <w:tcBorders>
              <w:bottom w:val="single" w:sz="12" w:space="0" w:color="auto"/>
            </w:tcBorders>
            <w:shd w:val="clear" w:color="auto" w:fill="auto"/>
            <w:noWrap/>
            <w:vAlign w:val="center"/>
            <w:hideMark/>
          </w:tcPr>
          <w:p w14:paraId="3EE8754D"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0,4</w:t>
            </w:r>
          </w:p>
        </w:tc>
        <w:tc>
          <w:tcPr>
            <w:tcW w:w="698" w:type="dxa"/>
            <w:tcBorders>
              <w:bottom w:val="single" w:sz="12" w:space="0" w:color="auto"/>
            </w:tcBorders>
            <w:shd w:val="clear" w:color="auto" w:fill="auto"/>
            <w:noWrap/>
            <w:vAlign w:val="center"/>
            <w:hideMark/>
          </w:tcPr>
          <w:p w14:paraId="76E8E5B5"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0,1</w:t>
            </w:r>
          </w:p>
        </w:tc>
        <w:tc>
          <w:tcPr>
            <w:tcW w:w="697" w:type="dxa"/>
            <w:tcBorders>
              <w:bottom w:val="single" w:sz="12" w:space="0" w:color="auto"/>
            </w:tcBorders>
            <w:shd w:val="clear" w:color="auto" w:fill="auto"/>
            <w:noWrap/>
            <w:vAlign w:val="center"/>
            <w:hideMark/>
          </w:tcPr>
          <w:p w14:paraId="5FC14FAE"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0,2</w:t>
            </w:r>
          </w:p>
        </w:tc>
        <w:tc>
          <w:tcPr>
            <w:tcW w:w="698" w:type="dxa"/>
            <w:tcBorders>
              <w:bottom w:val="single" w:sz="12" w:space="0" w:color="auto"/>
            </w:tcBorders>
            <w:shd w:val="clear" w:color="auto" w:fill="auto"/>
            <w:noWrap/>
            <w:vAlign w:val="center"/>
            <w:hideMark/>
          </w:tcPr>
          <w:p w14:paraId="161ABB07"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1,6</w:t>
            </w:r>
          </w:p>
        </w:tc>
        <w:tc>
          <w:tcPr>
            <w:tcW w:w="697" w:type="dxa"/>
            <w:tcBorders>
              <w:bottom w:val="single" w:sz="12" w:space="0" w:color="auto"/>
            </w:tcBorders>
            <w:shd w:val="clear" w:color="auto" w:fill="auto"/>
            <w:noWrap/>
            <w:vAlign w:val="center"/>
            <w:hideMark/>
          </w:tcPr>
          <w:p w14:paraId="1A85B5D7"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1,8</w:t>
            </w:r>
          </w:p>
        </w:tc>
        <w:tc>
          <w:tcPr>
            <w:tcW w:w="698" w:type="dxa"/>
            <w:tcBorders>
              <w:bottom w:val="single" w:sz="12" w:space="0" w:color="auto"/>
            </w:tcBorders>
            <w:shd w:val="clear" w:color="auto" w:fill="auto"/>
            <w:noWrap/>
            <w:vAlign w:val="center"/>
            <w:hideMark/>
          </w:tcPr>
          <w:p w14:paraId="169DB8B9"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1,4</w:t>
            </w:r>
          </w:p>
        </w:tc>
        <w:tc>
          <w:tcPr>
            <w:tcW w:w="697" w:type="dxa"/>
            <w:tcBorders>
              <w:bottom w:val="single" w:sz="12" w:space="0" w:color="auto"/>
            </w:tcBorders>
            <w:shd w:val="clear" w:color="auto" w:fill="auto"/>
            <w:noWrap/>
            <w:vAlign w:val="center"/>
            <w:hideMark/>
          </w:tcPr>
          <w:p w14:paraId="3BC44CDA"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0,7</w:t>
            </w:r>
          </w:p>
        </w:tc>
        <w:tc>
          <w:tcPr>
            <w:tcW w:w="698" w:type="dxa"/>
            <w:tcBorders>
              <w:bottom w:val="single" w:sz="12" w:space="0" w:color="auto"/>
            </w:tcBorders>
            <w:shd w:val="clear" w:color="auto" w:fill="auto"/>
            <w:noWrap/>
            <w:vAlign w:val="center"/>
            <w:hideMark/>
          </w:tcPr>
          <w:p w14:paraId="74C51126"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2,9</w:t>
            </w:r>
          </w:p>
        </w:tc>
        <w:tc>
          <w:tcPr>
            <w:tcW w:w="697" w:type="dxa"/>
            <w:tcBorders>
              <w:bottom w:val="single" w:sz="12" w:space="0" w:color="auto"/>
            </w:tcBorders>
            <w:shd w:val="clear" w:color="auto" w:fill="auto"/>
            <w:noWrap/>
            <w:vAlign w:val="center"/>
            <w:hideMark/>
          </w:tcPr>
          <w:p w14:paraId="472FC35C"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9,2</w:t>
            </w:r>
          </w:p>
        </w:tc>
        <w:tc>
          <w:tcPr>
            <w:tcW w:w="698" w:type="dxa"/>
            <w:tcBorders>
              <w:bottom w:val="single" w:sz="12" w:space="0" w:color="auto"/>
            </w:tcBorders>
            <w:shd w:val="clear" w:color="auto" w:fill="auto"/>
            <w:noWrap/>
            <w:vAlign w:val="center"/>
            <w:hideMark/>
          </w:tcPr>
          <w:p w14:paraId="0E667146"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6,4</w:t>
            </w:r>
          </w:p>
        </w:tc>
      </w:tr>
      <w:tr w:rsidR="000768E3" w:rsidRPr="009940D3" w14:paraId="0FDE8401" w14:textId="77777777" w:rsidTr="0093785B">
        <w:trPr>
          <w:trHeight w:val="20"/>
        </w:trPr>
        <w:tc>
          <w:tcPr>
            <w:tcW w:w="869" w:type="dxa"/>
            <w:tcBorders>
              <w:top w:val="single" w:sz="12" w:space="0" w:color="auto"/>
              <w:bottom w:val="single" w:sz="12" w:space="0" w:color="auto"/>
            </w:tcBorders>
            <w:shd w:val="clear" w:color="auto" w:fill="auto"/>
            <w:noWrap/>
            <w:vAlign w:val="center"/>
            <w:hideMark/>
          </w:tcPr>
          <w:p w14:paraId="22895F9A" w14:textId="6C8DB3AA" w:rsidR="00212205" w:rsidRPr="009940D3" w:rsidRDefault="00BC64EA">
            <w:pPr>
              <w:spacing w:after="0" w:line="240" w:lineRule="auto"/>
              <w:jc w:val="both"/>
              <w:rPr>
                <w:rFonts w:ascii="Arial" w:eastAsia="Times New Roman" w:hAnsi="Arial" w:cs="Arial"/>
                <w:b/>
                <w:bCs/>
                <w:kern w:val="0"/>
                <w:lang w:val="en-US" w:eastAsia="cs-CZ"/>
                <w14:ligatures w14:val="none"/>
              </w:rPr>
            </w:pPr>
            <w:r w:rsidRPr="009940D3">
              <w:rPr>
                <w:rFonts w:ascii="Arial" w:eastAsia="Times New Roman" w:hAnsi="Arial" w:cs="Arial"/>
                <w:b/>
                <w:bCs/>
                <w:kern w:val="0"/>
                <w:lang w:val="en-US" w:eastAsia="cs-CZ"/>
                <w14:ligatures w14:val="none"/>
              </w:rPr>
              <w:t>CZ</w:t>
            </w:r>
          </w:p>
        </w:tc>
        <w:tc>
          <w:tcPr>
            <w:tcW w:w="685" w:type="dxa"/>
            <w:tcBorders>
              <w:top w:val="single" w:sz="12" w:space="0" w:color="auto"/>
              <w:bottom w:val="single" w:sz="12" w:space="0" w:color="auto"/>
            </w:tcBorders>
            <w:shd w:val="clear" w:color="auto" w:fill="auto"/>
            <w:noWrap/>
            <w:vAlign w:val="center"/>
            <w:hideMark/>
          </w:tcPr>
          <w:p w14:paraId="0B255E95"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3,5</w:t>
            </w:r>
          </w:p>
        </w:tc>
        <w:tc>
          <w:tcPr>
            <w:tcW w:w="698" w:type="dxa"/>
            <w:tcBorders>
              <w:top w:val="single" w:sz="12" w:space="0" w:color="auto"/>
              <w:bottom w:val="single" w:sz="12" w:space="0" w:color="auto"/>
            </w:tcBorders>
            <w:shd w:val="clear" w:color="auto" w:fill="auto"/>
            <w:noWrap/>
            <w:vAlign w:val="center"/>
            <w:hideMark/>
          </w:tcPr>
          <w:p w14:paraId="33AA201E"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1,4</w:t>
            </w:r>
          </w:p>
        </w:tc>
        <w:tc>
          <w:tcPr>
            <w:tcW w:w="697" w:type="dxa"/>
            <w:tcBorders>
              <w:top w:val="single" w:sz="12" w:space="0" w:color="auto"/>
              <w:bottom w:val="single" w:sz="12" w:space="0" w:color="auto"/>
            </w:tcBorders>
            <w:shd w:val="clear" w:color="auto" w:fill="auto"/>
            <w:noWrap/>
            <w:vAlign w:val="center"/>
            <w:hideMark/>
          </w:tcPr>
          <w:p w14:paraId="209EFC43"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0,4</w:t>
            </w:r>
          </w:p>
        </w:tc>
        <w:tc>
          <w:tcPr>
            <w:tcW w:w="698" w:type="dxa"/>
            <w:tcBorders>
              <w:top w:val="single" w:sz="12" w:space="0" w:color="auto"/>
              <w:bottom w:val="single" w:sz="12" w:space="0" w:color="auto"/>
            </w:tcBorders>
            <w:shd w:val="clear" w:color="auto" w:fill="auto"/>
            <w:noWrap/>
            <w:vAlign w:val="center"/>
            <w:hideMark/>
          </w:tcPr>
          <w:p w14:paraId="0E405642"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0,3</w:t>
            </w:r>
          </w:p>
        </w:tc>
        <w:tc>
          <w:tcPr>
            <w:tcW w:w="697" w:type="dxa"/>
            <w:tcBorders>
              <w:top w:val="single" w:sz="12" w:space="0" w:color="auto"/>
              <w:bottom w:val="single" w:sz="12" w:space="0" w:color="auto"/>
            </w:tcBorders>
            <w:shd w:val="clear" w:color="auto" w:fill="auto"/>
            <w:noWrap/>
            <w:vAlign w:val="center"/>
            <w:hideMark/>
          </w:tcPr>
          <w:p w14:paraId="5539D321"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0,6</w:t>
            </w:r>
          </w:p>
        </w:tc>
        <w:tc>
          <w:tcPr>
            <w:tcW w:w="698" w:type="dxa"/>
            <w:tcBorders>
              <w:top w:val="single" w:sz="12" w:space="0" w:color="auto"/>
              <w:bottom w:val="single" w:sz="12" w:space="0" w:color="auto"/>
            </w:tcBorders>
            <w:shd w:val="clear" w:color="auto" w:fill="auto"/>
            <w:noWrap/>
            <w:vAlign w:val="center"/>
            <w:hideMark/>
          </w:tcPr>
          <w:p w14:paraId="266578D3"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2,4</w:t>
            </w:r>
          </w:p>
        </w:tc>
        <w:tc>
          <w:tcPr>
            <w:tcW w:w="697" w:type="dxa"/>
            <w:tcBorders>
              <w:top w:val="single" w:sz="12" w:space="0" w:color="auto"/>
              <w:bottom w:val="single" w:sz="12" w:space="0" w:color="auto"/>
            </w:tcBorders>
            <w:shd w:val="clear" w:color="auto" w:fill="auto"/>
            <w:noWrap/>
            <w:vAlign w:val="center"/>
            <w:hideMark/>
          </w:tcPr>
          <w:p w14:paraId="1DD8F658"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2,0</w:t>
            </w:r>
          </w:p>
        </w:tc>
        <w:tc>
          <w:tcPr>
            <w:tcW w:w="698" w:type="dxa"/>
            <w:tcBorders>
              <w:top w:val="single" w:sz="12" w:space="0" w:color="auto"/>
              <w:bottom w:val="single" w:sz="12" w:space="0" w:color="auto"/>
            </w:tcBorders>
            <w:shd w:val="clear" w:color="auto" w:fill="auto"/>
            <w:noWrap/>
            <w:vAlign w:val="center"/>
            <w:hideMark/>
          </w:tcPr>
          <w:p w14:paraId="276F5095"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2,6</w:t>
            </w:r>
          </w:p>
        </w:tc>
        <w:tc>
          <w:tcPr>
            <w:tcW w:w="697" w:type="dxa"/>
            <w:tcBorders>
              <w:top w:val="single" w:sz="12" w:space="0" w:color="auto"/>
              <w:bottom w:val="single" w:sz="12" w:space="0" w:color="auto"/>
            </w:tcBorders>
            <w:shd w:val="clear" w:color="auto" w:fill="auto"/>
            <w:noWrap/>
            <w:vAlign w:val="center"/>
            <w:hideMark/>
          </w:tcPr>
          <w:p w14:paraId="747329F6"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3,3</w:t>
            </w:r>
          </w:p>
        </w:tc>
        <w:tc>
          <w:tcPr>
            <w:tcW w:w="698" w:type="dxa"/>
            <w:tcBorders>
              <w:top w:val="single" w:sz="12" w:space="0" w:color="auto"/>
              <w:bottom w:val="single" w:sz="12" w:space="0" w:color="auto"/>
            </w:tcBorders>
            <w:shd w:val="clear" w:color="auto" w:fill="auto"/>
            <w:noWrap/>
            <w:vAlign w:val="center"/>
            <w:hideMark/>
          </w:tcPr>
          <w:p w14:paraId="011DA74D"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3,3</w:t>
            </w:r>
          </w:p>
        </w:tc>
        <w:tc>
          <w:tcPr>
            <w:tcW w:w="697" w:type="dxa"/>
            <w:tcBorders>
              <w:top w:val="single" w:sz="12" w:space="0" w:color="auto"/>
              <w:bottom w:val="single" w:sz="12" w:space="0" w:color="auto"/>
            </w:tcBorders>
            <w:shd w:val="clear" w:color="auto" w:fill="auto"/>
            <w:noWrap/>
            <w:vAlign w:val="center"/>
            <w:hideMark/>
          </w:tcPr>
          <w:p w14:paraId="69A7DBDC"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14,8</w:t>
            </w:r>
          </w:p>
        </w:tc>
        <w:tc>
          <w:tcPr>
            <w:tcW w:w="698" w:type="dxa"/>
            <w:tcBorders>
              <w:top w:val="single" w:sz="12" w:space="0" w:color="auto"/>
              <w:bottom w:val="single" w:sz="12" w:space="0" w:color="auto"/>
            </w:tcBorders>
            <w:shd w:val="clear" w:color="auto" w:fill="auto"/>
            <w:noWrap/>
            <w:vAlign w:val="center"/>
            <w:hideMark/>
          </w:tcPr>
          <w:p w14:paraId="67AA6B2D" w14:textId="77777777" w:rsidR="00212205" w:rsidRPr="009940D3" w:rsidRDefault="00BC64EA">
            <w:pPr>
              <w:spacing w:after="0" w:line="240" w:lineRule="auto"/>
              <w:jc w:val="both"/>
              <w:rPr>
                <w:rFonts w:ascii="Arial" w:eastAsia="Times New Roman" w:hAnsi="Arial" w:cs="Arial"/>
                <w:kern w:val="0"/>
                <w:lang w:val="en-US" w:eastAsia="cs-CZ"/>
                <w14:ligatures w14:val="none"/>
              </w:rPr>
            </w:pPr>
            <w:r w:rsidRPr="009940D3">
              <w:rPr>
                <w:rFonts w:ascii="Arial" w:eastAsia="Times New Roman" w:hAnsi="Arial" w:cs="Arial"/>
                <w:kern w:val="0"/>
                <w:lang w:val="en-US" w:eastAsia="cs-CZ"/>
                <w14:ligatures w14:val="none"/>
              </w:rPr>
              <w:t>12,0</w:t>
            </w:r>
          </w:p>
        </w:tc>
      </w:tr>
    </w:tbl>
    <w:p w14:paraId="667AC7FE" w14:textId="77777777" w:rsidR="000768E3" w:rsidRPr="009940D3" w:rsidRDefault="000768E3" w:rsidP="000768E3">
      <w:pPr>
        <w:spacing w:after="0" w:line="240" w:lineRule="auto"/>
        <w:jc w:val="both"/>
        <w:rPr>
          <w:rFonts w:ascii="Arial" w:hAnsi="Arial" w:cs="Arial"/>
          <w:lang w:val="en-US"/>
        </w:rPr>
      </w:pPr>
    </w:p>
    <w:p w14:paraId="0F574CDE" w14:textId="6D37941D" w:rsidR="00212205" w:rsidRPr="009940D3" w:rsidRDefault="00BC64EA">
      <w:pPr>
        <w:spacing w:after="0" w:line="240" w:lineRule="auto"/>
        <w:jc w:val="both"/>
        <w:rPr>
          <w:rFonts w:ascii="Arial" w:hAnsi="Arial" w:cs="Arial"/>
          <w:b/>
          <w:bCs/>
          <w:lang w:val="en-US"/>
        </w:rPr>
      </w:pPr>
      <w:r w:rsidRPr="009940D3">
        <w:rPr>
          <w:rFonts w:ascii="Arial" w:hAnsi="Arial" w:cs="Arial"/>
          <w:b/>
          <w:bCs/>
          <w:lang w:val="en-US"/>
        </w:rPr>
        <w:t xml:space="preserve">Inflation rate in </w:t>
      </w:r>
      <w:r w:rsidR="002157ED">
        <w:rPr>
          <w:rFonts w:ascii="Arial" w:hAnsi="Arial" w:cs="Arial"/>
          <w:b/>
          <w:bCs/>
          <w:lang w:val="en-US"/>
        </w:rPr>
        <w:t>Czechia</w:t>
      </w:r>
      <w:r w:rsidRPr="009940D3">
        <w:rPr>
          <w:rFonts w:ascii="Arial" w:hAnsi="Arial" w:cs="Arial"/>
          <w:b/>
          <w:bCs/>
          <w:lang w:val="en-US"/>
        </w:rPr>
        <w:t xml:space="preserve"> according to the CSO</w:t>
      </w:r>
    </w:p>
    <w:tbl>
      <w:tblPr>
        <w:tblpPr w:leftFromText="141" w:rightFromText="141" w:vertAnchor="text" w:tblpY="1"/>
        <w:tblOverlap w:val="never"/>
        <w:tblW w:w="4085" w:type="dxa"/>
        <w:tblCellMar>
          <w:left w:w="0" w:type="dxa"/>
          <w:right w:w="0" w:type="dxa"/>
        </w:tblCellMar>
        <w:tblLook w:val="04A0" w:firstRow="1" w:lastRow="0" w:firstColumn="1" w:lastColumn="0" w:noHBand="0" w:noVBand="1"/>
      </w:tblPr>
      <w:tblGrid>
        <w:gridCol w:w="506"/>
        <w:gridCol w:w="729"/>
        <w:gridCol w:w="729"/>
        <w:gridCol w:w="729"/>
        <w:gridCol w:w="729"/>
        <w:gridCol w:w="729"/>
      </w:tblGrid>
      <w:tr w:rsidR="00C55395" w:rsidRPr="009940D3" w14:paraId="581C02BB" w14:textId="77777777" w:rsidTr="00C55395">
        <w:tc>
          <w:tcPr>
            <w:tcW w:w="440" w:type="dxa"/>
            <w:shd w:val="clear" w:color="auto" w:fill="002060"/>
            <w:tcMar>
              <w:top w:w="0" w:type="dxa"/>
              <w:left w:w="108" w:type="dxa"/>
              <w:bottom w:w="0" w:type="dxa"/>
              <w:right w:w="108" w:type="dxa"/>
            </w:tcMar>
            <w:hideMark/>
          </w:tcPr>
          <w:p w14:paraId="232CA236" w14:textId="77777777" w:rsidR="000768E3" w:rsidRPr="009940D3" w:rsidRDefault="000768E3" w:rsidP="00C55395">
            <w:pPr>
              <w:pStyle w:val="-wm-msonormal"/>
              <w:spacing w:before="0" w:beforeAutospacing="0" w:after="0" w:afterAutospacing="0"/>
              <w:jc w:val="both"/>
              <w:rPr>
                <w:b/>
                <w:bCs/>
                <w:color w:val="FFFFFF" w:themeColor="background1"/>
                <w:lang w:val="en-US"/>
              </w:rPr>
            </w:pPr>
            <w:r w:rsidRPr="009940D3">
              <w:rPr>
                <w:b/>
                <w:bCs/>
                <w:color w:val="FFFFFF" w:themeColor="background1"/>
                <w:lang w:val="en-US"/>
                <w14:ligatures w14:val="standardContextual"/>
              </w:rPr>
              <w:t> </w:t>
            </w:r>
          </w:p>
        </w:tc>
        <w:tc>
          <w:tcPr>
            <w:tcW w:w="729" w:type="dxa"/>
            <w:shd w:val="clear" w:color="auto" w:fill="002060"/>
            <w:tcMar>
              <w:top w:w="0" w:type="dxa"/>
              <w:left w:w="108" w:type="dxa"/>
              <w:bottom w:w="0" w:type="dxa"/>
              <w:right w:w="108" w:type="dxa"/>
            </w:tcMar>
            <w:hideMark/>
          </w:tcPr>
          <w:p w14:paraId="0257C8FD" w14:textId="77777777" w:rsidR="00212205" w:rsidRPr="009940D3" w:rsidRDefault="00BC64EA">
            <w:pPr>
              <w:pStyle w:val="-wm-msonormal"/>
              <w:spacing w:before="0" w:beforeAutospacing="0" w:after="0" w:afterAutospacing="0"/>
              <w:jc w:val="both"/>
              <w:rPr>
                <w:b/>
                <w:bCs/>
                <w:color w:val="FFFFFF" w:themeColor="background1"/>
                <w:lang w:val="en-US"/>
              </w:rPr>
            </w:pPr>
            <w:r w:rsidRPr="009940D3">
              <w:rPr>
                <w:b/>
                <w:bCs/>
                <w:color w:val="FFFFFF" w:themeColor="background1"/>
                <w:lang w:val="en-US"/>
                <w14:ligatures w14:val="standardContextual"/>
              </w:rPr>
              <w:t>2019</w:t>
            </w:r>
          </w:p>
        </w:tc>
        <w:tc>
          <w:tcPr>
            <w:tcW w:w="729" w:type="dxa"/>
            <w:shd w:val="clear" w:color="auto" w:fill="002060"/>
            <w:tcMar>
              <w:top w:w="0" w:type="dxa"/>
              <w:left w:w="108" w:type="dxa"/>
              <w:bottom w:w="0" w:type="dxa"/>
              <w:right w:w="108" w:type="dxa"/>
            </w:tcMar>
            <w:hideMark/>
          </w:tcPr>
          <w:p w14:paraId="7CC63D71" w14:textId="77777777" w:rsidR="00212205" w:rsidRPr="009940D3" w:rsidRDefault="00BC64EA">
            <w:pPr>
              <w:pStyle w:val="-wm-msonormal"/>
              <w:spacing w:before="0" w:beforeAutospacing="0" w:after="0" w:afterAutospacing="0"/>
              <w:jc w:val="both"/>
              <w:rPr>
                <w:b/>
                <w:bCs/>
                <w:color w:val="FFFFFF" w:themeColor="background1"/>
                <w:lang w:val="en-US"/>
              </w:rPr>
            </w:pPr>
            <w:r w:rsidRPr="009940D3">
              <w:rPr>
                <w:b/>
                <w:bCs/>
                <w:color w:val="FFFFFF" w:themeColor="background1"/>
                <w:lang w:val="en-US"/>
                <w14:ligatures w14:val="standardContextual"/>
              </w:rPr>
              <w:t>2020</w:t>
            </w:r>
          </w:p>
        </w:tc>
        <w:tc>
          <w:tcPr>
            <w:tcW w:w="729" w:type="dxa"/>
            <w:shd w:val="clear" w:color="auto" w:fill="002060"/>
            <w:tcMar>
              <w:top w:w="0" w:type="dxa"/>
              <w:left w:w="108" w:type="dxa"/>
              <w:bottom w:w="0" w:type="dxa"/>
              <w:right w:w="108" w:type="dxa"/>
            </w:tcMar>
            <w:hideMark/>
          </w:tcPr>
          <w:p w14:paraId="5C300659" w14:textId="77777777" w:rsidR="00212205" w:rsidRPr="009940D3" w:rsidRDefault="00BC64EA">
            <w:pPr>
              <w:pStyle w:val="-wm-msonormal"/>
              <w:spacing w:before="0" w:beforeAutospacing="0" w:after="0" w:afterAutospacing="0"/>
              <w:jc w:val="both"/>
              <w:rPr>
                <w:b/>
                <w:bCs/>
                <w:color w:val="FFFFFF" w:themeColor="background1"/>
                <w:lang w:val="en-US"/>
              </w:rPr>
            </w:pPr>
            <w:r w:rsidRPr="009940D3">
              <w:rPr>
                <w:b/>
                <w:bCs/>
                <w:color w:val="FFFFFF" w:themeColor="background1"/>
                <w:lang w:val="en-US"/>
                <w14:ligatures w14:val="standardContextual"/>
              </w:rPr>
              <w:t>2021</w:t>
            </w:r>
          </w:p>
        </w:tc>
        <w:tc>
          <w:tcPr>
            <w:tcW w:w="729" w:type="dxa"/>
            <w:shd w:val="clear" w:color="auto" w:fill="002060"/>
            <w:tcMar>
              <w:top w:w="0" w:type="dxa"/>
              <w:left w:w="108" w:type="dxa"/>
              <w:bottom w:w="0" w:type="dxa"/>
              <w:right w:w="108" w:type="dxa"/>
            </w:tcMar>
            <w:hideMark/>
          </w:tcPr>
          <w:p w14:paraId="39705D46" w14:textId="77777777" w:rsidR="00212205" w:rsidRPr="009940D3" w:rsidRDefault="00BC64EA">
            <w:pPr>
              <w:pStyle w:val="-wm-msonormal"/>
              <w:spacing w:before="0" w:beforeAutospacing="0" w:after="0" w:afterAutospacing="0"/>
              <w:jc w:val="both"/>
              <w:rPr>
                <w:b/>
                <w:bCs/>
                <w:color w:val="FFFFFF" w:themeColor="background1"/>
                <w:lang w:val="en-US"/>
              </w:rPr>
            </w:pPr>
            <w:r w:rsidRPr="009940D3">
              <w:rPr>
                <w:b/>
                <w:bCs/>
                <w:color w:val="FFFFFF" w:themeColor="background1"/>
                <w:lang w:val="en-US"/>
                <w14:ligatures w14:val="standardContextual"/>
              </w:rPr>
              <w:t>2022</w:t>
            </w:r>
          </w:p>
        </w:tc>
        <w:tc>
          <w:tcPr>
            <w:tcW w:w="729" w:type="dxa"/>
            <w:shd w:val="clear" w:color="auto" w:fill="002060"/>
            <w:tcMar>
              <w:top w:w="0" w:type="dxa"/>
              <w:left w:w="108" w:type="dxa"/>
              <w:bottom w:w="0" w:type="dxa"/>
              <w:right w:w="108" w:type="dxa"/>
            </w:tcMar>
            <w:hideMark/>
          </w:tcPr>
          <w:p w14:paraId="26B71136" w14:textId="77777777" w:rsidR="00212205" w:rsidRPr="009940D3" w:rsidRDefault="00BC64EA">
            <w:pPr>
              <w:pStyle w:val="-wm-msonormal"/>
              <w:spacing w:before="0" w:beforeAutospacing="0" w:after="0" w:afterAutospacing="0"/>
              <w:jc w:val="both"/>
              <w:rPr>
                <w:b/>
                <w:bCs/>
                <w:color w:val="FFFFFF" w:themeColor="background1"/>
                <w:lang w:val="en-US"/>
              </w:rPr>
            </w:pPr>
            <w:r w:rsidRPr="009940D3">
              <w:rPr>
                <w:b/>
                <w:bCs/>
                <w:color w:val="FFFFFF" w:themeColor="background1"/>
                <w:lang w:val="en-US"/>
                <w14:ligatures w14:val="standardContextual"/>
              </w:rPr>
              <w:t>2023</w:t>
            </w:r>
          </w:p>
        </w:tc>
      </w:tr>
      <w:tr w:rsidR="000768E3" w:rsidRPr="009940D3" w14:paraId="3C7CDA75" w14:textId="77777777" w:rsidTr="00C55395">
        <w:tc>
          <w:tcPr>
            <w:tcW w:w="440" w:type="dxa"/>
            <w:tcBorders>
              <w:bottom w:val="single" w:sz="12" w:space="0" w:color="auto"/>
            </w:tcBorders>
            <w:tcMar>
              <w:top w:w="0" w:type="dxa"/>
              <w:left w:w="108" w:type="dxa"/>
              <w:bottom w:w="0" w:type="dxa"/>
              <w:right w:w="108" w:type="dxa"/>
            </w:tcMar>
            <w:hideMark/>
          </w:tcPr>
          <w:p w14:paraId="45A1B007" w14:textId="2F7CD341" w:rsidR="00212205" w:rsidRPr="009940D3" w:rsidRDefault="00BC64EA">
            <w:pPr>
              <w:pStyle w:val="-wm-msonormal"/>
              <w:spacing w:before="0" w:beforeAutospacing="0" w:after="0" w:afterAutospacing="0"/>
              <w:jc w:val="both"/>
              <w:rPr>
                <w:lang w:val="en-US"/>
              </w:rPr>
            </w:pPr>
            <w:r w:rsidRPr="009940D3">
              <w:rPr>
                <w:lang w:val="en-US"/>
                <w14:ligatures w14:val="standardContextual"/>
              </w:rPr>
              <w:t>CZ</w:t>
            </w:r>
          </w:p>
        </w:tc>
        <w:tc>
          <w:tcPr>
            <w:tcW w:w="729" w:type="dxa"/>
            <w:tcBorders>
              <w:bottom w:val="single" w:sz="12" w:space="0" w:color="auto"/>
            </w:tcBorders>
            <w:tcMar>
              <w:top w:w="0" w:type="dxa"/>
              <w:left w:w="108" w:type="dxa"/>
              <w:bottom w:w="0" w:type="dxa"/>
              <w:right w:w="108" w:type="dxa"/>
            </w:tcMar>
            <w:hideMark/>
          </w:tcPr>
          <w:p w14:paraId="66EACC31" w14:textId="77777777" w:rsidR="00212205" w:rsidRPr="009940D3" w:rsidRDefault="00BC64EA">
            <w:pPr>
              <w:pStyle w:val="-wm-msonormal"/>
              <w:spacing w:before="0" w:beforeAutospacing="0" w:after="0" w:afterAutospacing="0"/>
              <w:jc w:val="both"/>
              <w:rPr>
                <w:lang w:val="en-US"/>
              </w:rPr>
            </w:pPr>
            <w:r w:rsidRPr="009940D3">
              <w:rPr>
                <w:lang w:val="en-US"/>
                <w14:ligatures w14:val="standardContextual"/>
              </w:rPr>
              <w:t>2,8</w:t>
            </w:r>
          </w:p>
        </w:tc>
        <w:tc>
          <w:tcPr>
            <w:tcW w:w="729" w:type="dxa"/>
            <w:tcBorders>
              <w:bottom w:val="single" w:sz="12" w:space="0" w:color="auto"/>
            </w:tcBorders>
            <w:tcMar>
              <w:top w:w="0" w:type="dxa"/>
              <w:left w:w="108" w:type="dxa"/>
              <w:bottom w:w="0" w:type="dxa"/>
              <w:right w:w="108" w:type="dxa"/>
            </w:tcMar>
            <w:hideMark/>
          </w:tcPr>
          <w:p w14:paraId="58A850DC" w14:textId="77777777" w:rsidR="00212205" w:rsidRPr="009940D3" w:rsidRDefault="00BC64EA">
            <w:pPr>
              <w:pStyle w:val="-wm-msonormal"/>
              <w:spacing w:before="0" w:beforeAutospacing="0" w:after="0" w:afterAutospacing="0"/>
              <w:jc w:val="both"/>
              <w:rPr>
                <w:lang w:val="en-US"/>
              </w:rPr>
            </w:pPr>
            <w:r w:rsidRPr="009940D3">
              <w:rPr>
                <w:lang w:val="en-US"/>
                <w14:ligatures w14:val="standardContextual"/>
              </w:rPr>
              <w:t>3,2</w:t>
            </w:r>
          </w:p>
        </w:tc>
        <w:tc>
          <w:tcPr>
            <w:tcW w:w="729" w:type="dxa"/>
            <w:tcBorders>
              <w:bottom w:val="single" w:sz="12" w:space="0" w:color="auto"/>
            </w:tcBorders>
            <w:tcMar>
              <w:top w:w="0" w:type="dxa"/>
              <w:left w:w="108" w:type="dxa"/>
              <w:bottom w:w="0" w:type="dxa"/>
              <w:right w:w="108" w:type="dxa"/>
            </w:tcMar>
            <w:hideMark/>
          </w:tcPr>
          <w:p w14:paraId="4C32F8B0" w14:textId="77777777" w:rsidR="00212205" w:rsidRPr="009940D3" w:rsidRDefault="00BC64EA">
            <w:pPr>
              <w:pStyle w:val="-wm-msonormal"/>
              <w:spacing w:before="0" w:beforeAutospacing="0" w:after="0" w:afterAutospacing="0"/>
              <w:jc w:val="both"/>
              <w:rPr>
                <w:lang w:val="en-US"/>
              </w:rPr>
            </w:pPr>
            <w:r w:rsidRPr="009940D3">
              <w:rPr>
                <w:lang w:val="en-US"/>
                <w14:ligatures w14:val="standardContextual"/>
              </w:rPr>
              <w:t>3,8</w:t>
            </w:r>
          </w:p>
        </w:tc>
        <w:tc>
          <w:tcPr>
            <w:tcW w:w="729" w:type="dxa"/>
            <w:tcBorders>
              <w:bottom w:val="single" w:sz="12" w:space="0" w:color="auto"/>
            </w:tcBorders>
            <w:tcMar>
              <w:top w:w="0" w:type="dxa"/>
              <w:left w:w="108" w:type="dxa"/>
              <w:bottom w:w="0" w:type="dxa"/>
              <w:right w:w="108" w:type="dxa"/>
            </w:tcMar>
            <w:hideMark/>
          </w:tcPr>
          <w:p w14:paraId="5A7B5FF0" w14:textId="77777777" w:rsidR="00212205" w:rsidRPr="009940D3" w:rsidRDefault="00BC64EA">
            <w:pPr>
              <w:pStyle w:val="-wm-msonormal"/>
              <w:spacing w:before="0" w:beforeAutospacing="0" w:after="0" w:afterAutospacing="0"/>
              <w:jc w:val="both"/>
              <w:rPr>
                <w:lang w:val="en-US"/>
              </w:rPr>
            </w:pPr>
            <w:r w:rsidRPr="009940D3">
              <w:rPr>
                <w:lang w:val="en-US"/>
                <w14:ligatures w14:val="standardContextual"/>
              </w:rPr>
              <w:t>15,1</w:t>
            </w:r>
          </w:p>
        </w:tc>
        <w:tc>
          <w:tcPr>
            <w:tcW w:w="729" w:type="dxa"/>
            <w:tcBorders>
              <w:bottom w:val="single" w:sz="12" w:space="0" w:color="auto"/>
            </w:tcBorders>
            <w:tcMar>
              <w:top w:w="0" w:type="dxa"/>
              <w:left w:w="108" w:type="dxa"/>
              <w:bottom w:w="0" w:type="dxa"/>
              <w:right w:w="108" w:type="dxa"/>
            </w:tcMar>
            <w:hideMark/>
          </w:tcPr>
          <w:p w14:paraId="4A1C5886" w14:textId="77777777" w:rsidR="00212205" w:rsidRPr="009940D3" w:rsidRDefault="00BC64EA">
            <w:pPr>
              <w:pStyle w:val="-wm-msonormal"/>
              <w:spacing w:before="0" w:beforeAutospacing="0" w:after="0" w:afterAutospacing="0"/>
              <w:jc w:val="both"/>
              <w:rPr>
                <w:lang w:val="en-US"/>
              </w:rPr>
            </w:pPr>
            <w:r w:rsidRPr="009940D3">
              <w:rPr>
                <w:lang w:val="en-US"/>
                <w14:ligatures w14:val="standardContextual"/>
              </w:rPr>
              <w:t>10,7</w:t>
            </w:r>
          </w:p>
        </w:tc>
      </w:tr>
    </w:tbl>
    <w:p w14:paraId="1CD582D0" w14:textId="77777777" w:rsidR="00C55395" w:rsidRPr="009940D3" w:rsidRDefault="00C55395" w:rsidP="00C55395">
      <w:pPr>
        <w:pStyle w:val="ListParagraph"/>
        <w:ind w:left="284"/>
        <w:contextualSpacing w:val="0"/>
        <w:jc w:val="both"/>
        <w:rPr>
          <w:rFonts w:ascii="Arial" w:hAnsi="Arial" w:cs="Arial"/>
          <w:lang w:val="en-US"/>
        </w:rPr>
      </w:pPr>
    </w:p>
    <w:p w14:paraId="460823E7" w14:textId="77777777" w:rsidR="00C55395" w:rsidRPr="009940D3" w:rsidRDefault="00C55395" w:rsidP="00C55395">
      <w:pPr>
        <w:rPr>
          <w:rFonts w:ascii="Arial" w:hAnsi="Arial" w:cs="Arial"/>
          <w:lang w:val="en-US"/>
        </w:rPr>
      </w:pPr>
    </w:p>
    <w:p w14:paraId="4156338D" w14:textId="77777777" w:rsidR="00442815" w:rsidRPr="009940D3" w:rsidRDefault="00442815" w:rsidP="00C55395">
      <w:pPr>
        <w:rPr>
          <w:rFonts w:ascii="Arial" w:hAnsi="Arial" w:cs="Arial"/>
          <w:lang w:val="en-US"/>
        </w:rPr>
      </w:pPr>
    </w:p>
    <w:p w14:paraId="230491E0" w14:textId="12109614" w:rsidR="00212205" w:rsidRPr="009940D3" w:rsidRDefault="00BC64EA">
      <w:pPr>
        <w:pStyle w:val="ListParagraph"/>
        <w:numPr>
          <w:ilvl w:val="0"/>
          <w:numId w:val="1"/>
        </w:numPr>
        <w:ind w:left="284"/>
        <w:contextualSpacing w:val="0"/>
        <w:jc w:val="both"/>
        <w:rPr>
          <w:rFonts w:ascii="Arial" w:hAnsi="Arial" w:cs="Arial"/>
          <w:u w:val="single"/>
          <w:lang w:val="en-US"/>
        </w:rPr>
      </w:pPr>
      <w:r w:rsidRPr="009940D3">
        <w:rPr>
          <w:rFonts w:ascii="Arial" w:hAnsi="Arial" w:cs="Arial"/>
          <w:u w:val="single"/>
          <w:lang w:val="en-US"/>
        </w:rPr>
        <w:t xml:space="preserve">On </w:t>
      </w:r>
      <w:r w:rsidRPr="009940D3">
        <w:rPr>
          <w:rFonts w:ascii="Arial" w:hAnsi="Arial" w:cs="Arial"/>
          <w:b/>
          <w:bCs/>
          <w:u w:val="single"/>
          <w:lang w:val="en-US"/>
        </w:rPr>
        <w:t xml:space="preserve">Article 1(3) of </w:t>
      </w:r>
      <w:r w:rsidRPr="009940D3">
        <w:rPr>
          <w:rFonts w:ascii="Arial" w:hAnsi="Arial" w:cs="Arial"/>
          <w:u w:val="single"/>
          <w:lang w:val="en-US"/>
        </w:rPr>
        <w:t xml:space="preserve">the </w:t>
      </w:r>
      <w:r w:rsidR="00D65E2F">
        <w:rPr>
          <w:rFonts w:ascii="Arial" w:hAnsi="Arial" w:cs="Arial"/>
          <w:u w:val="single"/>
          <w:lang w:val="en-US"/>
        </w:rPr>
        <w:t>draft</w:t>
      </w:r>
      <w:r w:rsidRPr="009940D3">
        <w:rPr>
          <w:rFonts w:ascii="Arial" w:hAnsi="Arial" w:cs="Arial"/>
          <w:u w:val="single"/>
          <w:lang w:val="en-US"/>
        </w:rPr>
        <w:t xml:space="preserve"> Regulation (sector </w:t>
      </w:r>
      <w:r w:rsidR="00D65E2F">
        <w:rPr>
          <w:rFonts w:ascii="Arial" w:hAnsi="Arial" w:cs="Arial"/>
          <w:u w:val="single"/>
          <w:lang w:val="en-US"/>
        </w:rPr>
        <w:t>cap</w:t>
      </w:r>
      <w:r w:rsidRPr="009940D3">
        <w:rPr>
          <w:rFonts w:ascii="Arial" w:hAnsi="Arial" w:cs="Arial"/>
          <w:u w:val="single"/>
          <w:lang w:val="en-US"/>
        </w:rPr>
        <w:t>)</w:t>
      </w:r>
      <w:r w:rsidRPr="009940D3">
        <w:rPr>
          <w:rFonts w:ascii="Arial" w:hAnsi="Arial" w:cs="Arial"/>
          <w:lang w:val="en-US"/>
        </w:rPr>
        <w:t xml:space="preserve">: </w:t>
      </w:r>
      <w:r w:rsidR="008127EB">
        <w:rPr>
          <w:rFonts w:ascii="Arial" w:hAnsi="Arial" w:cs="Arial"/>
          <w:lang w:val="en-US"/>
        </w:rPr>
        <w:t>A</w:t>
      </w:r>
      <w:r w:rsidRPr="009940D3">
        <w:rPr>
          <w:rFonts w:ascii="Arial" w:hAnsi="Arial" w:cs="Arial"/>
          <w:lang w:val="en-US"/>
        </w:rPr>
        <w:t xml:space="preserve">s regards </w:t>
      </w:r>
      <w:r w:rsidR="00CC4D74" w:rsidRPr="009940D3">
        <w:rPr>
          <w:rFonts w:ascii="Arial" w:hAnsi="Arial" w:cs="Arial"/>
          <w:lang w:val="en-US"/>
        </w:rPr>
        <w:t>Article 3(</w:t>
      </w:r>
      <w:r w:rsidRPr="009940D3">
        <w:rPr>
          <w:rFonts w:ascii="Arial" w:hAnsi="Arial" w:cs="Arial"/>
          <w:lang w:val="en-US"/>
        </w:rPr>
        <w:t xml:space="preserve">4) and the sectoral limit set out therein, </w:t>
      </w:r>
      <w:r w:rsidR="002157ED">
        <w:rPr>
          <w:rFonts w:ascii="Arial" w:hAnsi="Arial" w:cs="Arial"/>
          <w:lang w:val="en-US"/>
        </w:rPr>
        <w:t>Czechia</w:t>
      </w:r>
      <w:r w:rsidRPr="009940D3">
        <w:rPr>
          <w:rFonts w:ascii="Arial" w:hAnsi="Arial" w:cs="Arial"/>
          <w:lang w:val="en-US"/>
        </w:rPr>
        <w:t xml:space="preserve"> considers that</w:t>
      </w:r>
      <w:r w:rsidR="0082295F" w:rsidRPr="009940D3">
        <w:rPr>
          <w:rFonts w:ascii="Arial" w:hAnsi="Arial" w:cs="Arial"/>
          <w:lang w:val="en-US"/>
        </w:rPr>
        <w:t xml:space="preserve">, firstly, the risk of possible future crises in agriculture should be </w:t>
      </w:r>
      <w:proofErr w:type="gramStart"/>
      <w:r w:rsidR="0082295F" w:rsidRPr="009940D3">
        <w:rPr>
          <w:rFonts w:ascii="Arial" w:hAnsi="Arial" w:cs="Arial"/>
          <w:lang w:val="en-US"/>
        </w:rPr>
        <w:t>taken into account</w:t>
      </w:r>
      <w:proofErr w:type="gramEnd"/>
      <w:r w:rsidR="0082295F" w:rsidRPr="009940D3">
        <w:rPr>
          <w:rFonts w:ascii="Arial" w:hAnsi="Arial" w:cs="Arial"/>
          <w:lang w:val="en-US"/>
        </w:rPr>
        <w:t>, for example, where it would be necessary to support only one affected sector</w:t>
      </w:r>
      <w:r w:rsidR="00C77015" w:rsidRPr="009940D3">
        <w:rPr>
          <w:rFonts w:ascii="Arial" w:hAnsi="Arial" w:cs="Arial"/>
          <w:lang w:val="en-US"/>
        </w:rPr>
        <w:t xml:space="preserve">. The </w:t>
      </w:r>
      <w:r w:rsidR="0082295F" w:rsidRPr="009940D3">
        <w:rPr>
          <w:rFonts w:ascii="Arial" w:hAnsi="Arial" w:cs="Arial"/>
          <w:lang w:val="en-US"/>
        </w:rPr>
        <w:t xml:space="preserve">impact of such an aid measure on the proposed sector </w:t>
      </w:r>
      <w:r w:rsidR="00D65E2F">
        <w:rPr>
          <w:rFonts w:ascii="Arial" w:hAnsi="Arial" w:cs="Arial"/>
          <w:lang w:val="en-US"/>
        </w:rPr>
        <w:t>cap</w:t>
      </w:r>
      <w:r w:rsidR="0082295F" w:rsidRPr="009940D3">
        <w:rPr>
          <w:rFonts w:ascii="Arial" w:hAnsi="Arial" w:cs="Arial"/>
          <w:lang w:val="en-US"/>
        </w:rPr>
        <w:t xml:space="preserve"> </w:t>
      </w:r>
      <w:r w:rsidR="00C77015" w:rsidRPr="009940D3">
        <w:rPr>
          <w:rFonts w:ascii="Arial" w:hAnsi="Arial" w:cs="Arial"/>
          <w:lang w:val="en-US"/>
        </w:rPr>
        <w:t xml:space="preserve">cannot </w:t>
      </w:r>
      <w:r w:rsidR="0082295F" w:rsidRPr="009940D3">
        <w:rPr>
          <w:rFonts w:ascii="Arial" w:hAnsi="Arial" w:cs="Arial"/>
          <w:lang w:val="en-US"/>
        </w:rPr>
        <w:t xml:space="preserve">be foreseen in advance. Secondly, we are also concerned about </w:t>
      </w:r>
      <w:r w:rsidR="0082295F" w:rsidRPr="009940D3">
        <w:rPr>
          <w:rFonts w:ascii="Arial" w:hAnsi="Arial" w:cs="Arial"/>
          <w:lang w:val="en-US"/>
        </w:rPr>
        <w:lastRenderedPageBreak/>
        <w:t>a</w:t>
      </w:r>
      <w:r w:rsidR="005E4B56">
        <w:rPr>
          <w:rFonts w:ascii="Arial" w:hAnsi="Arial" w:cs="Arial"/>
          <w:lang w:val="en-US"/>
        </w:rPr>
        <w:t> </w:t>
      </w:r>
      <w:r w:rsidR="0082295F" w:rsidRPr="009940D3">
        <w:rPr>
          <w:rFonts w:ascii="Arial" w:hAnsi="Arial" w:cs="Arial"/>
          <w:lang w:val="en-US"/>
        </w:rPr>
        <w:t xml:space="preserve">disproportionate increase in the administrative burden of granting aid, especially for the public sector as the granting authority, if the sector </w:t>
      </w:r>
      <w:r w:rsidR="00D65E2F">
        <w:rPr>
          <w:rFonts w:ascii="Arial" w:hAnsi="Arial" w:cs="Arial"/>
          <w:lang w:val="en-US"/>
        </w:rPr>
        <w:t>cap</w:t>
      </w:r>
      <w:r w:rsidR="0082295F" w:rsidRPr="009940D3">
        <w:rPr>
          <w:rFonts w:ascii="Arial" w:hAnsi="Arial" w:cs="Arial"/>
          <w:lang w:val="en-US"/>
        </w:rPr>
        <w:t xml:space="preserve"> were to become mandatory</w:t>
      </w:r>
      <w:r w:rsidRPr="009940D3">
        <w:rPr>
          <w:rFonts w:ascii="Arial" w:hAnsi="Arial" w:cs="Arial"/>
          <w:lang w:val="en-US"/>
        </w:rPr>
        <w:t xml:space="preserve">. For the </w:t>
      </w:r>
      <w:r w:rsidR="008E28AD" w:rsidRPr="009940D3">
        <w:rPr>
          <w:rFonts w:ascii="Arial" w:hAnsi="Arial" w:cs="Arial"/>
          <w:lang w:val="en-US"/>
        </w:rPr>
        <w:t xml:space="preserve">above </w:t>
      </w:r>
      <w:r w:rsidRPr="009940D3">
        <w:rPr>
          <w:rFonts w:ascii="Arial" w:hAnsi="Arial" w:cs="Arial"/>
          <w:lang w:val="en-US"/>
        </w:rPr>
        <w:t>reasons</w:t>
      </w:r>
      <w:r w:rsidR="00D752F7" w:rsidRPr="009940D3">
        <w:rPr>
          <w:rFonts w:ascii="Arial" w:hAnsi="Arial" w:cs="Arial"/>
          <w:lang w:val="en-US"/>
        </w:rPr>
        <w:t xml:space="preserve">, </w:t>
      </w:r>
      <w:r w:rsidR="002157ED">
        <w:rPr>
          <w:rFonts w:ascii="Arial" w:hAnsi="Arial" w:cs="Arial"/>
          <w:lang w:val="en-US"/>
        </w:rPr>
        <w:t>Czechia</w:t>
      </w:r>
      <w:r w:rsidR="00347C1F" w:rsidRPr="009940D3">
        <w:rPr>
          <w:rFonts w:ascii="Arial" w:hAnsi="Arial" w:cs="Arial"/>
          <w:lang w:val="en-US"/>
        </w:rPr>
        <w:t xml:space="preserve"> </w:t>
      </w:r>
      <w:r w:rsidRPr="009940D3">
        <w:rPr>
          <w:rFonts w:ascii="Arial" w:hAnsi="Arial" w:cs="Arial"/>
          <w:lang w:val="en-US"/>
        </w:rPr>
        <w:t xml:space="preserve">proposes that the </w:t>
      </w:r>
      <w:r w:rsidR="00AD35E8" w:rsidRPr="009940D3">
        <w:rPr>
          <w:rFonts w:ascii="Arial" w:hAnsi="Arial" w:cs="Arial"/>
          <w:b/>
          <w:bCs/>
          <w:lang w:val="en-US"/>
        </w:rPr>
        <w:t xml:space="preserve">sector </w:t>
      </w:r>
      <w:r w:rsidR="00D65E2F">
        <w:rPr>
          <w:rFonts w:ascii="Arial" w:hAnsi="Arial" w:cs="Arial"/>
          <w:b/>
          <w:bCs/>
          <w:lang w:val="en-US"/>
        </w:rPr>
        <w:t>cap</w:t>
      </w:r>
      <w:r w:rsidR="00AD35E8" w:rsidRPr="009940D3">
        <w:rPr>
          <w:rFonts w:ascii="Arial" w:hAnsi="Arial" w:cs="Arial"/>
          <w:b/>
          <w:bCs/>
          <w:lang w:val="en-US"/>
        </w:rPr>
        <w:t xml:space="preserve"> </w:t>
      </w:r>
      <w:r w:rsidR="00AD35E8" w:rsidRPr="009940D3">
        <w:rPr>
          <w:rFonts w:ascii="Arial" w:hAnsi="Arial" w:cs="Arial"/>
          <w:lang w:val="en-US"/>
        </w:rPr>
        <w:t xml:space="preserve">in </w:t>
      </w:r>
      <w:r w:rsidRPr="009940D3">
        <w:rPr>
          <w:rFonts w:ascii="Arial" w:hAnsi="Arial" w:cs="Arial"/>
          <w:lang w:val="en-US"/>
        </w:rPr>
        <w:t>Article 3</w:t>
      </w:r>
      <w:r w:rsidR="00AD35E8" w:rsidRPr="009940D3">
        <w:rPr>
          <w:rFonts w:ascii="Arial" w:hAnsi="Arial" w:cs="Arial"/>
          <w:lang w:val="en-US"/>
        </w:rPr>
        <w:t xml:space="preserve">(4) </w:t>
      </w:r>
      <w:r w:rsidRPr="009940D3">
        <w:rPr>
          <w:rFonts w:ascii="Arial" w:hAnsi="Arial" w:cs="Arial"/>
          <w:lang w:val="en-US"/>
        </w:rPr>
        <w:t xml:space="preserve">should either be </w:t>
      </w:r>
      <w:r w:rsidRPr="009940D3">
        <w:rPr>
          <w:rFonts w:ascii="Arial" w:hAnsi="Arial" w:cs="Arial"/>
          <w:b/>
          <w:bCs/>
          <w:lang w:val="en-US"/>
        </w:rPr>
        <w:t xml:space="preserve">abolished altogether </w:t>
      </w:r>
      <w:r w:rsidRPr="009940D3">
        <w:rPr>
          <w:rFonts w:ascii="Arial" w:hAnsi="Arial" w:cs="Arial"/>
          <w:lang w:val="en-US"/>
        </w:rPr>
        <w:t xml:space="preserve">or at </w:t>
      </w:r>
      <w:r w:rsidRPr="009940D3">
        <w:rPr>
          <w:rFonts w:ascii="Arial" w:hAnsi="Arial" w:cs="Arial"/>
          <w:i/>
          <w:iCs/>
          <w:lang w:val="en-US"/>
        </w:rPr>
        <w:t xml:space="preserve">least that the sector </w:t>
      </w:r>
      <w:r w:rsidR="00D65E2F">
        <w:rPr>
          <w:rFonts w:ascii="Arial" w:hAnsi="Arial" w:cs="Arial"/>
          <w:i/>
          <w:iCs/>
          <w:lang w:val="en-US"/>
        </w:rPr>
        <w:t>cap</w:t>
      </w:r>
      <w:r w:rsidRPr="009940D3">
        <w:rPr>
          <w:rFonts w:ascii="Arial" w:hAnsi="Arial" w:cs="Arial"/>
          <w:i/>
          <w:iCs/>
          <w:lang w:val="en-US"/>
        </w:rPr>
        <w:t xml:space="preserve"> </w:t>
      </w:r>
      <w:r w:rsidRPr="009940D3">
        <w:rPr>
          <w:rFonts w:ascii="Arial" w:hAnsi="Arial" w:cs="Arial"/>
          <w:lang w:val="en-US"/>
        </w:rPr>
        <w:t xml:space="preserve">should be </w:t>
      </w:r>
      <w:r w:rsidRPr="009940D3">
        <w:rPr>
          <w:rFonts w:ascii="Arial" w:hAnsi="Arial" w:cs="Arial"/>
          <w:b/>
          <w:bCs/>
          <w:lang w:val="en-US"/>
        </w:rPr>
        <w:t xml:space="preserve">increased </w:t>
      </w:r>
      <w:r w:rsidRPr="009940D3">
        <w:rPr>
          <w:rFonts w:ascii="Arial" w:hAnsi="Arial" w:cs="Arial"/>
          <w:lang w:val="en-US"/>
        </w:rPr>
        <w:t xml:space="preserve">from 50% </w:t>
      </w:r>
      <w:r w:rsidRPr="009940D3">
        <w:rPr>
          <w:rFonts w:ascii="Arial" w:hAnsi="Arial" w:cs="Arial"/>
          <w:b/>
          <w:bCs/>
          <w:lang w:val="en-US"/>
        </w:rPr>
        <w:t xml:space="preserve">to 70% </w:t>
      </w:r>
      <w:r w:rsidRPr="009940D3">
        <w:rPr>
          <w:rFonts w:ascii="Arial" w:hAnsi="Arial" w:cs="Arial"/>
          <w:lang w:val="en-US"/>
        </w:rPr>
        <w:t>in Article 2(4) of the revised Regulation.</w:t>
      </w:r>
    </w:p>
    <w:p w14:paraId="015CF633" w14:textId="77777777" w:rsidR="005A2F0B" w:rsidRPr="009940D3" w:rsidRDefault="005A2F0B" w:rsidP="00C55395">
      <w:pPr>
        <w:pStyle w:val="ListParagraph"/>
        <w:ind w:left="284"/>
        <w:contextualSpacing w:val="0"/>
        <w:jc w:val="both"/>
        <w:rPr>
          <w:rFonts w:ascii="Arial" w:hAnsi="Arial" w:cs="Arial"/>
          <w:u w:val="single"/>
          <w:lang w:val="en-US"/>
        </w:rPr>
      </w:pPr>
    </w:p>
    <w:p w14:paraId="665DC25D" w14:textId="40F14A53" w:rsidR="00212205" w:rsidRPr="009940D3" w:rsidRDefault="00BC64EA">
      <w:pPr>
        <w:pStyle w:val="ListParagraph"/>
        <w:numPr>
          <w:ilvl w:val="0"/>
          <w:numId w:val="1"/>
        </w:numPr>
        <w:ind w:left="284"/>
        <w:contextualSpacing w:val="0"/>
        <w:jc w:val="both"/>
        <w:rPr>
          <w:rFonts w:ascii="Arial" w:hAnsi="Arial" w:cs="Arial"/>
          <w:lang w:val="en-US"/>
        </w:rPr>
      </w:pPr>
      <w:r w:rsidRPr="009940D3">
        <w:rPr>
          <w:rFonts w:ascii="Arial" w:hAnsi="Arial" w:cs="Arial"/>
          <w:u w:val="single"/>
          <w:lang w:val="en-US"/>
        </w:rPr>
        <w:t xml:space="preserve">On </w:t>
      </w:r>
      <w:r w:rsidRPr="009940D3">
        <w:rPr>
          <w:rFonts w:ascii="Arial" w:hAnsi="Arial" w:cs="Arial"/>
          <w:b/>
          <w:bCs/>
          <w:u w:val="single"/>
          <w:lang w:val="en-US"/>
        </w:rPr>
        <w:t xml:space="preserve">Article 1, point 6 of </w:t>
      </w:r>
      <w:r w:rsidRPr="009940D3">
        <w:rPr>
          <w:rFonts w:ascii="Arial" w:hAnsi="Arial" w:cs="Arial"/>
          <w:u w:val="single"/>
          <w:lang w:val="en-US"/>
        </w:rPr>
        <w:t xml:space="preserve">the </w:t>
      </w:r>
      <w:r w:rsidR="00D65E2F">
        <w:rPr>
          <w:rFonts w:ascii="Arial" w:hAnsi="Arial" w:cs="Arial"/>
          <w:u w:val="single"/>
          <w:lang w:val="en-US"/>
        </w:rPr>
        <w:t>draft</w:t>
      </w:r>
      <w:r w:rsidRPr="009940D3">
        <w:rPr>
          <w:rFonts w:ascii="Arial" w:hAnsi="Arial" w:cs="Arial"/>
          <w:u w:val="single"/>
          <w:lang w:val="en-US"/>
        </w:rPr>
        <w:t xml:space="preserve"> Regulation</w:t>
      </w:r>
      <w:r w:rsidRPr="009940D3">
        <w:rPr>
          <w:rFonts w:ascii="Arial" w:hAnsi="Arial" w:cs="Arial"/>
          <w:lang w:val="en-US"/>
        </w:rPr>
        <w:t xml:space="preserve">: </w:t>
      </w:r>
      <w:r w:rsidR="008127EB">
        <w:rPr>
          <w:rFonts w:ascii="Arial" w:hAnsi="Arial" w:cs="Arial"/>
          <w:lang w:val="en-US"/>
        </w:rPr>
        <w:t>T</w:t>
      </w:r>
      <w:r w:rsidRPr="009940D3">
        <w:rPr>
          <w:rFonts w:ascii="Arial" w:hAnsi="Arial" w:cs="Arial"/>
          <w:lang w:val="en-US"/>
        </w:rPr>
        <w:t xml:space="preserve">he </w:t>
      </w:r>
      <w:r w:rsidR="006B526C" w:rsidRPr="009940D3">
        <w:rPr>
          <w:rFonts w:ascii="Arial" w:hAnsi="Arial" w:cs="Arial"/>
          <w:lang w:val="en-US"/>
        </w:rPr>
        <w:t xml:space="preserve">newly inserted paragraph 2a in Article 5 </w:t>
      </w:r>
      <w:r w:rsidR="00945604" w:rsidRPr="009940D3">
        <w:rPr>
          <w:rFonts w:ascii="Arial" w:hAnsi="Arial" w:cs="Arial"/>
          <w:lang w:val="en-US"/>
        </w:rPr>
        <w:t xml:space="preserve">must </w:t>
      </w:r>
      <w:r w:rsidR="006B526C" w:rsidRPr="009940D3">
        <w:rPr>
          <w:rFonts w:ascii="Arial" w:hAnsi="Arial" w:cs="Arial"/>
          <w:lang w:val="en-US"/>
        </w:rPr>
        <w:t xml:space="preserve">be modified as follows to bring it in line with the </w:t>
      </w:r>
      <w:r w:rsidR="000E5DAA" w:rsidRPr="009940D3">
        <w:rPr>
          <w:rFonts w:ascii="Arial" w:hAnsi="Arial" w:cs="Arial"/>
          <w:lang w:val="en-US"/>
        </w:rPr>
        <w:t xml:space="preserve">already existing </w:t>
      </w:r>
      <w:r w:rsidR="00214C0D">
        <w:rPr>
          <w:rFonts w:ascii="Arial" w:hAnsi="Arial" w:cs="Arial"/>
          <w:lang w:val="en-US"/>
        </w:rPr>
        <w:t>conditions</w:t>
      </w:r>
      <w:r w:rsidR="006B526C" w:rsidRPr="009940D3">
        <w:rPr>
          <w:rFonts w:ascii="Arial" w:hAnsi="Arial" w:cs="Arial"/>
          <w:lang w:val="en-US"/>
        </w:rPr>
        <w:t xml:space="preserve"> of Article 5(1) of Commission Regulation (EU) 2023/2831:</w:t>
      </w:r>
    </w:p>
    <w:p w14:paraId="35F660B3" w14:textId="77777777" w:rsidR="00212205" w:rsidRPr="009940D3" w:rsidRDefault="00BC64EA">
      <w:pPr>
        <w:pStyle w:val="ListParagraph"/>
        <w:ind w:left="284"/>
        <w:contextualSpacing w:val="0"/>
        <w:jc w:val="both"/>
        <w:rPr>
          <w:rFonts w:ascii="Arial" w:hAnsi="Arial" w:cs="Arial"/>
          <w:lang w:val="en-US"/>
        </w:rPr>
      </w:pPr>
      <w:r w:rsidRPr="009940D3">
        <w:rPr>
          <w:rFonts w:ascii="Arial" w:hAnsi="Arial" w:cs="Arial"/>
          <w:lang w:val="en-US"/>
        </w:rPr>
        <w:t>"</w:t>
      </w:r>
      <w:r w:rsidRPr="009940D3">
        <w:rPr>
          <w:rFonts w:ascii="Arial" w:hAnsi="Arial" w:cs="Arial"/>
          <w:i/>
          <w:iCs/>
          <w:lang w:val="en-US"/>
        </w:rPr>
        <w:t xml:space="preserve">De minimis aid granted under this Regulation may be cumulated with de minimis aid granted under Commission Regulation (EU) 2023/2832* up to </w:t>
      </w:r>
      <w:r w:rsidRPr="009940D3">
        <w:rPr>
          <w:rFonts w:ascii="Arial" w:hAnsi="Arial" w:cs="Arial"/>
          <w:b/>
          <w:bCs/>
          <w:i/>
          <w:iCs/>
          <w:strike/>
          <w:lang w:val="en-US"/>
        </w:rPr>
        <w:t>the ceiling set in that Regulation, provided that the Member State concerned ensures by appropriate means that primary production of agricultural products does not benefit from de minimis aid granted under Regulation (EU) 2023/2832</w:t>
      </w:r>
      <w:r w:rsidRPr="009940D3">
        <w:rPr>
          <w:rFonts w:ascii="Arial" w:hAnsi="Arial" w:cs="Arial"/>
          <w:lang w:val="en-US"/>
        </w:rPr>
        <w:t>."</w:t>
      </w:r>
    </w:p>
    <w:p w14:paraId="47E87C15" w14:textId="351461EC" w:rsidR="00212205" w:rsidRPr="009940D3" w:rsidRDefault="00BC64EA">
      <w:pPr>
        <w:pStyle w:val="ListParagraph"/>
        <w:ind w:left="284"/>
        <w:contextualSpacing w:val="0"/>
        <w:jc w:val="both"/>
        <w:rPr>
          <w:rFonts w:ascii="Arial" w:hAnsi="Arial" w:cs="Arial"/>
          <w:lang w:val="en-US"/>
        </w:rPr>
      </w:pPr>
      <w:r w:rsidRPr="009940D3">
        <w:rPr>
          <w:rFonts w:ascii="Arial" w:hAnsi="Arial" w:cs="Arial"/>
          <w:lang w:val="en-US"/>
        </w:rPr>
        <w:t xml:space="preserve">As it has </w:t>
      </w:r>
      <w:r w:rsidR="00214C0D">
        <w:rPr>
          <w:rFonts w:ascii="Arial" w:hAnsi="Arial" w:cs="Arial"/>
          <w:lang w:val="en-US"/>
        </w:rPr>
        <w:t xml:space="preserve">become clear </w:t>
      </w:r>
      <w:r w:rsidRPr="009940D3">
        <w:rPr>
          <w:rFonts w:ascii="Arial" w:hAnsi="Arial" w:cs="Arial"/>
          <w:lang w:val="en-US"/>
        </w:rPr>
        <w:t xml:space="preserve">from the </w:t>
      </w:r>
      <w:r w:rsidR="002E3351" w:rsidRPr="009940D3">
        <w:rPr>
          <w:rFonts w:ascii="Arial" w:hAnsi="Arial" w:cs="Arial"/>
          <w:lang w:val="en-US"/>
        </w:rPr>
        <w:t>Commission's</w:t>
      </w:r>
      <w:r w:rsidRPr="009940D3">
        <w:rPr>
          <w:rFonts w:ascii="Arial" w:hAnsi="Arial" w:cs="Arial"/>
          <w:lang w:val="en-US"/>
        </w:rPr>
        <w:t xml:space="preserve"> interpretation of the application, the ceilings in Commission Regulations (EU) 2023/2831 and 2023/2832 are cumulative, in other words, </w:t>
      </w:r>
      <w:r w:rsidR="00CB67A6">
        <w:rPr>
          <w:rFonts w:ascii="Arial" w:hAnsi="Arial" w:cs="Arial"/>
          <w:lang w:val="en-US"/>
        </w:rPr>
        <w:t xml:space="preserve">to a single undertaking can be granted </w:t>
      </w:r>
      <w:r w:rsidRPr="00CB67A6">
        <w:rPr>
          <w:rFonts w:ascii="Arial" w:hAnsi="Arial" w:cs="Arial"/>
          <w:lang w:val="en-US"/>
        </w:rPr>
        <w:t>aid of up to EUR 300 000</w:t>
      </w:r>
      <w:r w:rsidR="00CB67A6" w:rsidRPr="00CB67A6">
        <w:rPr>
          <w:rFonts w:ascii="Arial" w:hAnsi="Arial" w:cs="Arial"/>
          <w:lang w:val="en-US"/>
        </w:rPr>
        <w:t xml:space="preserve"> under Regulation (EU) 2023/2831 and i</w:t>
      </w:r>
      <w:r w:rsidRPr="00CB67A6">
        <w:rPr>
          <w:rFonts w:ascii="Arial" w:hAnsi="Arial" w:cs="Arial"/>
          <w:lang w:val="en-US"/>
        </w:rPr>
        <w:t xml:space="preserve">f </w:t>
      </w:r>
      <w:r w:rsidR="00CB67A6" w:rsidRPr="00CB67A6">
        <w:rPr>
          <w:rFonts w:ascii="Arial" w:hAnsi="Arial" w:cs="Arial"/>
          <w:lang w:val="en-US"/>
        </w:rPr>
        <w:t xml:space="preserve">this </w:t>
      </w:r>
      <w:r w:rsidRPr="00CB67A6">
        <w:rPr>
          <w:rFonts w:ascii="Arial" w:hAnsi="Arial" w:cs="Arial"/>
          <w:lang w:val="en-US"/>
        </w:rPr>
        <w:t xml:space="preserve">undertaking is entrusted with the service of </w:t>
      </w:r>
      <w:r w:rsidR="00F4358B" w:rsidRPr="00CB67A6">
        <w:rPr>
          <w:rFonts w:ascii="Arial" w:hAnsi="Arial" w:cs="Arial"/>
          <w:lang w:val="en-US"/>
        </w:rPr>
        <w:t xml:space="preserve">general </w:t>
      </w:r>
      <w:r w:rsidRPr="00CB67A6">
        <w:rPr>
          <w:rFonts w:ascii="Arial" w:hAnsi="Arial" w:cs="Arial"/>
          <w:lang w:val="en-US"/>
        </w:rPr>
        <w:t xml:space="preserve">economic interest, it can receive aid of up to EUR 750 000 under Regulation </w:t>
      </w:r>
      <w:r w:rsidR="003D1DD1" w:rsidRPr="00CB67A6">
        <w:rPr>
          <w:rFonts w:ascii="Arial" w:hAnsi="Arial" w:cs="Arial"/>
          <w:lang w:val="en-US"/>
        </w:rPr>
        <w:t xml:space="preserve">(EU) </w:t>
      </w:r>
      <w:r w:rsidRPr="00CB67A6">
        <w:rPr>
          <w:rFonts w:ascii="Arial" w:hAnsi="Arial" w:cs="Arial"/>
          <w:lang w:val="en-US"/>
        </w:rPr>
        <w:t>2023/283</w:t>
      </w:r>
      <w:r w:rsidR="00CB67A6">
        <w:rPr>
          <w:rFonts w:ascii="Arial" w:hAnsi="Arial" w:cs="Arial"/>
          <w:lang w:val="en-US"/>
        </w:rPr>
        <w:t>2</w:t>
      </w:r>
      <w:r w:rsidRPr="00CB67A6">
        <w:rPr>
          <w:rFonts w:ascii="Arial" w:hAnsi="Arial" w:cs="Arial"/>
          <w:lang w:val="en-US"/>
        </w:rPr>
        <w:t xml:space="preserve"> </w:t>
      </w:r>
      <w:r w:rsidR="00CB67A6" w:rsidRPr="00CB67A6">
        <w:rPr>
          <w:rFonts w:ascii="Arial" w:hAnsi="Arial" w:cs="Arial"/>
          <w:lang w:val="en-US"/>
        </w:rPr>
        <w:t>as well</w:t>
      </w:r>
      <w:r w:rsidRPr="00CB67A6">
        <w:rPr>
          <w:rFonts w:ascii="Arial" w:hAnsi="Arial" w:cs="Arial"/>
          <w:lang w:val="en-US"/>
        </w:rPr>
        <w:t>.</w:t>
      </w:r>
      <w:r w:rsidRPr="009940D3">
        <w:rPr>
          <w:rFonts w:ascii="Arial" w:hAnsi="Arial" w:cs="Arial"/>
          <w:lang w:val="en-US"/>
        </w:rPr>
        <w:t xml:space="preserve"> </w:t>
      </w:r>
      <w:r w:rsidR="000E5DAA" w:rsidRPr="009940D3">
        <w:rPr>
          <w:rFonts w:ascii="Arial" w:hAnsi="Arial" w:cs="Arial"/>
          <w:lang w:val="en-US"/>
        </w:rPr>
        <w:t xml:space="preserve">Logically, the same </w:t>
      </w:r>
      <w:r w:rsidR="001F5B1A">
        <w:rPr>
          <w:rFonts w:ascii="Arial" w:hAnsi="Arial" w:cs="Arial"/>
          <w:lang w:val="en-US"/>
        </w:rPr>
        <w:t>condition</w:t>
      </w:r>
      <w:r w:rsidR="000E5DAA" w:rsidRPr="009940D3">
        <w:rPr>
          <w:rFonts w:ascii="Arial" w:hAnsi="Arial" w:cs="Arial"/>
          <w:lang w:val="en-US"/>
        </w:rPr>
        <w:t xml:space="preserve"> should apply in the case of cumulation of Regulations </w:t>
      </w:r>
      <w:r w:rsidR="00945604" w:rsidRPr="009940D3">
        <w:rPr>
          <w:rFonts w:ascii="Arial" w:hAnsi="Arial" w:cs="Arial"/>
          <w:lang w:val="en-US"/>
        </w:rPr>
        <w:t>(EU) No</w:t>
      </w:r>
      <w:r w:rsidR="00347C1F">
        <w:rPr>
          <w:rFonts w:ascii="Arial" w:hAnsi="Arial" w:cs="Arial"/>
          <w:lang w:val="en-US"/>
        </w:rPr>
        <w:t> </w:t>
      </w:r>
      <w:r w:rsidR="000E5DAA" w:rsidRPr="009940D3">
        <w:rPr>
          <w:rFonts w:ascii="Arial" w:hAnsi="Arial" w:cs="Arial"/>
          <w:lang w:val="en-US"/>
        </w:rPr>
        <w:t>1408/2013 and 2023/2832, i.e. it should be possible to grant aid of up to EUR 37 000</w:t>
      </w:r>
      <w:r w:rsidR="009716A4">
        <w:rPr>
          <w:rFonts w:ascii="Arial" w:hAnsi="Arial" w:cs="Arial"/>
          <w:lang w:val="en-US"/>
        </w:rPr>
        <w:t xml:space="preserve"> + EUR 750 000</w:t>
      </w:r>
      <w:r w:rsidR="000E5DAA" w:rsidRPr="009940D3">
        <w:rPr>
          <w:rFonts w:ascii="Arial" w:hAnsi="Arial" w:cs="Arial"/>
          <w:lang w:val="en-US"/>
        </w:rPr>
        <w:t xml:space="preserve"> per </w:t>
      </w:r>
      <w:r w:rsidR="00A67B6E">
        <w:rPr>
          <w:rFonts w:ascii="Arial" w:hAnsi="Arial" w:cs="Arial"/>
          <w:lang w:val="en-US"/>
        </w:rPr>
        <w:t xml:space="preserve">a single </w:t>
      </w:r>
      <w:r w:rsidR="000E5DAA" w:rsidRPr="009940D3">
        <w:rPr>
          <w:rFonts w:ascii="Arial" w:hAnsi="Arial" w:cs="Arial"/>
          <w:lang w:val="en-US"/>
        </w:rPr>
        <w:t xml:space="preserve">undertaking in the same way. In addition to the need to </w:t>
      </w:r>
      <w:r w:rsidR="001F5B1A" w:rsidRPr="009940D3">
        <w:rPr>
          <w:rFonts w:ascii="Arial" w:hAnsi="Arial" w:cs="Arial"/>
          <w:lang w:val="en-US"/>
        </w:rPr>
        <w:t>harmonize</w:t>
      </w:r>
      <w:r w:rsidR="000E5DAA" w:rsidRPr="009940D3">
        <w:rPr>
          <w:rFonts w:ascii="Arial" w:hAnsi="Arial" w:cs="Arial"/>
          <w:lang w:val="en-US"/>
        </w:rPr>
        <w:t xml:space="preserve"> cumulation rules, the lower </w:t>
      </w:r>
      <w:r w:rsidR="000E5DAA" w:rsidRPr="009940D3">
        <w:rPr>
          <w:rFonts w:ascii="Arial" w:hAnsi="Arial" w:cs="Arial"/>
          <w:i/>
          <w:iCs/>
          <w:lang w:val="en-US"/>
        </w:rPr>
        <w:t xml:space="preserve">de minimis </w:t>
      </w:r>
      <w:r w:rsidR="000E5DAA" w:rsidRPr="009940D3">
        <w:rPr>
          <w:rFonts w:ascii="Arial" w:hAnsi="Arial" w:cs="Arial"/>
          <w:lang w:val="en-US"/>
        </w:rPr>
        <w:t>threshold for aid under Regulation (EU) No</w:t>
      </w:r>
      <w:r w:rsidR="00347C1F">
        <w:rPr>
          <w:rFonts w:ascii="Arial" w:hAnsi="Arial" w:cs="Arial"/>
          <w:lang w:val="en-US"/>
        </w:rPr>
        <w:t> </w:t>
      </w:r>
      <w:r w:rsidR="000E5DAA" w:rsidRPr="009940D3">
        <w:rPr>
          <w:rFonts w:ascii="Arial" w:hAnsi="Arial" w:cs="Arial"/>
          <w:lang w:val="en-US"/>
        </w:rPr>
        <w:t xml:space="preserve">1408/2013, i.e. its lower </w:t>
      </w:r>
      <w:r w:rsidR="00F4358B" w:rsidRPr="009940D3">
        <w:rPr>
          <w:rFonts w:ascii="Arial" w:hAnsi="Arial" w:cs="Arial"/>
          <w:lang w:val="en-US"/>
        </w:rPr>
        <w:t xml:space="preserve">potential </w:t>
      </w:r>
      <w:r w:rsidR="000E5DAA" w:rsidRPr="009940D3">
        <w:rPr>
          <w:rFonts w:ascii="Arial" w:hAnsi="Arial" w:cs="Arial"/>
          <w:lang w:val="en-US"/>
        </w:rPr>
        <w:t xml:space="preserve">to distort competition, should be </w:t>
      </w:r>
      <w:proofErr w:type="gramStart"/>
      <w:r w:rsidR="000E5DAA" w:rsidRPr="009940D3">
        <w:rPr>
          <w:rFonts w:ascii="Arial" w:hAnsi="Arial" w:cs="Arial"/>
          <w:lang w:val="en-US"/>
        </w:rPr>
        <w:t>taken into account</w:t>
      </w:r>
      <w:proofErr w:type="gramEnd"/>
      <w:r w:rsidR="000E5DAA" w:rsidRPr="009940D3">
        <w:rPr>
          <w:rFonts w:ascii="Arial" w:hAnsi="Arial" w:cs="Arial"/>
          <w:lang w:val="en-US"/>
        </w:rPr>
        <w:t xml:space="preserve">. </w:t>
      </w:r>
    </w:p>
    <w:p w14:paraId="3CED0F4A" w14:textId="77777777" w:rsidR="008E1EF0" w:rsidRPr="009940D3" w:rsidRDefault="008E1EF0" w:rsidP="00AF3551">
      <w:pPr>
        <w:pStyle w:val="ListParagraph"/>
        <w:ind w:left="284"/>
        <w:contextualSpacing w:val="0"/>
        <w:jc w:val="both"/>
        <w:rPr>
          <w:rFonts w:ascii="Arial" w:hAnsi="Arial" w:cs="Arial"/>
          <w:lang w:val="en-US"/>
        </w:rPr>
      </w:pPr>
    </w:p>
    <w:p w14:paraId="6D7065AB" w14:textId="366B3A0F" w:rsidR="00212205" w:rsidRPr="009940D3" w:rsidRDefault="00BC64EA">
      <w:pPr>
        <w:pStyle w:val="ListParagraph"/>
        <w:numPr>
          <w:ilvl w:val="0"/>
          <w:numId w:val="1"/>
        </w:numPr>
        <w:ind w:left="284"/>
        <w:contextualSpacing w:val="0"/>
        <w:jc w:val="both"/>
        <w:rPr>
          <w:rFonts w:ascii="Arial" w:hAnsi="Arial" w:cs="Arial"/>
          <w:lang w:val="en-US"/>
        </w:rPr>
      </w:pPr>
      <w:r w:rsidRPr="009940D3">
        <w:rPr>
          <w:rFonts w:ascii="Arial" w:hAnsi="Arial" w:cs="Arial"/>
          <w:u w:val="single"/>
          <w:lang w:val="en-US"/>
        </w:rPr>
        <w:t xml:space="preserve">On </w:t>
      </w:r>
      <w:r w:rsidRPr="009940D3">
        <w:rPr>
          <w:rFonts w:ascii="Arial" w:hAnsi="Arial" w:cs="Arial"/>
          <w:b/>
          <w:bCs/>
          <w:u w:val="single"/>
          <w:lang w:val="en-US"/>
        </w:rPr>
        <w:t xml:space="preserve">Article 1, point 7 of </w:t>
      </w:r>
      <w:r w:rsidRPr="009940D3">
        <w:rPr>
          <w:rFonts w:ascii="Arial" w:hAnsi="Arial" w:cs="Arial"/>
          <w:u w:val="single"/>
          <w:lang w:val="en-US"/>
        </w:rPr>
        <w:t xml:space="preserve">the </w:t>
      </w:r>
      <w:r w:rsidR="00D65E2F">
        <w:rPr>
          <w:rFonts w:ascii="Arial" w:hAnsi="Arial" w:cs="Arial"/>
          <w:u w:val="single"/>
          <w:lang w:val="en-US"/>
        </w:rPr>
        <w:t>draft</w:t>
      </w:r>
      <w:r w:rsidRPr="009940D3">
        <w:rPr>
          <w:rFonts w:ascii="Arial" w:hAnsi="Arial" w:cs="Arial"/>
          <w:u w:val="single"/>
          <w:lang w:val="en-US"/>
        </w:rPr>
        <w:t xml:space="preserve"> Regulation</w:t>
      </w:r>
      <w:r w:rsidRPr="009940D3">
        <w:rPr>
          <w:rFonts w:ascii="Arial" w:hAnsi="Arial" w:cs="Arial"/>
          <w:lang w:val="en-US"/>
        </w:rPr>
        <w:t xml:space="preserve">: </w:t>
      </w:r>
      <w:r w:rsidR="00743633" w:rsidRPr="009940D3">
        <w:rPr>
          <w:rFonts w:ascii="Arial" w:hAnsi="Arial" w:cs="Arial"/>
          <w:lang w:val="en-US"/>
        </w:rPr>
        <w:t xml:space="preserve">In the replaced </w:t>
      </w:r>
      <w:r w:rsidR="00991570" w:rsidRPr="009940D3">
        <w:rPr>
          <w:rFonts w:ascii="Arial" w:hAnsi="Arial" w:cs="Arial"/>
          <w:lang w:val="en-US"/>
        </w:rPr>
        <w:t>Article 6</w:t>
      </w:r>
      <w:r w:rsidR="00743633" w:rsidRPr="009940D3">
        <w:rPr>
          <w:rFonts w:ascii="Arial" w:hAnsi="Arial" w:cs="Arial"/>
          <w:lang w:val="en-US"/>
        </w:rPr>
        <w:t>(1)</w:t>
      </w:r>
      <w:r w:rsidR="00991570" w:rsidRPr="009940D3">
        <w:rPr>
          <w:rFonts w:ascii="Arial" w:hAnsi="Arial" w:cs="Arial"/>
          <w:lang w:val="en-US"/>
        </w:rPr>
        <w:t>,</w:t>
      </w:r>
      <w:r w:rsidR="00743633" w:rsidRPr="009940D3">
        <w:rPr>
          <w:rFonts w:ascii="Arial" w:hAnsi="Arial" w:cs="Arial"/>
          <w:lang w:val="en-US"/>
        </w:rPr>
        <w:t xml:space="preserve"> the </w:t>
      </w:r>
      <w:r w:rsidR="00486EEB" w:rsidRPr="009940D3">
        <w:rPr>
          <w:rFonts w:ascii="Arial" w:hAnsi="Arial" w:cs="Arial"/>
          <w:lang w:val="en-US"/>
        </w:rPr>
        <w:t xml:space="preserve">information to be </w:t>
      </w:r>
      <w:r w:rsidR="00B35B89">
        <w:rPr>
          <w:rFonts w:ascii="Arial" w:hAnsi="Arial" w:cs="Arial"/>
          <w:lang w:val="en-US"/>
        </w:rPr>
        <w:t>registered</w:t>
      </w:r>
      <w:r w:rsidR="00486EEB" w:rsidRPr="009940D3">
        <w:rPr>
          <w:rFonts w:ascii="Arial" w:hAnsi="Arial" w:cs="Arial"/>
          <w:lang w:val="en-US"/>
        </w:rPr>
        <w:t xml:space="preserve"> in the central register must include, among other things, 'the </w:t>
      </w:r>
      <w:r w:rsidR="00486EEB" w:rsidRPr="009940D3">
        <w:rPr>
          <w:rFonts w:ascii="Arial" w:hAnsi="Arial" w:cs="Arial"/>
          <w:i/>
          <w:iCs/>
          <w:lang w:val="en-US"/>
        </w:rPr>
        <w:t xml:space="preserve">sector </w:t>
      </w:r>
      <w:r w:rsidR="00B35B89">
        <w:rPr>
          <w:rFonts w:ascii="Arial" w:hAnsi="Arial" w:cs="Arial"/>
          <w:i/>
          <w:iCs/>
          <w:lang w:val="en-US"/>
        </w:rPr>
        <w:t>involved</w:t>
      </w:r>
      <w:r w:rsidR="00486EEB" w:rsidRPr="009940D3">
        <w:rPr>
          <w:rFonts w:ascii="Arial" w:hAnsi="Arial" w:cs="Arial"/>
          <w:i/>
          <w:iCs/>
          <w:lang w:val="en-US"/>
        </w:rPr>
        <w:t xml:space="preserve"> on the basis of the statistical classification of economic activities in the Union ("NACE classification")</w:t>
      </w:r>
      <w:r w:rsidR="00486EEB" w:rsidRPr="009940D3">
        <w:rPr>
          <w:rFonts w:ascii="Arial" w:hAnsi="Arial" w:cs="Arial"/>
          <w:lang w:val="en-US"/>
        </w:rPr>
        <w:t xml:space="preserve">'.  </w:t>
      </w:r>
      <w:r w:rsidR="002F4B0F" w:rsidRPr="009940D3">
        <w:rPr>
          <w:rFonts w:ascii="Arial" w:hAnsi="Arial" w:cs="Arial"/>
          <w:lang w:val="en-US"/>
        </w:rPr>
        <w:t xml:space="preserve">However, it is not clear from the text of the </w:t>
      </w:r>
      <w:r w:rsidR="00B35B89">
        <w:rPr>
          <w:rFonts w:ascii="Arial" w:hAnsi="Arial" w:cs="Arial"/>
          <w:lang w:val="en-US"/>
        </w:rPr>
        <w:t>draft</w:t>
      </w:r>
      <w:r w:rsidR="002F4B0F" w:rsidRPr="009940D3">
        <w:rPr>
          <w:rFonts w:ascii="Arial" w:hAnsi="Arial" w:cs="Arial"/>
          <w:lang w:val="en-US"/>
        </w:rPr>
        <w:t xml:space="preserve"> at which level of NACE the sector </w:t>
      </w:r>
      <w:r w:rsidR="00B35B89">
        <w:rPr>
          <w:rFonts w:ascii="Arial" w:hAnsi="Arial" w:cs="Arial"/>
          <w:lang w:val="en-US"/>
        </w:rPr>
        <w:t>involved</w:t>
      </w:r>
      <w:r w:rsidR="002F4B0F" w:rsidRPr="009940D3">
        <w:rPr>
          <w:rFonts w:ascii="Arial" w:hAnsi="Arial" w:cs="Arial"/>
          <w:lang w:val="en-US"/>
        </w:rPr>
        <w:t xml:space="preserve"> </w:t>
      </w:r>
      <w:r w:rsidR="00B35B89">
        <w:rPr>
          <w:rFonts w:ascii="Arial" w:hAnsi="Arial" w:cs="Arial"/>
          <w:lang w:val="en-US"/>
        </w:rPr>
        <w:t>is</w:t>
      </w:r>
      <w:r w:rsidR="002F4B0F" w:rsidRPr="009940D3">
        <w:rPr>
          <w:rFonts w:ascii="Arial" w:hAnsi="Arial" w:cs="Arial"/>
          <w:lang w:val="en-US"/>
        </w:rPr>
        <w:t xml:space="preserve"> to be </w:t>
      </w:r>
      <w:r w:rsidR="00B35B89">
        <w:rPr>
          <w:rFonts w:ascii="Arial" w:hAnsi="Arial" w:cs="Arial"/>
          <w:lang w:val="en-US"/>
        </w:rPr>
        <w:t>identified</w:t>
      </w:r>
      <w:r w:rsidR="002F4B0F" w:rsidRPr="009940D3">
        <w:rPr>
          <w:rFonts w:ascii="Arial" w:hAnsi="Arial" w:cs="Arial"/>
          <w:lang w:val="en-US"/>
        </w:rPr>
        <w:t xml:space="preserve"> and </w:t>
      </w:r>
      <w:r w:rsidR="002157ED">
        <w:rPr>
          <w:rFonts w:ascii="Arial" w:hAnsi="Arial" w:cs="Arial"/>
          <w:lang w:val="en-US"/>
        </w:rPr>
        <w:t>Czechia</w:t>
      </w:r>
      <w:r w:rsidR="002F4B0F" w:rsidRPr="009940D3">
        <w:rPr>
          <w:rFonts w:ascii="Arial" w:hAnsi="Arial" w:cs="Arial"/>
          <w:lang w:val="en-US"/>
        </w:rPr>
        <w:t xml:space="preserve"> therefore requests clarification</w:t>
      </w:r>
      <w:r w:rsidR="00945604" w:rsidRPr="009940D3">
        <w:rPr>
          <w:rFonts w:ascii="Arial" w:hAnsi="Arial" w:cs="Arial"/>
          <w:lang w:val="en-US"/>
        </w:rPr>
        <w:t xml:space="preserve">. </w:t>
      </w:r>
      <w:r w:rsidR="002157ED">
        <w:rPr>
          <w:rFonts w:ascii="Arial" w:hAnsi="Arial" w:cs="Arial"/>
          <w:lang w:val="en-US"/>
        </w:rPr>
        <w:t>Czechia</w:t>
      </w:r>
      <w:r w:rsidR="00945604" w:rsidRPr="009940D3">
        <w:rPr>
          <w:rFonts w:ascii="Arial" w:hAnsi="Arial" w:cs="Arial"/>
          <w:lang w:val="en-US"/>
        </w:rPr>
        <w:t xml:space="preserve"> considers that the </w:t>
      </w:r>
      <w:r w:rsidR="002F4B0F" w:rsidRPr="009940D3">
        <w:rPr>
          <w:rFonts w:ascii="Arial" w:hAnsi="Arial" w:cs="Arial"/>
          <w:lang w:val="en-US"/>
        </w:rPr>
        <w:t xml:space="preserve">NACE </w:t>
      </w:r>
      <w:r w:rsidR="00945604" w:rsidRPr="009940D3">
        <w:rPr>
          <w:rFonts w:ascii="Arial" w:hAnsi="Arial" w:cs="Arial"/>
          <w:lang w:val="en-US"/>
        </w:rPr>
        <w:t xml:space="preserve">classification </w:t>
      </w:r>
      <w:r w:rsidR="002F4B0F" w:rsidRPr="009940D3">
        <w:rPr>
          <w:rFonts w:ascii="Arial" w:hAnsi="Arial" w:cs="Arial"/>
          <w:lang w:val="en-US"/>
        </w:rPr>
        <w:t xml:space="preserve">at Group level (e.g. A.01.4 - </w:t>
      </w:r>
      <w:r w:rsidR="00367AB1">
        <w:rPr>
          <w:rFonts w:ascii="Arial" w:hAnsi="Arial" w:cs="Arial"/>
          <w:lang w:val="en-US"/>
        </w:rPr>
        <w:t>Animal</w:t>
      </w:r>
      <w:r w:rsidR="002F4B0F" w:rsidRPr="009940D3">
        <w:rPr>
          <w:rFonts w:ascii="Arial" w:hAnsi="Arial" w:cs="Arial"/>
          <w:lang w:val="en-US"/>
        </w:rPr>
        <w:t xml:space="preserve"> production) should </w:t>
      </w:r>
      <w:r w:rsidR="00945604" w:rsidRPr="009940D3">
        <w:rPr>
          <w:rFonts w:ascii="Arial" w:hAnsi="Arial" w:cs="Arial"/>
          <w:lang w:val="en-US"/>
        </w:rPr>
        <w:t xml:space="preserve">be sufficient for </w:t>
      </w:r>
      <w:r w:rsidR="00367AB1">
        <w:rPr>
          <w:rFonts w:ascii="Arial" w:hAnsi="Arial" w:cs="Arial"/>
          <w:lang w:val="en-US"/>
        </w:rPr>
        <w:t>identification</w:t>
      </w:r>
      <w:r w:rsidR="00945604" w:rsidRPr="009940D3">
        <w:rPr>
          <w:rFonts w:ascii="Arial" w:hAnsi="Arial" w:cs="Arial"/>
          <w:lang w:val="en-US"/>
        </w:rPr>
        <w:t xml:space="preserve"> purposes.</w:t>
      </w:r>
    </w:p>
    <w:p w14:paraId="0BF93E85" w14:textId="77777777" w:rsidR="008B3CBA" w:rsidRPr="009940D3" w:rsidRDefault="008B3CBA" w:rsidP="003E30E6">
      <w:pPr>
        <w:pStyle w:val="ListParagraph"/>
        <w:ind w:left="284"/>
        <w:contextualSpacing w:val="0"/>
        <w:jc w:val="both"/>
        <w:rPr>
          <w:rFonts w:ascii="Arial" w:hAnsi="Arial" w:cs="Arial"/>
          <w:b/>
          <w:bCs/>
          <w:lang w:val="en-US"/>
        </w:rPr>
      </w:pPr>
    </w:p>
    <w:p w14:paraId="73E02F48" w14:textId="77777777" w:rsidR="00212205" w:rsidRPr="009940D3" w:rsidRDefault="00BC64EA">
      <w:pPr>
        <w:pStyle w:val="ListParagraph"/>
        <w:spacing w:after="360"/>
        <w:ind w:left="-142"/>
        <w:contextualSpacing w:val="0"/>
        <w:jc w:val="both"/>
        <w:rPr>
          <w:rFonts w:ascii="Arial" w:hAnsi="Arial" w:cs="Arial"/>
          <w:b/>
          <w:bCs/>
          <w:u w:val="single"/>
          <w:lang w:val="en-US"/>
        </w:rPr>
      </w:pPr>
      <w:r w:rsidRPr="009940D3">
        <w:rPr>
          <w:rFonts w:ascii="Arial" w:hAnsi="Arial" w:cs="Arial"/>
          <w:b/>
          <w:bCs/>
          <w:u w:val="single"/>
          <w:lang w:val="en-US"/>
        </w:rPr>
        <w:t xml:space="preserve">Comments of a formal and linguistic nature </w:t>
      </w:r>
    </w:p>
    <w:p w14:paraId="7A82DB7B" w14:textId="316F9788" w:rsidR="00212205" w:rsidRPr="009940D3" w:rsidRDefault="00BC64EA">
      <w:pPr>
        <w:pStyle w:val="ListParagraph"/>
        <w:numPr>
          <w:ilvl w:val="0"/>
          <w:numId w:val="1"/>
        </w:numPr>
        <w:ind w:left="284" w:hanging="426"/>
        <w:contextualSpacing w:val="0"/>
        <w:jc w:val="both"/>
        <w:rPr>
          <w:rFonts w:ascii="Arial" w:hAnsi="Arial" w:cs="Arial"/>
          <w:lang w:val="en-US"/>
        </w:rPr>
      </w:pPr>
      <w:r w:rsidRPr="009940D3">
        <w:rPr>
          <w:rFonts w:ascii="Arial" w:hAnsi="Arial" w:cs="Arial"/>
          <w:lang w:val="en-US"/>
        </w:rPr>
        <w:t xml:space="preserve">In Article 1 of the </w:t>
      </w:r>
      <w:r w:rsidR="00D65E2F">
        <w:rPr>
          <w:rFonts w:ascii="Arial" w:hAnsi="Arial" w:cs="Arial"/>
          <w:lang w:val="en-US"/>
        </w:rPr>
        <w:t>draft</w:t>
      </w:r>
      <w:r w:rsidRPr="009940D3">
        <w:rPr>
          <w:rFonts w:ascii="Arial" w:hAnsi="Arial" w:cs="Arial"/>
          <w:lang w:val="en-US"/>
        </w:rPr>
        <w:t xml:space="preserve"> Regulation, a paragraph should be added concerning Article 1(2) of Regulation (EU) No 1408/2013, </w:t>
      </w:r>
      <w:r w:rsidR="00396D29" w:rsidRPr="009940D3">
        <w:rPr>
          <w:rFonts w:ascii="Arial" w:hAnsi="Arial" w:cs="Arial"/>
          <w:lang w:val="en-US"/>
        </w:rPr>
        <w:t>adapting</w:t>
      </w:r>
      <w:r w:rsidRPr="009940D3">
        <w:rPr>
          <w:rFonts w:ascii="Arial" w:hAnsi="Arial" w:cs="Arial"/>
          <w:lang w:val="en-US"/>
        </w:rPr>
        <w:t xml:space="preserve"> the title </w:t>
      </w:r>
      <w:r w:rsidR="00CA67EE" w:rsidRPr="009940D3">
        <w:rPr>
          <w:rFonts w:ascii="Arial" w:hAnsi="Arial" w:cs="Arial"/>
          <w:lang w:val="en-US"/>
        </w:rPr>
        <w:t xml:space="preserve">to the </w:t>
      </w:r>
      <w:r w:rsidRPr="009940D3">
        <w:rPr>
          <w:rFonts w:ascii="Arial" w:hAnsi="Arial" w:cs="Arial"/>
          <w:lang w:val="en-US"/>
        </w:rPr>
        <w:t>Regulation currently in force: '</w:t>
      </w:r>
      <w:r w:rsidRPr="009940D3">
        <w:rPr>
          <w:rFonts w:ascii="Arial" w:hAnsi="Arial" w:cs="Arial"/>
          <w:i/>
          <w:iCs/>
          <w:lang w:val="en-US"/>
        </w:rPr>
        <w:t xml:space="preserve">Where an undertaking is active in the primary production of agricultural products and is also active in one or more </w:t>
      </w:r>
      <w:r w:rsidR="001561E9">
        <w:rPr>
          <w:rFonts w:ascii="Arial" w:hAnsi="Arial" w:cs="Arial"/>
          <w:i/>
          <w:iCs/>
          <w:lang w:val="en-US"/>
        </w:rPr>
        <w:t xml:space="preserve">of the </w:t>
      </w:r>
      <w:r w:rsidRPr="009940D3">
        <w:rPr>
          <w:rFonts w:ascii="Arial" w:hAnsi="Arial" w:cs="Arial"/>
          <w:i/>
          <w:iCs/>
          <w:lang w:val="en-US"/>
        </w:rPr>
        <w:t xml:space="preserve">sectors or </w:t>
      </w:r>
      <w:r w:rsidR="001561E9">
        <w:rPr>
          <w:rFonts w:ascii="Arial" w:hAnsi="Arial" w:cs="Arial"/>
          <w:i/>
          <w:iCs/>
          <w:lang w:val="en-US"/>
        </w:rPr>
        <w:t>has</w:t>
      </w:r>
      <w:r w:rsidRPr="009940D3">
        <w:rPr>
          <w:rFonts w:ascii="Arial" w:hAnsi="Arial" w:cs="Arial"/>
          <w:i/>
          <w:iCs/>
          <w:lang w:val="en-US"/>
        </w:rPr>
        <w:t xml:space="preserve"> other activities falling within the scope of Regulation (EU) </w:t>
      </w:r>
      <w:r w:rsidR="002B74A4" w:rsidRPr="009940D3">
        <w:rPr>
          <w:rFonts w:ascii="Arial" w:hAnsi="Arial" w:cs="Arial"/>
          <w:i/>
          <w:iCs/>
          <w:strike/>
          <w:lang w:val="en-US"/>
        </w:rPr>
        <w:t xml:space="preserve">No </w:t>
      </w:r>
      <w:r w:rsidRPr="009940D3">
        <w:rPr>
          <w:rFonts w:ascii="Arial" w:hAnsi="Arial" w:cs="Arial"/>
          <w:i/>
          <w:iCs/>
          <w:strike/>
          <w:lang w:val="en-US"/>
        </w:rPr>
        <w:t xml:space="preserve">1407/2013 </w:t>
      </w:r>
      <w:r w:rsidR="00280C7E" w:rsidRPr="009940D3">
        <w:rPr>
          <w:rFonts w:ascii="Arial" w:hAnsi="Arial" w:cs="Arial"/>
          <w:b/>
          <w:bCs/>
          <w:i/>
          <w:iCs/>
          <w:lang w:val="en-US"/>
        </w:rPr>
        <w:t>2023/2831</w:t>
      </w:r>
      <w:r w:rsidRPr="009940D3">
        <w:rPr>
          <w:rFonts w:ascii="Arial" w:hAnsi="Arial" w:cs="Arial"/>
          <w:lang w:val="en-US"/>
        </w:rPr>
        <w:t>...'.</w:t>
      </w:r>
    </w:p>
    <w:p w14:paraId="092B077B" w14:textId="77777777" w:rsidR="002B13A7" w:rsidRPr="009940D3" w:rsidRDefault="002B13A7" w:rsidP="002B13A7">
      <w:pPr>
        <w:pStyle w:val="ListParagraph"/>
        <w:ind w:left="284"/>
        <w:contextualSpacing w:val="0"/>
        <w:jc w:val="both"/>
        <w:rPr>
          <w:rFonts w:ascii="Arial" w:hAnsi="Arial" w:cs="Arial"/>
          <w:lang w:val="en-US"/>
        </w:rPr>
      </w:pPr>
    </w:p>
    <w:p w14:paraId="52CAAEA8" w14:textId="32E864AE" w:rsidR="00212205" w:rsidRPr="009940D3" w:rsidRDefault="00BC64EA">
      <w:pPr>
        <w:pStyle w:val="ListParagraph"/>
        <w:numPr>
          <w:ilvl w:val="0"/>
          <w:numId w:val="1"/>
        </w:numPr>
        <w:ind w:left="284"/>
        <w:contextualSpacing w:val="0"/>
        <w:jc w:val="both"/>
        <w:rPr>
          <w:rFonts w:ascii="Arial" w:hAnsi="Arial" w:cs="Arial"/>
          <w:lang w:val="en-US"/>
        </w:rPr>
      </w:pPr>
      <w:r w:rsidRPr="009940D3">
        <w:rPr>
          <w:rFonts w:ascii="Arial" w:hAnsi="Arial" w:cs="Arial"/>
          <w:u w:val="single"/>
          <w:lang w:val="en-US"/>
        </w:rPr>
        <w:t xml:space="preserve">On </w:t>
      </w:r>
      <w:r w:rsidRPr="009940D3">
        <w:rPr>
          <w:rFonts w:ascii="Arial" w:hAnsi="Arial" w:cs="Arial"/>
          <w:b/>
          <w:bCs/>
          <w:u w:val="single"/>
          <w:lang w:val="en-US"/>
        </w:rPr>
        <w:t xml:space="preserve">Article 1(3) of </w:t>
      </w:r>
      <w:r w:rsidRPr="009940D3">
        <w:rPr>
          <w:rFonts w:ascii="Arial" w:hAnsi="Arial" w:cs="Arial"/>
          <w:u w:val="single"/>
          <w:lang w:val="en-US"/>
        </w:rPr>
        <w:t xml:space="preserve">the </w:t>
      </w:r>
      <w:r w:rsidR="00D65E2F">
        <w:rPr>
          <w:rFonts w:ascii="Arial" w:hAnsi="Arial" w:cs="Arial"/>
          <w:u w:val="single"/>
          <w:lang w:val="en-US"/>
        </w:rPr>
        <w:t>draft</w:t>
      </w:r>
      <w:r w:rsidRPr="009940D3">
        <w:rPr>
          <w:rFonts w:ascii="Arial" w:hAnsi="Arial" w:cs="Arial"/>
          <w:u w:val="single"/>
          <w:lang w:val="en-US"/>
        </w:rPr>
        <w:t xml:space="preserve"> Regulation</w:t>
      </w:r>
      <w:r w:rsidR="008D3141">
        <w:rPr>
          <w:rFonts w:ascii="Arial" w:hAnsi="Arial" w:cs="Arial"/>
          <w:u w:val="single"/>
          <w:lang w:val="en-US"/>
        </w:rPr>
        <w:t xml:space="preserve"> (CS language version)</w:t>
      </w:r>
      <w:r w:rsidRPr="009940D3">
        <w:rPr>
          <w:rFonts w:ascii="Arial" w:hAnsi="Arial" w:cs="Arial"/>
          <w:lang w:val="en-US"/>
        </w:rPr>
        <w:t xml:space="preserve">: In the replaced </w:t>
      </w:r>
      <w:r w:rsidR="006C6A0D">
        <w:rPr>
          <w:rFonts w:ascii="Arial" w:hAnsi="Arial" w:cs="Arial"/>
          <w:lang w:val="en-US"/>
        </w:rPr>
        <w:t>Article 3</w:t>
      </w:r>
      <w:r w:rsidR="005E4B56">
        <w:rPr>
          <w:rFonts w:ascii="Arial" w:hAnsi="Arial" w:cs="Arial"/>
          <w:lang w:val="en-US"/>
        </w:rPr>
        <w:t>(7)</w:t>
      </w:r>
      <w:r w:rsidRPr="009940D3">
        <w:rPr>
          <w:rFonts w:ascii="Arial" w:hAnsi="Arial" w:cs="Arial"/>
          <w:lang w:val="en-US"/>
        </w:rPr>
        <w:t>,</w:t>
      </w:r>
      <w:r w:rsidR="00ED28D6">
        <w:rPr>
          <w:rFonts w:ascii="Arial" w:hAnsi="Arial" w:cs="Arial"/>
          <w:lang w:val="en-US"/>
        </w:rPr>
        <w:t xml:space="preserve"> </w:t>
      </w:r>
      <w:r w:rsidRPr="009940D3">
        <w:rPr>
          <w:rFonts w:ascii="Arial" w:hAnsi="Arial" w:cs="Arial"/>
          <w:lang w:val="en-US"/>
        </w:rPr>
        <w:t>the first sentence needs to be modified as follows: '</w:t>
      </w:r>
      <w:r w:rsidR="00347C1F" w:rsidRPr="002D7C30">
        <w:rPr>
          <w:rFonts w:ascii="Arial" w:hAnsi="Arial" w:cs="Arial"/>
          <w:i/>
          <w:iCs/>
        </w:rPr>
        <w:t xml:space="preserve">Pro účely </w:t>
      </w:r>
      <w:r w:rsidR="00347C1F" w:rsidRPr="002D7C30">
        <w:rPr>
          <w:rFonts w:ascii="Arial" w:hAnsi="Arial" w:cs="Arial"/>
          <w:b/>
          <w:bCs/>
          <w:i/>
          <w:iCs/>
          <w:strike/>
        </w:rPr>
        <w:t>stropů</w:t>
      </w:r>
      <w:r w:rsidR="00347C1F" w:rsidRPr="002D7C30">
        <w:rPr>
          <w:rFonts w:ascii="Arial" w:hAnsi="Arial" w:cs="Arial"/>
          <w:i/>
          <w:iCs/>
        </w:rPr>
        <w:t xml:space="preserve"> </w:t>
      </w:r>
      <w:r w:rsidR="00347C1F" w:rsidRPr="0053556C">
        <w:rPr>
          <w:rFonts w:ascii="Arial" w:hAnsi="Arial" w:cs="Arial"/>
          <w:b/>
          <w:bCs/>
          <w:i/>
          <w:iCs/>
          <w:u w:val="single"/>
        </w:rPr>
        <w:t>stropu</w:t>
      </w:r>
      <w:r w:rsidR="00347C1F" w:rsidRPr="002D7C30">
        <w:rPr>
          <w:rFonts w:ascii="Arial" w:hAnsi="Arial" w:cs="Arial"/>
          <w:i/>
          <w:iCs/>
        </w:rPr>
        <w:t xml:space="preserve"> podpory de</w:t>
      </w:r>
      <w:r w:rsidR="00347C1F">
        <w:rPr>
          <w:rFonts w:ascii="Arial" w:hAnsi="Arial" w:cs="Arial"/>
          <w:i/>
          <w:iCs/>
        </w:rPr>
        <w:t> </w:t>
      </w:r>
      <w:r w:rsidR="00347C1F" w:rsidRPr="002D7C30">
        <w:rPr>
          <w:rFonts w:ascii="Arial" w:hAnsi="Arial" w:cs="Arial"/>
          <w:i/>
          <w:iCs/>
        </w:rPr>
        <w:t>minimis, jakož i</w:t>
      </w:r>
      <w:r w:rsidRPr="009940D3">
        <w:rPr>
          <w:rFonts w:ascii="Arial" w:hAnsi="Arial" w:cs="Arial"/>
          <w:i/>
          <w:iCs/>
          <w:lang w:val="en-US"/>
        </w:rPr>
        <w:t>...</w:t>
      </w:r>
      <w:r w:rsidRPr="009940D3">
        <w:rPr>
          <w:rFonts w:ascii="Arial" w:hAnsi="Arial" w:cs="Arial"/>
          <w:lang w:val="en-US"/>
        </w:rPr>
        <w:t>', as Regulation</w:t>
      </w:r>
      <w:r w:rsidR="00FB54C8">
        <w:rPr>
          <w:rFonts w:ascii="Arial" w:hAnsi="Arial" w:cs="Arial"/>
          <w:lang w:val="en-US"/>
        </w:rPr>
        <w:t xml:space="preserve"> (EU)</w:t>
      </w:r>
      <w:r w:rsidRPr="009940D3">
        <w:rPr>
          <w:rFonts w:ascii="Arial" w:hAnsi="Arial" w:cs="Arial"/>
          <w:lang w:val="en-US"/>
        </w:rPr>
        <w:t xml:space="preserve"> No 1408/2013 will contain only one </w:t>
      </w:r>
      <w:r w:rsidRPr="009940D3">
        <w:rPr>
          <w:rFonts w:ascii="Arial" w:hAnsi="Arial" w:cs="Arial"/>
          <w:i/>
          <w:iCs/>
          <w:lang w:val="en-US"/>
        </w:rPr>
        <w:t xml:space="preserve">de minimis </w:t>
      </w:r>
      <w:r w:rsidRPr="009940D3">
        <w:rPr>
          <w:rFonts w:ascii="Arial" w:hAnsi="Arial" w:cs="Arial"/>
          <w:lang w:val="en-US"/>
        </w:rPr>
        <w:t xml:space="preserve">aid </w:t>
      </w:r>
      <w:r w:rsidRPr="009940D3">
        <w:rPr>
          <w:rFonts w:ascii="Arial" w:hAnsi="Arial" w:cs="Arial"/>
          <w:lang w:val="en-US"/>
        </w:rPr>
        <w:t>ceiling after the revision</w:t>
      </w:r>
      <w:r w:rsidR="001952B5">
        <w:rPr>
          <w:rFonts w:ascii="Arial" w:hAnsi="Arial" w:cs="Arial"/>
          <w:lang w:val="en-US"/>
        </w:rPr>
        <w:t>.</w:t>
      </w:r>
      <w:r w:rsidRPr="009940D3">
        <w:rPr>
          <w:rFonts w:ascii="Arial" w:hAnsi="Arial" w:cs="Arial"/>
          <w:lang w:val="en-US"/>
        </w:rPr>
        <w:t xml:space="preserve"> </w:t>
      </w:r>
    </w:p>
    <w:p w14:paraId="449B4CFB" w14:textId="27D2886E" w:rsidR="00212205" w:rsidRPr="009940D3" w:rsidRDefault="00BC64EA">
      <w:pPr>
        <w:ind w:left="284"/>
        <w:jc w:val="both"/>
        <w:rPr>
          <w:rFonts w:ascii="Arial" w:hAnsi="Arial" w:cs="Arial"/>
          <w:lang w:val="en-US"/>
        </w:rPr>
      </w:pPr>
      <w:r w:rsidRPr="009940D3">
        <w:rPr>
          <w:rFonts w:ascii="Arial" w:hAnsi="Arial" w:cs="Arial"/>
          <w:lang w:val="en-US"/>
        </w:rPr>
        <w:lastRenderedPageBreak/>
        <w:t xml:space="preserve">For the same reason, it is necessary to make the same modification in the first sentence of the replaced </w:t>
      </w:r>
      <w:r w:rsidR="006C6A0D">
        <w:rPr>
          <w:rFonts w:ascii="Arial" w:hAnsi="Arial" w:cs="Arial"/>
          <w:lang w:val="en-US"/>
        </w:rPr>
        <w:t>Article 3</w:t>
      </w:r>
      <w:r w:rsidR="005E4B56">
        <w:rPr>
          <w:rFonts w:ascii="Arial" w:hAnsi="Arial" w:cs="Arial"/>
          <w:lang w:val="en-US"/>
        </w:rPr>
        <w:t>(</w:t>
      </w:r>
      <w:r w:rsidR="000B48AB" w:rsidRPr="009940D3">
        <w:rPr>
          <w:rFonts w:ascii="Arial" w:hAnsi="Arial" w:cs="Arial"/>
          <w:lang w:val="en-US"/>
        </w:rPr>
        <w:t>10</w:t>
      </w:r>
      <w:r w:rsidR="005E4B56">
        <w:rPr>
          <w:rFonts w:ascii="Arial" w:hAnsi="Arial" w:cs="Arial"/>
          <w:lang w:val="en-US"/>
        </w:rPr>
        <w:t>)</w:t>
      </w:r>
      <w:r w:rsidR="000B48AB">
        <w:rPr>
          <w:rFonts w:ascii="Arial" w:hAnsi="Arial" w:cs="Arial"/>
          <w:lang w:val="en-US"/>
        </w:rPr>
        <w:t xml:space="preserve">, </w:t>
      </w:r>
      <w:r w:rsidRPr="009940D3">
        <w:rPr>
          <w:rFonts w:ascii="Arial" w:hAnsi="Arial" w:cs="Arial"/>
          <w:lang w:val="en-US"/>
        </w:rPr>
        <w:t>as follows: '</w:t>
      </w:r>
      <w:r w:rsidR="00347C1F" w:rsidRPr="009629B6">
        <w:rPr>
          <w:rFonts w:ascii="Arial" w:hAnsi="Arial" w:cs="Arial"/>
        </w:rPr>
        <w:t>…</w:t>
      </w:r>
      <w:r w:rsidR="00347C1F" w:rsidRPr="009629B6">
        <w:rPr>
          <w:rFonts w:ascii="Arial" w:hAnsi="Arial" w:cs="Arial"/>
          <w:i/>
          <w:iCs/>
        </w:rPr>
        <w:t xml:space="preserve">zda žádnou novou podporou de minimis poskytnutou nově vzniklému či nabývajícímu podniku nedošlo k překročení </w:t>
      </w:r>
      <w:r w:rsidR="00347C1F" w:rsidRPr="009629B6">
        <w:rPr>
          <w:rFonts w:ascii="Arial" w:hAnsi="Arial" w:cs="Arial"/>
          <w:b/>
          <w:bCs/>
          <w:i/>
          <w:iCs/>
          <w:strike/>
        </w:rPr>
        <w:t>příslušných stropů</w:t>
      </w:r>
      <w:r w:rsidR="00347C1F" w:rsidRPr="009629B6">
        <w:rPr>
          <w:rFonts w:ascii="Arial" w:hAnsi="Arial" w:cs="Arial"/>
          <w:b/>
          <w:bCs/>
          <w:i/>
          <w:iCs/>
        </w:rPr>
        <w:t xml:space="preserve"> </w:t>
      </w:r>
      <w:r w:rsidR="00347C1F" w:rsidRPr="0053556C">
        <w:rPr>
          <w:rFonts w:ascii="Arial" w:hAnsi="Arial" w:cs="Arial"/>
          <w:b/>
          <w:bCs/>
          <w:i/>
          <w:iCs/>
          <w:u w:val="single"/>
        </w:rPr>
        <w:t>příslušného stropu</w:t>
      </w:r>
      <w:r w:rsidR="00347C1F" w:rsidRPr="009629B6">
        <w:rPr>
          <w:rFonts w:ascii="Arial" w:hAnsi="Arial" w:cs="Arial"/>
          <w:i/>
          <w:iCs/>
        </w:rPr>
        <w:t xml:space="preserve"> podpory de minimis…</w:t>
      </w:r>
      <w:r w:rsidRPr="009940D3">
        <w:rPr>
          <w:rFonts w:ascii="Arial" w:hAnsi="Arial" w:cs="Arial"/>
          <w:lang w:val="en-US"/>
        </w:rPr>
        <w:t>'.</w:t>
      </w:r>
    </w:p>
    <w:p w14:paraId="14E50CE2" w14:textId="77777777" w:rsidR="00097C01" w:rsidRPr="009940D3" w:rsidRDefault="00097C01" w:rsidP="003E30E6">
      <w:pPr>
        <w:pStyle w:val="ListParagraph"/>
        <w:ind w:left="284"/>
        <w:contextualSpacing w:val="0"/>
        <w:jc w:val="both"/>
        <w:rPr>
          <w:rFonts w:ascii="Arial" w:hAnsi="Arial" w:cs="Arial"/>
          <w:lang w:val="en-US"/>
        </w:rPr>
      </w:pPr>
    </w:p>
    <w:p w14:paraId="322BE975" w14:textId="74FBEEA2" w:rsidR="00212205" w:rsidRPr="009940D3" w:rsidRDefault="00BC64EA">
      <w:pPr>
        <w:pStyle w:val="ListParagraph"/>
        <w:numPr>
          <w:ilvl w:val="0"/>
          <w:numId w:val="1"/>
        </w:numPr>
        <w:ind w:left="284"/>
        <w:contextualSpacing w:val="0"/>
        <w:jc w:val="both"/>
        <w:rPr>
          <w:rFonts w:ascii="Arial" w:hAnsi="Arial" w:cs="Arial"/>
          <w:lang w:val="en-US"/>
        </w:rPr>
      </w:pPr>
      <w:r w:rsidRPr="009940D3">
        <w:rPr>
          <w:rFonts w:ascii="Arial" w:hAnsi="Arial" w:cs="Arial"/>
          <w:u w:val="single"/>
          <w:lang w:val="en-US"/>
        </w:rPr>
        <w:t xml:space="preserve">Concerning </w:t>
      </w:r>
      <w:r w:rsidRPr="009940D3">
        <w:rPr>
          <w:rFonts w:ascii="Arial" w:hAnsi="Arial" w:cs="Arial"/>
          <w:b/>
          <w:bCs/>
          <w:u w:val="single"/>
          <w:lang w:val="en-US"/>
        </w:rPr>
        <w:t xml:space="preserve">Article 1, point 7 of </w:t>
      </w:r>
      <w:r w:rsidRPr="009940D3">
        <w:rPr>
          <w:rFonts w:ascii="Arial" w:hAnsi="Arial" w:cs="Arial"/>
          <w:u w:val="single"/>
          <w:lang w:val="en-US"/>
        </w:rPr>
        <w:t xml:space="preserve">the </w:t>
      </w:r>
      <w:r w:rsidR="00D65E2F">
        <w:rPr>
          <w:rFonts w:ascii="Arial" w:hAnsi="Arial" w:cs="Arial"/>
          <w:u w:val="single"/>
          <w:lang w:val="en-US"/>
        </w:rPr>
        <w:t>draft</w:t>
      </w:r>
      <w:r w:rsidRPr="009940D3">
        <w:rPr>
          <w:rFonts w:ascii="Arial" w:hAnsi="Arial" w:cs="Arial"/>
          <w:u w:val="single"/>
          <w:lang w:val="en-US"/>
        </w:rPr>
        <w:t xml:space="preserve"> Regulation</w:t>
      </w:r>
      <w:r w:rsidR="004B09C6">
        <w:rPr>
          <w:rFonts w:ascii="Arial" w:hAnsi="Arial" w:cs="Arial"/>
          <w:u w:val="single"/>
          <w:lang w:val="en-US"/>
        </w:rPr>
        <w:t xml:space="preserve"> (both CS and EN language versions)</w:t>
      </w:r>
      <w:r w:rsidRPr="009940D3">
        <w:rPr>
          <w:rFonts w:ascii="Arial" w:hAnsi="Arial" w:cs="Arial"/>
          <w:lang w:val="en-US"/>
        </w:rPr>
        <w:t xml:space="preserve">: In the replaced </w:t>
      </w:r>
      <w:r w:rsidR="00697E3E">
        <w:rPr>
          <w:rFonts w:ascii="Arial" w:hAnsi="Arial" w:cs="Arial"/>
          <w:lang w:val="en-US"/>
        </w:rPr>
        <w:t>Article 6</w:t>
      </w:r>
      <w:r w:rsidR="005E4B56">
        <w:rPr>
          <w:rFonts w:ascii="Arial" w:hAnsi="Arial" w:cs="Arial"/>
          <w:lang w:val="en-US"/>
        </w:rPr>
        <w:t>(</w:t>
      </w:r>
      <w:r w:rsidR="004B09C6" w:rsidRPr="009940D3">
        <w:rPr>
          <w:rFonts w:ascii="Arial" w:hAnsi="Arial" w:cs="Arial"/>
          <w:lang w:val="en-US"/>
        </w:rPr>
        <w:t>4</w:t>
      </w:r>
      <w:r w:rsidR="005E4B56">
        <w:rPr>
          <w:rFonts w:ascii="Arial" w:hAnsi="Arial" w:cs="Arial"/>
          <w:lang w:val="en-US"/>
        </w:rPr>
        <w:t>)</w:t>
      </w:r>
      <w:r w:rsidR="004B09C6">
        <w:rPr>
          <w:rFonts w:ascii="Arial" w:hAnsi="Arial" w:cs="Arial"/>
          <w:lang w:val="en-US"/>
        </w:rPr>
        <w:t xml:space="preserve">, </w:t>
      </w:r>
      <w:r w:rsidRPr="009940D3">
        <w:rPr>
          <w:rFonts w:ascii="Arial" w:hAnsi="Arial" w:cs="Arial"/>
          <w:lang w:val="en-US"/>
        </w:rPr>
        <w:t xml:space="preserve">it is appropriate to align the terminology used by the following modification, as the wording of the Regulation distinguishes linguistically between ceilings (within the meaning of Article 3(2) - individual beneficiary) and </w:t>
      </w:r>
      <w:r w:rsidR="00697E3E">
        <w:rPr>
          <w:rFonts w:ascii="Arial" w:hAnsi="Arial" w:cs="Arial"/>
          <w:lang w:val="en-US"/>
        </w:rPr>
        <w:t>caps</w:t>
      </w:r>
      <w:r w:rsidRPr="009940D3">
        <w:rPr>
          <w:rFonts w:ascii="Arial" w:hAnsi="Arial" w:cs="Arial"/>
          <w:lang w:val="en-US"/>
        </w:rPr>
        <w:t xml:space="preserve"> (within the meaning of Article 3(3) - </w:t>
      </w:r>
      <w:r w:rsidR="00C5720F" w:rsidRPr="009940D3">
        <w:rPr>
          <w:rFonts w:ascii="Arial" w:hAnsi="Arial" w:cs="Arial"/>
          <w:lang w:val="en-US"/>
        </w:rPr>
        <w:t xml:space="preserve">national </w:t>
      </w:r>
      <w:r w:rsidR="00697E3E">
        <w:rPr>
          <w:rFonts w:ascii="Arial" w:hAnsi="Arial" w:cs="Arial"/>
          <w:lang w:val="en-US"/>
        </w:rPr>
        <w:t>cap</w:t>
      </w:r>
      <w:r w:rsidR="00C5720F" w:rsidRPr="009940D3">
        <w:rPr>
          <w:rFonts w:ascii="Arial" w:hAnsi="Arial" w:cs="Arial"/>
          <w:lang w:val="en-US"/>
        </w:rPr>
        <w:t xml:space="preserve"> and Article 3(4) - sector</w:t>
      </w:r>
      <w:r w:rsidR="00697E3E">
        <w:rPr>
          <w:rFonts w:ascii="Arial" w:hAnsi="Arial" w:cs="Arial"/>
          <w:lang w:val="en-US"/>
        </w:rPr>
        <w:t xml:space="preserve"> cap</w:t>
      </w:r>
      <w:r w:rsidR="00C5720F" w:rsidRPr="009940D3">
        <w:rPr>
          <w:rFonts w:ascii="Arial" w:hAnsi="Arial" w:cs="Arial"/>
          <w:lang w:val="en-US"/>
        </w:rPr>
        <w:t>)</w:t>
      </w:r>
      <w:r w:rsidRPr="009940D3">
        <w:rPr>
          <w:rFonts w:ascii="Arial" w:hAnsi="Arial" w:cs="Arial"/>
          <w:lang w:val="en-US"/>
        </w:rPr>
        <w:t xml:space="preserve">: </w:t>
      </w:r>
    </w:p>
    <w:p w14:paraId="4DE650FC" w14:textId="7CBF03BD" w:rsidR="00347C1F" w:rsidRPr="00BC64EA" w:rsidRDefault="00347C1F">
      <w:pPr>
        <w:pStyle w:val="ListParagraph"/>
        <w:ind w:left="284"/>
        <w:contextualSpacing w:val="0"/>
        <w:jc w:val="both"/>
        <w:rPr>
          <w:rFonts w:ascii="Arial" w:hAnsi="Arial" w:cs="Arial"/>
        </w:rPr>
      </w:pPr>
      <w:r>
        <w:rPr>
          <w:rFonts w:ascii="Arial" w:hAnsi="Arial" w:cs="Arial"/>
          <w:i/>
          <w:iCs/>
        </w:rPr>
        <w:t>„</w:t>
      </w:r>
      <w:r w:rsidRPr="00A85C4F">
        <w:rPr>
          <w:rFonts w:ascii="Arial" w:hAnsi="Arial" w:cs="Arial"/>
          <w:i/>
          <w:iCs/>
        </w:rPr>
        <w:t xml:space="preserve">Členský stát smí poskytnout novou podporu de minimis v souladu s tímto nařízením teprve po ověření toho, zda nová podpora de minimis </w:t>
      </w:r>
      <w:proofErr w:type="gramStart"/>
      <w:r w:rsidRPr="00A85C4F">
        <w:rPr>
          <w:rFonts w:ascii="Arial" w:hAnsi="Arial" w:cs="Arial"/>
          <w:i/>
          <w:iCs/>
        </w:rPr>
        <w:t>nezvýší</w:t>
      </w:r>
      <w:proofErr w:type="gramEnd"/>
      <w:r w:rsidRPr="00A85C4F">
        <w:rPr>
          <w:rFonts w:ascii="Arial" w:hAnsi="Arial" w:cs="Arial"/>
          <w:i/>
          <w:iCs/>
        </w:rPr>
        <w:t xml:space="preserve"> celkovou částku podpory de minimis, která byla dotčenému podniku poskytnuta, nad </w:t>
      </w:r>
      <w:r w:rsidRPr="0053556C">
        <w:rPr>
          <w:rFonts w:ascii="Arial" w:hAnsi="Arial" w:cs="Arial"/>
          <w:b/>
          <w:bCs/>
          <w:i/>
          <w:iCs/>
          <w:strike/>
        </w:rPr>
        <w:t>stropy</w:t>
      </w:r>
      <w:r w:rsidRPr="0040469E">
        <w:rPr>
          <w:rFonts w:ascii="Arial" w:hAnsi="Arial" w:cs="Arial"/>
          <w:i/>
          <w:iCs/>
        </w:rPr>
        <w:t xml:space="preserve"> </w:t>
      </w:r>
      <w:r w:rsidRPr="0040469E">
        <w:rPr>
          <w:rFonts w:ascii="Arial" w:hAnsi="Arial" w:cs="Arial"/>
          <w:b/>
          <w:bCs/>
          <w:i/>
          <w:iCs/>
          <w:u w:val="single"/>
        </w:rPr>
        <w:t>strop</w:t>
      </w:r>
      <w:r w:rsidRPr="0040469E">
        <w:rPr>
          <w:rFonts w:ascii="Arial" w:hAnsi="Arial" w:cs="Arial"/>
          <w:i/>
          <w:iCs/>
          <w:u w:val="single"/>
        </w:rPr>
        <w:t xml:space="preserve"> </w:t>
      </w:r>
      <w:r w:rsidRPr="0040469E">
        <w:rPr>
          <w:rFonts w:ascii="Arial" w:hAnsi="Arial" w:cs="Arial"/>
          <w:b/>
          <w:bCs/>
          <w:i/>
          <w:iCs/>
          <w:u w:val="single"/>
        </w:rPr>
        <w:t>a limity</w:t>
      </w:r>
      <w:r w:rsidRPr="00CA18E0">
        <w:rPr>
          <w:rFonts w:ascii="Arial" w:hAnsi="Arial" w:cs="Arial"/>
          <w:i/>
          <w:iCs/>
        </w:rPr>
        <w:t xml:space="preserve"> </w:t>
      </w:r>
      <w:r w:rsidRPr="00A85C4F">
        <w:rPr>
          <w:rFonts w:ascii="Arial" w:hAnsi="Arial" w:cs="Arial"/>
          <w:i/>
          <w:iCs/>
        </w:rPr>
        <w:t>stanovené v čl. 3 odst. 2, 3 a 4 a zda jsou splněny veškeré podmínky stanovené v tomto nařízení</w:t>
      </w:r>
      <w:r>
        <w:rPr>
          <w:rFonts w:ascii="Arial" w:hAnsi="Arial" w:cs="Arial"/>
          <w:i/>
          <w:iCs/>
        </w:rPr>
        <w:t>.</w:t>
      </w:r>
      <w:r w:rsidRPr="00BC64EA">
        <w:rPr>
          <w:rFonts w:ascii="Arial" w:hAnsi="Arial" w:cs="Arial"/>
        </w:rPr>
        <w:t>"</w:t>
      </w:r>
    </w:p>
    <w:p w14:paraId="59A7FF8D" w14:textId="49B83636" w:rsidR="00212205" w:rsidRDefault="00347C1F">
      <w:pPr>
        <w:pStyle w:val="ListParagraph"/>
        <w:ind w:left="284"/>
        <w:contextualSpacing w:val="0"/>
        <w:jc w:val="both"/>
        <w:rPr>
          <w:rFonts w:ascii="Arial" w:hAnsi="Arial" w:cs="Arial"/>
        </w:rPr>
      </w:pPr>
      <w:r>
        <w:rPr>
          <w:rFonts w:ascii="Arial" w:hAnsi="Arial" w:cs="Arial"/>
          <w:lang w:val="en-US"/>
        </w:rPr>
        <w:t>“</w:t>
      </w:r>
      <w:r w:rsidRPr="009940D3">
        <w:rPr>
          <w:rFonts w:ascii="Arial" w:hAnsi="Arial" w:cs="Arial"/>
          <w:lang w:val="en-US"/>
        </w:rPr>
        <w:t xml:space="preserve">A </w:t>
      </w:r>
      <w:r w:rsidRPr="009940D3">
        <w:rPr>
          <w:rFonts w:ascii="Arial" w:hAnsi="Arial" w:cs="Arial"/>
          <w:i/>
          <w:iCs/>
          <w:lang w:val="en-US"/>
        </w:rPr>
        <w:t xml:space="preserve">Member State </w:t>
      </w:r>
      <w:r w:rsidR="00697E3E">
        <w:rPr>
          <w:rFonts w:ascii="Arial" w:hAnsi="Arial" w:cs="Arial"/>
          <w:i/>
          <w:iCs/>
          <w:lang w:val="en-US"/>
        </w:rPr>
        <w:t>shall</w:t>
      </w:r>
      <w:r w:rsidRPr="009940D3">
        <w:rPr>
          <w:rFonts w:ascii="Arial" w:hAnsi="Arial" w:cs="Arial"/>
          <w:i/>
          <w:iCs/>
          <w:lang w:val="en-US"/>
        </w:rPr>
        <w:t xml:space="preserve"> grant new de minimis aid in accordance with this Regulation only after </w:t>
      </w:r>
      <w:r w:rsidR="00697E3E">
        <w:rPr>
          <w:rFonts w:ascii="Arial" w:hAnsi="Arial" w:cs="Arial"/>
          <w:i/>
          <w:iCs/>
          <w:lang w:val="en-US"/>
        </w:rPr>
        <w:t xml:space="preserve">it has </w:t>
      </w:r>
      <w:r w:rsidRPr="009940D3">
        <w:rPr>
          <w:rFonts w:ascii="Arial" w:hAnsi="Arial" w:cs="Arial"/>
          <w:i/>
          <w:iCs/>
          <w:lang w:val="en-US"/>
        </w:rPr>
        <w:t>verif</w:t>
      </w:r>
      <w:r w:rsidR="00697E3E">
        <w:rPr>
          <w:rFonts w:ascii="Arial" w:hAnsi="Arial" w:cs="Arial"/>
          <w:i/>
          <w:iCs/>
          <w:lang w:val="en-US"/>
        </w:rPr>
        <w:t>ied</w:t>
      </w:r>
      <w:r w:rsidRPr="009940D3">
        <w:rPr>
          <w:rFonts w:ascii="Arial" w:hAnsi="Arial" w:cs="Arial"/>
          <w:i/>
          <w:iCs/>
          <w:lang w:val="en-US"/>
        </w:rPr>
        <w:t xml:space="preserve"> that the new de minimis aid </w:t>
      </w:r>
      <w:r w:rsidR="00697E3E">
        <w:rPr>
          <w:rFonts w:ascii="Arial" w:hAnsi="Arial" w:cs="Arial"/>
          <w:i/>
          <w:iCs/>
          <w:lang w:val="en-US"/>
        </w:rPr>
        <w:t xml:space="preserve">will </w:t>
      </w:r>
      <w:r w:rsidRPr="009940D3">
        <w:rPr>
          <w:rFonts w:ascii="Arial" w:hAnsi="Arial" w:cs="Arial"/>
          <w:i/>
          <w:iCs/>
          <w:lang w:val="en-US"/>
        </w:rPr>
        <w:t xml:space="preserve">not </w:t>
      </w:r>
      <w:r w:rsidR="00697E3E">
        <w:rPr>
          <w:rFonts w:ascii="Arial" w:hAnsi="Arial" w:cs="Arial"/>
          <w:i/>
          <w:iCs/>
          <w:lang w:val="en-US"/>
        </w:rPr>
        <w:t>raise</w:t>
      </w:r>
      <w:r w:rsidRPr="009940D3">
        <w:rPr>
          <w:rFonts w:ascii="Arial" w:hAnsi="Arial" w:cs="Arial"/>
          <w:i/>
          <w:iCs/>
          <w:lang w:val="en-US"/>
        </w:rPr>
        <w:t xml:space="preserve"> the total amount of de minimis aid granted to the undertaking concerned</w:t>
      </w:r>
      <w:r w:rsidR="00697E3E">
        <w:rPr>
          <w:rFonts w:ascii="Arial" w:hAnsi="Arial" w:cs="Arial"/>
          <w:i/>
          <w:iCs/>
          <w:lang w:val="en-US"/>
        </w:rPr>
        <w:t xml:space="preserve"> to a level</w:t>
      </w:r>
      <w:r w:rsidRPr="009940D3">
        <w:rPr>
          <w:rFonts w:ascii="Arial" w:hAnsi="Arial" w:cs="Arial"/>
          <w:i/>
          <w:iCs/>
          <w:lang w:val="en-US"/>
        </w:rPr>
        <w:t xml:space="preserve"> above the </w:t>
      </w:r>
      <w:r w:rsidRPr="009940D3">
        <w:rPr>
          <w:rFonts w:ascii="Arial" w:hAnsi="Arial" w:cs="Arial"/>
          <w:b/>
          <w:bCs/>
          <w:i/>
          <w:iCs/>
          <w:strike/>
          <w:lang w:val="en-US"/>
        </w:rPr>
        <w:t>ceilings</w:t>
      </w:r>
      <w:r w:rsidRPr="0053556C">
        <w:rPr>
          <w:rFonts w:ascii="Arial" w:hAnsi="Arial" w:cs="Arial"/>
          <w:b/>
          <w:bCs/>
          <w:i/>
          <w:iCs/>
          <w:lang w:val="en-US"/>
        </w:rPr>
        <w:t xml:space="preserve"> </w:t>
      </w:r>
      <w:r w:rsidR="00697E3E" w:rsidRPr="0053556C">
        <w:rPr>
          <w:rFonts w:ascii="Arial" w:hAnsi="Arial" w:cs="Arial"/>
          <w:b/>
          <w:bCs/>
          <w:i/>
          <w:iCs/>
          <w:u w:val="single"/>
          <w:lang w:val="en-US"/>
        </w:rPr>
        <w:t xml:space="preserve">ceiling </w:t>
      </w:r>
      <w:r w:rsidRPr="0053556C">
        <w:rPr>
          <w:rFonts w:ascii="Arial" w:hAnsi="Arial" w:cs="Arial"/>
          <w:b/>
          <w:bCs/>
          <w:i/>
          <w:iCs/>
          <w:u w:val="single"/>
          <w:lang w:val="en-US"/>
        </w:rPr>
        <w:t>and limits</w:t>
      </w:r>
      <w:r w:rsidRPr="009940D3">
        <w:rPr>
          <w:rFonts w:ascii="Arial" w:hAnsi="Arial" w:cs="Arial"/>
          <w:b/>
          <w:bCs/>
          <w:i/>
          <w:iCs/>
          <w:lang w:val="en-US"/>
        </w:rPr>
        <w:t xml:space="preserve"> </w:t>
      </w:r>
      <w:r w:rsidRPr="009940D3">
        <w:rPr>
          <w:rFonts w:ascii="Arial" w:hAnsi="Arial" w:cs="Arial"/>
          <w:i/>
          <w:iCs/>
          <w:lang w:val="en-US"/>
        </w:rPr>
        <w:t xml:space="preserve">laid down in Article 3(2), (3) and (4) and that all the conditions laid down in this Regulation are </w:t>
      </w:r>
      <w:r w:rsidR="00697E3E">
        <w:rPr>
          <w:rFonts w:ascii="Arial" w:hAnsi="Arial" w:cs="Arial"/>
          <w:i/>
          <w:iCs/>
          <w:lang w:val="en-US"/>
        </w:rPr>
        <w:t>complied with</w:t>
      </w:r>
      <w:r w:rsidR="00C5720F" w:rsidRPr="009940D3">
        <w:rPr>
          <w:rFonts w:ascii="Arial" w:hAnsi="Arial" w:cs="Arial"/>
          <w:lang w:val="en-US"/>
        </w:rPr>
        <w:t>."</w:t>
      </w:r>
    </w:p>
    <w:p w14:paraId="1D039A18" w14:textId="77777777" w:rsidR="0034716C" w:rsidRPr="002E63AB" w:rsidRDefault="0034716C" w:rsidP="003E30E6">
      <w:pPr>
        <w:pStyle w:val="ListParagraph"/>
        <w:ind w:left="284"/>
        <w:contextualSpacing w:val="0"/>
        <w:jc w:val="both"/>
        <w:rPr>
          <w:rFonts w:ascii="Arial" w:hAnsi="Arial" w:cs="Arial"/>
        </w:rPr>
      </w:pPr>
    </w:p>
    <w:sectPr w:rsidR="0034716C" w:rsidRPr="002E63A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E0599" w14:textId="77777777" w:rsidR="00950A38" w:rsidRDefault="00950A38" w:rsidP="00244DFD">
      <w:pPr>
        <w:spacing w:after="0" w:line="240" w:lineRule="auto"/>
      </w:pPr>
      <w:r>
        <w:separator/>
      </w:r>
    </w:p>
  </w:endnote>
  <w:endnote w:type="continuationSeparator" w:id="0">
    <w:p w14:paraId="05354A87" w14:textId="77777777" w:rsidR="00950A38" w:rsidRDefault="00950A38" w:rsidP="00244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0674011"/>
      <w:docPartObj>
        <w:docPartGallery w:val="Page Numbers (Bottom of Page)"/>
        <w:docPartUnique/>
      </w:docPartObj>
    </w:sdtPr>
    <w:sdtEndPr/>
    <w:sdtContent>
      <w:p w14:paraId="4981F298" w14:textId="77777777" w:rsidR="00212205" w:rsidRDefault="00BC64EA">
        <w:pPr>
          <w:pStyle w:val="Footer"/>
          <w:jc w:val="center"/>
        </w:pPr>
        <w:r>
          <w:fldChar w:fldCharType="begin"/>
        </w:r>
        <w:r>
          <w:instrText>PAGE   \* MERGEFORMAT</w:instrText>
        </w:r>
        <w:r>
          <w:fldChar w:fldCharType="separate"/>
        </w:r>
        <w:r>
          <w:t>2</w:t>
        </w:r>
        <w:r>
          <w:fldChar w:fldCharType="end"/>
        </w:r>
      </w:p>
    </w:sdtContent>
  </w:sdt>
  <w:p w14:paraId="1944861D" w14:textId="77777777" w:rsidR="008B3CBA" w:rsidRDefault="008B3C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B6E60" w14:textId="77777777" w:rsidR="00950A38" w:rsidRDefault="00950A38" w:rsidP="00244DFD">
      <w:pPr>
        <w:spacing w:after="0" w:line="240" w:lineRule="auto"/>
      </w:pPr>
      <w:r>
        <w:separator/>
      </w:r>
    </w:p>
  </w:footnote>
  <w:footnote w:type="continuationSeparator" w:id="0">
    <w:p w14:paraId="2F02E277" w14:textId="77777777" w:rsidR="00950A38" w:rsidRDefault="00950A38" w:rsidP="00244D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6E212" w14:textId="53DC5BD1" w:rsidR="00212205" w:rsidRDefault="007A2E15" w:rsidP="007A2E15">
    <w:pPr>
      <w:pStyle w:val="Header"/>
      <w:rPr>
        <w:rFonts w:ascii="Arial" w:hAnsi="Arial" w:cs="Arial"/>
      </w:rPr>
    </w:pPr>
    <w:r>
      <w:rPr>
        <w:rFonts w:ascii="Arial" w:hAnsi="Arial" w:cs="Arial"/>
        <w:color w:val="26324B"/>
      </w:rPr>
      <w:t>HT.100254</w:t>
    </w:r>
    <w:r>
      <w:rPr>
        <w:rFonts w:ascii="Arial" w:hAnsi="Arial" w:cs="Arial"/>
        <w:color w:val="26324B"/>
      </w:rPr>
      <w:tab/>
    </w:r>
    <w:r>
      <w:rPr>
        <w:rFonts w:ascii="Arial" w:hAnsi="Arial" w:cs="Arial"/>
        <w:color w:val="26324B"/>
      </w:rPr>
      <w:tab/>
    </w:r>
    <w:r w:rsidR="007851E1">
      <w:rPr>
        <w:rFonts w:ascii="Arial" w:hAnsi="Arial" w:cs="Arial"/>
      </w:rPr>
      <w:t>17</w:t>
    </w:r>
    <w:r w:rsidR="00244DFD" w:rsidRPr="00003444">
      <w:rPr>
        <w:rFonts w:ascii="Arial" w:hAnsi="Arial" w:cs="Arial"/>
      </w:rPr>
      <w:t xml:space="preserve">. </w:t>
    </w:r>
    <w:r w:rsidR="00AD14F1" w:rsidRPr="00003444">
      <w:rPr>
        <w:rFonts w:ascii="Arial" w:hAnsi="Arial" w:cs="Arial"/>
      </w:rPr>
      <w:t xml:space="preserve">7. </w:t>
    </w:r>
    <w:r w:rsidR="00244DFD" w:rsidRPr="00003444">
      <w:rPr>
        <w:rFonts w:ascii="Arial" w:hAnsi="Arial" w:cs="Arial"/>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F395D"/>
    <w:multiLevelType w:val="hybridMultilevel"/>
    <w:tmpl w:val="E104142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 w15:restartNumberingAfterBreak="0">
    <w:nsid w:val="3F446263"/>
    <w:multiLevelType w:val="hybridMultilevel"/>
    <w:tmpl w:val="E2C064F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937257B"/>
    <w:multiLevelType w:val="hybridMultilevel"/>
    <w:tmpl w:val="19DC83A6"/>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16cid:durableId="1464813235">
    <w:abstractNumId w:val="1"/>
  </w:num>
  <w:num w:numId="2" w16cid:durableId="326324161">
    <w:abstractNumId w:val="2"/>
  </w:num>
  <w:num w:numId="3" w16cid:durableId="1645743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C47A9E"/>
    <w:rsid w:val="00003444"/>
    <w:rsid w:val="00014E13"/>
    <w:rsid w:val="000155FE"/>
    <w:rsid w:val="00027CBC"/>
    <w:rsid w:val="0004179E"/>
    <w:rsid w:val="0006197F"/>
    <w:rsid w:val="00063808"/>
    <w:rsid w:val="000746D5"/>
    <w:rsid w:val="000768E3"/>
    <w:rsid w:val="00084C9D"/>
    <w:rsid w:val="00092604"/>
    <w:rsid w:val="00097C01"/>
    <w:rsid w:val="000B327A"/>
    <w:rsid w:val="000B48AB"/>
    <w:rsid w:val="000B7A06"/>
    <w:rsid w:val="000C08A4"/>
    <w:rsid w:val="000C0F4C"/>
    <w:rsid w:val="000E40FF"/>
    <w:rsid w:val="000E5DAA"/>
    <w:rsid w:val="000F45BE"/>
    <w:rsid w:val="00127BF3"/>
    <w:rsid w:val="001411B4"/>
    <w:rsid w:val="001561E9"/>
    <w:rsid w:val="0016150B"/>
    <w:rsid w:val="001952B5"/>
    <w:rsid w:val="001A03CD"/>
    <w:rsid w:val="001A3A22"/>
    <w:rsid w:val="001A67EC"/>
    <w:rsid w:val="001C2361"/>
    <w:rsid w:val="001D0DF6"/>
    <w:rsid w:val="001E5AB7"/>
    <w:rsid w:val="001F5B1A"/>
    <w:rsid w:val="002017FD"/>
    <w:rsid w:val="00206513"/>
    <w:rsid w:val="00212205"/>
    <w:rsid w:val="00214C0D"/>
    <w:rsid w:val="002157ED"/>
    <w:rsid w:val="00244DFD"/>
    <w:rsid w:val="00280C7E"/>
    <w:rsid w:val="00282A4E"/>
    <w:rsid w:val="002A2AB4"/>
    <w:rsid w:val="002A3705"/>
    <w:rsid w:val="002B0695"/>
    <w:rsid w:val="002B13A7"/>
    <w:rsid w:val="002B74A4"/>
    <w:rsid w:val="002C4C35"/>
    <w:rsid w:val="002D38A1"/>
    <w:rsid w:val="002D76C6"/>
    <w:rsid w:val="002D7C30"/>
    <w:rsid w:val="002E3351"/>
    <w:rsid w:val="002E63AB"/>
    <w:rsid w:val="002F475C"/>
    <w:rsid w:val="002F4B0F"/>
    <w:rsid w:val="00305DD2"/>
    <w:rsid w:val="00310201"/>
    <w:rsid w:val="00331251"/>
    <w:rsid w:val="00344486"/>
    <w:rsid w:val="0034716C"/>
    <w:rsid w:val="0034788E"/>
    <w:rsid w:val="00347C1F"/>
    <w:rsid w:val="003554BF"/>
    <w:rsid w:val="003578AE"/>
    <w:rsid w:val="00366D09"/>
    <w:rsid w:val="00367AB1"/>
    <w:rsid w:val="00376122"/>
    <w:rsid w:val="003857E7"/>
    <w:rsid w:val="003960FC"/>
    <w:rsid w:val="00396D29"/>
    <w:rsid w:val="0039704B"/>
    <w:rsid w:val="003A61A5"/>
    <w:rsid w:val="003B2133"/>
    <w:rsid w:val="003D1DD1"/>
    <w:rsid w:val="003D205D"/>
    <w:rsid w:val="003E30E6"/>
    <w:rsid w:val="00415E7D"/>
    <w:rsid w:val="004321CF"/>
    <w:rsid w:val="00442815"/>
    <w:rsid w:val="00461F0E"/>
    <w:rsid w:val="0046552A"/>
    <w:rsid w:val="00486EEB"/>
    <w:rsid w:val="00492322"/>
    <w:rsid w:val="00495546"/>
    <w:rsid w:val="004A4D91"/>
    <w:rsid w:val="004A53DE"/>
    <w:rsid w:val="004B09C6"/>
    <w:rsid w:val="004B5C52"/>
    <w:rsid w:val="004C3907"/>
    <w:rsid w:val="004C5371"/>
    <w:rsid w:val="004F4ADE"/>
    <w:rsid w:val="0053556C"/>
    <w:rsid w:val="005372A2"/>
    <w:rsid w:val="00542BF8"/>
    <w:rsid w:val="0054596F"/>
    <w:rsid w:val="00591CDC"/>
    <w:rsid w:val="005A0D91"/>
    <w:rsid w:val="005A2F0B"/>
    <w:rsid w:val="005B2D14"/>
    <w:rsid w:val="005E4B56"/>
    <w:rsid w:val="005E6B80"/>
    <w:rsid w:val="00607EF5"/>
    <w:rsid w:val="006116B3"/>
    <w:rsid w:val="00621EE3"/>
    <w:rsid w:val="0062376C"/>
    <w:rsid w:val="006300DE"/>
    <w:rsid w:val="006519C2"/>
    <w:rsid w:val="00654159"/>
    <w:rsid w:val="00696D78"/>
    <w:rsid w:val="00697E3E"/>
    <w:rsid w:val="006B4215"/>
    <w:rsid w:val="006B526C"/>
    <w:rsid w:val="006B578A"/>
    <w:rsid w:val="006B77A2"/>
    <w:rsid w:val="006C0F85"/>
    <w:rsid w:val="006C1993"/>
    <w:rsid w:val="006C6A0D"/>
    <w:rsid w:val="006D2570"/>
    <w:rsid w:val="007100B8"/>
    <w:rsid w:val="00722A90"/>
    <w:rsid w:val="00727AA1"/>
    <w:rsid w:val="007343F5"/>
    <w:rsid w:val="007366BB"/>
    <w:rsid w:val="00743633"/>
    <w:rsid w:val="0077054A"/>
    <w:rsid w:val="00774ED7"/>
    <w:rsid w:val="007763F2"/>
    <w:rsid w:val="007851E1"/>
    <w:rsid w:val="007926DC"/>
    <w:rsid w:val="007A2305"/>
    <w:rsid w:val="007A2E15"/>
    <w:rsid w:val="007A3A60"/>
    <w:rsid w:val="007A4781"/>
    <w:rsid w:val="007B29A5"/>
    <w:rsid w:val="007C238B"/>
    <w:rsid w:val="007C311D"/>
    <w:rsid w:val="007E7B60"/>
    <w:rsid w:val="007F4661"/>
    <w:rsid w:val="008127EB"/>
    <w:rsid w:val="00822099"/>
    <w:rsid w:val="0082295F"/>
    <w:rsid w:val="00860C46"/>
    <w:rsid w:val="008B3CBA"/>
    <w:rsid w:val="008C3E26"/>
    <w:rsid w:val="008D3141"/>
    <w:rsid w:val="008D5A2B"/>
    <w:rsid w:val="008E09AE"/>
    <w:rsid w:val="008E1EF0"/>
    <w:rsid w:val="008E28AD"/>
    <w:rsid w:val="00900D4B"/>
    <w:rsid w:val="00917D43"/>
    <w:rsid w:val="00922611"/>
    <w:rsid w:val="00924AD9"/>
    <w:rsid w:val="0093785B"/>
    <w:rsid w:val="00945604"/>
    <w:rsid w:val="0094567D"/>
    <w:rsid w:val="00950A38"/>
    <w:rsid w:val="009629B6"/>
    <w:rsid w:val="0096394A"/>
    <w:rsid w:val="00964A31"/>
    <w:rsid w:val="00965137"/>
    <w:rsid w:val="009716A4"/>
    <w:rsid w:val="00971AE7"/>
    <w:rsid w:val="00987BDF"/>
    <w:rsid w:val="00991570"/>
    <w:rsid w:val="009940D3"/>
    <w:rsid w:val="009A3B9A"/>
    <w:rsid w:val="009C396F"/>
    <w:rsid w:val="009F5CDC"/>
    <w:rsid w:val="00A07C23"/>
    <w:rsid w:val="00A1722B"/>
    <w:rsid w:val="00A34960"/>
    <w:rsid w:val="00A36A1B"/>
    <w:rsid w:val="00A57A12"/>
    <w:rsid w:val="00A63E01"/>
    <w:rsid w:val="00A67B6E"/>
    <w:rsid w:val="00A741B6"/>
    <w:rsid w:val="00A75C07"/>
    <w:rsid w:val="00A85C4F"/>
    <w:rsid w:val="00A877B4"/>
    <w:rsid w:val="00A901ED"/>
    <w:rsid w:val="00AA2934"/>
    <w:rsid w:val="00AA793E"/>
    <w:rsid w:val="00AB4203"/>
    <w:rsid w:val="00AB51C3"/>
    <w:rsid w:val="00AC211F"/>
    <w:rsid w:val="00AD14F1"/>
    <w:rsid w:val="00AD35E8"/>
    <w:rsid w:val="00AF019C"/>
    <w:rsid w:val="00AF348F"/>
    <w:rsid w:val="00AF3551"/>
    <w:rsid w:val="00AF65E2"/>
    <w:rsid w:val="00B01815"/>
    <w:rsid w:val="00B35B89"/>
    <w:rsid w:val="00B50776"/>
    <w:rsid w:val="00B55D4D"/>
    <w:rsid w:val="00B63F37"/>
    <w:rsid w:val="00B81ABA"/>
    <w:rsid w:val="00B94082"/>
    <w:rsid w:val="00B97634"/>
    <w:rsid w:val="00BB2A25"/>
    <w:rsid w:val="00BC64EA"/>
    <w:rsid w:val="00BE57F3"/>
    <w:rsid w:val="00BE59B4"/>
    <w:rsid w:val="00BE76B3"/>
    <w:rsid w:val="00BF28B3"/>
    <w:rsid w:val="00C0057F"/>
    <w:rsid w:val="00C04D30"/>
    <w:rsid w:val="00C11F7F"/>
    <w:rsid w:val="00C15508"/>
    <w:rsid w:val="00C24EA5"/>
    <w:rsid w:val="00C43A36"/>
    <w:rsid w:val="00C4494A"/>
    <w:rsid w:val="00C47A9E"/>
    <w:rsid w:val="00C55395"/>
    <w:rsid w:val="00C5720F"/>
    <w:rsid w:val="00C60382"/>
    <w:rsid w:val="00C658E4"/>
    <w:rsid w:val="00C664EF"/>
    <w:rsid w:val="00C73AFE"/>
    <w:rsid w:val="00C77015"/>
    <w:rsid w:val="00C977F5"/>
    <w:rsid w:val="00CA67EE"/>
    <w:rsid w:val="00CB3065"/>
    <w:rsid w:val="00CB3381"/>
    <w:rsid w:val="00CB67A6"/>
    <w:rsid w:val="00CC3EC0"/>
    <w:rsid w:val="00CC4D74"/>
    <w:rsid w:val="00CD7F2D"/>
    <w:rsid w:val="00CF72B0"/>
    <w:rsid w:val="00D12720"/>
    <w:rsid w:val="00D13CBF"/>
    <w:rsid w:val="00D17E47"/>
    <w:rsid w:val="00D25C9B"/>
    <w:rsid w:val="00D50B91"/>
    <w:rsid w:val="00D50EA9"/>
    <w:rsid w:val="00D53D08"/>
    <w:rsid w:val="00D63750"/>
    <w:rsid w:val="00D65E2F"/>
    <w:rsid w:val="00D752F7"/>
    <w:rsid w:val="00D8569F"/>
    <w:rsid w:val="00DB1347"/>
    <w:rsid w:val="00DB358E"/>
    <w:rsid w:val="00DF1D8C"/>
    <w:rsid w:val="00DF7FE4"/>
    <w:rsid w:val="00E007A7"/>
    <w:rsid w:val="00E2111B"/>
    <w:rsid w:val="00E26E62"/>
    <w:rsid w:val="00E51349"/>
    <w:rsid w:val="00E538BB"/>
    <w:rsid w:val="00E640AF"/>
    <w:rsid w:val="00E9333B"/>
    <w:rsid w:val="00E95DE9"/>
    <w:rsid w:val="00EB1F3C"/>
    <w:rsid w:val="00EC28A8"/>
    <w:rsid w:val="00ED11D7"/>
    <w:rsid w:val="00ED28D6"/>
    <w:rsid w:val="00F00475"/>
    <w:rsid w:val="00F213F0"/>
    <w:rsid w:val="00F243A5"/>
    <w:rsid w:val="00F26221"/>
    <w:rsid w:val="00F3413F"/>
    <w:rsid w:val="00F35D3B"/>
    <w:rsid w:val="00F4358B"/>
    <w:rsid w:val="00F564B6"/>
    <w:rsid w:val="00F73178"/>
    <w:rsid w:val="00F75C85"/>
    <w:rsid w:val="00F85F25"/>
    <w:rsid w:val="00F87156"/>
    <w:rsid w:val="00F927E4"/>
    <w:rsid w:val="00FA1AE7"/>
    <w:rsid w:val="00FA4DDA"/>
    <w:rsid w:val="00FB54C8"/>
    <w:rsid w:val="00FD6F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283875"/>
  <w15:chartTrackingRefBased/>
  <w15:docId w15:val="{A70DD30C-719E-4BE6-8B9D-FE5FC75E7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7A9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47A9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47A9E"/>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47A9E"/>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47A9E"/>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47A9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7A9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7A9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7A9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7A9E"/>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47A9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47A9E"/>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47A9E"/>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C47A9E"/>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C47A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7A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7A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7A9E"/>
    <w:rPr>
      <w:rFonts w:eastAsiaTheme="majorEastAsia" w:cstheme="majorBidi"/>
      <w:color w:val="272727" w:themeColor="text1" w:themeTint="D8"/>
    </w:rPr>
  </w:style>
  <w:style w:type="paragraph" w:styleId="Title">
    <w:name w:val="Title"/>
    <w:basedOn w:val="Normal"/>
    <w:next w:val="Normal"/>
    <w:link w:val="TitleChar"/>
    <w:uiPriority w:val="10"/>
    <w:qFormat/>
    <w:rsid w:val="00C47A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7A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7A9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7A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7A9E"/>
    <w:pPr>
      <w:spacing w:before="160"/>
      <w:jc w:val="center"/>
    </w:pPr>
    <w:rPr>
      <w:i/>
      <w:iCs/>
      <w:color w:val="404040" w:themeColor="text1" w:themeTint="BF"/>
    </w:rPr>
  </w:style>
  <w:style w:type="character" w:customStyle="1" w:styleId="QuoteChar">
    <w:name w:val="Quote Char"/>
    <w:basedOn w:val="DefaultParagraphFont"/>
    <w:link w:val="Quote"/>
    <w:uiPriority w:val="29"/>
    <w:rsid w:val="00C47A9E"/>
    <w:rPr>
      <w:i/>
      <w:iCs/>
      <w:color w:val="404040" w:themeColor="text1" w:themeTint="BF"/>
    </w:rPr>
  </w:style>
  <w:style w:type="paragraph" w:styleId="ListParagraph">
    <w:name w:val="List Paragraph"/>
    <w:basedOn w:val="Normal"/>
    <w:uiPriority w:val="34"/>
    <w:qFormat/>
    <w:rsid w:val="00C47A9E"/>
    <w:pPr>
      <w:ind w:left="720"/>
      <w:contextualSpacing/>
    </w:pPr>
  </w:style>
  <w:style w:type="character" w:styleId="IntenseEmphasis">
    <w:name w:val="Intense Emphasis"/>
    <w:basedOn w:val="DefaultParagraphFont"/>
    <w:uiPriority w:val="21"/>
    <w:qFormat/>
    <w:rsid w:val="00C47A9E"/>
    <w:rPr>
      <w:i/>
      <w:iCs/>
      <w:color w:val="2E74B5" w:themeColor="accent1" w:themeShade="BF"/>
    </w:rPr>
  </w:style>
  <w:style w:type="paragraph" w:styleId="IntenseQuote">
    <w:name w:val="Intense Quote"/>
    <w:basedOn w:val="Normal"/>
    <w:next w:val="Normal"/>
    <w:link w:val="IntenseQuoteChar"/>
    <w:uiPriority w:val="30"/>
    <w:qFormat/>
    <w:rsid w:val="00C47A9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C47A9E"/>
    <w:rPr>
      <w:i/>
      <w:iCs/>
      <w:color w:val="2E74B5" w:themeColor="accent1" w:themeShade="BF"/>
    </w:rPr>
  </w:style>
  <w:style w:type="character" w:styleId="IntenseReference">
    <w:name w:val="Intense Reference"/>
    <w:basedOn w:val="DefaultParagraphFont"/>
    <w:uiPriority w:val="32"/>
    <w:qFormat/>
    <w:rsid w:val="00C47A9E"/>
    <w:rPr>
      <w:b/>
      <w:bCs/>
      <w:smallCaps/>
      <w:color w:val="2E74B5" w:themeColor="accent1" w:themeShade="BF"/>
      <w:spacing w:val="5"/>
    </w:rPr>
  </w:style>
  <w:style w:type="character" w:styleId="CommentReference">
    <w:name w:val="annotation reference"/>
    <w:basedOn w:val="DefaultParagraphFont"/>
    <w:uiPriority w:val="99"/>
    <w:semiHidden/>
    <w:unhideWhenUsed/>
    <w:rsid w:val="00AB51C3"/>
    <w:rPr>
      <w:sz w:val="16"/>
      <w:szCs w:val="16"/>
    </w:rPr>
  </w:style>
  <w:style w:type="paragraph" w:styleId="CommentText">
    <w:name w:val="annotation text"/>
    <w:basedOn w:val="Normal"/>
    <w:link w:val="CommentTextChar"/>
    <w:uiPriority w:val="99"/>
    <w:unhideWhenUsed/>
    <w:rsid w:val="00AB51C3"/>
    <w:pPr>
      <w:spacing w:line="240" w:lineRule="auto"/>
    </w:pPr>
    <w:rPr>
      <w:sz w:val="20"/>
      <w:szCs w:val="20"/>
    </w:rPr>
  </w:style>
  <w:style w:type="character" w:customStyle="1" w:styleId="CommentTextChar">
    <w:name w:val="Comment Text Char"/>
    <w:basedOn w:val="DefaultParagraphFont"/>
    <w:link w:val="CommentText"/>
    <w:uiPriority w:val="99"/>
    <w:rsid w:val="00AB51C3"/>
    <w:rPr>
      <w:sz w:val="20"/>
      <w:szCs w:val="20"/>
    </w:rPr>
  </w:style>
  <w:style w:type="paragraph" w:styleId="CommentSubject">
    <w:name w:val="annotation subject"/>
    <w:basedOn w:val="CommentText"/>
    <w:next w:val="CommentText"/>
    <w:link w:val="CommentSubjectChar"/>
    <w:uiPriority w:val="99"/>
    <w:semiHidden/>
    <w:unhideWhenUsed/>
    <w:rsid w:val="00AB51C3"/>
    <w:rPr>
      <w:b/>
      <w:bCs/>
    </w:rPr>
  </w:style>
  <w:style w:type="character" w:customStyle="1" w:styleId="CommentSubjectChar">
    <w:name w:val="Comment Subject Char"/>
    <w:basedOn w:val="CommentTextChar"/>
    <w:link w:val="CommentSubject"/>
    <w:uiPriority w:val="99"/>
    <w:semiHidden/>
    <w:rsid w:val="00AB51C3"/>
    <w:rPr>
      <w:b/>
      <w:bCs/>
      <w:sz w:val="20"/>
      <w:szCs w:val="20"/>
    </w:rPr>
  </w:style>
  <w:style w:type="paragraph" w:styleId="Revision">
    <w:name w:val="Revision"/>
    <w:hidden/>
    <w:uiPriority w:val="99"/>
    <w:semiHidden/>
    <w:rsid w:val="00C11F7F"/>
    <w:pPr>
      <w:spacing w:after="0" w:line="240" w:lineRule="auto"/>
    </w:pPr>
  </w:style>
  <w:style w:type="paragraph" w:styleId="Header">
    <w:name w:val="header"/>
    <w:basedOn w:val="Normal"/>
    <w:link w:val="HeaderChar"/>
    <w:uiPriority w:val="99"/>
    <w:unhideWhenUsed/>
    <w:rsid w:val="00244DF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44DFD"/>
  </w:style>
  <w:style w:type="paragraph" w:styleId="Footer">
    <w:name w:val="footer"/>
    <w:basedOn w:val="Normal"/>
    <w:link w:val="FooterChar"/>
    <w:uiPriority w:val="99"/>
    <w:unhideWhenUsed/>
    <w:rsid w:val="00244DF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4DFD"/>
  </w:style>
  <w:style w:type="paragraph" w:customStyle="1" w:styleId="-wm-msonormal">
    <w:name w:val="-wm-msonormal"/>
    <w:basedOn w:val="Normal"/>
    <w:rsid w:val="000768E3"/>
    <w:pPr>
      <w:spacing w:before="100" w:beforeAutospacing="1" w:after="100" w:afterAutospacing="1" w:line="240" w:lineRule="auto"/>
    </w:pPr>
    <w:rPr>
      <w:rFonts w:ascii="Aptos" w:hAnsi="Aptos" w:cs="Aptos"/>
      <w:kern w:val="0"/>
      <w:sz w:val="24"/>
      <w:szCs w:val="24"/>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1845</Words>
  <Characters>9890</Characters>
  <Application>Microsoft Office Word</Application>
  <DocSecurity>0</DocSecurity>
  <Lines>230</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Mistrík Pavel</dc:creator>
  <cp:keywords>, docId:88610083ADBE589A2BE8E0D6A0A59806</cp:keywords>
  <dc:description/>
  <cp:lastModifiedBy>BLEHOVA Lenka (COMP)</cp:lastModifiedBy>
  <cp:revision>2</cp:revision>
  <dcterms:created xsi:type="dcterms:W3CDTF">2024-07-23T13:13:00Z</dcterms:created>
  <dcterms:modified xsi:type="dcterms:W3CDTF">2024-07-23T13:13:00Z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9d554d-d720-408f-a503-c83424d8e5d7_Enabled">
    <vt:lpwstr>true</vt:lpwstr>
  </property>
  <property fmtid="{D5CDD505-2E9C-101B-9397-08002B2CF9AE}" pid="3" name="MSIP_Label_239d554d-d720-408f-a503-c83424d8e5d7_SetDate">
    <vt:lpwstr>2024-06-10T12:25:21Z</vt:lpwstr>
  </property>
  <property fmtid="{D5CDD505-2E9C-101B-9397-08002B2CF9AE}" pid="4" name="MSIP_Label_239d554d-d720-408f-a503-c83424d8e5d7_Method">
    <vt:lpwstr>Privileged</vt:lpwstr>
  </property>
  <property fmtid="{D5CDD505-2E9C-101B-9397-08002B2CF9AE}" pid="5" name="MSIP_Label_239d554d-d720-408f-a503-c83424d8e5d7_Name">
    <vt:lpwstr>Interní</vt:lpwstr>
  </property>
  <property fmtid="{D5CDD505-2E9C-101B-9397-08002B2CF9AE}" pid="6" name="MSIP_Label_239d554d-d720-408f-a503-c83424d8e5d7_SiteId">
    <vt:lpwstr>e84ea0de-38e7-4864-b153-a909a7746ff0</vt:lpwstr>
  </property>
  <property fmtid="{D5CDD505-2E9C-101B-9397-08002B2CF9AE}" pid="7" name="MSIP_Label_239d554d-d720-408f-a503-c83424d8e5d7_ActionId">
    <vt:lpwstr>847d34a4-2079-4617-b907-48962131f1d0</vt:lpwstr>
  </property>
  <property fmtid="{D5CDD505-2E9C-101B-9397-08002B2CF9AE}" pid="8" name="MSIP_Label_239d554d-d720-408f-a503-c83424d8e5d7_ContentBits">
    <vt:lpwstr>0</vt:lpwstr>
  </property>
  <property fmtid="{D5CDD505-2E9C-101B-9397-08002B2CF9AE}" pid="9" name="MSIP_Label_6bd9ddd1-4d20-43f6-abfa-fc3c07406f94_Enabled">
    <vt:lpwstr>true</vt:lpwstr>
  </property>
  <property fmtid="{D5CDD505-2E9C-101B-9397-08002B2CF9AE}" pid="10" name="MSIP_Label_6bd9ddd1-4d20-43f6-abfa-fc3c07406f94_SetDate">
    <vt:lpwstr>2024-07-23T13:13:45Z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416ec9c2-0903-4c5e-8a3c-c6bb8637c957</vt:lpwstr>
  </property>
  <property fmtid="{D5CDD505-2E9C-101B-9397-08002B2CF9AE}" pid="15" name="MSIP_Label_6bd9ddd1-4d20-43f6-abfa-fc3c07406f94_ContentBits">
    <vt:lpwstr>0</vt:lpwstr>
  </property>
</Properties>
</file>