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96C20" w14:paraId="2D98EF73" w14:textId="77777777" w:rsidTr="00697188">
        <w:trPr>
          <w:trHeight w:val="1134"/>
        </w:trPr>
        <w:tc>
          <w:tcPr>
            <w:tcW w:w="9214" w:type="dxa"/>
            <w:shd w:val="pct15" w:color="auto" w:fill="auto"/>
          </w:tcPr>
          <w:p w14:paraId="7C4D597B" w14:textId="77777777" w:rsidR="00C076F2" w:rsidRPr="00D96C20"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w:t>
            </w:r>
          </w:p>
          <w:bookmarkEnd w:id="0"/>
          <w:bookmarkEnd w:id="1"/>
          <w:p w14:paraId="3E6EBB0B" w14:textId="77777777" w:rsidR="00C076F2" w:rsidRPr="00D96C20" w:rsidRDefault="00C076F2" w:rsidP="00C076F2">
            <w:pPr>
              <w:pStyle w:val="Heading2"/>
              <w:spacing w:before="240" w:after="240"/>
              <w:jc w:val="center"/>
              <w:rPr>
                <w:sz w:val="32"/>
                <w:szCs w:val="32"/>
              </w:rPr>
            </w:pPr>
            <w:r>
              <w:rPr>
                <w:sz w:val="32"/>
              </w:rPr>
              <w:t>Актуализиран*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bookmarkStart w:id="2" w:name="_Hlk152693571"/>
            <w:r w:rsidRPr="00D96C20">
              <w:rPr>
                <w:sz w:val="32"/>
                <w:szCs w:val="32"/>
                <w:vertAlign w:val="superscript"/>
              </w:rPr>
              <w:footnoteReference w:id="2"/>
            </w:r>
            <w:bookmarkEnd w:id="2"/>
            <w:r>
              <w:rPr>
                <w:sz w:val="32"/>
              </w:rPr>
              <w:t xml:space="preserve"> </w:t>
            </w:r>
          </w:p>
          <w:p w14:paraId="5E98E9F7" w14:textId="77777777" w:rsidR="002B52B3" w:rsidRPr="00D96C20" w:rsidRDefault="002B52B3" w:rsidP="00882B8A">
            <w:pPr>
              <w:jc w:val="center"/>
              <w:rPr>
                <w:sz w:val="32"/>
                <w:szCs w:val="32"/>
              </w:rPr>
            </w:pPr>
            <w:r>
              <w:rPr>
                <w:sz w:val="32"/>
              </w:rPr>
              <w:t>Глава 4.10 — Помощи за районни отоплителни и охладителни системи</w:t>
            </w:r>
          </w:p>
          <w:p w14:paraId="469DC4EF" w14:textId="2B54A3FD" w:rsidR="00C076F2" w:rsidRPr="00D96C20" w:rsidRDefault="00C076F2" w:rsidP="00C076F2">
            <w:r>
              <w:t>* все още неприет официално</w:t>
            </w:r>
          </w:p>
        </w:tc>
      </w:tr>
    </w:tbl>
    <w:p w14:paraId="35C43324" w14:textId="77777777" w:rsidR="00C076F2" w:rsidRPr="00D96C20" w:rsidRDefault="00C076F2" w:rsidP="00C076F2">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5661C6FF" w14:textId="6900E16C" w:rsidR="00C076F2" w:rsidRPr="00D96C20" w:rsidRDefault="00C076F2" w:rsidP="009E2EA1">
      <w:pPr>
        <w:spacing w:before="120" w:after="120"/>
        <w:ind w:right="-142"/>
        <w:jc w:val="both"/>
        <w:rPr>
          <w:i/>
          <w:iCs/>
        </w:rPr>
      </w:pPr>
      <w:r>
        <w:rPr>
          <w:i/>
        </w:rPr>
        <w:t xml:space="preserve">Настоящият формуляр за допълнителна информация се отнася за мерките, обхванати от глава 4.10 от CEEAG. Ако уведомлението включва мерки, които са обхванати от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140907B2" w14:textId="712B456C" w:rsidR="00C076F2" w:rsidRPr="00D96C20" w:rsidRDefault="00C076F2" w:rsidP="00C076F2">
      <w:pPr>
        <w:spacing w:before="120" w:after="120"/>
        <w:ind w:right="-142"/>
        <w:jc w:val="both"/>
        <w:rPr>
          <w:i/>
          <w:iCs/>
        </w:rPr>
      </w:pPr>
      <w:r>
        <w:rPr>
          <w:i/>
        </w:rPr>
        <w:t xml:space="preserve">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се посочват в съответните раздели на настоящия формуляр за допълнителна информация. </w:t>
      </w:r>
    </w:p>
    <w:p w14:paraId="73EB8CDA" w14:textId="77777777" w:rsidR="00193E48" w:rsidRPr="00D96C20"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D96C20" w14:paraId="2EC55755" w14:textId="77777777" w:rsidTr="00697188">
        <w:tc>
          <w:tcPr>
            <w:tcW w:w="9286" w:type="dxa"/>
            <w:shd w:val="pct15" w:color="auto" w:fill="auto"/>
          </w:tcPr>
          <w:p w14:paraId="3FE0D12C" w14:textId="2FC409D3" w:rsidR="000442F5" w:rsidRPr="00D96C20" w:rsidRDefault="00193E48" w:rsidP="007B7B48">
            <w:pPr>
              <w:spacing w:before="120" w:after="120"/>
              <w:jc w:val="center"/>
              <w:rPr>
                <w:b/>
                <w:iCs/>
                <w:sz w:val="32"/>
                <w:szCs w:val="32"/>
              </w:rPr>
            </w:pPr>
            <w:r>
              <w:lastRenderedPageBreak/>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Pr="00D96C20" w:rsidRDefault="00564D5B" w:rsidP="00564D5B">
      <w:pPr>
        <w:pStyle w:val="ListParagraph"/>
        <w:spacing w:before="120" w:after="120"/>
        <w:ind w:left="567"/>
        <w:contextualSpacing w:val="0"/>
        <w:jc w:val="both"/>
        <w:rPr>
          <w:b/>
        </w:rPr>
      </w:pPr>
    </w:p>
    <w:p w14:paraId="28B706E8" w14:textId="5AE686B3" w:rsidR="000442F5" w:rsidRPr="00C21EF1" w:rsidRDefault="007302C9" w:rsidP="00C52CFD">
      <w:pPr>
        <w:pStyle w:val="ListParagraph"/>
        <w:numPr>
          <w:ilvl w:val="0"/>
          <w:numId w:val="4"/>
        </w:numPr>
        <w:spacing w:before="120" w:after="120"/>
        <w:ind w:left="567" w:hanging="567"/>
        <w:contextualSpacing w:val="0"/>
        <w:jc w:val="both"/>
        <w:rPr>
          <w:b/>
          <w:spacing w:val="-4"/>
        </w:rPr>
      </w:pPr>
      <w:r w:rsidRPr="00C21EF1">
        <w:rPr>
          <w:b/>
          <w:spacing w:val="-4"/>
        </w:rPr>
        <w:t>Контекст и цел(и) на мярката(мерките), за която(</w:t>
      </w:r>
      <w:proofErr w:type="spellStart"/>
      <w:r w:rsidRPr="00C21EF1">
        <w:rPr>
          <w:b/>
          <w:spacing w:val="-4"/>
        </w:rPr>
        <w:t>ито</w:t>
      </w:r>
      <w:proofErr w:type="spellEnd"/>
      <w:r w:rsidRPr="00C21EF1">
        <w:rPr>
          <w:b/>
          <w:spacing w:val="-4"/>
        </w:rPr>
        <w:t>) е отправено уведомление.</w:t>
      </w:r>
    </w:p>
    <w:p w14:paraId="4521A9FC" w14:textId="4B18252F" w:rsidR="00C076F2" w:rsidRPr="00D96C20" w:rsidRDefault="00C076F2" w:rsidP="000B3E97">
      <w:pPr>
        <w:pStyle w:val="ListParagraph"/>
        <w:numPr>
          <w:ilvl w:val="0"/>
          <w:numId w:val="37"/>
        </w:numPr>
        <w:spacing w:before="120" w:after="120"/>
        <w:ind w:left="993" w:hanging="284"/>
        <w:jc w:val="both"/>
      </w:pPr>
      <w:r>
        <w:t xml:space="preserve">Ако не е обсъдено в раздел 5.2 от формуляра за обща информация (част I), моля, представете контекста и основната цел, включително всички цели на Съюза за намаляване и премахване на емисиите на парникови газове, които мярката е предназначена да подкрепи; </w:t>
      </w:r>
    </w:p>
    <w:p w14:paraId="58A3E6F8" w14:textId="0435D3A3" w:rsidR="005937D4" w:rsidRPr="00D96C20" w:rsidRDefault="005937D4" w:rsidP="005937D4">
      <w:pPr>
        <w:tabs>
          <w:tab w:val="left" w:leader="dot" w:pos="9072"/>
        </w:tabs>
        <w:spacing w:before="120" w:after="120"/>
        <w:ind w:left="360"/>
        <w:jc w:val="both"/>
      </w:pPr>
      <w:r>
        <w:tab/>
      </w:r>
    </w:p>
    <w:p w14:paraId="37830F0D" w14:textId="77777777" w:rsidR="00C076F2" w:rsidRPr="00D96C20" w:rsidRDefault="00C076F2" w:rsidP="00C076F2">
      <w:pPr>
        <w:pStyle w:val="ListParagraph"/>
        <w:spacing w:before="120" w:after="120"/>
        <w:jc w:val="both"/>
      </w:pPr>
    </w:p>
    <w:p w14:paraId="0E9391CE" w14:textId="77777777" w:rsidR="00C076F2" w:rsidRPr="00D96C20" w:rsidRDefault="00C076F2" w:rsidP="000B3E97">
      <w:pPr>
        <w:pStyle w:val="ListParagraph"/>
        <w:spacing w:before="120" w:after="120"/>
        <w:ind w:left="993" w:hanging="284"/>
        <w:contextualSpacing w:val="0"/>
        <w:jc w:val="both"/>
      </w:pPr>
      <w:r>
        <w:t>ii.</w:t>
      </w:r>
      <w:r>
        <w:tab/>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вътрешния пазар. </w:t>
      </w:r>
    </w:p>
    <w:p w14:paraId="3E653A30" w14:textId="031BCFC3" w:rsidR="005937D4" w:rsidRPr="00D96C20" w:rsidRDefault="005937D4" w:rsidP="005937D4">
      <w:pPr>
        <w:tabs>
          <w:tab w:val="left" w:leader="dot" w:pos="9072"/>
        </w:tabs>
        <w:spacing w:before="120" w:after="120"/>
        <w:ind w:left="360"/>
        <w:jc w:val="both"/>
      </w:pPr>
      <w:r>
        <w:tab/>
      </w:r>
    </w:p>
    <w:p w14:paraId="189C473A" w14:textId="77777777" w:rsidR="005937D4" w:rsidRPr="00D96C20" w:rsidRDefault="005937D4" w:rsidP="00C076F2">
      <w:pPr>
        <w:pStyle w:val="ListParagraph"/>
        <w:spacing w:before="120" w:after="120"/>
        <w:contextualSpacing w:val="0"/>
        <w:jc w:val="both"/>
      </w:pPr>
    </w:p>
    <w:p w14:paraId="59CBFA17" w14:textId="78575AA1" w:rsidR="005A412F" w:rsidRPr="00D96C20" w:rsidRDefault="00D96C20" w:rsidP="00C076F2">
      <w:pPr>
        <w:pStyle w:val="ListParagraph"/>
        <w:numPr>
          <w:ilvl w:val="0"/>
          <w:numId w:val="4"/>
        </w:numPr>
        <w:spacing w:before="120" w:after="120"/>
        <w:ind w:left="567" w:hanging="567"/>
        <w:contextualSpacing w:val="0"/>
        <w:jc w:val="both"/>
        <w:rPr>
          <w:b/>
        </w:rPr>
      </w:pPr>
      <w:r>
        <w:rPr>
          <w:b/>
        </w:rPr>
        <w:t>Влизане в сила и срок на действие:</w:t>
      </w:r>
    </w:p>
    <w:p w14:paraId="3C55498B" w14:textId="77777777" w:rsidR="005937D4" w:rsidRPr="00D96C20" w:rsidRDefault="005937D4" w:rsidP="00F10E39">
      <w:pPr>
        <w:pStyle w:val="ListParagraph"/>
        <w:numPr>
          <w:ilvl w:val="0"/>
          <w:numId w:val="31"/>
        </w:numPr>
        <w:ind w:left="993" w:hanging="142"/>
        <w:jc w:val="both"/>
        <w:rPr>
          <w:szCs w:val="24"/>
        </w:rPr>
      </w:pPr>
      <w:r>
        <w:t>доколкото не е направено в раздел 5.5 от формуляра за обща информация (част I), моля, посочете датата, от която се планира схемата за помощ да влезе в сила;</w:t>
      </w:r>
    </w:p>
    <w:p w14:paraId="2EF337FB" w14:textId="77777777" w:rsidR="005937D4" w:rsidRPr="00D96C20" w:rsidRDefault="005937D4" w:rsidP="005937D4">
      <w:pPr>
        <w:tabs>
          <w:tab w:val="left" w:leader="dot" w:pos="9072"/>
        </w:tabs>
        <w:spacing w:before="120" w:after="120"/>
        <w:ind w:left="567"/>
        <w:jc w:val="both"/>
      </w:pPr>
      <w:r>
        <w:tab/>
      </w:r>
    </w:p>
    <w:p w14:paraId="43B773E5" w14:textId="77777777" w:rsidR="005937D4" w:rsidRPr="00D96C20" w:rsidRDefault="005937D4" w:rsidP="00F10E39">
      <w:pPr>
        <w:pStyle w:val="ListParagraph"/>
        <w:numPr>
          <w:ilvl w:val="0"/>
          <w:numId w:val="31"/>
        </w:numPr>
        <w:ind w:left="993" w:hanging="142"/>
        <w:jc w:val="both"/>
        <w:rPr>
          <w:szCs w:val="24"/>
        </w:rPr>
      </w:pPr>
      <w:r>
        <w:t>моля, посочете продължителността на схемата</w:t>
      </w:r>
      <w:r w:rsidRPr="00D96C20">
        <w:rPr>
          <w:szCs w:val="24"/>
          <w:vertAlign w:val="superscript"/>
        </w:rPr>
        <w:footnoteReference w:id="3"/>
      </w:r>
      <w:r>
        <w:t>.</w:t>
      </w:r>
    </w:p>
    <w:p w14:paraId="6FE5FE9E" w14:textId="77777777" w:rsidR="005937D4" w:rsidRPr="00D96C20" w:rsidRDefault="005937D4" w:rsidP="005937D4">
      <w:pPr>
        <w:tabs>
          <w:tab w:val="left" w:leader="dot" w:pos="9072"/>
        </w:tabs>
        <w:spacing w:before="120" w:after="120"/>
        <w:ind w:left="567"/>
        <w:jc w:val="both"/>
      </w:pPr>
      <w:r>
        <w:tab/>
      </w:r>
    </w:p>
    <w:p w14:paraId="5512E752" w14:textId="3773BE4C" w:rsidR="000442F5" w:rsidRPr="00D96C20" w:rsidRDefault="004D14A6" w:rsidP="00C52CFD">
      <w:pPr>
        <w:pStyle w:val="ListParagraph"/>
        <w:numPr>
          <w:ilvl w:val="0"/>
          <w:numId w:val="4"/>
        </w:numPr>
        <w:spacing w:before="120" w:after="120"/>
        <w:ind w:left="567" w:hanging="567"/>
        <w:contextualSpacing w:val="0"/>
        <w:jc w:val="both"/>
        <w:rPr>
          <w:rFonts w:cs="Arial Unicode MS"/>
          <w:b/>
          <w:bCs/>
        </w:rPr>
      </w:pPr>
      <w:proofErr w:type="spellStart"/>
      <w:r>
        <w:rPr>
          <w:b/>
        </w:rPr>
        <w:t>Бенефициер</w:t>
      </w:r>
      <w:proofErr w:type="spellEnd"/>
      <w:r>
        <w:rPr>
          <w:b/>
        </w:rPr>
        <w:t>(и)</w:t>
      </w:r>
      <w:r>
        <w:rPr>
          <w:b/>
        </w:rPr>
        <w:tab/>
      </w:r>
    </w:p>
    <w:p w14:paraId="222C106D" w14:textId="2C52D160" w:rsidR="007444CC" w:rsidRPr="00C21EF1" w:rsidRDefault="007444CC" w:rsidP="00F10E39">
      <w:pPr>
        <w:pStyle w:val="ListParagraph"/>
        <w:numPr>
          <w:ilvl w:val="0"/>
          <w:numId w:val="20"/>
        </w:numPr>
        <w:ind w:left="1078" w:hanging="227"/>
        <w:jc w:val="both"/>
        <w:rPr>
          <w:spacing w:val="-4"/>
          <w:szCs w:val="24"/>
        </w:rPr>
      </w:pPr>
      <w:r w:rsidRPr="00C21EF1">
        <w:rPr>
          <w:spacing w:val="-4"/>
        </w:rPr>
        <w:t xml:space="preserve">Ако не е направено в раздел 3 от формуляра за обща информация (част I), моля, опишете (потенциалния/потенциалните) </w:t>
      </w:r>
      <w:proofErr w:type="spellStart"/>
      <w:r w:rsidRPr="00C21EF1">
        <w:rPr>
          <w:spacing w:val="-4"/>
        </w:rPr>
        <w:t>бенефициер</w:t>
      </w:r>
      <w:proofErr w:type="spellEnd"/>
      <w:r w:rsidRPr="00C21EF1">
        <w:rPr>
          <w:spacing w:val="-4"/>
        </w:rPr>
        <w:t>(и) на мярката</w:t>
      </w:r>
      <w:r w:rsidR="00C21EF1" w:rsidRPr="00C21EF1">
        <w:rPr>
          <w:spacing w:val="-4"/>
        </w:rPr>
        <w:t xml:space="preserve"> </w:t>
      </w:r>
      <w:r w:rsidRPr="00C21EF1">
        <w:rPr>
          <w:spacing w:val="-4"/>
        </w:rPr>
        <w:t>(мерките);</w:t>
      </w:r>
    </w:p>
    <w:p w14:paraId="0F7EF374" w14:textId="77777777" w:rsidR="007444CC" w:rsidRPr="00D96C20" w:rsidRDefault="007444CC" w:rsidP="007444CC">
      <w:pPr>
        <w:tabs>
          <w:tab w:val="left" w:leader="dot" w:pos="9072"/>
        </w:tabs>
        <w:spacing w:before="120" w:after="120"/>
        <w:ind w:left="567"/>
        <w:jc w:val="both"/>
      </w:pPr>
      <w:r>
        <w:tab/>
      </w:r>
    </w:p>
    <w:p w14:paraId="144E520E" w14:textId="77777777" w:rsidR="007444CC" w:rsidRPr="00C21EF1" w:rsidRDefault="007444CC" w:rsidP="00F10E39">
      <w:pPr>
        <w:pStyle w:val="ListParagraph"/>
        <w:numPr>
          <w:ilvl w:val="0"/>
          <w:numId w:val="20"/>
        </w:numPr>
        <w:ind w:left="1078" w:hanging="227"/>
        <w:jc w:val="both"/>
        <w:rPr>
          <w:spacing w:val="-6"/>
          <w:szCs w:val="24"/>
        </w:rPr>
      </w:pPr>
      <w:r w:rsidRPr="00C21EF1">
        <w:rPr>
          <w:spacing w:val="-6"/>
        </w:rPr>
        <w:t xml:space="preserve">Моля, посочете местоположението на (потенциалния/потенциалните) </w:t>
      </w:r>
      <w:proofErr w:type="spellStart"/>
      <w:r w:rsidRPr="00C21EF1">
        <w:rPr>
          <w:spacing w:val="-6"/>
        </w:rPr>
        <w:t>бенефициер</w:t>
      </w:r>
      <w:proofErr w:type="spellEnd"/>
      <w:r w:rsidRPr="00C21EF1">
        <w:rPr>
          <w:spacing w:val="-6"/>
        </w:rPr>
        <w:t>(и) (т.е. дали само стопански субекти, намиращи се в съответните държави членки, или и в други държави членки, имат право да участват в мярката).</w:t>
      </w:r>
    </w:p>
    <w:p w14:paraId="1BAE9D4F" w14:textId="77777777" w:rsidR="007444CC" w:rsidRPr="00D96C20" w:rsidRDefault="007444CC" w:rsidP="007444CC">
      <w:pPr>
        <w:tabs>
          <w:tab w:val="left" w:leader="dot" w:pos="9072"/>
        </w:tabs>
        <w:spacing w:before="120" w:after="120"/>
        <w:ind w:left="567"/>
        <w:jc w:val="both"/>
      </w:pPr>
      <w:r>
        <w:tab/>
      </w:r>
    </w:p>
    <w:p w14:paraId="14D59859" w14:textId="77777777" w:rsidR="007444CC" w:rsidRPr="00D96C20" w:rsidRDefault="007444CC" w:rsidP="00F10E39">
      <w:pPr>
        <w:pStyle w:val="ListParagraph"/>
        <w:numPr>
          <w:ilvl w:val="0"/>
          <w:numId w:val="20"/>
        </w:numPr>
        <w:ind w:left="1078" w:hanging="227"/>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61424E18" w14:textId="77777777" w:rsidR="007444CC" w:rsidRPr="00D96C20" w:rsidRDefault="007444CC" w:rsidP="007444CC">
      <w:pPr>
        <w:pStyle w:val="ListParagraph"/>
        <w:rPr>
          <w:szCs w:val="24"/>
        </w:rPr>
      </w:pPr>
    </w:p>
    <w:p w14:paraId="47BADEA9" w14:textId="77777777" w:rsidR="007444CC" w:rsidRPr="00D96C20" w:rsidRDefault="007444CC" w:rsidP="007444CC">
      <w:pPr>
        <w:pStyle w:val="ListParagraph"/>
        <w:ind w:left="1077"/>
        <w:jc w:val="both"/>
        <w:rPr>
          <w:szCs w:val="24"/>
        </w:rPr>
      </w:pPr>
      <w:r>
        <w:lastRenderedPageBreak/>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 (мерките) за помощ. </w:t>
      </w:r>
    </w:p>
    <w:p w14:paraId="66FCE178" w14:textId="77777777" w:rsidR="007444CC" w:rsidRPr="00D96C20" w:rsidRDefault="007444CC" w:rsidP="007444CC">
      <w:pPr>
        <w:tabs>
          <w:tab w:val="left" w:leader="dot" w:pos="9072"/>
        </w:tabs>
        <w:spacing w:before="120" w:after="120"/>
        <w:ind w:left="567"/>
        <w:jc w:val="both"/>
      </w:pPr>
      <w:r>
        <w:tab/>
      </w:r>
    </w:p>
    <w:p w14:paraId="0E629DE6" w14:textId="77777777" w:rsidR="007444CC" w:rsidRPr="00D96C20" w:rsidRDefault="007444CC" w:rsidP="00F10E39">
      <w:pPr>
        <w:pStyle w:val="ListParagraph"/>
        <w:numPr>
          <w:ilvl w:val="0"/>
          <w:numId w:val="20"/>
        </w:numPr>
        <w:ind w:left="1078" w:hanging="227"/>
        <w:jc w:val="both"/>
        <w:rPr>
          <w:szCs w:val="24"/>
        </w:rPr>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78504A35" w14:textId="77777777" w:rsidR="007444CC" w:rsidRPr="00D96C20" w:rsidRDefault="007444CC" w:rsidP="007444CC">
      <w:pPr>
        <w:tabs>
          <w:tab w:val="left" w:leader="dot" w:pos="9072"/>
        </w:tabs>
        <w:spacing w:before="120" w:after="120"/>
        <w:ind w:left="567"/>
        <w:jc w:val="both"/>
      </w:pPr>
      <w:r>
        <w:tab/>
      </w:r>
    </w:p>
    <w:p w14:paraId="342676FE" w14:textId="40D0E59A" w:rsidR="00C11603" w:rsidRPr="00D96C20" w:rsidRDefault="00C11603" w:rsidP="00C52CFD">
      <w:pPr>
        <w:pStyle w:val="ListParagraph"/>
        <w:numPr>
          <w:ilvl w:val="0"/>
          <w:numId w:val="4"/>
        </w:numPr>
        <w:spacing w:before="120" w:after="120"/>
        <w:ind w:left="567" w:hanging="567"/>
        <w:contextualSpacing w:val="0"/>
        <w:jc w:val="both"/>
        <w:rPr>
          <w:rFonts w:cs="Arial Unicode MS"/>
          <w:bCs/>
        </w:rPr>
      </w:pPr>
      <w:r>
        <w:rPr>
          <w:b/>
          <w:bCs/>
        </w:rPr>
        <w:t>Бюджет и финансиране на мярката(мерките).</w:t>
      </w:r>
    </w:p>
    <w:p w14:paraId="3B40DA20"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цялата продължителност на мярката(мерките); ако общият бюджет не е известен (например тъй като зависи от резултатите от търгове), моля, посочете прогнозен бюджет, включително допусканията, използвани за изчисляване на съответния прогнозен бюджет</w:t>
      </w:r>
      <w:r w:rsidRPr="00D96C20">
        <w:rPr>
          <w:szCs w:val="24"/>
          <w:vertAlign w:val="superscript"/>
        </w:rPr>
        <w:footnoteReference w:id="4"/>
      </w:r>
      <w:r>
        <w:t>.</w:t>
      </w:r>
    </w:p>
    <w:p w14:paraId="41FCE15B" w14:textId="77777777" w:rsidR="007444CC" w:rsidRPr="00D96C20" w:rsidRDefault="007444CC" w:rsidP="007444CC">
      <w:pPr>
        <w:tabs>
          <w:tab w:val="left" w:leader="dot" w:pos="9072"/>
        </w:tabs>
        <w:spacing w:before="120" w:after="120"/>
        <w:ind w:left="567"/>
        <w:jc w:val="both"/>
      </w:pPr>
      <w:r>
        <w:tab/>
      </w:r>
    </w:p>
    <w:p w14:paraId="1D5E30D5" w14:textId="77777777" w:rsidR="007444CC" w:rsidRPr="00D96C20" w:rsidRDefault="007444CC" w:rsidP="00F10E39">
      <w:pPr>
        <w:pStyle w:val="ListParagraph"/>
        <w:numPr>
          <w:ilvl w:val="0"/>
          <w:numId w:val="21"/>
        </w:numPr>
        <w:spacing w:before="120" w:after="120"/>
        <w:ind w:left="993" w:hanging="284"/>
        <w:contextualSpacing w:val="0"/>
        <w:jc w:val="both"/>
        <w:rPr>
          <w:rFonts w:cs="Arial Unicode MS"/>
          <w:bCs/>
        </w:rPr>
      </w:pPr>
      <w:bookmarkStart w:id="3" w:name="_Ref116914400"/>
      <w:r>
        <w:t>Ако мярката се финансира чрез такса, моля пояснете дали:</w:t>
      </w:r>
      <w:bookmarkEnd w:id="3"/>
    </w:p>
    <w:p w14:paraId="41842DE0" w14:textId="77777777" w:rsidR="007444CC" w:rsidRPr="00C21EF1" w:rsidRDefault="007444CC" w:rsidP="00F10E39">
      <w:pPr>
        <w:pStyle w:val="ListParagraph"/>
        <w:numPr>
          <w:ilvl w:val="1"/>
          <w:numId w:val="21"/>
        </w:numPr>
        <w:spacing w:before="120" w:after="120"/>
        <w:contextualSpacing w:val="0"/>
        <w:jc w:val="both"/>
        <w:rPr>
          <w:rFonts w:cs="Arial Unicode MS"/>
          <w:bCs/>
          <w:spacing w:val="-4"/>
        </w:rPr>
      </w:pPr>
      <w:r w:rsidRPr="00C21EF1">
        <w:rPr>
          <w:spacing w:val="-4"/>
        </w:rPr>
        <w:t>таксата е определена със закон или друг законодателен акт; ако отговорът е положителен, моля, посочете правния акт, номера и датата, на която е приет и влязъл в сила, интернет връзка към правния акт;</w:t>
      </w:r>
    </w:p>
    <w:p w14:paraId="06E0C3B1" w14:textId="77777777" w:rsidR="007444CC" w:rsidRPr="00D96C20" w:rsidRDefault="007444CC" w:rsidP="007444CC">
      <w:pPr>
        <w:tabs>
          <w:tab w:val="left" w:leader="dot" w:pos="9072"/>
        </w:tabs>
        <w:spacing w:before="120" w:after="120"/>
        <w:ind w:left="927"/>
        <w:jc w:val="both"/>
      </w:pPr>
      <w:r>
        <w:tab/>
      </w:r>
    </w:p>
    <w:p w14:paraId="77C0248E"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таксата се прилага еднакво по отношение на местните и вносните продукти;</w:t>
      </w:r>
    </w:p>
    <w:p w14:paraId="214751D3" w14:textId="77777777" w:rsidR="007444CC" w:rsidRPr="00D96C20" w:rsidRDefault="007444CC" w:rsidP="007444CC">
      <w:pPr>
        <w:tabs>
          <w:tab w:val="left" w:leader="dot" w:pos="9072"/>
        </w:tabs>
        <w:spacing w:before="120" w:after="120"/>
        <w:ind w:left="927"/>
        <w:jc w:val="both"/>
      </w:pPr>
      <w:r>
        <w:tab/>
      </w:r>
    </w:p>
    <w:p w14:paraId="481AD768" w14:textId="3E0745D5" w:rsidR="007444CC" w:rsidRPr="00D96C20" w:rsidRDefault="007444CC" w:rsidP="00F10E39">
      <w:pPr>
        <w:pStyle w:val="ListParagraph"/>
        <w:numPr>
          <w:ilvl w:val="1"/>
          <w:numId w:val="21"/>
        </w:numPr>
        <w:spacing w:before="120" w:after="120"/>
        <w:contextualSpacing w:val="0"/>
        <w:jc w:val="both"/>
        <w:rPr>
          <w:rFonts w:cs="Arial Unicode MS"/>
          <w:bCs/>
        </w:rPr>
      </w:pPr>
      <w:r>
        <w:t>от мярката, за която е отправено уведомление, ще се възползват както местните, така и чуждестранните производители;</w:t>
      </w:r>
    </w:p>
    <w:p w14:paraId="48C67CC2" w14:textId="77777777" w:rsidR="007444CC" w:rsidRPr="00D96C20" w:rsidRDefault="007444CC" w:rsidP="007444CC">
      <w:pPr>
        <w:tabs>
          <w:tab w:val="left" w:leader="dot" w:pos="9072"/>
        </w:tabs>
        <w:spacing w:before="120" w:after="120"/>
        <w:ind w:left="927"/>
        <w:jc w:val="both"/>
      </w:pPr>
      <w:r>
        <w:tab/>
      </w:r>
    </w:p>
    <w:p w14:paraId="01ACFF5D"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64CD40F0" w14:textId="77777777" w:rsidR="007444CC" w:rsidRPr="00D96C20" w:rsidRDefault="007444CC" w:rsidP="007444CC">
      <w:pPr>
        <w:tabs>
          <w:tab w:val="left" w:leader="dot" w:pos="9072"/>
        </w:tabs>
        <w:spacing w:before="120" w:after="120"/>
        <w:ind w:left="927"/>
        <w:jc w:val="both"/>
      </w:pPr>
      <w:r>
        <w:tab/>
      </w:r>
    </w:p>
    <w:p w14:paraId="31413333" w14:textId="77777777" w:rsidR="007444CC" w:rsidRPr="00D96C20" w:rsidRDefault="007444CC" w:rsidP="00F10E39">
      <w:pPr>
        <w:pStyle w:val="ListParagraph"/>
        <w:numPr>
          <w:ilvl w:val="1"/>
          <w:numId w:val="21"/>
        </w:numPr>
        <w:spacing w:before="120" w:after="120"/>
        <w:contextualSpacing w:val="0"/>
        <w:jc w:val="both"/>
        <w:rPr>
          <w:rFonts w:cs="Arial Unicode MS"/>
          <w:bCs/>
        </w:rPr>
      </w:pPr>
      <w:r>
        <w:t>от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съответната такса.</w:t>
      </w:r>
    </w:p>
    <w:p w14:paraId="0C74DE83" w14:textId="7D554E9A" w:rsidR="00BA5751" w:rsidRPr="00D96C20" w:rsidRDefault="007444CC" w:rsidP="00BA5751">
      <w:pPr>
        <w:tabs>
          <w:tab w:val="left" w:leader="dot" w:pos="9072"/>
        </w:tabs>
        <w:spacing w:before="120" w:after="120"/>
        <w:ind w:left="567"/>
        <w:jc w:val="both"/>
      </w:pPr>
      <w:bookmarkStart w:id="4" w:name="_Hlk163737291"/>
      <w:r>
        <w:tab/>
      </w:r>
      <w:bookmarkEnd w:id="4"/>
      <w:r>
        <w:tab/>
      </w:r>
    </w:p>
    <w:p w14:paraId="65388348" w14:textId="77777777" w:rsidR="00BA5751" w:rsidRPr="00D96C20" w:rsidRDefault="00BA5751" w:rsidP="00BA5751">
      <w:pPr>
        <w:pStyle w:val="ListParagraph"/>
        <w:spacing w:before="120" w:after="120"/>
        <w:ind w:left="993"/>
        <w:contextualSpacing w:val="0"/>
        <w:jc w:val="both"/>
      </w:pPr>
    </w:p>
    <w:p w14:paraId="42A291CB" w14:textId="77777777" w:rsidR="009916D5" w:rsidRPr="00D96C20"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D96C20" w14:paraId="23C2E9FC" w14:textId="77777777" w:rsidTr="00697188">
        <w:tc>
          <w:tcPr>
            <w:tcW w:w="9286" w:type="dxa"/>
            <w:shd w:val="pct15" w:color="auto" w:fill="auto"/>
          </w:tcPr>
          <w:p w14:paraId="1E14EC88" w14:textId="71541B27" w:rsidR="000442F5" w:rsidRPr="00D96C20" w:rsidRDefault="000442F5" w:rsidP="00DE2433">
            <w:pPr>
              <w:spacing w:before="120" w:after="120"/>
              <w:jc w:val="center"/>
              <w:rPr>
                <w:b/>
                <w:sz w:val="32"/>
                <w:szCs w:val="32"/>
              </w:rPr>
            </w:pPr>
            <w:r>
              <w:rPr>
                <w:b/>
                <w:sz w:val="32"/>
              </w:rPr>
              <w:lastRenderedPageBreak/>
              <w:t>Раздел Б: Оценка на съвместимостта на помощта</w:t>
            </w:r>
          </w:p>
        </w:tc>
      </w:tr>
    </w:tbl>
    <w:p w14:paraId="07973474" w14:textId="77777777" w:rsidR="000442F5" w:rsidRPr="00D96C2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4F4ED3F1" w14:textId="77777777" w:rsidTr="00697188">
        <w:tc>
          <w:tcPr>
            <w:tcW w:w="9322" w:type="dxa"/>
            <w:shd w:val="pct15" w:color="auto" w:fill="auto"/>
          </w:tcPr>
          <w:p w14:paraId="4EC3F9B1" w14:textId="4AFDC259" w:rsidR="000442F5" w:rsidRPr="00D96C20" w:rsidRDefault="007D1E08" w:rsidP="00F10E39">
            <w:pPr>
              <w:pStyle w:val="Heading1"/>
              <w:numPr>
                <w:ilvl w:val="0"/>
                <w:numId w:val="22"/>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D96C2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96C20" w14:paraId="6414F6C3" w14:textId="77777777" w:rsidTr="00305DC0">
        <w:tc>
          <w:tcPr>
            <w:tcW w:w="9322" w:type="dxa"/>
            <w:shd w:val="pct15" w:color="auto" w:fill="auto"/>
          </w:tcPr>
          <w:p w14:paraId="01CE580F" w14:textId="11F5C724" w:rsidR="004B5C2A" w:rsidRPr="00D96C20" w:rsidRDefault="007D1E08" w:rsidP="00F10E39">
            <w:pPr>
              <w:pStyle w:val="Heading1"/>
              <w:numPr>
                <w:ilvl w:val="1"/>
                <w:numId w:val="22"/>
              </w:numPr>
              <w:rPr>
                <w:sz w:val="24"/>
                <w:szCs w:val="24"/>
              </w:rPr>
            </w:pPr>
            <w:r>
              <w:rPr>
                <w:sz w:val="24"/>
              </w:rPr>
              <w:t>Принос към развитието на икономическа дейност</w:t>
            </w:r>
          </w:p>
        </w:tc>
      </w:tr>
    </w:tbl>
    <w:p w14:paraId="1E2599D2" w14:textId="6708984F" w:rsidR="000442F5" w:rsidRPr="00D96C20" w:rsidRDefault="000442F5" w:rsidP="000442F5">
      <w:pPr>
        <w:spacing w:before="360" w:after="120"/>
        <w:jc w:val="both"/>
        <w:rPr>
          <w:i/>
        </w:rPr>
      </w:pPr>
      <w:r>
        <w:rPr>
          <w:i/>
        </w:rPr>
        <w:t xml:space="preserve">За да предоставите информацията в настоящия раздел, моля, вижте раздел 3.1.1 (точки 23—25) и раздели 4.10.1 и 4.10.2 (точки 383—390) от CEEAG. </w:t>
      </w:r>
    </w:p>
    <w:p w14:paraId="05FCD0A3" w14:textId="252DA6A7" w:rsidR="00864DCD" w:rsidRPr="00D96C20" w:rsidRDefault="006B6657" w:rsidP="00C52CFD">
      <w:pPr>
        <w:pStyle w:val="ListParagraph"/>
        <w:numPr>
          <w:ilvl w:val="0"/>
          <w:numId w:val="4"/>
        </w:numPr>
        <w:spacing w:before="120" w:after="120"/>
        <w:ind w:left="567" w:hanging="567"/>
        <w:contextualSpacing w:val="0"/>
        <w:jc w:val="both"/>
      </w:pPr>
      <w:r>
        <w:t>В член 107, параграф 3, буква в) от </w:t>
      </w:r>
      <w:bookmarkStart w:id="5" w:name="_Hlk170735690"/>
      <w:r>
        <w:t>Договора за функционирането на Европейския съюз (ДФЕС)</w:t>
      </w:r>
      <w:bookmarkEnd w:id="5"/>
      <w: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ДФЕС трябва да допринася за развитието на определена икономическа дейност. </w:t>
      </w:r>
    </w:p>
    <w:p w14:paraId="32559872" w14:textId="77777777" w:rsidR="007444CC" w:rsidRPr="00D96C20" w:rsidRDefault="007444CC" w:rsidP="000442F5">
      <w:pPr>
        <w:tabs>
          <w:tab w:val="left" w:leader="dot" w:pos="9072"/>
        </w:tabs>
        <w:spacing w:before="120" w:after="120"/>
        <w:ind w:left="567"/>
        <w:jc w:val="both"/>
      </w:pPr>
      <w:r>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43E4572F" w14:textId="60BC4951" w:rsidR="000442F5" w:rsidRPr="00D96C20" w:rsidRDefault="000442F5" w:rsidP="000442F5">
      <w:pPr>
        <w:tabs>
          <w:tab w:val="left" w:leader="dot" w:pos="9072"/>
        </w:tabs>
        <w:spacing w:before="120" w:after="120"/>
        <w:ind w:left="567"/>
        <w:jc w:val="both"/>
      </w:pPr>
      <w:r>
        <w:tab/>
      </w:r>
    </w:p>
    <w:p w14:paraId="587D72F7" w14:textId="77777777" w:rsidR="007444CC" w:rsidRPr="00D96C20" w:rsidRDefault="007444CC" w:rsidP="007444CC">
      <w:pPr>
        <w:pStyle w:val="ListParagraph"/>
        <w:numPr>
          <w:ilvl w:val="0"/>
          <w:numId w:val="4"/>
        </w:numPr>
        <w:spacing w:before="120" w:after="120"/>
        <w:ind w:left="567" w:hanging="567"/>
        <w:contextualSpacing w:val="0"/>
        <w:jc w:val="both"/>
      </w:pPr>
      <w:r>
        <w:t>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p>
    <w:p w14:paraId="15364FEC" w14:textId="76494F69" w:rsidR="008102F0" w:rsidRPr="00D96C20" w:rsidRDefault="004152C3" w:rsidP="008102F0">
      <w:pPr>
        <w:tabs>
          <w:tab w:val="left" w:leader="dot" w:pos="9072"/>
        </w:tabs>
        <w:spacing w:before="120" w:after="120"/>
        <w:ind w:left="567"/>
        <w:jc w:val="both"/>
      </w:pPr>
      <w:r>
        <w:tab/>
      </w:r>
    </w:p>
    <w:p w14:paraId="3787D9AC" w14:textId="42A9F510" w:rsidR="009C1CC6" w:rsidRPr="00D96C20" w:rsidRDefault="00C865BD" w:rsidP="00C865BD">
      <w:pPr>
        <w:pStyle w:val="ListParagraph"/>
        <w:numPr>
          <w:ilvl w:val="0"/>
          <w:numId w:val="4"/>
        </w:numPr>
        <w:spacing w:before="120" w:after="120"/>
        <w:ind w:left="567" w:hanging="567"/>
        <w:contextualSpacing w:val="0"/>
        <w:jc w:val="both"/>
      </w:pPr>
      <w:r>
        <w:t>Освен това, моля, посочете до каква степен помощта е свързана с политиките, описани в точки 383 и 384 от CEEAG. Като правите това, моля, пояснете също дали проектът насърчава енергията от възобновяеми източници в съответствие с член 2, параграф 1 от Директива 2018/2001/ЕС. По-конкретно, моля, потвърдете дали с мярката се развиват ефективни районни отоплителни и охладителни системи по смисъла на член 26 от Директива (ЕС) 2023/1791 за насърчаване на отоплението и охлаждането от възобновяеми енергийни източници.</w:t>
      </w:r>
    </w:p>
    <w:p w14:paraId="34E4C47D" w14:textId="5E110BB5" w:rsidR="00B91BE0" w:rsidRPr="00D96C20" w:rsidRDefault="00B91BE0" w:rsidP="00B91BE0">
      <w:pPr>
        <w:tabs>
          <w:tab w:val="left" w:leader="dot" w:pos="9072"/>
        </w:tabs>
        <w:spacing w:before="120" w:after="120"/>
        <w:ind w:left="567"/>
        <w:jc w:val="both"/>
      </w:pPr>
      <w:r>
        <w:tab/>
      </w:r>
    </w:p>
    <w:p w14:paraId="0263C9F6" w14:textId="30E43372" w:rsidR="008D2777" w:rsidRPr="00D96C20" w:rsidRDefault="009C1CC6" w:rsidP="00C865BD">
      <w:pPr>
        <w:pStyle w:val="ListParagraph"/>
        <w:numPr>
          <w:ilvl w:val="0"/>
          <w:numId w:val="4"/>
        </w:numPr>
        <w:spacing w:before="120" w:after="120"/>
        <w:ind w:left="567" w:hanging="567"/>
        <w:contextualSpacing w:val="0"/>
        <w:jc w:val="both"/>
      </w:pPr>
      <w:r>
        <w:t xml:space="preserve">В точки 385 и 386 от CEEAG се предвижда, че при определени обстоятелства, подкрепата, ограничена до разпределителните мрежи за районно отопление, може да се счита за </w:t>
      </w:r>
      <w:proofErr w:type="spellStart"/>
      <w:r>
        <w:t>неподлежаща</w:t>
      </w:r>
      <w:proofErr w:type="spellEnd"/>
      <w:r>
        <w:t xml:space="preserve"> на контрола на държавната помощ. </w:t>
      </w:r>
    </w:p>
    <w:p w14:paraId="4F669D19" w14:textId="14DDB074" w:rsidR="008D2777" w:rsidRPr="00D96C20" w:rsidRDefault="00E9552A" w:rsidP="00A2265A">
      <w:pPr>
        <w:pStyle w:val="ListParagraph"/>
        <w:numPr>
          <w:ilvl w:val="1"/>
          <w:numId w:val="4"/>
        </w:numPr>
        <w:spacing w:before="120" w:after="120"/>
        <w:contextualSpacing w:val="0"/>
        <w:jc w:val="both"/>
      </w:pPr>
      <w:r>
        <w:t>Мярката подпомага ли разпределителните мрежи за районно отопление, които ще подлежат на достъп за трети страни, отделяне (т.е. разделяне на производството от разпределението на енергия за отопление/охлаждане) и регулирани тарифи?</w:t>
      </w:r>
    </w:p>
    <w:p w14:paraId="79238E1B" w14:textId="51B3C821" w:rsidR="00E9552A" w:rsidRPr="00D96C20" w:rsidRDefault="00E9552A" w:rsidP="00A2265A">
      <w:pPr>
        <w:pStyle w:val="ListParagraph"/>
        <w:numPr>
          <w:ilvl w:val="1"/>
          <w:numId w:val="4"/>
        </w:numPr>
        <w:spacing w:before="120" w:after="120"/>
        <w:contextualSpacing w:val="0"/>
        <w:jc w:val="both"/>
      </w:pPr>
      <w:r>
        <w:lastRenderedPageBreak/>
        <w:t>Ако отговорът на буква а) е „Да“, моля, обяснете дали разпределителната мрежа ще се експлоатира при законен и/или естествен монопол във връзка с критериите, определени в точки 374 и 375 от CEEAG.</w:t>
      </w:r>
    </w:p>
    <w:p w14:paraId="4EFAFD17" w14:textId="258CC1D3" w:rsidR="009C1CC6" w:rsidRPr="00D96C20" w:rsidRDefault="009C1CC6" w:rsidP="009C1CC6">
      <w:pPr>
        <w:tabs>
          <w:tab w:val="left" w:leader="dot" w:pos="9072"/>
        </w:tabs>
        <w:spacing w:before="120" w:after="120"/>
        <w:ind w:left="567"/>
        <w:jc w:val="both"/>
      </w:pPr>
      <w:r>
        <w:tab/>
      </w:r>
    </w:p>
    <w:p w14:paraId="4F4A348D" w14:textId="25436FA0" w:rsidR="00355D93" w:rsidRPr="00D96C20" w:rsidRDefault="009E5AE0" w:rsidP="009C1CC6">
      <w:pPr>
        <w:pStyle w:val="ListParagraph"/>
        <w:numPr>
          <w:ilvl w:val="0"/>
          <w:numId w:val="4"/>
        </w:numPr>
        <w:spacing w:before="120" w:after="120"/>
        <w:ind w:left="567" w:hanging="567"/>
        <w:contextualSpacing w:val="0"/>
        <w:jc w:val="both"/>
      </w:pPr>
      <w:r>
        <w:t xml:space="preserve">Моля, представете информация относно обхвата и подпомаганите дейности на мярката(мерките) за помощ, както е предвидено в раздел 4.10.2 (точки 388—389) от CEEAG. Като правите това, моля, също така: </w:t>
      </w:r>
    </w:p>
    <w:p w14:paraId="66FA46BE" w14:textId="13CA8D30" w:rsidR="00355D93" w:rsidRPr="00D96C20" w:rsidRDefault="00056F69" w:rsidP="00F10E39">
      <w:pPr>
        <w:pStyle w:val="ListParagraph"/>
        <w:numPr>
          <w:ilvl w:val="0"/>
          <w:numId w:val="29"/>
        </w:numPr>
        <w:spacing w:before="120" w:after="120"/>
        <w:contextualSpacing w:val="0"/>
        <w:jc w:val="both"/>
      </w:pPr>
      <w:r>
        <w:t xml:space="preserve">Обяснете защо проектът попада в обхвата на определението за районни отоплителни/охладителни системи съгласно точка 19, подточка 27 от CEEAG и в определението за районни отоплителни и/или районни охладителни системи съгласно точка 19, подточка 28 от CEEAG. </w:t>
      </w:r>
    </w:p>
    <w:p w14:paraId="008ECD14" w14:textId="1A4FF26C" w:rsidR="009C1CC6" w:rsidRPr="00D96C20" w:rsidRDefault="00305073" w:rsidP="00F10E39">
      <w:pPr>
        <w:pStyle w:val="ListParagraph"/>
        <w:numPr>
          <w:ilvl w:val="0"/>
          <w:numId w:val="29"/>
        </w:numPr>
        <w:spacing w:before="120" w:after="120"/>
        <w:contextualSpacing w:val="0"/>
        <w:jc w:val="both"/>
      </w:pPr>
      <w:r>
        <w:t xml:space="preserve">Обяснете дали с проекта се подпомагат изграждането, модернизирането или експлоатацията на: </w:t>
      </w:r>
    </w:p>
    <w:p w14:paraId="7AB7E23F" w14:textId="46A4FE21" w:rsidR="009C1CC6" w:rsidRPr="00D96C20" w:rsidRDefault="009C1CC6" w:rsidP="00F10E39">
      <w:pPr>
        <w:pStyle w:val="ListParagraph"/>
        <w:numPr>
          <w:ilvl w:val="0"/>
          <w:numId w:val="30"/>
        </w:numPr>
        <w:spacing w:before="120" w:after="120"/>
        <w:contextualSpacing w:val="0"/>
        <w:jc w:val="both"/>
      </w:pPr>
      <w:r>
        <w:t xml:space="preserve">централа за производство и/или </w:t>
      </w:r>
    </w:p>
    <w:p w14:paraId="13341846" w14:textId="6CB47D49" w:rsidR="009C1CC6" w:rsidRPr="00D96C20" w:rsidRDefault="009C1CC6" w:rsidP="00F10E39">
      <w:pPr>
        <w:pStyle w:val="ListParagraph"/>
        <w:numPr>
          <w:ilvl w:val="0"/>
          <w:numId w:val="30"/>
        </w:numPr>
        <w:spacing w:before="120" w:after="120"/>
        <w:contextualSpacing w:val="0"/>
        <w:jc w:val="both"/>
      </w:pPr>
      <w:r>
        <w:t xml:space="preserve">съоръжение за съхранение и/или </w:t>
      </w:r>
    </w:p>
    <w:p w14:paraId="7F9E3ACD" w14:textId="32BF6B8C" w:rsidR="009C1CC6" w:rsidRPr="00D96C20" w:rsidRDefault="009C1CC6" w:rsidP="00F10E39">
      <w:pPr>
        <w:pStyle w:val="ListParagraph"/>
        <w:numPr>
          <w:ilvl w:val="0"/>
          <w:numId w:val="30"/>
        </w:numPr>
        <w:spacing w:before="120" w:after="120"/>
        <w:contextualSpacing w:val="0"/>
        <w:jc w:val="both"/>
      </w:pPr>
      <w:r>
        <w:t>разпределителна мрежа.</w:t>
      </w:r>
    </w:p>
    <w:p w14:paraId="16B1DB2A" w14:textId="7E0B0C78" w:rsidR="009C1CC6" w:rsidRPr="00D96C20" w:rsidRDefault="009C1CC6" w:rsidP="00F10E39">
      <w:pPr>
        <w:pStyle w:val="ListParagraph"/>
        <w:numPr>
          <w:ilvl w:val="0"/>
          <w:numId w:val="29"/>
        </w:numPr>
        <w:spacing w:before="120" w:after="120"/>
        <w:contextualSpacing w:val="0"/>
        <w:jc w:val="both"/>
      </w:pPr>
      <w:r>
        <w:t>Ако подкрепата е предназначена за централа за производство, обяснете какви ресурси използва тя за производството на електроенергия, районно отопление или охлаждане: енергия от възобновяеми източници, отпадна топлина или високоефективно комбинирано производство на енергия, включително решение за топлинно акумулиране.</w:t>
      </w:r>
    </w:p>
    <w:p w14:paraId="3105D86D" w14:textId="3CD496B8" w:rsidR="00B025A1" w:rsidRPr="00D96C20" w:rsidRDefault="00B025A1" w:rsidP="00F10E39">
      <w:pPr>
        <w:pStyle w:val="ListParagraph"/>
        <w:numPr>
          <w:ilvl w:val="0"/>
          <w:numId w:val="29"/>
        </w:numPr>
        <w:spacing w:before="120" w:after="120"/>
        <w:contextualSpacing w:val="0"/>
        <w:jc w:val="both"/>
      </w:pPr>
      <w:r>
        <w:t xml:space="preserve">Ако подкрепата е предназначена за централа за производство, използваща отпадъци, потвърдете, че подкрепата е ограничена или до отпадъци, които отговарят на определението за възобновяеми енергийни източници, или до отпадъци, използвани за гориво в инсталации, които отговарят на определението за високоефективно комбинирано производство на енергия. </w:t>
      </w:r>
    </w:p>
    <w:p w14:paraId="078E5364" w14:textId="231FA8DF" w:rsidR="009C1CC6" w:rsidRPr="00D96C20" w:rsidRDefault="00E6468A" w:rsidP="00F10E39">
      <w:pPr>
        <w:pStyle w:val="ListParagraph"/>
        <w:numPr>
          <w:ilvl w:val="0"/>
          <w:numId w:val="29"/>
        </w:numPr>
        <w:spacing w:before="120" w:after="120"/>
        <w:contextualSpacing w:val="0"/>
        <w:jc w:val="both"/>
      </w:pPr>
      <w:r>
        <w:t xml:space="preserve">Когато помощта се предоставя за модернизиране на районна отоплителна и охладителна система, пояснете дали районната отоплителна и охладителна система отговаря на стандарта за ефективни районни отоплителни и охладителни системи в съответствие с член 2, параграф 46 и член 26 от Директива (ЕС) 2023/1791. </w:t>
      </w:r>
    </w:p>
    <w:p w14:paraId="2A78E714" w14:textId="252E4A24" w:rsidR="00355D93" w:rsidRPr="00D96C20" w:rsidRDefault="00355D93" w:rsidP="00F10E39">
      <w:pPr>
        <w:pStyle w:val="ListParagraph"/>
        <w:numPr>
          <w:ilvl w:val="0"/>
          <w:numId w:val="29"/>
        </w:numPr>
        <w:spacing w:before="120" w:after="120"/>
        <w:contextualSpacing w:val="0"/>
        <w:jc w:val="both"/>
      </w:pPr>
      <w:r>
        <w:t xml:space="preserve">Посочете какъв вид разходи ще бъдат подкрепени с мярката: инвестиционни и/или оперативни разходи. </w:t>
      </w:r>
    </w:p>
    <w:p w14:paraId="1CD1FE6D" w14:textId="5F8EF826" w:rsidR="00355D93" w:rsidRPr="00D96C20" w:rsidRDefault="00355D93" w:rsidP="00B025A1">
      <w:pPr>
        <w:pStyle w:val="ListParagraph"/>
        <w:spacing w:before="120" w:after="120"/>
        <w:ind w:left="567"/>
        <w:contextualSpacing w:val="0"/>
        <w:jc w:val="both"/>
      </w:pPr>
    </w:p>
    <w:p w14:paraId="2BCE8BBC" w14:textId="77777777" w:rsidR="009E5AE0" w:rsidRPr="00D96C20" w:rsidRDefault="009E5AE0" w:rsidP="009E5AE0">
      <w:pPr>
        <w:tabs>
          <w:tab w:val="left" w:leader="dot" w:pos="9072"/>
        </w:tabs>
        <w:spacing w:before="120" w:after="120"/>
        <w:ind w:left="567"/>
        <w:jc w:val="both"/>
      </w:pPr>
      <w:r>
        <w:tab/>
      </w:r>
    </w:p>
    <w:p w14:paraId="348DC64D" w14:textId="5A818E0A" w:rsidR="00143ABF" w:rsidRPr="00D96C20" w:rsidRDefault="00143ABF" w:rsidP="00E1791B">
      <w:pPr>
        <w:ind w:left="-567" w:firstLine="1412"/>
      </w:pPr>
    </w:p>
    <w:p w14:paraId="37330726" w14:textId="0D3DDB33" w:rsidR="00143ABF" w:rsidRPr="00D37B1D" w:rsidRDefault="009B749D" w:rsidP="001E4498">
      <w:pPr>
        <w:pStyle w:val="ListParagraph"/>
        <w:keepLines/>
        <w:numPr>
          <w:ilvl w:val="0"/>
          <w:numId w:val="4"/>
        </w:numPr>
        <w:spacing w:before="120" w:after="120"/>
        <w:ind w:left="562" w:hanging="562"/>
        <w:contextualSpacing w:val="0"/>
        <w:jc w:val="both"/>
      </w:pPr>
      <w:r>
        <w:t xml:space="preserve">Ако помощта има за цел да подкрепи модернизирането на районна отоплителна и охладителна система, което обаче не води до това системата да отговаря на стандарта за ефективни районни отоплителни и охладителни системи по смисъла на член 26 от Директива (ЕС) 2023/1791 в резултат на подпомаганата модернизация, моля, предоставете ангажимент, че </w:t>
      </w:r>
      <w:proofErr w:type="spellStart"/>
      <w:r>
        <w:t>бенефициерът</w:t>
      </w:r>
      <w:proofErr w:type="spellEnd"/>
      <w:r>
        <w:t xml:space="preserve"> ще започне строителните работи за постигане на този стандарт за ефективност в срок от 3 години след работите по модернизиране съгласно точка 390 от CEEAG.</w:t>
      </w:r>
    </w:p>
    <w:p w14:paraId="552D030F" w14:textId="77777777" w:rsidR="008E33E6" w:rsidRPr="00D96C20" w:rsidRDefault="008E33E6" w:rsidP="008E33E6">
      <w:pPr>
        <w:keepNext/>
        <w:keepLines/>
        <w:tabs>
          <w:tab w:val="left" w:leader="dot" w:pos="9072"/>
        </w:tabs>
        <w:spacing w:before="120" w:after="120"/>
        <w:ind w:left="567"/>
        <w:jc w:val="both"/>
      </w:pPr>
      <w:r>
        <w:lastRenderedPageBreak/>
        <w:tab/>
      </w:r>
    </w:p>
    <w:p w14:paraId="4731659B" w14:textId="77777777" w:rsidR="008E33E6" w:rsidRPr="00D96C20" w:rsidRDefault="008E33E6" w:rsidP="008E33E6">
      <w:pPr>
        <w:pStyle w:val="ListParagraph"/>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96C20" w14:paraId="45672207" w14:textId="77777777" w:rsidTr="00305DC0">
        <w:tc>
          <w:tcPr>
            <w:tcW w:w="9322" w:type="dxa"/>
            <w:shd w:val="pct15" w:color="auto" w:fill="auto"/>
          </w:tcPr>
          <w:p w14:paraId="3169DD9A" w14:textId="209AD687" w:rsidR="00015E2B" w:rsidRPr="00D96C20" w:rsidRDefault="00015E2B" w:rsidP="00F10E39">
            <w:pPr>
              <w:pStyle w:val="Heading1"/>
              <w:numPr>
                <w:ilvl w:val="1"/>
                <w:numId w:val="22"/>
              </w:numPr>
              <w:rPr>
                <w:sz w:val="24"/>
                <w:szCs w:val="24"/>
              </w:rPr>
            </w:pPr>
            <w:r>
              <w:rPr>
                <w:sz w:val="24"/>
              </w:rPr>
              <w:t>Стимулиращ ефект</w:t>
            </w:r>
          </w:p>
        </w:tc>
      </w:tr>
    </w:tbl>
    <w:p w14:paraId="20915284" w14:textId="430337A5" w:rsidR="00015E2B" w:rsidRPr="00D96C20" w:rsidRDefault="00B15313" w:rsidP="000B3E97">
      <w:pPr>
        <w:spacing w:before="120" w:after="120"/>
        <w:jc w:val="both"/>
        <w:rPr>
          <w:i/>
        </w:rPr>
      </w:pPr>
      <w:r>
        <w:rPr>
          <w:i/>
        </w:rPr>
        <w:t xml:space="preserve">За да предоставите информацията в настоящия раздел, моля, вижте раздел 3.1.2 (точки 26—32) от CEEAG. </w:t>
      </w:r>
    </w:p>
    <w:p w14:paraId="7066F29D" w14:textId="77777777" w:rsidR="00BA3260" w:rsidRPr="00D96C20" w:rsidRDefault="00BA3260" w:rsidP="00BA3260">
      <w:pPr>
        <w:pStyle w:val="ListParagraph"/>
        <w:numPr>
          <w:ilvl w:val="0"/>
          <w:numId w:val="4"/>
        </w:numPr>
        <w:spacing w:before="120" w:after="120"/>
        <w:ind w:left="567" w:hanging="567"/>
        <w:contextualSpacing w:val="0"/>
        <w:jc w:val="both"/>
      </w:pPr>
      <w: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„насърчава(т) </w:t>
      </w:r>
      <w:proofErr w:type="spellStart"/>
      <w:r>
        <w:t>бенефициера</w:t>
      </w:r>
      <w:proofErr w:type="spellEnd"/>
      <w:r>
        <w:t xml:space="preserve">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Pr>
          <w:i/>
        </w:rPr>
        <w:t xml:space="preserve"> </w:t>
      </w:r>
    </w:p>
    <w:p w14:paraId="2697928B" w14:textId="2440E6E7" w:rsidR="00BA3260" w:rsidRPr="00D96C20" w:rsidRDefault="00BA3260" w:rsidP="00BA3260">
      <w:pPr>
        <w:tabs>
          <w:tab w:val="left" w:leader="dot" w:pos="9072"/>
        </w:tabs>
        <w:spacing w:before="120" w:after="120"/>
        <w:ind w:left="360"/>
        <w:jc w:val="both"/>
      </w:pPr>
      <w:r>
        <w:tab/>
      </w:r>
    </w:p>
    <w:p w14:paraId="20A4524D" w14:textId="30F47662" w:rsidR="00BA3260" w:rsidRPr="00D96C20" w:rsidRDefault="00BA3260" w:rsidP="00BA3260">
      <w:pPr>
        <w:pStyle w:val="ListParagraph"/>
        <w:spacing w:before="120" w:after="120"/>
        <w:ind w:left="567"/>
        <w:contextualSpacing w:val="0"/>
        <w:jc w:val="both"/>
      </w:pPr>
    </w:p>
    <w:p w14:paraId="4586822C" w14:textId="34B8E38F" w:rsidR="002D67D0" w:rsidRPr="00D96C20" w:rsidRDefault="002D67D0" w:rsidP="00C52CFD">
      <w:pPr>
        <w:pStyle w:val="ListParagraph"/>
        <w:numPr>
          <w:ilvl w:val="0"/>
          <w:numId w:val="4"/>
        </w:numPr>
        <w:spacing w:before="120" w:after="120"/>
        <w:ind w:left="567" w:hanging="567"/>
        <w:contextualSpacing w:val="0"/>
        <w:jc w:val="both"/>
      </w:pPr>
      <w:r>
        <w:t>За да се оцени съответствието с точка 27 от CEEAG, моля, представете информация, която да потвърди, че</w:t>
      </w:r>
      <w:r>
        <w:rPr>
          <w:color w:val="000000"/>
          <w:shd w:val="clear" w:color="auto" w:fill="FFFFFF"/>
        </w:rPr>
        <w:t xml:space="preserve"> с помощта не се подпомагат разходи за дейност, която даден </w:t>
      </w:r>
      <w:proofErr w:type="spellStart"/>
      <w:r>
        <w:rPr>
          <w:color w:val="000000"/>
          <w:shd w:val="clear" w:color="auto" w:fill="FFFFFF"/>
        </w:rPr>
        <w:t>бенефициер</w:t>
      </w:r>
      <w:proofErr w:type="spellEnd"/>
      <w:r>
        <w:rPr>
          <w:color w:val="000000"/>
          <w:shd w:val="clear" w:color="auto" w:fill="FFFFFF"/>
        </w:rPr>
        <w:t xml:space="preserve"> така или иначе би извършил, и не се компенсира обичайният търговски риск за дадена икономическа дейност</w:t>
      </w:r>
      <w:r w:rsidR="00AC5B96" w:rsidRPr="00D96C20">
        <w:rPr>
          <w:rStyle w:val="FootnoteReference"/>
          <w:color w:val="000000"/>
          <w:shd w:val="clear" w:color="auto" w:fill="FFFFFF"/>
        </w:rPr>
        <w:footnoteReference w:id="5"/>
      </w:r>
      <w:r>
        <w:t>.</w:t>
      </w:r>
      <w:r>
        <w:rPr>
          <w:i/>
        </w:rPr>
        <w:t xml:space="preserve"> </w:t>
      </w:r>
    </w:p>
    <w:p w14:paraId="543CA454" w14:textId="4E886173" w:rsidR="002D67D0" w:rsidRPr="00D96C20" w:rsidRDefault="002D67D0" w:rsidP="002D67D0">
      <w:pPr>
        <w:tabs>
          <w:tab w:val="left" w:leader="dot" w:pos="9072"/>
        </w:tabs>
        <w:spacing w:before="120" w:after="120"/>
        <w:ind w:left="567"/>
        <w:jc w:val="both"/>
      </w:pPr>
      <w:r>
        <w:tab/>
      </w:r>
    </w:p>
    <w:p w14:paraId="4AA49B40" w14:textId="349F6EAC" w:rsidR="00D70FE9" w:rsidRPr="00D96C20" w:rsidRDefault="00A255BF" w:rsidP="00015434">
      <w:pPr>
        <w:pStyle w:val="ListParagraph"/>
        <w:numPr>
          <w:ilvl w:val="0"/>
          <w:numId w:val="4"/>
        </w:numPr>
        <w:spacing w:before="120" w:after="120"/>
        <w:ind w:left="567" w:hanging="567"/>
        <w:contextualSpacing w:val="0"/>
        <w:jc w:val="both"/>
      </w:pPr>
      <w:r>
        <w:t>Моля, представете подробно описание на фактическия сценарий и вероятния(те) съпоставителен(ни) сценарий(и). В случай че схемите обхващат различни референтни проекти</w:t>
      </w:r>
      <w:r w:rsidR="0030040A" w:rsidRPr="00D37B1D">
        <w:rPr>
          <w:rStyle w:val="FootnoteReference"/>
          <w:lang w:val="en-IE" w:eastAsia="en-GB"/>
        </w:rPr>
        <w:footnoteReference w:id="6"/>
      </w:r>
      <w:r>
        <w:t xml:space="preserve">, такова описание трябва да се представи за всеки референтен проект. За изграждането, модернизирането и експлоатацията на разпределителни мрежи се приема, че съпоставителният сценарий е ситуацията, при която проектът няма да бъде осъществен (точка 395 от CEEAG). </w:t>
      </w:r>
    </w:p>
    <w:p w14:paraId="1508C9BB" w14:textId="2AF79FDD" w:rsidR="008E4062" w:rsidRPr="00D96C20" w:rsidRDefault="008E4062" w:rsidP="008E4062">
      <w:pPr>
        <w:tabs>
          <w:tab w:val="left" w:leader="dot" w:pos="9072"/>
        </w:tabs>
        <w:spacing w:before="120" w:after="120"/>
        <w:ind w:left="567"/>
        <w:jc w:val="both"/>
      </w:pPr>
      <w:r>
        <w:tab/>
      </w:r>
    </w:p>
    <w:p w14:paraId="2B9D3662" w14:textId="7C0C0DAF" w:rsidR="005F6E6B" w:rsidRPr="00D96C20" w:rsidRDefault="00C713DD" w:rsidP="00F10E39">
      <w:pPr>
        <w:pStyle w:val="ListParagraph"/>
        <w:numPr>
          <w:ilvl w:val="0"/>
          <w:numId w:val="26"/>
        </w:numPr>
        <w:spacing w:before="120" w:after="120"/>
        <w:contextualSpacing w:val="0"/>
        <w:jc w:val="both"/>
      </w:pPr>
      <w:r>
        <w:t>Както е предвидено в точка 28, бележка под линия 39 от CEEAG, моля, приложете към настоящия формуляр за допълнителна информация всякакви официални документи на управителния съвет, оценки на риска, финансов доклад, вътрешни бизнес планове, експертни становища и други проучвания, свързани с оценявания проект, документи, съдържащи информация за прогнозното търсене, прогнози за разходите, финансови прогнози, документи, представени на инвестиционен комитет, които разглеждат подробно инвестиционни/оперативни сценарии, или документи, предоставени на финансовите институции.</w:t>
      </w:r>
    </w:p>
    <w:p w14:paraId="489E64F5" w14:textId="080206B8" w:rsidR="00C713DD" w:rsidRPr="00D96C20" w:rsidRDefault="005F6E6B" w:rsidP="005F6E6B">
      <w:pPr>
        <w:pStyle w:val="ListParagraph"/>
        <w:spacing w:before="120" w:after="120"/>
        <w:ind w:left="1287"/>
        <w:contextualSpacing w:val="0"/>
        <w:jc w:val="both"/>
      </w:pPr>
      <w:r>
        <w:t>Обърнете внимание, че тези документи трябва да датират от процеса на вземане на решение относно инвестицията/операцията.</w:t>
      </w:r>
    </w:p>
    <w:p w14:paraId="0F3CF49B" w14:textId="7575EEBA" w:rsidR="00DE063E" w:rsidRPr="00D96C20" w:rsidRDefault="00E32AD5" w:rsidP="005F6E6B">
      <w:pPr>
        <w:pStyle w:val="ListParagraph"/>
        <w:spacing w:before="120" w:after="120"/>
        <w:ind w:left="1287"/>
        <w:contextualSpacing w:val="0"/>
        <w:jc w:val="both"/>
      </w:pPr>
      <w:r>
        <w:t xml:space="preserve">Ако към </w:t>
      </w:r>
      <w:bookmarkStart w:id="6" w:name="_Hlk177381900"/>
      <w:r>
        <w:t>формуляра за допълнителна информация</w:t>
      </w:r>
      <w:bookmarkEnd w:id="6"/>
      <w:r>
        <w:t xml:space="preserve"> бъдат приложени такива документи, моля, по-долу представете списък с тези документи, като посочите автора, датата, на която са изготвени, и контекста, в който са използвани.</w:t>
      </w:r>
    </w:p>
    <w:p w14:paraId="7C9E31EE" w14:textId="28800A70" w:rsidR="008E4062" w:rsidRPr="00D96C20" w:rsidRDefault="008E4062" w:rsidP="008E4062">
      <w:pPr>
        <w:tabs>
          <w:tab w:val="left" w:leader="dot" w:pos="9072"/>
        </w:tabs>
        <w:spacing w:before="120" w:after="120"/>
        <w:ind w:left="567"/>
        <w:jc w:val="both"/>
      </w:pPr>
      <w:r>
        <w:lastRenderedPageBreak/>
        <w:tab/>
      </w:r>
    </w:p>
    <w:p w14:paraId="435391F4" w14:textId="2A25FE12" w:rsidR="0030040A" w:rsidRPr="00D96C20" w:rsidRDefault="0030040A" w:rsidP="00F10E39">
      <w:pPr>
        <w:pStyle w:val="ListParagraph"/>
        <w:numPr>
          <w:ilvl w:val="0"/>
          <w:numId w:val="26"/>
        </w:numPr>
        <w:spacing w:before="120" w:after="120"/>
        <w:contextualSpacing w:val="0"/>
        <w:jc w:val="both"/>
      </w:pPr>
      <w:r>
        <w:t xml:space="preserve">Моля, представете в приложение към настоящия формуляр за допълнителна информация (като използвате файл на Excel, </w:t>
      </w:r>
      <w:r>
        <w:rPr>
          <w:shd w:val="clear" w:color="auto" w:fill="FFFFFF"/>
        </w:rPr>
        <w:t>в който всички формули са видими</w:t>
      </w:r>
      <w:r>
        <w:t xml:space="preserve">) количествена оценка за фактическия сценарий и за правдоподобен съпоставителен сценарий, описани в точка i, на всички основни разходи и приходи, оценената средна претеглена цена на капитала (WACC) на </w:t>
      </w:r>
      <w:proofErr w:type="spellStart"/>
      <w:r>
        <w:t>бенефициерите</w:t>
      </w:r>
      <w:proofErr w:type="spellEnd"/>
      <w:r>
        <w:t xml:space="preserve"> с цел </w:t>
      </w:r>
      <w:proofErr w:type="spellStart"/>
      <w:r>
        <w:t>дисконтиране</w:t>
      </w:r>
      <w:proofErr w:type="spellEnd"/>
      <w:r>
        <w:t xml:space="preserve"> на бъдещите парични потоци, както и нетната настояща стойност (ННС) при фактическия и при съпоставителния сценарий, за жизнения цикъл на проекта. За случаите на индивидуална помощ и схеми, от които се възползват особено ограничен брой </w:t>
      </w:r>
      <w:proofErr w:type="spellStart"/>
      <w:r>
        <w:t>бенефициери</w:t>
      </w:r>
      <w:proofErr w:type="spellEnd"/>
      <w:r>
        <w:t xml:space="preserve">, изчисленията и прогнозите трябва да бъдат представени на равнището на подробния бизнес план на проекта, а за схемите за помощ — въз основа на един или повече референтни проекти. </w:t>
      </w:r>
    </w:p>
    <w:p w14:paraId="6BCA5B3D" w14:textId="0E90C75E" w:rsidR="008B1CA3" w:rsidRPr="00D96C20" w:rsidRDefault="00A255BF" w:rsidP="00F10E39">
      <w:pPr>
        <w:pStyle w:val="ListParagraph"/>
        <w:numPr>
          <w:ilvl w:val="0"/>
          <w:numId w:val="26"/>
        </w:numPr>
        <w:spacing w:before="120" w:after="120"/>
        <w:contextualSpacing w:val="0"/>
        <w:jc w:val="both"/>
      </w:pPr>
      <w:r>
        <w:t xml:space="preserve">Моля, включете в приложение към настоящия формуляр за допълнителна информация подробна информация за допусканията, методиките, обосновката и основните източници за тях, използвани за всеки аспект на количествената оценка на разходите и приходите във фактическия сценарий и вероятния(те) съпоставителен(ни) сценарий(и).  </w:t>
      </w:r>
    </w:p>
    <w:p w14:paraId="4D1B1A1C" w14:textId="28F9749B" w:rsidR="008B1CA3" w:rsidRPr="00D96C20" w:rsidRDefault="008B1CA3" w:rsidP="008B1CA3">
      <w:pPr>
        <w:tabs>
          <w:tab w:val="left" w:leader="dot" w:pos="9072"/>
        </w:tabs>
        <w:spacing w:before="120" w:after="120"/>
        <w:ind w:left="567"/>
        <w:jc w:val="both"/>
      </w:pPr>
      <w:r>
        <w:tab/>
      </w:r>
    </w:p>
    <w:p w14:paraId="78A49F12" w14:textId="39CB8A1B" w:rsidR="00C14706" w:rsidRPr="00D96C20" w:rsidRDefault="00FC1BCC" w:rsidP="00C52CFD">
      <w:pPr>
        <w:pStyle w:val="ListParagraph"/>
        <w:numPr>
          <w:ilvl w:val="0"/>
          <w:numId w:val="4"/>
        </w:numPr>
        <w:spacing w:before="120" w:after="120"/>
        <w:ind w:left="567" w:hanging="567"/>
        <w:contextualSpacing w:val="0"/>
        <w:jc w:val="both"/>
      </w:pPr>
      <w:r>
        <w:t>За да докажете съответствие с точки 29 и 31 от CEEAG:</w:t>
      </w:r>
    </w:p>
    <w:p w14:paraId="48499390" w14:textId="47E7D7F7" w:rsidR="006445C3" w:rsidRPr="00D96C20" w:rsidRDefault="00677805" w:rsidP="00F10E39">
      <w:pPr>
        <w:pStyle w:val="ListParagraph"/>
        <w:numPr>
          <w:ilvl w:val="0"/>
          <w:numId w:val="23"/>
        </w:numPr>
        <w:spacing w:before="120" w:after="120"/>
        <w:ind w:left="993" w:hanging="284"/>
        <w:contextualSpacing w:val="0"/>
        <w:jc w:val="both"/>
      </w:pPr>
      <w:r>
        <w:t xml:space="preserve">моля, потвърдете, че започването на работата по проекта или дейността не е настъпило преди </w:t>
      </w:r>
      <w:proofErr w:type="spellStart"/>
      <w:r>
        <w:t>бенефициерът</w:t>
      </w:r>
      <w:proofErr w:type="spellEnd"/>
      <w:r>
        <w:t xml:space="preserve"> да кандидатства за помощ пред националните органи;</w:t>
      </w:r>
    </w:p>
    <w:p w14:paraId="72FB2087" w14:textId="77777777" w:rsidR="006445C3" w:rsidRPr="00D96C20" w:rsidRDefault="006445C3" w:rsidP="006445C3">
      <w:pPr>
        <w:tabs>
          <w:tab w:val="left" w:leader="dot" w:pos="9072"/>
        </w:tabs>
        <w:spacing w:before="120" w:after="120"/>
        <w:ind w:left="567"/>
        <w:jc w:val="both"/>
      </w:pPr>
      <w:r>
        <w:tab/>
      </w:r>
    </w:p>
    <w:p w14:paraId="74427F37" w14:textId="1D135D62" w:rsidR="006445C3" w:rsidRPr="00D96C20" w:rsidRDefault="006445C3" w:rsidP="006445C3">
      <w:pPr>
        <w:pStyle w:val="ListParagraph"/>
        <w:spacing w:before="120" w:after="120"/>
        <w:ind w:left="993"/>
        <w:contextualSpacing w:val="0"/>
        <w:jc w:val="both"/>
      </w:pPr>
      <w:r>
        <w:t>ИЛИ</w:t>
      </w:r>
    </w:p>
    <w:p w14:paraId="0252AF86" w14:textId="0F796BA6" w:rsidR="000442F5" w:rsidRPr="00D96C20" w:rsidRDefault="00D96C20" w:rsidP="00F10E39">
      <w:pPr>
        <w:pStyle w:val="ListParagraph"/>
        <w:numPr>
          <w:ilvl w:val="0"/>
          <w:numId w:val="23"/>
        </w:numPr>
        <w:spacing w:before="120" w:after="120"/>
        <w:ind w:left="993" w:hanging="284"/>
        <w:contextualSpacing w:val="0"/>
        <w:jc w:val="both"/>
      </w:pPr>
      <w:r>
        <w:t>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w:t>
      </w:r>
      <w:r w:rsidR="00D24240" w:rsidRPr="00D96C20">
        <w:rPr>
          <w:rStyle w:val="FootnoteReference"/>
          <w:lang w:val="en-IE" w:eastAsia="en-GB"/>
        </w:rPr>
        <w:footnoteReference w:id="7"/>
      </w:r>
      <w:r>
        <w:t xml:space="preserve">. </w:t>
      </w:r>
    </w:p>
    <w:p w14:paraId="76275A84" w14:textId="77777777" w:rsidR="00FC1BCC" w:rsidRPr="00D96C20" w:rsidRDefault="00FC1BCC" w:rsidP="00FC1BCC">
      <w:pPr>
        <w:tabs>
          <w:tab w:val="left" w:leader="dot" w:pos="9072"/>
        </w:tabs>
        <w:spacing w:before="120" w:after="120"/>
        <w:ind w:left="567"/>
        <w:jc w:val="both"/>
      </w:pPr>
      <w:r>
        <w:rPr>
          <w:i/>
          <w:iCs/>
        </w:rPr>
        <w:lastRenderedPageBreak/>
        <w:tab/>
      </w:r>
    </w:p>
    <w:p w14:paraId="0A578E5C" w14:textId="77777777" w:rsidR="00D96C20" w:rsidRPr="00D37B1D" w:rsidRDefault="00D96C20" w:rsidP="00D96C20">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5BFD0928" w14:textId="77777777" w:rsidR="00D96C20" w:rsidRPr="00991FAA" w:rsidRDefault="00D96C20" w:rsidP="00D96C20">
      <w:pPr>
        <w:tabs>
          <w:tab w:val="left" w:leader="dot" w:pos="9072"/>
        </w:tabs>
        <w:spacing w:before="120" w:after="120"/>
        <w:ind w:left="567"/>
        <w:jc w:val="both"/>
      </w:pPr>
      <w:r>
        <w:tab/>
      </w:r>
    </w:p>
    <w:p w14:paraId="64CE5B4A" w14:textId="657B9067" w:rsidR="000C258D" w:rsidRPr="00D96C20" w:rsidRDefault="000C258D" w:rsidP="000C258D">
      <w:pPr>
        <w:pStyle w:val="ListParagraph"/>
        <w:numPr>
          <w:ilvl w:val="0"/>
          <w:numId w:val="4"/>
        </w:numPr>
        <w:spacing w:before="120" w:after="120"/>
        <w:ind w:left="567" w:hanging="567"/>
        <w:contextualSpacing w:val="0"/>
        <w:jc w:val="both"/>
      </w:pPr>
      <w:r>
        <w:t>За да докажете съответствие с точка 32 от CEEAG, моля, посочете дали има стандарти на Съюза</w:t>
      </w:r>
      <w:r w:rsidRPr="00D96C20">
        <w:rPr>
          <w:rStyle w:val="FootnoteReference"/>
          <w:lang w:val="en-IE" w:eastAsia="en-GB"/>
        </w:rPr>
        <w:footnoteReference w:id="8"/>
      </w:r>
      <w:r>
        <w:t>, приложими към мярката(мерките), за която(</w:t>
      </w:r>
      <w:proofErr w:type="spellStart"/>
      <w:r>
        <w:t>ито</w:t>
      </w:r>
      <w:proofErr w:type="spellEnd"/>
      <w:r>
        <w:t>)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В този контекст, моля, представете информация, за да докажете стимулиращия ефект.</w:t>
      </w:r>
    </w:p>
    <w:p w14:paraId="5B91130D" w14:textId="77777777" w:rsidR="000C258D" w:rsidRPr="00D96C20" w:rsidRDefault="000C258D" w:rsidP="000C258D">
      <w:pPr>
        <w:tabs>
          <w:tab w:val="left" w:leader="dot" w:pos="9072"/>
        </w:tabs>
        <w:spacing w:before="120" w:after="120"/>
        <w:ind w:left="567"/>
        <w:jc w:val="both"/>
      </w:pPr>
      <w:r>
        <w:t xml:space="preserve"> </w:t>
      </w:r>
      <w:r>
        <w:tab/>
      </w:r>
    </w:p>
    <w:p w14:paraId="6794CC83" w14:textId="77777777" w:rsidR="000C258D" w:rsidRPr="00D96C20" w:rsidRDefault="000C258D" w:rsidP="000C258D">
      <w:pPr>
        <w:pStyle w:val="ListParagraph"/>
        <w:keepNext/>
        <w:keepLines/>
        <w:numPr>
          <w:ilvl w:val="0"/>
          <w:numId w:val="4"/>
        </w:numPr>
        <w:spacing w:before="120" w:after="120"/>
        <w:ind w:left="567" w:hanging="567"/>
        <w:contextualSpacing w:val="0"/>
        <w:jc w:val="both"/>
      </w:pPr>
      <w: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w:t>
      </w:r>
    </w:p>
    <w:p w14:paraId="1F681DE3" w14:textId="77777777" w:rsidR="00C86C53" w:rsidRPr="00D96C20" w:rsidRDefault="00C86C53" w:rsidP="00C86C53">
      <w:pPr>
        <w:tabs>
          <w:tab w:val="left" w:leader="dot" w:pos="9072"/>
        </w:tabs>
        <w:spacing w:before="120" w:after="120"/>
        <w:ind w:left="567"/>
        <w:jc w:val="both"/>
      </w:pPr>
      <w:bookmarkStart w:id="7" w:name="_Hlk163740936"/>
      <w:r>
        <w:tab/>
      </w:r>
    </w:p>
    <w:bookmarkEnd w:id="7"/>
    <w:p w14:paraId="3063B88D" w14:textId="77777777" w:rsidR="00DE1D68" w:rsidRPr="00D96C2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96C20" w14:paraId="66A1C06C" w14:textId="77777777" w:rsidTr="00504F2E">
        <w:tc>
          <w:tcPr>
            <w:tcW w:w="9322" w:type="dxa"/>
            <w:shd w:val="pct15" w:color="auto" w:fill="auto"/>
          </w:tcPr>
          <w:p w14:paraId="7CABD1EF" w14:textId="4D11A7A0" w:rsidR="00DE1D68" w:rsidRPr="00D96C20" w:rsidRDefault="00DE1D68" w:rsidP="00F10E39">
            <w:pPr>
              <w:pStyle w:val="Heading1"/>
              <w:numPr>
                <w:ilvl w:val="1"/>
                <w:numId w:val="22"/>
              </w:numPr>
              <w:rPr>
                <w:sz w:val="24"/>
                <w:szCs w:val="24"/>
              </w:rPr>
            </w:pPr>
            <w:r>
              <w:rPr>
                <w:sz w:val="24"/>
              </w:rPr>
              <w:t>Ненарушаване на приложими разпоредби на правото на Съюза</w:t>
            </w:r>
          </w:p>
        </w:tc>
      </w:tr>
    </w:tbl>
    <w:p w14:paraId="665FE026" w14:textId="5CEA7791" w:rsidR="00DE1D68" w:rsidRPr="00D96C20" w:rsidRDefault="00DE1D68" w:rsidP="00DE1D68">
      <w:pPr>
        <w:spacing w:before="360" w:after="120"/>
        <w:jc w:val="both"/>
        <w:rPr>
          <w:i/>
        </w:rPr>
      </w:pPr>
      <w:r>
        <w:rPr>
          <w:i/>
        </w:rPr>
        <w:t xml:space="preserve">За да предоставите информацията в настоящия раздел, моля, вижте раздел 3.1.3 (точка 33) от CEEAG. </w:t>
      </w:r>
    </w:p>
    <w:p w14:paraId="34841EAF" w14:textId="77777777" w:rsidR="00A431BD" w:rsidRPr="00D96C20" w:rsidRDefault="00A431BD" w:rsidP="00A431BD">
      <w:pPr>
        <w:pStyle w:val="ListParagraph"/>
        <w:numPr>
          <w:ilvl w:val="0"/>
          <w:numId w:val="4"/>
        </w:numPr>
        <w:spacing w:before="120" w:after="120"/>
        <w:ind w:left="567" w:hanging="567"/>
        <w:contextualSpacing w:val="0"/>
        <w:jc w:val="both"/>
      </w:pPr>
      <w:r>
        <w:t xml:space="preserve">Моля, представете информация, с която се потвърждава спазването на съответните разпоредби на правото на ЕС в съответствие с точка 33 от CEEAG. </w:t>
      </w:r>
    </w:p>
    <w:p w14:paraId="4B99F870" w14:textId="77777777" w:rsidR="00A431BD" w:rsidRPr="00D96C20" w:rsidRDefault="00A431BD" w:rsidP="00A431BD">
      <w:pPr>
        <w:tabs>
          <w:tab w:val="left" w:leader="dot" w:pos="9072"/>
        </w:tabs>
        <w:spacing w:before="120" w:after="120"/>
        <w:ind w:left="567"/>
        <w:jc w:val="both"/>
        <w:rPr>
          <w:color w:val="000000"/>
        </w:rPr>
      </w:pPr>
      <w:r>
        <w:rPr>
          <w:color w:val="000000"/>
        </w:rPr>
        <w:tab/>
      </w:r>
    </w:p>
    <w:p w14:paraId="6CDCCADC" w14:textId="77777777" w:rsidR="00A431BD" w:rsidRPr="00D96C20" w:rsidRDefault="00A431BD" w:rsidP="00A431BD">
      <w:pPr>
        <w:pStyle w:val="ListParagraph"/>
        <w:numPr>
          <w:ilvl w:val="0"/>
          <w:numId w:val="4"/>
        </w:numPr>
        <w:spacing w:before="120" w:after="120"/>
        <w:ind w:left="567" w:hanging="567"/>
        <w:contextualSpacing w:val="0"/>
        <w:jc w:val="both"/>
        <w:rPr>
          <w:i/>
          <w:iCs/>
          <w:color w:val="000000"/>
        </w:rPr>
      </w:pPr>
      <w:r>
        <w:lastRenderedPageBreak/>
        <w:t>Ако за финансирането на мярката(мерките) се използва налог, моля пояснете дали е необходимо да се извърши оценка на съответствието с член 30 и член 110 от ДФЕС. Ако отговорът е положителен, моля, покажете как мярката съответства на разпоредбите на член 30 и член 110 от ДФЕС.</w:t>
      </w:r>
      <w:r>
        <w:rPr>
          <w:i/>
        </w:rPr>
        <w:t xml:space="preserve"> </w:t>
      </w:r>
      <w:r>
        <w:t xml:space="preserve">В този контекст може да се посочи информацията, предоставена във въпрос </w:t>
      </w:r>
      <w:r w:rsidRPr="00D96C20">
        <w:fldChar w:fldCharType="begin"/>
      </w:r>
      <w:r w:rsidRPr="00D96C20">
        <w:instrText xml:space="preserve"> REF _Ref116914408 \r \h  \* MERGEFORMAT </w:instrText>
      </w:r>
      <w:r w:rsidRPr="00D96C20">
        <w:fldChar w:fldCharType="separate"/>
      </w:r>
      <w:r w:rsidRPr="00D96C20">
        <w:t>5</w:t>
      </w:r>
      <w:r w:rsidRPr="00D96C20">
        <w:fldChar w:fldCharType="end"/>
      </w:r>
      <w:r>
        <w:t>.</w:t>
      </w:r>
      <w:r w:rsidRPr="00D96C20">
        <w:fldChar w:fldCharType="begin"/>
      </w:r>
      <w:r w:rsidRPr="00D96C20">
        <w:instrText xml:space="preserve"> REF _Ref116914400 \r \h  \* MERGEFORMAT </w:instrText>
      </w:r>
      <w:r w:rsidRPr="00D96C20">
        <w:fldChar w:fldCharType="separate"/>
      </w:r>
      <w:r w:rsidRPr="00D96C20">
        <w:t>ii</w:t>
      </w:r>
      <w:r w:rsidRPr="00D96C20">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налог.</w:t>
      </w:r>
    </w:p>
    <w:p w14:paraId="2F71FD11" w14:textId="31DD9C32" w:rsidR="00544B04" w:rsidRPr="00D96C20" w:rsidRDefault="00544B04" w:rsidP="00544B04">
      <w:pPr>
        <w:tabs>
          <w:tab w:val="left" w:leader="dot" w:pos="9072"/>
        </w:tabs>
        <w:spacing w:before="120" w:after="120"/>
        <w:ind w:left="567"/>
        <w:jc w:val="both"/>
        <w:rPr>
          <w:color w:val="000000"/>
        </w:rPr>
      </w:pPr>
      <w:r>
        <w:rPr>
          <w:color w:val="000000"/>
        </w:rPr>
        <w:tab/>
      </w:r>
    </w:p>
    <w:p w14:paraId="71C06663" w14:textId="77777777" w:rsidR="00E21BAD" w:rsidRPr="00D96C20" w:rsidRDefault="00E21BAD" w:rsidP="00A2265A">
      <w:pPr>
        <w:pStyle w:val="ListParagraph"/>
        <w:spacing w:before="120" w:after="120"/>
        <w:contextualSpacing w:val="0"/>
        <w:jc w:val="both"/>
      </w:pPr>
    </w:p>
    <w:p w14:paraId="1DBDF34C" w14:textId="5460DBB8" w:rsidR="00CC29A8" w:rsidRPr="00D96C20" w:rsidRDefault="005017E1" w:rsidP="00544B04">
      <w:pPr>
        <w:tabs>
          <w:tab w:val="left" w:leader="dot" w:pos="9072"/>
        </w:tabs>
        <w:spacing w:before="120" w:after="120"/>
        <w:ind w:left="567"/>
        <w:jc w:val="both"/>
        <w:rPr>
          <w:color w:val="000000"/>
        </w:rPr>
      </w:pPr>
      <w:r>
        <w:t xml:space="preserve"> </w:t>
      </w:r>
    </w:p>
    <w:p w14:paraId="12BBBE61" w14:textId="6B867948" w:rsidR="00663008" w:rsidRPr="00D96C20"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1446B9C4" w14:textId="77777777" w:rsidTr="00504F2E">
        <w:tc>
          <w:tcPr>
            <w:tcW w:w="9322" w:type="dxa"/>
            <w:shd w:val="pct15" w:color="auto" w:fill="auto"/>
          </w:tcPr>
          <w:p w14:paraId="47835452" w14:textId="1E46754C" w:rsidR="00663008" w:rsidRPr="00D96C20" w:rsidRDefault="00663008" w:rsidP="00F10E39">
            <w:pPr>
              <w:pStyle w:val="Heading1"/>
              <w:numPr>
                <w:ilvl w:val="0"/>
                <w:numId w:val="22"/>
              </w:numPr>
              <w:rPr>
                <w:i/>
                <w:color w:val="000000"/>
                <w:sz w:val="28"/>
                <w:szCs w:val="28"/>
              </w:rPr>
            </w:pPr>
            <w:r>
              <w:rPr>
                <w:i/>
                <w:color w:val="000000"/>
                <w:sz w:val="28"/>
              </w:rPr>
              <w:lastRenderedPageBreak/>
              <w:t>Отрицателно условие: помощта не може да влияе неправомерно върху условията на търговия до степен, която противоречи на общия интерес</w:t>
            </w:r>
          </w:p>
        </w:tc>
      </w:tr>
    </w:tbl>
    <w:p w14:paraId="78513DDC" w14:textId="7983A86C" w:rsidR="00663008" w:rsidRPr="00D96C20" w:rsidRDefault="00663008" w:rsidP="00663008">
      <w:pPr>
        <w:ind w:left="-567" w:firstLine="1412"/>
        <w:rPr>
          <w:i/>
          <w:color w:val="000000"/>
        </w:rPr>
      </w:pPr>
    </w:p>
    <w:p w14:paraId="567C40B6" w14:textId="77777777" w:rsidR="00164ADE" w:rsidRPr="00D96C2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96C20" w14:paraId="51499EDF" w14:textId="77777777" w:rsidTr="00504F2E">
        <w:tc>
          <w:tcPr>
            <w:tcW w:w="9322" w:type="dxa"/>
            <w:shd w:val="pct15" w:color="auto" w:fill="auto"/>
          </w:tcPr>
          <w:p w14:paraId="77CB675F" w14:textId="02173F46" w:rsidR="00164ADE" w:rsidRPr="00D96C20" w:rsidRDefault="00A431BD" w:rsidP="00F10E39">
            <w:pPr>
              <w:pStyle w:val="Heading1"/>
              <w:numPr>
                <w:ilvl w:val="1"/>
                <w:numId w:val="32"/>
              </w:numPr>
              <w:rPr>
                <w:i/>
                <w:color w:val="000000"/>
                <w:sz w:val="28"/>
                <w:szCs w:val="28"/>
              </w:rPr>
            </w:pPr>
            <w:r>
              <w:rPr>
                <w:i/>
                <w:color w:val="000000"/>
                <w:sz w:val="28"/>
              </w:rPr>
              <w:t xml:space="preserve"> Свеждане до минимум на нарушаването на конкуренцията и търговията </w:t>
            </w:r>
          </w:p>
        </w:tc>
      </w:tr>
    </w:tbl>
    <w:p w14:paraId="1060B87E" w14:textId="77777777" w:rsidR="00164ADE" w:rsidRPr="00D96C20" w:rsidRDefault="00164ADE" w:rsidP="00164ADE">
      <w:pPr>
        <w:ind w:left="-567" w:firstLine="1412"/>
        <w:rPr>
          <w:i/>
          <w:color w:val="000000"/>
        </w:rPr>
      </w:pPr>
    </w:p>
    <w:p w14:paraId="7218929B" w14:textId="77777777" w:rsidR="00164ADE" w:rsidRPr="00D96C2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96C20" w14:paraId="425B1AE4" w14:textId="77777777" w:rsidTr="00504F2E">
        <w:tc>
          <w:tcPr>
            <w:tcW w:w="9322" w:type="dxa"/>
            <w:shd w:val="pct15" w:color="auto" w:fill="auto"/>
          </w:tcPr>
          <w:p w14:paraId="5FBF20D3" w14:textId="64171528" w:rsidR="00663008" w:rsidRPr="00D96C20" w:rsidRDefault="00C24E2C" w:rsidP="00F10E39">
            <w:pPr>
              <w:pStyle w:val="Heading1"/>
              <w:numPr>
                <w:ilvl w:val="2"/>
                <w:numId w:val="33"/>
              </w:numPr>
              <w:rPr>
                <w:color w:val="000000"/>
                <w:sz w:val="24"/>
                <w:szCs w:val="24"/>
              </w:rPr>
            </w:pPr>
            <w:r>
              <w:rPr>
                <w:color w:val="000000"/>
                <w:sz w:val="24"/>
              </w:rPr>
              <w:t>Необходимост и целесъобразност на намесата с държавна помощ</w:t>
            </w:r>
          </w:p>
        </w:tc>
      </w:tr>
    </w:tbl>
    <w:p w14:paraId="3C23674F" w14:textId="4023898F" w:rsidR="00663008" w:rsidRPr="00D96C20" w:rsidRDefault="00663008" w:rsidP="000B3E97">
      <w:pPr>
        <w:spacing w:before="120" w:after="120"/>
        <w:jc w:val="both"/>
        <w:rPr>
          <w:i/>
          <w:color w:val="000000"/>
        </w:rPr>
      </w:pPr>
      <w:r>
        <w:rPr>
          <w:i/>
        </w:rPr>
        <w:t>За да предоставите информацията в настоящия раздел, моля, вижте раздел 4.10.3 (точки 391—393) от CEEAG.</w:t>
      </w:r>
      <w:r>
        <w:rPr>
          <w:i/>
          <w:color w:val="000000"/>
        </w:rPr>
        <w:t xml:space="preserve"> </w:t>
      </w:r>
    </w:p>
    <w:p w14:paraId="6668EB5F" w14:textId="280A7D98" w:rsidR="00663008" w:rsidRPr="00D96C20" w:rsidRDefault="00BC04CA" w:rsidP="00A2265A">
      <w:pPr>
        <w:pStyle w:val="ListParagraph"/>
        <w:numPr>
          <w:ilvl w:val="0"/>
          <w:numId w:val="4"/>
        </w:numPr>
        <w:spacing w:before="120" w:after="120"/>
        <w:contextualSpacing w:val="0"/>
        <w:jc w:val="both"/>
      </w:pPr>
      <w:r>
        <w:t>Моля, обяснете подробно как проектът ще допринесе за създаването, разширяването или модернизирането на ефективни районни отоплителни и охладителни системи.</w:t>
      </w:r>
    </w:p>
    <w:p w14:paraId="621A86A8" w14:textId="77777777" w:rsidR="00663008" w:rsidRDefault="00663008" w:rsidP="00663008">
      <w:pPr>
        <w:tabs>
          <w:tab w:val="left" w:leader="dot" w:pos="9072"/>
        </w:tabs>
        <w:spacing w:before="120" w:after="120"/>
        <w:ind w:left="567"/>
        <w:jc w:val="both"/>
      </w:pPr>
      <w:bookmarkStart w:id="8" w:name="_Hlk171095492"/>
      <w:r>
        <w:tab/>
      </w:r>
    </w:p>
    <w:bookmarkEnd w:id="8"/>
    <w:p w14:paraId="34091FD1" w14:textId="7D239171" w:rsidR="009B749D" w:rsidRPr="001E4498" w:rsidRDefault="009B749D" w:rsidP="009B749D">
      <w:pPr>
        <w:pStyle w:val="ListParagraph"/>
        <w:numPr>
          <w:ilvl w:val="0"/>
          <w:numId w:val="4"/>
        </w:numPr>
        <w:spacing w:before="120" w:after="120"/>
        <w:contextualSpacing w:val="0"/>
        <w:jc w:val="both"/>
        <w:rPr>
          <w:spacing w:val="-4"/>
        </w:rPr>
      </w:pPr>
      <w:r w:rsidRPr="001E4498">
        <w:rPr>
          <w:spacing w:val="-4"/>
        </w:rPr>
        <w:t xml:space="preserve">Ако мярката по изключение покрива оперативни разходи, моля, докажете, че тези разходи не могат да бъдат прехвърлени на потребителите на районни отоплителни/охладителни системи, без да се засегне опазването на околната среда в съответствие с точка 392 от CEEAG. Моля, докажете, че подпомаганите районни отоплителни/охладителни системи повишават енергийната ефективност, намаляват емисиите на CO2 и други източници на замърсяване, както и загубите по мрежата, в сравнение с алтернативните решения за районно отопление/охлаждане. </w:t>
      </w:r>
    </w:p>
    <w:p w14:paraId="6FBF7751" w14:textId="552BD7EB" w:rsidR="00836816" w:rsidRPr="00D96C20" w:rsidRDefault="009B749D" w:rsidP="00A2265A">
      <w:pPr>
        <w:pStyle w:val="ListParagraph"/>
        <w:numPr>
          <w:ilvl w:val="0"/>
          <w:numId w:val="4"/>
        </w:numPr>
        <w:spacing w:before="120" w:after="120"/>
        <w:contextualSpacing w:val="0"/>
        <w:jc w:val="both"/>
      </w:pPr>
      <w:r>
        <w:tab/>
      </w:r>
      <w:r>
        <w:rPr>
          <w:shd w:val="clear" w:color="auto" w:fill="FFFFFF"/>
        </w:rPr>
        <w:t>В съответствие с точка 393 от CEEAG, ако проектът се основава на отпадъци като входящо гориво, моля, обяснете как е спазен принципът за йерархия на отпадъците (член 4, точка 1 от Директива 2008/98/ЕС).</w:t>
      </w:r>
    </w:p>
    <w:p w14:paraId="1F515EEE" w14:textId="77777777" w:rsidR="00836816" w:rsidRPr="00D96C20" w:rsidRDefault="00836816" w:rsidP="00836816">
      <w:pPr>
        <w:tabs>
          <w:tab w:val="left" w:leader="dot" w:pos="9072"/>
        </w:tabs>
        <w:spacing w:before="120" w:after="120"/>
        <w:ind w:left="567"/>
        <w:jc w:val="both"/>
      </w:pPr>
      <w:r>
        <w:tab/>
      </w:r>
    </w:p>
    <w:p w14:paraId="7589B387" w14:textId="77777777" w:rsidR="00863406" w:rsidRPr="00D96C20" w:rsidRDefault="00863406" w:rsidP="00863406">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96C20" w14:paraId="6548EFF5" w14:textId="77777777" w:rsidTr="00504F2E">
        <w:tc>
          <w:tcPr>
            <w:tcW w:w="9322" w:type="dxa"/>
            <w:shd w:val="pct15" w:color="auto" w:fill="auto"/>
          </w:tcPr>
          <w:p w14:paraId="3EB94997" w14:textId="358108C9" w:rsidR="00863406" w:rsidRPr="00D96C20" w:rsidRDefault="00970EF3" w:rsidP="00F10E39">
            <w:pPr>
              <w:pStyle w:val="Heading1"/>
              <w:numPr>
                <w:ilvl w:val="2"/>
                <w:numId w:val="33"/>
              </w:numPr>
              <w:rPr>
                <w:color w:val="000000"/>
                <w:sz w:val="24"/>
                <w:szCs w:val="24"/>
              </w:rPr>
            </w:pPr>
            <w:r>
              <w:rPr>
                <w:color w:val="000000"/>
                <w:sz w:val="24"/>
              </w:rPr>
              <w:t xml:space="preserve">Пропорционалност на помощта </w:t>
            </w:r>
          </w:p>
        </w:tc>
      </w:tr>
    </w:tbl>
    <w:p w14:paraId="7AFDF26D" w14:textId="0DF381F0" w:rsidR="00A431BD" w:rsidRPr="00D96C20" w:rsidRDefault="00863406" w:rsidP="000B3E97">
      <w:pPr>
        <w:spacing w:before="120" w:after="120"/>
        <w:jc w:val="both"/>
        <w:rPr>
          <w:i/>
        </w:rPr>
      </w:pPr>
      <w:r>
        <w:rPr>
          <w:i/>
        </w:rPr>
        <w:t xml:space="preserve">За да предоставите информацията в настоящия раздел, моля, вижте раздел 3.2.1.3 и раздел 4.10.4 (точки 394 и 395) от CEEAG. </w:t>
      </w:r>
    </w:p>
    <w:p w14:paraId="2FF71764" w14:textId="437EF3AC" w:rsidR="001620DB" w:rsidRPr="00D96C20" w:rsidRDefault="001620DB" w:rsidP="001620DB">
      <w:pPr>
        <w:pStyle w:val="ListParagraph"/>
        <w:numPr>
          <w:ilvl w:val="0"/>
          <w:numId w:val="4"/>
        </w:numPr>
        <w:spacing w:before="120" w:after="120"/>
        <w:ind w:left="567" w:hanging="567"/>
        <w:contextualSpacing w:val="0"/>
        <w:jc w:val="both"/>
      </w:pPr>
      <w:r>
        <w:t>За да се провери съответствието с точка 51 от CEEAG, моля, представете следната информация:</w:t>
      </w:r>
    </w:p>
    <w:p w14:paraId="2B6DDCC1" w14:textId="7F6938B0" w:rsidR="006F666A" w:rsidRPr="001E4498" w:rsidRDefault="007C0C88" w:rsidP="00F10E39">
      <w:pPr>
        <w:pStyle w:val="ListParagraph"/>
        <w:numPr>
          <w:ilvl w:val="0"/>
          <w:numId w:val="25"/>
        </w:numPr>
        <w:spacing w:before="120" w:after="120"/>
        <w:contextualSpacing w:val="0"/>
        <w:jc w:val="both"/>
        <w:rPr>
          <w:spacing w:val="-4"/>
        </w:rPr>
      </w:pPr>
      <w:r w:rsidRPr="001E4498">
        <w:rPr>
          <w:spacing w:val="-4"/>
          <w:shd w:val="clear" w:color="auto" w:fill="FFFFFF"/>
        </w:rPr>
        <w:t>За да се определи недостигът на финансиране</w:t>
      </w:r>
      <w:r w:rsidR="00A84D63" w:rsidRPr="001E4498">
        <w:rPr>
          <w:rStyle w:val="FootnoteReference"/>
          <w:spacing w:val="-4"/>
          <w:shd w:val="clear" w:color="auto" w:fill="FFFFFF"/>
        </w:rPr>
        <w:footnoteReference w:id="9"/>
      </w:r>
      <w:r w:rsidRPr="001E4498">
        <w:rPr>
          <w:spacing w:val="-4"/>
          <w:shd w:val="clear" w:color="auto" w:fill="FFFFFF"/>
        </w:rPr>
        <w:t>, моля, представете количествена оценка за фактическия сценарий и за надежден съпоставителен сценарий</w:t>
      </w:r>
      <w:r w:rsidR="00FA5166" w:rsidRPr="001E4498">
        <w:rPr>
          <w:rStyle w:val="FootnoteReference"/>
          <w:spacing w:val="-4"/>
          <w:shd w:val="clear" w:color="auto" w:fill="FFFFFF"/>
        </w:rPr>
        <w:footnoteReference w:id="10"/>
      </w:r>
      <w:r w:rsidRPr="001E4498">
        <w:rPr>
          <w:spacing w:val="-4"/>
          <w:shd w:val="clear" w:color="auto" w:fill="FFFFFF"/>
        </w:rPr>
        <w:t xml:space="preserve"> на:</w:t>
      </w:r>
    </w:p>
    <w:p w14:paraId="7941A97E" w14:textId="54CCBFE9" w:rsidR="006F666A" w:rsidRPr="00D96C20" w:rsidRDefault="006F666A" w:rsidP="001E4498">
      <w:pPr>
        <w:pStyle w:val="ListParagraph"/>
        <w:numPr>
          <w:ilvl w:val="1"/>
          <w:numId w:val="25"/>
        </w:numPr>
        <w:spacing w:before="120" w:after="120"/>
        <w:ind w:left="1440"/>
        <w:contextualSpacing w:val="0"/>
        <w:jc w:val="both"/>
      </w:pPr>
      <w:r>
        <w:rPr>
          <w:shd w:val="clear" w:color="auto" w:fill="FFFFFF"/>
        </w:rPr>
        <w:lastRenderedPageBreak/>
        <w:t>всички основни разходи и приходи на проекта;</w:t>
      </w:r>
    </w:p>
    <w:p w14:paraId="2D2BE464" w14:textId="77777777" w:rsidR="006F666A" w:rsidRPr="00D96C20" w:rsidRDefault="00FD2296" w:rsidP="001E4498">
      <w:pPr>
        <w:pStyle w:val="ListParagraph"/>
        <w:numPr>
          <w:ilvl w:val="1"/>
          <w:numId w:val="25"/>
        </w:numPr>
        <w:spacing w:before="120" w:after="120"/>
        <w:ind w:left="1440"/>
        <w:contextualSpacing w:val="0"/>
        <w:jc w:val="both"/>
      </w:pPr>
      <w:r>
        <w:rPr>
          <w:shd w:val="clear" w:color="auto" w:fill="FFFFFF"/>
        </w:rPr>
        <w:t xml:space="preserve">оценената средна претеглена цена на капитала (WACC) на </w:t>
      </w:r>
      <w:proofErr w:type="spellStart"/>
      <w:r>
        <w:rPr>
          <w:shd w:val="clear" w:color="auto" w:fill="FFFFFF"/>
        </w:rPr>
        <w:t>бенефициерите</w:t>
      </w:r>
      <w:proofErr w:type="spellEnd"/>
      <w:r>
        <w:rPr>
          <w:shd w:val="clear" w:color="auto" w:fill="FFFFFF"/>
        </w:rPr>
        <w:t xml:space="preserve"> с цел </w:t>
      </w:r>
      <w:proofErr w:type="spellStart"/>
      <w:r>
        <w:rPr>
          <w:shd w:val="clear" w:color="auto" w:fill="FFFFFF"/>
        </w:rPr>
        <w:t>дисконтиране</w:t>
      </w:r>
      <w:proofErr w:type="spellEnd"/>
      <w:r>
        <w:rPr>
          <w:shd w:val="clear" w:color="auto" w:fill="FFFFFF"/>
        </w:rPr>
        <w:t xml:space="preserve"> на бъдещите парични потоци;</w:t>
      </w:r>
    </w:p>
    <w:p w14:paraId="2C7C5B9C" w14:textId="77777777" w:rsidR="00F05162" w:rsidRPr="00D96C20" w:rsidRDefault="00FD2296" w:rsidP="001E4498">
      <w:pPr>
        <w:pStyle w:val="ListParagraph"/>
        <w:numPr>
          <w:ilvl w:val="1"/>
          <w:numId w:val="25"/>
        </w:numPr>
        <w:spacing w:before="120" w:after="120"/>
        <w:ind w:left="1440"/>
        <w:contextualSpacing w:val="0"/>
        <w:jc w:val="both"/>
      </w:pPr>
      <w:r>
        <w:rPr>
          <w:shd w:val="clear" w:color="auto" w:fill="FFFFFF"/>
        </w:rPr>
        <w:t>нетната настояща стойност (ННС) при фактическия и при съпоставителния сценарий през целия жизнен цикъл на проекта.</w:t>
      </w:r>
    </w:p>
    <w:p w14:paraId="6B0BF531" w14:textId="3B1A6EC9" w:rsidR="00F05162" w:rsidRPr="00D96C20" w:rsidRDefault="00F05162" w:rsidP="00F05162">
      <w:pPr>
        <w:tabs>
          <w:tab w:val="left" w:leader="dot" w:pos="9072"/>
        </w:tabs>
        <w:spacing w:before="120" w:after="120"/>
        <w:ind w:left="567"/>
        <w:jc w:val="both"/>
      </w:pPr>
      <w:r>
        <w:rPr>
          <w:shd w:val="clear" w:color="auto" w:fill="FFFFFF"/>
        </w:rPr>
        <w:t xml:space="preserve">  </w:t>
      </w:r>
      <w:r>
        <w:tab/>
      </w:r>
    </w:p>
    <w:p w14:paraId="32D73315" w14:textId="4193B5C2" w:rsidR="00FD2296" w:rsidRPr="00D96C20" w:rsidRDefault="006F666A" w:rsidP="00F10E39">
      <w:pPr>
        <w:pStyle w:val="ListParagraph"/>
        <w:numPr>
          <w:ilvl w:val="0"/>
          <w:numId w:val="25"/>
        </w:numPr>
        <w:spacing w:before="120" w:after="120"/>
        <w:contextualSpacing w:val="0"/>
        <w:jc w:val="both"/>
      </w:pPr>
      <w:r>
        <w:rPr>
          <w:shd w:val="clear" w:color="auto" w:fill="FFFFFF"/>
        </w:rPr>
        <w:t xml:space="preserve">Обосновката на предположенията, използвани за всеки аспект на количествената оценка, обяснение и обосновка на всички приложени методики. </w:t>
      </w:r>
    </w:p>
    <w:p w14:paraId="2B3BDD63" w14:textId="33CD07DC" w:rsidR="005C0DBD" w:rsidRPr="00D96C20" w:rsidRDefault="001620DB" w:rsidP="001620DB">
      <w:pPr>
        <w:tabs>
          <w:tab w:val="left" w:leader="dot" w:pos="9072"/>
        </w:tabs>
        <w:spacing w:before="120" w:after="120"/>
        <w:ind w:left="567"/>
        <w:jc w:val="both"/>
      </w:pPr>
      <w:r>
        <w:tab/>
      </w:r>
    </w:p>
    <w:p w14:paraId="59F30261" w14:textId="1CC4B2DD" w:rsidR="00C53C43" w:rsidRPr="00D96C20" w:rsidRDefault="00C53C43" w:rsidP="00C53C43">
      <w:pPr>
        <w:pStyle w:val="ListParagraph"/>
        <w:spacing w:before="120" w:after="120"/>
        <w:ind w:left="567"/>
        <w:contextualSpacing w:val="0"/>
        <w:jc w:val="both"/>
        <w:rPr>
          <w:shd w:val="clear" w:color="auto" w:fill="FFFFFF"/>
        </w:rPr>
      </w:pPr>
      <w:r>
        <w:rPr>
          <w:shd w:val="clear" w:color="auto" w:fill="FFFFFF"/>
        </w:rPr>
        <w:t xml:space="preserve">За случаите на индивидуална помощ и схеми в полза на особено ограничен брой </w:t>
      </w:r>
      <w:proofErr w:type="spellStart"/>
      <w:r>
        <w:rPr>
          <w:shd w:val="clear" w:color="auto" w:fill="FFFFFF"/>
        </w:rPr>
        <w:t>бенефициери</w:t>
      </w:r>
      <w:proofErr w:type="spellEnd"/>
      <w:r>
        <w:rPr>
          <w:shd w:val="clear" w:color="auto" w:fill="FFFFFF"/>
        </w:rPr>
        <w:t xml:space="preserve"> държавата членка трябва да представи подкрепящите доказателства на равнището на подробния бизнес план на проекта.</w:t>
      </w:r>
    </w:p>
    <w:p w14:paraId="584CA833" w14:textId="06F76F13" w:rsidR="00124B6F" w:rsidRPr="00D96C20" w:rsidRDefault="00C53C43" w:rsidP="00C53C43">
      <w:pPr>
        <w:pStyle w:val="ListParagraph"/>
        <w:spacing w:before="120" w:after="120"/>
        <w:ind w:left="567"/>
        <w:contextualSpacing w:val="0"/>
        <w:jc w:val="both"/>
        <w:rPr>
          <w:shd w:val="clear" w:color="auto" w:fill="FFFFFF"/>
        </w:rPr>
      </w:pPr>
      <w:r>
        <w:rPr>
          <w:shd w:val="clear" w:color="auto" w:fill="FFFFFF"/>
        </w:rPr>
        <w:t>За случаите на схеми за помощ държавата членка трябва да представи подкрепящите доказателства въз основа на един или повече референтни проекти.</w:t>
      </w:r>
    </w:p>
    <w:p w14:paraId="5D6CEEF6" w14:textId="66FE36E4" w:rsidR="001B0D9B" w:rsidRPr="00D96C20" w:rsidRDefault="001B0D9B" w:rsidP="001B0D9B">
      <w:pPr>
        <w:tabs>
          <w:tab w:val="left" w:leader="dot" w:pos="9072"/>
        </w:tabs>
        <w:spacing w:before="120" w:after="120"/>
        <w:ind w:left="567"/>
        <w:jc w:val="both"/>
      </w:pPr>
      <w:r>
        <w:tab/>
      </w:r>
    </w:p>
    <w:p w14:paraId="0D69FEAB" w14:textId="570EE56A" w:rsidR="004776A4" w:rsidRPr="00D96C20" w:rsidRDefault="00E71C59" w:rsidP="004776A4">
      <w:pPr>
        <w:pStyle w:val="ListParagraph"/>
        <w:numPr>
          <w:ilvl w:val="0"/>
          <w:numId w:val="4"/>
        </w:numPr>
        <w:spacing w:before="120" w:after="120"/>
        <w:ind w:left="567" w:hanging="567"/>
        <w:contextualSpacing w:val="0"/>
        <w:jc w:val="both"/>
      </w:pPr>
      <w:r>
        <w:t>В случай че липсва алтернативен проект, за да се даде възможност на Комисията да провери дали размерът на помощта не надвишава необходимия минимум, за да бъде подпомогнатият проект достатъчно рентабилен</w:t>
      </w:r>
      <w:r w:rsidR="00DE525C" w:rsidRPr="00D96C20">
        <w:rPr>
          <w:rStyle w:val="FootnoteReference"/>
          <w:lang w:eastAsia="en-GB"/>
        </w:rPr>
        <w:footnoteReference w:id="11"/>
      </w:r>
      <w:r>
        <w:t>, моля, представете следната информация:</w:t>
      </w:r>
    </w:p>
    <w:p w14:paraId="020A0406" w14:textId="40D27EEF" w:rsidR="00EC2A7D" w:rsidRPr="00D96C20" w:rsidRDefault="00EC2A7D" w:rsidP="004776A4">
      <w:pPr>
        <w:pStyle w:val="ListParagraph"/>
        <w:numPr>
          <w:ilvl w:val="1"/>
          <w:numId w:val="4"/>
        </w:numPr>
        <w:spacing w:before="120" w:after="120"/>
        <w:contextualSpacing w:val="0"/>
        <w:jc w:val="both"/>
      </w:pPr>
      <w:r>
        <w:t>Вътрешната норма на възвръщаемост (ВНВ), съответстваща на стандартния или минималния процент на възвръщаемост за сектора или предприятието; или</w:t>
      </w:r>
    </w:p>
    <w:p w14:paraId="056D5BF9" w14:textId="64F3B5CD" w:rsidR="00AB47A1" w:rsidRPr="00D96C20" w:rsidRDefault="007315B8" w:rsidP="004776A4">
      <w:pPr>
        <w:pStyle w:val="ListParagraph"/>
        <w:numPr>
          <w:ilvl w:val="1"/>
          <w:numId w:val="4"/>
        </w:numPr>
        <w:spacing w:before="120" w:after="120"/>
        <w:contextualSpacing w:val="0"/>
        <w:jc w:val="both"/>
      </w:pPr>
      <w:r>
        <w:t xml:space="preserve">Нормалните норми на възвръщаемост, изисквани от </w:t>
      </w:r>
      <w:proofErr w:type="spellStart"/>
      <w:r>
        <w:t>бенефициера</w:t>
      </w:r>
      <w:proofErr w:type="spellEnd"/>
      <w:r>
        <w:t xml:space="preserve"> в други инвестиционни проекти от подобен вид, неговата цена на капитала като цяло; или</w:t>
      </w:r>
    </w:p>
    <w:p w14:paraId="13B46137" w14:textId="062C7DC0" w:rsidR="0029714D" w:rsidRPr="00D96C20" w:rsidRDefault="007315B8" w:rsidP="004776A4">
      <w:pPr>
        <w:pStyle w:val="ListParagraph"/>
        <w:numPr>
          <w:ilvl w:val="1"/>
          <w:numId w:val="4"/>
        </w:numPr>
        <w:spacing w:before="120" w:after="120"/>
        <w:contextualSpacing w:val="0"/>
        <w:jc w:val="both"/>
      </w:pPr>
      <w:r>
        <w:t>Обичайно наблюдаваната възвръщаемост в съответния отрасъл; или</w:t>
      </w:r>
    </w:p>
    <w:p w14:paraId="0691A0E0" w14:textId="27443E78" w:rsidR="00445F48" w:rsidRPr="00D96C20" w:rsidRDefault="001622D8" w:rsidP="004776A4">
      <w:pPr>
        <w:pStyle w:val="ListParagraph"/>
        <w:numPr>
          <w:ilvl w:val="1"/>
          <w:numId w:val="4"/>
        </w:numPr>
        <w:spacing w:before="120" w:after="120"/>
        <w:contextualSpacing w:val="0"/>
        <w:jc w:val="both"/>
      </w:pPr>
      <w:r>
        <w:t>Всяка друга информация, доказваща, че размерът на помощта не надвишава необходимия минимум, за да може подпомаганият проект да бъде достатъчно рентабилен.</w:t>
      </w:r>
    </w:p>
    <w:p w14:paraId="123D26BD" w14:textId="11192D82" w:rsidR="00D96561" w:rsidRPr="00D96C20" w:rsidRDefault="004F192A" w:rsidP="00A431BD">
      <w:pPr>
        <w:tabs>
          <w:tab w:val="left" w:leader="dot" w:pos="9072"/>
        </w:tabs>
        <w:spacing w:before="120" w:after="120"/>
        <w:ind w:left="567"/>
        <w:jc w:val="both"/>
      </w:pPr>
      <w:r>
        <w:tab/>
      </w:r>
    </w:p>
    <w:p w14:paraId="4CEF8F72" w14:textId="77777777" w:rsidR="00B21377" w:rsidRPr="00D96C20" w:rsidRDefault="00B21377" w:rsidP="00B21377">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D96C20" w14:paraId="5ADB97A4" w14:textId="77777777" w:rsidTr="00D25DD0">
        <w:tc>
          <w:tcPr>
            <w:tcW w:w="9322" w:type="dxa"/>
            <w:shd w:val="pct15" w:color="auto" w:fill="auto"/>
          </w:tcPr>
          <w:p w14:paraId="1D5ED9F0" w14:textId="2394281B" w:rsidR="00B21377" w:rsidRPr="00D96C20" w:rsidRDefault="00B21377" w:rsidP="00F10E39">
            <w:pPr>
              <w:pStyle w:val="Heading1"/>
              <w:numPr>
                <w:ilvl w:val="2"/>
                <w:numId w:val="33"/>
              </w:numPr>
              <w:rPr>
                <w:sz w:val="24"/>
                <w:szCs w:val="24"/>
              </w:rPr>
            </w:pPr>
            <w:r>
              <w:rPr>
                <w:color w:val="000000"/>
                <w:sz w:val="24"/>
              </w:rPr>
              <w:t>Кумулация</w:t>
            </w:r>
          </w:p>
        </w:tc>
      </w:tr>
    </w:tbl>
    <w:p w14:paraId="2346A85D" w14:textId="09594631" w:rsidR="00B21377" w:rsidRPr="00D96C20" w:rsidRDefault="00B21377" w:rsidP="00B21377">
      <w:pPr>
        <w:pStyle w:val="ListParagraph"/>
        <w:spacing w:before="120" w:after="120"/>
        <w:ind w:left="567"/>
        <w:contextualSpacing w:val="0"/>
        <w:jc w:val="both"/>
      </w:pPr>
      <w:r>
        <w:rPr>
          <w:i/>
        </w:rPr>
        <w:t>За да предоставите информацията в настоящия раздел, моля, вижте точки 56—57 от CEEAG.</w:t>
      </w:r>
    </w:p>
    <w:p w14:paraId="7159B0AA" w14:textId="2EFF4AB9" w:rsidR="00E5484B" w:rsidRPr="00D96C20" w:rsidRDefault="00E5484B" w:rsidP="007257F0">
      <w:pPr>
        <w:pStyle w:val="ListParagraph"/>
        <w:numPr>
          <w:ilvl w:val="0"/>
          <w:numId w:val="4"/>
        </w:numPr>
        <w:spacing w:before="120" w:after="120"/>
        <w:ind w:left="567" w:hanging="567"/>
        <w:contextualSpacing w:val="0"/>
        <w:jc w:val="both"/>
      </w:pPr>
      <w:r>
        <w:t>За да се провери съответствието с точка 56 от CEEAG, моля, пояснете дали помощта по мярката(мерките), за която(</w:t>
      </w:r>
      <w:proofErr w:type="spellStart"/>
      <w:r>
        <w:t>ито</w:t>
      </w:r>
      <w:proofErr w:type="spellEnd"/>
      <w:r>
        <w:t xml:space="preserve">) е отправено уведомление, може да бъде предоставена едновременно по няколко схеми за помощ или да се натрупва с помощ </w:t>
      </w:r>
      <w:proofErr w:type="spellStart"/>
      <w:r>
        <w:rPr>
          <w:i/>
          <w:iCs/>
        </w:rPr>
        <w:t>ad</w:t>
      </w:r>
      <w:proofErr w:type="spellEnd"/>
      <w:r>
        <w:rPr>
          <w:i/>
          <w:iCs/>
        </w:rPr>
        <w:t xml:space="preserve"> </w:t>
      </w:r>
      <w:proofErr w:type="spellStart"/>
      <w:r>
        <w:rPr>
          <w:i/>
          <w:iCs/>
        </w:rPr>
        <w:t>hoc</w:t>
      </w:r>
      <w:proofErr w:type="spellEnd"/>
      <w:r>
        <w:t xml:space="preserve"> или помощ </w:t>
      </w:r>
      <w:proofErr w:type="spellStart"/>
      <w:r>
        <w:rPr>
          <w:i/>
          <w:iCs/>
        </w:rPr>
        <w:t>de</w:t>
      </w:r>
      <w:proofErr w:type="spellEnd"/>
      <w:r>
        <w:rPr>
          <w:i/>
          <w:iCs/>
        </w:rPr>
        <w:t xml:space="preserve"> </w:t>
      </w:r>
      <w:proofErr w:type="spellStart"/>
      <w:r>
        <w:rPr>
          <w:i/>
          <w:iCs/>
        </w:rPr>
        <w:t>minimis</w:t>
      </w:r>
      <w:proofErr w:type="spellEnd"/>
      <w:r>
        <w:t xml:space="preserve"> за едни и същи допустими разходи. Ако </w:t>
      </w:r>
      <w:r>
        <w:lastRenderedPageBreak/>
        <w:t xml:space="preserve">случаят е такъв, моля, представете подробна информация за тези схеми за помощ, помощ </w:t>
      </w:r>
      <w:proofErr w:type="spellStart"/>
      <w:r>
        <w:rPr>
          <w:i/>
        </w:rPr>
        <w:t>ad</w:t>
      </w:r>
      <w:proofErr w:type="spellEnd"/>
      <w:r>
        <w:rPr>
          <w:i/>
        </w:rPr>
        <w:t xml:space="preserve"> </w:t>
      </w:r>
      <w:proofErr w:type="spellStart"/>
      <w:r>
        <w:rPr>
          <w:i/>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и как ще се натрупва помощта.</w:t>
      </w:r>
    </w:p>
    <w:p w14:paraId="4EA350F2" w14:textId="6700FB40" w:rsidR="00D13239" w:rsidRPr="00D96C20" w:rsidRDefault="002A3B51" w:rsidP="002A3B51">
      <w:pPr>
        <w:tabs>
          <w:tab w:val="left" w:leader="dot" w:pos="9072"/>
        </w:tabs>
        <w:spacing w:before="120" w:after="120"/>
        <w:ind w:left="567"/>
        <w:jc w:val="both"/>
      </w:pPr>
      <w:r>
        <w:tab/>
      </w:r>
    </w:p>
    <w:p w14:paraId="113EC6AF" w14:textId="1351DC48" w:rsidR="007257F0" w:rsidRPr="00D96C20" w:rsidRDefault="00720951" w:rsidP="007257F0">
      <w:pPr>
        <w:pStyle w:val="ListParagraph"/>
        <w:numPr>
          <w:ilvl w:val="0"/>
          <w:numId w:val="4"/>
        </w:numPr>
        <w:spacing w:before="120" w:after="120"/>
        <w:ind w:left="567" w:hanging="567"/>
        <w:contextualSpacing w:val="0"/>
        <w:jc w:val="both"/>
      </w:pPr>
      <w:r>
        <w:t>Ако точка 56 от CEEAG е приложима за мярката(мерките), за която(</w:t>
      </w:r>
      <w:proofErr w:type="spellStart"/>
      <w:r>
        <w:t>ито</w:t>
      </w:r>
      <w:proofErr w:type="spellEnd"/>
      <w:r>
        <w:t>) е отправено уведомление, моля, обосновете как общият размер на помощта, отпусната по мярката(мерките), за която(</w:t>
      </w:r>
      <w:proofErr w:type="spellStart"/>
      <w:r>
        <w:t>ито</w:t>
      </w:r>
      <w:proofErr w:type="spellEnd"/>
      <w:r>
        <w:t xml:space="preserve">) е отправено уведомление, за проект или дейност не води до свръхкомпенсация или не надвишава максималния разрешен размер на помощта съгласно точка 394 от CEEAG. Моля, за всяка мярка, по която може да се </w:t>
      </w:r>
      <w:proofErr w:type="spellStart"/>
      <w:r>
        <w:t>кумулира</w:t>
      </w:r>
      <w:proofErr w:type="spellEnd"/>
      <w:r>
        <w:t xml:space="preserve"> помощ, отпусната по мярката(мерките) за помощ, за която(</w:t>
      </w:r>
      <w:proofErr w:type="spellStart"/>
      <w:r>
        <w:t>ито</w:t>
      </w:r>
      <w:proofErr w:type="spellEnd"/>
      <w:r>
        <w:t xml:space="preserve">) е отправено уведомление, посочете метода, който е използван, за да се гарантира спазването на условията, определени в точка 56 от CEEAG. </w:t>
      </w:r>
    </w:p>
    <w:p w14:paraId="5A4E851C" w14:textId="1587758B" w:rsidR="007257F0" w:rsidRPr="00D96C20" w:rsidRDefault="007257F0" w:rsidP="007257F0">
      <w:pPr>
        <w:tabs>
          <w:tab w:val="left" w:leader="dot" w:pos="9072"/>
        </w:tabs>
        <w:spacing w:before="120" w:after="120"/>
        <w:ind w:left="567"/>
        <w:jc w:val="both"/>
      </w:pPr>
      <w:r>
        <w:tab/>
      </w:r>
    </w:p>
    <w:p w14:paraId="4B762428" w14:textId="5EAC05E4" w:rsidR="009861F5" w:rsidRPr="00D96C20" w:rsidRDefault="00562354" w:rsidP="009861F5">
      <w:pPr>
        <w:pStyle w:val="ListParagraph"/>
        <w:numPr>
          <w:ilvl w:val="0"/>
          <w:numId w:val="4"/>
        </w:numPr>
        <w:spacing w:before="120" w:after="120"/>
        <w:ind w:left="567" w:hanging="567"/>
        <w:contextualSpacing w:val="0"/>
        <w:jc w:val="both"/>
      </w:pPr>
      <w:r>
        <w:t>В случай че е приложима точка 57 от CEEAG, т.е. помощта, предоставена по мярката(мерките), за която(</w:t>
      </w:r>
      <w:proofErr w:type="spellStart"/>
      <w:r>
        <w:t>ито</w:t>
      </w:r>
      <w:proofErr w:type="spellEnd"/>
      <w:r>
        <w:t>) е отправено уведомление, е съчетана с финансиране от Съюза, което се управлява централизирано</w:t>
      </w:r>
      <w:r w:rsidR="009B2F61" w:rsidRPr="00D96C20">
        <w:rPr>
          <w:rStyle w:val="FootnoteReference"/>
          <w:lang w:eastAsia="en-GB"/>
        </w:rPr>
        <w:footnoteReference w:id="12"/>
      </w:r>
      <w:r>
        <w:t xml:space="preserve">, моля, обосновете по какъв начин </w:t>
      </w:r>
      <w:r>
        <w:rPr>
          <w:shd w:val="clear" w:color="auto" w:fill="FFFFFF"/>
        </w:rPr>
        <w:t>общият размер на публичното финансиране, предоставено за същите допустими разходи, не води до свръхкомпенсация</w:t>
      </w:r>
      <w:r>
        <w:t xml:space="preserve">. </w:t>
      </w:r>
    </w:p>
    <w:p w14:paraId="4A76BA85" w14:textId="5308E4AE" w:rsidR="0078387C" w:rsidRPr="00D96C20" w:rsidRDefault="009861F5" w:rsidP="0078387C">
      <w:pPr>
        <w:tabs>
          <w:tab w:val="left" w:leader="dot" w:pos="9072"/>
        </w:tabs>
        <w:spacing w:before="120" w:after="120"/>
        <w:ind w:left="567"/>
        <w:jc w:val="both"/>
      </w:pPr>
      <w:r>
        <w:tab/>
      </w:r>
    </w:p>
    <w:p w14:paraId="1739D1B0" w14:textId="77777777" w:rsidR="0001211F" w:rsidRPr="00D96C20"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96C20" w14:paraId="3B675B34" w14:textId="77777777" w:rsidTr="00504F2E">
        <w:tc>
          <w:tcPr>
            <w:tcW w:w="9322" w:type="dxa"/>
            <w:shd w:val="pct15" w:color="auto" w:fill="auto"/>
          </w:tcPr>
          <w:p w14:paraId="75619393" w14:textId="382F2F6E" w:rsidR="006773CE" w:rsidRPr="00D96C20" w:rsidRDefault="00571910" w:rsidP="00F10E39">
            <w:pPr>
              <w:pStyle w:val="Heading1"/>
              <w:numPr>
                <w:ilvl w:val="2"/>
                <w:numId w:val="33"/>
              </w:numPr>
              <w:rPr>
                <w:color w:val="000000"/>
                <w:sz w:val="24"/>
                <w:szCs w:val="24"/>
              </w:rPr>
            </w:pPr>
            <w:r>
              <w:rPr>
                <w:color w:val="000000"/>
                <w:sz w:val="24"/>
              </w:rPr>
              <w:t>Прозрачност</w:t>
            </w:r>
          </w:p>
        </w:tc>
      </w:tr>
    </w:tbl>
    <w:p w14:paraId="32448DD4" w14:textId="77777777" w:rsidR="009C7EC5" w:rsidRPr="00D96C20" w:rsidRDefault="009C7EC5" w:rsidP="000B3E97">
      <w:pPr>
        <w:spacing w:before="120" w:after="120"/>
        <w:jc w:val="both"/>
        <w:rPr>
          <w:i/>
        </w:rPr>
      </w:pPr>
      <w:r>
        <w:rPr>
          <w:i/>
        </w:rPr>
        <w:t xml:space="preserve">За да предоставите информацията в настоящия раздел, моля, вижте раздел 3.2.1.4 (точки 58—61) от CEEAG. </w:t>
      </w:r>
    </w:p>
    <w:p w14:paraId="0B01CFD7" w14:textId="77777777" w:rsidR="009C7EC5" w:rsidRPr="00D96C20" w:rsidRDefault="009C7EC5" w:rsidP="009C7EC5">
      <w:pPr>
        <w:pStyle w:val="ListParagraph"/>
        <w:numPr>
          <w:ilvl w:val="0"/>
          <w:numId w:val="4"/>
        </w:numPr>
        <w:spacing w:before="120" w:after="120"/>
        <w:ind w:left="567" w:hanging="567"/>
        <w:contextualSpacing w:val="0"/>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5F8F2C11" w14:textId="77777777" w:rsidR="009C7EC5" w:rsidRPr="00D96C20" w:rsidRDefault="009C7EC5" w:rsidP="009C7EC5">
      <w:pPr>
        <w:tabs>
          <w:tab w:val="left" w:leader="dot" w:pos="9072"/>
        </w:tabs>
        <w:spacing w:before="120" w:after="120"/>
        <w:ind w:left="567"/>
        <w:jc w:val="both"/>
      </w:pPr>
      <w:r>
        <w:tab/>
      </w:r>
    </w:p>
    <w:p w14:paraId="129A7486" w14:textId="3ECB7498" w:rsidR="009C7EC5" w:rsidRPr="00D96C20" w:rsidRDefault="009C7EC5" w:rsidP="009C7EC5">
      <w:pPr>
        <w:pStyle w:val="ListParagraph"/>
        <w:numPr>
          <w:ilvl w:val="0"/>
          <w:numId w:val="4"/>
        </w:numPr>
        <w:spacing w:before="120" w:after="120"/>
        <w:ind w:left="567" w:hanging="567"/>
        <w:contextualSpacing w:val="0"/>
        <w:jc w:val="both"/>
      </w:pPr>
      <w: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proofErr w:type="spellStart"/>
      <w:r>
        <w:t>ad</w:t>
      </w:r>
      <w:proofErr w:type="spellEnd"/>
      <w:r>
        <w:t xml:space="preserve"> </w:t>
      </w:r>
      <w:proofErr w:type="spellStart"/>
      <w:r>
        <w:t>hoc</w:t>
      </w:r>
      <w:proofErr w:type="spellEnd"/>
      <w:r>
        <w:t xml:space="preserve"> или по схема за помощ, одобрена въз основа на CEEAG, чийто размер надхвърля 100 000 EUR.</w:t>
      </w:r>
      <w:r>
        <w:rPr>
          <w:rFonts w:ascii="inherit" w:hAnsi="inherit"/>
        </w:rPr>
        <w:t xml:space="preserve"> </w:t>
      </w:r>
    </w:p>
    <w:p w14:paraId="4A75052E" w14:textId="77777777" w:rsidR="009C7EC5" w:rsidRPr="00D96C20" w:rsidRDefault="009C7EC5" w:rsidP="009C7EC5">
      <w:pPr>
        <w:tabs>
          <w:tab w:val="left" w:leader="dot" w:pos="9072"/>
        </w:tabs>
        <w:spacing w:before="120" w:after="120"/>
        <w:ind w:left="567"/>
        <w:jc w:val="both"/>
      </w:pPr>
      <w:r>
        <w:tab/>
      </w:r>
    </w:p>
    <w:p w14:paraId="14FE0B14" w14:textId="77777777" w:rsidR="007C0A44" w:rsidRPr="00D96C20"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96C20" w14:paraId="3CD6496D" w14:textId="77777777" w:rsidTr="00504F2E">
        <w:tc>
          <w:tcPr>
            <w:tcW w:w="9322" w:type="dxa"/>
            <w:shd w:val="pct15" w:color="auto" w:fill="auto"/>
          </w:tcPr>
          <w:p w14:paraId="6D3C4956" w14:textId="54507EFC" w:rsidR="008D37F9" w:rsidRPr="00D96C20" w:rsidRDefault="009C7EC5" w:rsidP="009C7EC5">
            <w:pPr>
              <w:pStyle w:val="Heading1"/>
              <w:ind w:left="792" w:hanging="432"/>
              <w:rPr>
                <w:i/>
                <w:color w:val="000000"/>
                <w:sz w:val="28"/>
                <w:szCs w:val="28"/>
              </w:rPr>
            </w:pPr>
            <w:r>
              <w:rPr>
                <w:i/>
                <w:color w:val="000000"/>
                <w:sz w:val="28"/>
              </w:rPr>
              <w:t xml:space="preserve"> 2.2. Избягване на неоправдани отрицателни последици от помощта за конкуренцията и търговията и балансиране</w:t>
            </w:r>
          </w:p>
        </w:tc>
      </w:tr>
    </w:tbl>
    <w:p w14:paraId="6CD3884F" w14:textId="308833E5" w:rsidR="00F83660" w:rsidRPr="00D96C20" w:rsidRDefault="00F83660" w:rsidP="000B3E97">
      <w:pPr>
        <w:spacing w:before="120" w:after="120"/>
        <w:jc w:val="both"/>
        <w:rPr>
          <w:i/>
        </w:rPr>
      </w:pPr>
      <w:r>
        <w:rPr>
          <w:i/>
        </w:rPr>
        <w:t xml:space="preserve">За да предоставите информацията в настоящия раздел, моля, вижте раздел 4.10.5 (точки 396—398) от CEEAG. </w:t>
      </w:r>
    </w:p>
    <w:p w14:paraId="633F735E" w14:textId="7A895C46" w:rsidR="00304F41" w:rsidRPr="00D96C20" w:rsidRDefault="00304F41" w:rsidP="000B3E97">
      <w:pPr>
        <w:pStyle w:val="ListParagraph"/>
        <w:numPr>
          <w:ilvl w:val="0"/>
          <w:numId w:val="4"/>
        </w:numPr>
        <w:spacing w:before="120" w:after="120"/>
        <w:ind w:left="567" w:hanging="567"/>
        <w:contextualSpacing w:val="0"/>
        <w:jc w:val="both"/>
      </w:pPr>
      <w:r>
        <w:lastRenderedPageBreak/>
        <w:t xml:space="preserve">Ако районните отоплителни и охладителни системи разчитат на най-замърсяващите изкопаеми горива, като въглища, лигнит, петрол и дизелово гориво, моля, обяснете дали са изпълнени следните кумулативни условия съгласно точка 396 от CEEAG:  </w:t>
      </w:r>
    </w:p>
    <w:p w14:paraId="5E05EB28" w14:textId="599AE112" w:rsidR="00304F41" w:rsidRPr="00D96C20" w:rsidRDefault="00304F41" w:rsidP="00F10E39">
      <w:pPr>
        <w:pStyle w:val="ListParagraph"/>
        <w:numPr>
          <w:ilvl w:val="2"/>
          <w:numId w:val="28"/>
        </w:numPr>
        <w:spacing w:before="120" w:after="120"/>
        <w:contextualSpacing w:val="0"/>
        <w:jc w:val="both"/>
      </w:pPr>
      <w:r>
        <w:t>помощта е ограничена до инвестиции в разпределителната мрежа;</w:t>
      </w:r>
    </w:p>
    <w:p w14:paraId="48D098F7" w14:textId="77777777" w:rsidR="00F83660" w:rsidRPr="00D96C20" w:rsidRDefault="00F83660" w:rsidP="00F83660">
      <w:pPr>
        <w:tabs>
          <w:tab w:val="left" w:leader="dot" w:pos="9072"/>
        </w:tabs>
        <w:spacing w:before="120" w:after="120"/>
        <w:ind w:left="567"/>
        <w:jc w:val="both"/>
      </w:pPr>
      <w:r>
        <w:tab/>
      </w:r>
    </w:p>
    <w:p w14:paraId="05892635" w14:textId="05BE2130" w:rsidR="00F83660" w:rsidRPr="00D96C20" w:rsidRDefault="00304F41" w:rsidP="00F10E39">
      <w:pPr>
        <w:pStyle w:val="ListParagraph"/>
        <w:numPr>
          <w:ilvl w:val="2"/>
          <w:numId w:val="28"/>
        </w:numPr>
        <w:spacing w:before="120" w:after="120"/>
        <w:contextualSpacing w:val="0"/>
        <w:jc w:val="both"/>
      </w:pPr>
      <w:r>
        <w:t xml:space="preserve">разпределителната мрежа вече позволява пренасянето на енергия за отопление и охлаждане, произведена от възобновяеми енергийни източници, отпадъчна топлина или въглеродно неутрални източници.    </w:t>
      </w:r>
    </w:p>
    <w:p w14:paraId="798B76FF" w14:textId="77777777" w:rsidR="00F83660" w:rsidRPr="00D96C20" w:rsidRDefault="00F83660" w:rsidP="00F83660">
      <w:pPr>
        <w:tabs>
          <w:tab w:val="left" w:leader="dot" w:pos="9072"/>
        </w:tabs>
        <w:spacing w:before="120" w:after="120"/>
        <w:ind w:left="567"/>
        <w:jc w:val="both"/>
      </w:pPr>
      <w:r>
        <w:tab/>
      </w:r>
    </w:p>
    <w:p w14:paraId="76611A3B" w14:textId="00EC0819" w:rsidR="00F83660" w:rsidRPr="00D96C20" w:rsidRDefault="00304F41" w:rsidP="00F10E39">
      <w:pPr>
        <w:pStyle w:val="ListParagraph"/>
        <w:numPr>
          <w:ilvl w:val="2"/>
          <w:numId w:val="28"/>
        </w:numPr>
        <w:spacing w:before="120" w:after="120"/>
        <w:contextualSpacing w:val="0"/>
        <w:jc w:val="both"/>
      </w:pPr>
      <w:r>
        <w:t xml:space="preserve">Помощта не води до увеличено производство на енергия от най-замърсяващите изкопаеми горива (например чрез присъединяване на допълнителни потребители).  </w:t>
      </w:r>
    </w:p>
    <w:p w14:paraId="0638448B" w14:textId="77777777" w:rsidR="00F83660" w:rsidRPr="00D96C20" w:rsidRDefault="00F83660" w:rsidP="00F83660">
      <w:pPr>
        <w:tabs>
          <w:tab w:val="left" w:leader="dot" w:pos="9072"/>
        </w:tabs>
        <w:spacing w:before="120" w:after="120"/>
        <w:ind w:left="567"/>
        <w:jc w:val="both"/>
      </w:pPr>
      <w:r>
        <w:tab/>
      </w:r>
    </w:p>
    <w:p w14:paraId="1B4F742A" w14:textId="330651E8" w:rsidR="00F83660" w:rsidRPr="00D96C20" w:rsidRDefault="00304F41" w:rsidP="00F10E39">
      <w:pPr>
        <w:pStyle w:val="ListParagraph"/>
        <w:numPr>
          <w:ilvl w:val="2"/>
          <w:numId w:val="28"/>
        </w:numPr>
        <w:spacing w:before="120" w:after="120"/>
        <w:contextualSpacing w:val="0"/>
        <w:jc w:val="both"/>
      </w:pPr>
      <w:r>
        <w:t xml:space="preserve">Има ясен срок с твърди ангажименти за преминаване към горива, различни от най-замърсяващите изкопаеми горива, с оглед на целите на Съюза в областта на климата до 2030 г. и за неутралност по отношение на климата до 2050 г. (вж. примера в бележка под линия 156 от CEEAG).   </w:t>
      </w:r>
    </w:p>
    <w:p w14:paraId="32B25629" w14:textId="2FB9C88F" w:rsidR="00F83660" w:rsidRPr="00D96C20" w:rsidRDefault="00F83660" w:rsidP="00F83660">
      <w:pPr>
        <w:tabs>
          <w:tab w:val="left" w:leader="dot" w:pos="9072"/>
        </w:tabs>
        <w:spacing w:before="120" w:after="120"/>
        <w:ind w:left="567"/>
        <w:jc w:val="both"/>
      </w:pPr>
      <w:r>
        <w:tab/>
      </w:r>
      <w:r>
        <w:tab/>
      </w:r>
    </w:p>
    <w:p w14:paraId="085E60A1" w14:textId="253FE13D" w:rsidR="00F610C7" w:rsidRPr="00D96C20" w:rsidRDefault="00F83660" w:rsidP="000B3E97">
      <w:pPr>
        <w:pStyle w:val="ListParagraph"/>
        <w:numPr>
          <w:ilvl w:val="0"/>
          <w:numId w:val="4"/>
        </w:numPr>
        <w:spacing w:before="120" w:after="120"/>
        <w:ind w:left="567" w:hanging="567"/>
        <w:contextualSpacing w:val="0"/>
        <w:jc w:val="both"/>
      </w:pPr>
      <w:r>
        <w:t xml:space="preserve">Ако с проекта се стимулират нови инвестиции в природен газ или експлоатация на активи за производство на енергия, основани на природен газ, моля, обяснете дали с проекта се гарантира следното в съответствие с точка 397 от CEEAG: </w:t>
      </w:r>
    </w:p>
    <w:p w14:paraId="38C1F102" w14:textId="32146B66" w:rsidR="00F610C7" w:rsidRPr="00D96C20" w:rsidRDefault="00304F41" w:rsidP="001E4498">
      <w:pPr>
        <w:pStyle w:val="ListParagraph"/>
        <w:numPr>
          <w:ilvl w:val="0"/>
          <w:numId w:val="39"/>
        </w:numPr>
        <w:spacing w:before="120" w:after="120"/>
        <w:contextualSpacing w:val="0"/>
        <w:jc w:val="both"/>
      </w:pPr>
      <w:r>
        <w:t>приносът на помощта за постигането на целите на Съюза в областта на климата до 2030 г. и за неутралност по отношение на климата до 2050 г.;</w:t>
      </w:r>
    </w:p>
    <w:p w14:paraId="389482B8" w14:textId="38817A0F" w:rsidR="00F610C7" w:rsidRPr="00D96C20" w:rsidRDefault="00304F41" w:rsidP="001E4498">
      <w:pPr>
        <w:pStyle w:val="ListParagraph"/>
        <w:numPr>
          <w:ilvl w:val="0"/>
          <w:numId w:val="39"/>
        </w:numPr>
        <w:spacing w:before="120" w:after="120"/>
        <w:contextualSpacing w:val="0"/>
        <w:jc w:val="both"/>
      </w:pPr>
      <w:r>
        <w:t>как ще се избегне създаването на зависимост от производството на енергия с гориво природен газ;</w:t>
      </w:r>
    </w:p>
    <w:p w14:paraId="7EA03E9A" w14:textId="7AB57B2E" w:rsidR="00F83660" w:rsidRPr="00D96C20" w:rsidRDefault="00F610C7" w:rsidP="001E4498">
      <w:pPr>
        <w:pStyle w:val="ListParagraph"/>
        <w:numPr>
          <w:ilvl w:val="0"/>
          <w:numId w:val="39"/>
        </w:numPr>
        <w:spacing w:before="120" w:after="120"/>
        <w:contextualSpacing w:val="0"/>
        <w:jc w:val="both"/>
      </w:pPr>
      <w:r>
        <w:t>как помощта не измества инвестициите в по-чисти алтернативи, които вече са на разположение на пазара, и не възпрепятства разработването на по-чисти технологии и тяхното използване.</w:t>
      </w:r>
    </w:p>
    <w:p w14:paraId="4F9F5FD3" w14:textId="77777777" w:rsidR="00F83660" w:rsidRPr="00D96C20" w:rsidRDefault="00F83660" w:rsidP="00F83660">
      <w:pPr>
        <w:tabs>
          <w:tab w:val="left" w:leader="dot" w:pos="9072"/>
        </w:tabs>
        <w:spacing w:before="120" w:after="120"/>
        <w:ind w:left="567"/>
        <w:jc w:val="both"/>
      </w:pPr>
      <w:r>
        <w:tab/>
      </w:r>
    </w:p>
    <w:p w14:paraId="145AEE21" w14:textId="77777777" w:rsidR="008203A0" w:rsidRPr="00D96C20" w:rsidRDefault="008203A0" w:rsidP="008203A0">
      <w:pPr>
        <w:pStyle w:val="ListParagraph"/>
        <w:numPr>
          <w:ilvl w:val="0"/>
          <w:numId w:val="4"/>
        </w:numPr>
        <w:spacing w:before="120" w:after="120"/>
        <w:ind w:left="567" w:hanging="567"/>
        <w:contextualSpacing w:val="0"/>
        <w:jc w:val="both"/>
      </w:pPr>
      <w:r>
        <w:t xml:space="preserve">За да се провери съответствието с точка 398 от CEEAG, моля, пояснете дали районната отоплителна и охладителна система е отворена за достъп на трети страни и дали би било възможно да се използват устойчиви алтернативни решения за отопление. </w:t>
      </w:r>
    </w:p>
    <w:p w14:paraId="7F6E1AF0" w14:textId="77777777" w:rsidR="008203A0" w:rsidRPr="00D96C20" w:rsidRDefault="008203A0" w:rsidP="008203A0">
      <w:pPr>
        <w:tabs>
          <w:tab w:val="left" w:leader="dot" w:pos="9072"/>
        </w:tabs>
        <w:spacing w:before="120" w:after="120"/>
        <w:ind w:left="567"/>
        <w:jc w:val="both"/>
      </w:pPr>
      <w:r>
        <w:tab/>
      </w:r>
    </w:p>
    <w:p w14:paraId="10688268" w14:textId="77777777" w:rsidR="00C33721" w:rsidRPr="008203A0" w:rsidRDefault="00C33721" w:rsidP="008203A0">
      <w:pPr>
        <w:ind w:firstLine="1412"/>
        <w:rPr>
          <w:iCs/>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D96C20" w14:paraId="2E5836DE" w14:textId="77777777" w:rsidTr="001C4D88">
        <w:tc>
          <w:tcPr>
            <w:tcW w:w="9322" w:type="dxa"/>
            <w:shd w:val="pct15" w:color="auto" w:fill="auto"/>
          </w:tcPr>
          <w:p w14:paraId="145F7D57" w14:textId="75FF5DE8" w:rsidR="00C33721" w:rsidRPr="00D96C20" w:rsidRDefault="00C33721" w:rsidP="00B96B8C">
            <w:pPr>
              <w:numPr>
                <w:ilvl w:val="0"/>
                <w:numId w:val="33"/>
              </w:numPr>
              <w:jc w:val="center"/>
              <w:rPr>
                <w:rFonts w:eastAsia="Times New Roman"/>
                <w:b/>
                <w:i/>
                <w:color w:val="000000"/>
                <w:sz w:val="28"/>
                <w:szCs w:val="28"/>
              </w:rPr>
            </w:pPr>
            <w:r>
              <w:rPr>
                <w:b/>
                <w:i/>
                <w:color w:val="000000"/>
                <w:sz w:val="28"/>
              </w:rPr>
              <w:t>Оценка</w:t>
            </w:r>
          </w:p>
        </w:tc>
      </w:tr>
    </w:tbl>
    <w:p w14:paraId="78AC9B95" w14:textId="1FB76E7E" w:rsidR="00C33721" w:rsidRPr="00D96C20" w:rsidRDefault="00C33721" w:rsidP="005C6138">
      <w:pPr>
        <w:tabs>
          <w:tab w:val="left" w:leader="dot" w:pos="9072"/>
        </w:tabs>
        <w:spacing w:before="120" w:after="120"/>
        <w:ind w:left="567"/>
        <w:jc w:val="both"/>
      </w:pPr>
      <w:r>
        <w:rPr>
          <w:i/>
        </w:rPr>
        <w:t>За да предоставите информацията в настоящия раздел, моля, вижте точка 76, буква а) и глава 5 (точки 455—463) от CEEAG.</w:t>
      </w:r>
    </w:p>
    <w:p w14:paraId="4176B687" w14:textId="1F43944A" w:rsidR="00FE28B4" w:rsidRPr="00D96C20" w:rsidRDefault="00FE28B4" w:rsidP="000B3E97">
      <w:pPr>
        <w:pStyle w:val="ListParagraph"/>
        <w:numPr>
          <w:ilvl w:val="0"/>
          <w:numId w:val="4"/>
        </w:numPr>
        <w:spacing w:before="120" w:after="120"/>
        <w:ind w:left="567" w:hanging="567"/>
        <w:contextualSpacing w:val="0"/>
        <w:jc w:val="both"/>
      </w:pPr>
      <w:r>
        <w:lastRenderedPageBreak/>
        <w:t>Ако мярката(мерките), за която(</w:t>
      </w:r>
      <w:proofErr w:type="spellStart"/>
      <w:r>
        <w:t>ито</w:t>
      </w:r>
      <w:proofErr w:type="spellEnd"/>
      <w:r>
        <w:t>)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Pr="00D96C20">
        <w:rPr>
          <w:vertAlign w:val="superscript"/>
          <w:lang w:eastAsia="en-GB"/>
        </w:rPr>
        <w:footnoteReference w:id="13"/>
      </w:r>
      <w:r>
        <w:t>.</w:t>
      </w:r>
    </w:p>
    <w:p w14:paraId="02454385" w14:textId="77777777" w:rsidR="00FE28B4" w:rsidRPr="00D96C20" w:rsidRDefault="00FE28B4" w:rsidP="00FE28B4">
      <w:pPr>
        <w:spacing w:before="120" w:after="120"/>
        <w:ind w:firstLine="567"/>
        <w:jc w:val="both"/>
      </w:pPr>
      <w:r>
        <w:t>……………………………………………………………………………………………</w:t>
      </w:r>
    </w:p>
    <w:p w14:paraId="363BFD10" w14:textId="77777777" w:rsidR="00FE28B4" w:rsidRPr="00D96C20" w:rsidRDefault="00FE28B4" w:rsidP="000B3E97">
      <w:pPr>
        <w:pStyle w:val="ListParagraph"/>
        <w:numPr>
          <w:ilvl w:val="0"/>
          <w:numId w:val="4"/>
        </w:numPr>
        <w:spacing w:before="120" w:after="120"/>
        <w:ind w:left="567" w:hanging="567"/>
        <w:contextualSpacing w:val="0"/>
        <w:jc w:val="both"/>
      </w:pPr>
      <w:r>
        <w:t>Ако е представен проект на план за оценка, моля:</w:t>
      </w:r>
    </w:p>
    <w:p w14:paraId="36682E0D" w14:textId="77777777" w:rsidR="00FE28B4" w:rsidRPr="00D96C20" w:rsidRDefault="00FE28B4" w:rsidP="00F10E39">
      <w:pPr>
        <w:numPr>
          <w:ilvl w:val="0"/>
          <w:numId w:val="34"/>
        </w:numPr>
        <w:spacing w:before="120" w:after="120"/>
        <w:jc w:val="both"/>
      </w:pPr>
      <w:r>
        <w:t>представете по-долу резюме на този проект на план за оценка, включен в приложението;</w:t>
      </w:r>
    </w:p>
    <w:p w14:paraId="55BB6E08" w14:textId="77777777" w:rsidR="00FE28B4" w:rsidRPr="00D96C20" w:rsidRDefault="00FE28B4" w:rsidP="00FE28B4">
      <w:pPr>
        <w:spacing w:before="120" w:after="120"/>
        <w:ind w:left="1440"/>
        <w:jc w:val="both"/>
      </w:pPr>
      <w:r>
        <w:t>………………………………………………………………………………….</w:t>
      </w:r>
    </w:p>
    <w:p w14:paraId="1279036C" w14:textId="77777777" w:rsidR="00FE28B4" w:rsidRPr="00D96C20" w:rsidRDefault="00FE28B4" w:rsidP="00F10E39">
      <w:pPr>
        <w:numPr>
          <w:ilvl w:val="0"/>
          <w:numId w:val="34"/>
        </w:numPr>
        <w:spacing w:before="120" w:after="120"/>
        <w:jc w:val="both"/>
      </w:pPr>
      <w:r>
        <w:t>потвърдете, че ще бъде спазена точка 460 от CEEAG;</w:t>
      </w:r>
    </w:p>
    <w:p w14:paraId="478509E5" w14:textId="77777777" w:rsidR="00FE28B4" w:rsidRPr="00D96C20" w:rsidRDefault="00FE28B4" w:rsidP="00FE28B4">
      <w:pPr>
        <w:spacing w:before="120" w:after="120"/>
        <w:ind w:left="1440"/>
        <w:jc w:val="both"/>
      </w:pPr>
      <w:r>
        <w:t xml:space="preserve">…………………………………………………………………………………. </w:t>
      </w:r>
    </w:p>
    <w:p w14:paraId="55D970DB" w14:textId="77777777" w:rsidR="00FE28B4" w:rsidRPr="00D96C20" w:rsidRDefault="00FE28B4" w:rsidP="00F10E39">
      <w:pPr>
        <w:numPr>
          <w:ilvl w:val="0"/>
          <w:numId w:val="34"/>
        </w:numPr>
        <w:spacing w:before="120" w:after="120"/>
        <w:jc w:val="both"/>
      </w:pPr>
      <w:r>
        <w:t>посочете датата и интернет връзката, на която планът за оценка ще бъде публично достъпен.</w:t>
      </w:r>
    </w:p>
    <w:p w14:paraId="11CB5329" w14:textId="77777777" w:rsidR="00FE28B4" w:rsidRPr="00D96C20" w:rsidRDefault="00FE28B4" w:rsidP="00FE28B4">
      <w:pPr>
        <w:spacing w:before="120" w:after="120"/>
        <w:ind w:left="1440"/>
        <w:jc w:val="both"/>
      </w:pPr>
      <w:r>
        <w:t xml:space="preserve">…………………………………………………………………………………. </w:t>
      </w:r>
    </w:p>
    <w:p w14:paraId="4041F7F4" w14:textId="77777777" w:rsidR="00FE28B4" w:rsidRPr="00D96C20" w:rsidRDefault="00FE28B4" w:rsidP="000B3E97">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3DD21DFD" w14:textId="77777777" w:rsidR="00FE28B4" w:rsidRPr="00D96C20" w:rsidRDefault="00FE28B4" w:rsidP="00FE28B4">
      <w:pPr>
        <w:tabs>
          <w:tab w:val="left" w:leader="dot" w:pos="9072"/>
        </w:tabs>
        <w:spacing w:before="120" w:after="120"/>
        <w:ind w:left="567"/>
        <w:jc w:val="both"/>
      </w:pPr>
      <w:r>
        <w:tab/>
      </w:r>
    </w:p>
    <w:p w14:paraId="40D53E4A" w14:textId="77777777" w:rsidR="00FE28B4" w:rsidRPr="00D96C20" w:rsidRDefault="00FE28B4" w:rsidP="000B3E97">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t xml:space="preserve">. </w:t>
      </w:r>
    </w:p>
    <w:p w14:paraId="4FC36C62" w14:textId="77777777" w:rsidR="00FE28B4" w:rsidRPr="00D96C20" w:rsidRDefault="00FE28B4" w:rsidP="00FE28B4">
      <w:pPr>
        <w:tabs>
          <w:tab w:val="left" w:leader="dot" w:pos="9072"/>
        </w:tabs>
        <w:spacing w:before="120" w:after="120"/>
        <w:ind w:left="567"/>
        <w:jc w:val="both"/>
      </w:pPr>
      <w:r>
        <w:tab/>
      </w:r>
    </w:p>
    <w:p w14:paraId="1721BABB" w14:textId="77777777" w:rsidR="00FE28B4" w:rsidRPr="00D96C20" w:rsidRDefault="00FE28B4" w:rsidP="000B3E97">
      <w:pPr>
        <w:pStyle w:val="ListParagraph"/>
        <w:numPr>
          <w:ilvl w:val="0"/>
          <w:numId w:val="4"/>
        </w:numPr>
        <w:spacing w:before="120" w:after="120"/>
        <w:ind w:left="567" w:hanging="567"/>
        <w:contextualSpacing w:val="0"/>
        <w:jc w:val="both"/>
      </w:pPr>
      <w:r>
        <w:t>За да се провери съответствието с точка 461 от CEEAG:</w:t>
      </w:r>
    </w:p>
    <w:p w14:paraId="04054438" w14:textId="77777777" w:rsidR="00FE28B4" w:rsidRPr="00D96C20" w:rsidRDefault="00FE28B4" w:rsidP="00F10E39">
      <w:pPr>
        <w:numPr>
          <w:ilvl w:val="0"/>
          <w:numId w:val="35"/>
        </w:numPr>
        <w:spacing w:before="120" w:after="120"/>
        <w:jc w:val="both"/>
      </w:pPr>
      <w:r>
        <w:t>Моля, пояснете дали независимият експерт вече е избран или ще бъде избран в бъдеще.</w:t>
      </w:r>
    </w:p>
    <w:p w14:paraId="5916D93B" w14:textId="77777777" w:rsidR="00FE28B4" w:rsidRPr="00D96C20" w:rsidRDefault="00FE28B4" w:rsidP="00FE28B4">
      <w:pPr>
        <w:spacing w:before="120" w:after="120"/>
        <w:ind w:left="1440"/>
        <w:jc w:val="both"/>
      </w:pPr>
      <w:r>
        <w:t>…………………………………………………………………………………..</w:t>
      </w:r>
    </w:p>
    <w:p w14:paraId="5C9891CF" w14:textId="77777777" w:rsidR="00FE28B4" w:rsidRPr="00D96C20" w:rsidRDefault="00FE28B4" w:rsidP="00F10E39">
      <w:pPr>
        <w:numPr>
          <w:ilvl w:val="0"/>
          <w:numId w:val="35"/>
        </w:numPr>
        <w:spacing w:before="120" w:after="120"/>
        <w:jc w:val="both"/>
      </w:pPr>
      <w:r>
        <w:t>Моля, представете информация за процедурата за избор на експерт.</w:t>
      </w:r>
    </w:p>
    <w:p w14:paraId="641EA92F" w14:textId="77777777" w:rsidR="00FE28B4" w:rsidRPr="00D96C20" w:rsidRDefault="00FE28B4" w:rsidP="00FE28B4">
      <w:pPr>
        <w:spacing w:before="120" w:after="120"/>
        <w:ind w:left="1440"/>
        <w:jc w:val="both"/>
      </w:pPr>
      <w:r>
        <w:t>………………………………………………………………………………….</w:t>
      </w:r>
    </w:p>
    <w:p w14:paraId="074D5B00" w14:textId="77777777" w:rsidR="00FE28B4" w:rsidRPr="00D96C20" w:rsidRDefault="00FE28B4" w:rsidP="00F10E39">
      <w:pPr>
        <w:numPr>
          <w:ilvl w:val="0"/>
          <w:numId w:val="35"/>
        </w:numPr>
        <w:spacing w:before="120" w:after="120"/>
        <w:jc w:val="both"/>
      </w:pPr>
      <w:r>
        <w:t>Моля, обосновете по какъв начин експертът е независим от предоставящия помощта орган.</w:t>
      </w:r>
    </w:p>
    <w:p w14:paraId="3DA8CA32" w14:textId="77777777" w:rsidR="00FE28B4" w:rsidRPr="00D96C20" w:rsidRDefault="00FE28B4" w:rsidP="00FE28B4">
      <w:pPr>
        <w:spacing w:before="120" w:after="120"/>
        <w:ind w:left="1440"/>
        <w:jc w:val="both"/>
      </w:pPr>
      <w:r>
        <w:t xml:space="preserve">………………………………………………………………………………….. </w:t>
      </w:r>
    </w:p>
    <w:p w14:paraId="0F61A6AD" w14:textId="77777777" w:rsidR="00FE28B4" w:rsidRPr="00D96C20" w:rsidRDefault="00FE28B4" w:rsidP="000B3E97">
      <w:pPr>
        <w:pStyle w:val="ListParagraph"/>
        <w:numPr>
          <w:ilvl w:val="0"/>
          <w:numId w:val="4"/>
        </w:numPr>
        <w:tabs>
          <w:tab w:val="left" w:pos="567"/>
        </w:tabs>
        <w:spacing w:before="120" w:after="120"/>
        <w:ind w:left="567" w:hanging="567"/>
        <w:contextualSpacing w:val="0"/>
        <w:jc w:val="both"/>
      </w:pPr>
      <w:r>
        <w:lastRenderedPageBreak/>
        <w:t xml:space="preserve">За да се провери съответствието с точка 461 от CEEAG: </w:t>
      </w:r>
    </w:p>
    <w:p w14:paraId="3043EB67" w14:textId="77777777" w:rsidR="00FE28B4" w:rsidRPr="00D96C20" w:rsidRDefault="00FE28B4" w:rsidP="00F10E39">
      <w:pPr>
        <w:numPr>
          <w:ilvl w:val="0"/>
          <w:numId w:val="36"/>
        </w:numPr>
        <w:spacing w:before="120" w:after="120"/>
        <w:jc w:val="both"/>
      </w:pPr>
      <w: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38AA9CDE" w14:textId="77777777" w:rsidR="00FE28B4" w:rsidRPr="00D96C20" w:rsidRDefault="00FE28B4" w:rsidP="00FE28B4">
      <w:pPr>
        <w:tabs>
          <w:tab w:val="left" w:leader="dot" w:pos="9072"/>
        </w:tabs>
        <w:spacing w:before="120" w:after="120"/>
        <w:ind w:left="567"/>
        <w:jc w:val="both"/>
      </w:pPr>
      <w:r>
        <w:t xml:space="preserve"> </w:t>
      </w:r>
      <w:r>
        <w:tab/>
      </w:r>
    </w:p>
    <w:p w14:paraId="0450D14F" w14:textId="77777777" w:rsidR="00FE28B4" w:rsidRPr="00D96C20" w:rsidRDefault="00FE28B4" w:rsidP="00F10E39">
      <w:pPr>
        <w:numPr>
          <w:ilvl w:val="0"/>
          <w:numId w:val="36"/>
        </w:numPr>
        <w:spacing w:before="120" w:after="12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10FA3DB0" w14:textId="77777777" w:rsidR="00627715" w:rsidRPr="00D96C20"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D96C20" w14:paraId="5AFCC7AE" w14:textId="77777777" w:rsidTr="001C4D88">
        <w:tc>
          <w:tcPr>
            <w:tcW w:w="9322" w:type="dxa"/>
            <w:shd w:val="pct15" w:color="auto" w:fill="auto"/>
          </w:tcPr>
          <w:p w14:paraId="6B1D3811" w14:textId="0DC25057" w:rsidR="00627715" w:rsidRPr="00D96C20" w:rsidRDefault="00627715" w:rsidP="00B96B8C">
            <w:pPr>
              <w:numPr>
                <w:ilvl w:val="0"/>
                <w:numId w:val="33"/>
              </w:numPr>
              <w:jc w:val="center"/>
              <w:rPr>
                <w:rFonts w:eastAsia="Times New Roman"/>
                <w:b/>
                <w:i/>
                <w:sz w:val="28"/>
                <w:szCs w:val="28"/>
              </w:rPr>
            </w:pPr>
            <w:r>
              <w:rPr>
                <w:b/>
                <w:i/>
                <w:sz w:val="28"/>
              </w:rPr>
              <w:t>Докладване и мониторинг</w:t>
            </w:r>
          </w:p>
        </w:tc>
      </w:tr>
    </w:tbl>
    <w:p w14:paraId="03FF5B05" w14:textId="77777777" w:rsidR="00FE28B4" w:rsidRPr="00D96C20" w:rsidRDefault="00FE28B4" w:rsidP="00FE28B4">
      <w:pPr>
        <w:tabs>
          <w:tab w:val="left" w:leader="dot" w:pos="9072"/>
        </w:tabs>
        <w:spacing w:before="120" w:after="120"/>
        <w:ind w:left="567"/>
        <w:jc w:val="both"/>
      </w:pPr>
      <w:r>
        <w:rPr>
          <w:i/>
        </w:rPr>
        <w:t>За да предоставите информацията в настоящия раздел, моля, вижте раздел 6 (точки 464—465) от CEEAG.</w:t>
      </w:r>
    </w:p>
    <w:p w14:paraId="76538DE7" w14:textId="77777777" w:rsidR="00FE28B4" w:rsidRPr="00D96C20" w:rsidRDefault="00FE28B4" w:rsidP="000B3E97">
      <w:pPr>
        <w:pStyle w:val="ListParagraph"/>
        <w:numPr>
          <w:ilvl w:val="0"/>
          <w:numId w:val="4"/>
        </w:numPr>
        <w:spacing w:before="120" w:after="120"/>
        <w:ind w:left="567" w:hanging="567"/>
        <w:contextualSpacing w:val="0"/>
        <w:jc w:val="both"/>
      </w:pPr>
      <w:r>
        <w:t>Моля, потвърдете, че държавата членка ще спазва изискванията за докладване и мониторинг, предвидени в раздел 6, точки 464 и 465 от CEEAG.</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E055" w14:textId="77777777" w:rsidR="008D2777" w:rsidRDefault="008D2777" w:rsidP="000442F5">
      <w:r>
        <w:separator/>
      </w:r>
    </w:p>
  </w:endnote>
  <w:endnote w:type="continuationSeparator" w:id="0">
    <w:p w14:paraId="30518242" w14:textId="77777777" w:rsidR="008D2777" w:rsidRDefault="008D2777" w:rsidP="000442F5">
      <w:r>
        <w:continuationSeparator/>
      </w:r>
    </w:p>
  </w:endnote>
  <w:endnote w:type="continuationNotice" w:id="1">
    <w:p w14:paraId="6C286D99" w14:textId="77777777" w:rsidR="008D2777" w:rsidRDefault="008D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1C9EC25" w:rsidR="008D2777" w:rsidRDefault="008D2777">
    <w:pPr>
      <w:pStyle w:val="Footer"/>
      <w:jc w:val="center"/>
    </w:pPr>
    <w:r>
      <w:fldChar w:fldCharType="begin"/>
    </w:r>
    <w:r>
      <w:instrText xml:space="preserve"> PAGE   \* MERGEFORMAT </w:instrText>
    </w:r>
    <w:r>
      <w:fldChar w:fldCharType="separate"/>
    </w:r>
    <w:r w:rsidR="006C2BFD">
      <w:t>4</w:t>
    </w:r>
    <w:r>
      <w:fldChar w:fldCharType="end"/>
    </w:r>
  </w:p>
  <w:p w14:paraId="75E356FD" w14:textId="77777777" w:rsidR="008D2777" w:rsidRDefault="008D2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06E9" w14:textId="77777777" w:rsidR="008D2777" w:rsidRDefault="008D2777" w:rsidP="000442F5">
      <w:r>
        <w:separator/>
      </w:r>
    </w:p>
  </w:footnote>
  <w:footnote w:type="continuationSeparator" w:id="0">
    <w:p w14:paraId="69A14AB2" w14:textId="77777777" w:rsidR="008D2777" w:rsidRDefault="008D2777" w:rsidP="000442F5">
      <w:r>
        <w:continuationSeparator/>
      </w:r>
    </w:p>
  </w:footnote>
  <w:footnote w:type="continuationNotice" w:id="1">
    <w:p w14:paraId="15170FD1" w14:textId="77777777" w:rsidR="008D2777" w:rsidRDefault="008D2777"/>
  </w:footnote>
  <w:footnote w:id="2">
    <w:p w14:paraId="390A7C79" w14:textId="77777777" w:rsidR="00C076F2" w:rsidRPr="0067348B" w:rsidRDefault="00C076F2" w:rsidP="00C076F2">
      <w:pPr>
        <w:pStyle w:val="FootnoteText"/>
      </w:pPr>
      <w:r>
        <w:rPr>
          <w:rStyle w:val="FootnoteReference"/>
        </w:rPr>
        <w:footnoteRef/>
      </w:r>
      <w:r>
        <w:tab/>
        <w:t>OB C 80, 18.2.2022 г., стр. 1.</w:t>
      </w:r>
    </w:p>
  </w:footnote>
  <w:footnote w:id="3">
    <w:p w14:paraId="6565D8D9" w14:textId="77777777" w:rsidR="005937D4" w:rsidRPr="0067348B" w:rsidRDefault="005937D4" w:rsidP="005937D4">
      <w:pPr>
        <w:pStyle w:val="FootnoteText"/>
      </w:pPr>
      <w:r>
        <w:rPr>
          <w:rStyle w:val="FootnoteReference"/>
        </w:rPr>
        <w:footnoteRef/>
      </w:r>
      <w:r>
        <w:tab/>
      </w:r>
      <w:r>
        <w:t>Моля, обърнете внимание, че за дадена схема за помощ продължителността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w:t>
      </w:r>
    </w:p>
  </w:footnote>
  <w:footnote w:id="4">
    <w:p w14:paraId="2D55E73F" w14:textId="77777777" w:rsidR="007444CC" w:rsidRPr="0067348B" w:rsidRDefault="007444CC" w:rsidP="007444CC">
      <w:pPr>
        <w:pStyle w:val="FootnoteText"/>
      </w:pPr>
      <w:r>
        <w:rPr>
          <w:rStyle w:val="FootnoteReference"/>
        </w:rPr>
        <w:footnoteRef/>
      </w:r>
      <w:r>
        <w:tab/>
      </w:r>
      <w:r>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561DACBB" w14:textId="1FF2FC9F" w:rsidR="008D2777" w:rsidRDefault="008D2777">
      <w:pPr>
        <w:pStyle w:val="FootnoteText"/>
      </w:pPr>
    </w:p>
  </w:footnote>
  <w:footnote w:id="6">
    <w:p w14:paraId="4C19DBFC" w14:textId="4F9612F8" w:rsidR="008D2777" w:rsidRPr="00C21EF1" w:rsidRDefault="008D2777">
      <w:pPr>
        <w:pStyle w:val="FootnoteText"/>
      </w:pPr>
    </w:p>
  </w:footnote>
  <w:footnote w:id="7">
    <w:p w14:paraId="1524F4B1" w14:textId="28F91275" w:rsidR="008D2777" w:rsidRPr="00D24240" w:rsidRDefault="008D2777" w:rsidP="00D37B1D">
      <w:pPr>
        <w:pStyle w:val="FootnoteText"/>
        <w:rPr>
          <w:i/>
        </w:rPr>
      </w:pPr>
      <w:r>
        <w:rPr>
          <w:rStyle w:val="FootnoteReference"/>
        </w:rPr>
        <w:footnoteRef/>
      </w:r>
      <w:r>
        <w:t xml:space="preserve"> </w:t>
      </w:r>
      <w:r w:rsidR="001E4498" w:rsidRPr="001E4498">
        <w:tab/>
      </w:r>
      <w:r>
        <w:t xml:space="preserve">В точка 31 от CEEAG е предвидено, че </w:t>
      </w:r>
      <w:r>
        <w:rPr>
          <w:i/>
          <w:iCs/>
        </w:rPr>
        <w:t>в някои изключителни случаи помощта може да има стимулиращ ефект дори за проекти, които са започнали преди подаването на заявлението за помощ</w:t>
      </w:r>
      <w:r>
        <w:t>.</w:t>
      </w:r>
      <w:r>
        <w:rPr>
          <w:i/>
        </w:rPr>
        <w:t xml:space="preserve"> </w:t>
      </w:r>
      <w:r>
        <w:rPr>
          <w:i/>
          <w:iCs/>
        </w:rPr>
        <w:t>По-специално се приема, че помощта има стимулиращ ефект в следните случаи</w:t>
      </w:r>
      <w:r>
        <w:rPr>
          <w:i/>
        </w:rPr>
        <w:t>:</w:t>
      </w:r>
    </w:p>
    <w:p w14:paraId="5730337E" w14:textId="7DC3746A" w:rsidR="008D2777" w:rsidRPr="00D24240" w:rsidRDefault="008D2777" w:rsidP="00F10E39">
      <w:pPr>
        <w:pStyle w:val="FootnoteText"/>
        <w:numPr>
          <w:ilvl w:val="0"/>
          <w:numId w:val="24"/>
        </w:numPr>
        <w:rPr>
          <w:i/>
        </w:rPr>
      </w:pPr>
      <w:r>
        <w:rPr>
          <w:i/>
          <w:iCs/>
        </w:rPr>
        <w:t>помощта се предоставя автоматично в съответствие с обективни и недискриминационни критерии и без допълнително упражняване на преценка от страна на държавата членка и мярката е приета и влязла в сила преди започването на работа по подпомагания проект или подпомаганата дейност, с изключение на последващите фискални схеми, при които дейността вече е била обхваната от предишни схеми под формата на данъчни предимства;</w:t>
      </w:r>
    </w:p>
    <w:p w14:paraId="126E383A" w14:textId="1F4A7ABF" w:rsidR="008D2777" w:rsidRPr="00D24240" w:rsidRDefault="008D2777" w:rsidP="00F10E39">
      <w:pPr>
        <w:pStyle w:val="FootnoteText"/>
        <w:numPr>
          <w:ilvl w:val="0"/>
          <w:numId w:val="24"/>
        </w:numPr>
        <w:rPr>
          <w:i/>
        </w:rPr>
      </w:pPr>
      <w:r>
        <w:rPr>
          <w:i/>
          <w:iCs/>
        </w:rPr>
        <w:t xml:space="preserve">преди започването на работа националните органи са публикували известие за намерението си да въведат предложената мярка за помощ, при условие че Комисията одобри мярката, както се изисква съгласно член 108, параграф 3 от Договора. Това известие трябва да е обнародвано на публичен уебсайт или в друго публично достъпно средство за масова информация със сравнително широк и лесен достъп и в него трябва да са посочени ясно типът проекти, които държавата членка предлага да бъдат допустими, и моментът, от който държавата членка възнамерява да разглежда тези проекти като допустими. Предложената допустимост не трябва да е неоправдано ограничена. Преди започването на работа </w:t>
      </w:r>
      <w:proofErr w:type="spellStart"/>
      <w:r>
        <w:rPr>
          <w:i/>
          <w:iCs/>
        </w:rPr>
        <w:t>бенефициерът</w:t>
      </w:r>
      <w:proofErr w:type="spellEnd"/>
      <w:r>
        <w:rPr>
          <w:i/>
          <w:iCs/>
        </w:rPr>
        <w:t xml:space="preserve"> трябва да е уведомил предоставящия помощта орган, че предложената мярка за помощ е била разглеждана като условие за взетите инвестиционни решения. Когато държавата членка се позовава на посоченото известие, за да докаже наличието на стимулиращ ефект, заедно със своето уведомление за държавната помощ тя трябва да предостави копие от известието и линк към уебсайта, където то е било публикувано, или съответните доказателства, че известието е било достъпно за обществеността;</w:t>
      </w:r>
    </w:p>
    <w:p w14:paraId="64F711A8" w14:textId="54D3F761" w:rsidR="008D2777" w:rsidRDefault="008D2777" w:rsidP="00F10E39">
      <w:pPr>
        <w:pStyle w:val="FootnoteText"/>
        <w:numPr>
          <w:ilvl w:val="0"/>
          <w:numId w:val="24"/>
        </w:numPr>
      </w:pPr>
      <w:r>
        <w:rPr>
          <w:i/>
          <w:iCs/>
        </w:rPr>
        <w:t xml:space="preserve">оперативна помощ, предоставяна за екологосъобразно производство със съществуващи инсталации, когато няма „започване на работа“ поради липса на значителни нови инвестиции. </w:t>
      </w:r>
      <w:r>
        <w:rPr>
          <w:i/>
        </w:rPr>
        <w:t>В тези случаи доказателство за стимулиращия ефект може да е промяната на експлоатацията на инсталация по екологосъобразен начин, а не въвеждането на алтернативен, по-евтин режим на експлоатация, който е по-малко екологосъобразен</w:t>
      </w:r>
      <w:r>
        <w:rPr>
          <w:i/>
          <w:iCs/>
        </w:rPr>
        <w:t>.</w:t>
      </w:r>
    </w:p>
  </w:footnote>
  <w:footnote w:id="8">
    <w:p w14:paraId="5276A1EB" w14:textId="77777777" w:rsidR="000C258D" w:rsidRDefault="000C258D" w:rsidP="000C258D">
      <w:pPr>
        <w:pStyle w:val="FootnoteText"/>
      </w:pPr>
      <w:r>
        <w:rPr>
          <w:rStyle w:val="FootnoteReference"/>
        </w:rPr>
        <w:footnoteRef/>
      </w:r>
      <w:r>
        <w:tab/>
      </w:r>
      <w:r>
        <w:t>Съгласно точка 19, подточка 89 от CEEAG „стандарт на Съюза“ означава:</w:t>
      </w:r>
    </w:p>
    <w:p w14:paraId="2C2E9687" w14:textId="77777777" w:rsidR="000C258D" w:rsidRPr="004B74BC" w:rsidRDefault="000C258D" w:rsidP="00F10E39">
      <w:pPr>
        <w:pStyle w:val="FootnoteText"/>
        <w:numPr>
          <w:ilvl w:val="0"/>
          <w:numId w:val="27"/>
        </w:numPr>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които са задължителни за държавите членки, но не и за отделните предприятия;</w:t>
      </w:r>
    </w:p>
    <w:p w14:paraId="125190F0" w14:textId="64BC945A" w:rsidR="000C258D" w:rsidRDefault="000C258D" w:rsidP="00F10E39">
      <w:pPr>
        <w:pStyle w:val="FootnoteText"/>
        <w:numPr>
          <w:ilvl w:val="0"/>
          <w:numId w:val="27"/>
        </w:numPr>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9">
    <w:p w14:paraId="6589188F" w14:textId="70D9D8AA" w:rsidR="008D2777" w:rsidRDefault="008D2777">
      <w:pPr>
        <w:pStyle w:val="FootnoteText"/>
      </w:pPr>
      <w:r>
        <w:rPr>
          <w:rStyle w:val="FootnoteReference"/>
        </w:rPr>
        <w:footnoteRef/>
      </w:r>
      <w:r>
        <w:tab/>
      </w:r>
      <w:r>
        <w:t>В точка 51 от CEEAG се предвижда, че „</w:t>
      </w:r>
      <w:r>
        <w:rPr>
          <w:color w:val="000000"/>
          <w:shd w:val="clear" w:color="auto" w:fill="FFFFFF"/>
        </w:rPr>
        <w:t>типичните нетни допълнителни разходи могат да бъдат изчислени като разлика между ННС при фактическия сценарий и при съпоставителния сценарий за жизнения цикъл на референтния проект</w:t>
      </w:r>
      <w:r>
        <w:t>.“</w:t>
      </w:r>
    </w:p>
  </w:footnote>
  <w:footnote w:id="10">
    <w:p w14:paraId="02B0A4E3" w14:textId="5C6F97AB" w:rsidR="008D2777" w:rsidRDefault="008D2777">
      <w:pPr>
        <w:pStyle w:val="FootnoteText"/>
      </w:pPr>
      <w:r>
        <w:rPr>
          <w:rStyle w:val="FootnoteReference"/>
        </w:rPr>
        <w:footnoteRef/>
      </w:r>
      <w:r>
        <w:tab/>
      </w:r>
      <w:r>
        <w:t>Моля, отбележете, че в съответствие с бележка под линия 45 от CEEAG „</w:t>
      </w:r>
      <w:r>
        <w:rPr>
          <w:color w:val="000000"/>
          <w:sz w:val="19"/>
          <w:shd w:val="clear" w:color="auto" w:fill="FFFFFF"/>
        </w:rPr>
        <w:t>съпоставителен сценарий, който предлага като алтернативен сценарий за инвестиции/операция продължаване в дългосрочен план на текущите неекологични дейности, няма да се счита за реалистичен.</w:t>
      </w:r>
      <w:r>
        <w:t>“</w:t>
      </w:r>
    </w:p>
  </w:footnote>
  <w:footnote w:id="11">
    <w:p w14:paraId="4E6E256B" w14:textId="4AB0B555" w:rsidR="008D2777" w:rsidRDefault="008D2777">
      <w:pPr>
        <w:pStyle w:val="FootnoteText"/>
      </w:pPr>
      <w:r>
        <w:rPr>
          <w:rStyle w:val="FootnoteReference"/>
        </w:rPr>
        <w:footnoteRef/>
      </w:r>
      <w:r>
        <w:tab/>
      </w:r>
      <w:r>
        <w:t>Съгласно бележка под линия 46 от CEEAG, моля, имайте предвид, че „трябва да се отчетат всички съответни очаквани разходи и ползи в целия жизнен цикъл на проекта“.</w:t>
      </w:r>
    </w:p>
  </w:footnote>
  <w:footnote w:id="12">
    <w:p w14:paraId="086AD512" w14:textId="7087BE19" w:rsidR="008D2777" w:rsidRPr="009C7EC5" w:rsidRDefault="008D2777">
      <w:pPr>
        <w:pStyle w:val="FootnoteText"/>
      </w:pPr>
      <w:r>
        <w:rPr>
          <w:rStyle w:val="FootnoteReference"/>
        </w:rPr>
        <w:footnoteRef/>
      </w:r>
      <w:r>
        <w:tab/>
      </w:r>
      <w:r>
        <w:t>Финансирането от Съюза, което се управлява централизирано, представлява финансиране от Съюза, което се управлява централизирано от институциите, агенциите, съвместните предприятия или другите органи на Европейски съюз и което не се намира пряко или непряко под контрола на държавата членка.</w:t>
      </w:r>
    </w:p>
  </w:footnote>
  <w:footnote w:id="13">
    <w:p w14:paraId="2B7A8351" w14:textId="77777777" w:rsidR="00FE28B4" w:rsidRDefault="00FE28B4" w:rsidP="00FE28B4">
      <w:pPr>
        <w:pStyle w:val="FootnoteText"/>
      </w:pPr>
      <w:r>
        <w:rPr>
          <w:rStyle w:val="FootnoteReference"/>
        </w:rPr>
        <w:footnoteRef/>
      </w:r>
      <w:r>
        <w:tab/>
      </w:r>
      <w:r>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D2777" w:rsidRDefault="008D2777"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A5ED0"/>
    <w:multiLevelType w:val="hybridMultilevel"/>
    <w:tmpl w:val="3E5A5FE2"/>
    <w:lvl w:ilvl="0" w:tplc="54525058">
      <w:start w:val="1"/>
      <w:numFmt w:val="lowerLetter"/>
      <w:lvlText w:val="%1."/>
      <w:lvlJc w:val="right"/>
      <w:pPr>
        <w:ind w:left="2160" w:hanging="1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37DAB"/>
    <w:multiLevelType w:val="hybridMultilevel"/>
    <w:tmpl w:val="AE36005C"/>
    <w:lvl w:ilvl="0" w:tplc="03AE66F8">
      <w:start w:val="9"/>
      <w:numFmt w:val="lowerLetter"/>
      <w:lvlText w:val="%1."/>
      <w:lvlJc w:val="left"/>
      <w:pPr>
        <w:ind w:left="1211" w:hanging="36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4" w15:restartNumberingAfterBreak="0">
    <w:nsid w:val="22E60F42"/>
    <w:multiLevelType w:val="hybridMultilevel"/>
    <w:tmpl w:val="C17A1644"/>
    <w:lvl w:ilvl="0" w:tplc="0EEE22A0">
      <w:start w:val="1"/>
      <w:numFmt w:val="lowerRoman"/>
      <w:lvlText w:val="%1."/>
      <w:lvlJc w:val="left"/>
      <w:pPr>
        <w:ind w:left="1287" w:hanging="360"/>
      </w:pPr>
      <w:rPr>
        <w:rFonts w:ascii="Times New Roman" w:hAnsi="Times New Roman" w:hint="default"/>
        <w:b w:val="0"/>
        <w:i w:val="0"/>
        <w:sz w:val="24"/>
      </w:rPr>
    </w:lvl>
    <w:lvl w:ilvl="1" w:tplc="20E2F7A0">
      <w:start w:val="1"/>
      <mc:AlternateContent>
        <mc:Choice Requires="w14">
          <w:numFmt w:val="custom" w:format="а, й, к,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32E4F69"/>
    <w:multiLevelType w:val="multilevel"/>
    <w:tmpl w:val="6C1CF95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8ED3E62"/>
    <w:multiLevelType w:val="hybridMultilevel"/>
    <w:tmpl w:val="0896A066"/>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1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278A488C"/>
    <w:lvl w:ilvl="0" w:tplc="78CA4310">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sz w:val="20"/>
        <w:szCs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83E72CF"/>
    <w:multiLevelType w:val="hybridMultilevel"/>
    <w:tmpl w:val="24C400B2"/>
    <w:lvl w:ilvl="0" w:tplc="F156F700">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B056A5"/>
    <w:multiLevelType w:val="hybridMultilevel"/>
    <w:tmpl w:val="8A4626D8"/>
    <w:lvl w:ilvl="0" w:tplc="A1A49292">
      <w:numFmt w:val="bullet"/>
      <w:lvlText w:val="-"/>
      <w:lvlJc w:val="left"/>
      <w:pPr>
        <w:ind w:left="1797" w:hanging="360"/>
      </w:pPr>
      <w:rPr>
        <w:rFonts w:ascii="Times New Roman" w:eastAsia="Calibri" w:hAnsi="Times New Roman" w:cs="Times New Roman" w:hint="default"/>
      </w:rPr>
    </w:lvl>
    <w:lvl w:ilvl="1" w:tplc="04090003">
      <w:start w:val="1"/>
      <w:numFmt w:val="bullet"/>
      <w:lvlText w:val="o"/>
      <w:lvlJc w:val="left"/>
      <w:pPr>
        <w:ind w:left="2517" w:hanging="360"/>
      </w:pPr>
      <w:rPr>
        <w:rFonts w:ascii="Courier New" w:hAnsi="Courier New" w:cs="Courier New" w:hint="default"/>
      </w:rPr>
    </w:lvl>
    <w:lvl w:ilvl="2" w:tplc="04090005">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4"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B239D1"/>
    <w:multiLevelType w:val="hybridMultilevel"/>
    <w:tmpl w:val="91168E88"/>
    <w:lvl w:ilvl="0" w:tplc="9B4884B4">
      <w:start w:val="43"/>
      <w:numFmt w:val="decimal"/>
      <w:lvlText w:val="%1."/>
      <w:lvlJc w:val="left"/>
      <w:pPr>
        <w:ind w:left="720"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20E2F7A0">
      <w:start w:val="1"/>
      <mc:AlternateContent>
        <mc:Choice Requires="w14">
          <w:numFmt w:val="custom" w:format="а, й, к, ..."/>
        </mc:Choice>
        <mc:Fallback>
          <w:numFmt w:val="decimal"/>
        </mc:Fallback>
      </mc:AlternateContent>
      <w:lvlText w:val="%3."/>
      <w:lvlJc w:val="left"/>
      <w:pPr>
        <w:ind w:left="2007"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83A7585"/>
    <w:multiLevelType w:val="hybridMultilevel"/>
    <w:tmpl w:val="0AF25D94"/>
    <w:lvl w:ilvl="0" w:tplc="C1EC314C">
      <w:start w:val="1"/>
      <w:numFmt w:val="lowerRoman"/>
      <w:lvlText w:val="%1."/>
      <w:lvlJc w:val="right"/>
      <w:pPr>
        <w:ind w:left="1080" w:hanging="360"/>
      </w:pPr>
      <w:rPr>
        <w:rFonts w:ascii="Times New Roman" w:hAnsi="Times New Roman" w:hint="default"/>
        <w:b w:val="0"/>
        <w:i w:val="0"/>
        <w:sz w:val="24"/>
      </w:rPr>
    </w:lvl>
    <w:lvl w:ilvl="1" w:tplc="20E2F7A0">
      <w:start w:val="1"/>
      <mc:AlternateContent>
        <mc:Choice Requires="w14">
          <w:numFmt w:val="custom" w:format="а, й, к,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D4807"/>
    <w:multiLevelType w:val="hybridMultilevel"/>
    <w:tmpl w:val="DBFA9C3C"/>
    <w:lvl w:ilvl="0" w:tplc="38E2A2CC">
      <w:start w:val="1"/>
      <mc:AlternateContent>
        <mc:Choice Requires="w14">
          <w:numFmt w:val="custom" w:format="а, й, к, ..."/>
        </mc:Choice>
        <mc:Fallback>
          <w:numFmt w:val="decimal"/>
        </mc:Fallback>
      </mc:AlternateContent>
      <w:lvlText w:val="%1)"/>
      <w:lvlJc w:val="left"/>
      <w:pPr>
        <w:ind w:left="1077" w:hanging="360"/>
      </w:pPr>
      <w:rPr>
        <w:rFonts w:ascii="Times New Roman" w:hAnsi="Times New Roman" w:cs="Times New Roman" w:hint="default"/>
        <w:sz w:val="24"/>
        <w:szCs w:val="24"/>
      </w:rPr>
    </w:lvl>
    <w:lvl w:ilvl="1" w:tplc="04090019">
      <w:start w:val="1"/>
      <w:numFmt w:val="lowerLetter"/>
      <w:lvlText w:val="%2."/>
      <w:lvlJc w:val="left"/>
      <w:pPr>
        <w:ind w:left="1797" w:hanging="360"/>
      </w:pPr>
    </w:lvl>
    <w:lvl w:ilvl="2" w:tplc="3AB49D94">
      <w:numFmt w:val="bullet"/>
      <w:lvlText w:val="-"/>
      <w:lvlJc w:val="left"/>
      <w:pPr>
        <w:ind w:left="2697" w:hanging="360"/>
      </w:pPr>
      <w:rPr>
        <w:rFonts w:ascii="Times New Roman" w:eastAsia="Calibri" w:hAnsi="Times New Roman" w:cs="Times New Roman" w:hint="default"/>
      </w:r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6A63355"/>
    <w:multiLevelType w:val="hybridMultilevel"/>
    <w:tmpl w:val="F60CB7DE"/>
    <w:lvl w:ilvl="0" w:tplc="82A46EEA">
      <w:start w:val="1"/>
      <w:numFmt w:val="decimal"/>
      <w:lvlText w:val="%1."/>
      <w:lvlJc w:val="left"/>
      <w:pPr>
        <w:ind w:left="720" w:hanging="360"/>
      </w:pPr>
      <w:rPr>
        <w:rFonts w:hint="default"/>
        <w:b/>
        <w:i w:val="0"/>
      </w:rPr>
    </w:lvl>
    <w:lvl w:ilvl="1" w:tplc="38E2A2CC">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sz w:val="24"/>
        <w:szCs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9E82D07"/>
    <w:multiLevelType w:val="multilevel"/>
    <w:tmpl w:val="68B699BC"/>
    <w:lvl w:ilvl="0">
      <w:start w:val="2"/>
      <w:numFmt w:val="decimal"/>
      <w:lvlText w:val="%1"/>
      <w:lvlJc w:val="left"/>
      <w:pPr>
        <w:ind w:left="480" w:hanging="480"/>
      </w:pPr>
      <w:rPr>
        <w:rFonts w:hint="default"/>
      </w:rPr>
    </w:lvl>
    <w:lvl w:ilvl="1">
      <w:start w:val="1"/>
      <w:numFmt w:val="decimal"/>
      <w:lvlText w:val="%1.%2"/>
      <w:lvlJc w:val="left"/>
      <w:pPr>
        <w:ind w:left="1236" w:hanging="480"/>
      </w:pPr>
      <w:rPr>
        <w:rFonts w:hint="default"/>
      </w:rPr>
    </w:lvl>
    <w:lvl w:ilvl="2">
      <w:start w:val="2"/>
      <w:numFmt w:val="decimal"/>
      <w:lvlText w:val="%1.%2.%3"/>
      <w:lvlJc w:val="left"/>
      <w:pPr>
        <w:ind w:left="2232"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7A5C7642"/>
    <w:multiLevelType w:val="hybridMultilevel"/>
    <w:tmpl w:val="38404B76"/>
    <w:lvl w:ilvl="0" w:tplc="20E2F7A0">
      <w:start w:val="1"/>
      <mc:AlternateContent>
        <mc:Choice Requires="w14">
          <w:numFmt w:val="custom" w:format="а, й, к, ..."/>
        </mc:Choice>
        <mc:Fallback>
          <w:numFmt w:val="decimal"/>
        </mc:Fallback>
      </mc:AlternateContent>
      <w:lvlText w:val="%1."/>
      <w:lvlJc w:val="left"/>
      <w:pPr>
        <w:ind w:left="2007" w:hanging="360"/>
      </w:pPr>
      <w:rPr>
        <w:rFonts w:hint="default"/>
      </w:rPr>
    </w:lvl>
    <w:lvl w:ilvl="1" w:tplc="18090019" w:tentative="1">
      <w:start w:val="1"/>
      <w:numFmt w:val="lowerLetter"/>
      <w:lvlText w:val="%2."/>
      <w:lvlJc w:val="left"/>
      <w:pPr>
        <w:ind w:left="2727" w:hanging="360"/>
      </w:pPr>
    </w:lvl>
    <w:lvl w:ilvl="2" w:tplc="1809001B" w:tentative="1">
      <w:start w:val="1"/>
      <w:numFmt w:val="lowerRoman"/>
      <w:lvlText w:val="%3."/>
      <w:lvlJc w:val="right"/>
      <w:pPr>
        <w:ind w:left="3447" w:hanging="180"/>
      </w:pPr>
    </w:lvl>
    <w:lvl w:ilvl="3" w:tplc="1809000F" w:tentative="1">
      <w:start w:val="1"/>
      <w:numFmt w:val="decimal"/>
      <w:lvlText w:val="%4."/>
      <w:lvlJc w:val="left"/>
      <w:pPr>
        <w:ind w:left="4167" w:hanging="360"/>
      </w:pPr>
    </w:lvl>
    <w:lvl w:ilvl="4" w:tplc="18090019" w:tentative="1">
      <w:start w:val="1"/>
      <w:numFmt w:val="lowerLetter"/>
      <w:lvlText w:val="%5."/>
      <w:lvlJc w:val="left"/>
      <w:pPr>
        <w:ind w:left="4887" w:hanging="360"/>
      </w:pPr>
    </w:lvl>
    <w:lvl w:ilvl="5" w:tplc="1809001B" w:tentative="1">
      <w:start w:val="1"/>
      <w:numFmt w:val="lowerRoman"/>
      <w:lvlText w:val="%6."/>
      <w:lvlJc w:val="right"/>
      <w:pPr>
        <w:ind w:left="5607" w:hanging="180"/>
      </w:pPr>
    </w:lvl>
    <w:lvl w:ilvl="6" w:tplc="1809000F" w:tentative="1">
      <w:start w:val="1"/>
      <w:numFmt w:val="decimal"/>
      <w:lvlText w:val="%7."/>
      <w:lvlJc w:val="left"/>
      <w:pPr>
        <w:ind w:left="6327" w:hanging="360"/>
      </w:pPr>
    </w:lvl>
    <w:lvl w:ilvl="7" w:tplc="18090019" w:tentative="1">
      <w:start w:val="1"/>
      <w:numFmt w:val="lowerLetter"/>
      <w:lvlText w:val="%8."/>
      <w:lvlJc w:val="left"/>
      <w:pPr>
        <w:ind w:left="7047" w:hanging="360"/>
      </w:pPr>
    </w:lvl>
    <w:lvl w:ilvl="8" w:tplc="1809001B" w:tentative="1">
      <w:start w:val="1"/>
      <w:numFmt w:val="lowerRoman"/>
      <w:lvlText w:val="%9."/>
      <w:lvlJc w:val="right"/>
      <w:pPr>
        <w:ind w:left="7767" w:hanging="180"/>
      </w:pPr>
    </w:lvl>
  </w:abstractNum>
  <w:num w:numId="1" w16cid:durableId="1014918617">
    <w:abstractNumId w:val="8"/>
  </w:num>
  <w:num w:numId="2" w16cid:durableId="1789277758">
    <w:abstractNumId w:val="12"/>
  </w:num>
  <w:num w:numId="3" w16cid:durableId="1083261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878899">
    <w:abstractNumId w:val="34"/>
  </w:num>
  <w:num w:numId="5" w16cid:durableId="20779712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7660977">
    <w:abstractNumId w:val="22"/>
  </w:num>
  <w:num w:numId="7" w16cid:durableId="1359891630">
    <w:abstractNumId w:val="18"/>
  </w:num>
  <w:num w:numId="8" w16cid:durableId="642975715">
    <w:abstractNumId w:val="7"/>
  </w:num>
  <w:num w:numId="9" w16cid:durableId="1260598691">
    <w:abstractNumId w:val="6"/>
  </w:num>
  <w:num w:numId="10" w16cid:durableId="1819884786">
    <w:abstractNumId w:val="32"/>
  </w:num>
  <w:num w:numId="11" w16cid:durableId="1358772462">
    <w:abstractNumId w:val="35"/>
  </w:num>
  <w:num w:numId="12" w16cid:durableId="227375807">
    <w:abstractNumId w:val="33"/>
  </w:num>
  <w:num w:numId="13" w16cid:durableId="1866283419">
    <w:abstractNumId w:val="37"/>
  </w:num>
  <w:num w:numId="14" w16cid:durableId="640429853">
    <w:abstractNumId w:val="16"/>
  </w:num>
  <w:num w:numId="15" w16cid:durableId="1318727278">
    <w:abstractNumId w:val="27"/>
  </w:num>
  <w:num w:numId="16" w16cid:durableId="1169446170">
    <w:abstractNumId w:val="4"/>
  </w:num>
  <w:num w:numId="17" w16cid:durableId="1230574815">
    <w:abstractNumId w:val="29"/>
  </w:num>
  <w:num w:numId="18" w16cid:durableId="924264111">
    <w:abstractNumId w:val="1"/>
  </w:num>
  <w:num w:numId="19" w16cid:durableId="265237095">
    <w:abstractNumId w:val="0"/>
  </w:num>
  <w:num w:numId="20" w16cid:durableId="1973055113">
    <w:abstractNumId w:val="5"/>
  </w:num>
  <w:num w:numId="21" w16cid:durableId="163671220">
    <w:abstractNumId w:val="14"/>
  </w:num>
  <w:num w:numId="22" w16cid:durableId="125316281">
    <w:abstractNumId w:val="19"/>
  </w:num>
  <w:num w:numId="23" w16cid:durableId="1206066391">
    <w:abstractNumId w:val="10"/>
  </w:num>
  <w:num w:numId="24" w16cid:durableId="825976972">
    <w:abstractNumId w:val="21"/>
  </w:num>
  <w:num w:numId="25" w16cid:durableId="1114203769">
    <w:abstractNumId w:val="30"/>
  </w:num>
  <w:num w:numId="26" w16cid:durableId="61604726">
    <w:abstractNumId w:val="9"/>
  </w:num>
  <w:num w:numId="27" w16cid:durableId="858083849">
    <w:abstractNumId w:val="20"/>
  </w:num>
  <w:num w:numId="28" w16cid:durableId="1614898177">
    <w:abstractNumId w:val="25"/>
  </w:num>
  <w:num w:numId="29" w16cid:durableId="190732580">
    <w:abstractNumId w:val="31"/>
  </w:num>
  <w:num w:numId="30" w16cid:durableId="1967617921">
    <w:abstractNumId w:val="23"/>
  </w:num>
  <w:num w:numId="31" w16cid:durableId="1678455596">
    <w:abstractNumId w:val="17"/>
  </w:num>
  <w:num w:numId="32" w16cid:durableId="1201631566">
    <w:abstractNumId w:val="15"/>
  </w:num>
  <w:num w:numId="33" w16cid:durableId="828903209">
    <w:abstractNumId w:val="36"/>
  </w:num>
  <w:num w:numId="34" w16cid:durableId="1489056556">
    <w:abstractNumId w:val="26"/>
  </w:num>
  <w:num w:numId="35" w16cid:durableId="1679229139">
    <w:abstractNumId w:val="11"/>
  </w:num>
  <w:num w:numId="36" w16cid:durableId="1456363873">
    <w:abstractNumId w:val="3"/>
  </w:num>
  <w:num w:numId="37" w16cid:durableId="1601258063">
    <w:abstractNumId w:val="13"/>
  </w:num>
  <w:num w:numId="38" w16cid:durableId="868682578">
    <w:abstractNumId w:val="2"/>
  </w:num>
  <w:num w:numId="39" w16cid:durableId="225380124">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A9C"/>
    <w:rsid w:val="0000461B"/>
    <w:rsid w:val="00004DA7"/>
    <w:rsid w:val="00011908"/>
    <w:rsid w:val="0001211F"/>
    <w:rsid w:val="00012F14"/>
    <w:rsid w:val="00015204"/>
    <w:rsid w:val="00015434"/>
    <w:rsid w:val="00015E2B"/>
    <w:rsid w:val="00016884"/>
    <w:rsid w:val="00016924"/>
    <w:rsid w:val="00020ECB"/>
    <w:rsid w:val="0002251B"/>
    <w:rsid w:val="000236B2"/>
    <w:rsid w:val="00026DCF"/>
    <w:rsid w:val="00030283"/>
    <w:rsid w:val="000314D8"/>
    <w:rsid w:val="00033005"/>
    <w:rsid w:val="00034704"/>
    <w:rsid w:val="000369C2"/>
    <w:rsid w:val="00041455"/>
    <w:rsid w:val="00042D7B"/>
    <w:rsid w:val="0004325C"/>
    <w:rsid w:val="000442F5"/>
    <w:rsid w:val="0004464A"/>
    <w:rsid w:val="0004513C"/>
    <w:rsid w:val="000456D8"/>
    <w:rsid w:val="00050EB9"/>
    <w:rsid w:val="00051090"/>
    <w:rsid w:val="000531F9"/>
    <w:rsid w:val="00054C3D"/>
    <w:rsid w:val="00054C7D"/>
    <w:rsid w:val="00056F69"/>
    <w:rsid w:val="000575C3"/>
    <w:rsid w:val="00062608"/>
    <w:rsid w:val="00067138"/>
    <w:rsid w:val="0006798B"/>
    <w:rsid w:val="00074701"/>
    <w:rsid w:val="00082E97"/>
    <w:rsid w:val="000A055E"/>
    <w:rsid w:val="000A276B"/>
    <w:rsid w:val="000A5825"/>
    <w:rsid w:val="000A5C13"/>
    <w:rsid w:val="000B0AAF"/>
    <w:rsid w:val="000B1BDB"/>
    <w:rsid w:val="000B3E97"/>
    <w:rsid w:val="000B4557"/>
    <w:rsid w:val="000B46CA"/>
    <w:rsid w:val="000B768F"/>
    <w:rsid w:val="000B7D26"/>
    <w:rsid w:val="000C258D"/>
    <w:rsid w:val="000C3517"/>
    <w:rsid w:val="000C614B"/>
    <w:rsid w:val="000C64AD"/>
    <w:rsid w:val="000D23DD"/>
    <w:rsid w:val="000D3C54"/>
    <w:rsid w:val="000D7371"/>
    <w:rsid w:val="000E7DFF"/>
    <w:rsid w:val="000F176E"/>
    <w:rsid w:val="00100464"/>
    <w:rsid w:val="00102684"/>
    <w:rsid w:val="00102E32"/>
    <w:rsid w:val="00105CC5"/>
    <w:rsid w:val="00106A61"/>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451"/>
    <w:rsid w:val="001548B6"/>
    <w:rsid w:val="001555F0"/>
    <w:rsid w:val="001620DB"/>
    <w:rsid w:val="001622D8"/>
    <w:rsid w:val="00164ADE"/>
    <w:rsid w:val="0016750C"/>
    <w:rsid w:val="00170FBF"/>
    <w:rsid w:val="0017251B"/>
    <w:rsid w:val="00173E14"/>
    <w:rsid w:val="001759B4"/>
    <w:rsid w:val="00175C89"/>
    <w:rsid w:val="001766A0"/>
    <w:rsid w:val="0017744F"/>
    <w:rsid w:val="00181BB0"/>
    <w:rsid w:val="0018463C"/>
    <w:rsid w:val="001874A6"/>
    <w:rsid w:val="00190D7F"/>
    <w:rsid w:val="00191564"/>
    <w:rsid w:val="00193E48"/>
    <w:rsid w:val="00196847"/>
    <w:rsid w:val="00197CE8"/>
    <w:rsid w:val="001A7BBF"/>
    <w:rsid w:val="001A7CAC"/>
    <w:rsid w:val="001B0D9B"/>
    <w:rsid w:val="001B645C"/>
    <w:rsid w:val="001B6590"/>
    <w:rsid w:val="001B6DD1"/>
    <w:rsid w:val="001C27EF"/>
    <w:rsid w:val="001C4D88"/>
    <w:rsid w:val="001C5A50"/>
    <w:rsid w:val="001C7129"/>
    <w:rsid w:val="001D3382"/>
    <w:rsid w:val="001D69A5"/>
    <w:rsid w:val="001D7EE4"/>
    <w:rsid w:val="001E4498"/>
    <w:rsid w:val="001E6859"/>
    <w:rsid w:val="001F17A4"/>
    <w:rsid w:val="001F56DC"/>
    <w:rsid w:val="001F7806"/>
    <w:rsid w:val="0020109B"/>
    <w:rsid w:val="0020702F"/>
    <w:rsid w:val="0020770B"/>
    <w:rsid w:val="00207D52"/>
    <w:rsid w:val="00210BE0"/>
    <w:rsid w:val="00211A92"/>
    <w:rsid w:val="00222274"/>
    <w:rsid w:val="0022598D"/>
    <w:rsid w:val="00230614"/>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4ADA"/>
    <w:rsid w:val="0029002E"/>
    <w:rsid w:val="0029110A"/>
    <w:rsid w:val="00291ACC"/>
    <w:rsid w:val="002928CD"/>
    <w:rsid w:val="00293076"/>
    <w:rsid w:val="002933E1"/>
    <w:rsid w:val="00295028"/>
    <w:rsid w:val="00295065"/>
    <w:rsid w:val="00295C90"/>
    <w:rsid w:val="0029714D"/>
    <w:rsid w:val="002A11D4"/>
    <w:rsid w:val="002A2303"/>
    <w:rsid w:val="002A3B51"/>
    <w:rsid w:val="002B0498"/>
    <w:rsid w:val="002B056A"/>
    <w:rsid w:val="002B0F24"/>
    <w:rsid w:val="002B4509"/>
    <w:rsid w:val="002B52B3"/>
    <w:rsid w:val="002B70C6"/>
    <w:rsid w:val="002C0264"/>
    <w:rsid w:val="002C1559"/>
    <w:rsid w:val="002C4CEE"/>
    <w:rsid w:val="002C6636"/>
    <w:rsid w:val="002C6BE5"/>
    <w:rsid w:val="002D014F"/>
    <w:rsid w:val="002D3277"/>
    <w:rsid w:val="002D67D0"/>
    <w:rsid w:val="002D6F97"/>
    <w:rsid w:val="002E10AC"/>
    <w:rsid w:val="002E1B91"/>
    <w:rsid w:val="002F16BD"/>
    <w:rsid w:val="002F4845"/>
    <w:rsid w:val="002F4F73"/>
    <w:rsid w:val="0030040A"/>
    <w:rsid w:val="00304535"/>
    <w:rsid w:val="00304F41"/>
    <w:rsid w:val="00305073"/>
    <w:rsid w:val="00305DC0"/>
    <w:rsid w:val="00307FC7"/>
    <w:rsid w:val="00312A8F"/>
    <w:rsid w:val="00313947"/>
    <w:rsid w:val="003151F7"/>
    <w:rsid w:val="00321874"/>
    <w:rsid w:val="00324224"/>
    <w:rsid w:val="00325713"/>
    <w:rsid w:val="00326F40"/>
    <w:rsid w:val="00327439"/>
    <w:rsid w:val="003342BE"/>
    <w:rsid w:val="003358B3"/>
    <w:rsid w:val="00336A87"/>
    <w:rsid w:val="00341C6B"/>
    <w:rsid w:val="00343948"/>
    <w:rsid w:val="00345523"/>
    <w:rsid w:val="003458AA"/>
    <w:rsid w:val="00346146"/>
    <w:rsid w:val="003469DB"/>
    <w:rsid w:val="00355D93"/>
    <w:rsid w:val="00355ECB"/>
    <w:rsid w:val="0036238A"/>
    <w:rsid w:val="0036428C"/>
    <w:rsid w:val="00364FC0"/>
    <w:rsid w:val="003664A8"/>
    <w:rsid w:val="00372914"/>
    <w:rsid w:val="00373272"/>
    <w:rsid w:val="00374DC2"/>
    <w:rsid w:val="00374F76"/>
    <w:rsid w:val="003764EE"/>
    <w:rsid w:val="003765A5"/>
    <w:rsid w:val="00384B34"/>
    <w:rsid w:val="00387A82"/>
    <w:rsid w:val="0039008E"/>
    <w:rsid w:val="00391015"/>
    <w:rsid w:val="00392A3E"/>
    <w:rsid w:val="00393A93"/>
    <w:rsid w:val="0039646D"/>
    <w:rsid w:val="00396BCE"/>
    <w:rsid w:val="003A66DE"/>
    <w:rsid w:val="003B58FE"/>
    <w:rsid w:val="003C1D16"/>
    <w:rsid w:val="003C1D18"/>
    <w:rsid w:val="003C33B1"/>
    <w:rsid w:val="003C4F59"/>
    <w:rsid w:val="003C668A"/>
    <w:rsid w:val="003D0AAE"/>
    <w:rsid w:val="003D433B"/>
    <w:rsid w:val="003D476F"/>
    <w:rsid w:val="003D4D77"/>
    <w:rsid w:val="003D68B8"/>
    <w:rsid w:val="003E2897"/>
    <w:rsid w:val="003E4266"/>
    <w:rsid w:val="003E5029"/>
    <w:rsid w:val="003E6E6B"/>
    <w:rsid w:val="003F629D"/>
    <w:rsid w:val="00403BCE"/>
    <w:rsid w:val="004065A8"/>
    <w:rsid w:val="00407C0A"/>
    <w:rsid w:val="00411A2F"/>
    <w:rsid w:val="004133BD"/>
    <w:rsid w:val="00413966"/>
    <w:rsid w:val="004152C3"/>
    <w:rsid w:val="00415614"/>
    <w:rsid w:val="004165E0"/>
    <w:rsid w:val="00416D76"/>
    <w:rsid w:val="00421F63"/>
    <w:rsid w:val="004261E0"/>
    <w:rsid w:val="00427762"/>
    <w:rsid w:val="00431D32"/>
    <w:rsid w:val="00432738"/>
    <w:rsid w:val="0043413B"/>
    <w:rsid w:val="00435C49"/>
    <w:rsid w:val="00441F0B"/>
    <w:rsid w:val="00445F48"/>
    <w:rsid w:val="004473F5"/>
    <w:rsid w:val="004525DA"/>
    <w:rsid w:val="00452F5A"/>
    <w:rsid w:val="004556D2"/>
    <w:rsid w:val="00471B74"/>
    <w:rsid w:val="004755F4"/>
    <w:rsid w:val="004776A4"/>
    <w:rsid w:val="0048026D"/>
    <w:rsid w:val="004810CA"/>
    <w:rsid w:val="00483882"/>
    <w:rsid w:val="00484374"/>
    <w:rsid w:val="00493B89"/>
    <w:rsid w:val="00497548"/>
    <w:rsid w:val="00497669"/>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668D"/>
    <w:rsid w:val="005003AE"/>
    <w:rsid w:val="005017E1"/>
    <w:rsid w:val="00501DBF"/>
    <w:rsid w:val="0050219C"/>
    <w:rsid w:val="005021C4"/>
    <w:rsid w:val="00502FC2"/>
    <w:rsid w:val="005039EF"/>
    <w:rsid w:val="00503FD6"/>
    <w:rsid w:val="00504F2E"/>
    <w:rsid w:val="00507D75"/>
    <w:rsid w:val="005105A1"/>
    <w:rsid w:val="0051165C"/>
    <w:rsid w:val="00512A31"/>
    <w:rsid w:val="0051324D"/>
    <w:rsid w:val="00514375"/>
    <w:rsid w:val="00523E17"/>
    <w:rsid w:val="00526607"/>
    <w:rsid w:val="00526ADF"/>
    <w:rsid w:val="00526E16"/>
    <w:rsid w:val="0053006D"/>
    <w:rsid w:val="005333AD"/>
    <w:rsid w:val="00533AE4"/>
    <w:rsid w:val="005440AC"/>
    <w:rsid w:val="0054472A"/>
    <w:rsid w:val="00544B04"/>
    <w:rsid w:val="00545B2F"/>
    <w:rsid w:val="00546CDE"/>
    <w:rsid w:val="005536DD"/>
    <w:rsid w:val="00554E1F"/>
    <w:rsid w:val="00557962"/>
    <w:rsid w:val="00562354"/>
    <w:rsid w:val="00564D5B"/>
    <w:rsid w:val="00566315"/>
    <w:rsid w:val="00571910"/>
    <w:rsid w:val="0057276B"/>
    <w:rsid w:val="0057408B"/>
    <w:rsid w:val="00574327"/>
    <w:rsid w:val="0057611A"/>
    <w:rsid w:val="00576C43"/>
    <w:rsid w:val="00577AF5"/>
    <w:rsid w:val="005832CC"/>
    <w:rsid w:val="0058489E"/>
    <w:rsid w:val="00592A5F"/>
    <w:rsid w:val="005937D4"/>
    <w:rsid w:val="005A370E"/>
    <w:rsid w:val="005A412F"/>
    <w:rsid w:val="005A4D83"/>
    <w:rsid w:val="005B1A69"/>
    <w:rsid w:val="005B2FED"/>
    <w:rsid w:val="005B40D5"/>
    <w:rsid w:val="005B7DF0"/>
    <w:rsid w:val="005C0DBD"/>
    <w:rsid w:val="005C2ABA"/>
    <w:rsid w:val="005C5481"/>
    <w:rsid w:val="005C6138"/>
    <w:rsid w:val="005C6594"/>
    <w:rsid w:val="005C7B32"/>
    <w:rsid w:val="005E0688"/>
    <w:rsid w:val="005E3625"/>
    <w:rsid w:val="005F0397"/>
    <w:rsid w:val="005F0E0A"/>
    <w:rsid w:val="005F4A56"/>
    <w:rsid w:val="005F6E6B"/>
    <w:rsid w:val="00606D3F"/>
    <w:rsid w:val="00611562"/>
    <w:rsid w:val="00613560"/>
    <w:rsid w:val="0061499B"/>
    <w:rsid w:val="00615130"/>
    <w:rsid w:val="006209FA"/>
    <w:rsid w:val="00622E98"/>
    <w:rsid w:val="00627715"/>
    <w:rsid w:val="00633726"/>
    <w:rsid w:val="00633A78"/>
    <w:rsid w:val="0064082D"/>
    <w:rsid w:val="006445C3"/>
    <w:rsid w:val="006461A6"/>
    <w:rsid w:val="00660F14"/>
    <w:rsid w:val="00663008"/>
    <w:rsid w:val="00663F9A"/>
    <w:rsid w:val="00665B4F"/>
    <w:rsid w:val="006668D8"/>
    <w:rsid w:val="00671053"/>
    <w:rsid w:val="0067348B"/>
    <w:rsid w:val="006773CE"/>
    <w:rsid w:val="00677805"/>
    <w:rsid w:val="00677E67"/>
    <w:rsid w:val="006906AE"/>
    <w:rsid w:val="00694FA0"/>
    <w:rsid w:val="00697188"/>
    <w:rsid w:val="00697BDC"/>
    <w:rsid w:val="006B0930"/>
    <w:rsid w:val="006B1712"/>
    <w:rsid w:val="006B2D40"/>
    <w:rsid w:val="006B345F"/>
    <w:rsid w:val="006B59A2"/>
    <w:rsid w:val="006B6657"/>
    <w:rsid w:val="006B7161"/>
    <w:rsid w:val="006C2BFD"/>
    <w:rsid w:val="006D10E1"/>
    <w:rsid w:val="006D38D6"/>
    <w:rsid w:val="006D6281"/>
    <w:rsid w:val="006D6AED"/>
    <w:rsid w:val="006E34F7"/>
    <w:rsid w:val="006E59A1"/>
    <w:rsid w:val="006F256F"/>
    <w:rsid w:val="006F2898"/>
    <w:rsid w:val="006F55B6"/>
    <w:rsid w:val="006F666A"/>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1A7A"/>
    <w:rsid w:val="00741C93"/>
    <w:rsid w:val="007444CC"/>
    <w:rsid w:val="00745B62"/>
    <w:rsid w:val="0074772E"/>
    <w:rsid w:val="00750C29"/>
    <w:rsid w:val="00752850"/>
    <w:rsid w:val="00753463"/>
    <w:rsid w:val="00753B93"/>
    <w:rsid w:val="00754C35"/>
    <w:rsid w:val="0075622E"/>
    <w:rsid w:val="00757E53"/>
    <w:rsid w:val="007629B8"/>
    <w:rsid w:val="00763003"/>
    <w:rsid w:val="00764CD2"/>
    <w:rsid w:val="0077075F"/>
    <w:rsid w:val="00770BD4"/>
    <w:rsid w:val="007746DD"/>
    <w:rsid w:val="007754A5"/>
    <w:rsid w:val="00775A33"/>
    <w:rsid w:val="00775A7E"/>
    <w:rsid w:val="0078387C"/>
    <w:rsid w:val="00785906"/>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16D8"/>
    <w:rsid w:val="007E30CC"/>
    <w:rsid w:val="007E39F8"/>
    <w:rsid w:val="007E3BA1"/>
    <w:rsid w:val="007E434C"/>
    <w:rsid w:val="007E4583"/>
    <w:rsid w:val="007F0A5C"/>
    <w:rsid w:val="007F2769"/>
    <w:rsid w:val="007F2D9B"/>
    <w:rsid w:val="007F5375"/>
    <w:rsid w:val="007F7B2E"/>
    <w:rsid w:val="00803223"/>
    <w:rsid w:val="00805640"/>
    <w:rsid w:val="0080609B"/>
    <w:rsid w:val="00807298"/>
    <w:rsid w:val="0080741F"/>
    <w:rsid w:val="00807B85"/>
    <w:rsid w:val="00807C9E"/>
    <w:rsid w:val="008102F0"/>
    <w:rsid w:val="00812A88"/>
    <w:rsid w:val="00815E69"/>
    <w:rsid w:val="00816A2B"/>
    <w:rsid w:val="008172E2"/>
    <w:rsid w:val="008203A0"/>
    <w:rsid w:val="00820985"/>
    <w:rsid w:val="00821F07"/>
    <w:rsid w:val="00821F6A"/>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18B1"/>
    <w:rsid w:val="00861D9F"/>
    <w:rsid w:val="00863406"/>
    <w:rsid w:val="00863626"/>
    <w:rsid w:val="00864DCD"/>
    <w:rsid w:val="00865A9D"/>
    <w:rsid w:val="00866C66"/>
    <w:rsid w:val="008674C0"/>
    <w:rsid w:val="00870C6A"/>
    <w:rsid w:val="008806FA"/>
    <w:rsid w:val="008828D4"/>
    <w:rsid w:val="00882B8A"/>
    <w:rsid w:val="008848B5"/>
    <w:rsid w:val="008861D9"/>
    <w:rsid w:val="00890F0D"/>
    <w:rsid w:val="008948A5"/>
    <w:rsid w:val="00897919"/>
    <w:rsid w:val="008A18BC"/>
    <w:rsid w:val="008A3CB7"/>
    <w:rsid w:val="008A559D"/>
    <w:rsid w:val="008A5B68"/>
    <w:rsid w:val="008A7E93"/>
    <w:rsid w:val="008B16AB"/>
    <w:rsid w:val="008B1CA3"/>
    <w:rsid w:val="008B1E43"/>
    <w:rsid w:val="008C3068"/>
    <w:rsid w:val="008C3AB2"/>
    <w:rsid w:val="008C5759"/>
    <w:rsid w:val="008D1DCC"/>
    <w:rsid w:val="008D2777"/>
    <w:rsid w:val="008D2AB4"/>
    <w:rsid w:val="008D37F9"/>
    <w:rsid w:val="008D5571"/>
    <w:rsid w:val="008D71EF"/>
    <w:rsid w:val="008E0275"/>
    <w:rsid w:val="008E33E6"/>
    <w:rsid w:val="008E4062"/>
    <w:rsid w:val="008E4E94"/>
    <w:rsid w:val="008F12AC"/>
    <w:rsid w:val="008F26C5"/>
    <w:rsid w:val="008F2CDE"/>
    <w:rsid w:val="008F5A1E"/>
    <w:rsid w:val="009000F0"/>
    <w:rsid w:val="00900825"/>
    <w:rsid w:val="0090138C"/>
    <w:rsid w:val="00904729"/>
    <w:rsid w:val="00904979"/>
    <w:rsid w:val="009159A7"/>
    <w:rsid w:val="009162D0"/>
    <w:rsid w:val="00917063"/>
    <w:rsid w:val="00920B9C"/>
    <w:rsid w:val="00921247"/>
    <w:rsid w:val="0092172E"/>
    <w:rsid w:val="00925EF8"/>
    <w:rsid w:val="0093046D"/>
    <w:rsid w:val="009329F1"/>
    <w:rsid w:val="00932D56"/>
    <w:rsid w:val="00936573"/>
    <w:rsid w:val="009368F1"/>
    <w:rsid w:val="009412D3"/>
    <w:rsid w:val="0094429F"/>
    <w:rsid w:val="00945368"/>
    <w:rsid w:val="00947BCE"/>
    <w:rsid w:val="00957D47"/>
    <w:rsid w:val="00961876"/>
    <w:rsid w:val="0096537D"/>
    <w:rsid w:val="0096752D"/>
    <w:rsid w:val="00970EF3"/>
    <w:rsid w:val="00980D9E"/>
    <w:rsid w:val="009813AF"/>
    <w:rsid w:val="00981863"/>
    <w:rsid w:val="009861F5"/>
    <w:rsid w:val="0098722B"/>
    <w:rsid w:val="009916D5"/>
    <w:rsid w:val="009965BA"/>
    <w:rsid w:val="00996699"/>
    <w:rsid w:val="009A606D"/>
    <w:rsid w:val="009B23EB"/>
    <w:rsid w:val="009B2A4B"/>
    <w:rsid w:val="009B2F61"/>
    <w:rsid w:val="009B6EA8"/>
    <w:rsid w:val="009B749D"/>
    <w:rsid w:val="009C1CC6"/>
    <w:rsid w:val="009C275F"/>
    <w:rsid w:val="009C7EC5"/>
    <w:rsid w:val="009D0772"/>
    <w:rsid w:val="009D15AC"/>
    <w:rsid w:val="009D22F2"/>
    <w:rsid w:val="009D3BC5"/>
    <w:rsid w:val="009D65D3"/>
    <w:rsid w:val="009D6AD7"/>
    <w:rsid w:val="009E2C04"/>
    <w:rsid w:val="009E2EA1"/>
    <w:rsid w:val="009E309F"/>
    <w:rsid w:val="009E5AE0"/>
    <w:rsid w:val="009F4041"/>
    <w:rsid w:val="00A05235"/>
    <w:rsid w:val="00A2108A"/>
    <w:rsid w:val="00A22402"/>
    <w:rsid w:val="00A2265A"/>
    <w:rsid w:val="00A255BF"/>
    <w:rsid w:val="00A25D46"/>
    <w:rsid w:val="00A27600"/>
    <w:rsid w:val="00A27E0C"/>
    <w:rsid w:val="00A33BDE"/>
    <w:rsid w:val="00A35E9E"/>
    <w:rsid w:val="00A37F08"/>
    <w:rsid w:val="00A4067B"/>
    <w:rsid w:val="00A40CA2"/>
    <w:rsid w:val="00A42834"/>
    <w:rsid w:val="00A431BD"/>
    <w:rsid w:val="00A45079"/>
    <w:rsid w:val="00A51C4A"/>
    <w:rsid w:val="00A54EFB"/>
    <w:rsid w:val="00A56FE6"/>
    <w:rsid w:val="00A6007A"/>
    <w:rsid w:val="00A652F4"/>
    <w:rsid w:val="00A66FA2"/>
    <w:rsid w:val="00A70104"/>
    <w:rsid w:val="00A77677"/>
    <w:rsid w:val="00A77F76"/>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5B96"/>
    <w:rsid w:val="00AD0976"/>
    <w:rsid w:val="00AD3A3E"/>
    <w:rsid w:val="00AE4020"/>
    <w:rsid w:val="00AF1422"/>
    <w:rsid w:val="00AF203B"/>
    <w:rsid w:val="00AF3BAB"/>
    <w:rsid w:val="00AF3E4A"/>
    <w:rsid w:val="00AF520F"/>
    <w:rsid w:val="00B025A1"/>
    <w:rsid w:val="00B049F9"/>
    <w:rsid w:val="00B05591"/>
    <w:rsid w:val="00B07E32"/>
    <w:rsid w:val="00B13D02"/>
    <w:rsid w:val="00B13E24"/>
    <w:rsid w:val="00B15313"/>
    <w:rsid w:val="00B2002A"/>
    <w:rsid w:val="00B21377"/>
    <w:rsid w:val="00B246B7"/>
    <w:rsid w:val="00B249F6"/>
    <w:rsid w:val="00B24D9B"/>
    <w:rsid w:val="00B2631C"/>
    <w:rsid w:val="00B26532"/>
    <w:rsid w:val="00B27DBF"/>
    <w:rsid w:val="00B35F1C"/>
    <w:rsid w:val="00B418CC"/>
    <w:rsid w:val="00B420EA"/>
    <w:rsid w:val="00B42D95"/>
    <w:rsid w:val="00B45260"/>
    <w:rsid w:val="00B47CDB"/>
    <w:rsid w:val="00B47D6F"/>
    <w:rsid w:val="00B54884"/>
    <w:rsid w:val="00B568A2"/>
    <w:rsid w:val="00B56D14"/>
    <w:rsid w:val="00B578A9"/>
    <w:rsid w:val="00B615B4"/>
    <w:rsid w:val="00B62EDD"/>
    <w:rsid w:val="00B70355"/>
    <w:rsid w:val="00B72939"/>
    <w:rsid w:val="00B76185"/>
    <w:rsid w:val="00B76FB9"/>
    <w:rsid w:val="00B815E3"/>
    <w:rsid w:val="00B87223"/>
    <w:rsid w:val="00B91BE0"/>
    <w:rsid w:val="00B932EC"/>
    <w:rsid w:val="00B942E0"/>
    <w:rsid w:val="00B96B8C"/>
    <w:rsid w:val="00BA0515"/>
    <w:rsid w:val="00BA3260"/>
    <w:rsid w:val="00BA42C6"/>
    <w:rsid w:val="00BA5751"/>
    <w:rsid w:val="00BB0FC6"/>
    <w:rsid w:val="00BB1DF5"/>
    <w:rsid w:val="00BB2068"/>
    <w:rsid w:val="00BB56D1"/>
    <w:rsid w:val="00BC0409"/>
    <w:rsid w:val="00BC04CA"/>
    <w:rsid w:val="00BC1A80"/>
    <w:rsid w:val="00BC250F"/>
    <w:rsid w:val="00BC2DAA"/>
    <w:rsid w:val="00BC5DDD"/>
    <w:rsid w:val="00BC61CF"/>
    <w:rsid w:val="00BC7F53"/>
    <w:rsid w:val="00BD2DC7"/>
    <w:rsid w:val="00BD33A7"/>
    <w:rsid w:val="00BD7C58"/>
    <w:rsid w:val="00BE09C7"/>
    <w:rsid w:val="00BE4C16"/>
    <w:rsid w:val="00BE6629"/>
    <w:rsid w:val="00BE702A"/>
    <w:rsid w:val="00BF09E3"/>
    <w:rsid w:val="00BF32AF"/>
    <w:rsid w:val="00BF38BD"/>
    <w:rsid w:val="00BF53A3"/>
    <w:rsid w:val="00BF716C"/>
    <w:rsid w:val="00C0147D"/>
    <w:rsid w:val="00C020A0"/>
    <w:rsid w:val="00C0291D"/>
    <w:rsid w:val="00C041E3"/>
    <w:rsid w:val="00C068D1"/>
    <w:rsid w:val="00C076F2"/>
    <w:rsid w:val="00C07889"/>
    <w:rsid w:val="00C07AEA"/>
    <w:rsid w:val="00C109E2"/>
    <w:rsid w:val="00C11149"/>
    <w:rsid w:val="00C11603"/>
    <w:rsid w:val="00C121DE"/>
    <w:rsid w:val="00C13B55"/>
    <w:rsid w:val="00C14706"/>
    <w:rsid w:val="00C158CA"/>
    <w:rsid w:val="00C1643D"/>
    <w:rsid w:val="00C17552"/>
    <w:rsid w:val="00C21EF1"/>
    <w:rsid w:val="00C24D2F"/>
    <w:rsid w:val="00C24E2C"/>
    <w:rsid w:val="00C25FDB"/>
    <w:rsid w:val="00C33721"/>
    <w:rsid w:val="00C347F6"/>
    <w:rsid w:val="00C34C79"/>
    <w:rsid w:val="00C40309"/>
    <w:rsid w:val="00C458F9"/>
    <w:rsid w:val="00C506E3"/>
    <w:rsid w:val="00C50CBE"/>
    <w:rsid w:val="00C50F7B"/>
    <w:rsid w:val="00C52389"/>
    <w:rsid w:val="00C52CFD"/>
    <w:rsid w:val="00C53C43"/>
    <w:rsid w:val="00C55D4C"/>
    <w:rsid w:val="00C61829"/>
    <w:rsid w:val="00C63D7C"/>
    <w:rsid w:val="00C63FA7"/>
    <w:rsid w:val="00C64270"/>
    <w:rsid w:val="00C66590"/>
    <w:rsid w:val="00C667C0"/>
    <w:rsid w:val="00C707A0"/>
    <w:rsid w:val="00C70CD0"/>
    <w:rsid w:val="00C70D68"/>
    <w:rsid w:val="00C713DD"/>
    <w:rsid w:val="00C842AF"/>
    <w:rsid w:val="00C8481E"/>
    <w:rsid w:val="00C865BD"/>
    <w:rsid w:val="00C869B3"/>
    <w:rsid w:val="00C86C53"/>
    <w:rsid w:val="00C90797"/>
    <w:rsid w:val="00CA1921"/>
    <w:rsid w:val="00CA3172"/>
    <w:rsid w:val="00CA6ADC"/>
    <w:rsid w:val="00CA7A4A"/>
    <w:rsid w:val="00CB09E0"/>
    <w:rsid w:val="00CB253B"/>
    <w:rsid w:val="00CB43A7"/>
    <w:rsid w:val="00CC09AC"/>
    <w:rsid w:val="00CC1756"/>
    <w:rsid w:val="00CC1891"/>
    <w:rsid w:val="00CC1A2C"/>
    <w:rsid w:val="00CC29A8"/>
    <w:rsid w:val="00CC373C"/>
    <w:rsid w:val="00CC3843"/>
    <w:rsid w:val="00CC7D76"/>
    <w:rsid w:val="00CC7EFA"/>
    <w:rsid w:val="00CD498E"/>
    <w:rsid w:val="00CD6B86"/>
    <w:rsid w:val="00CD6ED4"/>
    <w:rsid w:val="00CE1ED6"/>
    <w:rsid w:val="00CF0917"/>
    <w:rsid w:val="00CF1135"/>
    <w:rsid w:val="00CF412D"/>
    <w:rsid w:val="00D00AB5"/>
    <w:rsid w:val="00D01C6E"/>
    <w:rsid w:val="00D06B73"/>
    <w:rsid w:val="00D073C2"/>
    <w:rsid w:val="00D07969"/>
    <w:rsid w:val="00D10FE7"/>
    <w:rsid w:val="00D12079"/>
    <w:rsid w:val="00D13239"/>
    <w:rsid w:val="00D1529E"/>
    <w:rsid w:val="00D24240"/>
    <w:rsid w:val="00D25DD0"/>
    <w:rsid w:val="00D25FB9"/>
    <w:rsid w:val="00D2673A"/>
    <w:rsid w:val="00D275BF"/>
    <w:rsid w:val="00D32847"/>
    <w:rsid w:val="00D357DF"/>
    <w:rsid w:val="00D37676"/>
    <w:rsid w:val="00D37B1D"/>
    <w:rsid w:val="00D43837"/>
    <w:rsid w:val="00D438AA"/>
    <w:rsid w:val="00D53859"/>
    <w:rsid w:val="00D54947"/>
    <w:rsid w:val="00D55ACA"/>
    <w:rsid w:val="00D56E44"/>
    <w:rsid w:val="00D605C9"/>
    <w:rsid w:val="00D6096B"/>
    <w:rsid w:val="00D61D41"/>
    <w:rsid w:val="00D7055C"/>
    <w:rsid w:val="00D70FE9"/>
    <w:rsid w:val="00D72D27"/>
    <w:rsid w:val="00D7525E"/>
    <w:rsid w:val="00D77A43"/>
    <w:rsid w:val="00D81C3B"/>
    <w:rsid w:val="00D84DA0"/>
    <w:rsid w:val="00D90307"/>
    <w:rsid w:val="00D90AAC"/>
    <w:rsid w:val="00D90BD8"/>
    <w:rsid w:val="00D93836"/>
    <w:rsid w:val="00D95B36"/>
    <w:rsid w:val="00D96561"/>
    <w:rsid w:val="00D96C20"/>
    <w:rsid w:val="00D97B3D"/>
    <w:rsid w:val="00DA1EB0"/>
    <w:rsid w:val="00DA74C7"/>
    <w:rsid w:val="00DB09CF"/>
    <w:rsid w:val="00DB40A5"/>
    <w:rsid w:val="00DC11B9"/>
    <w:rsid w:val="00DC25E7"/>
    <w:rsid w:val="00DC347A"/>
    <w:rsid w:val="00DD3E6F"/>
    <w:rsid w:val="00DE063E"/>
    <w:rsid w:val="00DE1D68"/>
    <w:rsid w:val="00DE2433"/>
    <w:rsid w:val="00DE3BED"/>
    <w:rsid w:val="00DE4086"/>
    <w:rsid w:val="00DE525C"/>
    <w:rsid w:val="00DF0130"/>
    <w:rsid w:val="00DF0AED"/>
    <w:rsid w:val="00DF1DD3"/>
    <w:rsid w:val="00DF76BD"/>
    <w:rsid w:val="00DF7875"/>
    <w:rsid w:val="00E02B81"/>
    <w:rsid w:val="00E142B1"/>
    <w:rsid w:val="00E152E7"/>
    <w:rsid w:val="00E15CCB"/>
    <w:rsid w:val="00E1791B"/>
    <w:rsid w:val="00E21BAD"/>
    <w:rsid w:val="00E21EC7"/>
    <w:rsid w:val="00E30A75"/>
    <w:rsid w:val="00E32327"/>
    <w:rsid w:val="00E32AD5"/>
    <w:rsid w:val="00E33385"/>
    <w:rsid w:val="00E338F5"/>
    <w:rsid w:val="00E34D0D"/>
    <w:rsid w:val="00E35BE1"/>
    <w:rsid w:val="00E41869"/>
    <w:rsid w:val="00E4424D"/>
    <w:rsid w:val="00E446F2"/>
    <w:rsid w:val="00E47719"/>
    <w:rsid w:val="00E528A7"/>
    <w:rsid w:val="00E52B4D"/>
    <w:rsid w:val="00E535D8"/>
    <w:rsid w:val="00E5484B"/>
    <w:rsid w:val="00E55631"/>
    <w:rsid w:val="00E56709"/>
    <w:rsid w:val="00E573FA"/>
    <w:rsid w:val="00E57872"/>
    <w:rsid w:val="00E6468A"/>
    <w:rsid w:val="00E661B9"/>
    <w:rsid w:val="00E71C59"/>
    <w:rsid w:val="00E72CCA"/>
    <w:rsid w:val="00E74034"/>
    <w:rsid w:val="00E74CAF"/>
    <w:rsid w:val="00E754D1"/>
    <w:rsid w:val="00E77DDE"/>
    <w:rsid w:val="00E80F06"/>
    <w:rsid w:val="00E8390C"/>
    <w:rsid w:val="00E86C23"/>
    <w:rsid w:val="00E9233A"/>
    <w:rsid w:val="00E9552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2A7D"/>
    <w:rsid w:val="00EC47CD"/>
    <w:rsid w:val="00EC5DCC"/>
    <w:rsid w:val="00EC7AC0"/>
    <w:rsid w:val="00EC7CB4"/>
    <w:rsid w:val="00ED2FA7"/>
    <w:rsid w:val="00ED3116"/>
    <w:rsid w:val="00ED71CB"/>
    <w:rsid w:val="00ED7929"/>
    <w:rsid w:val="00EE0083"/>
    <w:rsid w:val="00EE038E"/>
    <w:rsid w:val="00EE2D70"/>
    <w:rsid w:val="00EE2FCC"/>
    <w:rsid w:val="00EE6689"/>
    <w:rsid w:val="00EF0A45"/>
    <w:rsid w:val="00EF1F6E"/>
    <w:rsid w:val="00EF35F2"/>
    <w:rsid w:val="00F02B0C"/>
    <w:rsid w:val="00F05162"/>
    <w:rsid w:val="00F05DB7"/>
    <w:rsid w:val="00F1014F"/>
    <w:rsid w:val="00F10E39"/>
    <w:rsid w:val="00F1260A"/>
    <w:rsid w:val="00F14A91"/>
    <w:rsid w:val="00F25D42"/>
    <w:rsid w:val="00F30F01"/>
    <w:rsid w:val="00F32C74"/>
    <w:rsid w:val="00F33CC0"/>
    <w:rsid w:val="00F36456"/>
    <w:rsid w:val="00F41459"/>
    <w:rsid w:val="00F52A81"/>
    <w:rsid w:val="00F5520A"/>
    <w:rsid w:val="00F60172"/>
    <w:rsid w:val="00F605A7"/>
    <w:rsid w:val="00F610C7"/>
    <w:rsid w:val="00F65835"/>
    <w:rsid w:val="00F65B17"/>
    <w:rsid w:val="00F6756A"/>
    <w:rsid w:val="00F710BE"/>
    <w:rsid w:val="00F7280F"/>
    <w:rsid w:val="00F73CA6"/>
    <w:rsid w:val="00F760AD"/>
    <w:rsid w:val="00F76B39"/>
    <w:rsid w:val="00F7705E"/>
    <w:rsid w:val="00F83660"/>
    <w:rsid w:val="00F8597E"/>
    <w:rsid w:val="00FA1F8A"/>
    <w:rsid w:val="00FA5166"/>
    <w:rsid w:val="00FA5348"/>
    <w:rsid w:val="00FA6322"/>
    <w:rsid w:val="00FB1406"/>
    <w:rsid w:val="00FB1FC5"/>
    <w:rsid w:val="00FB1FD6"/>
    <w:rsid w:val="00FB2CFC"/>
    <w:rsid w:val="00FB2E17"/>
    <w:rsid w:val="00FB4C21"/>
    <w:rsid w:val="00FC1454"/>
    <w:rsid w:val="00FC1BCC"/>
    <w:rsid w:val="00FC3C58"/>
    <w:rsid w:val="00FC4A9E"/>
    <w:rsid w:val="00FC5D31"/>
    <w:rsid w:val="00FC6878"/>
    <w:rsid w:val="00FC6BCD"/>
    <w:rsid w:val="00FD1D13"/>
    <w:rsid w:val="00FD2086"/>
    <w:rsid w:val="00FD2212"/>
    <w:rsid w:val="00FD2296"/>
    <w:rsid w:val="00FD43A6"/>
    <w:rsid w:val="00FD5F79"/>
    <w:rsid w:val="00FE281D"/>
    <w:rsid w:val="00FE28B4"/>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E1"/>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5937D4"/>
    <w:rPr>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86F5DDF-BEAD-4476-B8D3-940ADF233AD8}">
  <ds:schemaRefs>
    <ds:schemaRef ds:uri="http://schemas.microsoft.com/sharepoint/v3/contenttype/forms"/>
  </ds:schemaRefs>
</ds:datastoreItem>
</file>

<file path=customXml/itemProps2.xml><?xml version="1.0" encoding="utf-8"?>
<ds:datastoreItem xmlns:ds="http://schemas.openxmlformats.org/officeDocument/2006/customXml" ds:itemID="{A1C1DA78-896E-461D-A61E-B93DC91F7A48}">
  <ds:schemaRefs>
    <ds:schemaRef ds:uri="http://schemas.microsoft.com/office/2006/documentManagement/types"/>
    <ds:schemaRef ds:uri="http://purl.org/dc/elements/1.1/"/>
    <ds:schemaRef ds:uri="http://schemas.openxmlformats.org/package/2006/metadata/core-properties"/>
    <ds:schemaRef ds:uri="http://www.w3.org/XML/1998/namespace"/>
    <ds:schemaRef ds:uri="aaad0b86-1dbf-48d2-99f8-fcc2ae493cdc"/>
    <ds:schemaRef ds:uri="http://purl.org/dc/dcmitype/"/>
    <ds:schemaRef ds:uri="http://purl.org/dc/terms/"/>
    <ds:schemaRef ds:uri="38080443-59f1-4468-9185-e277ce99790f"/>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A9CC5B9-207C-4D1D-9255-7382ACCB8470}">
  <ds:schemaRefs>
    <ds:schemaRef ds:uri="http://schemas.openxmlformats.org/officeDocument/2006/bibliography"/>
  </ds:schemaRefs>
</ds:datastoreItem>
</file>

<file path=customXml/itemProps4.xml><?xml version="1.0" encoding="utf-8"?>
<ds:datastoreItem xmlns:ds="http://schemas.openxmlformats.org/officeDocument/2006/customXml" ds:itemID="{09832170-D5BA-45BA-BB7F-55BE20A93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3748</Words>
  <Characters>21641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CEEAG - Section 4.10 - Draft Notification Form rev 2.7.24.docx</vt:lpstr>
    </vt:vector>
  </TitlesOfParts>
  <Company>European Commission</Company>
  <LinksUpToDate>false</LinksUpToDate>
  <CharactersWithSpaces>25356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4.10 - Draft Notification Form rev 2.7.24.docx</dc:title>
  <dc:subject/>
  <dc:creator>MICHEAU Claire (COMP)</dc:creator>
  <cp:keywords/>
  <cp:lastModifiedBy>SOKOLOV Nikolay (DGT)</cp:lastModifiedBy>
  <cp:revision>5</cp:revision>
  <cp:lastPrinted>2022-04-12T14:59:00Z</cp:lastPrinted>
  <dcterms:created xsi:type="dcterms:W3CDTF">2024-09-16T13:03:00Z</dcterms:created>
  <dcterms:modified xsi:type="dcterms:W3CDTF">2024-10-08T11:34:00Z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4eea8feb-99da-4af6-a30f-bf5cd98cdfb0</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f4cdc456-5864-460f-beda-883d23b78bbb_Enabled">
    <vt:lpwstr>true</vt:lpwstr>
  </property>
  <property fmtid="{D5CDD505-2E9C-101B-9397-08002B2CF9AE}" pid="9" name="MSIP_Label_f4cdc456-5864-460f-beda-883d23b78bbb_SetDate">
    <vt:lpwstr>2024-04-11T15:15:18Z</vt:lpwstr>
  </property>
  <property fmtid="{D5CDD505-2E9C-101B-9397-08002B2CF9AE}" pid="10" name="MSIP_Label_f4cdc456-5864-460f-beda-883d23b78bbb_Method">
    <vt:lpwstr>Privileged</vt:lpwstr>
  </property>
  <property fmtid="{D5CDD505-2E9C-101B-9397-08002B2CF9AE}" pid="11" name="MSIP_Label_f4cdc456-5864-460f-beda-883d23b78bbb_Name">
    <vt:lpwstr>Publicly Available</vt:lpwstr>
  </property>
  <property fmtid="{D5CDD505-2E9C-101B-9397-08002B2CF9AE}" pid="12" name="MSIP_Label_f4cdc456-5864-460f-beda-883d23b78bbb_SiteId">
    <vt:lpwstr>b24c8b06-522c-46fe-9080-70926f8dddb1</vt:lpwstr>
  </property>
  <property fmtid="{D5CDD505-2E9C-101B-9397-08002B2CF9AE}" pid="13" name="MSIP_Label_f4cdc456-5864-460f-beda-883d23b78bbb_ActionId">
    <vt:lpwstr>3894f436-f4db-4a7f-b8a9-833167a80cdf</vt:lpwstr>
  </property>
  <property fmtid="{D5CDD505-2E9C-101B-9397-08002B2CF9AE}" pid="14" name="MSIP_Label_f4cdc456-5864-460f-beda-883d23b78bbb_ContentBits">
    <vt:lpwstr>0</vt:lpwstr>
  </property>
</Properties>
</file>