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08AD75E0"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Μέρος III.6</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Επικαιροποιημένο* 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(ΚΓΕΚΕΠ)</w:t>
            </w:r>
            <w:bookmarkStart w:id="2" w:name="_Hlk152693571"/>
            <w:r w:rsidRPr="00D96C20">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Κεφάλαιο 4.10 – Ενισχύσεις για τηλεθέρμανση και τηλεψύξη</w:t>
            </w:r>
          </w:p>
          <w:p w14:paraId="469DC4EF" w14:textId="2B54A3FD" w:rsidR="00C076F2" w:rsidRPr="00D96C20" w:rsidRDefault="00C076F2" w:rsidP="00C076F2">
            <w:r>
              <w:t>* δεν έχει εγκριθεί ακόμη επίσημα</w:t>
            </w:r>
          </w:p>
        </w:tc>
      </w:tr>
    </w:tbl>
    <w:p w14:paraId="35C43324" w14:textId="77777777" w:rsidR="00C076F2" w:rsidRPr="00D96C20" w:rsidRDefault="00C076F2" w:rsidP="00C076F2">
      <w:pPr>
        <w:spacing w:before="120" w:after="120"/>
        <w:ind w:right="-142"/>
        <w:jc w:val="both"/>
        <w:rPr>
          <w:i/>
          <w:iCs/>
        </w:rPr>
      </w:pPr>
      <w:r>
        <w:rPr>
          <w:i/>
        </w:rPr>
        <w:t>Το παρόν συμπληρωματικό δελτίο πληροφοριών πρέπει να χρησιμοποιείται για την κοινοποίηση κάθε ενίσχυσης που καλύπτεται από τις κατευθυντήριες γραμμές του 2022 για τις κρατικές ενισχύσεις στους τομείς του κλίματος, της προστασίας του περιβάλλοντος και της ενέργειας (στο εξής: ΚΓΕΚΕΠ).</w:t>
      </w:r>
    </w:p>
    <w:p w14:paraId="5661C6FF" w14:textId="6900E16C" w:rsidR="00C076F2" w:rsidRPr="00D96C20" w:rsidRDefault="00C076F2" w:rsidP="009E2EA1">
      <w:pPr>
        <w:spacing w:before="120" w:after="120"/>
        <w:ind w:right="-142"/>
        <w:jc w:val="both"/>
        <w:rPr>
          <w:i/>
          <w:iCs/>
        </w:rPr>
      </w:pPr>
      <w:r>
        <w:rPr>
          <w:i/>
        </w:rPr>
        <w:t xml:space="preserve">Το παρόν συμπληρωματικό δελτίο πληροφοριών αφορά μέτρα που καλύπτονται από το κεφάλαιο 4.10 των ΚΓΕΚΕΠ. Εάν η κοινοποίηση περιλαμβάνει μέτρα που καλύπτονται από περισσότερα του ενός κεφάλαια των ΚΓΕΚΕΠ, συμπληρώνεται επίσης, μόλις είναι διαθέσιμο, το αντίστοιχο συμπληρωματικό δελτίο πληροφοριών που αφορά το αντίστοιχο κεφάλαιο των ΚΓΕΚΕΠ. </w:t>
      </w:r>
    </w:p>
    <w:p w14:paraId="140907B2" w14:textId="712B456C" w:rsidR="00C076F2" w:rsidRPr="00D96C20" w:rsidRDefault="00C076F2" w:rsidP="00C076F2">
      <w:pPr>
        <w:spacing w:before="120" w:after="120"/>
        <w:ind w:right="-142"/>
        <w:jc w:val="both"/>
        <w:rPr>
          <w:i/>
          <w:iCs/>
        </w:rPr>
      </w:pPr>
      <w:r>
        <w:rPr>
          <w:i/>
        </w:rPr>
        <w:t xml:space="preserve">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πρέπει να αναγράφονται στα σχετικά τμήματα του παρόντος συμπληρωματικού δελτίου πληροφοριών.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lastRenderedPageBreak/>
              <w:br w:type="page"/>
            </w:r>
            <w:r>
              <w:br w:type="page"/>
            </w:r>
            <w:r>
              <w:rPr>
                <w:b/>
                <w:sz w:val="32"/>
              </w:rPr>
              <w:t>Τμήμα Α: Σύνοψη των κύριων χαρακτηριστικών του/των κοινοποιηθέντος/-ων μέτρου/-ων</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Ιστορικό και στόχος/-οι του/των κοινοποιηθέντος/-ων μέτρου/-ων</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Εάν δεν γίνεται ήδη σχετική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 μείωση και την εξάλειψη των εκπομπών αερίων του θερμοκηπίου, στη στήριξη των οποίων αποσκοπεί το μέτρο. </w:t>
      </w:r>
    </w:p>
    <w:p w14:paraId="58A3E6F8" w14:textId="04D1006C" w:rsidR="005937D4" w:rsidRPr="00D96C20" w:rsidRDefault="005937D4" w:rsidP="005937D4">
      <w:pPr>
        <w:tabs>
          <w:tab w:val="left" w:leader="dot" w:pos="9072"/>
        </w:tabs>
        <w:spacing w:before="120" w:after="120"/>
        <w:ind w:left="360"/>
        <w:jc w:val="both"/>
      </w:pP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στην εσωτερική αγορά. </w:t>
      </w:r>
    </w:p>
    <w:p w14:paraId="3E653A30" w14:textId="523D0971" w:rsidR="005937D4" w:rsidRPr="00D96C20" w:rsidRDefault="005937D4" w:rsidP="005937D4">
      <w:pPr>
        <w:tabs>
          <w:tab w:val="left" w:leader="dot" w:pos="9072"/>
        </w:tabs>
        <w:spacing w:before="120" w:after="120"/>
        <w:ind w:left="360"/>
        <w:jc w:val="both"/>
      </w:pP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Έναρξη ισχύος και διάρκεια:</w:t>
      </w:r>
    </w:p>
    <w:p w14:paraId="3C55498B" w14:textId="77777777" w:rsidR="005937D4" w:rsidRPr="00D96C20" w:rsidRDefault="005937D4" w:rsidP="00F10E39">
      <w:pPr>
        <w:pStyle w:val="ListParagraph"/>
        <w:numPr>
          <w:ilvl w:val="0"/>
          <w:numId w:val="31"/>
        </w:numPr>
        <w:ind w:left="993" w:hanging="142"/>
        <w:jc w:val="both"/>
        <w:rPr>
          <w:szCs w:val="24"/>
        </w:rPr>
      </w:pPr>
      <w:r>
        <w:t>Εφόσον δεν γίνεται ήδη σχετική αναφορά στο τμήμα 5.5 του εντύπου γενικών πληροφοριών (μέρος I), αναγράψτε την ημερομηνία από την οποία προβλέπεται να αρχίσει να ισχύει το καθεστώς ενισχύσεων.</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Αναφέρετε τη διάρκεια του καθεστώτος</w:t>
      </w:r>
      <w:r w:rsidRPr="00D96C20">
        <w:rPr>
          <w:szCs w:val="24"/>
          <w:vertAlign w:val="superscript"/>
        </w:rPr>
        <w:footnoteReference w:id="3"/>
      </w:r>
      <w:r>
        <w:t>.</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Δικαιούχος/-οι</w:t>
      </w:r>
      <w:r>
        <w:rPr>
          <w:b/>
        </w:rPr>
        <w:tab/>
      </w:r>
    </w:p>
    <w:p w14:paraId="222C106D" w14:textId="77777777" w:rsidR="007444CC" w:rsidRPr="00D96C20" w:rsidRDefault="007444CC" w:rsidP="00F10E39">
      <w:pPr>
        <w:pStyle w:val="ListParagraph"/>
        <w:numPr>
          <w:ilvl w:val="0"/>
          <w:numId w:val="20"/>
        </w:numPr>
        <w:ind w:left="1078" w:hanging="227"/>
        <w:jc w:val="both"/>
        <w:rPr>
          <w:szCs w:val="24"/>
        </w:rPr>
      </w:pPr>
      <w: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 μέτρου ή των μέτρων.</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Αναφέρετε τον τόπο εγκατάστασης του (δυνητικού) δικαιούχου ή των (δυνητικών) δικαιούχων (δηλ. εάν είναι επιλέξιμες για συμμετοχή στο μέτρο μόνο οικονομικές οντότητες εγκατεστημένες στα αντίστοιχα κράτη μέλη ή και σε άλλα κράτη μέλη).</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ή των μέτρων σε επιχείρηση για την οποία εκκρεμεί εντολή ανάκτησης κατόπιν </w:t>
      </w:r>
      <w:r>
        <w:lastRenderedPageBreak/>
        <w:t xml:space="preserve">προηγούμενης απόφασης της Επιτροπής, με την οποία μια ενίσχυση κηρύσσεται παράνομη και ασυμβίβαστη με την εσωτερική αγορά.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Επιβεβαιώστε ότι το/τα μέτρο/-α δεν περιλαμβάνει/-ουν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Προϋπολογισμός και χρηματοδότηση του/των μέτρου/-ων</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Pr="00D96C20">
        <w:rPr>
          <w:szCs w:val="24"/>
          <w:vertAlign w:val="superscript"/>
        </w:rPr>
        <w:footnoteReference w:id="4"/>
      </w:r>
      <w:r>
        <w:t>.</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Εάν το μέτρο χρηματοδοτείται μέσω εισφοράς, διευκρινίστε αν:</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η εισφορά επιβάλλεται εξίσου στα εγχώρια και στα εισαγόμενα προϊόντα·</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το κοινοποιηθέν μέτρο θα ωφελήσει εξίσου τα εγχώρια και τα εισαγόμενα προϊόντα·</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η εισφορά χρηματοδοτεί πλήρως το μέτρο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42A291CB" w14:textId="0EAC2CBB" w:rsidR="009916D5" w:rsidRPr="00D96C20" w:rsidRDefault="007444CC" w:rsidP="00A671FC">
      <w:pPr>
        <w:tabs>
          <w:tab w:val="left" w:leader="dot" w:pos="9072"/>
        </w:tabs>
        <w:spacing w:before="120" w:after="120"/>
        <w:ind w:left="567"/>
        <w:jc w:val="both"/>
      </w:pPr>
      <w:bookmarkStart w:id="4" w:name="_Hlk163737291"/>
      <w:r>
        <w:tab/>
      </w:r>
      <w:bookmarkEnd w:id="4"/>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lastRenderedPageBreak/>
              <w:t>Τμήμα Β: Αξιολόγηση της συμβατότητας της ενίσχυσης</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Θετική προϋπόθεση: η ενίσχυση πρέπει να προωθεί την ανάπτυξη οικονομικής δραστηριότητας</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Συμβολή στην ανάπτυξη οικονομικής δραστηριότητας</w:t>
            </w:r>
          </w:p>
        </w:tc>
      </w:tr>
    </w:tbl>
    <w:p w14:paraId="1E2599D2" w14:textId="6708984F" w:rsidR="000442F5" w:rsidRPr="00D96C20" w:rsidRDefault="000442F5" w:rsidP="000442F5">
      <w:pPr>
        <w:spacing w:before="360" w:after="120"/>
        <w:jc w:val="both"/>
        <w:rPr>
          <w:i/>
        </w:rPr>
      </w:pPr>
      <w:r>
        <w:rPr>
          <w:i/>
        </w:rPr>
        <w:t xml:space="preserve">Για να συμπληρώσετε τις πληροφορίες στο παρόν τμήμα, συμβουλευτείτε το τμήμα 3.1.1 (σημεία 23-25) και </w:t>
      </w:r>
      <w:r>
        <w:rPr>
          <w:i/>
          <w:color w:val="000000"/>
        </w:rPr>
        <w:t>τα τμήματα 4.10.1 και 4.10.2 (σημεία 383-390)</w:t>
      </w:r>
      <w:r>
        <w:rPr>
          <w:i/>
        </w:rPr>
        <w:t xml:space="preserve"> των ΚΓΕΚΕΠ.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 xml:space="preserve">Το άρθρο 107 παράγραφος 3 στοιχείο γ) </w:t>
      </w:r>
      <w:bookmarkStart w:id="5" w:name="_Hlk170735690"/>
      <w:r>
        <w:t>της Συνθήκης για τη λειτουργία της Ευρωπαϊκής Ένωσης (ΣΛΕΕ)</w:t>
      </w:r>
      <w:bookmarkEnd w:id="5"/>
      <w:r>
        <w:t xml:space="preserve">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ΣΛΕΕ πρέπει να συμβάλλουν στην ανάπτυξη ορισμένων οικονομικών δραστηριοτήτων. </w:t>
      </w:r>
    </w:p>
    <w:p w14:paraId="32559872" w14:textId="77777777" w:rsidR="007444CC" w:rsidRPr="00D96C20" w:rsidRDefault="007444CC" w:rsidP="000442F5">
      <w:pPr>
        <w:tabs>
          <w:tab w:val="left" w:leader="dot" w:pos="9072"/>
        </w:tabs>
        <w:spacing w:before="120" w:after="120"/>
        <w:ind w:left="567"/>
        <w:jc w:val="both"/>
      </w:pPr>
      <w:r>
        <w:t>Για την εκτίμηση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Για την εκτίμηση της συμμόρφωσης με το σημείο 25 των ΚΓΕΚΕΠ, περιγράψτε «αν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Επιπλέον, αναφέρετε σε ποιον βαθμό η ενίσχυση σχετίζεται με τις πολιτικές που περιγράφονται στα σημεία 383 και 384 των ΚΓΕΚΕΠ. Στο πλαίσιο αυτό, διευκρινίστε επίσης αν το έργο προωθεί την ενέργεια από ανανεώσιμες πηγές σύμφωνα με το άρθρο 2 παράγραφος 1 της οδηγίας (ΕΕ) 2018/2001. Συγκεκριμένα, επιβεβαιώστε αν το μέτρο αναπτύσσει αποδοτικά συστήματα τηλεθέρμανσης και τηλεψύξης κατά την έννοια του άρθρου 26 της οδηγίας (ΕΕ) 2023/1791 για την προώθηση της θέρμανσης και της ψύξης από ανανεώσιμες πηγές ενέργειας.</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Τα σημεία 385 και 386 των ΚΓΕΚΕΠ προβλέπουν ότι η στήριξη, η οποία περιορίζεται στα δίκτυα διανομής τηλεθέρμανσης, μπορεί υπό ορισμένες περιστάσεις να θεωρηθεί ότι δεν εμπίπτει στον έλεγχο των κρατικών ενισχύσεων. </w:t>
      </w:r>
    </w:p>
    <w:p w14:paraId="4F669D19" w14:textId="14DDB074" w:rsidR="008D2777" w:rsidRPr="00D96C20" w:rsidRDefault="00E9552A" w:rsidP="00A2265A">
      <w:pPr>
        <w:pStyle w:val="ListParagraph"/>
        <w:numPr>
          <w:ilvl w:val="1"/>
          <w:numId w:val="4"/>
        </w:numPr>
        <w:spacing w:before="120" w:after="120"/>
        <w:contextualSpacing w:val="0"/>
        <w:jc w:val="both"/>
      </w:pPr>
      <w:r>
        <w:t>Το μέτρο στηρίζει δίκτυα διανομής τηλεθέρμανσης τα οποία θα υπόκεινται σε πρόσβαση τρίτων, διαχωρισμό (μεταξύ παραγωγής και διανομής θέρμανσης/ψύξης) και ρυθμιζόμενα τιμολόγια;</w:t>
      </w:r>
    </w:p>
    <w:p w14:paraId="79238E1B" w14:textId="51B3C821" w:rsidR="00E9552A" w:rsidRPr="00D96C20" w:rsidRDefault="00E9552A" w:rsidP="00A2265A">
      <w:pPr>
        <w:pStyle w:val="ListParagraph"/>
        <w:numPr>
          <w:ilvl w:val="1"/>
          <w:numId w:val="4"/>
        </w:numPr>
        <w:spacing w:before="120" w:after="120"/>
        <w:contextualSpacing w:val="0"/>
        <w:jc w:val="both"/>
      </w:pPr>
      <w:r>
        <w:lastRenderedPageBreak/>
        <w:t>Αν η απάντηση στο στοιχείο α) είναι «ναι», εξηγήστε αν το δίκτυο διανομής θα λειτουργεί ως νόμιμο και/ή φυσικό μονοπώλιο, με αναφορά στα κριτήρια που ορίζονται στα σημεία 374 και 375 των ΚΓΕΚΕΠ.</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Παραθέστε πληροφορίες σχετικά με το πεδίο εφαρμογής και τις υποστηριζόμενες δραστηριότητες του μέτρου ή των μέτρων ενίσχυσης, όπως προβλέπεται στο τμήμα 4.10.2 (σημεία 388-389) των ΚΓΕΚΕΠ. Στο πλαίσιο αυτό: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εξηγήστε γιατί το έργο εμπίπτει στον ορισμό της τηλεθέρμανσης/τηλεψύξης που παρατίθεται στο σημείο 19 στοιχείο 27 των ΚΓΕΚΕΠ και στον ορισμό του συστήματος τηλεθέρμανσης και/ή τηλεψύξης που παρατίθεται στο σημείο 19 στοιχείο 28 των ΚΓΕΚΕΠ.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Εξηγήστε αν το έργο υποστηρίζει την κατασκευή, την αναβάθμιση ή τη λειτουργία: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μονάδας παραγωγής και/ή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μονάδα αποθήκευσης και/ή </w:t>
      </w:r>
    </w:p>
    <w:p w14:paraId="7F9E3ACD" w14:textId="32BF6B8C" w:rsidR="009C1CC6" w:rsidRPr="00D96C20" w:rsidRDefault="009C1CC6" w:rsidP="00F10E39">
      <w:pPr>
        <w:pStyle w:val="ListParagraph"/>
        <w:numPr>
          <w:ilvl w:val="0"/>
          <w:numId w:val="30"/>
        </w:numPr>
        <w:spacing w:before="120" w:after="120"/>
        <w:contextualSpacing w:val="0"/>
        <w:jc w:val="both"/>
      </w:pPr>
      <w:r>
        <w:t>δίκτυο διανομής.</w:t>
      </w:r>
    </w:p>
    <w:p w14:paraId="16B1DB2A" w14:textId="7E0B0C78" w:rsidR="009C1CC6" w:rsidRPr="00D96C20" w:rsidRDefault="009C1CC6" w:rsidP="00F10E39">
      <w:pPr>
        <w:pStyle w:val="ListParagraph"/>
        <w:numPr>
          <w:ilvl w:val="0"/>
          <w:numId w:val="29"/>
        </w:numPr>
        <w:spacing w:before="120" w:after="120"/>
        <w:contextualSpacing w:val="0"/>
        <w:jc w:val="both"/>
      </w:pPr>
      <w:r>
        <w:t>Αν η στήριξη αφορά μονάδα παραγωγής, εξηγήστε ποιους πόρους χρησιμοποιεί η εν λόγω μονάδα παραγωγής για την παραγωγή ηλεκτρικής ενέργειας, τηλεθέρμανσης ή τηλεψύξης: ανανεώσιμη ενέργεια, απορριπτόμενη θερμότητα ή συμπαραγωγή υψηλής απόδοσης, συμπεριλαμβανομένων λύσεων αποθήκευσης θερμότητας.</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Αν η στήριξη αφορά μονάδα παραγωγής που χρησιμοποιεί απόβλητα, επιβεβαιώστε ότι η στήριξη περιορίζεται είτε στα απόβλητα που ανταποκρίνονται στον ορισμό των ανανεώσιμων πηγών ενέργειας είτε σε απόβλητα που χρησιμοποιούνται για την τροφοδότηση εγκαταστάσεων που ανταποκρίνονται στον ορισμό της συμπαραγωγής υψηλής απόδοσης.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Αν χορηγείται ενίσχυση για την αναβάθμιση συστήματος τηλεθέρμανσης και τηλεψύξης, διευκρινίστε αν το σύστημα τηλεθέρμανσης και τηλεψύξης πληροί το πρότυπο της αποδοτικής τηλεθέρμανσης και τηλεψύξης σύμφωνα με το άρθρο 2 παράγραφος 46 και το άρθρο 26 της οδηγίας (ΕΕ) 2023/1791.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Προσδιορίστε το είδος των δαπανών που θα υποστηριχθούν από το μέτρο: δαπάνες επένδυσης και/ή λειτουργίας.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Όταν η ενίσχυση αποσκοπεί στη στήριξη της αναβάθμισης συστήματος τηλεθέρμανσης και τηλεψύξης η οποία, ωστόσο, δεν οδηγεί σε σύστημα που πληροί το πρότυπο αποδοτικής τηλεθέρμανσης και τηλεψύξης κατά την έννοια του άρθρου 26 της οδηγίας (ΕΕ) 2023/1791 μετά την υποστηριζόμενη αναβάθμιση, αναλάβετε τη δέσμευση να διασφαλίσετε ότι ο δικαιούχος θα ξεκινήσει τις εργασίες για την επίτευξη του εν λόγω προτύπου απόδοσης εντός 3 ετών από τις εργασίες αναβάθμισης σύμφωνα με το σημείο 390 των ΚΓΕΚΕΠ.</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lastRenderedPageBreak/>
              <w:t>Χαρακτήρας κινήτρου</w:t>
            </w:r>
          </w:p>
        </w:tc>
      </w:tr>
    </w:tbl>
    <w:p w14:paraId="20915284" w14:textId="430337A5" w:rsidR="00015E2B" w:rsidRPr="00D96C20" w:rsidRDefault="00B15313" w:rsidP="000B3E97">
      <w:pPr>
        <w:spacing w:before="120" w:after="120"/>
        <w:jc w:val="both"/>
        <w:rPr>
          <w:i/>
        </w:rPr>
      </w:pPr>
      <w:r>
        <w:rPr>
          <w:i/>
        </w:rPr>
        <w:t xml:space="preserve">Για να συμπληρώσετε τις πληροφορίες στο παρόν τμήμα, συμβουλευτείτε το τμήμα 3.1.2 (σημεία 26-32) των ΚΓΕΚΕΠ.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Μια ενίσχυση μπορεί να θεωρηθεί ότι προωθεί μια οικονομική δραστηριότητα μόνο εάν έχει χαρακτήρα κινήτρου. Για την αξιολόγηση της συμμόρφωσης με το σημείο 26 των ΚΓΕΚΕΠ, εξηγήστε τον τρόπο με τον οποίο το/τα μέτρο/-α «ωθεί[/-ούν]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 xml:space="preserve">Για την εκτίμηση της συμμόρφωσης με το σημείο 27 των ΚΓΕΚΕΠ, παραθέστε πληροφορίες που να επιβεβαιώνουν ότι η </w:t>
      </w:r>
      <w:r>
        <w:rPr>
          <w:color w:val="000000"/>
          <w:shd w:val="clear" w:color="auto" w:fill="FFFFFF"/>
        </w:rPr>
        <w:t>ενίσχυση δεν στηρίζει το κόστος μιας δραστηριότητας το οποίο ο δικαιούχος της ενίσχυσης θα πραγματοποιούσε ούτως ή άλλως και δεν αντισταθμίζει τον συνήθη επιχειρηματικό κίνδυνο μιας οικονομικής δραστηριότητας</w:t>
      </w:r>
      <w:r w:rsidR="00AC5B96" w:rsidRPr="00D96C20">
        <w:rPr>
          <w:rStyle w:val="FootnoteReference"/>
          <w:color w:val="000000"/>
          <w:shd w:val="clear" w:color="auto" w:fill="FFFFFF"/>
        </w:rPr>
        <w:footnoteReference w:id="5"/>
      </w:r>
      <w:r>
        <w:t>.</w:t>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Παραθέστε ολοκληρωμένη περιγραφή του πραγματικού σεναρίου και του/των πιθανού/-ών σεναρίου/-ων αντιπαραδείγματος. Σε περίπτωση καθεστώτων που καλύπτουν διαφορετικά έργα αναφοράς</w:t>
      </w:r>
      <w:r w:rsidR="0030040A" w:rsidRPr="00D37B1D">
        <w:rPr>
          <w:rStyle w:val="FootnoteReference"/>
          <w:lang w:val="en-IE" w:eastAsia="en-GB"/>
        </w:rPr>
        <w:footnoteReference w:id="6"/>
      </w:r>
      <w:r>
        <w:t xml:space="preserve">, η περιγραφή αυτή πρέπει να υποβάλλεται για κάθε έργο αναφοράς. Για την κατασκευή, την αναβάθμιση και τη λειτουργία των δικτύων διανομής, ως σενάριο αντιπαραδείγματος θεωρείται η κατάσταση κατά την οποία δεν υλοποιείται το έργο. (σημείο 395 των ΚΓΕΚΕΠ).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Όπως προβλέπεται στο σημείο 28 υποσημείωση 39 των ΚΓΕΚΕΠ, επισυνάψετε στο παρόν συμπληρωματικό δελτίο πληροφοριών τυχόν επίσημα έγγραφα του διοικητικού συμβουλίου, εκτιμήσεις κινδύνων, χρηματοοικονομικές εκθέσεις, εσωτερικά επιχειρηματικά σχέδια, γνώμες εμπειρογνωμόνων και άλλες μελέτες που σχετίζονται με το υπό αξιολόγηση έργο, έγγραφα που περιέχουν πληροφορίες σχετικά με τις προβλέψεις ζήτησης, προβλέψεις δαπανών, χρηματοοικονομικές προβλέψεις, έγγραφα που υποβάλλονται σε επενδυτική επιτροπή και στα οποία αναλύονται τα επενδυτικά σενάρια / σενάρια λειτουργίας, ή έγγραφα που παρέχονται στα χρηματοπιστωτικά ιδρύματα.</w:t>
      </w:r>
    </w:p>
    <w:p w14:paraId="489E64F5" w14:textId="080206B8" w:rsidR="00C713DD" w:rsidRPr="00D96C20" w:rsidRDefault="005F6E6B" w:rsidP="005F6E6B">
      <w:pPr>
        <w:pStyle w:val="ListParagraph"/>
        <w:spacing w:before="120" w:after="120"/>
        <w:ind w:left="1287"/>
        <w:contextualSpacing w:val="0"/>
        <w:jc w:val="both"/>
      </w:pPr>
      <w:r>
        <w:t>Επισημαίνεται ότι τα έγγραφα αυτά πρέπει να είναι σύγχρονα με τη διαδικασία λήψης αποφάσεων σχετικά με την επένδυση/λειτουργία.</w:t>
      </w:r>
    </w:p>
    <w:p w14:paraId="0F3CF49B" w14:textId="7575EEBA" w:rsidR="00DE063E" w:rsidRPr="00D96C20" w:rsidRDefault="00E32AD5" w:rsidP="005F6E6B">
      <w:pPr>
        <w:pStyle w:val="ListParagraph"/>
        <w:spacing w:before="120" w:after="120"/>
        <w:ind w:left="1287"/>
        <w:contextualSpacing w:val="0"/>
        <w:jc w:val="both"/>
      </w:pPr>
      <w:r>
        <w:t xml:space="preserve">Εάν τα εν λόγω έγγραφα επισυνάπτονται στο </w:t>
      </w:r>
      <w:bookmarkStart w:id="6" w:name="_Hlk177381900"/>
      <w:r>
        <w:t>συμπληρωματικό δελτίο πληροφοριών</w:t>
      </w:r>
      <w:bookmarkEnd w:id="6"/>
      <w:r>
        <w:t>, παραθέστε κατωτέρω κατάλογο των εγγράφων αυτών, αναφέροντας τον συντάκτη τους, την ημερομηνία σύνταξής τους και το σχετικό πλαίσιο κατά τον χρόνο χρήσης τους.</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lastRenderedPageBreak/>
        <w:t xml:space="preserve">Συμπεριλάβετε σε παράρτημα του παρόντος συμπληρωματικού δελτίου πληροφοριών (χρησιμοποιώντας αρχείο Excel </w:t>
      </w:r>
      <w:r>
        <w:rPr>
          <w:shd w:val="clear" w:color="auto" w:fill="FFFFFF"/>
        </w:rPr>
        <w:t>στο οποίο θα είναι ορατοί όλοι οι τύποι</w:t>
      </w:r>
      <w:r>
        <w:t xml:space="preserve">) ποσοτικό προσδιορισμό, για το πραγματικό σενάριο και ένα αξιόπιστο σενάριο αντιπαραδείγματος, όπως περιγράφεται στο σημείο i, όλων των κύριων δαπανών και εσόδων, του εκτιμώμενου μέσου σταθμισμένου κόστους κεφαλαίου (ΜΣΚΚ) των δικαιούχων για την προεξόφληση μελλοντικών ταμειακών ροών, καθώς και της καθαρής παρούσας αξίας (ΚΠΑ) για το πραγματικό σενάριο και για το σενάριο αντιπαραδείγματος, κατά τη διάρκεια ζωής του έργου. Για τις περιπτώσεις μεμονωμένων ενισχύσεων και καθεστώτων που ωφελούν ιδιαίτερα περιορισμένο αριθμό δικαιούχων, οι εν λόγω υπολογισμοί και προβλέψεις πρέπει να παρουσιάζονται στο επίπεδο του λεπτομερούς επιχειρηματικού σχεδίου του έργου, καθώς και για τα καθεστώτα ενισχύσεων βάσει ενός ή περισσότερων έργων αναφοράς. </w:t>
      </w:r>
    </w:p>
    <w:p w14:paraId="6BCA5B3D" w14:textId="77FD2449" w:rsidR="008B1CA3" w:rsidRPr="00D96C20" w:rsidRDefault="00A255BF" w:rsidP="00F10E39">
      <w:pPr>
        <w:pStyle w:val="ListParagraph"/>
        <w:numPr>
          <w:ilvl w:val="0"/>
          <w:numId w:val="26"/>
        </w:numPr>
        <w:spacing w:before="120" w:after="120"/>
        <w:contextualSpacing w:val="0"/>
        <w:jc w:val="both"/>
      </w:pPr>
      <w:r>
        <w:t>Συμπεριλάβετε σε παράρτημα του παρόντος συμπληρωματικού δελτίου πληροφοριών λεπτομερείς πληροφορίες σχετικά με τις παραδοχές, τις μεθοδολογίες, το σκεπτικό και τις υποκείμενες πηγές τους, που χρησιμοποιούνται για κάθε πτυχή του ποσοτικού προσδιορισμού των δαπανών και των εσόδων στο πραγματικό σενάριο και στο/στα πιθανό/-ά σενάριο/-α αντιπαραδείγματος (π.χ. συμπεριλάβετε τις παραδοχές που χρησιμοποιήθηκαν για την ανάπτυξη των εν λόγω σεναρίων).</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Για να αποδείξετε τη συμμόρφωση με τα σημεία 29 και 31 των ΚΓΕΚΕΠ:</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επιβεβαιώστε ότι η έναρξη των εργασιών για το έργο ή τη δραστηριότητα δεν έλαβε χώρα πριν ο δικαιούχος υποβάλει γραπτή αίτηση ενίσχυσης στις εθνικές αρχές·</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Ή</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w:t>
      </w:r>
      <w:r w:rsidR="00D24240" w:rsidRPr="00D96C20">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lastRenderedPageBreak/>
        <w:tab/>
      </w:r>
    </w:p>
    <w:p w14:paraId="0A578E5C" w14:textId="77777777" w:rsidR="00D96C20" w:rsidRPr="00D37B1D" w:rsidRDefault="00D96C20" w:rsidP="00D96C20">
      <w:pPr>
        <w:numPr>
          <w:ilvl w:val="0"/>
          <w:numId w:val="4"/>
        </w:numPr>
        <w:spacing w:before="120" w:after="120"/>
        <w:ind w:left="567" w:hanging="567"/>
        <w:jc w:val="both"/>
      </w:pPr>
      <w: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Για να αποδείξετε τη συμμόρφωση με το σημείο 32 των ΚΓΕΚΕΠ, αναφέρετε αν εφαρμόζονται ενωσιακά πρότυπα</w:t>
      </w:r>
      <w:r w:rsidRPr="00D96C20">
        <w:rPr>
          <w:rStyle w:val="FootnoteReference"/>
          <w:lang w:val="en-IE" w:eastAsia="en-GB"/>
        </w:rPr>
        <w:footnoteReference w:id="8"/>
      </w:r>
      <w:r>
        <w:t xml:space="preserve"> για το κοινοποιηθέν μέτρο ή τα κοινοποιηθέντα μέτρα, υποχρεωτικά εθνικά πρότυπα που είναι πιο αυστηρά ή φιλόδοξα από τα αντίστοιχα ενωσιακά πρότυπα ή που εκδίδονται ελλείψει ενωσιακών προτύπων. Στο πλαίσιο αυτό, παραθέστε πληροφορίες για να καταδείξετε τον χαρακτήρα κινήτρου.</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Απουσία παραβίασης οποιασδήποτε σχετικής διάταξης του δικαίου της Ένωσης</w:t>
            </w:r>
          </w:p>
        </w:tc>
      </w:tr>
    </w:tbl>
    <w:p w14:paraId="665FE026" w14:textId="5CEA7791" w:rsidR="00DE1D68" w:rsidRPr="00D96C20" w:rsidRDefault="00DE1D68" w:rsidP="00DE1D68">
      <w:pPr>
        <w:spacing w:before="360" w:after="120"/>
        <w:jc w:val="both"/>
        <w:rPr>
          <w:i/>
        </w:rPr>
      </w:pPr>
      <w:r>
        <w:rPr>
          <w:i/>
        </w:rPr>
        <w:t xml:space="preserve">Για να συμπληρώσετε τις πληροφορίες στο παρόν τμήμα, συμβουλευτείτε το τμήμα 3.1.3 (σημείο 33) των ΚΓΕΚΕΠ.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Παραθέστε πληροφορίες για να επιβεβαιώσετε τη συμμόρφωση με τις σχετικές διατάξεις του δικαίου της ΕΕ, σύμφωνα με το σημείο 33 των ΚΓΕΚΕΠ. </w:t>
      </w:r>
    </w:p>
    <w:p w14:paraId="4B99F870" w14:textId="77777777" w:rsidR="00A431BD" w:rsidRPr="00D96C20" w:rsidRDefault="00A431BD" w:rsidP="00A431BD">
      <w:pPr>
        <w:tabs>
          <w:tab w:val="left" w:leader="dot" w:pos="9072"/>
        </w:tabs>
        <w:spacing w:before="120" w:after="120"/>
        <w:ind w:left="567"/>
        <w:jc w:val="both"/>
        <w:rPr>
          <w:color w:val="000000"/>
        </w:rPr>
      </w:pPr>
      <w:r>
        <w:rPr>
          <w:color w:val="000000"/>
        </w:rP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lastRenderedPageBreak/>
        <w:t>Εάν χρησιμοποιείται εισφορά για τη χρηματοδότηση του μέτρου ή των μέτρων, διευκρινίστε αν πρέπει να διενεργηθεί η αξιολόγηση της συμμόρφωσης με τα άρθρα 30 και 110 της ΣΛΕΕ. Σε περίπτωση καταφατικής απάντησης, καταδείξτε τον τρόπο με τον οποίο το μέτρο συμμορφώνεται με τις διατάξεις των άρθρων 30 και 110 της ΣΛΕΕ.</w:t>
      </w:r>
      <w:r>
        <w:rPr>
          <w:i/>
        </w:rPr>
        <w:t xml:space="preserve"> </w:t>
      </w:r>
      <w:r>
        <w:t>Στο πλαίσιο αυτό, μπορείτε να αναφερθείτε στις πληροφορίες που έχετε υποβάλει στην ερώτηση </w:t>
      </w:r>
      <w:r w:rsidRPr="00D96C20">
        <w:fldChar w:fldCharType="begin"/>
      </w:r>
      <w:r w:rsidRPr="00D96C20">
        <w:instrText xml:space="preserve"> REF _Ref116914408 \r \h  \* MERGEFORMAT </w:instrText>
      </w:r>
      <w:r w:rsidRPr="00D96C20">
        <w:fldChar w:fldCharType="separate"/>
      </w:r>
      <w:r w:rsidRPr="00D96C20">
        <w:t>5</w:t>
      </w:r>
      <w:r w:rsidRPr="00D96C20">
        <w:fldChar w:fldCharType="end"/>
      </w:r>
      <w:r>
        <w:t xml:space="preserve"> σημείο </w:t>
      </w:r>
      <w:r w:rsidRPr="00D96C20">
        <w:fldChar w:fldCharType="begin"/>
      </w:r>
      <w:r w:rsidRPr="00D96C20">
        <w:instrText xml:space="preserve"> REF _Ref116914400 \r \h  \* MERGEFORMAT </w:instrText>
      </w:r>
      <w:r w:rsidRPr="00D96C20">
        <w:fldChar w:fldCharType="separate"/>
      </w:r>
      <w:r w:rsidRPr="00D96C20">
        <w:t>ii</w:t>
      </w:r>
      <w:r w:rsidRPr="00D96C20">
        <w:fldChar w:fldCharType="end"/>
      </w:r>
      <w:r>
        <w:t xml:space="preserve"> ανωτέρω, σε περίπτωση που το κοινοποιηθέν μέτρο ή τα κοινοποιηθέντα μέτρα χρηματοδοτούνται μέσω εισφοράς.</w:t>
      </w:r>
    </w:p>
    <w:p w14:paraId="2F71FD11" w14:textId="31DD9C32" w:rsidR="00544B04" w:rsidRPr="00D96C20" w:rsidRDefault="00544B04" w:rsidP="00544B04">
      <w:pPr>
        <w:tabs>
          <w:tab w:val="left" w:leader="dot" w:pos="9072"/>
        </w:tabs>
        <w:spacing w:before="120" w:after="120"/>
        <w:ind w:left="567"/>
        <w:jc w:val="both"/>
        <w:rPr>
          <w:color w:val="000000"/>
        </w:rPr>
      </w:pPr>
      <w:r>
        <w:rPr>
          <w:color w:val="000000"/>
        </w:rP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lastRenderedPageBreak/>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Ελαχιστοποίηση των στρεβλώσεων του ανταγωνισμού και των συναλλαγών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Αναγκαιότητα και καταλληλότητα της παρέμβασης για τη χορήγηση κρατικής ενίσχυσης</w:t>
            </w:r>
          </w:p>
        </w:tc>
      </w:tr>
    </w:tbl>
    <w:p w14:paraId="3C23674F" w14:textId="4023898F" w:rsidR="00663008" w:rsidRPr="00D96C20" w:rsidRDefault="00663008" w:rsidP="000B3E97">
      <w:pPr>
        <w:spacing w:before="120" w:after="120"/>
        <w:jc w:val="both"/>
        <w:rPr>
          <w:i/>
          <w:color w:val="000000"/>
        </w:rPr>
      </w:pPr>
      <w:r>
        <w:rPr>
          <w:i/>
          <w:color w:val="000000"/>
        </w:rPr>
        <w:t xml:space="preserve">Για να </w:t>
      </w:r>
      <w:r>
        <w:rPr>
          <w:i/>
        </w:rPr>
        <w:t xml:space="preserve">συμπληρώσετε τις πληροφορίες </w:t>
      </w:r>
      <w:r>
        <w:rPr>
          <w:i/>
          <w:color w:val="000000"/>
        </w:rPr>
        <w:t xml:space="preserve">στο παρόν τμήμα, συμβουλευτείτε το τμήμα 4.10.3 (σημεία 391-393) των ΚΓΕΚΕΠ. </w:t>
      </w:r>
    </w:p>
    <w:p w14:paraId="6668EB5F" w14:textId="280A7D98" w:rsidR="00663008" w:rsidRPr="00D96C20" w:rsidRDefault="00BC04CA" w:rsidP="00A2265A">
      <w:pPr>
        <w:pStyle w:val="ListParagraph"/>
        <w:numPr>
          <w:ilvl w:val="0"/>
          <w:numId w:val="4"/>
        </w:numPr>
        <w:spacing w:before="120" w:after="120"/>
        <w:contextualSpacing w:val="0"/>
        <w:jc w:val="both"/>
      </w:pPr>
      <w:r>
        <w:t>Εξηγήστε λεπτομερώς τον τρόπο με τον οποίο το έργο θα συμβάλει στη δημιουργία, την επέκταση ή την αναβάθμιση αποδοτικών συστημάτων τηλεθέρμανσης και τηλεψύξης.</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 xml:space="preserve">Αν το μέτρο καλύπτει κατ’ εξαίρεση λειτουργικές δαπάνες, αποδείξτε ότι οι δαπάνες αυτές δεν μπορούν να μετακυλιστούν στους καταναλωτές τηλεθέρμανσης/τηλεψύξης χωρίς να υπονομευθεί η προστασία του περιβάλλοντος σύμφωνα με το σημείο 392 των ΚΓΕΚΕΠ. Αποδείξτε ότι τα υποστηριζόμενα συστήματα τηλεθέρμανσης/τηλεψύξης αυξάνουν την ενεργειακή απόδοση, μειώνουν τις εκπομπές CO2 και άλλες πηγές ρύπανσης, καθώς και τις απώλειες δικτύου, σε σύγκριση με εναλλακτικές λύσεις τηλεθέρμανσης/τηλεψύξης. </w:t>
      </w:r>
    </w:p>
    <w:p w14:paraId="6FBF7751" w14:textId="60781CC3" w:rsidR="00836816" w:rsidRPr="00D96C20" w:rsidRDefault="009B749D" w:rsidP="00A2265A">
      <w:pPr>
        <w:pStyle w:val="ListParagraph"/>
        <w:numPr>
          <w:ilvl w:val="0"/>
          <w:numId w:val="4"/>
        </w:numPr>
        <w:spacing w:before="120" w:after="120"/>
        <w:contextualSpacing w:val="0"/>
        <w:jc w:val="both"/>
      </w:pPr>
      <w:r>
        <w:rPr>
          <w:shd w:val="clear" w:color="auto" w:fill="FFFFFF"/>
        </w:rPr>
        <w:t>Σύμφωνα με το σημείο 393 των ΚΓΕΚΕΠ, αν το έργο χρησιμοποιεί απόβλητα ως καύσιμο εισροής, εξηγήστε τον τρόπο με τον οποίο τηρεί την αρχή της ιεράρχησης των αποβλήτων [άρθρο 4 σημείο 1 της οδηγίας (ΕΕ) 2008/98].</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Αναλογικότητα της ενίσχυσης </w:t>
            </w:r>
          </w:p>
        </w:tc>
      </w:tr>
    </w:tbl>
    <w:p w14:paraId="7AFDF26D" w14:textId="0DF381F0" w:rsidR="00A431BD" w:rsidRPr="00D96C20" w:rsidRDefault="00863406" w:rsidP="000B3E97">
      <w:pPr>
        <w:spacing w:before="120" w:after="120"/>
        <w:jc w:val="both"/>
        <w:rPr>
          <w:i/>
        </w:rPr>
      </w:pPr>
      <w:r>
        <w:rPr>
          <w:i/>
        </w:rPr>
        <w:t xml:space="preserve">Για να συμπληρώσετε τις πληροφορίες στο παρόν τμήμα, συμβουλευτείτε το τμήμα 3.2.1.3 και το τμήμα 4.10.4 (σημεία 394 και 395) των ΚΓΕΚΕΠ.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Για την επαλήθευση της συμμόρφωσης με το σημείο 51 των ΚΓΕΚΕΠ, παραθέστε τα ακόλουθα στοιχεία:</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lastRenderedPageBreak/>
        <w:t>Για τον προσδιορισμό του χρηματοδοτικού κενού</w:t>
      </w:r>
      <w:r w:rsidR="00A84D63" w:rsidRPr="00D96C20">
        <w:rPr>
          <w:rStyle w:val="FootnoteReference"/>
          <w:shd w:val="clear" w:color="auto" w:fill="FFFFFF"/>
        </w:rPr>
        <w:footnoteReference w:id="9"/>
      </w:r>
      <w:r>
        <w:rPr>
          <w:shd w:val="clear" w:color="auto" w:fill="FFFFFF"/>
        </w:rPr>
        <w:t>, υποβάλετε ποσοτικό προσδιορισμό για το πραγματικό σενάριο και αξιόπιστο σενάριο αντιπαραδείγματος</w:t>
      </w:r>
      <w:r w:rsidR="00FA5166" w:rsidRPr="00D96C20">
        <w:rPr>
          <w:rStyle w:val="FootnoteReference"/>
          <w:shd w:val="clear" w:color="auto" w:fill="FFFFFF"/>
        </w:rPr>
        <w:footnoteReference w:id="10"/>
      </w:r>
      <w:r>
        <w:rPr>
          <w:shd w:val="clear" w:color="auto" w:fill="FFFFFF"/>
        </w:rPr>
        <w:t>:</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όλων των κύριων δαπανών και εσόδων του έργου·</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του εκτιμώμενου μέσου σταθμικού κόστους κεφαλαίου (στο εξής: ΜΣΚΚ) των δικαιούχων για την προεξόφληση μελλοντικών ταμειακών ροών·</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της καθαρής παρούσας αξία (στο εξής: ΚΠΑ) για το πραγματικό σενάριο και το σενάριο αντιπαραδείγματος, κατά τη διάρκεια ζωής του έργου.</w:t>
      </w:r>
    </w:p>
    <w:p w14:paraId="6B0BF531" w14:textId="73B39744" w:rsidR="00F05162" w:rsidRPr="00D96C20" w:rsidRDefault="00F05162" w:rsidP="00F05162">
      <w:pPr>
        <w:tabs>
          <w:tab w:val="left" w:leader="dot" w:pos="9072"/>
        </w:tabs>
        <w:spacing w:before="120" w:after="120"/>
        <w:ind w:left="567"/>
        <w:jc w:val="both"/>
      </w:pP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Αιτιολογήστε τις παραδοχές που χρησιμοποιούνται για κάθε πτυχή του ποσοτικού προσδιορισμού και εξηγήστε και αιτιολογήστε τυχόν εφαρμοζόμενες μεθοδολογίες.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Για τις περιπτώσεις μεμονωμένων ενισχύσεων και καθεστώτων που ωφελούν ιδιαίτερα περιορισμένο αριθμό δικαιούχων, το κράτος μέλος πρέπει να παρουσιάζει τα αποδεικτικά στοιχεία στο επίπεδο του λεπτομερούς επιχειρηματικού σχεδίου του έργου.</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Για τις περιπτώσεις καθεστώτων ενισχύσεων, το κράτος μέλος πρέπει να παρουσιάζει τα αποδεικτικά στοιχεία βάσει ενός ή περισσότερων έργων αναφοράς.</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Σε περίπτωση απουσίας εναλλακτικού έργου, για να μπορέσει η Επιτροπή να επαληθεύσει ότι το ποσό της ενίσχυσης δεν υπερβαίνει το ελάχιστο αναγκαίο ώστε το ενισχυόμενο έργο να είναι επαρκώς κερδοφόρο</w:t>
      </w:r>
      <w:r w:rsidR="00DE525C" w:rsidRPr="00D96C20">
        <w:rPr>
          <w:rStyle w:val="FootnoteReference"/>
          <w:lang w:eastAsia="en-GB"/>
        </w:rPr>
        <w:footnoteReference w:id="11"/>
      </w:r>
      <w:r>
        <w:t>, παραθέστε τις ακόλουθες πληροφορίες:</w:t>
      </w:r>
    </w:p>
    <w:p w14:paraId="020A0406" w14:textId="40D27EEF" w:rsidR="00EC2A7D" w:rsidRPr="00D96C20" w:rsidRDefault="00EC2A7D" w:rsidP="004776A4">
      <w:pPr>
        <w:pStyle w:val="ListParagraph"/>
        <w:numPr>
          <w:ilvl w:val="1"/>
          <w:numId w:val="4"/>
        </w:numPr>
        <w:spacing w:before="120" w:after="120"/>
        <w:contextualSpacing w:val="0"/>
        <w:jc w:val="both"/>
      </w:pPr>
      <w:r>
        <w:t>το εσωτερικό ποσοστό απόδοσης (ΕΠΑ) που αντιστοιχεί στο σημείο αναφοράς ή στην ελάχιστη κρίσιμη απόδοση του τομέα ή της επιχείρησης· ή</w:t>
      </w:r>
    </w:p>
    <w:p w14:paraId="056D5BF9" w14:textId="64F3B5CD" w:rsidR="00AB47A1" w:rsidRPr="00D96C20" w:rsidRDefault="007315B8" w:rsidP="004776A4">
      <w:pPr>
        <w:pStyle w:val="ListParagraph"/>
        <w:numPr>
          <w:ilvl w:val="1"/>
          <w:numId w:val="4"/>
        </w:numPr>
        <w:spacing w:before="120" w:after="120"/>
        <w:contextualSpacing w:val="0"/>
        <w:jc w:val="both"/>
      </w:pPr>
      <w:r>
        <w:t>τα κανονικά ποσοστά απόδοσης που απαιτεί ο δικαιούχος για άλλα επενδυτικά έργα παρόμοιου είδους, το συνολικό κόστος κεφαλαίου του· ή</w:t>
      </w:r>
    </w:p>
    <w:p w14:paraId="13B46137" w14:textId="062C7DC0" w:rsidR="0029714D" w:rsidRPr="00D96C20" w:rsidRDefault="007315B8" w:rsidP="004776A4">
      <w:pPr>
        <w:pStyle w:val="ListParagraph"/>
        <w:numPr>
          <w:ilvl w:val="1"/>
          <w:numId w:val="4"/>
        </w:numPr>
        <w:spacing w:before="120" w:after="120"/>
        <w:contextualSpacing w:val="0"/>
        <w:jc w:val="both"/>
      </w:pPr>
      <w:r>
        <w:t>τις αποδόσεις που συνήθως παρατηρούνται στον οικείο κλάδο· ή</w:t>
      </w:r>
    </w:p>
    <w:p w14:paraId="0691A0E0" w14:textId="27443E78" w:rsidR="00445F48" w:rsidRPr="00D96C20" w:rsidRDefault="001622D8" w:rsidP="004776A4">
      <w:pPr>
        <w:pStyle w:val="ListParagraph"/>
        <w:numPr>
          <w:ilvl w:val="1"/>
          <w:numId w:val="4"/>
        </w:numPr>
        <w:spacing w:before="120" w:after="120"/>
        <w:contextualSpacing w:val="0"/>
        <w:jc w:val="both"/>
      </w:pPr>
      <w:r>
        <w:t>κάθε άλλη πληροφορία που δικαιολογεί ότι το ποσό της ενίσχυσης δεν υπερβαίνει το ελάχιστο αναγκαίο ώστε το ενισχυόμενο έργο να είναι επαρκώς κερδοφόρο.</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Σώρευση</w:t>
            </w:r>
          </w:p>
        </w:tc>
      </w:tr>
    </w:tbl>
    <w:p w14:paraId="2346A85D" w14:textId="09594631" w:rsidR="00B21377" w:rsidRPr="00D96C20" w:rsidRDefault="00B21377" w:rsidP="00B21377">
      <w:pPr>
        <w:pStyle w:val="ListParagraph"/>
        <w:spacing w:before="120" w:after="120"/>
        <w:ind w:left="567"/>
        <w:contextualSpacing w:val="0"/>
        <w:jc w:val="both"/>
      </w:pPr>
      <w:r>
        <w:rPr>
          <w:i/>
        </w:rPr>
        <w:lastRenderedPageBreak/>
        <w:t>Για να συμπληρώσετε τις πληροφορίες στο παρόν τμήμα, συμβουλευτείτε τα σημεία 56 και 57 των ΚΓΕΚΕΠ</w:t>
      </w:r>
      <w:r>
        <w:t>.</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Για να επαληθευτεί η συμμόρφωση με το σημείο 56 των ΚΓΕΚΕΠ, διευκρινίστε αν η ενίσχυση στο πλαίσιο του κοινοποιηθέντος μέτρου ή των κοινοποιηθέντων μέτρων μπορεί να χορηγηθεί ταυτόχρονα στο πλαίσιο διαφόρων καθεστώτων ενισχύσεων ή να σωρευθεί με ad hoc ή ήσσονος σημασίας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σωρευθούν οι ενισχύσεις.</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Εάν το σημείο 56 των ΚΓΕΚΕΠ εφαρμόζεται στην κοινοποιηθείσα ενίσχυση, αιτιολογήστε τον τρόπο με τον οποίο το συνολικό ποσό της ενίσχυσης που χορηγείται στο πλαίσιο του κοινοποιηθέντος μέτρου ή των κοινοποιηθέντων μέτρων για το έργο ή τη δραστηριότητα δεν οδηγεί σε υπεραντιστάθμιση ούτε υπερβαίνει το μέγιστο ποσό της ενίσχυσης που επιτρέπεται βάσει του σημείου 394 των ΚΓΕΚΕΠ. Προσδιορίστε, για κάθε μέτρο με το οποίο μπορεί να σωρευτεί η ενίσχυση που χορηγείται στο πλαίσιο του κοινοποιηθέντος μέτρου ή των 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Σε περίπτωση που έχει εφαρμογή το σημείο 57 των ΚΓΕΚΕΠ, δηλαδή η ενίσχυση που χορηγείται στο πλαίσιο του κοινοποιηθέντος μέτρου ή των κοινοποιηθέντων μέτρων συνδυάζεται με ενωσιακή χρηματοδότηση υπό κεντρική διαχείριση</w:t>
      </w:r>
      <w:r w:rsidR="009B2F61" w:rsidRPr="00D96C20">
        <w:rPr>
          <w:rStyle w:val="FootnoteReference"/>
          <w:lang w:eastAsia="en-GB"/>
        </w:rPr>
        <w:footnoteReference w:id="12"/>
      </w:r>
      <w:r>
        <w:t xml:space="preserve">, αιτιολογήστε τον τρόπο με τον οποίο το </w:t>
      </w:r>
      <w:r>
        <w:rPr>
          <w:shd w:val="clear" w:color="auto" w:fill="FFFFFF"/>
        </w:rPr>
        <w:t>συνολικό ποσό της δημόσιας χρηματοδότησης που χορηγείται σε σχέση με τις ίδιες επιλέξιμες δαπάνες δεν οδηγεί σε υπεραντιστάθμιση.</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Διαφάνεια</w:t>
            </w:r>
          </w:p>
        </w:tc>
      </w:tr>
    </w:tbl>
    <w:p w14:paraId="32448DD4" w14:textId="77777777" w:rsidR="009C7EC5" w:rsidRPr="00D96C20" w:rsidRDefault="009C7EC5" w:rsidP="000B3E97">
      <w:pPr>
        <w:spacing w:before="120" w:after="120"/>
        <w:jc w:val="both"/>
        <w:rPr>
          <w:i/>
        </w:rPr>
      </w:pPr>
      <w:r>
        <w:rPr>
          <w:i/>
          <w:color w:val="000000"/>
        </w:rPr>
        <w:t xml:space="preserve">Για να </w:t>
      </w:r>
      <w:r>
        <w:rPr>
          <w:i/>
        </w:rPr>
        <w:t xml:space="preserve">συμπληρώσετε τις πληροφορίες </w:t>
      </w:r>
      <w:r>
        <w:rPr>
          <w:i/>
          <w:color w:val="000000"/>
        </w:rPr>
        <w:t xml:space="preserve">στο παρόν τμήμα, </w:t>
      </w:r>
      <w:r>
        <w:rPr>
          <w:i/>
        </w:rPr>
        <w:t xml:space="preserve">συμβουλευτείτε το τμήμα 3.2.1.4 (σημεία 58-61) των ΚΓΕΚΕΠ.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Επιβεβαιώστε ότι το κράτος μέλος θα συμμορφώνεται με τις απαιτήσεις διαφάνειας που καθορίζονται στα σημεία 58-61 των ΚΓΕΚΕΠ.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ΚΓΕΚΕΠ και υπερβαίνει τα 100 000 EUR.</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4BBEF38E" w:rsidR="008D37F9" w:rsidRPr="00D96C20" w:rsidRDefault="009C7EC5" w:rsidP="009C7EC5">
            <w:pPr>
              <w:pStyle w:val="Heading1"/>
              <w:ind w:left="792" w:hanging="432"/>
              <w:rPr>
                <w:i/>
                <w:color w:val="000000"/>
                <w:sz w:val="28"/>
                <w:szCs w:val="28"/>
              </w:rPr>
            </w:pPr>
            <w:r>
              <w:rPr>
                <w:i/>
                <w:color w:val="000000"/>
                <w:sz w:val="28"/>
              </w:rPr>
              <w:t xml:space="preserve"> 2.2. Αποφυγή αδικαιολόγητων αρνητικών επιπτώσεων της ενίσχυσης στον ανταγωνισμό, τις συναλλαγές και την εξισορρόπηση</w:t>
            </w:r>
          </w:p>
        </w:tc>
      </w:tr>
    </w:tbl>
    <w:p w14:paraId="6CD3884F" w14:textId="308833E5" w:rsidR="00F83660" w:rsidRPr="00D96C20" w:rsidRDefault="00F83660" w:rsidP="000B3E97">
      <w:pPr>
        <w:spacing w:before="120" w:after="120"/>
        <w:jc w:val="both"/>
        <w:rPr>
          <w:i/>
        </w:rPr>
      </w:pPr>
      <w:r>
        <w:rPr>
          <w:i/>
          <w:color w:val="000000"/>
        </w:rPr>
        <w:t xml:space="preserve">Για </w:t>
      </w:r>
      <w:r>
        <w:rPr>
          <w:i/>
        </w:rPr>
        <w:t xml:space="preserve">να συμπληρώσετε τις πληροφορίες στο παρόν τμήμα, συμβουλευτείτε το τμήμα 4.10.5 (σημεία 396-398) των ΚΓΕΚΕΠ. </w:t>
      </w:r>
    </w:p>
    <w:p w14:paraId="633F735E" w14:textId="45587F4E" w:rsidR="00304F41" w:rsidRPr="00D96C20" w:rsidRDefault="00304F41" w:rsidP="000B3E97">
      <w:pPr>
        <w:pStyle w:val="ListParagraph"/>
        <w:numPr>
          <w:ilvl w:val="0"/>
          <w:numId w:val="4"/>
        </w:numPr>
        <w:spacing w:before="120" w:after="120"/>
        <w:ind w:left="567" w:hanging="567"/>
        <w:contextualSpacing w:val="0"/>
        <w:jc w:val="both"/>
      </w:pPr>
      <w:r>
        <w:t>Αν τα συστήματα τηλεθέρμανσης και τηλεψύξης βασίζονται στα πλέον ρυπογόνα ορυκτά καύσιμα, όπως ο άνθρακας, ο λιγνίτης, το πετρέλαιο και το ντίζελ, εξηγήστε αν πληρούνται σωρευτικά οι ακόλουθες προϋποθέσεις σύμφωνα με το σημείο 396 των ΚΓΕΚΕΠ:</w:t>
      </w:r>
    </w:p>
    <w:p w14:paraId="5E05EB28" w14:textId="599AE112" w:rsidR="00304F41" w:rsidRPr="00D96C20" w:rsidRDefault="00304F41" w:rsidP="00F10E39">
      <w:pPr>
        <w:pStyle w:val="ListParagraph"/>
        <w:numPr>
          <w:ilvl w:val="2"/>
          <w:numId w:val="28"/>
        </w:numPr>
        <w:spacing w:before="120" w:after="120"/>
        <w:contextualSpacing w:val="0"/>
        <w:jc w:val="both"/>
      </w:pPr>
      <w:r>
        <w:t>η ενίσχυση περιορίζεται σε επενδύσεις του δικτύου διανομής·</w:t>
      </w:r>
    </w:p>
    <w:p w14:paraId="48D098F7" w14:textId="77777777" w:rsidR="00F83660" w:rsidRPr="00D96C20" w:rsidRDefault="00F83660" w:rsidP="00F83660">
      <w:pPr>
        <w:tabs>
          <w:tab w:val="left" w:leader="dot" w:pos="9072"/>
        </w:tabs>
        <w:spacing w:before="120" w:after="120"/>
        <w:ind w:left="567"/>
        <w:jc w:val="both"/>
      </w:pPr>
      <w:r>
        <w:tab/>
      </w:r>
    </w:p>
    <w:p w14:paraId="05892635" w14:textId="30C2A5AA" w:rsidR="00F83660" w:rsidRPr="00D96C20" w:rsidRDefault="00304F41" w:rsidP="00F10E39">
      <w:pPr>
        <w:pStyle w:val="ListParagraph"/>
        <w:numPr>
          <w:ilvl w:val="2"/>
          <w:numId w:val="28"/>
        </w:numPr>
        <w:spacing w:before="120" w:after="120"/>
        <w:contextualSpacing w:val="0"/>
        <w:jc w:val="both"/>
      </w:pPr>
      <w:r>
        <w:t>το δίκτυο διανομής επιτρέπει ήδη τη μεταφορά θερμότητας και ψύξης που παράγεται από ανανεώσιμες πηγές ενέργειας, απορριπτόμενη θερμότητα ή πηγές με ουδέτερο ισοζύγιο άνθρακα·</w:t>
      </w:r>
    </w:p>
    <w:p w14:paraId="798B76FF" w14:textId="77777777" w:rsidR="00F83660" w:rsidRPr="00D96C20" w:rsidRDefault="00F83660" w:rsidP="00F83660">
      <w:pPr>
        <w:tabs>
          <w:tab w:val="left" w:leader="dot" w:pos="9072"/>
        </w:tabs>
        <w:spacing w:before="120" w:after="120"/>
        <w:ind w:left="567"/>
        <w:jc w:val="both"/>
      </w:pPr>
      <w:r>
        <w:tab/>
      </w:r>
    </w:p>
    <w:p w14:paraId="76611A3B" w14:textId="3E79C51A" w:rsidR="00F83660" w:rsidRPr="00D96C20" w:rsidRDefault="00304F41" w:rsidP="00F10E39">
      <w:pPr>
        <w:pStyle w:val="ListParagraph"/>
        <w:numPr>
          <w:ilvl w:val="2"/>
          <w:numId w:val="28"/>
        </w:numPr>
        <w:spacing w:before="120" w:after="120"/>
        <w:contextualSpacing w:val="0"/>
        <w:jc w:val="both"/>
      </w:pPr>
      <w:r>
        <w:t>η ενίσχυση δεν οδηγεί σε αύξηση της παραγωγής ενέργειας από τα πλέον ρυπογόνα ορυκτά καύσιμα (για παράδειγμα με τη σύνδεση πρόσθετων πελατών)·</w:t>
      </w:r>
    </w:p>
    <w:p w14:paraId="0638448B" w14:textId="77777777" w:rsidR="00F83660" w:rsidRPr="00D96C20" w:rsidRDefault="00F83660" w:rsidP="00F83660">
      <w:pPr>
        <w:tabs>
          <w:tab w:val="left" w:leader="dot" w:pos="9072"/>
        </w:tabs>
        <w:spacing w:before="120" w:after="120"/>
        <w:ind w:left="567"/>
        <w:jc w:val="both"/>
      </w:pPr>
      <w:r>
        <w:tab/>
      </w:r>
    </w:p>
    <w:p w14:paraId="1B4F742A" w14:textId="768BC5AF" w:rsidR="00F83660" w:rsidRPr="00D96C20" w:rsidRDefault="00304F41" w:rsidP="00F10E39">
      <w:pPr>
        <w:pStyle w:val="ListParagraph"/>
        <w:numPr>
          <w:ilvl w:val="2"/>
          <w:numId w:val="28"/>
        </w:numPr>
        <w:spacing w:before="120" w:after="120"/>
        <w:contextualSpacing w:val="0"/>
        <w:jc w:val="both"/>
      </w:pPr>
      <w:r>
        <w:t>υπάρχει σαφές χρονοδιάγραμμα που περιλαμβάνει σταθερές δεσμεύσεις για τη μετάβαση από τα πλέον ρυπογόνα ορυκτά καύσιμα, λαμβανομένων υπόψη των στόχων της Ένωσης για το κλίμα έως το 2030 και για την επίτευξη κλιματικής ουδετερότητας έως το 2050 (βλ. παράδειγμα στην υποσημείωση 156 των ΚΓΕΚΕΠ).</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Αν το έργο παρέχει κίνητρα για νέες επενδύσεις στο φυσικό αέριο ή τη λειτουργία πάγιων στοιχείων παραγωγής ενέργειας με βάση το φυσικό αέριο, εξηγήστε αν το έργο διασφαλίζει τα ακόλουθα, σύμφωνα με το σημείο 397 των ΚΓΕΚΕΠ: </w:t>
      </w:r>
    </w:p>
    <w:p w14:paraId="38C1F102" w14:textId="32146B66" w:rsidR="00F610C7" w:rsidRPr="00D96C20" w:rsidRDefault="00304F41" w:rsidP="00A671FC">
      <w:pPr>
        <w:pStyle w:val="ListParagraph"/>
        <w:numPr>
          <w:ilvl w:val="0"/>
          <w:numId w:val="39"/>
        </w:numPr>
        <w:spacing w:before="120" w:after="120"/>
        <w:jc w:val="both"/>
      </w:pPr>
      <w:r>
        <w:t>τη συμβολή της ενίσχυσης στην επίτευξη των ενωσιακών στόχων για το κλίμα έως το 2030 και του στόχου για κλιματική ουδετερότητα έως το 2050·</w:t>
      </w:r>
    </w:p>
    <w:p w14:paraId="389482B8" w14:textId="38817A0F" w:rsidR="00F610C7" w:rsidRPr="00D96C20" w:rsidRDefault="00304F41" w:rsidP="00A671FC">
      <w:pPr>
        <w:pStyle w:val="ListParagraph"/>
        <w:numPr>
          <w:ilvl w:val="0"/>
          <w:numId w:val="39"/>
        </w:numPr>
        <w:spacing w:before="120" w:after="120"/>
        <w:jc w:val="both"/>
      </w:pPr>
      <w:r>
        <w:t>τον τρόπο με τον οποίο θα αποφευχθεί το φαινόμενο εγκλωβισμού στην παραγωγή ενέργειας με φυσικό αέριο·</w:t>
      </w:r>
    </w:p>
    <w:p w14:paraId="7EA03E9A" w14:textId="7AB57B2E" w:rsidR="00F83660" w:rsidRPr="00D96C20" w:rsidRDefault="00F610C7" w:rsidP="00A671FC">
      <w:pPr>
        <w:pStyle w:val="ListParagraph"/>
        <w:numPr>
          <w:ilvl w:val="0"/>
          <w:numId w:val="39"/>
        </w:numPr>
        <w:spacing w:before="120" w:after="120"/>
        <w:jc w:val="both"/>
      </w:pPr>
      <w:r>
        <w:t>τον τρόπο με τον οποίο η ενίσχυση δεν θα μετατοπίσει τις επενδύσεις σε καθαρότερες εναλλακτικές λύσεις που είναι ήδη διαθέσιμες στην αγορά και δεν θα εμποδίσει την ανάπτυξη καθαρότερων τεχνολογιών και τη χρήση τους.</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Για να επαληθευτεί η συμμόρφωση με το σημείο 398 των ΚΓΕΚΕΠ, διευκρινίστε αν το σύστημα τηλεθέρμανσης και τηλεψύξης είναι ανοικτό στην πρόσβαση τρίτων και αν θα ήταν δυνατή η χρήση βιώσιμων εναλλακτικών λύσεων θέρμανσης.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lastRenderedPageBreak/>
              <w:t>Αξιολόγηση</w:t>
            </w:r>
          </w:p>
        </w:tc>
      </w:tr>
    </w:tbl>
    <w:p w14:paraId="78AC9B95" w14:textId="1FB76E7E" w:rsidR="00C33721" w:rsidRPr="00D96C20" w:rsidRDefault="00C33721" w:rsidP="005C6138">
      <w:pPr>
        <w:tabs>
          <w:tab w:val="left" w:leader="dot" w:pos="9072"/>
        </w:tabs>
        <w:spacing w:before="120" w:after="120"/>
        <w:ind w:left="567"/>
        <w:jc w:val="both"/>
      </w:pPr>
      <w:r>
        <w:rPr>
          <w:i/>
        </w:rPr>
        <w:t>Για να συμπληρώσετε τις πληροφορίες στο παρόν τμήμα, συμβουλευτείτε το σημείο 76 στοιχείο α) και το κεφάλαιο 5 (σημεία 455-463) των ΚΓΕΚΕΠ.</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συμπληρωματικό δελτίο πληροφοριών παράρτημα που περιλαμβάνει προσχέδιο αξιολόγησης, το οποίο καλύπτει το πεδίο εφαρμογής που αναφέρεται στο σημείο 458 των ΚΓΕΚΕΠ</w:t>
      </w:r>
      <w:r w:rsidRPr="00D96C20">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Εάν παρέχεται προσχέδιο αξιολόγησης:</w:t>
      </w:r>
    </w:p>
    <w:p w14:paraId="36682E0D" w14:textId="77777777" w:rsidR="00FE28B4" w:rsidRPr="00D96C20" w:rsidRDefault="00FE28B4" w:rsidP="00F10E39">
      <w:pPr>
        <w:numPr>
          <w:ilvl w:val="0"/>
          <w:numId w:val="34"/>
        </w:numPr>
        <w:spacing w:before="120" w:after="120"/>
        <w:jc w:val="both"/>
      </w:pPr>
      <w:r>
        <w:t>Παραθέστε κατωτέρω σύνοψη του εν λόγω προσχεδίου αξιολόγησης που περιλαμβάνεται στο παράρτημα.</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Επιβεβαιώστε ότι θα τηρηθεί το σημείο 460 των ΚΓΕΚΕΠ.</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Παραθέστε την ημερομηνία και τον διαδικτυακό σύνδεσμο δημοσιοποίησης του σχεδίου αξιολόγησης.</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Pr>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Για την επαλήθευση της συμμόρφωσης με το σημείο 461 των ΚΓΕΚΕΠ:</w:t>
      </w:r>
    </w:p>
    <w:p w14:paraId="04054438" w14:textId="77777777" w:rsidR="00FE28B4" w:rsidRPr="00D96C20" w:rsidRDefault="00FE28B4" w:rsidP="00F10E39">
      <w:pPr>
        <w:numPr>
          <w:ilvl w:val="0"/>
          <w:numId w:val="35"/>
        </w:numPr>
        <w:spacing w:before="120" w:after="120"/>
        <w:jc w:val="both"/>
      </w:pPr>
      <w:r>
        <w:t>Διευκρινίστε αν ο ανεξάρτητος εμπειρογνώμονας έχει ήδη επιλεχθεί ή αν θα επιλεχτεί στο μέλλον.</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lastRenderedPageBreak/>
        <w:t>Παραθέστε πληροφορίες σχετικά με τη διαδικασία επιλογής του εμπειρογνώμονα.</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Αιτιολογήστε τον τρόπο με τον οποίο διασφαλίζεται ότι ο εμπειρογνώμονας είναι ανεξάρτητος από τη χορηγούσα αρχή.</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Για την επαλήθευση της συμμόρφωσης με το σημείο 461 των ΚΓΕΚΕΠ: </w:t>
      </w:r>
    </w:p>
    <w:p w14:paraId="3043EB67" w14:textId="77777777" w:rsidR="00FE28B4" w:rsidRPr="00D96C20" w:rsidRDefault="00FE28B4" w:rsidP="00F10E39">
      <w:pPr>
        <w:numPr>
          <w:ilvl w:val="0"/>
          <w:numId w:val="36"/>
        </w:numPr>
        <w:spacing w:before="120" w:after="120"/>
        <w:jc w:val="both"/>
      </w:pPr>
      <w: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εννέα μήνες πριν από τη λήξη του, σύμφωνα με το σημείο 463 των ΚΓΕΚΕΠ. Επισημαίνεται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Υποβολή εκθέσεων και παρακολούθηση</w:t>
            </w:r>
          </w:p>
        </w:tc>
      </w:tr>
    </w:tbl>
    <w:p w14:paraId="03FF5B05" w14:textId="77777777" w:rsidR="00FE28B4" w:rsidRPr="00D96C20" w:rsidRDefault="00FE28B4" w:rsidP="00FE28B4">
      <w:pPr>
        <w:tabs>
          <w:tab w:val="left" w:leader="dot" w:pos="9072"/>
        </w:tabs>
        <w:spacing w:before="120" w:after="120"/>
        <w:ind w:left="567"/>
        <w:jc w:val="both"/>
      </w:pPr>
      <w:r>
        <w:rPr>
          <w:i/>
        </w:rPr>
        <w:t>Για να συμπληρώσετε τις πληροφορίες στο παρόν τμήμα, συμβουλευτείτε το τμήμα 6 (σημεία 464-465) των ΚΓΕΚΕΠ.</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Επιβεβαιώστε ότι το κράτος μέλος θα συμμορφώνεται με τις απαιτήσεις υποβολής εκθέσεων και παρακολούθησης που προβλέπονται στο τμήμα 6 σημεία 464 και 465 των ΚΓΕΚΕΠ.</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ΕΕ C 80 της 18.2.2022, σ. 1.</w:t>
      </w:r>
    </w:p>
  </w:footnote>
  <w:footnote w:id="3">
    <w:p w14:paraId="6565D8D9" w14:textId="77777777" w:rsidR="005937D4" w:rsidRPr="0067348B" w:rsidRDefault="005937D4" w:rsidP="005937D4">
      <w:pPr>
        <w:pStyle w:val="FootnoteText"/>
      </w:pPr>
      <w:r>
        <w:rPr>
          <w:rStyle w:val="FootnoteReference"/>
        </w:rPr>
        <w:footnoteRef/>
      </w:r>
      <w:r>
        <w:tab/>
        <w:t>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του χρόνου που απαιτείται για την έγκριση των αιτήσεων ενίσχυσης από τις εθνικές αρχές). Η διάρκεια που αναφέρεται στην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w:t>
      </w:r>
    </w:p>
  </w:footnote>
  <w:footnote w:id="4">
    <w:p w14:paraId="2D55E73F" w14:textId="77777777" w:rsidR="007444CC" w:rsidRPr="0067348B" w:rsidRDefault="007444CC" w:rsidP="007444CC">
      <w:pPr>
        <w:pStyle w:val="FootnoteText"/>
      </w:pPr>
      <w:r>
        <w:rPr>
          <w:rStyle w:val="FootnoteReference"/>
        </w:rPr>
        <w:footnoteRef/>
      </w:r>
      <w:r>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5">
    <w:p w14:paraId="561DACBB" w14:textId="1FF2FC9F" w:rsidR="008D2777" w:rsidRDefault="008D2777">
      <w:pPr>
        <w:pStyle w:val="FootnoteText"/>
      </w:pPr>
    </w:p>
  </w:footnote>
  <w:footnote w:id="6">
    <w:p w14:paraId="4C19DBFC" w14:textId="4F9612F8" w:rsidR="008D2777" w:rsidRPr="00A671FC" w:rsidRDefault="008D2777">
      <w:pPr>
        <w:pStyle w:val="FootnoteText"/>
      </w:pPr>
    </w:p>
  </w:footnote>
  <w:footnote w:id="7">
    <w:p w14:paraId="76D8E62B" w14:textId="77777777" w:rsidR="00D37B1D" w:rsidRPr="00A671FC" w:rsidRDefault="008D2777" w:rsidP="00D37B1D">
      <w:pPr>
        <w:pStyle w:val="FootnoteText"/>
        <w:rPr>
          <w:iCs/>
        </w:rPr>
      </w:pPr>
      <w:r>
        <w:rPr>
          <w:rStyle w:val="FootnoteReference"/>
        </w:rPr>
        <w:footnoteRef/>
      </w:r>
      <w:r>
        <w:tab/>
        <w:t xml:space="preserve">Το σημείο 31 των ΚΓΕΚΕΠ προβλέπει ότι </w:t>
      </w:r>
      <w:r w:rsidRPr="00A671FC">
        <w:rPr>
          <w:iCs/>
        </w:rPr>
        <w:t>«σε ορισμένες εξαιρετικές περιπτώσεις, η ενίσχυση μπορεί να έχει χαρακτήρα κινήτρου ακόμη και για έργα που ξεκίνησαν πριν από την αίτηση ενίσχυσης.</w:t>
      </w:r>
    </w:p>
    <w:p w14:paraId="1524F4B1" w14:textId="741C827E" w:rsidR="008D2777" w:rsidRPr="00A671FC" w:rsidRDefault="008D2777" w:rsidP="00D37B1D">
      <w:pPr>
        <w:pStyle w:val="FootnoteText"/>
        <w:rPr>
          <w:iCs/>
        </w:rPr>
      </w:pPr>
      <w:r w:rsidRPr="00A671FC">
        <w:rPr>
          <w:iCs/>
        </w:rPr>
        <w:t xml:space="preserve"> </w:t>
      </w:r>
      <w:r w:rsidR="00A671FC" w:rsidRPr="00A671FC">
        <w:rPr>
          <w:iCs/>
        </w:rPr>
        <w:tab/>
      </w:r>
      <w:r w:rsidRPr="00A671FC">
        <w:rPr>
          <w:iCs/>
        </w:rPr>
        <w:t>Ειδικότερα, η ενίσχυση θεωρείται ότι έχει χαρακτήρα κινήτρου στις ακόλουθες περιπτώσεις:</w:t>
      </w:r>
    </w:p>
    <w:p w14:paraId="5730337E" w14:textId="7DC3746A" w:rsidR="008D2777" w:rsidRPr="00A671FC" w:rsidRDefault="008D2777" w:rsidP="00F10E39">
      <w:pPr>
        <w:pStyle w:val="FootnoteText"/>
        <w:numPr>
          <w:ilvl w:val="0"/>
          <w:numId w:val="24"/>
        </w:numPr>
        <w:rPr>
          <w:iCs/>
        </w:rPr>
      </w:pPr>
      <w:r w:rsidRPr="00A671FC">
        <w:rPr>
          <w:iCs/>
        </w:rPr>
        <w:t>όταν η ενίσχυση χορηγείται αυτόματα σύμφωνα με αντικειμενικά και αμερόληπτα κριτήρια και χωρίς περαιτέρω άσκηση διακριτικής ευχέρειας από το κράτος μέλος και το μέτρο έχει εγκριθεί και τεθεί σε ισχύ πριν από την έναρξη των εργασιών για το ενισχυόμενο έργο ή δραστηριότητα, εκτός από την περίπτωση διάδοχων φορολογικών καθεστώτων, όπου η δραστηριότητα καλυπτόταν ήδη από τα προηγούμενα καθεστώτα με μορφή φορολογικών πλεονεκτημάτων·</w:t>
      </w:r>
    </w:p>
    <w:p w14:paraId="126E383A" w14:textId="1F4A7ABF" w:rsidR="008D2777" w:rsidRPr="00A671FC" w:rsidRDefault="008D2777" w:rsidP="00F10E39">
      <w:pPr>
        <w:pStyle w:val="FootnoteText"/>
        <w:numPr>
          <w:ilvl w:val="0"/>
          <w:numId w:val="24"/>
        </w:numPr>
        <w:rPr>
          <w:iCs/>
        </w:rPr>
      </w:pPr>
      <w:r w:rsidRPr="00A671FC">
        <w:rPr>
          <w:iCs/>
        </w:rPr>
        <w:t>όταν οι εθνικές αρχές έχουν δημοσιεύσει, πριν από την έναρξη των εργασιών, ανακοίνωση σχετικά με την πρόθεσή τους να θεσπίσουν το προτεινόμενο μέτρο ενίσχυσης, υπό την προϋπόθεση της έγκρισης του μέτρου από την Επιτροπή, όπως απαιτείται σύμφωνα με το άρθρο 108 παράγραφος 3 της Συνθήκης. Η εν λόγω ανακοίνωση πρέπει να είναι διαθέσιμη σε δημόσιο ιστότοπο ή σε άλλα δημοσίως προσβάσιμα μέσα με συγκριτικά ευρεία και εύκολη πρόσβαση και να αναφέρει σαφώς το είδος των έργων που το κράτος μέλος προτείνει να είναι επιλέξιμα, καθώς και τη χρονική στιγμή από την οποία το κράτος μέλος προτίθεται να θεωρήσει τα εν λόγω έργα επιλέξιμα. Η προτεινόμενη επιλεξιμότητα δεν πρέπει να περιορίζεται αδικαιολόγητα. Ο δικαιούχος πρέπει να έχει ενημερώσει τη χορηγούσα αρχή πριν από την έναρξη των εργασιών ότι το προτεινόμενο μέτρο ενίσχυσης θεωρήθηκε προϋπόθεση για τις επενδυτικές αποφάσεις που έχουν ληφθεί. Όταν το κράτος μέλος στηρίζεται σε μια τέτοια ανακοίνωση για να αποδείξει τον χαρακτήρα κινήτρου, οφείλει να παράσχει, στο πλαίσιο της κοινοποίησης κρατικής ενίσχυσης, αντίγραφο της</w:t>
      </w:r>
      <w:r>
        <w:rPr>
          <w:i/>
        </w:rPr>
        <w:t xml:space="preserve"> </w:t>
      </w:r>
      <w:r w:rsidRPr="00A671FC">
        <w:rPr>
          <w:iCs/>
        </w:rPr>
        <w:t>ανακοίνωσης και σύνδεσμο προς τον ιστότοπο στον οποίο δημοσιεύτηκε ή αντίστοιχη απόδειξη της διαθεσιμότητάς της στο κοινό·</w:t>
      </w:r>
    </w:p>
    <w:p w14:paraId="64F711A8" w14:textId="54D3F761" w:rsidR="008D2777" w:rsidRDefault="008D2777" w:rsidP="00F10E39">
      <w:pPr>
        <w:pStyle w:val="FootnoteText"/>
        <w:numPr>
          <w:ilvl w:val="0"/>
          <w:numId w:val="24"/>
        </w:numPr>
      </w:pPr>
      <w:r w:rsidRPr="00A671FC">
        <w:rPr>
          <w:iCs/>
        </w:rPr>
        <w:t>προκειμένου για ενισχύσεις λειτουργίας που χορηγούνται σε υφιστάμενες εγκαταστάσεις φιλικής προς το περιβάλλον παραγωγής, όπου δεν υπάρχει «έναρξη των εργασιών» διότι δεν υπάρχουν σημαντικές νέες επενδύσεις. Στις περιπτώσεις αυτές, ο χαρακτήρας κινήτρου μπορεί να αποδειχθεί με αλλαγή στη λειτουργία της εγκατάστασης με φιλικό προς το περιβάλλον τρόπο και όχι με εναλλακτικό φθηνότερο τρόπο λειτουργίας που είναι λιγότερο φιλικός προς το περιβάλλον.»</w:t>
      </w:r>
    </w:p>
  </w:footnote>
  <w:footnote w:id="8">
    <w:p w14:paraId="5276A1EB" w14:textId="77777777" w:rsidR="000C258D" w:rsidRDefault="000C258D" w:rsidP="000C258D">
      <w:pPr>
        <w:pStyle w:val="FootnoteText"/>
      </w:pPr>
      <w:r>
        <w:rPr>
          <w:rStyle w:val="FootnoteReference"/>
        </w:rPr>
        <w:footnoteRef/>
      </w:r>
      <w:r>
        <w:tab/>
        <w:t>Σύμφωνα με το σημείο 19 στοιχείο 89 των ΚΓΕΚΕΠ, ως «ενωσιακό πρότυπο» νοείται:</w:t>
      </w:r>
    </w:p>
    <w:p w14:paraId="2C2E9687" w14:textId="77777777" w:rsidR="000C258D" w:rsidRPr="00A671FC" w:rsidRDefault="000C258D" w:rsidP="00F10E39">
      <w:pPr>
        <w:pStyle w:val="FootnoteText"/>
        <w:numPr>
          <w:ilvl w:val="0"/>
          <w:numId w:val="27"/>
        </w:numPr>
        <w:rPr>
          <w:iCs/>
        </w:rPr>
      </w:pPr>
      <w:r w:rsidRPr="00A671FC">
        <w:rPr>
          <w:iCs/>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125190F0" w14:textId="64BC945A" w:rsidR="000C258D" w:rsidRDefault="000C258D" w:rsidP="00F10E39">
      <w:pPr>
        <w:pStyle w:val="FootnoteText"/>
        <w:numPr>
          <w:ilvl w:val="0"/>
          <w:numId w:val="27"/>
        </w:numPr>
      </w:pPr>
      <w:r w:rsidRPr="00A671FC">
        <w:rPr>
          <w:iCs/>
        </w:rPr>
        <w:t>η υποχρέωση να χρησιμοποιούνται οι βέλτιστες διαθέσιμες τεχνικές (ΒΔΤ), ιδίως όπως ορίζονται στην οδηγία 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 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9">
    <w:p w14:paraId="6589188F" w14:textId="70D9D8AA" w:rsidR="008D2777" w:rsidRDefault="008D2777">
      <w:pPr>
        <w:pStyle w:val="FootnoteText"/>
      </w:pPr>
      <w:r>
        <w:rPr>
          <w:rStyle w:val="FootnoteReference"/>
        </w:rPr>
        <w:footnoteRef/>
      </w:r>
      <w:r>
        <w:tab/>
        <w:t>Το σημείο 51 των ΚΓΕΚΕΠ προβλέπει ότι «οι τυπικές καθαρές πρόσθετες δαπάνες μπορούν να εκτιμηθούν ως διαφορά μεταξύ της ΚΠΑ για το πραγματικό σενάριο και για το σενάριο αντιπαραδείγματος κατά τη διάρκεια ζωής του έργου αναφοράς.»</w:t>
      </w:r>
    </w:p>
  </w:footnote>
  <w:footnote w:id="10">
    <w:p w14:paraId="02B0A4E3" w14:textId="5C6F97AB" w:rsidR="008D2777" w:rsidRDefault="008D2777">
      <w:pPr>
        <w:pStyle w:val="FootnoteText"/>
      </w:pPr>
      <w:r>
        <w:rPr>
          <w:rStyle w:val="FootnoteReference"/>
        </w:rPr>
        <w:footnoteRef/>
      </w:r>
      <w:r>
        <w:t xml:space="preserve"> </w:t>
      </w:r>
      <w:r>
        <w:tab/>
        <w:t>Επισημαίνεται ότι, σύμφωνα με την υποσημείωση 45 των ΚΓΕΚΕΠ, «το αντιπαράδειγμα που προτείνει ως εναλλακτικό σενάριο επένδυσης/λειτουργίας τη μακροπρόθεσμη συνέχιση των υφιστάμενων περιβαλλοντικά μη βιώσιμων δραστηριοτήτων δεν θα θεωρηθεί εφαρμόσιμο».</w:t>
      </w:r>
    </w:p>
  </w:footnote>
  <w:footnote w:id="11">
    <w:p w14:paraId="4E6E256B" w14:textId="4AB0B555" w:rsidR="008D2777" w:rsidRDefault="008D2777">
      <w:pPr>
        <w:pStyle w:val="FootnoteText"/>
      </w:pPr>
      <w:r>
        <w:rPr>
          <w:rStyle w:val="FootnoteReference"/>
        </w:rPr>
        <w:footnoteRef/>
      </w:r>
      <w:r>
        <w:tab/>
        <w:t>Σύμφωνα με την υποσημείωση 46 των ΚΓΕΚΕΠ, επισημαίνεται ότι «όλες οι σχετικές δαπάνες και τα οφέλη που αναμένονται πρέπει να λαμβάνονται υπόψη καθ’ όλη τη διάρκεια ζωής του έργου».</w:t>
      </w:r>
    </w:p>
  </w:footnote>
  <w:footnote w:id="12">
    <w:p w14:paraId="086AD512" w14:textId="7087BE19" w:rsidR="008D2777" w:rsidRPr="009C7EC5" w:rsidRDefault="008D2777">
      <w:pPr>
        <w:pStyle w:val="FootnoteText"/>
      </w:pPr>
      <w:r>
        <w:rPr>
          <w:rStyle w:val="FootnoteReference"/>
        </w:rPr>
        <w:footnoteRef/>
      </w:r>
      <w:r>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13">
    <w:p w14:paraId="2B7A8351" w14:textId="77777777" w:rsidR="00FE28B4" w:rsidRDefault="00FE28B4" w:rsidP="00FE28B4">
      <w:pPr>
        <w:pStyle w:val="FootnoteText"/>
      </w:pPr>
      <w:r>
        <w:rPr>
          <w:rStyle w:val="FootnoteReference"/>
        </w:rPr>
        <w:footnoteRef/>
      </w:r>
      <w:r>
        <w:tab/>
        <w:t xml:space="preserve">Το υπόδειγμα του συμπληρωματικού δελτίου πληροφοριών για την κοινοποίηση σχεδίου αξιολόγησης (μέρος III.8) διατίθεται εδώ: </w:t>
      </w:r>
      <w:hyperlink w:anchor="evaluation-plan" w:history="1">
        <w:r>
          <w:rPr>
            <w:rStyle w:val="Hyperlink"/>
          </w:rPr>
          <w:t>https://competition-policy.ec.europa.eu/state-aid/legislation/forms-notifications-and-reporting_el#evaluation-plan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499E99B2"/>
    <w:lvl w:ilvl="0" w:tplc="FC7EF628">
      <w:start w:val="1"/>
      <mc:AlternateContent>
        <mc:Choice Requires="w14">
          <w:numFmt w:val="custom" w:format="α, β, γ, ..."/>
        </mc:Choice>
        <mc:Fallback>
          <w:numFmt w:val="decimal"/>
        </mc:Fallback>
      </mc:AlternateContent>
      <w:lvlText w:val="%1."/>
      <w:lvlJc w:val="lef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D744F5A6"/>
    <w:lvl w:ilvl="0" w:tplc="0EEE22A0">
      <w:start w:val="1"/>
      <w:numFmt w:val="lowerRoman"/>
      <w:lvlText w:val="%1."/>
      <w:lvlJc w:val="left"/>
      <w:pPr>
        <w:ind w:left="1287" w:hanging="360"/>
      </w:pPr>
      <w:rPr>
        <w:rFonts w:ascii="Times New Roman" w:hAnsi="Times New Roman" w:hint="default"/>
        <w:b w:val="0"/>
        <w:i w:val="0"/>
        <w:sz w:val="24"/>
      </w:rPr>
    </w:lvl>
    <w:lvl w:ilvl="1" w:tplc="FC7EF62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43FA636C"/>
    <w:lvl w:ilvl="0" w:tplc="F48A02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4FD63416"/>
    <w:lvl w:ilvl="0" w:tplc="F48A02B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77C409EA"/>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FC7EF628">
      <w:start w:val="1"/>
      <mc:AlternateContent>
        <mc:Choice Requires="w14">
          <w:numFmt w:val="custom" w:format="α, β, γ, ..."/>
        </mc:Choice>
        <mc:Fallback>
          <w:numFmt w:val="decimal"/>
        </mc:Fallback>
      </mc:AlternateContent>
      <w:lvlText w:val="%3."/>
      <w:lvlJc w:val="left"/>
      <w:pPr>
        <w:ind w:left="2007"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37BCA846"/>
    <w:lvl w:ilvl="0" w:tplc="C1EC314C">
      <w:start w:val="1"/>
      <w:numFmt w:val="lowerRoman"/>
      <w:lvlText w:val="%1."/>
      <w:lvlJc w:val="right"/>
      <w:pPr>
        <w:ind w:left="1080" w:hanging="360"/>
      </w:pPr>
      <w:rPr>
        <w:rFonts w:ascii="Times New Roman" w:hAnsi="Times New Roman" w:hint="default"/>
        <w:b w:val="0"/>
        <w:i w:val="0"/>
        <w:sz w:val="24"/>
      </w:rPr>
    </w:lvl>
    <w:lvl w:ilvl="1" w:tplc="FC7EF62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DC4507"/>
    <w:multiLevelType w:val="hybridMultilevel"/>
    <w:tmpl w:val="BFC23022"/>
    <w:lvl w:ilvl="0" w:tplc="FC7EF62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598D4807"/>
    <w:multiLevelType w:val="hybridMultilevel"/>
    <w:tmpl w:val="F59E7312"/>
    <w:lvl w:ilvl="0" w:tplc="F48A02B6">
      <w:start w:val="1"/>
      <mc:AlternateContent>
        <mc:Choice Requires="w14">
          <w:numFmt w:val="custom" w:format="α, β, γ, ..."/>
        </mc:Choice>
        <mc:Fallback>
          <w:numFmt w:val="decimal"/>
        </mc:Fallback>
      </mc:AlternateContent>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15:restartNumberingAfterBreak="0">
    <w:nsid w:val="66A63355"/>
    <w:multiLevelType w:val="hybridMultilevel"/>
    <w:tmpl w:val="090C81A0"/>
    <w:lvl w:ilvl="0" w:tplc="82A46EEA">
      <w:start w:val="1"/>
      <w:numFmt w:val="decimal"/>
      <w:lvlText w:val="%1."/>
      <w:lvlJc w:val="left"/>
      <w:pPr>
        <w:ind w:left="720" w:hanging="360"/>
      </w:pPr>
      <w:rPr>
        <w:rFonts w:hint="default"/>
        <w:b/>
        <w:i w:val="0"/>
      </w:rPr>
    </w:lvl>
    <w:lvl w:ilvl="1" w:tplc="F48A02B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5"/>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3"/>
  </w:num>
  <w:num w:numId="11" w16cid:durableId="1358772462">
    <w:abstractNumId w:val="36"/>
  </w:num>
  <w:num w:numId="12" w16cid:durableId="227375807">
    <w:abstractNumId w:val="34"/>
  </w:num>
  <w:num w:numId="13" w16cid:durableId="1866283419">
    <w:abstractNumId w:val="38"/>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2"/>
  </w:num>
  <w:num w:numId="30" w16cid:durableId="1967617921">
    <w:abstractNumId w:val="23"/>
  </w:num>
  <w:num w:numId="31" w16cid:durableId="1678455596">
    <w:abstractNumId w:val="17"/>
  </w:num>
  <w:num w:numId="32" w16cid:durableId="1201631566">
    <w:abstractNumId w:val="15"/>
  </w:num>
  <w:num w:numId="33" w16cid:durableId="828903209">
    <w:abstractNumId w:val="37"/>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 w:numId="39" w16cid:durableId="789468981">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580E"/>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671FC"/>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l-G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2.xml><?xml version="1.0" encoding="utf-8"?>
<ds:datastoreItem xmlns:ds="http://schemas.openxmlformats.org/officeDocument/2006/customXml" ds:itemID="{A1C1DA78-896E-461D-A61E-B93DC91F7A48}">
  <ds:schemaRefs>
    <ds:schemaRef ds:uri="http://www.w3.org/XML/1998/namespace"/>
    <ds:schemaRef ds:uri="http://schemas.microsoft.com/office/infopath/2007/PartnerControls"/>
    <ds:schemaRef ds:uri="http://schemas.microsoft.com/office/2006/documentManagement/types"/>
    <ds:schemaRef ds:uri="aaad0b86-1dbf-48d2-99f8-fcc2ae493cdc"/>
    <ds:schemaRef ds:uri="38080443-59f1-4468-9185-e277ce99790f"/>
    <ds:schemaRef ds:uri="http://schemas.microsoft.com/office/2006/metadata/properties"/>
    <ds:schemaRef ds:uri="http://purl.org/dc/elements/1.1/"/>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4.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3994</Words>
  <Characters>22772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DROSOU Melina (DGT)</cp:lastModifiedBy>
  <cp:revision>4</cp:revision>
  <cp:lastPrinted>2022-04-12T14:59:00Z</cp:lastPrinted>
  <dcterms:created xsi:type="dcterms:W3CDTF">2024-09-16T13:03:00Z</dcterms:created>
  <dcterms:modified xsi:type="dcterms:W3CDTF">2024-10-08T13:14:00Z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