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Del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Posodobljeni* obrazec za dodatne informacije o državni pomoči, dodeljeni na podlagi Smernic o državni pomoči za podnebje, varstvo okolja in energijo iz leta 2022 (CEEAG)</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Poglavje 4.10 – Pomoč za daljinsko ogrevanje in hlajenje</w:t>
            </w:r>
          </w:p>
          <w:p w14:paraId="469DC4EF" w14:textId="2B54A3FD" w:rsidR="00C076F2" w:rsidRPr="00D96C20" w:rsidRDefault="00C076F2" w:rsidP="00C076F2">
            <w:r>
              <w:t>* Še ni uradno sprejeto.</w:t>
            </w:r>
          </w:p>
        </w:tc>
      </w:tr>
    </w:tbl>
    <w:p w14:paraId="35C43324" w14:textId="77777777" w:rsidR="00C076F2" w:rsidRPr="00D96C20" w:rsidRDefault="00C076F2" w:rsidP="00C076F2">
      <w:pPr>
        <w:spacing w:before="120" w:after="120"/>
        <w:ind w:right="-142"/>
        <w:jc w:val="both"/>
        <w:rPr>
          <w:i/>
          <w:iCs/>
        </w:rPr>
      </w:pPr>
      <w:r>
        <w:rPr>
          <w:i/>
        </w:rPr>
        <w:t>Ta obrazec za dodatne informacije je namenjen priglasitvi katere koli pomoči iz Smernic o državni pomoči za podnebje, varstvo okolja in energijo iz leta 2022 (v nadaljnjem besedilu: Smernice).</w:t>
      </w:r>
    </w:p>
    <w:p w14:paraId="5661C6FF" w14:textId="6900E16C" w:rsidR="00C076F2" w:rsidRPr="00D96C20" w:rsidRDefault="00C076F2" w:rsidP="009E2EA1">
      <w:pPr>
        <w:spacing w:before="120" w:after="120"/>
        <w:ind w:right="-142"/>
        <w:jc w:val="both"/>
        <w:rPr>
          <w:i/>
          <w:iCs/>
        </w:rPr>
      </w:pPr>
      <w:r>
        <w:rPr>
          <w:i/>
        </w:rPr>
        <w:t xml:space="preserve">Ta obrazec za dodatne informacije se nanaša na ukrepe iz poglavja 4.10 Smernic. Če so v priglasitev vključeni ukrepi, ki so zajeti v več kot enem poglavju Smernic, izpolnite tudi ustrezni obrazec za dodatne informacije, ki se nanaša na zadevno poglavje Smernic, ko bo na voljo. </w:t>
      </w:r>
    </w:p>
    <w:p w14:paraId="140907B2" w14:textId="712B456C" w:rsidR="00C076F2" w:rsidRPr="00D96C20" w:rsidRDefault="00C076F2" w:rsidP="00C076F2">
      <w:pPr>
        <w:spacing w:before="120" w:after="120"/>
        <w:ind w:right="-142"/>
        <w:jc w:val="both"/>
        <w:rPr>
          <w:i/>
          <w:iCs/>
        </w:rPr>
      </w:pPr>
      <w:r>
        <w:rPr>
          <w:i/>
        </w:rPr>
        <w:t xml:space="preserve">Vse dokumente, ki jih države članice zagotovijo kot priloge k temu obrazcu za dodatne informacije, je treba oštevilčiti in številke dokumentov navesti v ustreznih oddelkih tega obrazca za dodatne informacije.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Oddelek A: Povzetek glavnih značilnosti priglašenega ukrepa</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Ozadje in cilji priglašenega ukrepa.</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Če to še ni bilo obravnavano v oddelku 5.2 obrazca za splošne informacije (del I), navedite ozadje in glavni cilj, vključno z morebitnimi cilji Unije za zmanjšanje in odvzem emisij toplogrednih plinov, ki naj bi jih ukrep podprl.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141E8D17" w:rsidR="00C076F2" w:rsidRPr="00D96C20" w:rsidRDefault="008F6F27" w:rsidP="000B3E97">
      <w:pPr>
        <w:pStyle w:val="ListParagraph"/>
        <w:spacing w:before="120" w:after="120"/>
        <w:ind w:left="993" w:hanging="284"/>
        <w:contextualSpacing w:val="0"/>
        <w:jc w:val="both"/>
      </w:pPr>
      <w:r>
        <w:t>(</w:t>
      </w:r>
      <w:r w:rsidR="00C076F2">
        <w:t>ii</w:t>
      </w:r>
      <w:r>
        <w:t>.)</w:t>
      </w:r>
      <w:r w:rsidR="00C076F2">
        <w:t xml:space="preserve">Navedite vse druge cilje ukrepa. Za vse cilje, ki niso izključno </w:t>
      </w:r>
      <w:proofErr w:type="spellStart"/>
      <w:r w:rsidR="00C076F2">
        <w:t>okoljski</w:t>
      </w:r>
      <w:proofErr w:type="spellEnd"/>
      <w:r w:rsidR="00C076F2">
        <w:t xml:space="preserve">, pojasnite, ali bi lahko povzročili kakršno koli izkrivljanje notranjega trga.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Začetek veljavnosti in trajanje:</w:t>
      </w:r>
    </w:p>
    <w:p w14:paraId="3C55498B" w14:textId="77777777" w:rsidR="005937D4" w:rsidRPr="00D96C20" w:rsidRDefault="005937D4" w:rsidP="00F10E39">
      <w:pPr>
        <w:pStyle w:val="ListParagraph"/>
        <w:numPr>
          <w:ilvl w:val="0"/>
          <w:numId w:val="31"/>
        </w:numPr>
        <w:ind w:left="993" w:hanging="142"/>
        <w:jc w:val="both"/>
        <w:rPr>
          <w:szCs w:val="24"/>
        </w:rPr>
      </w:pPr>
      <w:r>
        <w:t>Če to še ni bilo navedeno v oddelku 5.5 obrazca za splošne informacije (del I), navedite datum, na katerega naj bi shema pomoči začela veljati.</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Navedite trajanje sheme.</w:t>
      </w:r>
      <w:r>
        <w:rPr>
          <w:szCs w:val="24"/>
          <w:vertAlign w:val="superscript"/>
        </w:rPr>
        <w:footnoteReference w:id="3"/>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Upravičenci</w:t>
      </w:r>
      <w:r>
        <w:tab/>
      </w:r>
    </w:p>
    <w:p w14:paraId="222C106D" w14:textId="77777777" w:rsidR="007444CC" w:rsidRPr="00D96C20" w:rsidRDefault="007444CC" w:rsidP="00F10E39">
      <w:pPr>
        <w:pStyle w:val="ListParagraph"/>
        <w:numPr>
          <w:ilvl w:val="0"/>
          <w:numId w:val="20"/>
        </w:numPr>
        <w:ind w:left="1078" w:hanging="227"/>
        <w:jc w:val="both"/>
        <w:rPr>
          <w:szCs w:val="24"/>
        </w:rPr>
      </w:pPr>
      <w:r>
        <w:t>Če to še ni bilo navedeno v oddelku 3 obrazca za splošne informacije (del I), opišite (potencialne) upravičence ukrepa.</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Navedite lokacijo (potencialnih) upravičencev (tj. če so do sodelovanja v ukrepu upravičeni le gospodarski subjekti s sedežem v zadevni državi članici ali tudi tisti, ki imajo sedež v drugih državah članicah).</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Za presojo skladnosti s točko 15 Smernic navedite, ali se pomoč v okviru ukrepa dodeljuje podjetju (individualno ali v okviru sheme), ki je naslovnik neporavnanega naloga za vračilo na podlagi predhodnega sklepa Komisije, s katerim je bila pomoč razglašena za nezakonito in nezdružljivo z notranjim trgom.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Če je odgovor pritrdilen, zagotovite informacije o znesku pomoči, ki ga je še treba vrniti, da ga Komisija upošteva pri presoji ukrepa pomoči.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lastRenderedPageBreak/>
        <w:t>Potrdite, da ukrep ne vključuje pomoči za dejavnosti, ki ne spadajo na področje uporabe Smernic (glej točko 13 Smernic). Sicer navedite podrobnosti.</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Proračun in financiranje ukrepa</w:t>
      </w:r>
      <w:r>
        <w:t>.</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Pr>
          <w:szCs w:val="24"/>
          <w:vertAlign w:val="superscript"/>
        </w:rPr>
        <w:footnoteReference w:id="4"/>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Če se ukrep financira z dajatvijo, pojasnite, ali:</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je dajatev določena z zakonom ali drugim zakonodajnim aktom; če je odgovor pritrdilen, navedite pravni akt, njegovo številko ter datuma sprejetja in začetka veljavnosti akta ter spletno povezavo do pravnega akta;</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se dajatev v enaki meri naloži na domače in uvožene proizvode;</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bo priglašeni ukrep enako koristil domačim in uvoženim proizvodom;</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se ukrep z dajatvijo financira v celoti ali le delno. Če se ukrep z dajatvijo financira le delno, navedite druge vire financiranja ukrepa in njihov ustrezni delež;</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se z dajatvijo, s katero se financira priglašeni ukrep, financirajo tudi drugi ukrepi pomoči. Če je odgovor pritrdilen, navedite druge ukrepe pomoči, ki se financirajo z zadevno dajatvijo.</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Oddelek B: Ocena združljivosti pomoči</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Pozitivni pogoj: pomoč mora pospeševati razvoj gospodarske dejavnosti</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Prispevek k razvoju gospodarske dejavnosti</w:t>
            </w:r>
          </w:p>
        </w:tc>
      </w:tr>
    </w:tbl>
    <w:p w14:paraId="1E2599D2" w14:textId="6708984F" w:rsidR="000442F5" w:rsidRPr="00D96C20" w:rsidRDefault="000442F5" w:rsidP="000442F5">
      <w:pPr>
        <w:spacing w:before="360" w:after="120"/>
        <w:jc w:val="both"/>
        <w:rPr>
          <w:i/>
        </w:rPr>
      </w:pPr>
      <w:r>
        <w:rPr>
          <w:i/>
        </w:rPr>
        <w:t xml:space="preserve">Za zagotovitev informacij v tem oddelku glej oddelek 3.1.1 (točke 23–25) ter oddelka 4.10.1 in 4.10.2 (točke 383–390) Smernic.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Člen 107(3), točka (c), </w:t>
      </w:r>
      <w:bookmarkStart w:id="5" w:name="_Hlk170735690"/>
      <w:r>
        <w:t>Pogodbe o delovanju Evropske unije (PDEU)</w:t>
      </w:r>
      <w:bookmarkEnd w:id="5"/>
      <w:r>
        <w:t xml:space="preserve">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PDEU prispevati k razvoju določenih gospodarskih dejavnosti. </w:t>
      </w:r>
    </w:p>
    <w:p w14:paraId="32559872" w14:textId="77777777" w:rsidR="007444CC" w:rsidRPr="00D96C20" w:rsidRDefault="007444CC" w:rsidP="000442F5">
      <w:pPr>
        <w:tabs>
          <w:tab w:val="left" w:leader="dot" w:pos="9072"/>
        </w:tabs>
        <w:spacing w:before="120" w:after="120"/>
        <w:ind w:left="567"/>
        <w:jc w:val="both"/>
      </w:pPr>
      <w:r>
        <w:t>Za presojo skladnosti s točko 23 Smernic opredelite gospodarske dejavnosti, ki se bodo pospeševale s pomočjo, in navedite, kako se bo podpiral razvoj navedenih dejavnosti.</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 xml:space="preserve">Za presojo skladnosti s točko 25 Smernic, navedite tudi, „ali bo pomoč prispevala k doseganju ciljev podnebne, </w:t>
      </w:r>
      <w:proofErr w:type="spellStart"/>
      <w:r>
        <w:t>okoljske</w:t>
      </w:r>
      <w:proofErr w:type="spellEnd"/>
      <w:r>
        <w:t xml:space="preserve"> in energetske politike Unije, ter [opišite], kako, ter, natančneje, pričakovane koristi pomoči v smislu njenega konkretnega prispevka k varstvu okolja, vključno z blažitvijo podnebnih sprememb, ali učinkovitemu delovanju notranjega trga z energijo“.</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Poleg tega navedite, v kolikšni meri je pomoč povezana s politikami, opisanimi v točkah 383 in 384 Smernic. Ob tem pojasnite tudi, ali projekt spodbuja energijo iz obnovljivih virov v skladu s členom 2(1) Direktive (EU) 2018/2001. Natančneje, potrdite, ali ukrep razvija učinkovite sisteme daljinskega ogrevanja in hlajenja v smislu člena 26 Direktive (EU) 2023/1791 za spodbujanje ogrevanja in hlajenja na osnovi obnovljivih virov energije.</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Točki 385 in 386 Smernic določata, da se lahko za podporo, omejeno na distribucijska omrežja za daljinsko ogrevanje, v nekaterih primerih šteje, da ne spada na področje nadzora državnih pomoči. </w:t>
      </w:r>
    </w:p>
    <w:p w14:paraId="4F669D19" w14:textId="14DDB074" w:rsidR="008D2777" w:rsidRPr="00D96C20" w:rsidRDefault="00E9552A" w:rsidP="00A2265A">
      <w:pPr>
        <w:pStyle w:val="ListParagraph"/>
        <w:numPr>
          <w:ilvl w:val="1"/>
          <w:numId w:val="4"/>
        </w:numPr>
        <w:spacing w:before="120" w:after="120"/>
        <w:contextualSpacing w:val="0"/>
        <w:jc w:val="both"/>
      </w:pPr>
      <w:r>
        <w:t>Ali ukrep podpira distribucijska omrežja za daljinsko ogrevanje, do katerih bodo imele dostop tretje osebe, poleg tega pa se bodo zanje uporabljali ločevanje (tj. ločevanje med proizvodnjo in distribucijo energije za hlajenje/ogrevanje) in regulirane tarife?</w:t>
      </w:r>
    </w:p>
    <w:p w14:paraId="79238E1B" w14:textId="51B3C821" w:rsidR="00E9552A" w:rsidRPr="00D96C20" w:rsidRDefault="00E9552A" w:rsidP="00A2265A">
      <w:pPr>
        <w:pStyle w:val="ListParagraph"/>
        <w:numPr>
          <w:ilvl w:val="1"/>
          <w:numId w:val="4"/>
        </w:numPr>
        <w:spacing w:before="120" w:after="120"/>
        <w:contextualSpacing w:val="0"/>
        <w:jc w:val="both"/>
      </w:pPr>
      <w:r>
        <w:t>Če ste na vprašanje iz točke (a) odgovorili pritrdilno, pojasnite, ali se bo distribucijsko omrežje upravljalo v okviru pravnega in/ali naravnega monopola, ob upoštevanju meril iz točk 374 in 375 Smernic.</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lastRenderedPageBreak/>
        <w:t xml:space="preserve">Zagotovite informacije o obsegu in podprtih dejavnostih ukrepa pomoči, kot je določeno v oddelku 4.10.2 (točki 388 in 389) Smernic. Pri tem tudi: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Pojasnite, zakaj projekt spada v okvir opredelitve daljinskega ogrevanja/hlajenja iz točke 19(27) Smernic ter opredelitve sistema daljinskega ogrevanja in/ali sistema daljinskega hlajenja iz točke 19(28) Smernic.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Pojasnite, ali projekt podpira izgradnjo, nadgradnjo ali upravljanje: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proizvodne enote in/ali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obrata za shranjevanje in/ali </w:t>
      </w:r>
    </w:p>
    <w:p w14:paraId="7F9E3ACD" w14:textId="32BF6B8C" w:rsidR="009C1CC6" w:rsidRPr="00D96C20" w:rsidRDefault="009C1CC6" w:rsidP="00F10E39">
      <w:pPr>
        <w:pStyle w:val="ListParagraph"/>
        <w:numPr>
          <w:ilvl w:val="0"/>
          <w:numId w:val="30"/>
        </w:numPr>
        <w:spacing w:before="120" w:after="120"/>
        <w:contextualSpacing w:val="0"/>
        <w:jc w:val="both"/>
      </w:pPr>
      <w:r>
        <w:t>distribucijskega omrežja.</w:t>
      </w:r>
    </w:p>
    <w:p w14:paraId="16B1DB2A" w14:textId="7E0B0C78" w:rsidR="009C1CC6" w:rsidRPr="00D96C20" w:rsidRDefault="009C1CC6" w:rsidP="00F10E39">
      <w:pPr>
        <w:pStyle w:val="ListParagraph"/>
        <w:numPr>
          <w:ilvl w:val="0"/>
          <w:numId w:val="29"/>
        </w:numPr>
        <w:spacing w:before="120" w:after="120"/>
        <w:contextualSpacing w:val="0"/>
        <w:jc w:val="both"/>
      </w:pPr>
      <w:r>
        <w:t>Če je podpora namenjena proizvodni enoti, pojasnite, katere vire uporablja ta proizvodna enota za proizvodnjo električne energije ter energije za daljinsko ogrevanje ali hlajenje: energijo iz obnovljivih virov, odvečno toploto ali soproizvodnjo z visokim izkoristkom, vključno z rešitvami za shranjevanje toplote.</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Če je podpora namenjena proizvodni enoti, ki izkorišča odpadke, potrdite, da je podpora omejena bodisi na odpadke, ki ustrezajo opredelitvi obnovljivih virov energije, bodisi na odpadke za obratovanje naprav, ki ustrezajo opredelitvi soproizvodnje z visokim izkoristkom.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Kadar se pomoč dodeli za nadgradnjo sistema daljinskega ogrevanja in hlajenja, pojasnite, ali sistem daljinskega ogrevanja in hlajenja dosega standard za učinkovito daljinsko ogrevanje in hlajenje v skladu s členom 2(46) in členom 26 Direktive (EU) 2023/1791.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Navedite, katere vrste stroškov bo podpiral ukrep: stroške naložb in/ali poslovanja.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Če je pomoč namenjena podpori nadgradnje sistema daljinskega ogrevanja in hlajenja, ki pa ne privede do doseganja standarda za učinkovito daljinsko ogrevanje in hlajenje v smislu člena 26 Direktive (EU) 2023/1791 na podlagi podprte nadgradnje, se zavežite, da bo upravičenec začel dela za doseganje tega standarda učinkovitosti v treh letih po nadgradnji v skladu s točko 390 Smernic.</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Spodbujevalni učinek</w:t>
            </w:r>
          </w:p>
        </w:tc>
      </w:tr>
    </w:tbl>
    <w:p w14:paraId="20915284" w14:textId="430337A5" w:rsidR="00015E2B" w:rsidRPr="00D96C20" w:rsidRDefault="00B15313" w:rsidP="000B3E97">
      <w:pPr>
        <w:spacing w:before="120" w:after="120"/>
        <w:jc w:val="both"/>
        <w:rPr>
          <w:i/>
        </w:rPr>
      </w:pPr>
      <w:r>
        <w:rPr>
          <w:i/>
        </w:rPr>
        <w:t xml:space="preserve">Za zagotovitev informacij v tem oddelku glej oddelek 3.1.2 (točke 26–32) Smernic.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Za pomoč se lahko šteje, da pospešuje gospodarsko dejavnost, samo, če ima spodbujevalni učinek. Za presojo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lastRenderedPageBreak/>
        <w:t xml:space="preserve">Za presojo skladnosti s točko 27 Smernic navedite informacije, ki potrjujejo, </w:t>
      </w:r>
      <w:r>
        <w:rPr>
          <w:color w:val="000000"/>
          <w:shd w:val="clear" w:color="auto" w:fill="FFFFFF"/>
        </w:rPr>
        <w:t>da pomoč ne podpira stroškov dejavnosti, ki bi jo upravičenec do pomoči v vsakem primeru opravljal, in ne nadomešča običajnega poslovnega tveganja gospodarske dejavnosti</w:t>
      </w:r>
      <w:r>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Izčrpno opišite dejanski scenarij in verjetne hipotetične scenarije. Če sheme vključujejo različne referenčne projekte</w:t>
      </w:r>
      <w:r>
        <w:rPr>
          <w:rStyle w:val="FootnoteReference"/>
          <w:lang w:val="en-IE" w:eastAsia="en-GB"/>
        </w:rPr>
        <w:footnoteReference w:id="6"/>
      </w:r>
      <w:r>
        <w:t xml:space="preserve">, predložite takšen opis za vsakega od njih. Za izgradnjo, nadgradnjo in upravljanje distribucijskih omrežij se predpostavlja, da je hipotetični scenarij stanje, v katerem se projekt ne bi izvedel (točka 395 Smernic).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Kot je določeno v točki 28, opomba 39, Smernic, temu obrazcu za dodatne informacije priložite vse uradne dokumente uprav, ocene tveganja, finančna poročila, notranje poslovne načrte, mnenja strokovnjakov in druge študije, povezane s projektom, ki se ocenjuje, dokumente, ki vsebujejo informacije o napovedih glede odjema in stroškov ter finančnih napovedih, dokumente, ki so predloženi odboru za naložbe in ki podrobno opisujejo naložbene/operativne scenarije, ali dokumente, ki so predloženi finančnim institucijam.</w:t>
      </w:r>
    </w:p>
    <w:p w14:paraId="489E64F5" w14:textId="080206B8" w:rsidR="00C713DD" w:rsidRPr="00D96C20" w:rsidRDefault="005F6E6B" w:rsidP="005F6E6B">
      <w:pPr>
        <w:pStyle w:val="ListParagraph"/>
        <w:spacing w:before="120" w:after="120"/>
        <w:ind w:left="1287"/>
        <w:contextualSpacing w:val="0"/>
        <w:jc w:val="both"/>
      </w:pPr>
      <w:r>
        <w:t>Ti dokumenti morajo biti posodobljeni glede na potek postopka odločanja o naložbi/operaciji.</w:t>
      </w:r>
    </w:p>
    <w:p w14:paraId="0F3CF49B" w14:textId="7575EEBA" w:rsidR="00DE063E" w:rsidRPr="00D96C20" w:rsidRDefault="00E32AD5" w:rsidP="005F6E6B">
      <w:pPr>
        <w:pStyle w:val="ListParagraph"/>
        <w:spacing w:before="120" w:after="120"/>
        <w:ind w:left="1287"/>
        <w:contextualSpacing w:val="0"/>
        <w:jc w:val="both"/>
      </w:pPr>
      <w:r>
        <w:t xml:space="preserve">Če so takšni dokumenti priloženi </w:t>
      </w:r>
      <w:bookmarkStart w:id="6" w:name="_Hlk177381900"/>
      <w:r>
        <w:t>obrazcu za dodatne informacije</w:t>
      </w:r>
      <w:bookmarkEnd w:id="6"/>
      <w:r>
        <w:t>, v nadaljevanju navedite seznam teh dokumentov, pri čemer navedite avtorja, datum njihove priprave in kontekst, v katerem so bili uporabljeni.</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V prilogo k temu obrazcu za dodatne informacije predložite (z uporabo Excelove datoteke, </w:t>
      </w:r>
      <w:r>
        <w:rPr>
          <w:shd w:val="clear" w:color="auto" w:fill="FFFFFF"/>
        </w:rPr>
        <w:t>v kateri so vidne vse formule</w:t>
      </w:r>
      <w:r>
        <w:t xml:space="preserve">) za dejanski in verodostojen hipotetični scenarij, kot je opisan v točki (i), količinsko opredelitev vseh glavnih stroškov in prihodkov, oceno tehtanega povprečja stroškov kapitala (WACC) upravičencev za diskontiranje prihodnjih denarnih tokov ter neto sedanjo vrednost v življenjski dobi projekta za dejanski in hipotetični scenarij. V primeru individualne pomoči in shem, ki koristijo precej omejenemu številu upravičencev, je treba izračune in napovedi predstaviti na ravni podrobnega poslovnega načrta projekta, v primeru shem pomoči pa na podlagi enega ali več referenčnih projektov.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V prilogo k temu obrazcu za dodatne informacije vključite podrobne informacije o predpostavkah, metodologijah, utemeljitvah in virih, na katerih temeljijo, ki se uporabljajo za vsak vidik količinske opredelitve stroškov in prihodkov po dejanskem scenariju in verjetnih hipotetičnih scenarijih (vključite na primer predpostavke, uporabljene za razvoj dejanskega scenarija).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Za dokazovanje skladnosti s točkama 29 in 31 Smernic:</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potrdite, da se dela na projektu ali dejavnosti niso začela, preden je upravičenec nacionalnim organom predložil pisno vlogo za pomoč;</w:t>
      </w:r>
    </w:p>
    <w:p w14:paraId="72FB2087" w14:textId="77777777" w:rsidR="006445C3" w:rsidRPr="00D96C20" w:rsidRDefault="006445C3" w:rsidP="006445C3">
      <w:pPr>
        <w:tabs>
          <w:tab w:val="left" w:leader="dot" w:pos="9072"/>
        </w:tabs>
        <w:spacing w:before="120" w:after="120"/>
        <w:ind w:left="567"/>
        <w:jc w:val="both"/>
      </w:pPr>
      <w:r>
        <w:lastRenderedPageBreak/>
        <w:tab/>
      </w:r>
    </w:p>
    <w:p w14:paraId="74427F37" w14:textId="1D135D62" w:rsidR="006445C3" w:rsidRPr="00D96C20" w:rsidRDefault="006445C3" w:rsidP="006445C3">
      <w:pPr>
        <w:pStyle w:val="ListParagraph"/>
        <w:spacing w:before="120" w:after="120"/>
        <w:ind w:left="993"/>
        <w:contextualSpacing w:val="0"/>
        <w:jc w:val="both"/>
      </w:pPr>
      <w:r>
        <w:t>ALI</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za projekte, ki so se začeli pred vložitvijo vloge za pomoč, dokažite, da projekt spada v enega od izjemnih primerov iz točke 31 Smernic ((a), (b) ali (c))</w:t>
      </w:r>
      <w:r>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tab/>
      </w:r>
    </w:p>
    <w:p w14:paraId="0A578E5C" w14:textId="77777777" w:rsidR="00D96C20" w:rsidRPr="00D37B1D" w:rsidRDefault="00D96C20" w:rsidP="00D96C20">
      <w:pPr>
        <w:numPr>
          <w:ilvl w:val="0"/>
          <w:numId w:val="4"/>
        </w:numPr>
        <w:spacing w:before="120" w:after="120"/>
        <w:ind w:left="567" w:hanging="567"/>
        <w:jc w:val="both"/>
      </w:pPr>
      <w:r>
        <w:t>Za dokazovanje skladnosti s točko 30 Smernic potrdite, da vloga za pomoč vsebuje vsaj ime prosilca, opis projekta ali dejavnosti, vključno z lokacijo projekta ali dejavnosti, in znesek pomoči, potreben za izvedbo.</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Za dokazovanje skladnosti s točko 32 Smernic navedite, ali se za priglašeni ukrep uporabljajo standardi Unije</w:t>
      </w:r>
      <w:r>
        <w:rPr>
          <w:rStyle w:val="FootnoteReference"/>
          <w:lang w:val="en-IE" w:eastAsia="en-GB"/>
        </w:rPr>
        <w:footnoteReference w:id="8"/>
      </w:r>
      <w:r>
        <w:t>, obvezni nacionalni standardi, ki so strožji ali ambicioznejši od ustreznih standardov Unije, ali obvezni nacionalni standardi, sprejeti v primeru neobstoja standardov Unije. V zvezi s tem zagotovite informacije za dokaz spodbujevalnega učinka.</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lastRenderedPageBreak/>
        <w:t xml:space="preserve">Če je bil ustrezni standard Unije že sprejet, vendar še ni začel veljati, dokažite, da ima pomoč spodbujevalni učinek, ker spodbuja naložbo, ki jo je treba izvesti in dokončati vsaj 18 mesecev pred začetkom veljavnosti standarda.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Neobstoj kršitve ustreznih določb prava Unije</w:t>
            </w:r>
          </w:p>
        </w:tc>
      </w:tr>
    </w:tbl>
    <w:p w14:paraId="665FE026" w14:textId="5CEA7791" w:rsidR="00DE1D68" w:rsidRPr="00D96C20" w:rsidRDefault="00DE1D68" w:rsidP="00DE1D68">
      <w:pPr>
        <w:spacing w:before="360" w:after="120"/>
        <w:jc w:val="both"/>
        <w:rPr>
          <w:i/>
        </w:rPr>
      </w:pPr>
      <w:r>
        <w:rPr>
          <w:i/>
        </w:rPr>
        <w:t xml:space="preserve">Za zagotovitev informacij v tem oddelku glej oddelek 3.1.3 (točka 33) Smernic.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Zagotovite informacije za potrditev skladnosti z ustreznimi določbami prava EU v skladu s točko 33 Smernic.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Če se za financiranje ukrepa uporablja dajatev, pojasnite, ali je potrebna presoja skladnosti s členoma 30 in 110 PDEU. Če je odgovor pritrdilen, dokažite, kako ukrep izpolnjuje določbe členov 30 in 110 PDEU.</w:t>
      </w:r>
      <w:r>
        <w:rPr>
          <w:i/>
        </w:rPr>
        <w:t xml:space="preserve"> </w:t>
      </w:r>
      <w:r>
        <w:t>V zvezi s tem se je mogoče sklicevati na informacije, predložene v okviru vprašanja </w:t>
      </w:r>
      <w:r>
        <w:fldChar w:fldCharType="begin"/>
      </w:r>
      <w:r>
        <w:instrText xml:space="preserve"> REF _Ref116914408 \r \h  \* MERGEFORMAT </w:instrText>
      </w:r>
      <w:r>
        <w:fldChar w:fldCharType="separate"/>
      </w:r>
      <w:r>
        <w:t>5</w:t>
      </w:r>
      <w:r>
        <w:fldChar w:fldCharType="end"/>
      </w:r>
      <w:r>
        <w:t>(</w:t>
      </w:r>
      <w:r>
        <w:fldChar w:fldCharType="begin"/>
      </w:r>
      <w:r>
        <w:instrText xml:space="preserve"> REF _Ref116914400 \r \h  \* MERGEFORMAT </w:instrText>
      </w:r>
      <w:r>
        <w:fldChar w:fldCharType="separate"/>
      </w:r>
      <w:r>
        <w:t>ii</w:t>
      </w:r>
      <w:r>
        <w:fldChar w:fldCharType="end"/>
      </w:r>
      <w:r>
        <w:t>) zgoraj, če se priglašeni ukrep financira z dajatvijo.</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Negativni pogoj: pomoč ne sme neupravičeno spreminjati trgovinskih pogojev v obsegu, ki bi bil v nasprotju s skupnimi interesi</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Čim večje zmanjšanje izkrivljanja konkurence in trgovine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Nujnost in ustreznost ukrepa državne pomoči</w:t>
            </w:r>
          </w:p>
        </w:tc>
      </w:tr>
    </w:tbl>
    <w:p w14:paraId="3C23674F" w14:textId="4023898F" w:rsidR="00663008" w:rsidRPr="00D96C20" w:rsidRDefault="00663008" w:rsidP="000B3E97">
      <w:pPr>
        <w:spacing w:before="120" w:after="120"/>
        <w:jc w:val="both"/>
        <w:rPr>
          <w:i/>
          <w:color w:val="000000"/>
        </w:rPr>
      </w:pPr>
      <w:r>
        <w:rPr>
          <w:i/>
          <w:color w:val="000000"/>
        </w:rPr>
        <w:t>Za</w:t>
      </w:r>
      <w:r>
        <w:rPr>
          <w:i/>
        </w:rPr>
        <w:t xml:space="preserve"> zagotovitev informacij </w:t>
      </w:r>
      <w:r>
        <w:rPr>
          <w:i/>
          <w:color w:val="000000"/>
        </w:rPr>
        <w:t xml:space="preserve">v tem oddelku glej oddelek 4.10.3 (točke 391–393) Smernic. </w:t>
      </w:r>
    </w:p>
    <w:p w14:paraId="6668EB5F" w14:textId="280A7D98" w:rsidR="00663008" w:rsidRPr="00D96C20" w:rsidRDefault="00BC04CA" w:rsidP="00A2265A">
      <w:pPr>
        <w:pStyle w:val="ListParagraph"/>
        <w:numPr>
          <w:ilvl w:val="0"/>
          <w:numId w:val="4"/>
        </w:numPr>
        <w:spacing w:before="120" w:after="120"/>
        <w:contextualSpacing w:val="0"/>
        <w:jc w:val="both"/>
      </w:pPr>
      <w:r>
        <w:t>Podrobno pojasnite, kako bo projekt prispeval k izdelavi, razširitvi ali nadgradnji učinkovitih sistemov daljinskega ogrevanja in hlajenja.</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Če ukrep izjemoma krije stroške poslovanja, dokažite, da teh stroškov ni mogoče prenesti na potrošnike daljinskega ogrevanja/hlajenja brez ogrožanja varstva okolja v skladu s točko 392 Smernic. Dokažite, da podprti sistemi daljinskega ogrevanja/hlajenja povečajo energijsko učinkovitost ter zmanjšajo emisije CO</w:t>
      </w:r>
      <w:r>
        <w:rPr>
          <w:vertAlign w:val="subscript"/>
        </w:rPr>
        <w:t>2</w:t>
      </w:r>
      <w:r>
        <w:t xml:space="preserve">, druge vire onesnaževanja in izgube v omrežju v primerjavi z alternativnimi rešitvami daljinskega ogrevanja/hlajenja.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Če projekt v skladu s točko 393 Smernic temelji na odpadkih, ki jih uporablja kot gorivo, pojasnite, kako spoštuje načelo hierarhije ravnanja z odpadki (člen 4, točka 1, Direktive (EU) 2008/98).</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Sorazmernost pomoči </w:t>
            </w:r>
          </w:p>
        </w:tc>
      </w:tr>
    </w:tbl>
    <w:p w14:paraId="7AFDF26D" w14:textId="0DF381F0" w:rsidR="00A431BD" w:rsidRPr="00D96C20" w:rsidRDefault="00863406" w:rsidP="000B3E97">
      <w:pPr>
        <w:spacing w:before="120" w:after="120"/>
        <w:jc w:val="both"/>
        <w:rPr>
          <w:i/>
        </w:rPr>
      </w:pPr>
      <w:r>
        <w:rPr>
          <w:i/>
        </w:rPr>
        <w:t xml:space="preserve">Za zagotovitev informacij v tem oddelku glej oddelka 3.2.1.3 in 4.10.4 (točki 394 in 395) Smernic.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Za preverjanje skladnosti s točko 51 Smernic zagotovite naslednje:</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za določitev vrzeli v financiranju</w:t>
      </w:r>
      <w:r>
        <w:rPr>
          <w:rStyle w:val="FootnoteReference"/>
          <w:shd w:val="clear" w:color="auto" w:fill="FFFFFF"/>
        </w:rPr>
        <w:footnoteReference w:id="9"/>
      </w:r>
      <w:r>
        <w:rPr>
          <w:shd w:val="clear" w:color="auto" w:fill="FFFFFF"/>
        </w:rPr>
        <w:t xml:space="preserve"> predložite za dejanski scenarij in verodostojen hipotetični scenarij</w:t>
      </w:r>
      <w:r>
        <w:rPr>
          <w:rStyle w:val="FootnoteReference"/>
          <w:shd w:val="clear" w:color="auto" w:fill="FFFFFF"/>
        </w:rPr>
        <w:footnoteReference w:id="10"/>
      </w:r>
      <w:r>
        <w:rPr>
          <w:shd w:val="clear" w:color="auto" w:fill="FFFFFF"/>
        </w:rPr>
        <w:t xml:space="preserve"> količinsko opredelitev:</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vseh glavnih stroškov in prihodkov projekta;</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ocene tehtanega povprečja stroškov kapitala (WACC) upravičencev za diskontiranje prihodnjih denarnih tokov;</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neto sedanje vrednosti v življenjski dobi projekta za dejanski in hipotetični scenarij;</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lastRenderedPageBreak/>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razloge za predpostavke, uporabljene za vsak vidik količinske opredelitve, ter pojasnite in utemeljite vse uporabljene metodologije.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Za primere individualne pomoči in shem, ki koristijo precej omejenemu številu upravičencev, mora država članica predložiti ustrezna dokazila na ravni podrobnega poslovnega načrta projekta.</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Za primere shem pomoči mora država članica predložiti ustrezna dokazila na podlagi enega ali več referenčnih projektov.</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Če ni alternativnega projekta, da bi Komisija lahko preverila, ali znesek pomoči presega najnižji potrebni znesek, da bi bil projekt, ki prejema pomoč, dovolj donosen</w:t>
      </w:r>
      <w:r>
        <w:rPr>
          <w:rStyle w:val="FootnoteReference"/>
          <w:lang w:eastAsia="en-GB"/>
        </w:rPr>
        <w:footnoteReference w:id="11"/>
      </w:r>
      <w:r>
        <w:t>, navedite naslednje informacije:</w:t>
      </w:r>
    </w:p>
    <w:p w14:paraId="020A0406" w14:textId="40D27EEF" w:rsidR="00EC2A7D" w:rsidRPr="00D96C20" w:rsidRDefault="00EC2A7D" w:rsidP="004776A4">
      <w:pPr>
        <w:pStyle w:val="ListParagraph"/>
        <w:numPr>
          <w:ilvl w:val="1"/>
          <w:numId w:val="4"/>
        </w:numPr>
        <w:spacing w:before="120" w:after="120"/>
        <w:contextualSpacing w:val="0"/>
        <w:jc w:val="both"/>
      </w:pPr>
      <w:r>
        <w:t>notranjo stopnjo donosa, ki ustreza merilu uspešnosti ali minimalni stopnji donosa v specifičnem sektorju ali podjetju; ali</w:t>
      </w:r>
    </w:p>
    <w:p w14:paraId="056D5BF9" w14:textId="64F3B5CD" w:rsidR="00AB47A1" w:rsidRPr="00D96C20" w:rsidRDefault="007315B8" w:rsidP="004776A4">
      <w:pPr>
        <w:pStyle w:val="ListParagraph"/>
        <w:numPr>
          <w:ilvl w:val="1"/>
          <w:numId w:val="4"/>
        </w:numPr>
        <w:spacing w:before="120" w:after="120"/>
        <w:contextualSpacing w:val="0"/>
        <w:jc w:val="both"/>
      </w:pPr>
      <w:r>
        <w:t>običajne stopnje donosa, ki jih zahteva upravičenec v drugih podobnih naložbenih projektih in njegove stroške kapitala kot celote; ali</w:t>
      </w:r>
    </w:p>
    <w:p w14:paraId="13B46137" w14:textId="062C7DC0" w:rsidR="0029714D" w:rsidRPr="00D96C20" w:rsidRDefault="007315B8" w:rsidP="004776A4">
      <w:pPr>
        <w:pStyle w:val="ListParagraph"/>
        <w:numPr>
          <w:ilvl w:val="1"/>
          <w:numId w:val="4"/>
        </w:numPr>
        <w:spacing w:before="120" w:after="120"/>
        <w:contextualSpacing w:val="0"/>
        <w:jc w:val="both"/>
      </w:pPr>
      <w:r>
        <w:t>donose, ki so običajni za zadevni gospodarski sektor; ali</w:t>
      </w:r>
    </w:p>
    <w:p w14:paraId="0691A0E0" w14:textId="27443E78" w:rsidR="00445F48" w:rsidRPr="00D96C20" w:rsidRDefault="001622D8" w:rsidP="004776A4">
      <w:pPr>
        <w:pStyle w:val="ListParagraph"/>
        <w:numPr>
          <w:ilvl w:val="1"/>
          <w:numId w:val="4"/>
        </w:numPr>
        <w:spacing w:before="120" w:after="120"/>
        <w:contextualSpacing w:val="0"/>
        <w:jc w:val="both"/>
      </w:pPr>
      <w:r>
        <w:t>vse druge informacije, ki utemeljujejo, da znesek pomoči ne presega najnižjega potrebnega zneska, da bi bil projekt, ki prejema pomoč, dovolj donosen.</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Kumulacija</w:t>
            </w:r>
          </w:p>
        </w:tc>
      </w:tr>
    </w:tbl>
    <w:p w14:paraId="2346A85D" w14:textId="09594631" w:rsidR="00B21377" w:rsidRPr="00D96C20" w:rsidRDefault="00B21377" w:rsidP="00B21377">
      <w:pPr>
        <w:pStyle w:val="ListParagraph"/>
        <w:spacing w:before="120" w:after="120"/>
        <w:ind w:left="567"/>
        <w:contextualSpacing w:val="0"/>
        <w:jc w:val="both"/>
      </w:pPr>
      <w:r>
        <w:rPr>
          <w:i/>
        </w:rPr>
        <w:t>Za zagotovitev informacij v tem oddelku glej točki 56 in 57 Smernic</w:t>
      </w:r>
      <w:r>
        <w:t>.</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Za preverjanje skladnosti s točko 56 Smernic pojasnite, ali se lahko pomoč v okviru priglašenega ukrepa dodeli sočasno na podlagi več shem pomoči ali skupaj z </w:t>
      </w:r>
      <w:r>
        <w:rPr>
          <w:i/>
          <w:iCs/>
        </w:rPr>
        <w:t>ad hoc</w:t>
      </w:r>
      <w:r>
        <w:t xml:space="preserve"> pomočjo ali pomočjo </w:t>
      </w:r>
      <w:r>
        <w:rPr>
          <w:i/>
        </w:rPr>
        <w:t xml:space="preserve">de </w:t>
      </w:r>
      <w:proofErr w:type="spellStart"/>
      <w:r>
        <w:rPr>
          <w:i/>
        </w:rPr>
        <w:t>minimis</w:t>
      </w:r>
      <w:proofErr w:type="spellEnd"/>
      <w:r>
        <w:t xml:space="preserve"> v zvezi z istimi upravičenimi stroški. Če je tako, navedite podrobnosti o navedenih shemah pomoči, </w:t>
      </w:r>
      <w:r>
        <w:rPr>
          <w:i/>
          <w:iCs/>
        </w:rPr>
        <w:t>ad hoc</w:t>
      </w:r>
      <w:r>
        <w:t xml:space="preserve"> pomoči ali pomoči </w:t>
      </w:r>
      <w:r>
        <w:rPr>
          <w:i/>
        </w:rPr>
        <w:t xml:space="preserve">de </w:t>
      </w:r>
      <w:proofErr w:type="spellStart"/>
      <w:r>
        <w:rPr>
          <w:i/>
        </w:rPr>
        <w:t>minimis</w:t>
      </w:r>
      <w:proofErr w:type="spellEnd"/>
      <w:r>
        <w:t xml:space="preserve"> in o tem, kako se bo pomoč kumulirala.</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Če se za priglašeni ukrep pomoči uporablja točka 56 Smernic, pojasnite, kako skupni znesek pomoči, dodeljen na podlagi priglašenega ukrepa za projekt ali posamezno dejavnost, ne vodi do prekomernega nadomestila ali ne presega najvišjega zneska pomoči, dovoljenega na podlagi točke 394 Smernic. Za vsak ukrep, pri katerem se lahko pomoč, dodeljena na podlagi priglašenega ukrepa pomoči, kumulira, navedite metodo, uporabljeno za zagotovitev skladnosti s pogoji iz točke 56 Smernic.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lastRenderedPageBreak/>
        <w:t>Če se uporablja točka 57 Smernic, tj. pomoč, dodeljena na podlagi priglašenega ukrepa, se kombinira s centralno upravljanimi sredstvi Unije</w:t>
      </w:r>
      <w:r>
        <w:rPr>
          <w:rStyle w:val="FootnoteReference"/>
          <w:lang w:eastAsia="en-GB"/>
        </w:rPr>
        <w:footnoteReference w:id="12"/>
      </w:r>
      <w:r>
        <w:t>, utemeljite, kako</w:t>
      </w:r>
      <w:r>
        <w:rPr>
          <w:shd w:val="clear" w:color="auto" w:fill="FFFFFF"/>
        </w:rPr>
        <w:t xml:space="preserve"> skupni znesek javnega financiranja, dodeljen v zvezi z istimi upravičenimi stroški, ne privede do prekomernega nadomestila</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Preglednost</w:t>
            </w:r>
          </w:p>
        </w:tc>
      </w:tr>
    </w:tbl>
    <w:p w14:paraId="32448DD4" w14:textId="77777777" w:rsidR="009C7EC5" w:rsidRPr="00D96C20" w:rsidRDefault="009C7EC5" w:rsidP="000B3E97">
      <w:pPr>
        <w:spacing w:before="120" w:after="120"/>
        <w:jc w:val="both"/>
        <w:rPr>
          <w:i/>
        </w:rPr>
      </w:pPr>
      <w:r>
        <w:rPr>
          <w:i/>
          <w:color w:val="000000"/>
        </w:rPr>
        <w:t>Za</w:t>
      </w:r>
      <w:r>
        <w:rPr>
          <w:i/>
        </w:rPr>
        <w:t xml:space="preserve"> zagotovitev informacij v tem oddelku glej oddelek 3.2.1.4 (točke 58–61) Smernic.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Potrdite, da bo država članica izpolnjevala zahteve glede preglednosti iz točk 58–61 Smernic.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 xml:space="preserve">Navedite spletno povezavo, </w:t>
      </w:r>
      <w:r>
        <w:rPr>
          <w:rFonts w:ascii="inherit" w:hAnsi="inherit"/>
        </w:rPr>
        <w:t xml:space="preserve">na kateri bodo objavljeni celotno besedilo odobrene sheme pomoči ali </w:t>
      </w:r>
      <w:r>
        <w:rPr>
          <w:rFonts w:ascii="inherit" w:hAnsi="inherit"/>
          <w:color w:val="000000"/>
        </w:rPr>
        <w:t>sklepa o dodelitvi individualne pomoči in njegovih izvedbenih določb</w:t>
      </w:r>
      <w:r>
        <w:rPr>
          <w:rFonts w:ascii="inherit" w:hAnsi="inherit"/>
        </w:rPr>
        <w:t xml:space="preserve"> ter informacije o </w:t>
      </w:r>
      <w:r>
        <w:rPr>
          <w:rFonts w:ascii="inherit" w:hAnsi="inherit"/>
          <w:color w:val="000000"/>
        </w:rPr>
        <w:t xml:space="preserve">vsaki individualni pomoči, ki je bila dodeljena </w:t>
      </w:r>
      <w:r>
        <w:rPr>
          <w:rFonts w:ascii="inherit" w:hAnsi="inherit"/>
          <w:i/>
          <w:iCs/>
          <w:color w:val="000000"/>
        </w:rPr>
        <w:t>ad hoc</w:t>
      </w:r>
      <w:r>
        <w:rPr>
          <w:rFonts w:ascii="inherit" w:hAnsi="inherit"/>
          <w:color w:val="000000"/>
        </w:rPr>
        <w:t xml:space="preserve"> ali v okviru sheme pomoči, odobrene na podlagi Smernic</w:t>
      </w:r>
      <w:r>
        <w:rPr>
          <w:rFonts w:ascii="inherit" w:hAnsi="inherit"/>
        </w:rPr>
        <w:t>, in ki presega 100 000 EUR</w:t>
      </w:r>
      <w:r>
        <w:t>.</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2.2  Preprečevanje neupravičenih negativnih učinkov pomoči na konkurenco in trgovino ter test tehtanja</w:t>
            </w:r>
          </w:p>
        </w:tc>
      </w:tr>
    </w:tbl>
    <w:p w14:paraId="6CD3884F" w14:textId="308833E5" w:rsidR="00F83660" w:rsidRPr="00D96C20" w:rsidRDefault="00F83660" w:rsidP="000B3E97">
      <w:pPr>
        <w:spacing w:before="120" w:after="120"/>
        <w:jc w:val="both"/>
        <w:rPr>
          <w:i/>
        </w:rPr>
      </w:pPr>
      <w:r>
        <w:rPr>
          <w:i/>
          <w:color w:val="000000"/>
        </w:rPr>
        <w:t>Za</w:t>
      </w:r>
      <w:r>
        <w:rPr>
          <w:i/>
        </w:rPr>
        <w:t xml:space="preserve"> zagotovitev informacij v tem oddelku glej oddelek 4.10.5 (točke 396–398) Smernic.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Če sistemi daljinskega ogrevanja in hlajenja uporabljajo najbolj onesnažujoča fosilna goriva, kot so premog, lignit, nafta in dizel, pojasnite, ali so izpolnjeni naslednji kumulativni pogoji v skladu s točko 396 Smernic:  </w:t>
      </w:r>
    </w:p>
    <w:p w14:paraId="5E05EB28" w14:textId="599AE112" w:rsidR="00304F41" w:rsidRPr="00D96C20" w:rsidRDefault="00304F41" w:rsidP="00F10E39">
      <w:pPr>
        <w:pStyle w:val="ListParagraph"/>
        <w:numPr>
          <w:ilvl w:val="2"/>
          <w:numId w:val="28"/>
        </w:numPr>
        <w:spacing w:before="120" w:after="120"/>
        <w:contextualSpacing w:val="0"/>
        <w:jc w:val="both"/>
      </w:pPr>
      <w:r>
        <w:t>pomoč je omejena na naložbe v distribucijsko omrežje;</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distribucijsko omrežje že omogoča prenos energije za ogrevanje in hlajenje, proizvedene iz obnovljivih virov energije, odvečne toplote ali </w:t>
      </w:r>
      <w:proofErr w:type="spellStart"/>
      <w:r>
        <w:t>ogljično</w:t>
      </w:r>
      <w:proofErr w:type="spellEnd"/>
      <w:r>
        <w:t xml:space="preserve"> nevtralnih virov;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pomoč ne povzroči večje proizvodnje energije iz najbolj onesnažujočih fosilnih goriv (npr. s priključitvijo dodatnih strank);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določen je jasen časovni okvir, ki vključuje odločne zaveze prehodu stran od najbolj onesnažujočih fosilnih goriv v skladu s podnebnim ciljem Unije do leta 2030 in njenim ciljem podnebne nevtralnosti do leta 2050 (glej primer v opombi 156 Smernic).   </w:t>
      </w:r>
    </w:p>
    <w:p w14:paraId="32B25629" w14:textId="2FB9C88F" w:rsidR="00F83660" w:rsidRPr="00D96C20" w:rsidRDefault="00F83660" w:rsidP="00F83660">
      <w:pPr>
        <w:tabs>
          <w:tab w:val="left" w:leader="dot" w:pos="9072"/>
        </w:tabs>
        <w:spacing w:before="120" w:after="120"/>
        <w:ind w:left="567"/>
        <w:jc w:val="both"/>
      </w:pPr>
      <w:r>
        <w:lastRenderedPageBreak/>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Če projekt spodbuja nove naložbe v zemeljski plin ali delovanje sredstev za proizvodnjo energije na osnovi zemeljskega plina, pojasnite, ali projekt v skladu s točko 397 Smernic zagotavlja naslednje: </w:t>
      </w:r>
    </w:p>
    <w:p w14:paraId="38C1F102" w14:textId="32146B66" w:rsidR="00F610C7" w:rsidRPr="00D96C20" w:rsidRDefault="00304F41" w:rsidP="00D37B1D">
      <w:pPr>
        <w:pStyle w:val="ListParagraph"/>
        <w:numPr>
          <w:ilvl w:val="0"/>
          <w:numId w:val="38"/>
        </w:numPr>
        <w:spacing w:before="120" w:after="120"/>
        <w:contextualSpacing w:val="0"/>
        <w:jc w:val="both"/>
      </w:pPr>
      <w:r>
        <w:t>pomoč bo prispevala k doseganju podnebnega cilja Unije do leta 2030 in njenega cilja podnebne nevtralnosti do leta 2050;</w:t>
      </w:r>
    </w:p>
    <w:p w14:paraId="389482B8" w14:textId="38817A0F" w:rsidR="00F610C7" w:rsidRPr="00D96C20" w:rsidRDefault="00304F41" w:rsidP="00D37B1D">
      <w:pPr>
        <w:pStyle w:val="ListParagraph"/>
        <w:numPr>
          <w:ilvl w:val="0"/>
          <w:numId w:val="38"/>
        </w:numPr>
        <w:spacing w:before="120" w:after="120"/>
        <w:contextualSpacing w:val="0"/>
        <w:jc w:val="both"/>
      </w:pPr>
      <w:r>
        <w:t>kako se bo preprečil učinek vezanosti na proizvodnjo energije na plin;</w:t>
      </w:r>
    </w:p>
    <w:p w14:paraId="7EA03E9A" w14:textId="7AB57B2E" w:rsidR="00F83660" w:rsidRPr="00D96C20" w:rsidRDefault="00F610C7" w:rsidP="00D37B1D">
      <w:pPr>
        <w:pStyle w:val="ListParagraph"/>
        <w:numPr>
          <w:ilvl w:val="0"/>
          <w:numId w:val="38"/>
        </w:numPr>
        <w:spacing w:before="120" w:after="120"/>
        <w:contextualSpacing w:val="0"/>
        <w:jc w:val="both"/>
      </w:pPr>
      <w:r>
        <w:t>kako pomoč ne bo izpodrinila naložb v čistejše alternative, ki so že na voljo na trgu, ter tako ovirala razvoja čistejših tehnologij in njihove uporabe.</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Za preverjanje skladnosti s točko 398 Smernic pojasnite, ali je sistem daljinskega ogrevanja in hlajenja odprt za tretje osebe in ali so možne trajnostne alternativne rešitve za ogrevanje.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Ocenjevanje</w:t>
            </w:r>
          </w:p>
        </w:tc>
      </w:tr>
    </w:tbl>
    <w:p w14:paraId="78AC9B95" w14:textId="1FB76E7E" w:rsidR="00C33721" w:rsidRPr="00D96C20" w:rsidRDefault="00C33721" w:rsidP="005C6138">
      <w:pPr>
        <w:tabs>
          <w:tab w:val="left" w:leader="dot" w:pos="9072"/>
        </w:tabs>
        <w:spacing w:before="120" w:after="120"/>
        <w:ind w:left="567"/>
        <w:jc w:val="both"/>
      </w:pPr>
      <w:r>
        <w:rPr>
          <w:i/>
        </w:rPr>
        <w:t>Za zagotovitev informacij v tem oddelku glej točko 76(a) in poglavje 5 (točke 455–463) Smernic.</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Pr>
          <w:vertAlign w:val="superscript"/>
          <w:lang w:eastAsia="en-GB"/>
        </w:rPr>
        <w:footnoteReference w:id="13"/>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Če je predložen osnutek načrta ocenjevanja:</w:t>
      </w:r>
    </w:p>
    <w:p w14:paraId="36682E0D" w14:textId="77777777" w:rsidR="00FE28B4" w:rsidRPr="00D96C20" w:rsidRDefault="00FE28B4" w:rsidP="00F10E39">
      <w:pPr>
        <w:numPr>
          <w:ilvl w:val="0"/>
          <w:numId w:val="34"/>
        </w:numPr>
        <w:spacing w:before="120" w:after="120"/>
        <w:jc w:val="both"/>
      </w:pPr>
      <w:r>
        <w:t>v nadaljevanju predložite povzetek navedenega osnutka načrta ocenjevanja, vključenega v Prilogo;</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potrdite, da se bo pri tem upoštevala točka 460 Smernic;</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navedite datum in spletno povezavo, na kateri bo načrt ocenjevanja javno dostopen.</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Za preverjanje skladnosti s točko 459(b) Smernic, če shema pomoči trenutno ni predmet naknadne ocene in traja več kot tri leta, potrdite, da boste osnutek načrta ocenjevanja priglasili v 30 delovnih dneh po pomembni spremembi, s katero se je proračun sheme </w:t>
      </w:r>
      <w:r>
        <w:lastRenderedPageBreak/>
        <w:t xml:space="preserve">povečal na več kot 150 milijonov EUR v katerem koli zadevnem letu ali 750 milijonov EUR v celotnem obdobju trajanja sheme.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Za preverjanje skladnosti s točko 459(c) Smernic, če shema pomoči trenutno ni predmet naknadne ocene, se v nadaljevanju zavežite, da bo država članica osnutek načrta ocenjevanja priglasila </w:t>
      </w:r>
      <w:r>
        <w:rPr>
          <w:shd w:val="clear" w:color="auto" w:fill="FFFFFF"/>
        </w:rPr>
        <w:t>v 30 delovnih dneh po tem, ko so bili na uradnih računih evidentirani odhodki, ki presegajo 150 milijonov EUR v prejšnjem letu.</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Za preverjanje skladnosti s točko 461 Smernic:</w:t>
      </w:r>
    </w:p>
    <w:p w14:paraId="04054438" w14:textId="77777777" w:rsidR="00FE28B4" w:rsidRPr="00D96C20" w:rsidRDefault="00FE28B4" w:rsidP="00F10E39">
      <w:pPr>
        <w:numPr>
          <w:ilvl w:val="0"/>
          <w:numId w:val="35"/>
        </w:numPr>
        <w:spacing w:before="120" w:after="120"/>
        <w:jc w:val="both"/>
      </w:pPr>
      <w:r>
        <w:t>pojasnite, ali je bil neodvisni strokovnjak že izbran ali bo izbran v prihodnosti;</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zagotovite informacije o postopku za izbiro strokovnjaka;</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utemeljite, kako je zagotovljena strokovnjakova neodvisnost od organa, ki dodeli pomoč.</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Za preverjanje skladnosti s točko 461 Smernic: </w:t>
      </w:r>
    </w:p>
    <w:p w14:paraId="3043EB67" w14:textId="77777777" w:rsidR="00FE28B4" w:rsidRPr="00D96C20" w:rsidRDefault="00FE28B4" w:rsidP="00F10E39">
      <w:pPr>
        <w:numPr>
          <w:ilvl w:val="0"/>
          <w:numId w:val="36"/>
        </w:numPr>
        <w:spacing w:before="120" w:after="120"/>
        <w:jc w:val="both"/>
      </w:pPr>
      <w: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Potrdite, da bosta vmesno in končno ocenjevalno poročilo objavljeni. Navedite datum in spletno povezavo, na kateri bosta navedeni poročili javno dostopni.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Poročanje in spremljanje</w:t>
            </w:r>
          </w:p>
        </w:tc>
      </w:tr>
    </w:tbl>
    <w:p w14:paraId="03FF5B05" w14:textId="77777777" w:rsidR="00FE28B4" w:rsidRPr="00D96C20" w:rsidRDefault="00FE28B4" w:rsidP="00FE28B4">
      <w:pPr>
        <w:tabs>
          <w:tab w:val="left" w:leader="dot" w:pos="9072"/>
        </w:tabs>
        <w:spacing w:before="120" w:after="120"/>
        <w:ind w:left="567"/>
        <w:jc w:val="both"/>
      </w:pPr>
      <w:r>
        <w:rPr>
          <w:i/>
        </w:rPr>
        <w:t>Za zagotovitev informacij v tem oddelku glej oddelek 6 (točki 464 in 465) Smernic.</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Potrdite, da bo država članica izpolnjevala zahteve glede poročanja in spremljanja iz oddelka 6, točki 464 in 465, Smernic.</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UL C 80, 18.2.2022, str. 1.</w:t>
      </w:r>
    </w:p>
  </w:footnote>
  <w:footnote w:id="3">
    <w:p w14:paraId="6565D8D9" w14:textId="77777777" w:rsidR="005937D4" w:rsidRPr="0067348B" w:rsidRDefault="005937D4" w:rsidP="005937D4">
      <w:pPr>
        <w:pStyle w:val="FootnoteText"/>
      </w:pPr>
      <w:r>
        <w:rPr>
          <w:rStyle w:val="FootnoteReference"/>
        </w:rPr>
        <w:footnoteRef/>
      </w:r>
      <w:r>
        <w:tab/>
      </w:r>
      <w:r>
        <w:t>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w:t>
      </w:r>
    </w:p>
  </w:footnote>
  <w:footnote w:id="4">
    <w:p w14:paraId="2D55E73F" w14:textId="77777777" w:rsidR="007444CC" w:rsidRPr="0067348B" w:rsidRDefault="007444CC" w:rsidP="007444CC">
      <w:pPr>
        <w:pStyle w:val="FootnoteText"/>
      </w:pPr>
      <w:r>
        <w:rPr>
          <w:rStyle w:val="FootnoteReference"/>
        </w:rPr>
        <w:footnoteRef/>
      </w:r>
      <w:r>
        <w:tab/>
      </w:r>
      <w:r>
        <w:t>Upoštevajte, da lahko sprememba dejanskega proračuna ali ocene proračuna pomeni spremembo pomoči, ki jo je treba na novo priglasiti.</w:t>
      </w:r>
    </w:p>
  </w:footnote>
  <w:footnote w:id="5">
    <w:p w14:paraId="561DACBB" w14:textId="1FF2FC9F" w:rsidR="008D2777" w:rsidRDefault="008D2777">
      <w:pPr>
        <w:pStyle w:val="FootnoteText"/>
      </w:pPr>
    </w:p>
  </w:footnote>
  <w:footnote w:id="6">
    <w:p w14:paraId="4C19DBFC" w14:textId="4F9612F8" w:rsidR="008D2777" w:rsidRPr="008F6F27" w:rsidRDefault="008D2777">
      <w:pPr>
        <w:pStyle w:val="FootnoteText"/>
      </w:pPr>
    </w:p>
  </w:footnote>
  <w:footnote w:id="7">
    <w:p w14:paraId="76D8E62B" w14:textId="77777777" w:rsidR="00D37B1D" w:rsidRDefault="008D2777" w:rsidP="00D37B1D">
      <w:pPr>
        <w:pStyle w:val="FootnoteText"/>
      </w:pPr>
      <w:r>
        <w:rPr>
          <w:rStyle w:val="FootnoteReference"/>
        </w:rPr>
        <w:footnoteRef/>
      </w:r>
      <w:r>
        <w:t xml:space="preserve"> </w:t>
      </w:r>
      <w:r>
        <w:tab/>
      </w:r>
      <w:r>
        <w:t>Točka 31</w:t>
      </w:r>
    </w:p>
    <w:p w14:paraId="1524F4B1" w14:textId="7A02E55F" w:rsidR="008D2777" w:rsidRPr="00D24240" w:rsidRDefault="008D2777" w:rsidP="00D37B1D">
      <w:pPr>
        <w:pStyle w:val="FootnoteText"/>
        <w:rPr>
          <w:i/>
        </w:rPr>
      </w:pPr>
      <w:r>
        <w:t xml:space="preserve">Smernic določa </w:t>
      </w:r>
      <w:r>
        <w:rPr>
          <w:i/>
        </w:rPr>
        <w:t>„V nekaterih izjemnih primerih ima lahko pomoč spodbujevalni učinek tudi pri projektih, ki so se začeli pred predložitvijo vloge za pomoč. Za pomoč se šteje, da ima spodbujevalni učinek, zlasti kadar:</w:t>
      </w:r>
    </w:p>
    <w:p w14:paraId="5730337E" w14:textId="7DC3746A" w:rsidR="008D2777" w:rsidRPr="00D24240" w:rsidRDefault="008D2777" w:rsidP="00F10E39">
      <w:pPr>
        <w:pStyle w:val="FootnoteText"/>
        <w:numPr>
          <w:ilvl w:val="0"/>
          <w:numId w:val="24"/>
        </w:numPr>
        <w:rPr>
          <w:i/>
        </w:rPr>
      </w:pPr>
      <w:r>
        <w:rPr>
          <w:i/>
        </w:rPr>
        <w:t xml:space="preserve">se pomoč dodeli samodejno v skladu z objektivnimi in </w:t>
      </w:r>
      <w:proofErr w:type="spellStart"/>
      <w:r>
        <w:rPr>
          <w:i/>
        </w:rPr>
        <w:t>nediskriminatornimi</w:t>
      </w:r>
      <w:proofErr w:type="spellEnd"/>
      <w:r>
        <w:rPr>
          <w:i/>
        </w:rPr>
        <w:t xml:space="preserve"> merili ter brez nadaljnjega uveljavljanja diskrecijske pravice države članice, ukrep pa je bil sprejet in je začel veljati, preden se je projekt ali dejavnost, za katero je bila dodeljena pomoč, začela izvajati, razen za sheme, ki so naslednice davčnih shem, kadar je dejavnost že bila zajeta v prejšnjih shemah v obliki davčnih ugodnosti;</w:t>
      </w:r>
    </w:p>
    <w:p w14:paraId="126E383A" w14:textId="1F4A7ABF" w:rsidR="008D2777" w:rsidRPr="00D24240" w:rsidRDefault="008D2777" w:rsidP="00F10E39">
      <w:pPr>
        <w:pStyle w:val="FootnoteText"/>
        <w:numPr>
          <w:ilvl w:val="0"/>
          <w:numId w:val="24"/>
        </w:numPr>
        <w:rPr>
          <w:i/>
        </w:rPr>
      </w:pPr>
      <w:r>
        <w:rPr>
          <w:i/>
        </w:rPr>
        <w:t>nacionalni organi pred začetkom del objavijo obvestilo o nameri za določitev predlaganega ukrepa pomoči, ki ga mora Komisija potrditi v skladu s členom 108(3) Pogodbe. To obvestilo je treba objaviti na javnem spletnem mestu ali v drugem javnem mediju s podobno širokim in enostavnim dostopom ter v njem jasno navesti vrsto projektov, ki so po predlogu države članice upravičeni, in datum, po katerem namerava država članica šteti take projekte za upravičene. Predlagana upravičenost ne sme biti neutemeljeno omejena. Upravičenec mora organ, ki dodeli pomoč, pred začetkom del obvestiti, da je predlagani ukrep pomoči obravnaval kot pogoj za sprejete odločitve o naložbi. Kadar se država članica pri dokazovanju spodbujevalnega učinka opira na tako obvestilo, mora pri priglasitvi državne pomoči predložiti izvod obvestila in povezavo na spletno mesto, na katerem je bilo objavljeno, ali ustrezno dokazilo, da je obvestilo na voljo javnosti;</w:t>
      </w:r>
    </w:p>
    <w:p w14:paraId="64F711A8" w14:textId="54D3F761" w:rsidR="008D2777" w:rsidRDefault="008D2777" w:rsidP="00F10E39">
      <w:pPr>
        <w:pStyle w:val="FootnoteText"/>
        <w:numPr>
          <w:ilvl w:val="0"/>
          <w:numId w:val="24"/>
        </w:numPr>
      </w:pPr>
      <w:r>
        <w:rPr>
          <w:i/>
        </w:rPr>
        <w:t>pomoč za tekoče poslovanje se dodeli obstoječim obratom za okolju prijazno proizvodnjo, pri čemer „začetka del“ ni, ker ni nobene pomembne nove naložbe. V teh primerih je mogoče spodbujevalni učinek dokazati na podlagi spremembe za okolju prijazno obratovanje obrata, namesto cenejšega in okolju manj prijaznega, alternativnega obratovanja.“</w:t>
      </w:r>
    </w:p>
  </w:footnote>
  <w:footnote w:id="8">
    <w:p w14:paraId="5276A1EB" w14:textId="77777777" w:rsidR="000C258D" w:rsidRDefault="000C258D" w:rsidP="000C258D">
      <w:pPr>
        <w:pStyle w:val="FootnoteText"/>
      </w:pPr>
      <w:r>
        <w:rPr>
          <w:rStyle w:val="FootnoteReference"/>
        </w:rPr>
        <w:footnoteRef/>
      </w:r>
      <w:r>
        <w:t xml:space="preserve"> </w:t>
      </w:r>
      <w:r>
        <w:tab/>
      </w:r>
      <w:r>
        <w:t>V skladu s točko 19(89) Smernic „standard Unije“ pomeni:</w:t>
      </w:r>
    </w:p>
    <w:p w14:paraId="2C2E9687" w14:textId="77777777" w:rsidR="000C258D" w:rsidRPr="004B74BC" w:rsidRDefault="000C258D" w:rsidP="00F10E39">
      <w:pPr>
        <w:pStyle w:val="FootnoteText"/>
        <w:numPr>
          <w:ilvl w:val="0"/>
          <w:numId w:val="27"/>
        </w:numPr>
        <w:rPr>
          <w:i/>
        </w:rPr>
      </w:pPr>
      <w:r>
        <w:rPr>
          <w:i/>
        </w:rPr>
        <w:t>obvezni standard Unije, ki določa stopnje, ki jih morajo posamezna podjetja doseči pri varstvu okolja, razen standardov ali ciljev, določenih na ravni Unije, ki so zavezujoči za države članice, ne pa tudi za posamezna podjetja;</w:t>
      </w:r>
    </w:p>
    <w:p w14:paraId="125190F0" w14:textId="64BC945A" w:rsidR="000C258D" w:rsidRDefault="000C258D" w:rsidP="00F10E39">
      <w:pPr>
        <w:pStyle w:val="FootnoteText"/>
        <w:numPr>
          <w:ilvl w:val="0"/>
          <w:numId w:val="27"/>
        </w:numPr>
      </w:pPr>
      <w:r>
        <w:rPr>
          <w:i/>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9">
    <w:p w14:paraId="6589188F" w14:textId="70D9D8AA" w:rsidR="008D2777" w:rsidRDefault="008D2777">
      <w:pPr>
        <w:pStyle w:val="FootnoteText"/>
      </w:pPr>
      <w:r>
        <w:rPr>
          <w:rStyle w:val="FootnoteReference"/>
        </w:rPr>
        <w:footnoteRef/>
      </w:r>
      <w:r>
        <w:t xml:space="preserve"> </w:t>
      </w:r>
      <w:r>
        <w:tab/>
      </w:r>
      <w:r>
        <w:t xml:space="preserve">Točka 51 Smernic določa, da je </w:t>
      </w:r>
      <w:r>
        <w:rPr>
          <w:color w:val="000000"/>
          <w:shd w:val="clear" w:color="auto" w:fill="FFFFFF"/>
        </w:rPr>
        <w:t>običajne neto dodatne stroške mogoče oceniti na podlagi razlike med neto sedanjo vrednostjo po dejanskem scenariju in neto sedanjo vrednostjo po hipotetičnem scenariju v življenjski dobi referenčnega projekta</w:t>
      </w:r>
      <w:r>
        <w:t>.</w:t>
      </w:r>
    </w:p>
  </w:footnote>
  <w:footnote w:id="10">
    <w:p w14:paraId="02B0A4E3" w14:textId="5C6F97AB" w:rsidR="008D2777" w:rsidRDefault="008D2777">
      <w:pPr>
        <w:pStyle w:val="FootnoteText"/>
      </w:pPr>
      <w:r>
        <w:rPr>
          <w:rStyle w:val="FootnoteReference"/>
        </w:rPr>
        <w:footnoteRef/>
      </w:r>
      <w:r>
        <w:t xml:space="preserve"> </w:t>
      </w:r>
      <w:r>
        <w:tab/>
      </w:r>
      <w:r>
        <w:t xml:space="preserve">Upoštevajte, da v se skladu z opombo 45 Smernic </w:t>
      </w:r>
      <w:r>
        <w:rPr>
          <w:color w:val="000000"/>
          <w:sz w:val="19"/>
          <w:shd w:val="clear" w:color="auto" w:fill="FFFFFF"/>
        </w:rPr>
        <w:t xml:space="preserve">hipotetični scenarij, po katerem se kot alternativna naložba/operacija predlaga dolgoročno nadaljevanje sedanjih dejavnosti, ki niso </w:t>
      </w:r>
      <w:proofErr w:type="spellStart"/>
      <w:r>
        <w:rPr>
          <w:color w:val="000000"/>
          <w:sz w:val="19"/>
          <w:shd w:val="clear" w:color="auto" w:fill="FFFFFF"/>
        </w:rPr>
        <w:t>okoljsko</w:t>
      </w:r>
      <w:proofErr w:type="spellEnd"/>
      <w:r>
        <w:rPr>
          <w:color w:val="000000"/>
          <w:sz w:val="19"/>
          <w:shd w:val="clear" w:color="auto" w:fill="FFFFFF"/>
        </w:rPr>
        <w:t xml:space="preserve"> trajnostne, ne bo štel za realističnega.</w:t>
      </w:r>
    </w:p>
  </w:footnote>
  <w:footnote w:id="11">
    <w:p w14:paraId="4E6E256B" w14:textId="4AB0B555" w:rsidR="008D2777" w:rsidRDefault="008D2777">
      <w:pPr>
        <w:pStyle w:val="FootnoteText"/>
      </w:pPr>
      <w:r>
        <w:rPr>
          <w:rStyle w:val="FootnoteReference"/>
        </w:rPr>
        <w:footnoteRef/>
      </w:r>
      <w:r>
        <w:t xml:space="preserve"> </w:t>
      </w:r>
      <w:r>
        <w:tab/>
      </w:r>
      <w:r>
        <w:t>Upoštevajte, da je treba v skladu z opombo 46 Smernic vse ustrezne pričakovane stroške in koristi upoštevati skozi celotno obdobje projekta.</w:t>
      </w:r>
    </w:p>
  </w:footnote>
  <w:footnote w:id="12">
    <w:p w14:paraId="086AD512" w14:textId="7087BE19" w:rsidR="008D2777" w:rsidRPr="009C7EC5" w:rsidRDefault="008D2777">
      <w:pPr>
        <w:pStyle w:val="FootnoteText"/>
      </w:pPr>
      <w:r>
        <w:rPr>
          <w:rStyle w:val="FootnoteReference"/>
        </w:rPr>
        <w:footnoteRef/>
      </w:r>
      <w:r>
        <w:tab/>
      </w:r>
      <w:r>
        <w:t>Centralno upravljana sredstva Unije so sredstva Unije, ki jih centralno upravljajo institucije, agencije, skupna podjetja ali drugi organi Evropske unije, ki niso pod neposrednim ali posrednim nadzorom držav članic.</w:t>
      </w:r>
    </w:p>
  </w:footnote>
  <w:footnote w:id="13">
    <w:p w14:paraId="2B7A8351" w14:textId="77777777" w:rsidR="00FE28B4" w:rsidRDefault="00FE28B4" w:rsidP="00FE28B4">
      <w:pPr>
        <w:pStyle w:val="FootnoteText"/>
      </w:pPr>
      <w:r>
        <w:rPr>
          <w:rStyle w:val="FootnoteReference"/>
        </w:rPr>
        <w:footnoteRef/>
      </w:r>
      <w:r>
        <w:t xml:space="preserve"> </w:t>
      </w:r>
      <w:r>
        <w:tab/>
      </w:r>
      <w:r>
        <w:t xml:space="preserve">Predloga obrazca za dodatne informacije za priglasitev načrta ocenjevanja (del III.8) je na voljo tukaj: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70AAA4F8"/>
    <w:lvl w:ilvl="0" w:tplc="92ECE10C">
      <w:start w:val="1"/>
      <w:numFmt w:val="lowerLetter"/>
      <w:lvlText w:val="(%1)"/>
      <w:lvlJc w:val="lef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2CDC3B36"/>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EF122B2A"/>
    <w:lvl w:ilvl="0" w:tplc="4404A89A">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6BA8A48E"/>
    <w:lvl w:ilvl="0" w:tplc="4404A89A">
      <w:start w:val="1"/>
      <w:numFmt w:val="lowerRoman"/>
      <w:lvlText w:val="(%1.)"/>
      <w:lvlJc w:val="righ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42088D22"/>
    <w:lvl w:ilvl="0" w:tplc="4404A89A">
      <w:start w:val="1"/>
      <w:numFmt w:val="lowerRoman"/>
      <w:lvlText w:val="(%1.)"/>
      <w:lvlJc w:val="righ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63DA2764"/>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E77C24F2"/>
    <w:lvl w:ilvl="0" w:tplc="4404A89A">
      <w:start w:val="1"/>
      <w:numFmt w:val="lowerRoman"/>
      <w:lvlText w:val="(%1.)"/>
      <w:lvlJc w:val="right"/>
      <w:pPr>
        <w:ind w:left="1211" w:hanging="360"/>
      </w:pPr>
      <w:rPr>
        <w:rFonts w:ascii="Times New Roman" w:hAnsi="Times New Roman" w:hint="default"/>
        <w:b w:val="0"/>
        <w:i w:val="0"/>
        <w:sz w:val="24"/>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972E5338"/>
    <w:lvl w:ilvl="0" w:tplc="4404A89A">
      <w:start w:val="1"/>
      <w:numFmt w:val="lowerRoman"/>
      <w:lvlText w:val="(%1.)"/>
      <w:lvlJc w:val="right"/>
      <w:pPr>
        <w:ind w:left="1287" w:hanging="360"/>
      </w:pPr>
      <w:rPr>
        <w:rFonts w:ascii="Times New Roman" w:hAnsi="Times New Roman" w:hint="default"/>
        <w:b w:val="0"/>
        <w:i w:val="0"/>
        <w:sz w:val="24"/>
      </w:rPr>
    </w:lvl>
    <w:lvl w:ilvl="1" w:tplc="92ECE10C">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53622E46"/>
    <w:lvl w:ilvl="0" w:tplc="4404A89A">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C6B8F2E8"/>
    <w:lvl w:ilvl="0" w:tplc="B986DB0A">
      <w:start w:val="1"/>
      <w:numFmt w:val="bullet"/>
      <w:lvlText w:val="⸻"/>
      <w:lvlJc w:val="left"/>
      <w:pPr>
        <w:ind w:left="1797" w:hanging="360"/>
      </w:pPr>
      <w:rPr>
        <w:rFonts w:ascii="Times New Roman" w:eastAsia="Times New Roman"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00ECB72E"/>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92ECE10C">
      <w:start w:val="1"/>
      <w:numFmt w:val="lowerLetter"/>
      <w:lvlText w:val="(%3)"/>
      <w:lvlJc w:val="left"/>
      <w:pPr>
        <w:ind w:left="2007"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FFB0D1B6"/>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F89C1200"/>
    <w:lvl w:ilvl="0" w:tplc="4404A89A">
      <w:start w:val="1"/>
      <w:numFmt w:val="lowerRoman"/>
      <w:lvlText w:val="(%1.)"/>
      <w:lvlJc w:val="right"/>
      <w:pPr>
        <w:ind w:left="1080" w:hanging="360"/>
      </w:pPr>
      <w:rPr>
        <w:rFonts w:ascii="Times New Roman" w:hAnsi="Times New Roman" w:hint="default"/>
        <w:b w:val="0"/>
        <w:i w:val="0"/>
        <w:sz w:val="24"/>
      </w:rPr>
    </w:lvl>
    <w:lvl w:ilvl="1" w:tplc="92ECE10C">
      <w:start w:val="1"/>
      <w:numFmt w:val="lowerLetter"/>
      <w:lvlText w:val="(%2)"/>
      <w:lvlJc w:val="left"/>
      <w:pPr>
        <w:ind w:left="1077"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468CEB50"/>
    <w:lvl w:ilvl="0" w:tplc="92ECE10C">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3228B04"/>
    <w:lvl w:ilvl="0" w:tplc="82A46EEA">
      <w:start w:val="1"/>
      <w:numFmt w:val="decimal"/>
      <w:lvlText w:val="%1."/>
      <w:lvlJc w:val="left"/>
      <w:pPr>
        <w:ind w:left="720" w:hanging="360"/>
      </w:pPr>
      <w:rPr>
        <w:rFonts w:hint="default"/>
        <w:b/>
        <w:i w:val="0"/>
      </w:rPr>
    </w:lvl>
    <w:lvl w:ilvl="1" w:tplc="92ECE10C">
      <w:start w:val="1"/>
      <w:numFmt w:val="lowerLetter"/>
      <w:lvlText w:val="(%2)"/>
      <w:lvlJc w:val="left"/>
      <w:pPr>
        <w:ind w:left="2007" w:hanging="360"/>
      </w:pPr>
      <w:rPr>
        <w:rFonts w:hint="default"/>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8F6F27"/>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4.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5.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3192</Words>
  <Characters>18710</Characters>
  <Application>Microsoft Office Word</Application>
  <DocSecurity>0</DocSecurity>
  <Lines>415</Lines>
  <Paragraphs>162</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ERJAVEC Nina (DGT)</cp:lastModifiedBy>
  <cp:revision>3</cp:revision>
  <cp:lastPrinted>2022-04-12T14:59:00Z</cp:lastPrinted>
  <dcterms:created xsi:type="dcterms:W3CDTF">2024-09-16T13:03:00Z</dcterms:created>
  <dcterms:modified xsi:type="dcterms:W3CDTF">2024-10-02T11:46:00Z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