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Del III.6</w:t>
            </w:r>
            <w:r>
              <w:rPr>
                <w:sz w:val="32"/>
              </w:rPr>
              <w:t xml:space="preserve">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 xml:space="preserve">Uppdaterat* formulär för kompletterande information om statligt stöd som beviljas enligt riktlinjerna för statligt stöd till klimat, miljöskydd och energi 2022 (riktlinjerna)</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 xml:space="preserve">Kapitel 4.10 – Stöd till fjärrvärme och fjärrkyla</w:t>
            </w:r>
          </w:p>
          <w:p w14:paraId="469DC4EF" w14:textId="2B54A3FD" w:rsidR="00C076F2" w:rsidRPr="00D96C20" w:rsidRDefault="00C076F2" w:rsidP="00C076F2">
            <w:r>
              <w:t xml:space="preserve">* Ännu inte formellt antaget.</w:t>
            </w:r>
          </w:p>
        </w:tc>
      </w:tr>
    </w:tbl>
    <w:p w14:paraId="35C43324" w14:textId="77777777" w:rsidR="00C076F2" w:rsidRPr="00D96C20" w:rsidRDefault="00C076F2" w:rsidP="00C076F2">
      <w:pPr>
        <w:spacing w:before="120" w:after="120"/>
        <w:ind w:right="-142"/>
        <w:jc w:val="both"/>
        <w:rPr>
          <w:i/>
          <w:iCs/>
        </w:rPr>
      </w:pPr>
      <w:r>
        <w:rPr>
          <w:i/>
        </w:rPr>
        <w:t xml:space="preserve">Detta formulär för kompletterande information ska användas för anmälan av stöd som omfattas av riktlinjerna för statligt stöd till klimat, miljöskydd och energi 2022 (riktlinjerna).</w:t>
      </w:r>
    </w:p>
    <w:p w14:paraId="5661C6FF" w14:textId="6900E16C" w:rsidR="00C076F2" w:rsidRPr="00D96C20" w:rsidRDefault="00C076F2" w:rsidP="009E2EA1">
      <w:pPr>
        <w:spacing w:before="120" w:after="120"/>
        <w:ind w:right="-142"/>
        <w:jc w:val="both"/>
        <w:rPr>
          <w:i/>
          <w:iCs/>
        </w:rPr>
      </w:pPr>
      <w:r>
        <w:rPr>
          <w:i/>
        </w:rPr>
        <w:t xml:space="preserve">Detta formulär för kompletterande information avser åtgärder som omfattas av kapitel 4.10 i riktlinjerna.</w:t>
      </w:r>
      <w:r>
        <w:rPr>
          <w:i/>
        </w:rPr>
        <w:t xml:space="preserve"> </w:t>
      </w:r>
      <w:r>
        <w:rPr>
          <w:i/>
        </w:rPr>
        <w:t xml:space="preserve">Om anmälan inbegriper åtgärder som omfattas av mer än ett kapitel i riktlinjerna ska även det formulär för kompletterande information som rör det aktuella kapitel i riktlinjerna fyllas i när det finns tillgängligt.</w:t>
      </w:r>
      <w:r>
        <w:rPr>
          <w:i/>
        </w:rPr>
        <w:t xml:space="preserve"> </w:t>
      </w:r>
    </w:p>
    <w:p w14:paraId="140907B2" w14:textId="712B456C" w:rsidR="00C076F2" w:rsidRPr="00D96C20" w:rsidRDefault="00C076F2" w:rsidP="00C076F2">
      <w:pPr>
        <w:spacing w:before="120" w:after="120"/>
        <w:ind w:right="-142"/>
        <w:jc w:val="both"/>
        <w:rPr>
          <w:i/>
          <w:iCs/>
        </w:rPr>
      </w:pPr>
      <w:r>
        <w:rPr>
          <w:i/>
        </w:rPr>
        <w:t xml:space="preserve">Alla dokument som medlemsstaterna bifogar detta formulär för kompletterande information som bilagor måste numreras, och dokumentnumren måste anges i de tillämpliga avsnitten av detta formulär.</w:t>
      </w:r>
      <w:r>
        <w:rPr>
          <w:i/>
        </w:rPr>
        <w:t xml:space="preserve">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 xml:space="preserve">Avsnitt A:</w:t>
            </w:r>
            <w:r>
              <w:rPr>
                <w:b/>
                <w:sz w:val="32"/>
              </w:rPr>
              <w:t xml:space="preserve"> </w:t>
            </w:r>
            <w:r>
              <w:rPr>
                <w:b/>
                <w:sz w:val="32"/>
              </w:rPr>
              <w:t xml:space="preserve">Sammanfattning av huvuddragen i den eller de anmälda åtgärderna</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 xml:space="preserve">Bakgrund och mål för den eller de anmälda åtgärderna:</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Om det inte redan har beskrivits i avsnitt 5.2 i formuläret för allmän information (del</w:t>
      </w:r>
      <w:r>
        <w:t xml:space="preserve"> </w:t>
      </w:r>
      <w:r>
        <w:t xml:space="preserve">I), ange bakgrund och huvudsakligt mål, inklusive eventuella unionsmål för minskning och upptag av växthusgasutsläpp, som åtgärden är avsedd att stödja.</w:t>
      </w:r>
      <w:r>
        <w:t xml:space="preserve">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 xml:space="preserve">ii.</w:t>
      </w:r>
      <w:r>
        <w:tab/>
      </w:r>
      <w:r>
        <w:t xml:space="preserve">Ange eventuella andra mål som eftersträvas med åtgärden.</w:t>
      </w:r>
      <w:r>
        <w:t xml:space="preserve"> </w:t>
      </w:r>
      <w:r>
        <w:t xml:space="preserve">För alla mål som inte är rent ekologiska, ange om de kan leda till snedvridningar på den inre marknaden.</w:t>
      </w:r>
      <w:r>
        <w:t xml:space="preserve">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 xml:space="preserve">Ikraftträdande och varaktighet:</w:t>
      </w:r>
    </w:p>
    <w:p w14:paraId="3C55498B" w14:textId="77777777" w:rsidR="005937D4" w:rsidRPr="00D96C20" w:rsidRDefault="005937D4" w:rsidP="00F10E39">
      <w:pPr>
        <w:pStyle w:val="ListParagraph"/>
        <w:numPr>
          <w:ilvl w:val="0"/>
          <w:numId w:val="31"/>
        </w:numPr>
        <w:ind w:left="993" w:hanging="142"/>
        <w:jc w:val="both"/>
        <w:rPr>
          <w:szCs w:val="24"/>
        </w:rPr>
      </w:pPr>
      <w:r>
        <w:t xml:space="preserve">Om det inte redan har uppgetts i avsnitt 5.5 i formuläret för allmän information (del I), ange det datum från och med vilket stödordningen planeras träda i kraft.</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 xml:space="preserve">ii. Ange stödordningens varaktighet.</w:t>
      </w:r>
      <w:r w:rsidRPr="00D96C20">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Stödmottagare</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 xml:space="preserve">Om det inte redan har uppgetts under avsnitt 3 i formuläret för allmän information (del I), beskriv (den potentiella) stödmottagaren eller (de potentiella) stödmottagarna för åtgärden/åtgärderna.</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 xml:space="preserve">Ange var (de potentiella) stödmottagarna är belägna (dvs. om endast ekonomiska enheter belägna i respektive medlemsstat får delta i åtgärden eller även ekonomiska enheter i andra medlemsstater).</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För att det ska gå att bedöma om punkt 15 i riktlinjerna efterlevs, ange om stöd genom denna åtgärd beviljas företag (enskilt eller som del av en stödordning) som är föremål för ett oreglerat återbetalningskrav till följd av ett tidigare kommissionsbeslut som förklarat ett stöd olagligt och oförenligt med den inre marknaden.</w:t>
      </w:r>
      <w:r>
        <w:t xml:space="preserve">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Om så är fallet, ange det stödbelopp som återstår att återbetala så att kommissionen tar hänsyn till detta vid bedömningen av stödåtgärden/stödåtgärderna.</w:t>
      </w:r>
      <w:r>
        <w:t xml:space="preserve">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 xml:space="preserve">Bekräfta att åtgärden/åtgärderna inte inbegriper stöd till verksamheter som inte ingår i riktlinjernas tillämpningsområde (se punkt 13 i riktlinjerna).</w:t>
      </w:r>
      <w:r>
        <w:t xml:space="preserve"> </w:t>
      </w:r>
      <w:r>
        <w:t xml:space="preserve">I annat fall, lämna närmare uppgifter.</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bCs/>
          <w:rFonts w:cs="Arial Unicode MS"/>
        </w:rPr>
      </w:pPr>
      <w:r>
        <w:rPr>
          <w:b/>
        </w:rPr>
        <w:t xml:space="preserve">Budget för och finansiering av åtgärden/åtgärderna.</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bCs/>
          <w:rFonts w:cs="Arial Unicode MS"/>
        </w:rPr>
      </w:pPr>
      <w:r>
        <w:t xml:space="preserve">Om det inte redan har uppgetts i tabellen i avsnitt 7.1 i formuläret för allmän information (del I), ange den årliga budgeten och/eller den totala budgeten för åtgärdens eller åtgärdernas hela varaktighet.</w:t>
      </w:r>
      <w:r>
        <w:t xml:space="preserve"> </w:t>
      </w:r>
      <w:r>
        <w:t xml:space="preserve">Om den totala budgeten inte är känd (t.ex. för att den beror på resultaten av upphandlingar), ange en beräknad budget, inklusive de beräkningsantaganden som ligger till grund för den.</w:t>
      </w:r>
      <w:r w:rsidRPr="00D96C20">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bCs/>
          <w:rFonts w:cs="Arial Unicode MS"/>
        </w:rPr>
      </w:pPr>
      <w:bookmarkStart w:id="3" w:name="_Ref116914400"/>
      <w:r>
        <w:t xml:space="preserve">Om åtgärden finansieras genom en avgift, ange om följande gäller:</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Avgiften fastställs i lag eller någon annan lagstiftningsakt.</w:t>
      </w:r>
      <w:r>
        <w:t xml:space="preserve"> </w:t>
      </w:r>
      <w:r>
        <w:t xml:space="preserve">Om så är fallet, ange rättsaktens nummer och datum för när den antogs och trädde i kraft samt internetlänken till rättsakten.</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Avgiften tas ut på både inhemska och importerade produkter.</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bCs/>
          <w:rFonts w:cs="Arial Unicode MS"/>
        </w:rPr>
      </w:pPr>
      <w:r>
        <w:t xml:space="preserve">Den anmälda åtgärden kommer att gynna både inhemska och importerade produkter.</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Avgiften finansierar åtgärden helt eller endast delvis.</w:t>
      </w:r>
      <w:r>
        <w:t xml:space="preserve"> </w:t>
      </w:r>
      <w:r>
        <w:t xml:space="preserve">Om avgiften endast delvis finansierar åtgärden, ange övriga finansieringskällor för åtgärden och deras respektive andel.</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Den avgift som finansierar den anmälda åtgärden finansierar även andra stödåtgärder.</w:t>
      </w:r>
      <w:r>
        <w:t xml:space="preserve"> </w:t>
      </w:r>
      <w:r>
        <w:t xml:space="preserve">Ange i sådana fall övriga stödåtgärder som finansieras genom den berörda avgiften.</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 xml:space="preserve">Avsnitt B:</w:t>
            </w:r>
            <w:r>
              <w:rPr>
                <w:b/>
                <w:sz w:val="32"/>
              </w:rPr>
              <w:t xml:space="preserve"> </w:t>
            </w:r>
            <w:r>
              <w:rPr>
                <w:b/>
                <w:sz w:val="32"/>
              </w:rPr>
              <w:t xml:space="preserve">Bedömning av stödets förenlighet med den inre marknaden</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 xml:space="preserve">Positivt villkor:</w:t>
            </w:r>
            <w:r>
              <w:rPr>
                <w:i/>
                <w:sz w:val="28"/>
              </w:rPr>
              <w:t xml:space="preserve"> </w:t>
            </w:r>
            <w:r>
              <w:rPr>
                <w:i/>
                <w:sz w:val="28"/>
              </w:rPr>
              <w:t xml:space="preserve">stödet ska underlätta utvecklingen av en näringsverksamhet</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 xml:space="preserve">Bidrag till utvecklingen av en näringsverksamhet</w:t>
            </w:r>
          </w:p>
        </w:tc>
      </w:tr>
    </w:tbl>
    <w:p w14:paraId="1E2599D2" w14:textId="6708984F" w:rsidR="000442F5" w:rsidRPr="00D96C20" w:rsidRDefault="000442F5" w:rsidP="000442F5">
      <w:pPr>
        <w:spacing w:before="360" w:after="120"/>
        <w:jc w:val="both"/>
        <w:rPr>
          <w:i/>
        </w:rPr>
      </w:pPr>
      <w:r>
        <w:rPr>
          <w:i/>
        </w:rPr>
        <w:t xml:space="preserve">För att lämna information i detta avsnitt, se avsnitt 3.1.1 (punkterna 23–25) och avsnitten 4.10.1 och 4.10.2 (punkterna 383–390) i riktlinjerna.</w:t>
      </w:r>
      <w:r>
        <w:rPr>
          <w:i/>
        </w:rPr>
        <w:t xml:space="preserve">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Enligt artikel 107.3 c </w:t>
      </w:r>
      <w:bookmarkStart w:id="5" w:name="_Hlk170735690"/>
      <w:r>
        <w:t xml:space="preserve">i fördraget om Europeiska unionens funktionssätt (EUF-fördraget)</w:t>
      </w:r>
      <w:bookmarkEnd w:id="5"/>
      <w: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w:t>
      </w:r>
      <w:r>
        <w:t xml:space="preserve"> </w:t>
      </w:r>
      <w:r>
        <w:t xml:space="preserve">Därför måste stöd bidra till utvecklingen av en viss näringsverksamhet för att vara förenligt med den inre marknaden enligt denna bestämmelse i EUF-fördraget.</w:t>
      </w:r>
      <w:r>
        <w:t xml:space="preserve"> </w:t>
      </w:r>
    </w:p>
    <w:p w14:paraId="32559872" w14:textId="77777777" w:rsidR="007444CC" w:rsidRPr="00D96C20" w:rsidRDefault="007444CC" w:rsidP="000442F5">
      <w:pPr>
        <w:tabs>
          <w:tab w:val="left" w:leader="dot" w:pos="9072"/>
        </w:tabs>
        <w:spacing w:before="120" w:after="120"/>
        <w:ind w:left="567"/>
        <w:jc w:val="both"/>
      </w:pPr>
      <w:r>
        <w:t xml:space="preserve">För att det ska gå att bedöma om punkt 23 i riktlinjerna efterlevs, ange vilka näringsverksamheter som kommer att underlättas som en följd av stödet och hur utvecklingen av dessa verksamheter stöds.</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 xml:space="preserve">Belys dessutom i vilken utsträckning stödet avser den politik som beskrivs i punkterna 383 och 384 i riktlinjerna.</w:t>
      </w:r>
      <w:r>
        <w:t xml:space="preserve"> </w:t>
      </w:r>
      <w:r>
        <w:t xml:space="preserve">Förklara också huruvida projektet främjar förnybar energi i enlighet med artikel 2.1 i direktiv (EU) 2018/2001.</w:t>
      </w:r>
      <w:r>
        <w:t xml:space="preserve"> </w:t>
      </w:r>
      <w:r>
        <w:t xml:space="preserve">Bekräfta framförallt om åtgärden leder till utveckling av effektiva system för fjärrvärme och fjärrkyla i den mening som avses i artikel 26 i direktiv (EU) 2023/1791 för att främja värme och kyla från förnybara energikällor.</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I punkterna 385 och 386 i riktlinjerna anges att stöd som är begränsat till distributionsnät för fjärrvärme under vissa omständigheter kan anses falla utanför kontrollen av statligt stöd.</w:t>
      </w:r>
      <w:r>
        <w:t xml:space="preserve"> </w:t>
      </w:r>
    </w:p>
    <w:p w14:paraId="4F669D19" w14:textId="14DDB074" w:rsidR="008D2777" w:rsidRPr="00D96C20" w:rsidRDefault="00E9552A" w:rsidP="00A2265A">
      <w:pPr>
        <w:pStyle w:val="ListParagraph"/>
        <w:numPr>
          <w:ilvl w:val="1"/>
          <w:numId w:val="4"/>
        </w:numPr>
        <w:spacing w:before="120" w:after="120"/>
        <w:contextualSpacing w:val="0"/>
        <w:jc w:val="both"/>
      </w:pPr>
      <w:r>
        <w:t xml:space="preserve">Stöder åtgärden distributionsnät för fjärrvärme som kommer att omfattas av tredjepartstillträde, åtskillnad (dvs. åtskillnad mellan produktion och distribution av värme/kyla) och reglerade tariffer?</w:t>
      </w:r>
    </w:p>
    <w:p w14:paraId="79238E1B" w14:textId="51B3C821" w:rsidR="00E9552A" w:rsidRPr="00D96C20" w:rsidRDefault="00E9552A" w:rsidP="00A2265A">
      <w:pPr>
        <w:pStyle w:val="ListParagraph"/>
        <w:numPr>
          <w:ilvl w:val="1"/>
          <w:numId w:val="4"/>
        </w:numPr>
        <w:spacing w:before="120" w:after="120"/>
        <w:contextualSpacing w:val="0"/>
        <w:jc w:val="both"/>
      </w:pPr>
      <w:r>
        <w:t xml:space="preserve">Om svaret på punkt a är ”Ja”, förklara om distributionsnätet kommer att drivas under ett lagstadgat och/eller naturligt monopol, med hänvisning till kriterierna i punkterna 374 och 375 i riktlinjerna.</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Lämna uppgifter om stödåtgärdens/stödåtgärdernas omfattning och stödverksamhet, i enlighet med avsnitt 4.10.2 (punkterna 388–389) i riktlinjerna.</w:t>
      </w:r>
      <w:r>
        <w:t xml:space="preserve"> </w:t>
      </w:r>
      <w:r>
        <w:t xml:space="preserve">I det sammanhanget är det viktigt att tänka på följande:</w:t>
      </w:r>
      <w:r>
        <w:t xml:space="preserve">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Förklara varför projektet omfattas av definitionen av fjärrvärme/fjärrkyla i punkt 19.27 i riktlinjerna och av definitionen av system för fjärrvärme och/eller fjärrkyla i punkt 19.28 i riktlinjerna.</w:t>
      </w:r>
      <w:r>
        <w:t xml:space="preserve">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Förklara om projektet stöder konstruktion, uppgradering eller drift av</w:t>
      </w:r>
      <w:r>
        <w:t xml:space="preserve">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en produktionsenhet, och/eller</w:t>
      </w:r>
      <w:r>
        <w:t xml:space="preserve">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en lagringsanläggning, och/eller</w:t>
      </w:r>
      <w:r>
        <w:t xml:space="preserve"> </w:t>
      </w:r>
    </w:p>
    <w:p w14:paraId="7F9E3ACD" w14:textId="32BF6B8C" w:rsidR="009C1CC6" w:rsidRPr="00D96C20" w:rsidRDefault="009C1CC6" w:rsidP="00F10E39">
      <w:pPr>
        <w:pStyle w:val="ListParagraph"/>
        <w:numPr>
          <w:ilvl w:val="0"/>
          <w:numId w:val="30"/>
        </w:numPr>
        <w:spacing w:before="120" w:after="120"/>
        <w:contextualSpacing w:val="0"/>
        <w:jc w:val="both"/>
      </w:pPr>
      <w:r>
        <w:t xml:space="preserve">ett distributionsnät.</w:t>
      </w:r>
    </w:p>
    <w:p w14:paraId="16B1DB2A" w14:textId="7E0B0C78" w:rsidR="009C1CC6" w:rsidRPr="00D96C20" w:rsidRDefault="009C1CC6" w:rsidP="00F10E39">
      <w:pPr>
        <w:pStyle w:val="ListParagraph"/>
        <w:numPr>
          <w:ilvl w:val="0"/>
          <w:numId w:val="29"/>
        </w:numPr>
        <w:spacing w:before="120" w:after="120"/>
        <w:contextualSpacing w:val="0"/>
        <w:jc w:val="both"/>
      </w:pPr>
      <w:r>
        <w:t xml:space="preserve">Om stödet avser en produktionsenhet, förklara vilka resurser den använder för att producera el, fjärrvärme eller fjärrkyla:</w:t>
      </w:r>
      <w:r>
        <w:t xml:space="preserve"> </w:t>
      </w:r>
      <w:r>
        <w:t xml:space="preserve">förnybar energi, spillvärme eller högeffektiv kraftvärme, inklusive lösningar för värmelagring.</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Om stödet rör en produktionsenhet som använder avfall, bekräfta att stödet är begränsat till antingen avfall som uppfyller definitionen av förnybara energikällor eller avfall som används för att driva anläggningar som uppfyller definitionen av högeffektiv kraftvärme.</w:t>
      </w:r>
      <w:r>
        <w:t xml:space="preserve">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Om stöd beviljas för uppgradering av ett system för fjärrvärme och fjärrkyla, ange om systemet för fjärrvärme och fjärrkyla uppfyller normen för effektivt system för fjärrvärme och fjärrkyla i enlighet med artikel 2.46 och artikel 26 i direktiv (EU) 2023/1791.</w:t>
      </w:r>
      <w:r>
        <w:t xml:space="preserve">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Ange vilken typ av kostnader som kommer att få stöd genom åtgärden:</w:t>
      </w:r>
      <w:r>
        <w:t xml:space="preserve"> </w:t>
      </w:r>
      <w:r>
        <w:t xml:space="preserve">investerings- och/eller driftskostnader.</w:t>
      </w:r>
      <w:r>
        <w:t xml:space="preserve">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 xml:space="preserve">Om stödet syftar till att stödja en uppgradering av ett system för fjärrvärme och fjärrkyla som dock inte leder till ett system som uppfyller normen för effektiv fjärrvärme och fjärrkyla i den mening som avses i artikel 26 i direktiv (EU) 2023/1791 till följd av den uppgradering som stöds, lämna ett åtagande om att stödmottagaren kommer att inleda arbetet med att uppnå denna effektivitetsnorm inom tre år efter uppgraderingsarbetet i enlighet med punkt 390 i riktlinjerna.</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 xml:space="preserve">Stimulanseffekt</w:t>
            </w:r>
          </w:p>
        </w:tc>
      </w:tr>
    </w:tbl>
    <w:p w14:paraId="20915284" w14:textId="430337A5" w:rsidR="00015E2B" w:rsidRPr="00D96C20" w:rsidRDefault="00B15313" w:rsidP="000B3E97">
      <w:pPr>
        <w:spacing w:before="120" w:after="120"/>
        <w:jc w:val="both"/>
        <w:rPr>
          <w:i/>
        </w:rPr>
      </w:pPr>
      <w:r>
        <w:rPr>
          <w:i/>
        </w:rPr>
        <w:t xml:space="preserve">För att lämna information i detta avsnitt, se avsnitt 3.1.2 (punkterna 26–32) i riktlinjerna.</w:t>
      </w:r>
      <w:r>
        <w:rPr>
          <w:i/>
        </w:rPr>
        <w:t xml:space="preserve">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 xml:space="preserve">Stöd kan endast anses underlätta en näringsverksamhet om det har en stimulanseffekt.</w:t>
      </w:r>
      <w:r>
        <w:t xml:space="preserve"> </w:t>
      </w:r>
      <w:r>
        <w:t xml:space="preserve">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För att det ska gå att bedöma om punkt 27 i riktlinjerna efterlevs, lämna upplysningar som bekräftar att stödet inte ersätter kostnaderna för en verksamhet som stödmottagaren ändå skulle bedriva och inte kompenserar för den normala affärsrisken för en näringsverksamhet</w:t>
      </w:r>
      <w:r w:rsidR="00AC5B96" w:rsidRPr="00D96C20">
        <w:rPr>
          <w:rStyle w:val="FootnoteReference"/>
          <w:color w:val="000000"/>
          <w:shd w:val="clear" w:color="auto" w:fill="FFFFFF"/>
        </w:rPr>
        <w:footnoteReference w:id="5"/>
      </w:r>
      <w:r>
        <w:t xml:space="preserve">.</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 xml:space="preserve">Lämna en utförlig beskrivning av det faktiska scenariot och det eller de sannolika kontrafaktiska scenarierna.</w:t>
      </w:r>
      <w:r>
        <w:t xml:space="preserve"> </w:t>
      </w:r>
      <w:r>
        <w:t xml:space="preserve">Om stödordningar omfattar olika referensprojekt</w:t>
      </w:r>
      <w:r w:rsidR="0030040A" w:rsidRPr="00D37B1D">
        <w:rPr>
          <w:rStyle w:val="FootnoteReference"/>
          <w:lang w:val="en-IE" w:eastAsia="en-GB"/>
        </w:rPr>
        <w:footnoteReference w:id="6"/>
      </w:r>
      <w:r>
        <w:t xml:space="preserve">, ska en beskrivning lämnas för varje referensprojekt.</w:t>
      </w:r>
      <w:r>
        <w:t xml:space="preserve"> </w:t>
      </w:r>
      <w:r>
        <w:t xml:space="preserve">För uppbyggnaden, uppgraderingen och driften av distributionsnät antas det kontrafaktiska scenariot vara en situation där projektet inte skulle genomföras (punkt 395 i riktlinjerna).</w:t>
      </w:r>
      <w:r>
        <w:t xml:space="preserve">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 xml:space="preserve">I enlighet med punkt 28 och fotnot 39 i riktlinjerna bifoga till detta anmälningsformulär alla handlingar från styrelsen, riskbedömningar, finansiella rapporter, interna affärsplaner, expertutlåtanden och andra studier som rör det projekt som bedöms, handlingar som innehåller information om efterfrågeprognoser, kostnadsprognoser, finansiella prognoser, handlingar som läggs fram för en investeringskommitté och som beskriver investerings- eller insatsscenarier eller handlingar som lämnats till finansinstituten.</w:t>
      </w:r>
    </w:p>
    <w:p w14:paraId="489E64F5" w14:textId="080206B8" w:rsidR="00C713DD" w:rsidRPr="00D96C20" w:rsidRDefault="005F6E6B" w:rsidP="005F6E6B">
      <w:pPr>
        <w:pStyle w:val="ListParagraph"/>
        <w:spacing w:before="120" w:after="120"/>
        <w:ind w:left="1287"/>
        <w:contextualSpacing w:val="0"/>
        <w:jc w:val="both"/>
      </w:pPr>
      <w:r>
        <w:t xml:space="preserve">Observera att dessa handlingar måste vara aktuella för den beslutsprocess som avser investerings- eller insatsbeslutet.</w:t>
      </w:r>
    </w:p>
    <w:p w14:paraId="0F3CF49B" w14:textId="7575EEBA" w:rsidR="00DE063E" w:rsidRPr="00D96C20" w:rsidRDefault="00E32AD5" w:rsidP="005F6E6B">
      <w:pPr>
        <w:pStyle w:val="ListParagraph"/>
        <w:spacing w:before="120" w:after="120"/>
        <w:ind w:left="1287"/>
        <w:contextualSpacing w:val="0"/>
        <w:jc w:val="both"/>
      </w:pPr>
      <w:r>
        <w:t xml:space="preserve">Om sådana handlingar bifogas </w:t>
      </w:r>
      <w:bookmarkStart w:id="6" w:name="_Hlk177381900"/>
      <w:r>
        <w:t xml:space="preserve">formuläret för kompletterande information</w:t>
      </w:r>
      <w:bookmarkEnd w:id="6"/>
      <w:r>
        <w:t xml:space="preserve">, ange nedan en förteckning över dem med uppgift om vem som upprättade dem, datum då de upprättades och i vilket sammanhang de har använts.</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Bifoga följande i en bilaga till detta anmälningsformulär (i en Excel-fil där alla formler är synliga): en kvantifiering, för det faktiska scenariot och ett trovärdigt kontrafaktiskt scenario enligt beskrivningen i punkt i, av alla viktiga kostnader och intäkter, stödmottagarnas beräknade vägda genomsnittliga kapitalkostnad för att diskontera framtida kassaflöden samt nettonuvärdet för de faktiska och kontrafaktiska scenarierna, under projektets livstid.</w:t>
      </w:r>
      <w:r>
        <w:t xml:space="preserve"> </w:t>
      </w:r>
      <w:r>
        <w:t xml:space="preserve">När det gäller individuellt stöd och individuella ordningar som gynnar ett särskilt begränsat antal stödmottagare måste beräkningarna och prognoserna presenteras på nivån för projektets detaljerade affärsplan, och för stödordningar på grundval av ett eller flera referensprojekt.</w:t>
      </w:r>
      <w:r>
        <w:t xml:space="preserve">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Bifoga i en bilaga till detta formulär för kompletterande information detaljerad information om de antaganden, metoder, skäl och underliggande källor som används för varje aspekt av kvantifieringen av kostnader och intäkter i det faktiska scenariot och det eller de troliga kontrafaktiska scenarierna (inkludera till exempel de antaganden som använts för att utveckla dessa scenarier).</w:t>
      </w:r>
      <w:r>
        <w:t xml:space="preserve">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 xml:space="preserve">För att visa att punkterna 29 och 31 i riktlinjerna efterlevs gäller följande:</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 xml:space="preserve">Bekräfta att arbetet med projektet eller verksamheten inte inleddes innan stödmottagaren lämnat in en skriftlig stödansökan till de nationella myndigheterna.</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 xml:space="preserve">ELLER</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 xml:space="preserve">När det gäller projekt som inleddes innan stödansökan lämnades in, visa att projektet faller inom ramen för något av de undantagsfall som anges i punkt 31 (a, b eller c) i riktlinjerna</w:t>
      </w:r>
      <w:r w:rsidR="00D24240" w:rsidRPr="00D96C20">
        <w:rPr>
          <w:rStyle w:val="FootnoteReference"/>
          <w:lang w:val="en-IE" w:eastAsia="en-GB"/>
        </w:rPr>
        <w:footnoteReference w:id="7"/>
      </w:r>
      <w:r>
        <w:t xml:space="preserve">.</w:t>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 xml:space="preserve">För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 xml:space="preserve">För att visa att punkt 32 i riktlinjerna efterlevs, ange om det finns unionsnormer</w:t>
      </w:r>
      <w:r w:rsidRPr="00D96C20">
        <w:rPr>
          <w:rStyle w:val="FootnoteReference"/>
          <w:lang w:val="en-IE" w:eastAsia="en-GB"/>
        </w:rPr>
        <w:footnoteReference w:id="8"/>
      </w:r>
      <w:r>
        <w:t xml:space="preserve"> som är tillämpliga på den eller de anmälda åtgärderna, obligatoriska nationella normer som är strängare eller ambitiösare än motsvarande unionsnormer eller obligatoriska nationella normer som antagits i avsaknad av unionsnormer.</w:t>
      </w:r>
      <w:r>
        <w:t xml:space="preserve"> </w:t>
      </w:r>
      <w:r>
        <w:t xml:space="preserve">Lämna i detta sammanhang information för att påvisa stimulanseffekten.</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Om den relevanta unionsnormen redan har antagits men inte trätt i kraft än, visa då att stödet har en stimulanseffekt genom att det bidrar till att investeringen görs och slutförs minst 18 månader innan normen träder i kraft.</w:t>
      </w:r>
      <w:r>
        <w:t xml:space="preserve">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 xml:space="preserve">Ingen överträdelse av någon relevant bestämmelse i unionsrätten</w:t>
            </w:r>
          </w:p>
        </w:tc>
      </w:tr>
    </w:tbl>
    <w:p w14:paraId="665FE026" w14:textId="5CEA7791" w:rsidR="00DE1D68" w:rsidRPr="00D96C20" w:rsidRDefault="00DE1D68" w:rsidP="00DE1D68">
      <w:pPr>
        <w:spacing w:before="360" w:after="120"/>
        <w:jc w:val="both"/>
        <w:rPr>
          <w:i/>
        </w:rPr>
      </w:pPr>
      <w:r>
        <w:rPr>
          <w:i/>
        </w:rPr>
        <w:t xml:space="preserve">För att lämna information i detta avsnitt, se avsnitt 3.1.3 (punkt 33) i riktlinjerna.</w:t>
      </w:r>
      <w:r>
        <w:rPr>
          <w:i/>
        </w:rPr>
        <w:t xml:space="preserve">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Lämna information för att bekräfta efterlevnaden av relevanta bestämmelser i EU-rätten, i enlighet med punkt 33 i riktlinjerna.</w:t>
      </w:r>
      <w:r>
        <w:t xml:space="preserve">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 xml:space="preserve">Om en avgift används för att finansiera åtgärden/åtgärderna, ange om en bedömning av efterlevnaden av artiklarna 30 och 110 i EUF-fördraget behöver göras.</w:t>
      </w:r>
      <w:r>
        <w:t xml:space="preserve"> </w:t>
      </w:r>
      <w:r>
        <w:t xml:space="preserve">Om svaret är ”Ja”, visa hur åtgärden är förenlig med bestämmelserna i artiklarna 30 och 110 i EUF-fördraget.</w:t>
      </w:r>
      <w:r>
        <w:rPr>
          <w:i/>
        </w:rPr>
        <w:t xml:space="preserve"> </w:t>
      </w:r>
      <w:r>
        <w:t xml:space="preserve">I detta sammanhang kan det hänvisas till de uppgifter som lämnats under fråga </w:t>
      </w:r>
      <w:r w:rsidRPr="00D96C20">
        <w:fldChar w:fldCharType="begin" w:dirty="true"/>
      </w:r>
      <w:r w:rsidRPr="00D96C20">
        <w:instrText xml:space="preserve"> REF _Ref116914408 \r \h  \* MERGEFORMAT </w:instrText>
      </w:r>
      <w:r w:rsidRPr="00D96C20"/>
      <w:r w:rsidRPr="00D96C20">
        <w:fldChar w:fldCharType="separate"/>
      </w:r>
      <w:r w:rsidRPr="00D96C20">
        <w:t>5</w:t>
      </w:r>
      <w:r w:rsidRPr="00D96C20">
        <w:fldChar w:fldCharType="end"/>
      </w:r>
      <w:r>
        <w:t xml:space="preserve">.</w:t>
      </w:r>
      <w:r w:rsidRPr="00D96C20">
        <w:fldChar w:fldCharType="begin" w:dirty="true"/>
      </w:r>
      <w:r w:rsidRPr="00D96C20">
        <w:instrText xml:space="preserve"> REF _Ref116914400 \r \h  \* MERGEFORMAT </w:instrText>
      </w:r>
      <w:r w:rsidRPr="00D96C20"/>
      <w:r w:rsidRPr="00D96C20">
        <w:fldChar w:fldCharType="separate"/>
      </w:r>
      <w:r w:rsidRPr="00D96C20">
        <w:t>ii</w:t>
      </w:r>
      <w:r w:rsidRPr="00D96C20">
        <w:fldChar w:fldCharType="end"/>
      </w:r>
      <w:r>
        <w:t xml:space="preserve"> ovan, om den eller de anmälda åtgärderna finansieras genom en avgift.</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 xml:space="preserve">Negativt villkor:</w:t>
            </w:r>
            <w:r>
              <w:rPr>
                <w:i/>
                <w:color w:val="000000"/>
                <w:sz w:val="28"/>
              </w:rPr>
              <w:t xml:space="preserve"> </w:t>
            </w:r>
            <w:r>
              <w:rPr>
                <w:i/>
                <w:color w:val="000000"/>
                <w:sz w:val="28"/>
              </w:rPr>
              <w:t xml:space="preserve">stödet får inte påverka handeln på ett otillbörligt sätt i en omfattning som strider mot det gemensamma intresset</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w:t>
            </w:r>
            <w:r>
              <w:rPr>
                <w:i/>
                <w:color w:val="000000"/>
                <w:sz w:val="28"/>
              </w:rPr>
              <w:t xml:space="preserve">Minimering av snedvridning av konkurrens och handel</w:t>
            </w:r>
            <w:r>
              <w:rPr>
                <w:i/>
                <w:color w:val="000000"/>
                <w:sz w:val="28"/>
              </w:rPr>
              <w:t xml:space="preserve">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 xml:space="preserve">Är statligt stöd nödvändigt och lämpligt?</w:t>
            </w:r>
          </w:p>
        </w:tc>
      </w:tr>
    </w:tbl>
    <w:p w14:paraId="3C23674F" w14:textId="4023898F" w:rsidR="00663008" w:rsidRPr="00D96C20" w:rsidRDefault="00663008" w:rsidP="000B3E97">
      <w:pPr>
        <w:spacing w:before="120" w:after="120"/>
        <w:jc w:val="both"/>
        <w:rPr>
          <w:i/>
          <w:color w:val="000000"/>
        </w:rPr>
      </w:pPr>
      <w:r>
        <w:rPr>
          <w:i/>
        </w:rPr>
        <w:t xml:space="preserve">För att lämna information i detta avsnitt, se avsnitt 4.10.3 (punkterna 391–393) i riktlinjerna.</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 xml:space="preserve">Förklara i detalj hur projektet kommer att bidra till att skapa, bygga ut eller uppgradera effektiva system för fjärrvärme och fjärrkyla.</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Om åtgärden undantagsvis täcker driftskostnader, visa att dessa kostnader inte kan överföras på konsumenter av fjärrvärme/fjärrkyla utan att undergräva miljöskyddet i enlighet med punkt 392 i riktlinjerna.</w:t>
      </w:r>
      <w:r>
        <w:t xml:space="preserve"> </w:t>
      </w:r>
      <w:r>
        <w:t xml:space="preserve">Visa att de system för fjärrvärme/fjärrkyla som får stöd ökar energieffektiviteten, minskar koldioxidutsläppen och andra föroreningskällor samt nätförluster, jämfört med alternativa lösningar för fjärrvärme/fjärrkyla.</w:t>
      </w:r>
      <w:r>
        <w:t xml:space="preserve">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 xml:space="preserve">Om projektet baseras på avfall som insatsbränsle, förklara i enlighet med punkt 393 i riktlinjerna hur det respekterar principen om avfallshierarki (artikel 4.1 i direktiv (EU)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Stödets proportionalitet</w:t>
            </w:r>
            <w:r>
              <w:rPr>
                <w:color w:val="000000"/>
                <w:sz w:val="24"/>
              </w:rPr>
              <w:t xml:space="preserve"> </w:t>
            </w:r>
          </w:p>
        </w:tc>
      </w:tr>
    </w:tbl>
    <w:p w14:paraId="7AFDF26D" w14:textId="0DF381F0" w:rsidR="00A431BD" w:rsidRPr="00D96C20" w:rsidRDefault="00863406" w:rsidP="000B3E97">
      <w:pPr>
        <w:spacing w:before="120" w:after="120"/>
        <w:jc w:val="both"/>
        <w:rPr>
          <w:i/>
        </w:rPr>
      </w:pPr>
      <w:r>
        <w:rPr>
          <w:i/>
        </w:rPr>
        <w:t xml:space="preserve">För att lämna information i detta avsnitt, se avsnitt 3.2.1.3 och avsnitt 4.10.4 (punkterna 394 och 395) i riktlinjerna.</w:t>
      </w:r>
      <w:r>
        <w:rPr>
          <w:i/>
        </w:rPr>
        <w:t xml:space="preserve">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 xml:space="preserve">För att det ska gå att verifiera att punkt 51 i riktlinjerna efterlevs, ange följande:</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 xml:space="preserve">För att fastställa finansieringsunderskottet</w:t>
      </w:r>
      <w:r w:rsidR="00A84D63" w:rsidRPr="00D96C20">
        <w:rPr>
          <w:rStyle w:val="FootnoteReference"/>
          <w:shd w:val="clear" w:color="auto" w:fill="FFFFFF"/>
        </w:rPr>
        <w:footnoteReference w:id="9"/>
      </w:r>
      <w:r>
        <w:rPr>
          <w:shd w:val="clear" w:color="auto" w:fill="FFFFFF"/>
        </w:rPr>
        <w:t xml:space="preserve">, lämna in en kvantifiering, för det faktiska scenariot och ett trovärdigt kontrafaktiskt scenario</w:t>
      </w:r>
      <w:r w:rsidR="00FA5166" w:rsidRPr="00D96C20">
        <w:rPr>
          <w:rStyle w:val="FootnoteReference"/>
          <w:shd w:val="clear" w:color="auto" w:fill="FFFFFF"/>
        </w:rPr>
        <w:footnoteReference w:id="10"/>
      </w:r>
      <w:r>
        <w:rPr>
          <w:shd w:val="clear" w:color="auto" w:fill="FFFFFF"/>
        </w:rPr>
        <w:t xml:space="preserve">, av följande: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 xml:space="preserve">Projektets alla viktiga kostnader och intäkter.</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 xml:space="preserve">Stödmottagarnas beräknade vägda genomsnittliga kapitalkostnad för att diskontera framtida kassaflöden.</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 xml:space="preserve">Nettonuvärdet för de faktiska och kontrafaktiska scenarierna under projektets löptid.</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De antaganden som används för varje aspekt av kvantifieringen samt förklaring och motivering av alla metoder som tillämpas.</w:t>
      </w:r>
      <w:r>
        <w:rPr>
          <w:shd w:val="clear" w:color="auto" w:fill="FFFFFF"/>
        </w:rPr>
        <w:t xml:space="preserv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 xml:space="preserve">När det gäller individuellt stöd och stödordningar som gynnar ett särskilt begränsat antal stödmottagare, måste medlemsstaten lägga fram styrkande underlag på nivån för projektets detaljerade affärsplan.</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 xml:space="preserve">När det gäller stödordningar måste medlemsstaten lägga fram styrkande underlag på grundval av ett eller flera referensprojekt.</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 xml:space="preserve">Om inget alternativt projekt finns, och för att kommissionen ska kunna kontrollera att stödbeloppet inte överstiger det minimum som krävs för att det understödda projektet ska vara tillräckligt lönsamt</w:t>
      </w:r>
      <w:r w:rsidR="00DE525C" w:rsidRPr="00D96C20">
        <w:rPr>
          <w:rStyle w:val="FootnoteReference"/>
          <w:lang w:eastAsia="en-GB"/>
        </w:rPr>
        <w:footnoteReference w:id="11"/>
      </w:r>
      <w:r>
        <w:t xml:space="preserve">, lämna någon av följande uppgifter:</w:t>
      </w:r>
    </w:p>
    <w:p w14:paraId="020A0406" w14:textId="40D27EEF" w:rsidR="00EC2A7D" w:rsidRPr="00D96C20" w:rsidRDefault="00EC2A7D" w:rsidP="004776A4">
      <w:pPr>
        <w:pStyle w:val="ListParagraph"/>
        <w:numPr>
          <w:ilvl w:val="1"/>
          <w:numId w:val="4"/>
        </w:numPr>
        <w:spacing w:before="120" w:after="120"/>
        <w:contextualSpacing w:val="0"/>
        <w:jc w:val="both"/>
      </w:pPr>
      <w:r>
        <w:t xml:space="preserve">Internräntan (IRR) som motsvarar det sektor- eller företagsspecifika riktmärket eller tröskelvärdet för avkastningen.</w:t>
      </w:r>
      <w:r>
        <w:t xml:space="preserve"> </w:t>
      </w:r>
      <w:r>
        <w:t xml:space="preserve">  </w:t>
      </w:r>
    </w:p>
    <w:p w14:paraId="056D5BF9" w14:textId="64F3B5CD" w:rsidR="00AB47A1" w:rsidRPr="00D96C20" w:rsidRDefault="007315B8" w:rsidP="004776A4">
      <w:pPr>
        <w:pStyle w:val="ListParagraph"/>
        <w:numPr>
          <w:ilvl w:val="1"/>
          <w:numId w:val="4"/>
        </w:numPr>
        <w:spacing w:before="120" w:after="120"/>
        <w:contextualSpacing w:val="0"/>
        <w:jc w:val="both"/>
      </w:pPr>
      <w:r>
        <w:t xml:space="preserve">Den normala avkastningsgrad som krävs av stödmottagaren i andra investeringsprojekt av liknande slag, projektets kapitalkostnader som helhet.</w:t>
      </w:r>
      <w:r>
        <w:t xml:space="preserve"> </w:t>
      </w:r>
      <w:r>
        <w:t xml:space="preserve">  </w:t>
      </w:r>
    </w:p>
    <w:p w14:paraId="13B46137" w14:textId="062C7DC0" w:rsidR="0029714D" w:rsidRPr="00D96C20" w:rsidRDefault="007315B8" w:rsidP="004776A4">
      <w:pPr>
        <w:pStyle w:val="ListParagraph"/>
        <w:numPr>
          <w:ilvl w:val="1"/>
          <w:numId w:val="4"/>
        </w:numPr>
        <w:spacing w:before="120" w:after="120"/>
        <w:contextualSpacing w:val="0"/>
        <w:jc w:val="both"/>
      </w:pPr>
      <w:r>
        <w:t xml:space="preserve">Den avkastning som är vanligt förekommande i den berörda branschen.</w:t>
      </w:r>
      <w:r>
        <w:t xml:space="preserve"> </w:t>
      </w:r>
      <w:r>
        <w:t xml:space="preserve">  </w:t>
      </w:r>
    </w:p>
    <w:p w14:paraId="0691A0E0" w14:textId="27443E78" w:rsidR="00445F48" w:rsidRPr="00D96C20" w:rsidRDefault="001622D8" w:rsidP="004776A4">
      <w:pPr>
        <w:pStyle w:val="ListParagraph"/>
        <w:numPr>
          <w:ilvl w:val="1"/>
          <w:numId w:val="4"/>
        </w:numPr>
        <w:spacing w:before="120" w:after="120"/>
        <w:contextualSpacing w:val="0"/>
        <w:jc w:val="both"/>
      </w:pPr>
      <w:r>
        <w:t xml:space="preserve">All annan information som visar att stödbeloppet inte överstiger det minimum som krävs för att det understödda projektet ska vara tillräckligt lönsamt.</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 xml:space="preserve">Kumulering</w:t>
            </w:r>
          </w:p>
        </w:tc>
      </w:tr>
    </w:tbl>
    <w:p w14:paraId="2346A85D" w14:textId="09594631" w:rsidR="00B21377" w:rsidRPr="00D96C20" w:rsidRDefault="00B21377" w:rsidP="00B21377">
      <w:pPr>
        <w:pStyle w:val="ListParagraph"/>
        <w:spacing w:before="120" w:after="120"/>
        <w:ind w:left="567"/>
        <w:contextualSpacing w:val="0"/>
        <w:jc w:val="both"/>
      </w:pPr>
      <w:r>
        <w:rPr>
          <w:i/>
        </w:rPr>
        <w:t xml:space="preserve">För att lämna information i detta avsnitt, se punkterna 56–57 i riktlinjerna.</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Klargör huruvida stödet inom ramen för den anmälda åtgärden/de anmälda åtgärderna kan beviljas samtidigt inom ramen för flera stödordningar eller kumuleras med stöd för särskilda ändamål eller stöd av mindre betydelse i förhållande till samma stödberättigande kostnader, och för att visa att punkt 56 i riktlinjerna efterlevs.</w:t>
      </w:r>
      <w:r>
        <w:t xml:space="preserve"> </w:t>
      </w:r>
      <w:r>
        <w:t xml:space="preserve">Om så är fallet, lämna närmare uppgifter om dessa stödordningar, stöd för särskilda ändamål eller stöd av mindre betydelse och hur stödet kommer att kumuleras.</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Om punkt 56 i riktlinjerna är tillämplig på den/de anmälda åtgärden/åtgärderna, motivera hur det totala stödbelopp som beviljas inom ramen för den eller de anmälda åtgärderna till ett projekt eller en verksamhet inte leder till överkompensation eller överskrider det högsta stödbelopp som tillåts enligt punkt 394 i riktlinjerna.</w:t>
      </w:r>
      <w:r>
        <w:t xml:space="preserve"> </w:t>
      </w:r>
      <w:r>
        <w:t xml:space="preserve">Ange, för varje åtgärd med vilken det stöd som beviljas inom ramen för den eller de anmälda stödåtgärderna kan kumuleras, den metod som används för att säkerställa att villkoren i punkt 56 i riktlinjerna efterlevs.</w:t>
      </w:r>
      <w:r>
        <w:t xml:space="preserve">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 xml:space="preserve">Om punkt 57 i riktlinjerna är tillämplig, dvs. om det stöd som beviljas inom ramen för den eller de anmälda åtgärderna kombineras med en centralt förvaltad unionsfinansiering</w:t>
      </w:r>
      <w:r w:rsidR="009B2F61" w:rsidRPr="00D96C20">
        <w:rPr>
          <w:rStyle w:val="FootnoteReference"/>
          <w:lang w:eastAsia="en-GB"/>
        </w:rPr>
        <w:footnoteReference w:id="12"/>
      </w:r>
      <w:r>
        <w:t xml:space="preserve">, motivera hur den totala offentliga finansiering som beviljas för samma stödberättigande kostnader inte leder till överkompensation.</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 xml:space="preserve">Öppenhet</w:t>
            </w:r>
          </w:p>
        </w:tc>
      </w:tr>
    </w:tbl>
    <w:p w14:paraId="32448DD4" w14:textId="77777777" w:rsidR="009C7EC5" w:rsidRPr="00D96C20" w:rsidRDefault="009C7EC5" w:rsidP="000B3E97">
      <w:pPr>
        <w:spacing w:before="120" w:after="120"/>
        <w:jc w:val="both"/>
        <w:rPr>
          <w:i/>
        </w:rPr>
      </w:pPr>
      <w:r>
        <w:rPr>
          <w:i/>
        </w:rPr>
        <w:t xml:space="preserve">För att lämna information i detta avsnitt, se avsnitt 3.2.1.4 (punkterna 58–61) i riktlinjerna.</w:t>
      </w:r>
      <w:r>
        <w:rPr>
          <w:i/>
        </w:rPr>
        <w:t xml:space="preserve">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szCs w:val="24"/>
          <w:rFonts w:eastAsia="Times New Roman"/>
        </w:rPr>
      </w:pPr>
      <w:r>
        <w:t xml:space="preserve">Bekräfta att medlemsstaten kommer att efterleva de krav på öppenhet som fastställs i punkterna 58–61 i riktlinjerna.</w:t>
      </w:r>
      <w:r>
        <w:t xml:space="preserve">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w:t>
            </w:r>
            <w:r>
              <w:rPr>
                <w:i/>
                <w:color w:val="000000"/>
                <w:sz w:val="28"/>
              </w:rPr>
              <w:t xml:space="preserve">2.2.</w:t>
            </w:r>
            <w:r>
              <w:rPr>
                <w:i/>
                <w:color w:val="000000"/>
                <w:sz w:val="28"/>
              </w:rPr>
              <w:t xml:space="preserve">  </w:t>
            </w:r>
            <w:r>
              <w:rPr>
                <w:i/>
                <w:color w:val="000000"/>
                <w:sz w:val="28"/>
              </w:rPr>
              <w:t xml:space="preserve">Undvikande av otillbörliga negativa effekter av stödet på handel och konkurrens och balansering</w:t>
            </w:r>
          </w:p>
        </w:tc>
      </w:tr>
    </w:tbl>
    <w:p w14:paraId="6CD3884F" w14:textId="308833E5" w:rsidR="00F83660" w:rsidRPr="00D96C20" w:rsidRDefault="00F83660" w:rsidP="000B3E97">
      <w:pPr>
        <w:spacing w:before="120" w:after="120"/>
        <w:jc w:val="both"/>
        <w:rPr>
          <w:i/>
        </w:rPr>
      </w:pPr>
      <w:r>
        <w:rPr>
          <w:i/>
        </w:rPr>
        <w:t xml:space="preserve">För att lämna information i detta avsnitt, se avsnitt 4.10.5 (punkterna 396–398) i riktlinjerna.</w:t>
      </w:r>
      <w:r>
        <w:rPr>
          <w:i/>
        </w:rPr>
        <w:t xml:space="preserve">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Om systemen för fjärrvärme och fjärrkyla är beroende av de mest förorenande fossila bränslena som kol, brunkol, olja och diesel, förklara om följande kumulativa villkor är uppfyllda i enlighet med punkt 396 i riktlinjerna:</w:t>
      </w:r>
      <w:r>
        <w:t xml:space="preserve">  </w:t>
      </w:r>
    </w:p>
    <w:p w14:paraId="5E05EB28" w14:textId="599AE112" w:rsidR="00304F41" w:rsidRPr="00D96C20" w:rsidRDefault="00304F41" w:rsidP="00F10E39">
      <w:pPr>
        <w:pStyle w:val="ListParagraph"/>
        <w:numPr>
          <w:ilvl w:val="2"/>
          <w:numId w:val="28"/>
        </w:numPr>
        <w:spacing w:before="120" w:after="120"/>
        <w:contextualSpacing w:val="0"/>
        <w:jc w:val="both"/>
      </w:pPr>
      <w:r>
        <w:t xml:space="preserve">Stödet är begränsat till investeringar i distributionsnätet.</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Distributionsnätet möjliggör redan transport av värme och kyla som produceras med förnybara energikällor, spillvärme eller koldioxidneutrala källor.</w:t>
      </w:r>
      <w:r>
        <w:t xml:space="preserve">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Stödet medför inte någon ökad produktion av energi från de mest förorenande fossila bränslena (exempelvis genom att ytterligare kunder ansluts).</w:t>
      </w:r>
      <w:r>
        <w:t xml:space="preserve">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Det finns en tydlig tidsplan med fasta åtaganden att avveckla de mest förorenande fossila bränslena mot bakgrund av unionens klimatmål för 2030 och klimatneutralitetsmålet för 2050 (exempel finns i fotnot 156 i riktlinjerna).</w:t>
      </w:r>
      <w:r>
        <w:t xml:space="preserve">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Om projektet stimulerar nya investeringar i eller drift av naturgasbaserade energiproduktionstillgångar, förklara om projektet säkerställer följande, i linje med punkt 397 i riktlinjerna:</w:t>
      </w:r>
      <w:r>
        <w:t xml:space="preserve"> </w:t>
      </w:r>
    </w:p>
    <w:p w14:paraId="38C1F102" w14:textId="32146B66" w:rsidR="00F610C7" w:rsidRPr="00D96C20" w:rsidRDefault="00304F41" w:rsidP="00D37B1D">
      <w:pPr>
        <w:pStyle w:val="ListParagraph"/>
        <w:numPr>
          <w:ilvl w:val="0"/>
          <w:numId w:val="38"/>
        </w:numPr>
        <w:spacing w:before="120" w:after="120"/>
        <w:contextualSpacing w:val="0"/>
        <w:jc w:val="both"/>
      </w:pPr>
      <w:r>
        <w:t xml:space="preserve">Investeringens bidrag till att uppnå unionens klimatmål för 2030 och klimatneutralitetsmål för 2050.</w:t>
      </w:r>
    </w:p>
    <w:p w14:paraId="389482B8" w14:textId="38817A0F" w:rsidR="00F610C7" w:rsidRPr="00D96C20" w:rsidRDefault="00304F41" w:rsidP="00D37B1D">
      <w:pPr>
        <w:pStyle w:val="ListParagraph"/>
        <w:numPr>
          <w:ilvl w:val="0"/>
          <w:numId w:val="38"/>
        </w:numPr>
        <w:spacing w:before="120" w:after="120"/>
        <w:contextualSpacing w:val="0"/>
        <w:jc w:val="both"/>
      </w:pPr>
      <w:r>
        <w:t xml:space="preserve">Hur en inlåsningseffekt av gaseldad energiproduktion kommer att undvikas.</w:t>
      </w:r>
    </w:p>
    <w:p w14:paraId="7EA03E9A" w14:textId="7AB57B2E" w:rsidR="00F83660" w:rsidRPr="00D96C20" w:rsidRDefault="00F610C7" w:rsidP="00D37B1D">
      <w:pPr>
        <w:pStyle w:val="ListParagraph"/>
        <w:numPr>
          <w:ilvl w:val="0"/>
          <w:numId w:val="38"/>
        </w:numPr>
        <w:spacing w:before="120" w:after="120"/>
        <w:contextualSpacing w:val="0"/>
        <w:jc w:val="both"/>
      </w:pPr>
      <w:r>
        <w:t xml:space="preserve">Hur stödet inte ersätter investeringar i renare alternativ som redan finns tillgängliga på marknaden, och inte hindrar utvecklingen och användningen av renare teknik.</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Klargör om systemet för fjärrvärme och fjärrkyla är öppet för tredje parts tillträde och om det skulle vara möjligt att använda hållbara alternativa uppvärmningslösningar, så att det framgår huruvida punkt 398 i riktlinjerna efterlevs.</w:t>
      </w:r>
      <w:r>
        <w:t xml:space="preserv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b/>
                <w:i/>
                <w:color w:val="000000"/>
                <w:sz w:val="28"/>
                <w:szCs w:val="28"/>
                <w:rFonts w:eastAsia="Times New Roman"/>
              </w:rPr>
            </w:pPr>
            <w:r>
              <w:rPr>
                <w:b/>
                <w:i/>
                <w:color w:val="000000"/>
                <w:sz w:val="28"/>
              </w:rPr>
              <w:t xml:space="preserve">Utvärdering</w:t>
            </w:r>
          </w:p>
        </w:tc>
      </w:tr>
    </w:tbl>
    <w:p w14:paraId="78AC9B95" w14:textId="1FB76E7E" w:rsidR="00C33721" w:rsidRPr="00D96C20" w:rsidRDefault="00C33721" w:rsidP="005C6138">
      <w:pPr>
        <w:tabs>
          <w:tab w:val="left" w:leader="dot" w:pos="9072"/>
        </w:tabs>
        <w:spacing w:before="120" w:after="120"/>
        <w:ind w:left="567"/>
        <w:jc w:val="both"/>
      </w:pPr>
      <w:r>
        <w:rPr>
          <w:i/>
        </w:rPr>
        <w:t xml:space="preserve">För att lämna information i detta avsnitt, se punkt 76 a och kapitel 5 (punkterna 455–463) i riktlinjerna.</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Om den eller de anmälda åtgärderna överskrider de budget-/utgiftströskelvärdena som avses i punkt 456 i riktlinjerna, ange antingen varför ni anser att undantaget i punkt 457 i riktlinjerna bör tillämpas eller bifoga en bilaga till detta formulär för kompletterande information som innehåller ett utkast till utvärderingsplan som täcker det tillämpningsområde som anges i punkt 458 i riktlinjerna.</w:t>
      </w:r>
      <w:r w:rsidRPr="00D96C20">
        <w:rPr>
          <w:vertAlign w:val="superscript"/>
          <w:lang w:eastAsia="en-GB"/>
        </w:rPr>
        <w:footnoteReference w:id="13"/>
      </w:r>
    </w:p>
    <w:p w14:paraId="02454385" w14:textId="77777777" w:rsidR="00FE28B4" w:rsidRPr="00D96C20" w:rsidRDefault="00FE28B4" w:rsidP="00FE28B4">
      <w:pPr>
        <w:spacing w:before="120" w:after="120"/>
        <w:ind w:firstLine="567"/>
        <w:jc w:val="both"/>
      </w:pPr>
      <w:r>
        <w:t xml:space="preserve">……………………………………………………………………………………………</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 xml:space="preserve">Om ett utkast till utvärderingsplan tillhandahålls, ska följande göras:</w:t>
      </w:r>
    </w:p>
    <w:p w14:paraId="36682E0D" w14:textId="77777777" w:rsidR="00FE28B4" w:rsidRPr="00D96C20" w:rsidRDefault="00FE28B4" w:rsidP="00F10E39">
      <w:pPr>
        <w:numPr>
          <w:ilvl w:val="0"/>
          <w:numId w:val="34"/>
        </w:numPr>
        <w:spacing w:before="120" w:after="120"/>
        <w:jc w:val="both"/>
      </w:pPr>
      <w:r>
        <w:t xml:space="preserve">Lämna nedan en sammanfattning av det utkast till utvärderingsplan som finns i bilagan.</w:t>
      </w:r>
    </w:p>
    <w:p w14:paraId="55BB6E08" w14:textId="77777777" w:rsidR="00FE28B4" w:rsidRPr="00D96C20" w:rsidRDefault="00FE28B4" w:rsidP="00FE28B4">
      <w:pPr>
        <w:spacing w:before="120" w:after="120"/>
        <w:ind w:left="1440"/>
        <w:jc w:val="both"/>
      </w:pPr>
      <w:r>
        <w:t xml:space="preserve">………………………………………………………………………………….</w:t>
      </w:r>
    </w:p>
    <w:p w14:paraId="1279036C" w14:textId="77777777" w:rsidR="00FE28B4" w:rsidRPr="00D96C20" w:rsidRDefault="00FE28B4" w:rsidP="00F10E39">
      <w:pPr>
        <w:numPr>
          <w:ilvl w:val="0"/>
          <w:numId w:val="34"/>
        </w:numPr>
        <w:spacing w:before="120" w:after="120"/>
        <w:jc w:val="both"/>
      </w:pPr>
      <w:r>
        <w:t xml:space="preserve">Bekräfta att punkt 460 i riktlinjerna kommer att iakttas.</w:t>
      </w:r>
    </w:p>
    <w:p w14:paraId="478509E5" w14:textId="77777777" w:rsidR="00FE28B4" w:rsidRPr="00D96C20" w:rsidRDefault="00FE28B4" w:rsidP="00FE28B4">
      <w:pPr>
        <w:spacing w:before="120" w:after="120"/>
        <w:ind w:left="1440"/>
        <w:jc w:val="both"/>
      </w:pPr>
      <w:r>
        <w:t xml:space="preserve">………………………………………………………………………………….</w:t>
      </w:r>
      <w:r>
        <w:t xml:space="preserve"> </w:t>
      </w:r>
    </w:p>
    <w:p w14:paraId="55D970DB" w14:textId="77777777" w:rsidR="00FE28B4" w:rsidRPr="00D96C20" w:rsidRDefault="00FE28B4" w:rsidP="00F10E39">
      <w:pPr>
        <w:numPr>
          <w:ilvl w:val="0"/>
          <w:numId w:val="34"/>
        </w:numPr>
        <w:spacing w:before="120" w:after="120"/>
        <w:jc w:val="both"/>
      </w:pPr>
      <w:r>
        <w:t xml:space="preserve">Ange datum och internetlänk där utvärderingsplanen kommer att finnas tillgänglig för allmänheten.</w:t>
      </w:r>
    </w:p>
    <w:p w14:paraId="11CB5329" w14:textId="77777777" w:rsidR="00FE28B4" w:rsidRPr="00D96C20" w:rsidRDefault="00FE28B4" w:rsidP="00FE28B4">
      <w:pPr>
        <w:spacing w:before="120" w:after="120"/>
        <w:ind w:left="1440"/>
        <w:jc w:val="both"/>
      </w:pPr>
      <w:r>
        <w:t xml:space="preserve">………………………………………………………………………………….</w:t>
      </w: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750 miljoner euro under stödordningens totala varaktighet.</w:t>
      </w:r>
      <w:r>
        <w:t xml:space="preserve">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För att det ska gå att verifiera att 459 c i riktlinjerna efterlevs, och om stödordningen för närvarande inte är föremål för en efterhandsutvärdering, ange nedan ett åtagande om att medlemsstaten kommer att anmäla ett utkast till utvärderingsplan inom 30 arbetsdagar efter att i de officiella räkenskaperna ha redovisat utgifter på över 150 miljoner euro under föregående år.</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För att det ska gå att verifiera att punkt 461 i riktlinjerna efterlevs krävs följande:</w:t>
      </w:r>
    </w:p>
    <w:p w14:paraId="04054438" w14:textId="77777777" w:rsidR="00FE28B4" w:rsidRPr="00D96C20" w:rsidRDefault="00FE28B4" w:rsidP="00F10E39">
      <w:pPr>
        <w:numPr>
          <w:ilvl w:val="0"/>
          <w:numId w:val="35"/>
        </w:numPr>
        <w:spacing w:before="120" w:after="120"/>
        <w:jc w:val="both"/>
      </w:pPr>
      <w:r>
        <w:t xml:space="preserve">Klargör om den oberoende experten redan har valts eller kommer att väljas i framtiden.</w:t>
      </w:r>
    </w:p>
    <w:p w14:paraId="5916D93B" w14:textId="77777777" w:rsidR="00FE28B4" w:rsidRPr="00D96C20" w:rsidRDefault="00FE28B4" w:rsidP="00FE28B4">
      <w:pPr>
        <w:spacing w:before="120" w:after="120"/>
        <w:ind w:left="1440"/>
        <w:jc w:val="both"/>
      </w:pPr>
      <w:r>
        <w:t xml:space="preserve">…………………………………………………………………………………..</w:t>
      </w:r>
    </w:p>
    <w:p w14:paraId="5C9891CF" w14:textId="77777777" w:rsidR="00FE28B4" w:rsidRPr="00D96C20" w:rsidRDefault="00FE28B4" w:rsidP="00F10E39">
      <w:pPr>
        <w:numPr>
          <w:ilvl w:val="0"/>
          <w:numId w:val="35"/>
        </w:numPr>
        <w:spacing w:before="120" w:after="120"/>
        <w:jc w:val="both"/>
      </w:pPr>
      <w:r>
        <w:t xml:space="preserve">Lämna information om förfarandet för val av expert.</w:t>
      </w:r>
    </w:p>
    <w:p w14:paraId="641EA92F" w14:textId="77777777" w:rsidR="00FE28B4" w:rsidRPr="00D96C20" w:rsidRDefault="00FE28B4" w:rsidP="00FE28B4">
      <w:pPr>
        <w:spacing w:before="120" w:after="120"/>
        <w:ind w:left="1440"/>
        <w:jc w:val="both"/>
      </w:pPr>
      <w:r>
        <w:t xml:space="preserve">………………………………………………………………………………….</w:t>
      </w:r>
    </w:p>
    <w:p w14:paraId="074D5B00" w14:textId="77777777" w:rsidR="00FE28B4" w:rsidRPr="00D96C20" w:rsidRDefault="00FE28B4" w:rsidP="00F10E39">
      <w:pPr>
        <w:numPr>
          <w:ilvl w:val="0"/>
          <w:numId w:val="35"/>
        </w:numPr>
        <w:spacing w:before="120" w:after="120"/>
        <w:jc w:val="both"/>
      </w:pPr>
      <w:r>
        <w:t xml:space="preserve">Förklara hur experten är oberoende av den beviljande myndigheten.</w:t>
      </w:r>
    </w:p>
    <w:p w14:paraId="3DA8CA32" w14:textId="77777777" w:rsidR="00FE28B4" w:rsidRPr="00D96C20" w:rsidRDefault="00FE28B4" w:rsidP="00FE28B4">
      <w:pPr>
        <w:spacing w:before="120" w:after="120"/>
        <w:ind w:left="1440"/>
        <w:jc w:val="both"/>
      </w:pPr>
      <w:r>
        <w:t xml:space="preserve">…………………………………………………………………………………..</w:t>
      </w: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För att det ska gå att verifiera att punkt 461 i riktlinjerna efterlevs krävs följande:</w:t>
      </w:r>
      <w:r>
        <w:t xml:space="preserve"> </w:t>
      </w:r>
    </w:p>
    <w:p w14:paraId="3043EB67" w14:textId="77777777" w:rsidR="00FE28B4" w:rsidRPr="00D96C20" w:rsidRDefault="00FE28B4" w:rsidP="00F10E39">
      <w:pPr>
        <w:numPr>
          <w:ilvl w:val="0"/>
          <w:numId w:val="36"/>
        </w:numPr>
        <w:spacing w:before="120" w:after="120"/>
        <w:jc w:val="both"/>
      </w:pPr>
      <w:r>
        <w:t xml:space="preserve">Ange de föreslagna tidsfristerna för inlämning av interimsutvärderingsrapporten och den slutliga utvärderingsrapporten.</w:t>
      </w:r>
      <w:r>
        <w:t xml:space="preserve"> </w:t>
      </w:r>
      <w:r>
        <w:t xml:space="preserve">Observera att den slutliga utvärderingsrapporten ska lämnas till kommissionen i god tid så att det kan bedömas om stödordningen kan förlängas och senast nio månader före dess upphörande, i enlighet med punkt 463 i riktlinjerna.</w:t>
      </w:r>
      <w:r>
        <w:t xml:space="preserve"> </w:t>
      </w:r>
      <w:r>
        <w:t xml:space="preserve">Observera att denna frist kan förkortas för stödordningar som utlöser utvärderingskravet under de två sista genomförandeåren.</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Bekräfta att interimsutvärderingsrapporten och den slutliga utvärderingsrapporten kommer att offentliggöras.</w:t>
      </w:r>
      <w:r>
        <w:t xml:space="preserve"> </w:t>
      </w:r>
      <w:r>
        <w:t xml:space="preserve">Ange datum och internetlänk där dessa rapporter kommer att finnas tillgängliga för allmänheten.</w:t>
      </w:r>
      <w:r>
        <w:t xml:space="preserve">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b/>
                <w:i/>
                <w:sz w:val="28"/>
                <w:szCs w:val="28"/>
                <w:rFonts w:eastAsia="Times New Roman"/>
              </w:rPr>
            </w:pPr>
            <w:r>
              <w:rPr>
                <w:b/>
                <w:i/>
                <w:sz w:val="28"/>
              </w:rPr>
              <w:t xml:space="preserve">Rapportering och övervakning</w:t>
            </w:r>
          </w:p>
        </w:tc>
      </w:tr>
    </w:tbl>
    <w:p w14:paraId="03FF5B05" w14:textId="77777777" w:rsidR="00FE28B4" w:rsidRPr="00D96C20" w:rsidRDefault="00FE28B4" w:rsidP="00FE28B4">
      <w:pPr>
        <w:tabs>
          <w:tab w:val="left" w:leader="dot" w:pos="9072"/>
        </w:tabs>
        <w:spacing w:before="120" w:after="120"/>
        <w:ind w:left="567"/>
        <w:jc w:val="both"/>
      </w:pPr>
      <w:r>
        <w:rPr>
          <w:i/>
        </w:rPr>
        <w:t xml:space="preserve">För att lämna information i detta avsnitt, se avsnitt 6 (punkterna 464–465) i riktlinjerna.</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 xml:space="preserve">Bekräfta att medlemsstaten kommer att efterleva de krav på rapportering och övervakning som anges i avsnitt 6, punkterna 464 och 465, i riktlinjerna.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r>
      <w:r>
        <w:t xml:space="preserve">EUT C 80, 18.2.2022, s. 1.</w:t>
      </w:r>
    </w:p>
  </w:footnote>
  <w:footnote w:id="3">
    <w:p w14:paraId="6565D8D9" w14:textId="77777777" w:rsidR="005937D4" w:rsidRPr="0067348B" w:rsidRDefault="005937D4" w:rsidP="005937D4">
      <w:pPr>
        <w:pStyle w:val="FootnoteText"/>
      </w:pPr>
      <w:r>
        <w:rPr>
          <w:rStyle w:val="FootnoteReference"/>
        </w:rPr>
        <w:footnoteRef/>
      </w:r>
      <w:r>
        <w:tab/>
      </w:r>
      <w:r>
        <w:t xml:space="preserve">Observera att varaktigheten för en stödordning är den period under vilken stöd kan sökas och det kan fattas beslut (och därför omfattar den tid som krävs för de nationella myndigheternas godkännande av stödansökningarna).</w:t>
      </w:r>
      <w:r>
        <w:t xml:space="preserve"> </w:t>
      </w:r>
      <w:r>
        <w:t xml:space="preserve">Med varaktighet avses här inte löptiden för de avtal som ingås inom ramen för stödordningen och som kan fortsätta att löpa efter åtgärdens varaktighet.</w:t>
      </w:r>
    </w:p>
  </w:footnote>
  <w:footnote w:id="4">
    <w:p w14:paraId="2D55E73F" w14:textId="77777777" w:rsidR="007444CC" w:rsidRPr="0067348B" w:rsidRDefault="007444CC" w:rsidP="007444CC">
      <w:pPr>
        <w:pStyle w:val="FootnoteText"/>
      </w:pPr>
      <w:r>
        <w:rPr>
          <w:rStyle w:val="FootnoteReference"/>
        </w:rPr>
        <w:footnoteRef/>
      </w:r>
      <w:r>
        <w:tab/>
      </w:r>
      <w:r>
        <w:t xml:space="preserve">Observera att en ändring av den faktiska eller beräknade budgeten kan utgöra en ändring av stöd, vilket kräver en ny anmälan.</w:t>
      </w:r>
    </w:p>
  </w:footnote>
  <w:footnote w:id="5">
    <w:p w14:paraId="561DACBB" w14:textId="1FF2FC9F" w:rsidR="008D2777" w:rsidRDefault="008D2777">
      <w:pPr>
        <w:pStyle w:val="FootnoteText"/>
      </w:pPr>
    </w:p>
  </w:footnote>
  <w:footnote w:id="6">
    <w:p w14:paraId="4C19DBFC" w14:textId="4F9612F8" w:rsidR="008D2777" w:rsidRPr="00D37B1D" w:rsidRDefault="008D2777">
      <w:pPr>
        <w:pStyle w:val="FootnoteText"/>
        <w:rPr>
          <w:lang w:val="en-IE"/>
        </w:rPr>
      </w:pPr>
    </w:p>
  </w:footnote>
  <w:footnote w:id="7">
    <w:p w14:paraId="76D8E62B" w14:textId="77777777" w:rsidR="00D37B1D" w:rsidRDefault="008D2777" w:rsidP="00D37B1D">
      <w:pPr>
        <w:pStyle w:val="FootnoteText"/>
      </w:pPr>
      <w:r>
        <w:rPr>
          <w:rStyle w:val="FootnoteReference"/>
        </w:rPr>
        <w:footnoteRef/>
      </w:r>
      <w:r>
        <w:t xml:space="preserve"> </w:t>
      </w:r>
      <w:r>
        <w:tab/>
      </w:r>
      <w:r>
        <w:t xml:space="preserve">I punkt 31 i riktlinjerna</w:t>
      </w:r>
    </w:p>
    <w:p w14:paraId="1524F4B1" w14:textId="7A02E55F" w:rsidR="008D2777" w:rsidRPr="00D24240" w:rsidRDefault="008D2777" w:rsidP="00D37B1D">
      <w:pPr>
        <w:pStyle w:val="FootnoteText"/>
        <w:rPr>
          <w:i/>
        </w:rPr>
      </w:pPr>
      <w:r>
        <w:t xml:space="preserve">anges att </w:t>
      </w:r>
      <w:r>
        <w:rPr>
          <w:i/>
          <w:iCs/>
        </w:rPr>
        <w:t xml:space="preserve">I vissa undantagsfall kan stöd ha en stimulanseffekt också för projekt som påbörjats innan ansökan om stöd lämnades in</w:t>
      </w:r>
      <w:r>
        <w:t xml:space="preserve">.</w:t>
      </w:r>
      <w:r>
        <w:rPr>
          <w:i/>
        </w:rPr>
        <w:t xml:space="preserve"> </w:t>
      </w:r>
      <w:r>
        <w:rPr>
          <w:i/>
        </w:rPr>
        <w:t xml:space="preserve">I synnerhet anses stöd ha en stimulanseffekt i följande situationer:</w:t>
      </w:r>
    </w:p>
    <w:p w14:paraId="5730337E" w14:textId="7DC3746A" w:rsidR="008D2777" w:rsidRPr="00D24240" w:rsidRDefault="008D2777" w:rsidP="00F10E39">
      <w:pPr>
        <w:pStyle w:val="FootnoteText"/>
        <w:numPr>
          <w:ilvl w:val="0"/>
          <w:numId w:val="24"/>
        </w:numPr>
        <w:rPr>
          <w:i/>
        </w:rPr>
      </w:pPr>
      <w:r>
        <w:rPr>
          <w:i/>
        </w:rPr>
        <w:t xml:space="preserve">Stödet beviljas automatiskt i enlighet med objektiva och icke-diskriminerande kriterier och utan ytterligare skönsmässig bedömning av medlemsstaten, och åtgärden har antagits och är i kraft innan arbetet med det projekt eller den verksamhet som beviljats stöd har påbörjats, förutom när det gäller efterföljande ordningar på skatteområdet där verksamheten redan omfattades av tidigare ordningar i form av skattelättnader.</w:t>
      </w:r>
    </w:p>
    <w:p w14:paraId="126E383A" w14:textId="1F4A7ABF" w:rsidR="008D2777" w:rsidRPr="00D24240" w:rsidRDefault="008D2777" w:rsidP="00F10E39">
      <w:pPr>
        <w:pStyle w:val="FootnoteText"/>
        <w:numPr>
          <w:ilvl w:val="0"/>
          <w:numId w:val="24"/>
        </w:numPr>
        <w:rPr>
          <w:i/>
        </w:rPr>
      </w:pPr>
      <w:r>
        <w:rPr>
          <w:i/>
        </w:rPr>
        <w:t xml:space="preserve">De nationella myndigheterna har, före arbetets början, offentliggjort ett tillkännagivande om sin avsikt att införa den föreslagna stödåtgärden, under förutsättning att kommissionen godkänner åtgärden enligt kravet i artikel 108.3 i fördraget.</w:t>
      </w:r>
      <w:r>
        <w:rPr>
          <w:i/>
        </w:rPr>
        <w:t xml:space="preserve"> </w:t>
      </w:r>
      <w:r>
        <w:rPr>
          <w:i/>
        </w:rPr>
        <w:t xml:space="preserve">Tillkännagivandet måste tillgängliggöras på en offentlig webbplats eller på andra offentligt tillgängliga medier med lika öppen och enkel åtkomst och tydligt ange den typ av projekt som medlemsstaten föreslår ska vara stödberättigad och den tidpunkt från vilken medlemsstaten avser att betrakta sådana projekt vara stödberättigade.</w:t>
      </w:r>
      <w:r>
        <w:rPr>
          <w:i/>
        </w:rPr>
        <w:t xml:space="preserve"> </w:t>
      </w:r>
      <w:r>
        <w:rPr>
          <w:i/>
        </w:rPr>
        <w:t xml:space="preserve">Det föreslagna stödberättigandet får inte vara begränsat på ett otillbörligt sätt.</w:t>
      </w:r>
      <w:r>
        <w:rPr>
          <w:i/>
        </w:rPr>
        <w:t xml:space="preserve"> </w:t>
      </w:r>
      <w:r>
        <w:rPr>
          <w:i/>
        </w:rPr>
        <w:t xml:space="preserve">Stödmottagaren måste ha underrättat den beviljande myndigheten före arbetets början om att den föreslagna stödåtgärden ansågs vara en förutsättning för de investeringsbeslut som fattats.</w:t>
      </w:r>
      <w:r>
        <w:rPr>
          <w:i/>
        </w:rPr>
        <w:t xml:space="preserve"> </w:t>
      </w:r>
      <w:r>
        <w:rPr>
          <w:i/>
        </w:rPr>
        <w:t xml:space="preserve">Om medlemsstaten förlitar sig på ett sådant tillkännagivande för att påvisa en stimulanseffekt ska den, som en del av sin anmälan om statligt stöd, tillhandahålla en kopia av meddelandet och en länk till den webbplats där det offentliggjordes eller motsvarande belägg för dess tillgänglighet för allmänheten.</w:t>
      </w:r>
    </w:p>
    <w:p w14:paraId="64F711A8" w14:textId="54D3F761" w:rsidR="008D2777" w:rsidRDefault="008D2777" w:rsidP="00F10E39">
      <w:pPr>
        <w:pStyle w:val="FootnoteText"/>
        <w:numPr>
          <w:ilvl w:val="0"/>
          <w:numId w:val="24"/>
        </w:numPr>
      </w:pPr>
      <w:r>
        <w:rPr>
          <w:i/>
        </w:rPr>
        <w:t xml:space="preserve">Driftstöd har beviljats för befintliga anläggningar för miljövänlig produktion i de fall då det inte finns någon ”arbetets början”, eftersom det inte finns någon betydande ny investering.</w:t>
      </w:r>
      <w:r>
        <w:rPr>
          <w:i/>
        </w:rPr>
        <w:t xml:space="preserve"> </w:t>
      </w:r>
      <w:r>
        <w:rPr>
          <w:i/>
        </w:rPr>
        <w:t xml:space="preserve">I dessa fall kan stimulanseffekt påvisas genom en ändring av anläggningens drift på ett miljövänligt sätt i stället för ett alternativt billigare driftsätt som inte är lika bra för miljön.</w:t>
      </w:r>
    </w:p>
  </w:footnote>
  <w:footnote w:id="8">
    <w:p w14:paraId="5276A1EB" w14:textId="77777777" w:rsidR="000C258D" w:rsidRDefault="000C258D" w:rsidP="000C258D">
      <w:pPr>
        <w:pStyle w:val="FootnoteText"/>
      </w:pPr>
      <w:r>
        <w:rPr>
          <w:rStyle w:val="FootnoteReference"/>
        </w:rPr>
        <w:footnoteRef/>
      </w:r>
      <w:r>
        <w:t xml:space="preserve"> </w:t>
      </w:r>
      <w:r>
        <w:tab/>
      </w:r>
      <w:r>
        <w:t xml:space="preserve">Enligt punkt 19.89 i riktlinjerna avses med </w:t>
      </w:r>
      <w:r>
        <w:rPr>
          <w:i/>
        </w:rPr>
        <w:t xml:space="preserve">unionsnorm</w:t>
      </w:r>
      <w:r>
        <w:t xml:space="preserve"> följande:</w:t>
      </w:r>
    </w:p>
    <w:p w14:paraId="2C2E9687" w14:textId="77777777" w:rsidR="000C258D" w:rsidRPr="004B74BC" w:rsidRDefault="000C258D" w:rsidP="00F10E39">
      <w:pPr>
        <w:pStyle w:val="FootnoteText"/>
        <w:numPr>
          <w:ilvl w:val="0"/>
          <w:numId w:val="27"/>
        </w:numPr>
        <w:rPr>
          <w:i/>
        </w:rPr>
      </w:pPr>
      <w:r>
        <w:rPr>
          <w:i/>
        </w:rPr>
        <w:t xml:space="preserve">Obligatorisk unionsnorm som anger vilka nivåer som enskilda företag ska uppnå i miljöavseende, med undantag för normer eller mål som fastställs på unionsnivå och som är bindande för medlemsstaterna men inte för enskilda företag.</w:t>
      </w:r>
    </w:p>
    <w:p w14:paraId="125190F0" w14:textId="64BC945A" w:rsidR="000C258D" w:rsidRDefault="000C258D" w:rsidP="00F10E39">
      <w:pPr>
        <w:pStyle w:val="FootnoteText"/>
        <w:numPr>
          <w:ilvl w:val="0"/>
          <w:numId w:val="27"/>
        </w:numPr>
      </w:pPr>
      <w:r>
        <w:rPr>
          <w:i/>
        </w:rPr>
        <w:t xml:space="preserve">Skyldigheten att använda bästa tillgängliga teknik enligt definitionen i direktiv 2010/75/EU och att säkerställa att utsläppsnivåerna inte överstiger de som skulle uppnås vid tillämpning av bästa tillgängliga teknik;</w:t>
      </w:r>
      <w:r>
        <w:rPr>
          <w:i/>
        </w:rPr>
        <w:t xml:space="preserve"> </w:t>
      </w:r>
      <w:r>
        <w:rPr>
          <w:i/>
        </w:rPr>
        <w:t xml:space="preserve">om utsläppsnivåer som motsvarar bästa tillgängliga teknik har definierats i genomförandeakter som antagits enligt direktiv 2010/75/EU, eller enligt andra tillämpliga direktiv, ska dessa nivåer gälla vid tillämpningen av dessa riktlinjer;</w:t>
      </w:r>
      <w:r>
        <w:rPr>
          <w:i/>
        </w:rPr>
        <w:t xml:space="preserve"> </w:t>
      </w:r>
      <w:r>
        <w:rPr>
          <w:i/>
        </w:rPr>
        <w:t xml:space="preserve">om nivåerna uttrycks i form av ett intervall ska den gräns för vilken den bästa tillämpliga tekniken först uppnås för det berörda företaget vara tillämplig.</w:t>
      </w:r>
    </w:p>
  </w:footnote>
  <w:footnote w:id="9">
    <w:p w14:paraId="6589188F" w14:textId="70D9D8AA" w:rsidR="008D2777" w:rsidRDefault="008D2777">
      <w:pPr>
        <w:pStyle w:val="FootnoteText"/>
      </w:pPr>
      <w:r>
        <w:rPr>
          <w:rStyle w:val="FootnoteReference"/>
        </w:rPr>
        <w:footnoteRef/>
      </w:r>
      <w:r>
        <w:t xml:space="preserve"> I punkt 51 i riktlinjerna fastställs följande: ”Den typiska merkostnaden netto kan uppskattas som skillnaden mellan nettonuvärdet för det faktiska scenariot och för det kontrafaktiska scenariot under referensprojektets livstid.”</w:t>
      </w:r>
    </w:p>
  </w:footnote>
  <w:footnote w:id="10">
    <w:p w14:paraId="02B0A4E3" w14:textId="5C6F97AB" w:rsidR="008D2777" w:rsidRDefault="008D2777">
      <w:pPr>
        <w:pStyle w:val="FootnoteText"/>
      </w:pPr>
      <w:r>
        <w:rPr>
          <w:rStyle w:val="FootnoteReference"/>
        </w:rPr>
        <w:footnoteRef/>
      </w:r>
      <w:r>
        <w:tab/>
      </w:r>
      <w:r>
        <w:t xml:space="preserve">Observera vad som sägs i fotnot 45 i riktlinjerna: ”Ett kontrafaktiskt scenario där en långsiktig fortsättning av en befintlig verksamhet som inte är miljömässigt hållbar föreslås som alternativ investering/insats kommer inte att betraktas som realistiskt.”</w:t>
      </w:r>
    </w:p>
  </w:footnote>
  <w:footnote w:id="11">
    <w:p w14:paraId="4E6E256B" w14:textId="4AB0B555" w:rsidR="008D2777" w:rsidRDefault="008D2777">
      <w:pPr>
        <w:pStyle w:val="FootnoteText"/>
      </w:pPr>
      <w:r>
        <w:rPr>
          <w:rStyle w:val="FootnoteReference"/>
        </w:rPr>
        <w:footnoteRef/>
      </w:r>
      <w:r>
        <w:tab/>
      </w:r>
      <w:r>
        <w:t xml:space="preserve">Observera att följande sägs i fotnot 46 i riktlinjerna: ”Alla relevanta förväntade kostnader och fördelar under projektets löptid måste beaktas”.</w:t>
      </w:r>
    </w:p>
  </w:footnote>
  <w:footnote w:id="12">
    <w:p w14:paraId="086AD512" w14:textId="7087BE19" w:rsidR="008D2777" w:rsidRPr="009C7EC5" w:rsidRDefault="008D2777">
      <w:pPr>
        <w:pStyle w:val="FootnoteText"/>
      </w:pPr>
      <w:r>
        <w:rPr>
          <w:rStyle w:val="FootnoteReference"/>
        </w:rPr>
        <w:footnoteRef/>
      </w:r>
      <w:r>
        <w:tab/>
      </w:r>
      <w:r>
        <w:t xml:space="preserve">Centralt förvaltad unionsfinansiering är unionsfinansiering som förvaltas centralt av Europeiska unionens institutioner, byråer, gemensamma företag eller dess andra organ som inte direkt eller indirekt står under medlemsstatens kontroll.</w:t>
      </w:r>
    </w:p>
  </w:footnote>
  <w:footnote w:id="13">
    <w:p w14:paraId="2B7A8351" w14:textId="77777777" w:rsidR="00FE28B4" w:rsidRDefault="00FE28B4" w:rsidP="00FE28B4">
      <w:pPr>
        <w:pStyle w:val="FootnoteText"/>
      </w:pPr>
      <w:r>
        <w:rPr>
          <w:rStyle w:val="FootnoteReference"/>
        </w:rPr>
        <w:footnoteRef/>
      </w:r>
      <w:r>
        <w:t xml:space="preserve"> </w:t>
      </w:r>
      <w:r>
        <w:tab/>
      </w:r>
      <w:r>
        <w:t xml:space="preserve">Mallen till formuläret för kompletterande information för anmälan av en utvärderingsplan (del III.8) finns här:</w:t>
      </w:r>
      <w:r>
        <w:t xml:space="preserve"> </w:t>
      </w:r>
      <w:hyperlink w:anchor="evaluation-plan" w:history="1">
        <w:r>
          <w:rPr>
            <w:rStyle w:val="Hyperlink"/>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lang w:val="sv-SE"/>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sv-SE"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sv-SE"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sv-SE"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sv-SE"/>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sv-SE"/>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3794</Words>
  <Characters>19999</Characters>
  <Application>Microsoft Office Word</Application>
  <DocSecurity>4</DocSecurity>
  <Lines>444</Lines>
  <Paragraphs>165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COLUMB Damien (COMP)</cp:lastModifiedBy>
  <cp:revision>2</cp:revision>
  <cp:lastPrinted>2022-04-12T14:59:00Z</cp:lastPrinted>
  <dcterms:created xsi:type="dcterms:W3CDTF">2024-09-16T13:03:00Z</dcterms:created>
  <dcterms:modified xsi:type="dcterms:W3CDTF">2024-09-16T13:03:00Z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