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31BC0276"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Dio III.6.</w:t>
            </w:r>
            <w:r w:rsidR="00381857">
              <w:rPr>
                <w:sz w:val="32"/>
              </w:rPr>
              <w:t xml:space="preserve">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Ažurirani* obrazac o dodatnim podacima za državne potpore dodijeljene na temelju Smjernica o državnim potporama za klimu, zaštitu okoliša i energiju za 2022. (CEEAG)</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Poglavlje 4.10. – Potpore za centralizirano grijanje i hlađenje</w:t>
            </w:r>
          </w:p>
          <w:p w14:paraId="469DC4EF" w14:textId="2B54A3FD" w:rsidR="00C076F2" w:rsidRPr="00D96C20" w:rsidRDefault="00C076F2" w:rsidP="00C076F2">
            <w:r>
              <w:t>* Još nije službeno donesen.</w:t>
            </w:r>
          </w:p>
        </w:tc>
      </w:tr>
    </w:tbl>
    <w:p w14:paraId="35C43324" w14:textId="77777777" w:rsidR="00C076F2" w:rsidRPr="00D96C20" w:rsidRDefault="00C076F2" w:rsidP="00C076F2">
      <w:pPr>
        <w:spacing w:before="120" w:after="120"/>
        <w:ind w:right="-142"/>
        <w:jc w:val="both"/>
        <w:rPr>
          <w:i/>
          <w:iCs/>
        </w:rPr>
      </w:pPr>
      <w:r>
        <w:rPr>
          <w:i/>
        </w:rPr>
        <w:t>Obrazac o dodatnim podacima mora se upotrebljavati za prijavu potpore obuhvaćene Smjernicama o državnim potporama za klimu, zaštitu okoliša i energiju za 2022. (dalje u tekstu „CEEAG”).</w:t>
      </w:r>
    </w:p>
    <w:p w14:paraId="5661C6FF" w14:textId="6900E16C" w:rsidR="00C076F2" w:rsidRPr="00D96C20" w:rsidRDefault="00C076F2" w:rsidP="009E2EA1">
      <w:pPr>
        <w:spacing w:before="120" w:after="120"/>
        <w:ind w:right="-142"/>
        <w:jc w:val="both"/>
        <w:rPr>
          <w:i/>
          <w:iCs/>
        </w:rPr>
      </w:pPr>
      <w:r>
        <w:rPr>
          <w:i/>
        </w:rPr>
        <w:t xml:space="preserve">Ovaj obrazac o dodatnim podacima odnosi se na mjere obuhvaćene poglavljem 4.10. CEEAG-a. Ako prijava uključuje mjere na koje se odnosi više poglavlja CEEAG-a, nakon što postane dostupan ispunite i odgovarajući obrazac o dodatnim podacima koji se odnosi na odgovarajuće poglavlje CEEAG-a. </w:t>
      </w:r>
    </w:p>
    <w:p w14:paraId="140907B2" w14:textId="712B456C" w:rsidR="00C076F2" w:rsidRPr="00D96C20" w:rsidRDefault="00C076F2" w:rsidP="00C076F2">
      <w:pPr>
        <w:spacing w:before="120" w:after="120"/>
        <w:ind w:right="-142"/>
        <w:jc w:val="both"/>
        <w:rPr>
          <w:i/>
          <w:iCs/>
        </w:rPr>
      </w:pPr>
      <w:r>
        <w:rPr>
          <w:i/>
        </w:rPr>
        <w:t xml:space="preserve">Svi dokumenti koje države članice prilažu obrascu o dodatnim podacima moraju biti označeni brojevima, a brojevi dokumenata navode se u odgovarajućim odjeljcima ovog obrasca o dodatnim podacima.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Odjeljak A: Sažetak glavnih obilježja prijavljenih mjera</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Kontekst i ciljevi prijavljenih mjera</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Ako se o tome već nije raspravljalo u odjeljku 5.2. obrasca o općim podacima (dio I.), navedite kontekst i glavni cilj, uključujući ciljeve Unije za smanjenje i uklanjanje emisija stakleničkih plinova koje se mjerom namjerava poduprijeti.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Navedite sve druge ciljeve koji se nastoje postići mjerom. Ako je riječ o ciljevima koji nisu isključivo okolišni, objasnite mogu li dovesti do narušavanja unutarnjeg tržišta.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Stupanje na snagu i trajanje</w:t>
      </w:r>
    </w:p>
    <w:p w14:paraId="3C55498B" w14:textId="77777777" w:rsidR="005937D4" w:rsidRPr="00D96C20" w:rsidRDefault="005937D4" w:rsidP="00F10E39">
      <w:pPr>
        <w:pStyle w:val="ListParagraph"/>
        <w:numPr>
          <w:ilvl w:val="0"/>
          <w:numId w:val="31"/>
        </w:numPr>
        <w:ind w:left="993" w:hanging="142"/>
        <w:jc w:val="both"/>
        <w:rPr>
          <w:szCs w:val="24"/>
        </w:rPr>
      </w:pPr>
      <w:r>
        <w:t>Ako već nije naveden u odjeljku 5.5. obrasca o općim podacima (dio I.), navedite datum na koji bi program potpore trebao stupiti na snagu.</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Navedite trajanje programa</w:t>
      </w:r>
      <w:r>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Korisnici</w:t>
      </w:r>
      <w:r>
        <w:tab/>
      </w:r>
    </w:p>
    <w:p w14:paraId="222C106D" w14:textId="77777777" w:rsidR="007444CC" w:rsidRPr="00D96C20" w:rsidRDefault="007444CC" w:rsidP="00F10E39">
      <w:pPr>
        <w:pStyle w:val="ListParagraph"/>
        <w:numPr>
          <w:ilvl w:val="0"/>
          <w:numId w:val="20"/>
        </w:numPr>
        <w:ind w:left="1078" w:hanging="227"/>
        <w:jc w:val="both"/>
        <w:rPr>
          <w:szCs w:val="24"/>
        </w:rPr>
      </w:pPr>
      <w:r>
        <w:t>Ako već nisu opisani u odjeljku 3. obrasca o općim podacima (dio I.), opišite (potencijalne) korisnike mjera.</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Navedite lokaciju (potencijalnih) korisnika (tj. jesu li za sudjelovanje u mjeri prihvatljivi samo gospodarski subjekti koji se nalaze u predmetnoj državi članici ili i oni iz drugih država članica).</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Ako se dodjeljuje, navedite podatke o iznosu potpore koji još nije vraćen kako bi ga Komisija uzela u obzir pri ocjeni mjere potpore. </w:t>
      </w:r>
    </w:p>
    <w:p w14:paraId="66FCE178" w14:textId="77777777" w:rsidR="007444CC" w:rsidRPr="00D96C20" w:rsidRDefault="007444CC" w:rsidP="007444CC">
      <w:pPr>
        <w:tabs>
          <w:tab w:val="left" w:leader="dot" w:pos="9072"/>
        </w:tabs>
        <w:spacing w:before="120" w:after="120"/>
        <w:ind w:left="567"/>
        <w:jc w:val="both"/>
      </w:pPr>
      <w:r>
        <w:lastRenderedPageBreak/>
        <w:tab/>
      </w:r>
    </w:p>
    <w:p w14:paraId="0E629DE6" w14:textId="77777777" w:rsidR="007444CC" w:rsidRPr="00D96C20" w:rsidRDefault="007444CC" w:rsidP="00F10E39">
      <w:pPr>
        <w:pStyle w:val="ListParagraph"/>
        <w:numPr>
          <w:ilvl w:val="0"/>
          <w:numId w:val="20"/>
        </w:numPr>
        <w:ind w:left="1078" w:hanging="227"/>
        <w:jc w:val="both"/>
        <w:rPr>
          <w:szCs w:val="24"/>
        </w:rPr>
      </w:pPr>
      <w:r>
        <w:t>Potvrdite da mjera ne uključuje potporu za djelatnosti koje nisu obuhvaćene područjem primjene CEEAG-a (vidjeti točku 13. CEEAG-a). U protivnom navedite pojedinosti.</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Proračun i financiranje mjera</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Ako već nije naveden u tablici u odjeljku 7.1. obrasca o općim podacima (dio I.), navedite godišnji i/ili ukupni proračun za cijelo trajanje mjera, a ako ukupni proračun nije poznat (npr. jer ovisi o rezultatima natječaja), navedite procijenjeni proračun, uključujući pretpostavke na temelju kojih je izračunan</w:t>
      </w:r>
      <w:r>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Ako se mjera financira iz davanja, pojasnite:</w:t>
      </w:r>
      <w:bookmarkEnd w:id="3"/>
    </w:p>
    <w:p w14:paraId="41842DE0" w14:textId="26528FC3" w:rsidR="007444CC" w:rsidRPr="00D96C20" w:rsidRDefault="007444CC" w:rsidP="00F10E39">
      <w:pPr>
        <w:pStyle w:val="ListParagraph"/>
        <w:numPr>
          <w:ilvl w:val="1"/>
          <w:numId w:val="21"/>
        </w:numPr>
        <w:spacing w:before="120" w:after="120"/>
        <w:contextualSpacing w:val="0"/>
        <w:jc w:val="both"/>
        <w:rPr>
          <w:rFonts w:cs="Arial Unicode MS"/>
          <w:bCs/>
        </w:rPr>
      </w:pPr>
      <w:r>
        <w:t>je li davanje utvrđeno zakonom ili drugim zakonodavnim aktom. Ako jest, navedite relevantan pravni akt, broj i datum donošenja i stupanja na snagu te poveznicu na njega</w:t>
      </w:r>
      <w:r w:rsidR="00381857">
        <w:t>,</w:t>
      </w:r>
    </w:p>
    <w:p w14:paraId="06E0C3B1" w14:textId="77777777" w:rsidR="007444CC" w:rsidRPr="00D96C20" w:rsidRDefault="007444CC" w:rsidP="007444CC">
      <w:pPr>
        <w:tabs>
          <w:tab w:val="left" w:leader="dot" w:pos="9072"/>
        </w:tabs>
        <w:spacing w:before="120" w:after="120"/>
        <w:ind w:left="927"/>
        <w:jc w:val="both"/>
      </w:pPr>
      <w:r>
        <w:tab/>
      </w:r>
    </w:p>
    <w:p w14:paraId="77C0248E" w14:textId="6F7BA42E" w:rsidR="007444CC" w:rsidRPr="00D96C20" w:rsidRDefault="007444CC" w:rsidP="00F10E39">
      <w:pPr>
        <w:pStyle w:val="ListParagraph"/>
        <w:numPr>
          <w:ilvl w:val="1"/>
          <w:numId w:val="21"/>
        </w:numPr>
        <w:spacing w:before="120" w:after="120"/>
        <w:contextualSpacing w:val="0"/>
        <w:jc w:val="both"/>
        <w:rPr>
          <w:rFonts w:cs="Arial Unicode MS"/>
          <w:bCs/>
        </w:rPr>
      </w:pPr>
      <w:r>
        <w:t>naplaćuje li se davanje jednako za domaće i uvezene proizvode</w:t>
      </w:r>
      <w:r w:rsidR="00381857">
        <w:t>,</w:t>
      </w:r>
    </w:p>
    <w:p w14:paraId="214751D3" w14:textId="77777777" w:rsidR="007444CC" w:rsidRPr="00D96C20" w:rsidRDefault="007444CC" w:rsidP="007444CC">
      <w:pPr>
        <w:tabs>
          <w:tab w:val="left" w:leader="dot" w:pos="9072"/>
        </w:tabs>
        <w:spacing w:before="120" w:after="120"/>
        <w:ind w:left="927"/>
        <w:jc w:val="both"/>
      </w:pPr>
      <w:r>
        <w:tab/>
      </w:r>
    </w:p>
    <w:p w14:paraId="481AD768" w14:textId="0E391F7D" w:rsidR="007444CC" w:rsidRPr="00D96C20" w:rsidRDefault="007444CC" w:rsidP="00F10E39">
      <w:pPr>
        <w:pStyle w:val="ListParagraph"/>
        <w:numPr>
          <w:ilvl w:val="1"/>
          <w:numId w:val="21"/>
        </w:numPr>
        <w:spacing w:before="120" w:after="120"/>
        <w:contextualSpacing w:val="0"/>
        <w:jc w:val="both"/>
        <w:rPr>
          <w:rFonts w:cs="Arial Unicode MS"/>
          <w:bCs/>
        </w:rPr>
      </w:pPr>
      <w:r>
        <w:t>hoće li prijavljena mjera koristiti jednako domaćim i uvoznim proizvođačima</w:t>
      </w:r>
      <w:r w:rsidR="00381857">
        <w:t>,</w:t>
      </w:r>
    </w:p>
    <w:p w14:paraId="48C67CC2" w14:textId="77777777" w:rsidR="007444CC" w:rsidRPr="00D96C20" w:rsidRDefault="007444CC" w:rsidP="007444CC">
      <w:pPr>
        <w:tabs>
          <w:tab w:val="left" w:leader="dot" w:pos="9072"/>
        </w:tabs>
        <w:spacing w:before="120" w:after="120"/>
        <w:ind w:left="927"/>
        <w:jc w:val="both"/>
      </w:pPr>
      <w:r>
        <w:tab/>
      </w:r>
    </w:p>
    <w:p w14:paraId="01ACFF5D" w14:textId="15D2B859" w:rsidR="007444CC" w:rsidRPr="00D96C20" w:rsidRDefault="007444CC" w:rsidP="00F10E39">
      <w:pPr>
        <w:pStyle w:val="ListParagraph"/>
        <w:numPr>
          <w:ilvl w:val="1"/>
          <w:numId w:val="21"/>
        </w:numPr>
        <w:spacing w:before="120" w:after="120"/>
        <w:contextualSpacing w:val="0"/>
        <w:jc w:val="both"/>
        <w:rPr>
          <w:rFonts w:cs="Arial Unicode MS"/>
          <w:bCs/>
        </w:rPr>
      </w:pPr>
      <w:r>
        <w:t>financira li se davanjem mjera u cijelosti ili samo djelomično. Ako se davanjem financira samo djelomično, navedite druge izvore financiranja mjere i njihov odgovarajući udio</w:t>
      </w:r>
      <w:r w:rsidR="00381857">
        <w:t>,</w:t>
      </w:r>
    </w:p>
    <w:p w14:paraId="64CD40F0" w14:textId="77777777" w:rsidR="007444CC" w:rsidRPr="00D96C20" w:rsidRDefault="007444CC" w:rsidP="007444CC">
      <w:pPr>
        <w:tabs>
          <w:tab w:val="left" w:leader="dot" w:pos="9072"/>
        </w:tabs>
        <w:spacing w:before="120" w:after="120"/>
        <w:ind w:left="927"/>
        <w:jc w:val="both"/>
      </w:pPr>
      <w:r>
        <w:tab/>
      </w:r>
    </w:p>
    <w:p w14:paraId="31413333" w14:textId="166F7B81" w:rsidR="007444CC" w:rsidRPr="00D96C20" w:rsidRDefault="007444CC" w:rsidP="00F10E39">
      <w:pPr>
        <w:pStyle w:val="ListParagraph"/>
        <w:numPr>
          <w:ilvl w:val="1"/>
          <w:numId w:val="21"/>
        </w:numPr>
        <w:spacing w:before="120" w:after="120"/>
        <w:contextualSpacing w:val="0"/>
        <w:jc w:val="both"/>
        <w:rPr>
          <w:rFonts w:cs="Arial Unicode MS"/>
          <w:bCs/>
        </w:rPr>
      </w:pPr>
      <w:r>
        <w:t>financiraju li se davanjem kojim se financira prijavljena mjera i druge mjere potpore. Ako je odgovor potvrdan, navedite te mjere</w:t>
      </w:r>
      <w:r w:rsidR="00381857">
        <w:t>.</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Odjeljak B: Ocjena spojivosti potpore</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Pozitivni uvjet: potpora mora olakšavati razvoj gospodarske djelatnosti</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Doprinos razvoju gospodarske djelatnosti</w:t>
            </w:r>
          </w:p>
        </w:tc>
      </w:tr>
    </w:tbl>
    <w:p w14:paraId="1E2599D2" w14:textId="6708984F" w:rsidR="000442F5" w:rsidRPr="00D96C20" w:rsidRDefault="000442F5" w:rsidP="000442F5">
      <w:pPr>
        <w:spacing w:before="360" w:after="120"/>
        <w:jc w:val="both"/>
        <w:rPr>
          <w:i/>
        </w:rPr>
      </w:pPr>
      <w:r>
        <w:rPr>
          <w:i/>
        </w:rPr>
        <w:t xml:space="preserve">Za unos podataka u ovom odjeljku vidjeti odjeljak 3.1.1. (točke od 23. do 25.) i odjeljke 4.10.1. i 4.10.2. (točke od 383. do 390.) CEEAG-a.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w:t>
      </w:r>
      <w:bookmarkStart w:id="5" w:name="_Hlk170735690"/>
      <w:bookmarkEnd w:id="5"/>
      <w:r>
        <w:t xml:space="preserve"> Stoga potpora koja je spojiva na temelju te odredbe UFEU-a mora pridonositi razvoju određene gospodarske djelatnosti. </w:t>
      </w:r>
    </w:p>
    <w:p w14:paraId="32559872" w14:textId="77777777" w:rsidR="007444CC" w:rsidRPr="00D96C20" w:rsidRDefault="007444CC" w:rsidP="000442F5">
      <w:pPr>
        <w:tabs>
          <w:tab w:val="left" w:leader="dot" w:pos="9072"/>
        </w:tabs>
        <w:spacing w:before="120" w:after="120"/>
        <w:ind w:left="567"/>
        <w:jc w:val="both"/>
      </w:pPr>
      <w:r>
        <w:t>Kako bi se ocijenila usklađenost s točkom 23. CEEAG-a, navedite gospodarske djelatnosti koje će potpora olakšati i način na koji se podupire razvoj tih djelatnosti.</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Osim toga, istaknite u kojoj se mjeri potpora odnosi na politike opisane u točkama 383. i 384. CEEAG-a. Pritom navedite i promiče li se projektom obnovljiva energija u skladu s člankom 2. stavkom 1. Direktive (EU) 2018/2001. Konkretno, navedite razvijaju li se mjerom učinkoviti sustavi centraliziranog grijanja i hlađenja u smislu članka 26. Direktive (EU) 2023/1791 radi promicanja grijanja i hlađenja iz obnovljivih izvora energije.</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Prema točkama 385. i 386. CEEAG-a u određenim okolnostima može se smatrati da se na potporu ograničenu na mreže za distribuciju centraliziranog grijanja ne primjenjuje kontrola državnih potpora. </w:t>
      </w:r>
    </w:p>
    <w:p w14:paraId="4F669D19" w14:textId="14DDB074" w:rsidR="008D2777" w:rsidRPr="00D96C20" w:rsidRDefault="00E9552A" w:rsidP="00A2265A">
      <w:pPr>
        <w:pStyle w:val="ListParagraph"/>
        <w:numPr>
          <w:ilvl w:val="1"/>
          <w:numId w:val="4"/>
        </w:numPr>
        <w:spacing w:before="120" w:after="120"/>
        <w:contextualSpacing w:val="0"/>
        <w:jc w:val="both"/>
      </w:pPr>
      <w:r>
        <w:t>Podupiru li se mjerom mreže za distribuciju centraliziranog grijanja koje će podlijegati pristupu trećih osoba, razdvajanju (tj. razdvajanju proizvodnje i distribucije grijanja/hlađenja) i reguliranim tarifama?</w:t>
      </w:r>
    </w:p>
    <w:p w14:paraId="79238E1B" w14:textId="51B3C821" w:rsidR="00E9552A" w:rsidRPr="00D96C20" w:rsidRDefault="00E9552A" w:rsidP="00A2265A">
      <w:pPr>
        <w:pStyle w:val="ListParagraph"/>
        <w:numPr>
          <w:ilvl w:val="1"/>
          <w:numId w:val="4"/>
        </w:numPr>
        <w:spacing w:before="120" w:after="120"/>
        <w:contextualSpacing w:val="0"/>
        <w:jc w:val="both"/>
      </w:pPr>
      <w:r>
        <w:t>Ako je odgovor na točku a) potvrdan, objasnite hoće li se distribucijskom mrežom upravljati kao pravnim i/ili prirodnim monopolom, uz upućivanje na kriterije utvrđene u točkama 374. i 375. CEEAG-a.</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lastRenderedPageBreak/>
        <w:t xml:space="preserve">Navedite podatke o području primjene i djelatnostima koje se podupiru iz mjera potpore, kako je navedeno u odjeljku 4.10.2. (točke od 388. do 389.) CEEAG-a. Pritom također: </w:t>
      </w:r>
    </w:p>
    <w:p w14:paraId="66FA46BE" w14:textId="268C63AD" w:rsidR="00355D93" w:rsidRPr="00D96C20" w:rsidRDefault="00381857" w:rsidP="00F10E39">
      <w:pPr>
        <w:pStyle w:val="ListParagraph"/>
        <w:numPr>
          <w:ilvl w:val="0"/>
          <w:numId w:val="29"/>
        </w:numPr>
        <w:spacing w:before="120" w:after="120"/>
        <w:contextualSpacing w:val="0"/>
        <w:jc w:val="both"/>
      </w:pPr>
      <w:r>
        <w:t>o</w:t>
      </w:r>
      <w:r w:rsidR="00056F69">
        <w:t>bjasnite zašto je projekt obuhvaćen definicijom centraliziranog grijanja/hlađenja iz točke 19. podtočke 27. CEEAG-a i definicijom sustava centraliziranog grijanja i/ili centraliziranog hlađenja iz točke 19. podtočke 28. CEEAG-a</w:t>
      </w:r>
      <w:r>
        <w:t>,</w:t>
      </w:r>
    </w:p>
    <w:p w14:paraId="008ECD14" w14:textId="7B7CADF3" w:rsidR="009C1CC6" w:rsidRPr="00D96C20" w:rsidRDefault="00381857" w:rsidP="00F10E39">
      <w:pPr>
        <w:pStyle w:val="ListParagraph"/>
        <w:numPr>
          <w:ilvl w:val="0"/>
          <w:numId w:val="29"/>
        </w:numPr>
        <w:spacing w:before="120" w:after="120"/>
        <w:contextualSpacing w:val="0"/>
        <w:jc w:val="both"/>
      </w:pPr>
      <w:r>
        <w:t>o</w:t>
      </w:r>
      <w:r w:rsidR="00305073">
        <w:t xml:space="preserve">bjasnite podupire li se u okviru projekta izgradnja, nadogradnja ili rad: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proizvodne jedinice i/ili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postrojenja za skladištenje i/ili </w:t>
      </w:r>
    </w:p>
    <w:p w14:paraId="7F9E3ACD" w14:textId="6354EF7C" w:rsidR="009C1CC6" w:rsidRPr="00D96C20" w:rsidRDefault="009C1CC6" w:rsidP="00F10E39">
      <w:pPr>
        <w:pStyle w:val="ListParagraph"/>
        <w:numPr>
          <w:ilvl w:val="0"/>
          <w:numId w:val="30"/>
        </w:numPr>
        <w:spacing w:before="120" w:after="120"/>
        <w:contextualSpacing w:val="0"/>
        <w:jc w:val="both"/>
      </w:pPr>
      <w:r>
        <w:t>distribucijske mreže</w:t>
      </w:r>
      <w:r w:rsidR="00381857">
        <w:t>,</w:t>
      </w:r>
    </w:p>
    <w:p w14:paraId="16B1DB2A" w14:textId="1B454CDA" w:rsidR="009C1CC6" w:rsidRPr="00D96C20" w:rsidRDefault="00381857" w:rsidP="00F10E39">
      <w:pPr>
        <w:pStyle w:val="ListParagraph"/>
        <w:numPr>
          <w:ilvl w:val="0"/>
          <w:numId w:val="29"/>
        </w:numPr>
        <w:spacing w:before="120" w:after="120"/>
        <w:contextualSpacing w:val="0"/>
        <w:jc w:val="both"/>
      </w:pPr>
      <w:r>
        <w:t>a</w:t>
      </w:r>
      <w:r w:rsidR="009C1CC6">
        <w:t>ko se potpora odnosi na proizvodnu jedinicu, objasnite koje resurse ta proizvodna jedinica upotrebljava za proizvodnju električne energije, centraliziranoga grijanja ili hlađenja: obnovljivu energiju, otpadnu toplinu ili visokoučinkovitu kogeneraciju, uključujući rješenje za skladištenje topline</w:t>
      </w:r>
      <w:r>
        <w:t>,</w:t>
      </w:r>
    </w:p>
    <w:p w14:paraId="3105D86D" w14:textId="6BFBA049" w:rsidR="00B025A1" w:rsidRPr="00D96C20" w:rsidRDefault="00381857" w:rsidP="00F10E39">
      <w:pPr>
        <w:pStyle w:val="ListParagraph"/>
        <w:numPr>
          <w:ilvl w:val="0"/>
          <w:numId w:val="29"/>
        </w:numPr>
        <w:spacing w:before="120" w:after="120"/>
        <w:contextualSpacing w:val="0"/>
        <w:jc w:val="both"/>
      </w:pPr>
      <w:r>
        <w:t>a</w:t>
      </w:r>
      <w:r w:rsidR="00B025A1">
        <w:t>ko se potpora odnosi na proizvodnu jedinicu koja upotrebljava otpad, potvrdite da je potpora ograničena na otpad koji odgovara definiciji obnovljivih izvora energije ili otpad kojim se pune postrojenja koja odgovaraju definiciji visokoučinkovite kogeneracije</w:t>
      </w:r>
      <w:r>
        <w:t>,</w:t>
      </w:r>
    </w:p>
    <w:p w14:paraId="078E5364" w14:textId="3C983624" w:rsidR="009C1CC6" w:rsidRPr="00D96C20" w:rsidRDefault="00381857" w:rsidP="00F10E39">
      <w:pPr>
        <w:pStyle w:val="ListParagraph"/>
        <w:numPr>
          <w:ilvl w:val="0"/>
          <w:numId w:val="29"/>
        </w:numPr>
        <w:spacing w:before="120" w:after="120"/>
        <w:contextualSpacing w:val="0"/>
        <w:jc w:val="both"/>
      </w:pPr>
      <w:r>
        <w:t>a</w:t>
      </w:r>
      <w:r w:rsidR="00E6468A">
        <w:t>ko se potpora dodjeljuje za nadogradnju sustava centraliziranoga grijanja i hlađenja, pojasnite je li sustav centraliziranoga grijanja i hlađenja u skladu sa standardom učinkovitog centraliziranoga grijanja i hlađenja iz članka 2. točke 46. i članka 26. Direktive (EU) 2023/1791</w:t>
      </w:r>
      <w:r>
        <w:t>,</w:t>
      </w:r>
    </w:p>
    <w:p w14:paraId="2A78E714" w14:textId="64E90395" w:rsidR="00355D93" w:rsidRPr="00D96C20" w:rsidRDefault="00381857" w:rsidP="00F10E39">
      <w:pPr>
        <w:pStyle w:val="ListParagraph"/>
        <w:numPr>
          <w:ilvl w:val="0"/>
          <w:numId w:val="29"/>
        </w:numPr>
        <w:spacing w:before="120" w:after="120"/>
        <w:contextualSpacing w:val="0"/>
        <w:jc w:val="both"/>
      </w:pPr>
      <w:r>
        <w:t>n</w:t>
      </w:r>
      <w:r w:rsidR="00355D93">
        <w:t xml:space="preserve">avedite vrstu troškova koji će se financirati mjerom: troškovi ulaganja i/ili operativni troškovi.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Ako je cilj potpore nadogradnja sustava centraliziranoga grijanja i hlađenja koja, međutim, ne dovodi do usklađenosti sustava sa standardom učinkovitog centraliziranog grijanja i hlađenja u smislu članka 26. Direktive (EU) 2023/1791, obvežite se da će korisnik započeti s radovima na postizanju tog standarda učinkovitosti u roku od tri godine nakon radova na nadogradnji u skladu s točkom 390. CEEAG-a.</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Učinak poticaja</w:t>
            </w:r>
          </w:p>
        </w:tc>
      </w:tr>
    </w:tbl>
    <w:p w14:paraId="20915284" w14:textId="430337A5" w:rsidR="00015E2B" w:rsidRPr="00D96C20" w:rsidRDefault="00B15313" w:rsidP="000B3E97">
      <w:pPr>
        <w:spacing w:before="120" w:after="120"/>
        <w:jc w:val="both"/>
        <w:rPr>
          <w:i/>
        </w:rPr>
      </w:pPr>
      <w:r>
        <w:rPr>
          <w:i/>
        </w:rPr>
        <w:t xml:space="preserve">Za unos podataka u ovom odjeljku vidjeti odjeljak 3.1.2. (točke od 26. do 32.) CEEAG-a.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Pr>
          <w:i/>
        </w:rPr>
        <w:t xml:space="preserve"> </w:t>
      </w:r>
    </w:p>
    <w:p w14:paraId="2697928B" w14:textId="2440E6E7" w:rsidR="00BA3260" w:rsidRPr="00D96C20" w:rsidRDefault="00BA3260" w:rsidP="00BA3260">
      <w:pPr>
        <w:tabs>
          <w:tab w:val="left" w:leader="dot" w:pos="9072"/>
        </w:tabs>
        <w:spacing w:before="120" w:after="120"/>
        <w:ind w:left="360"/>
        <w:jc w:val="both"/>
      </w:pPr>
      <w:r>
        <w:lastRenderedPageBreak/>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Kako bi se ocijenila usklađenost s točkom 27. CEEAG-a, navedite podatke koji potvrđuju da se</w:t>
      </w:r>
      <w:r>
        <w:rPr>
          <w:color w:val="000000"/>
          <w:shd w:val="clear" w:color="auto" w:fill="FFFFFF"/>
        </w:rPr>
        <w:t xml:space="preserve"> potporom ne financiraju troškovi djelatnosti koju bi korisnik potpore ionako obavljao i da se njome ne nadoknađuju uobičajeni poslovni rizici gospodarske djelatnosti</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6AB6BF6B" w:rsidR="00D70FE9" w:rsidRPr="00D96C20" w:rsidRDefault="00A255BF" w:rsidP="00015434">
      <w:pPr>
        <w:pStyle w:val="ListParagraph"/>
        <w:numPr>
          <w:ilvl w:val="0"/>
          <w:numId w:val="4"/>
        </w:numPr>
        <w:spacing w:before="120" w:after="120"/>
        <w:ind w:left="567" w:hanging="567"/>
        <w:contextualSpacing w:val="0"/>
        <w:jc w:val="both"/>
      </w:pPr>
      <w:r>
        <w:t>Detaljno opišite činjenični scenarij i vjerojatne protučinjenične scenarije. U slučaju programa koji obuhvaćaju različite referentne projekte</w:t>
      </w:r>
      <w:r>
        <w:rPr>
          <w:rStyle w:val="FootnoteReference"/>
          <w:lang w:val="en-IE" w:eastAsia="en-GB"/>
        </w:rPr>
        <w:footnoteReference w:id="6"/>
      </w:r>
      <w:r>
        <w:t>, takav opis treba dostaviti za svaki referentni projekt. Za izgradnju, nadogradnju i rad distribucijskih mreža pretpostavlja se da je protučinjenični scenarij situacija u kojoj se projekt ne bi proveo (točka 395.)</w:t>
      </w:r>
      <w:r w:rsidR="00381857" w:rsidRPr="00381857">
        <w:t xml:space="preserve"> </w:t>
      </w:r>
      <w:r w:rsidR="00381857">
        <w:t>CEEAG-a</w:t>
      </w:r>
      <w:r>
        <w:t xml:space="preserve">.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Kako je navedeno u točki 28. bilješci 39. CEEAG-a, ovom obrascu o dodatnim podacima priložite sve službene dokumente odbora, procjene rizika, financijske izvještaje, interne poslovne planove, stručna mišljenja i druge studije povezane s projektom koji se ocjenjuje, dokumente koji sadržavaju informacije o predviđenoj potražnji, predviđenim troškovima i financijskim predviđanjima, dokumente podnesene ulagačkom odboru u kojima se opisuju različiti scenariji ulaganja/operacija ili dokumente dostavljene financijskim institucijama.</w:t>
      </w:r>
    </w:p>
    <w:p w14:paraId="489E64F5" w14:textId="080206B8" w:rsidR="00C713DD" w:rsidRPr="00D96C20" w:rsidRDefault="005F6E6B" w:rsidP="005F6E6B">
      <w:pPr>
        <w:pStyle w:val="ListParagraph"/>
        <w:spacing w:before="120" w:after="120"/>
        <w:ind w:left="1287"/>
        <w:contextualSpacing w:val="0"/>
        <w:jc w:val="both"/>
      </w:pPr>
      <w:r>
        <w:t>Napominjemo da ti dokumenti moraju biti iz razdoblja u kojem se donosila odluka o ulaganju/operaciji.</w:t>
      </w:r>
    </w:p>
    <w:p w14:paraId="0F3CF49B" w14:textId="7575EEBA" w:rsidR="00DE063E" w:rsidRPr="00D96C20" w:rsidRDefault="00E32AD5" w:rsidP="005F6E6B">
      <w:pPr>
        <w:pStyle w:val="ListParagraph"/>
        <w:spacing w:before="120" w:after="120"/>
        <w:ind w:left="1287"/>
        <w:contextualSpacing w:val="0"/>
        <w:jc w:val="both"/>
      </w:pPr>
      <w:r>
        <w:t>Ako obrascu o dodatnim podacima prilažete takve dokumente, u nastavku navedite popis tih dokumenata te autora, datum sastavljanja i kontekst u kojem su upotrijebljeni.</w:t>
      </w:r>
      <w:bookmarkStart w:id="6" w:name="_Hlk177381900"/>
      <w:bookmarkEnd w:id="6"/>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Za činjenični scenarij i vjerodostojan protučinjenični scenarij iz točke i. dostavite u prilogu ovom obrascu o dodatnim podacima (u datoteci formata Excel u kojoj su vidljive sve formule) mjerenje svih glavnih troškova i prihoda, procijenjeni ponderirani prosječni trošak kapitala korisnika za diskontiranje budućih novčanih tokova te neto sadašnju vrijednost za činjenični i protučinjenični scenarij tijekom trajanja projekta. Za slučajeve pojedinačne potpore i programe namijenjene vrlo ograničenom broju korisnika ti izračuni i predviđanja moraju se prikazati na razini detaljnog poslovnog plana projekta, a za programe potpore na temelju jednog ili više referentnih projekata. </w:t>
      </w:r>
    </w:p>
    <w:p w14:paraId="6BCA5B3D" w14:textId="480147CE" w:rsidR="008B1CA3" w:rsidRPr="00D96C20" w:rsidRDefault="00A255BF" w:rsidP="00F10E39">
      <w:pPr>
        <w:pStyle w:val="ListParagraph"/>
        <w:numPr>
          <w:ilvl w:val="0"/>
          <w:numId w:val="26"/>
        </w:numPr>
        <w:spacing w:before="120" w:after="120"/>
        <w:contextualSpacing w:val="0"/>
        <w:jc w:val="both"/>
      </w:pPr>
      <w:r>
        <w:t>U prilogu ovom obrascu o dodatnim podacima navedite detaljne podatke o pretpostavkama, metodologijama, razlozima i temeljnim izvorima koji se upotrebljavaju za svaki aspekt mjerenja troškova i prihoda u činjeničnom scenariju i vjerojatnim protučinjeničnim scenarijima (npr. navedite pretpostavke upotrijebljene za utvrđivanje tih scenarija).</w:t>
      </w:r>
      <w:r w:rsidR="00381857">
        <w:t xml:space="preserve">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lastRenderedPageBreak/>
        <w:t>Kako bi se dokazala usklađenost s točkama 29. i 31. CEEAG-a:</w:t>
      </w:r>
    </w:p>
    <w:p w14:paraId="48499390" w14:textId="78B04F3C" w:rsidR="006445C3" w:rsidRPr="00D96C20" w:rsidRDefault="00677805" w:rsidP="00F10E39">
      <w:pPr>
        <w:pStyle w:val="ListParagraph"/>
        <w:numPr>
          <w:ilvl w:val="0"/>
          <w:numId w:val="23"/>
        </w:numPr>
        <w:spacing w:before="120" w:after="120"/>
        <w:ind w:left="993" w:hanging="284"/>
        <w:contextualSpacing w:val="0"/>
        <w:jc w:val="both"/>
      </w:pPr>
      <w:r>
        <w:t>potvrdite da radovi na projektu ili djelatnosti nisu započeli prije nego što je korisnik nacionalnim tijelima podnio pisani zahtjev za potporu</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ILI</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za projekte koji su započeli prije podnošenja zahtjeva za potporu dokažite da je projekt obuhvaćen jednim od iznimnih slučajeva iz točke 31. CEEAG-a (podtočke (a), (b) ili (c))</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Kako biste dokazali usklađenost s točkom 30. CEEAG-a, potvrdite da zahtjev za potporu sadržava barem ime podnositelja zahtjeva, opis projekta ili djelatnosti, uključujući njihovu lokaciju, i iznos potpore potrebne za njihovu provedbu.</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Kako bi se dokazala usklađenost s točkom 32. CEEAG-a, navedite postoje li norme Unije</w:t>
      </w:r>
      <w:r>
        <w:rPr>
          <w:rStyle w:val="FootnoteReference"/>
          <w:lang w:val="en-IE" w:eastAsia="en-GB"/>
        </w:rPr>
        <w:footnoteReference w:id="8"/>
      </w:r>
      <w:r>
        <w:t xml:space="preserve"> primjenjive na prijavljene mjere, obvezne nacionalne norme koje su strože ili ambicioznije od odgovarajućih normi Unije ili obvezne nacionalne norme donesene u nedostatku normi Unije. U tom kontekstu navedite informacije za dokazivanje učinka poticaja.</w:t>
      </w:r>
    </w:p>
    <w:p w14:paraId="5B91130D" w14:textId="77777777" w:rsidR="000C258D" w:rsidRPr="00D96C20" w:rsidRDefault="000C258D" w:rsidP="000C258D">
      <w:pPr>
        <w:tabs>
          <w:tab w:val="left" w:leader="dot" w:pos="9072"/>
        </w:tabs>
        <w:spacing w:before="120" w:after="120"/>
        <w:ind w:left="567"/>
        <w:jc w:val="both"/>
      </w:pPr>
      <w:r>
        <w:lastRenderedPageBreak/>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U slučajevima u kojima je relevantna norma Unije već donesena, ali još nije na snazi, dokažite da potpora ima učinak poticaja jer potiče ulaganje koje treba provesti i dovršiti najmanje 18 mjeseci prije nego što norma stupi na snagu.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Nepostojanje povrede bilo koje relevantne odredbe prava Unije</w:t>
            </w:r>
          </w:p>
        </w:tc>
      </w:tr>
    </w:tbl>
    <w:p w14:paraId="665FE026" w14:textId="5CEA7791" w:rsidR="00DE1D68" w:rsidRPr="00D96C20" w:rsidRDefault="00DE1D68" w:rsidP="00DE1D68">
      <w:pPr>
        <w:spacing w:before="360" w:after="120"/>
        <w:jc w:val="both"/>
        <w:rPr>
          <w:i/>
        </w:rPr>
      </w:pPr>
      <w:r>
        <w:rPr>
          <w:i/>
        </w:rPr>
        <w:t xml:space="preserve">Za unos podataka u ovom odjeljku vidjeti odjeljak 3.1.3. (točka 33.) CEEAG-a.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Unesite podatke koji potvrđuju usklađenost s relevantnim odredbama prava EU-a u skladu s točkom 33. CEEAG-a.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Ako se za financiranje mjera upotrebljava davanje, pojasnite je li potrebno provesti procjenu usklađenosti s člancima 30. i 110. UFEU-a. Ako jest, dokažite na koji je način mjera u skladu s odredbama članaka 30. i 110. UFEU-a.</w:t>
      </w:r>
      <w:r>
        <w:rPr>
          <w:i/>
        </w:rPr>
        <w:t xml:space="preserve"> </w:t>
      </w:r>
      <w:r>
        <w:t>U tom kontekstu, ako se prijavljene mjere financiraju iz davanja, može se uputiti na podatke dostavljene u točki </w:t>
      </w:r>
      <w:r>
        <w:fldChar w:fldCharType="begin"/>
      </w:r>
      <w:r>
        <w:instrText xml:space="preserve"> REF _Ref116914408 \r \h  \* MERGEFORMAT </w:instrText>
      </w:r>
      <w:r>
        <w:fldChar w:fldCharType="separate"/>
      </w:r>
      <w:r>
        <w:t>5</w:t>
      </w:r>
      <w:r>
        <w:fldChar w:fldCharType="end"/>
      </w:r>
      <w:r>
        <w:t>. podtočki </w:t>
      </w:r>
      <w:r>
        <w:fldChar w:fldCharType="begin"/>
      </w:r>
      <w:r>
        <w:instrText xml:space="preserve"> REF _Ref116914400 \r \h  \* MERGEFORMAT </w:instrText>
      </w:r>
      <w:r>
        <w:fldChar w:fldCharType="separate"/>
      </w:r>
      <w:r>
        <w:t>ii</w:t>
      </w:r>
      <w:r>
        <w:fldChar w:fldCharType="end"/>
      </w:r>
      <w:r>
        <w:t>.</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Negativni uvjet: potpora ne smije imati neopravdan utjecaj na trgovinske uvjete u mjeri u kojoj bi to bilo suprotno zajedničkom interesu</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Svođenje narušavanja tržišnog natjecanja i trgovine na najmanju moguću mjeru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Nužnost i primjerenost intervencije državnim potporama</w:t>
            </w:r>
          </w:p>
        </w:tc>
      </w:tr>
    </w:tbl>
    <w:p w14:paraId="3C23674F" w14:textId="4023898F" w:rsidR="00663008" w:rsidRPr="00D96C20" w:rsidRDefault="00663008" w:rsidP="000B3E97">
      <w:pPr>
        <w:spacing w:before="120" w:after="120"/>
        <w:jc w:val="both"/>
        <w:rPr>
          <w:i/>
          <w:color w:val="000000"/>
        </w:rPr>
      </w:pPr>
      <w:r>
        <w:rPr>
          <w:i/>
        </w:rPr>
        <w:t>Za unos podataka u ovom odjeljku vidjeti odjeljak 4.10.3. (točke od 391. do 393.) CEEAG-a.</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Detaljno objasnite kako će projekt pridonijeti stvaranju, proširenju ili nadogradnji učinkovitih sustava centraliziranoga grijanja i hlađenja.</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Ako se mjerom iznimno pokrivaju operativni troškovi, dokažite da se ti troškovi ne mogu prenijeti na potrošače centraliziranog grijanja/hlađenja bez ugrožavanja zaštite okoliša u skladu s točkom 392. CEEAG-a. Dokažite da sustavi centraliziranog grijanja/hlađenja koji primaju potporu povećavaju energetsku učinkovitost i smanjuju emisije CO</w:t>
      </w:r>
      <w:r>
        <w:rPr>
          <w:vertAlign w:val="subscript"/>
        </w:rPr>
        <w:t>2</w:t>
      </w:r>
      <w:r>
        <w:t xml:space="preserve"> i druge izvore onečišćenja te gubitke u mreži u usporedbi s alternativnim rješenjima za centralizirano grijanje/hlađenje. </w:t>
      </w:r>
    </w:p>
    <w:p w14:paraId="6FBF7751" w14:textId="7D4ACC7C" w:rsidR="00836816" w:rsidRPr="00D96C20" w:rsidRDefault="009B749D" w:rsidP="00A2265A">
      <w:pPr>
        <w:pStyle w:val="ListParagraph"/>
        <w:numPr>
          <w:ilvl w:val="0"/>
          <w:numId w:val="4"/>
        </w:numPr>
        <w:spacing w:before="120" w:after="120"/>
        <w:contextualSpacing w:val="0"/>
        <w:jc w:val="both"/>
      </w:pPr>
      <w:r>
        <w:rPr>
          <w:shd w:val="clear" w:color="auto" w:fill="FFFFFF"/>
        </w:rPr>
        <w:t>U skladu s točkom 393. CEEAG-a, ako se projekt temelji na otpadu kao ulaznom gorivu, objasnite kako se u projektu poštuje načelo hijerarhije otpada (članak 4. točka 1. Direktive (EU)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Proporcionalnost potpore </w:t>
            </w:r>
          </w:p>
        </w:tc>
      </w:tr>
    </w:tbl>
    <w:p w14:paraId="7AFDF26D" w14:textId="0DF381F0" w:rsidR="00A431BD" w:rsidRPr="00D96C20" w:rsidRDefault="00863406" w:rsidP="000B3E97">
      <w:pPr>
        <w:spacing w:before="120" w:after="120"/>
        <w:jc w:val="both"/>
        <w:rPr>
          <w:i/>
        </w:rPr>
      </w:pPr>
      <w:r>
        <w:rPr>
          <w:i/>
        </w:rPr>
        <w:t xml:space="preserve">Za unos podataka u ovom odjeljku vidjeti odjeljak 3.2.1.3. i odjeljak 4.10.4. (točke 394. i 395.) CEEAG-a.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Kako bi se potvrdila usklađenost s točkom 51. CEEAG-a, navedite sljedeće:</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kako bi se utvrdio manjak financijskih sredstava</w:t>
      </w:r>
      <w:r>
        <w:rPr>
          <w:rStyle w:val="FootnoteReference"/>
          <w:shd w:val="clear" w:color="auto" w:fill="FFFFFF"/>
        </w:rPr>
        <w:footnoteReference w:id="9"/>
      </w:r>
      <w:r>
        <w:rPr>
          <w:shd w:val="clear" w:color="auto" w:fill="FFFFFF"/>
        </w:rPr>
        <w:t>, za činjenični scenarij i vjerodostojan protučinjenični scenarij</w:t>
      </w:r>
      <w:r>
        <w:rPr>
          <w:rStyle w:val="FootnoteReference"/>
          <w:shd w:val="clear" w:color="auto" w:fill="FFFFFF"/>
        </w:rPr>
        <w:footnoteReference w:id="10"/>
      </w:r>
      <w:r>
        <w:rPr>
          <w:shd w:val="clear" w:color="auto" w:fill="FFFFFF"/>
        </w:rPr>
        <w:t xml:space="preserve"> dostavite mjerenje: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svih glavnih troškova i prihoda projekta,</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procijenjenog ponderiranog prosječnog troška kapitala („WACC”) korisnika za diskontiranje budućih novčanih tokova,</w:t>
      </w:r>
    </w:p>
    <w:p w14:paraId="2C7C5B9C" w14:textId="73D5610B" w:rsidR="00F05162" w:rsidRPr="00D96C20" w:rsidRDefault="00FD2296" w:rsidP="00F10E39">
      <w:pPr>
        <w:pStyle w:val="ListParagraph"/>
        <w:numPr>
          <w:ilvl w:val="1"/>
          <w:numId w:val="25"/>
        </w:numPr>
        <w:spacing w:before="120" w:after="120"/>
        <w:contextualSpacing w:val="0"/>
        <w:jc w:val="both"/>
      </w:pPr>
      <w:r>
        <w:rPr>
          <w:shd w:val="clear" w:color="auto" w:fill="FFFFFF"/>
        </w:rPr>
        <w:lastRenderedPageBreak/>
        <w:t>neto sadašnje vrijednosti za činjenični i protučinjenični scenarij tijekom trajanja projekta</w:t>
      </w:r>
      <w:r w:rsidR="00381857">
        <w:rPr>
          <w:shd w:val="clear" w:color="auto" w:fill="FFFFFF"/>
        </w:rPr>
        <w:t>,</w:t>
      </w:r>
    </w:p>
    <w:p w14:paraId="6B0BF531" w14:textId="08B1A880" w:rsidR="00F05162" w:rsidRPr="00D96C20" w:rsidRDefault="00381857" w:rsidP="00F05162">
      <w:pPr>
        <w:tabs>
          <w:tab w:val="left" w:leader="dot" w:pos="9072"/>
        </w:tabs>
        <w:spacing w:before="120" w:after="120"/>
        <w:ind w:left="567"/>
        <w:jc w:val="both"/>
      </w:pPr>
      <w:r>
        <w:rPr>
          <w:shd w:val="clear" w:color="auto" w:fill="FFFFFF"/>
        </w:rPr>
        <w:t xml:space="preserve"> </w:t>
      </w:r>
      <w:r w:rsidR="00F05162">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razloge za pretpostavke na kojima se temelji svaki aspekt mjerenja te objasniti i obrazložiti sve primijenjene metodologije.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U slučajevima pojedinačnih potpora i programa u korist posebno ograničenog broja korisnika država, članica mora dostaviti popratne dokaze na razini detaljnog poslovnog plana projekta.</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U slučajevima programa potpore država članica mora dostaviti popratne dokaze na temelju jednog ili više referentnih projekata.</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Ako ne postoji alternativni projekt, kako bi Komisija mogla potvrditi da iznos potpore ne premašuje minimalni iznos potreban da bi projekt kojem je dodijeljena potpora bio dovoljno profitabilan</w:t>
      </w:r>
      <w:r>
        <w:rPr>
          <w:rStyle w:val="FootnoteReference"/>
          <w:lang w:eastAsia="en-GB"/>
        </w:rPr>
        <w:footnoteReference w:id="11"/>
      </w:r>
      <w:r>
        <w:t>, navedite sljedeće informacije:</w:t>
      </w:r>
    </w:p>
    <w:p w14:paraId="020A0406" w14:textId="40D27EEF" w:rsidR="00EC2A7D" w:rsidRPr="00D96C20" w:rsidRDefault="00EC2A7D" w:rsidP="004776A4">
      <w:pPr>
        <w:pStyle w:val="ListParagraph"/>
        <w:numPr>
          <w:ilvl w:val="1"/>
          <w:numId w:val="4"/>
        </w:numPr>
        <w:spacing w:before="120" w:after="120"/>
        <w:contextualSpacing w:val="0"/>
        <w:jc w:val="both"/>
      </w:pPr>
      <w:r>
        <w:t>unutarnju stopu povrata (IRR) koja odgovara referentnoj vrijednosti ili zahtijevanoj stopi sektora ili poduzeća ili</w:t>
      </w:r>
    </w:p>
    <w:p w14:paraId="056D5BF9" w14:textId="64F3B5CD" w:rsidR="00AB47A1" w:rsidRPr="00D96C20" w:rsidRDefault="007315B8" w:rsidP="004776A4">
      <w:pPr>
        <w:pStyle w:val="ListParagraph"/>
        <w:numPr>
          <w:ilvl w:val="1"/>
          <w:numId w:val="4"/>
        </w:numPr>
        <w:spacing w:before="120" w:after="120"/>
        <w:contextualSpacing w:val="0"/>
        <w:jc w:val="both"/>
      </w:pPr>
      <w:r>
        <w:t>uobičajene stope povrata koje korisnik zahtijeva u okviru drugih projekata ulaganja slične vrste, njegov trošak kapitala u cjelini ili</w:t>
      </w:r>
    </w:p>
    <w:p w14:paraId="13B46137" w14:textId="062C7DC0" w:rsidR="0029714D" w:rsidRPr="00D96C20" w:rsidRDefault="007315B8" w:rsidP="004776A4">
      <w:pPr>
        <w:pStyle w:val="ListParagraph"/>
        <w:numPr>
          <w:ilvl w:val="1"/>
          <w:numId w:val="4"/>
        </w:numPr>
        <w:spacing w:before="120" w:after="120"/>
        <w:contextualSpacing w:val="0"/>
        <w:jc w:val="both"/>
      </w:pPr>
      <w:r>
        <w:t>povrate koji se obično bilježe u predmetnoj industriji ili</w:t>
      </w:r>
    </w:p>
    <w:p w14:paraId="0691A0E0" w14:textId="27443E78" w:rsidR="00445F48" w:rsidRPr="00D96C20" w:rsidRDefault="001622D8" w:rsidP="004776A4">
      <w:pPr>
        <w:pStyle w:val="ListParagraph"/>
        <w:numPr>
          <w:ilvl w:val="1"/>
          <w:numId w:val="4"/>
        </w:numPr>
        <w:spacing w:before="120" w:after="120"/>
        <w:contextualSpacing w:val="0"/>
        <w:jc w:val="both"/>
      </w:pPr>
      <w:r>
        <w:t>sve druge informacije na temelju kojih je opravdano da iznos potpore ne premašuje minimalni iznos potreban da bi projekt kojem je dodijeljena potpora bio dovoljno profitabilan.</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Zbrajanje</w:t>
            </w:r>
          </w:p>
        </w:tc>
      </w:tr>
    </w:tbl>
    <w:p w14:paraId="2346A85D" w14:textId="09594631" w:rsidR="00B21377" w:rsidRPr="00D96C20" w:rsidRDefault="00B21377" w:rsidP="00B21377">
      <w:pPr>
        <w:pStyle w:val="ListParagraph"/>
        <w:spacing w:before="120" w:after="120"/>
        <w:ind w:left="567"/>
        <w:contextualSpacing w:val="0"/>
        <w:jc w:val="both"/>
      </w:pPr>
      <w:r>
        <w:t>Za unos podataka u ovom odjeljku vidjeti točke 56. i 57. CEEAG-a.</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Kako bi se provjerila usklađenost s točkom 56. CEEAG-a, objasnite može li se potpora u okviru prijavljenih mjera dodijeliti istodobno u okviru nekoliko programa potpore ili zbrajati s jednokratnim ili </w:t>
      </w:r>
      <w:r>
        <w:rPr>
          <w:i/>
          <w:iCs/>
        </w:rPr>
        <w:t>de minimis</w:t>
      </w:r>
      <w:r>
        <w:t xml:space="preserve"> potporama za iste prihvatljive troškove. Ako je tako, navedite pojedinosti o tim programima potpore, jednokratnim potporama ili </w:t>
      </w:r>
      <w:r>
        <w:rPr>
          <w:i/>
          <w:iCs/>
        </w:rPr>
        <w:t>de minimis</w:t>
      </w:r>
      <w:r>
        <w:t xml:space="preserve"> potporama te o tome kako će se potpora zbrajati.</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Ako se točka 56. CEEAG-a primjenjuje na prijavljenu mjeru potpore, obrazložite kako ukupni iznos potpore dodijeljene u okviru prijavljenih mjera za neki projekt ili djelatnost ne dovodi do prekomjerne naknade ili ne premašuje maksimalni iznos potpore dopušten u skladu s točkom 394. CEEAG-a. Za svaku mjeru za koju se potpora dodijeljena u okviru prijavljene mjere potpore može zbrajati, navedite metodu kojom se osigurava usklađenost s uvjetima utvrđenima u točki 56. CEEAG-a. </w:t>
      </w:r>
    </w:p>
    <w:p w14:paraId="5A4E851C" w14:textId="1587758B" w:rsidR="007257F0" w:rsidRPr="00D96C20" w:rsidRDefault="007257F0" w:rsidP="007257F0">
      <w:pPr>
        <w:tabs>
          <w:tab w:val="left" w:leader="dot" w:pos="9072"/>
        </w:tabs>
        <w:spacing w:before="120" w:after="120"/>
        <w:ind w:left="567"/>
        <w:jc w:val="both"/>
      </w:pPr>
      <w:r>
        <w:lastRenderedPageBreak/>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Ako se primjenjuje točka 57. CEEAG-a, tj. potpora dodijeljena u okviru prijavljenih mjera kombinira se s financijskim sredstvima Unije kojima se centralizirano upravlja</w:t>
      </w:r>
      <w:r>
        <w:rPr>
          <w:rStyle w:val="FootnoteReference"/>
          <w:lang w:eastAsia="en-GB"/>
        </w:rPr>
        <w:footnoteReference w:id="12"/>
      </w:r>
      <w:r>
        <w:t xml:space="preserve">, obrazložite kako ukupni iznos dodijeljenih javnih sredstava u odnosu na iste prihvatljive troškove ne dovodi do prekomjerne naknade.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Transparentnost</w:t>
            </w:r>
          </w:p>
        </w:tc>
      </w:tr>
    </w:tbl>
    <w:p w14:paraId="32448DD4" w14:textId="77777777" w:rsidR="009C7EC5" w:rsidRPr="00D96C20" w:rsidRDefault="009C7EC5" w:rsidP="000B3E97">
      <w:pPr>
        <w:spacing w:before="120" w:after="120"/>
        <w:jc w:val="both"/>
        <w:rPr>
          <w:i/>
        </w:rPr>
      </w:pPr>
      <w:r>
        <w:rPr>
          <w:i/>
        </w:rPr>
        <w:t xml:space="preserve">Za unos podataka u ovom odjeljku vidjeti odjeljak 3.2.1.4. (točke od 58. do 61.) CEEAG-a.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Potvrdite da će država članica ispuniti zahtjeve za transparentnost navedene u točkama od 58. do 61. CEEAG-a.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Navedite poveznicu na internetske stranice na kojima </w:t>
      </w:r>
      <w:r>
        <w:rPr>
          <w:rFonts w:ascii="inherit" w:hAnsi="inherit"/>
        </w:rPr>
        <w:t xml:space="preserve">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062AA810" w:rsidR="008D37F9" w:rsidRPr="00D96C20" w:rsidRDefault="009C7EC5" w:rsidP="009C7EC5">
            <w:pPr>
              <w:pStyle w:val="Heading1"/>
              <w:ind w:left="792" w:hanging="432"/>
              <w:rPr>
                <w:i/>
                <w:color w:val="000000"/>
                <w:sz w:val="28"/>
                <w:szCs w:val="28"/>
              </w:rPr>
            </w:pPr>
            <w:r>
              <w:rPr>
                <w:i/>
                <w:color w:val="000000"/>
                <w:sz w:val="28"/>
              </w:rPr>
              <w:t xml:space="preserve"> 2.2.</w:t>
            </w:r>
            <w:r w:rsidR="00381857">
              <w:rPr>
                <w:i/>
                <w:color w:val="000000"/>
                <w:sz w:val="28"/>
              </w:rPr>
              <w:t xml:space="preserve"> </w:t>
            </w:r>
            <w:r>
              <w:rPr>
                <w:i/>
                <w:color w:val="000000"/>
                <w:sz w:val="28"/>
              </w:rPr>
              <w:t>Izbjegavanje nepotrebnih negativnih učinaka na tržišno natjecanje i trgovinu te uravnoteženje</w:t>
            </w:r>
          </w:p>
        </w:tc>
      </w:tr>
    </w:tbl>
    <w:p w14:paraId="6CD3884F" w14:textId="308833E5" w:rsidR="00F83660" w:rsidRPr="00D96C20" w:rsidRDefault="00F83660" w:rsidP="000B3E97">
      <w:pPr>
        <w:spacing w:before="120" w:after="120"/>
        <w:jc w:val="both"/>
        <w:rPr>
          <w:i/>
        </w:rPr>
      </w:pPr>
      <w:r>
        <w:rPr>
          <w:i/>
        </w:rPr>
        <w:t xml:space="preserve">Za unos podataka u ovom odjeljku vidjeti odjeljak 4.10.5. (točke od 396. do 398.) CEEAG-a. </w:t>
      </w:r>
    </w:p>
    <w:p w14:paraId="633F735E" w14:textId="5D8D45FF" w:rsidR="00304F41" w:rsidRPr="00D96C20" w:rsidRDefault="00304F41" w:rsidP="000B3E97">
      <w:pPr>
        <w:pStyle w:val="ListParagraph"/>
        <w:numPr>
          <w:ilvl w:val="0"/>
          <w:numId w:val="4"/>
        </w:numPr>
        <w:spacing w:before="120" w:after="120"/>
        <w:ind w:left="567" w:hanging="567"/>
        <w:contextualSpacing w:val="0"/>
        <w:jc w:val="both"/>
      </w:pPr>
      <w:r>
        <w:t>Ako se sustavi centraliziranoga grijanja i hlađenja oslanjaju na fosilna goriva koja najviše onečišćuju, kao što su ugljen, lignit, nafta i dizel, objasnite jesu li ispunjeni sljedeći kumulativni uvjeti u skladu s točkom 396. CEEAG-a:</w:t>
      </w:r>
      <w:r w:rsidR="00381857">
        <w:t xml:space="preserve"> </w:t>
      </w:r>
    </w:p>
    <w:p w14:paraId="5E05EB28" w14:textId="599AE112" w:rsidR="00304F41" w:rsidRPr="00D96C20" w:rsidRDefault="00304F41" w:rsidP="00F10E39">
      <w:pPr>
        <w:pStyle w:val="ListParagraph"/>
        <w:numPr>
          <w:ilvl w:val="2"/>
          <w:numId w:val="28"/>
        </w:numPr>
        <w:spacing w:before="120" w:after="120"/>
        <w:contextualSpacing w:val="0"/>
        <w:jc w:val="both"/>
      </w:pPr>
      <w:r>
        <w:t>potpora je ograničena na ulaganja u distribucijsku mrežu,</w:t>
      </w:r>
    </w:p>
    <w:p w14:paraId="48D098F7" w14:textId="77777777" w:rsidR="00F83660" w:rsidRPr="00D96C20" w:rsidRDefault="00F83660" w:rsidP="00F83660">
      <w:pPr>
        <w:tabs>
          <w:tab w:val="left" w:leader="dot" w:pos="9072"/>
        </w:tabs>
        <w:spacing w:before="120" w:after="120"/>
        <w:ind w:left="567"/>
        <w:jc w:val="both"/>
      </w:pPr>
      <w:r>
        <w:tab/>
      </w:r>
    </w:p>
    <w:p w14:paraId="05892635" w14:textId="67D1CA34" w:rsidR="00F83660" w:rsidRPr="00D96C20" w:rsidRDefault="00304F41" w:rsidP="00F10E39">
      <w:pPr>
        <w:pStyle w:val="ListParagraph"/>
        <w:numPr>
          <w:ilvl w:val="2"/>
          <w:numId w:val="28"/>
        </w:numPr>
        <w:spacing w:before="120" w:after="120"/>
        <w:contextualSpacing w:val="0"/>
        <w:jc w:val="both"/>
      </w:pPr>
      <w:r>
        <w:t>distribucijska mreža već omogućuje prijenos grijanja i hlađenja proizvedenog iz obnovljivih izvora energije, otpadne topline ili ugljično neutralnih izvora,</w:t>
      </w:r>
      <w:r w:rsidR="00381857">
        <w:t xml:space="preserve"> </w:t>
      </w:r>
    </w:p>
    <w:p w14:paraId="798B76FF" w14:textId="77777777" w:rsidR="00F83660" w:rsidRPr="00D96C20" w:rsidRDefault="00F83660" w:rsidP="00F83660">
      <w:pPr>
        <w:tabs>
          <w:tab w:val="left" w:leader="dot" w:pos="9072"/>
        </w:tabs>
        <w:spacing w:before="120" w:after="120"/>
        <w:ind w:left="567"/>
        <w:jc w:val="both"/>
      </w:pPr>
      <w:r>
        <w:tab/>
      </w:r>
    </w:p>
    <w:p w14:paraId="76611A3B" w14:textId="0B7F8FB8" w:rsidR="00F83660" w:rsidRPr="00D96C20" w:rsidRDefault="00304F41" w:rsidP="00F10E39">
      <w:pPr>
        <w:pStyle w:val="ListParagraph"/>
        <w:numPr>
          <w:ilvl w:val="2"/>
          <w:numId w:val="28"/>
        </w:numPr>
        <w:spacing w:before="120" w:after="120"/>
        <w:contextualSpacing w:val="0"/>
        <w:jc w:val="both"/>
      </w:pPr>
      <w:r>
        <w:t>potpora ne dovodi do povećane proizvodnje energije iz fosilnih goriva koja najviše onečišćuju (na primjer priključivanjem dodatnih kupaca na mrežu),</w:t>
      </w:r>
      <w:r w:rsidR="00381857">
        <w:t xml:space="preserve"> </w:t>
      </w:r>
    </w:p>
    <w:p w14:paraId="0638448B" w14:textId="77777777" w:rsidR="00F83660" w:rsidRPr="00D96C20" w:rsidRDefault="00F83660" w:rsidP="00F83660">
      <w:pPr>
        <w:tabs>
          <w:tab w:val="left" w:leader="dot" w:pos="9072"/>
        </w:tabs>
        <w:spacing w:before="120" w:after="120"/>
        <w:ind w:left="567"/>
        <w:jc w:val="both"/>
      </w:pPr>
      <w:r>
        <w:tab/>
      </w:r>
    </w:p>
    <w:p w14:paraId="1B4F742A" w14:textId="1F557489" w:rsidR="00F83660" w:rsidRPr="00D96C20" w:rsidRDefault="00304F41" w:rsidP="00F10E39">
      <w:pPr>
        <w:pStyle w:val="ListParagraph"/>
        <w:numPr>
          <w:ilvl w:val="2"/>
          <w:numId w:val="28"/>
        </w:numPr>
        <w:spacing w:before="120" w:after="120"/>
        <w:contextualSpacing w:val="0"/>
        <w:jc w:val="both"/>
      </w:pPr>
      <w:r>
        <w:lastRenderedPageBreak/>
        <w:t>postoji jasan vremenski okvir koji uključuje čvrste obveze povezane s prestankom uporabe fosilnih goriva koja najviše onečišćuju i u skladu je s klimatskim ciljem Unije do 2030. i ciljem klimatske neutralnosti Unije do 2050. (vidjeti primjer u bilješci 156. CEEAG-a).</w:t>
      </w:r>
      <w:r w:rsidR="00381857">
        <w:t xml:space="preserve">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Ako se projektom potiču nova ulaganja u prirodni plin ili upravljanje postrojenjima za proizvodnju energije na temelju prirodnog plina, objasnite osigurava li se projektom sljedeće, u skladu s točkom 397. CEEAG-a: </w:t>
      </w:r>
    </w:p>
    <w:p w14:paraId="38C1F102" w14:textId="32146B66" w:rsidR="00F610C7" w:rsidRPr="00D96C20" w:rsidRDefault="00304F41" w:rsidP="00D37B1D">
      <w:pPr>
        <w:pStyle w:val="ListParagraph"/>
        <w:numPr>
          <w:ilvl w:val="0"/>
          <w:numId w:val="38"/>
        </w:numPr>
        <w:spacing w:before="120" w:after="120"/>
        <w:contextualSpacing w:val="0"/>
        <w:jc w:val="both"/>
      </w:pPr>
      <w:r>
        <w:t>doprinos postizanju klimatskog cilja Unije do 2030. i cilja klimatske neutralnosti do 2050.,</w:t>
      </w:r>
    </w:p>
    <w:p w14:paraId="389482B8" w14:textId="38817A0F" w:rsidR="00F610C7" w:rsidRPr="00D96C20" w:rsidRDefault="00304F41" w:rsidP="00D37B1D">
      <w:pPr>
        <w:pStyle w:val="ListParagraph"/>
        <w:numPr>
          <w:ilvl w:val="0"/>
          <w:numId w:val="38"/>
        </w:numPr>
        <w:spacing w:before="120" w:after="120"/>
        <w:contextualSpacing w:val="0"/>
        <w:jc w:val="both"/>
      </w:pPr>
      <w:r>
        <w:t>kako će se izbjeći učinak ovisnosti o proizvodnji energije iz plina,</w:t>
      </w:r>
    </w:p>
    <w:p w14:paraId="7EA03E9A" w14:textId="7AB57B2E" w:rsidR="00F83660" w:rsidRPr="00D96C20" w:rsidRDefault="00F610C7" w:rsidP="00D37B1D">
      <w:pPr>
        <w:pStyle w:val="ListParagraph"/>
        <w:numPr>
          <w:ilvl w:val="0"/>
          <w:numId w:val="38"/>
        </w:numPr>
        <w:spacing w:before="120" w:after="120"/>
        <w:contextualSpacing w:val="0"/>
        <w:jc w:val="both"/>
      </w:pPr>
      <w:r>
        <w:t>kako se potporom ne istiskuju ulaganja u čišća alternativna rješenja koja su već dostupna na tržištu i ne koči razvoj čišćih tehnologija i njihova upotreba.</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Kako bi se provjerila usklađenost s točkom 398. CEEAG-a, objasnite je li sustav centraliziranog grijanja i hlađenja otvoren za pristup trećim osobama i bi li bilo moguće koristiti održiva alternativna rješenja za grijanje.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Evaluacija</w:t>
            </w:r>
          </w:p>
        </w:tc>
      </w:tr>
    </w:tbl>
    <w:p w14:paraId="78AC9B95" w14:textId="1FB76E7E" w:rsidR="00C33721" w:rsidRPr="00D96C20" w:rsidRDefault="00C33721" w:rsidP="005C6138">
      <w:pPr>
        <w:tabs>
          <w:tab w:val="left" w:leader="dot" w:pos="9072"/>
        </w:tabs>
        <w:spacing w:before="120" w:after="120"/>
        <w:ind w:left="567"/>
        <w:jc w:val="both"/>
      </w:pPr>
      <w:r>
        <w:rPr>
          <w:i/>
        </w:rPr>
        <w:t>Za unos podataka u ovom odjeljku vidjeti točku 76. podtočku (a) i poglavlje 5. (točke od 455. do 463.) CEEAG-a.</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Ako prijavljene mjere premašuju pragove proračuna/rashoda iz točke 456. CEEAG-a, objasnite zašto smatrate da bi se trebalo primjenjivati odstupanje iz točke 457. CEEAG-a ili ovom obrascu o dodatnim podacima priložite nacrt plana evaluacije koji obuhvaća područje primjene navedeno u točki 458. CEEAG-a</w:t>
      </w:r>
      <w:r>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Ako je dostavljen nacrt plana evaluacije:</w:t>
      </w:r>
    </w:p>
    <w:p w14:paraId="36682E0D" w14:textId="77777777" w:rsidR="00FE28B4" w:rsidRPr="00D96C20" w:rsidRDefault="00FE28B4" w:rsidP="00F10E39">
      <w:pPr>
        <w:numPr>
          <w:ilvl w:val="0"/>
          <w:numId w:val="34"/>
        </w:numPr>
        <w:spacing w:before="120" w:after="120"/>
        <w:jc w:val="both"/>
      </w:pPr>
      <w:r>
        <w:t>sažeto opišite nacrt plana evaluacije iz Priloga,</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potvrdite da će se poštovati točka 460. CEEAG-a,</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navedite datum i poveznicu na internetske stranice na kojima će plan evaluacije biti javno dostupan.</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lastRenderedPageBreak/>
        <w:t xml:space="preserve">Kako bi se potvrdila usklađenost s točkom 459. podtočkom (b) CEEAG-a, ako za program potpore trenutačno nije potrebna </w:t>
      </w:r>
      <w:r>
        <w:rPr>
          <w:i/>
          <w:iCs/>
        </w:rPr>
        <w:t>ex post</w:t>
      </w:r>
      <w:r>
        <w:t xml:space="preserve"> evaluacija, a traje dulje od tri godine, potvrdite da ćete dostaviti nacrt plana evaluacije u roku od 30 radnih dana nakon znatne izmjene kojom se proračun programa povećava na više od 150 milijuna EUR u bilo kojoj godini ili 750 milijuna EUR tijekom ukupnog trajanja programa.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Kako bi se potvrdila usklađenost s točkom 459. podtočkom (c) CEEAG-a, ako za program potpore trenutačno nije potrebna </w:t>
      </w:r>
      <w:r>
        <w:rPr>
          <w:i/>
          <w:iCs/>
        </w:rPr>
        <w:t>ex post</w:t>
      </w:r>
      <w:r>
        <w:t xml:space="preserve"> evaluacija, u nastavku potvrdite da se država članica obvezuje dostaviti nacrt plana evaluacije u roku od 30 radnih dana nakon što su u službenoj računovodstvenoj dokumentaciji uknjiženi rashodi veći od 150 milijuna EUR u prethodnoj godini.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Kako bi se potvrdila usklađenost s točkom 461. CEEAG-a:</w:t>
      </w:r>
    </w:p>
    <w:p w14:paraId="04054438" w14:textId="77777777" w:rsidR="00FE28B4" w:rsidRPr="00D96C20" w:rsidRDefault="00FE28B4" w:rsidP="00F10E39">
      <w:pPr>
        <w:numPr>
          <w:ilvl w:val="0"/>
          <w:numId w:val="35"/>
        </w:numPr>
        <w:spacing w:before="120" w:after="120"/>
        <w:jc w:val="both"/>
      </w:pPr>
      <w:r>
        <w:t>navedite je li neovisni stručnjak već odabran ili će biti odabran u budućnosti,</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unesite podatke o postupku odabira stručnjaka,</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obrazložite na koji je način stručnjak neovisan o davatelju potpore.</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Kako bi se potvrdila usklađenost s točkom 461. CEEAG-a: </w:t>
      </w:r>
    </w:p>
    <w:p w14:paraId="3043EB67" w14:textId="77777777" w:rsidR="00FE28B4" w:rsidRPr="00D96C20" w:rsidRDefault="00FE28B4" w:rsidP="00F10E39">
      <w:pPr>
        <w:numPr>
          <w:ilvl w:val="0"/>
          <w:numId w:val="36"/>
        </w:numPr>
        <w:spacing w:before="120" w:after="12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Potvrdite da će privremeno i završno izvješće o evaluaciji biti javno objavljeno. Unesite datum i poveznicu na internetske stranice na kojima će ta izvješća biti javno dostupna.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Izvješćivanje i praćenje</w:t>
            </w:r>
          </w:p>
        </w:tc>
      </w:tr>
    </w:tbl>
    <w:p w14:paraId="03FF5B05" w14:textId="77777777" w:rsidR="00FE28B4" w:rsidRPr="00D96C20" w:rsidRDefault="00FE28B4" w:rsidP="00FE28B4">
      <w:pPr>
        <w:tabs>
          <w:tab w:val="left" w:leader="dot" w:pos="9072"/>
        </w:tabs>
        <w:spacing w:before="120" w:after="120"/>
        <w:ind w:left="567"/>
        <w:jc w:val="both"/>
      </w:pPr>
      <w:r>
        <w:rPr>
          <w:i/>
        </w:rPr>
        <w:t>Za unos podataka u ovom odjeljku vidjeti odjeljak 6. (točke 464. i 465.) CEEAG-a.</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Potvrdite da će država članica ispuniti zahtjeve za izvješćivanje i praćenje iz odjeljka 6. točaka 464. i 465. CEEAG-a.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SL C 80, 18.2.2022., str. 1.</w:t>
      </w:r>
    </w:p>
  </w:footnote>
  <w:footnote w:id="3">
    <w:p w14:paraId="6565D8D9" w14:textId="77777777" w:rsidR="005937D4" w:rsidRPr="0067348B" w:rsidRDefault="005937D4" w:rsidP="005937D4">
      <w:pPr>
        <w:pStyle w:val="FootnoteText"/>
      </w:pPr>
      <w:r>
        <w:rPr>
          <w:rStyle w:val="FootnoteReference"/>
        </w:rPr>
        <w:footnoteRef/>
      </w:r>
      <w:r>
        <w:tab/>
        <w:t>Napominjemo da se za program potpore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w:t>
      </w:r>
    </w:p>
  </w:footnote>
  <w:footnote w:id="4">
    <w:p w14:paraId="2D55E73F" w14:textId="77777777" w:rsidR="007444CC" w:rsidRPr="0067348B" w:rsidRDefault="007444CC" w:rsidP="007444CC">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561DACBB" w14:textId="1FF2FC9F" w:rsidR="008D2777" w:rsidRDefault="008D2777">
      <w:pPr>
        <w:pStyle w:val="FootnoteText"/>
      </w:pPr>
    </w:p>
  </w:footnote>
  <w:footnote w:id="6">
    <w:p w14:paraId="4C19DBFC" w14:textId="4F9612F8" w:rsidR="008D2777" w:rsidRPr="00381857" w:rsidRDefault="008D2777">
      <w:pPr>
        <w:pStyle w:val="FootnoteText"/>
      </w:pPr>
    </w:p>
  </w:footnote>
  <w:footnote w:id="7">
    <w:p w14:paraId="76D8E62B" w14:textId="77777777" w:rsidR="00D37B1D" w:rsidRDefault="008D2777" w:rsidP="00D37B1D">
      <w:pPr>
        <w:pStyle w:val="FootnoteText"/>
      </w:pPr>
      <w:r>
        <w:rPr>
          <w:rStyle w:val="FootnoteReference"/>
        </w:rPr>
        <w:footnoteRef/>
      </w:r>
      <w:r>
        <w:t xml:space="preserve"> </w:t>
      </w:r>
      <w:r>
        <w:tab/>
        <w:t>U točki 31. CEEAG-a navodi se sljedeće: „U određenim iznimnim slučajevima potpora može imati učinak poticaja čak i za projekte koji su započeli prije podnošenja zahtjeva za potporu.</w:t>
      </w:r>
    </w:p>
    <w:p w14:paraId="1524F4B1" w14:textId="362CC96F" w:rsidR="008D2777" w:rsidRPr="00381857" w:rsidRDefault="008D2777" w:rsidP="00381857">
      <w:pPr>
        <w:pStyle w:val="FootnoteText"/>
        <w:ind w:firstLine="0"/>
        <w:rPr>
          <w:iCs/>
        </w:rPr>
      </w:pPr>
      <w:r w:rsidRPr="00381857">
        <w:rPr>
          <w:iCs/>
        </w:rPr>
        <w:t>Posebno se smatra da potpora ima učinak poticaja u sljedećim situacijama</w:t>
      </w:r>
      <w:r w:rsidR="00381857">
        <w:rPr>
          <w:iCs/>
        </w:rPr>
        <w:t>:</w:t>
      </w:r>
    </w:p>
    <w:p w14:paraId="5730337E" w14:textId="7DC3746A" w:rsidR="008D2777" w:rsidRPr="00381857" w:rsidRDefault="008D2777" w:rsidP="00F10E39">
      <w:pPr>
        <w:pStyle w:val="FootnoteText"/>
        <w:numPr>
          <w:ilvl w:val="0"/>
          <w:numId w:val="24"/>
        </w:numPr>
        <w:rPr>
          <w:iCs/>
        </w:rPr>
      </w:pPr>
      <w:r w:rsidRPr="00381857">
        <w:rPr>
          <w:iCs/>
        </w:rPr>
        <w:t>ako se potpora dodjeljuje automatski u skladu s objektivnim i nediskriminirajućim kriterijima i bez daljnje primjene diskrecijskog prava države članice, a mjera je donesena i stupila je na snagu prije početka rada na projektu ili djelatnosti kojoj je dodijeljena potpora, osim u slučaju programa koji su nasljednici poreznih programa ako je djelatnost bila obuhvaćena prethodnim programima u obliku poreznih pogodnosti;</w:t>
      </w:r>
    </w:p>
    <w:p w14:paraId="126E383A" w14:textId="1F4A7ABF" w:rsidR="008D2777" w:rsidRPr="00381857" w:rsidRDefault="008D2777" w:rsidP="00F10E39">
      <w:pPr>
        <w:pStyle w:val="FootnoteText"/>
        <w:numPr>
          <w:ilvl w:val="0"/>
          <w:numId w:val="24"/>
        </w:numPr>
        <w:rPr>
          <w:iCs/>
        </w:rPr>
      </w:pPr>
      <w:r w:rsidRPr="00381857">
        <w:rPr>
          <w:iCs/>
        </w:rPr>
        <w:t>ako su nacionalna tijela prije početka radova objavila obavijest o svojoj namjeri da uvedu predloženu mjeru potpore pod uvjetom da Komisija odobri mjeru u skladu s člankom 108. stavkom 3. Ugovora. Ta obavijest mora biti dostupna na javnim internetskim stranicama ili drugim javno dostupnim medijima s relativno širokim i jednostavnim pristupom i u njoj se mora jasno navesti vrsta projekata koje država članica predlaže kao prihvatljive i trenutak od kojeg država članica namjerava takve projekte smatrati prihvatljivima. Predložena prihvatljivost ne smije biti neopravdano ograničena. Korisnik prije početka radova mora obavijestiti davatelja potpore da se predložena mjera potpore smatra uvjetom za donošenje odluka o ulaganju. Ako se država članica oslanja na takvu obavijest kako bi dokazala učinak poticaja, u okviru svoje prijave državne potpore mora dostaviti presliku obavijesti i poveznicu na internetske stranice na kojima je objavljena odnosno odgovarajući dokaz o njezinoj dostupnosti javnosti;</w:t>
      </w:r>
    </w:p>
    <w:p w14:paraId="64F711A8" w14:textId="54D3F761" w:rsidR="008D2777" w:rsidRDefault="008D2777" w:rsidP="00F10E39">
      <w:pPr>
        <w:pStyle w:val="FootnoteText"/>
        <w:numPr>
          <w:ilvl w:val="0"/>
          <w:numId w:val="24"/>
        </w:numPr>
      </w:pPr>
      <w:r w:rsidRPr="00381857">
        <w:rPr>
          <w:iCs/>
        </w:rPr>
        <w:t>u slučaju operativne potpore dodijeljene postojećim postrojenjima za proizvodnju prihvatljivu za okoliš ako ne postoji ‚početak radova’ jer nema znatnih novih ulaganja. U tim se slučajevima učinak poticaja može dokazati promjenom u radu postrojenja na način koji je prihvatljiv za okoliš, umjesto prelaska na alternativni jeftiniji način rada koji je manje prihvatljiv za okoliš.”</w:t>
      </w:r>
    </w:p>
  </w:footnote>
  <w:footnote w:id="8">
    <w:p w14:paraId="5276A1EB" w14:textId="77777777" w:rsidR="000C258D" w:rsidRDefault="000C258D" w:rsidP="000C258D">
      <w:pPr>
        <w:pStyle w:val="FootnoteText"/>
      </w:pPr>
      <w:r>
        <w:rPr>
          <w:rStyle w:val="FootnoteReference"/>
        </w:rPr>
        <w:footnoteRef/>
      </w:r>
      <w:r>
        <w:t xml:space="preserve"> </w:t>
      </w:r>
      <w:r>
        <w:tab/>
        <w:t>U skladu s točkom 19. podtočkom 89. CEEAG-a „‚norma Unije’ znači:</w:t>
      </w:r>
    </w:p>
    <w:p w14:paraId="2C2E9687" w14:textId="77777777" w:rsidR="000C258D" w:rsidRPr="00381857" w:rsidRDefault="000C258D" w:rsidP="00F10E39">
      <w:pPr>
        <w:pStyle w:val="FootnoteText"/>
        <w:numPr>
          <w:ilvl w:val="0"/>
          <w:numId w:val="27"/>
        </w:numPr>
        <w:rPr>
          <w:iCs/>
        </w:rPr>
      </w:pPr>
      <w:r w:rsidRPr="00381857">
        <w:rPr>
          <w:iCs/>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125190F0" w14:textId="64BC945A" w:rsidR="000C258D" w:rsidRDefault="000C258D" w:rsidP="00F10E39">
      <w:pPr>
        <w:pStyle w:val="FootnoteText"/>
        <w:numPr>
          <w:ilvl w:val="0"/>
          <w:numId w:val="27"/>
        </w:numPr>
      </w:pPr>
      <w:r w:rsidRPr="00381857">
        <w:rPr>
          <w:iCs/>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9">
    <w:p w14:paraId="6589188F" w14:textId="535F0441" w:rsidR="008D2777" w:rsidRDefault="008D2777">
      <w:pPr>
        <w:pStyle w:val="FootnoteText"/>
      </w:pPr>
      <w:r>
        <w:rPr>
          <w:rStyle w:val="FootnoteReference"/>
        </w:rPr>
        <w:footnoteRef/>
      </w:r>
      <w:r>
        <w:t xml:space="preserve"> </w:t>
      </w:r>
      <w:r>
        <w:tab/>
        <w:t>U točki 51. CEEAG-a navodi se sljedeće:</w:t>
      </w:r>
      <w:r w:rsidR="00381857">
        <w:t xml:space="preserve"> </w:t>
      </w:r>
      <w:r>
        <w:t>„Uobičajeni neto dodatni trošak može se procijeniti kao razlika između neto sadašnje vrijednosti za činjenični scenarij i za protučinjenični scenarij tijekom trajanja referentnog projekta.”</w:t>
      </w:r>
    </w:p>
  </w:footnote>
  <w:footnote w:id="10">
    <w:p w14:paraId="02B0A4E3" w14:textId="5C6F97AB" w:rsidR="008D2777" w:rsidRDefault="008D2777">
      <w:pPr>
        <w:pStyle w:val="FootnoteText"/>
      </w:pPr>
      <w:r>
        <w:rPr>
          <w:rStyle w:val="FootnoteReference"/>
        </w:rPr>
        <w:footnoteRef/>
      </w:r>
      <w:r>
        <w:t xml:space="preserve"> </w:t>
      </w:r>
      <w:r>
        <w:tab/>
        <w:t>Napominjemo da prema bilješci 45. CEEAG-a „Protučinjenični scenarij u kojem se kao alternativni scenarij ulaganja/djelovanja predlaže dugoročni nastavak postojećih ekološki neodrživih djelatnosti neće se smatrati realističnim.”</w:t>
      </w:r>
    </w:p>
  </w:footnote>
  <w:footnote w:id="11">
    <w:p w14:paraId="4E6E256B" w14:textId="4AB0B555" w:rsidR="008D2777" w:rsidRDefault="008D2777">
      <w:pPr>
        <w:pStyle w:val="FootnoteText"/>
      </w:pPr>
      <w:r>
        <w:rPr>
          <w:rStyle w:val="FootnoteReference"/>
        </w:rPr>
        <w:footnoteRef/>
      </w:r>
      <w:r>
        <w:t xml:space="preserve"> </w:t>
      </w:r>
      <w:r>
        <w:tab/>
        <w:t>U skladu s bilješkom 46. u CEEAG-u napominjemo da se „[s]vi relevantni očekivani troškovi i koristi moraju [...] uzeti u obzir za vrijeme cjelokupnog trajanja projekta”.</w:t>
      </w:r>
    </w:p>
  </w:footnote>
  <w:footnote w:id="12">
    <w:p w14:paraId="086AD512" w14:textId="7087BE19" w:rsidR="008D2777" w:rsidRPr="009C7EC5" w:rsidRDefault="008D2777">
      <w:pPr>
        <w:pStyle w:val="FootnoteText"/>
      </w:pPr>
      <w:r>
        <w:rPr>
          <w:rStyle w:val="FootnoteReference"/>
        </w:rPr>
        <w:footnoteRef/>
      </w:r>
      <w:r>
        <w:t xml:space="preserve"> </w:t>
      </w:r>
      <w:r>
        <w:tab/>
        <w:t>Financijska sredstva Unije kojima se centralizirano upravlja su financijska sredstva Unije kojima centralizirano upravljaju institucije, agencije, zajednička poduzeća ili ostala tijela Europske unije i koja nisu izravno ili neizravno pod kontrolom država članica.</w:t>
      </w:r>
    </w:p>
  </w:footnote>
  <w:footnote w:id="13">
    <w:p w14:paraId="2B7A8351" w14:textId="5BF8DA48" w:rsidR="00FE28B4" w:rsidRDefault="00FE28B4" w:rsidP="00FE28B4">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r w:rsidR="00381857">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1857"/>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3224</Words>
  <Characters>19122</Characters>
  <Application>Microsoft Office Word</Application>
  <DocSecurity>0</DocSecurity>
  <Lines>424</Lines>
  <Paragraphs>161</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SIMUDVARAC Maja (DGT)</cp:lastModifiedBy>
  <cp:revision>3</cp:revision>
  <cp:lastPrinted>2022-04-12T14:59:00Z</cp:lastPrinted>
  <dcterms:created xsi:type="dcterms:W3CDTF">2024-09-16T13:03:00Z</dcterms:created>
  <dcterms:modified xsi:type="dcterms:W3CDTF">2024-10-07T12:17:00Z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