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Del III.6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Ajourført* Supplerende informationsskema for statsstøtte ydet i henhold til retningslinjerne for statsstøtte til klima, miljøbeskyttelse og energi 2022 (CEEAG)</w:t>
            </w:r>
            <w:bookmarkStart w:id="2" w:name="_Hlk152693571"/>
            <w:r>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Kapitel 4.10 – Støtte til fjernvarme og fjernkøling</w:t>
            </w:r>
          </w:p>
          <w:p w14:paraId="469DC4EF" w14:textId="2B54A3FD" w:rsidR="00C076F2" w:rsidRPr="00D96C20" w:rsidRDefault="00C076F2" w:rsidP="00C076F2">
            <w:r>
              <w:t>* endnu ikke formelt vedtaget</w:t>
            </w:r>
          </w:p>
        </w:tc>
      </w:tr>
    </w:tbl>
    <w:p w14:paraId="35C43324" w14:textId="77777777" w:rsidR="00C076F2" w:rsidRPr="00D96C20" w:rsidRDefault="00C076F2" w:rsidP="00C076F2">
      <w:pPr>
        <w:spacing w:before="120" w:after="120"/>
        <w:ind w:right="-142"/>
        <w:jc w:val="both"/>
        <w:rPr>
          <w:i/>
          <w:iCs/>
        </w:rPr>
      </w:pPr>
      <w:r>
        <w:rPr>
          <w:i/>
        </w:rPr>
        <w:t>Dette supplerende informationsskema skal anvendes ved anmeldelse af enhver støtte, der er omfattet af retningslinjerne for statsstøtte til klima, miljøbeskyttelse og energi 2022 (herefter "CEEAG").</w:t>
      </w:r>
    </w:p>
    <w:p w14:paraId="5661C6FF" w14:textId="6900E16C" w:rsidR="00C076F2" w:rsidRPr="00D96C20" w:rsidRDefault="00C076F2" w:rsidP="009E2EA1">
      <w:pPr>
        <w:spacing w:before="120" w:after="120"/>
        <w:ind w:right="-142"/>
        <w:jc w:val="both"/>
        <w:rPr>
          <w:i/>
          <w:iCs/>
        </w:rPr>
      </w:pPr>
      <w:r>
        <w:rPr>
          <w:i/>
        </w:rPr>
        <w:t xml:space="preserve">Dette supplerende informationsskema vedrører foranstaltninger, der er omhandlet i kapitel 4.10 i CEEAG. Hvis anmeldelsen omfatter foranstaltninger, der er omhandlet i mere end et kapitel i CEEAG, skal det supplerende informationsskema, som omhandler det pågældende kapitel i CEEAG, ligeledes udfyldes, når skemaet bliver tilgængeligt. </w:t>
      </w:r>
    </w:p>
    <w:p w14:paraId="140907B2" w14:textId="712B456C" w:rsidR="00C076F2" w:rsidRPr="00D96C20" w:rsidRDefault="00C076F2" w:rsidP="00C076F2">
      <w:pPr>
        <w:spacing w:before="120" w:after="120"/>
        <w:ind w:right="-142"/>
        <w:jc w:val="both"/>
        <w:rPr>
          <w:i/>
          <w:iCs/>
        </w:rPr>
      </w:pPr>
      <w:r>
        <w:rPr>
          <w:i/>
        </w:rPr>
        <w:t xml:space="preserve">Alle de dokumenter, som medlemsstaterne vedlægger dette supplerende informationsskema som bilag, skal nummereres, og dokumentnumrene skal anføres i de relevante afsnit i dette supplerende informationsskema.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Afsnit A: Resumé af de vigtigste karakteristika ved den eller de anmeldte foranstaltninger</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Baggrund for og formål med den eller de anmeldte foranstaltninger.</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Hvis der ikke allerede er redegjort for det i afsnit 5.2 i formularen vedrørende generelle oplysninger (del I), angives baggrunden og hovedformålet, herunder eventuelle EU-mål for reduktion og fjernelse af drivhusgasemissioner, som foranstaltningen har til formål at understøtte. </w:t>
      </w:r>
    </w:p>
    <w:p w14:paraId="58A3E6F8" w14:textId="311CFA0C" w:rsidR="005937D4" w:rsidRPr="00D96C20" w:rsidRDefault="005937D4" w:rsidP="005937D4">
      <w:pPr>
        <w:tabs>
          <w:tab w:val="left" w:leader="dot" w:pos="9072"/>
        </w:tabs>
        <w:spacing w:before="120" w:after="120"/>
        <w:ind w:left="360"/>
        <w:jc w:val="both"/>
      </w:pPr>
      <w:r>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Angiv eventuelle andre formål, der forfølges med foranstaltningen. For mål, der ikke er rent miljømæssige, skal det forklares, om de kan medføre forvridninger af det indre marked. </w:t>
      </w:r>
    </w:p>
    <w:p w14:paraId="3E653A30" w14:textId="3FB1786C" w:rsidR="005937D4" w:rsidRPr="00D96C20" w:rsidRDefault="005937D4" w:rsidP="005937D4">
      <w:pPr>
        <w:tabs>
          <w:tab w:val="left" w:leader="dot" w:pos="9072"/>
        </w:tabs>
        <w:spacing w:before="120" w:after="120"/>
        <w:ind w:left="360"/>
        <w:jc w:val="both"/>
      </w:pPr>
      <w:r>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Ikrafttræden og varighed:</w:t>
      </w:r>
    </w:p>
    <w:p w14:paraId="3C55498B" w14:textId="77777777" w:rsidR="005937D4" w:rsidRPr="00D96C20" w:rsidRDefault="005937D4" w:rsidP="00F10E39">
      <w:pPr>
        <w:pStyle w:val="ListParagraph"/>
        <w:numPr>
          <w:ilvl w:val="0"/>
          <w:numId w:val="31"/>
        </w:numPr>
        <w:ind w:left="993" w:hanging="142"/>
        <w:jc w:val="both"/>
        <w:rPr>
          <w:szCs w:val="24"/>
        </w:rPr>
      </w:pPr>
      <w:r>
        <w:t>Angiv den dato, fra hvilken det er hensigten, at støtteordningen skal træde i kraft, for så vidt det ikke allerede er angivet i afsnit 5.5 i formularen vedrørende generelle oplysninger (del I).</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Angiv ordningens maksimale løbetid</w:t>
      </w:r>
      <w:r>
        <w:rPr>
          <w:szCs w:val="24"/>
          <w:vertAlign w:val="superscript"/>
        </w:rPr>
        <w:footnoteReference w:id="3"/>
      </w:r>
      <w:r>
        <w:t>.</w:t>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Støttemodtager(e)</w:t>
      </w:r>
      <w:r>
        <w:tab/>
      </w:r>
    </w:p>
    <w:p w14:paraId="222C106D" w14:textId="77777777" w:rsidR="007444CC" w:rsidRPr="00D96C20" w:rsidRDefault="007444CC" w:rsidP="00F10E39">
      <w:pPr>
        <w:pStyle w:val="ListParagraph"/>
        <w:numPr>
          <w:ilvl w:val="0"/>
          <w:numId w:val="20"/>
        </w:numPr>
        <w:ind w:left="1078" w:hanging="227"/>
        <w:jc w:val="both"/>
        <w:rPr>
          <w:szCs w:val="24"/>
        </w:rPr>
      </w:pPr>
      <w:r>
        <w:t>Beskriv foranstaltningens/foranstaltningernes (potentielle) støttemodtager(e), hvis dette ikke allerede er angivet i afsnit 3 i formularen vedrørende generelle oplysninger (del I).</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Angiv (de potentielle) støttemodtageres lokalisering (dvs. om kun økonomiske enheder, der er beliggende i de respektive medlemsstater, eller om dem i andre medlemsstater ligeledes er berettigede til at deltage i foranstaltningen).</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Angiv med henblik på at vurdere, om punkt 15 i CEEAG er overholdt, hvorvidt der inden for rammerne af foranstaltningen/foranstaltningerne ydes støtte til fordel for en virksomhed (individuel eller en del af en ordning), der ikke har efterkommet </w:t>
      </w:r>
      <w:r>
        <w:lastRenderedPageBreak/>
        <w:t xml:space="preserve">et krav om tilbagebetaling af støtte, som Kommissionen ved en tidligere afgørelse har erklæret ulovlig og uforenelig med det indre marked.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t xml:space="preserve">Oplys i bekræftende fald det støttebeløb, der endnu ikke er tilbagebetalt, med henblik på Kommissionens hensyntagen til dette i vurderingen af støtteforanstaltningen/støtteforanstaltningerne.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Bekræft, at foranstaltningen/foranstaltningerne ikke omfatter støtte til aktiviteter, der falder uden for anvendelsesområdet for CEEAG (se punkt 13 i CEEAG). Angiv i modsat fald nærmere oplysninger.</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Budget for og finansiering af foranstaltningen/foranstaltningerne</w:t>
      </w:r>
      <w:r>
        <w:t>.</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Angiv det årlige og/eller samlede budget for foranstaltningens/foranstaltningernes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Pr>
          <w:szCs w:val="24"/>
          <w:vertAlign w:val="superscript"/>
        </w:rPr>
        <w:footnoteReference w:id="4"/>
      </w:r>
      <w:r>
        <w:t>.</w:t>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Præciser ved en afgiftsfinansieret foranstaltning, om:</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afgiften er fastsat ved lov eller anden retsakt. Angiv i bekræftende fald retsakten, dens nummer og datoen, hvor retsakten blev vedtaget og trådte i kraft, samt et link til retsakten</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afgiften pålægges både indenlandske og importerede produkter</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den anmeldte foranstaltning vil gavne både indenlandske og udenlandske producenter</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afgiften fuldt ud finansierer foranstaltningen eller kun gør det delvist. Hvis afgiften kun delvis finansierer foranstaltningen, skal de øvrige finansieringskilder for foranstaltningen og deres respektive andel angives</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den afgift, der finansierer den anmeldte foranstaltning, også finansierer andre støtteforanstaltninger. Angiv i bekræftende fald de øvrige støtteforanstaltninger, der finansieres af den pågældende afgift.</w:t>
      </w:r>
    </w:p>
    <w:p w14:paraId="0C74DE83" w14:textId="2CAAC795" w:rsidR="00BA5751" w:rsidRPr="00D96C20" w:rsidRDefault="007444CC" w:rsidP="00BA5751">
      <w:pPr>
        <w:tabs>
          <w:tab w:val="left" w:leader="dot" w:pos="9072"/>
        </w:tabs>
        <w:spacing w:before="120" w:after="120"/>
        <w:ind w:left="567"/>
        <w:jc w:val="both"/>
      </w:pPr>
      <w:r>
        <w:t xml:space="preserve"> </w:t>
      </w: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Afsnit B: Forenelighedsvurdering af støtten</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Positiv betingelse: Støtten skal fremme udviklingen af en økonomisk aktivitet</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Bidrag til udviklingen af en økonomisk aktivitet</w:t>
            </w:r>
          </w:p>
        </w:tc>
      </w:tr>
    </w:tbl>
    <w:p w14:paraId="1E2599D2" w14:textId="6708984F" w:rsidR="000442F5" w:rsidRPr="00D96C20" w:rsidRDefault="000442F5" w:rsidP="000442F5">
      <w:pPr>
        <w:spacing w:before="360" w:after="120"/>
        <w:jc w:val="both"/>
        <w:rPr>
          <w:i/>
        </w:rPr>
      </w:pPr>
      <w:r>
        <w:rPr>
          <w:i/>
        </w:rPr>
        <w:t xml:space="preserve">Med henblik på angivelsen af oplysningerne i dette afsnit henvises til afsnit 3.1.1, punkt 23-25, og afsnit 4.10.1 og afsnit 4.10.2, punkt 383-390, i CEEAG.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Kommissionen kan i</w:t>
      </w:r>
      <w:bookmarkStart w:id="5" w:name="_Hlk170735690"/>
      <w:r>
        <w:t xml:space="preserve"> henhold til artikel 107, stk. 3, litra c), i traktaten om Den Europæiske Unions funktionsmåde (TEUF)</w:t>
      </w:r>
      <w:bookmarkEnd w:id="5"/>
      <w:r>
        <w:t xml:space="preserve"> erklære "støtte til fremme af udviklingen af visse erhvervsgrene eller økonomiske regioner, når den ikke ændrer samhandelsvilkårene på en måde, der strider mod den fælles interesse", forenelig med det indre marked. Støtte, der er forenelig i henhold til denne bestemmelse i TEUF, skal derfor bidrage til udviklingen af en bestemt økonomisk aktivitet. </w:t>
      </w:r>
    </w:p>
    <w:p w14:paraId="32559872" w14:textId="77777777" w:rsidR="007444CC" w:rsidRPr="00D96C20" w:rsidRDefault="007444CC" w:rsidP="000442F5">
      <w:pPr>
        <w:tabs>
          <w:tab w:val="left" w:leader="dot" w:pos="9072"/>
        </w:tabs>
        <w:spacing w:before="120" w:after="120"/>
        <w:ind w:left="567"/>
        <w:jc w:val="both"/>
      </w:pPr>
      <w:r>
        <w:t>Angiv de økonomiske aktiviteter, der vil blive fremmet som følge af støtten, og hvordan udviklingen af disse aktiviteter støttes, med henblik på at vurdere overholdelsen af punkt 23 i CEEAG.</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Redegør derudover nærmere for, i hvilket omfang støtten vedrører politikker, der er beskrevet i punkt 383 og 384 i CEEAG. I den forbindelse skal det også præciseres, om projektet fremmer vedvarende energi i overensstemmelse med artikel 2, nr. 1), i direktiv (EU) 2018/2001. Bekræft nærmere bestemt, om foranstaltningen udvikler effektive fjernvarme- og fjernkølingssystemer som omhandlet i artikel 26 i direktiv (EU) 2023/1791 til fremme af opvarmning og køling fra vedvarende energikilder.</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I henhold til punkt 385 og 386 i CEEAG kan støtte, der er begrænset til fjernvarmedistributionsnet, under visse omstændigheder anses for at falde uden for statsstøttekontrol. </w:t>
      </w:r>
    </w:p>
    <w:p w14:paraId="4F669D19" w14:textId="14DDB074" w:rsidR="008D2777" w:rsidRPr="00D96C20" w:rsidRDefault="00E9552A" w:rsidP="00A2265A">
      <w:pPr>
        <w:pStyle w:val="ListParagraph"/>
        <w:numPr>
          <w:ilvl w:val="1"/>
          <w:numId w:val="4"/>
        </w:numPr>
        <w:spacing w:before="120" w:after="120"/>
        <w:contextualSpacing w:val="0"/>
        <w:jc w:val="both"/>
      </w:pPr>
      <w:r>
        <w:t>Støtter foranstaltningen fjernvarmedistributionsnet, som vil være underlagt tredjepartsadgang, adskillelse (dvs. adskillelse mellem produktion og distribution af varme/køling) og regulerede tariffer?</w:t>
      </w:r>
    </w:p>
    <w:p w14:paraId="79238E1B" w14:textId="51B3C821" w:rsidR="00E9552A" w:rsidRPr="00D96C20" w:rsidRDefault="00E9552A" w:rsidP="00A2265A">
      <w:pPr>
        <w:pStyle w:val="ListParagraph"/>
        <w:numPr>
          <w:ilvl w:val="1"/>
          <w:numId w:val="4"/>
        </w:numPr>
        <w:spacing w:before="120" w:after="120"/>
        <w:contextualSpacing w:val="0"/>
        <w:jc w:val="both"/>
      </w:pPr>
      <w:r>
        <w:t>Hvis svaret i litra a) er ja, skal det forklares, om distributionsnettet vil blive drevet i en situation med lovbestemt og/eller naturligt monopol under henvisning til kriterierne i punkt 374 og 375 i CEEAG.</w:t>
      </w:r>
    </w:p>
    <w:p w14:paraId="4EFAFD17" w14:textId="258CC1D3" w:rsidR="009C1CC6" w:rsidRPr="00D96C20" w:rsidRDefault="009C1CC6" w:rsidP="009C1CC6">
      <w:pPr>
        <w:tabs>
          <w:tab w:val="left" w:leader="dot" w:pos="9072"/>
        </w:tabs>
        <w:spacing w:before="120" w:after="120"/>
        <w:ind w:left="567"/>
        <w:jc w:val="both"/>
      </w:pPr>
      <w:r>
        <w:lastRenderedPageBreak/>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 xml:space="preserve">Angiv oplysninger om støtteforanstaltningernes omfang og de støttede aktiviteter, jf. afsnit 4.10.2., punkt 388-389, i CEEAG. I den forbindelse kræves følgende ligeledes: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Forklar, hvorfor projektet falder ind under definitionen af fjernvarme og/eller fjernkøling i punkt 19, nr. 27), i CEEAG og definitionen af fjernvarme- og/eller fjernkølingssystem i punkt 19, nr. 28), i CEEAG.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Forklar, om projektet støtter opførelsen, opgraderingen eller driften af: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en produktionsenhed og/eller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et lageranlæg og/eller </w:t>
      </w:r>
    </w:p>
    <w:p w14:paraId="7F9E3ACD" w14:textId="32BF6B8C" w:rsidR="009C1CC6" w:rsidRPr="00D96C20" w:rsidRDefault="009C1CC6" w:rsidP="00F10E39">
      <w:pPr>
        <w:pStyle w:val="ListParagraph"/>
        <w:numPr>
          <w:ilvl w:val="0"/>
          <w:numId w:val="30"/>
        </w:numPr>
        <w:spacing w:before="120" w:after="120"/>
        <w:contextualSpacing w:val="0"/>
        <w:jc w:val="both"/>
      </w:pPr>
      <w:r>
        <w:t>et distributionsnet.</w:t>
      </w:r>
    </w:p>
    <w:p w14:paraId="16B1DB2A" w14:textId="7E0B0C78" w:rsidR="009C1CC6" w:rsidRPr="00D96C20" w:rsidRDefault="009C1CC6" w:rsidP="00F10E39">
      <w:pPr>
        <w:pStyle w:val="ListParagraph"/>
        <w:numPr>
          <w:ilvl w:val="0"/>
          <w:numId w:val="29"/>
        </w:numPr>
        <w:spacing w:before="120" w:after="120"/>
        <w:contextualSpacing w:val="0"/>
        <w:jc w:val="both"/>
      </w:pPr>
      <w:r>
        <w:t>Hvis støtten vedrører en produktionsenhed, redegøres der for, hvilke ressourcer denne produktionsenhed anvender til produktion af elektricitet, fjernvarme eller fjernkøling: vedvarende energi, overskudsvarme eller højeffektiv kraftvarmeproduktion, herunder termiske lagringsløsninger.</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Hvis støtten vedrører en produktionsenhed, skal det bekræftes, at støtten er begrænset til enten affald, der opfylder definitionen af vedvarende energikilder, eller affald, der anvendes til brændstofinstallationer, der opfylder definitionen af højeffektiv kraftvarmeproduktion.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Hvis der ydes støtte til opgradering af et fjernvarme- og fjernkølingssystem, præciseres det, om fjernvarme- og fjernkølingssystemet opfylder standarden for effektiv fjernvarme og fjernkøling i overensstemmelse med artikel 2, nr. 46), og artikel 26 i direktiv (EU) 2023/1791.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Det skal angives, hvilken type omkostninger der vil blive støttet af foranstaltningen: investeringsomkostninger og/eller driftsomkostninger.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Hvis støtten har til formål at støtte opgraderingen af et fjernvarme- og fjernkølingssystem, og dette imidlertid ikke fører til, at systemet opfylder standarden for effektiv fjernvarme og fjernkøling som omhandlet i artikel 26 i direktiv (EU) 2023/1791 som følge af den støttede opgradering, gives der tilsagn om, at støttemodtageren vil påbegynde arbejdet for at nå denne effektivitetsstandard senest 3 år efter opgraderingsarbejdet, jf. punkt 390 i CEEAG.</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Tilskyndelsesvirkning</w:t>
            </w:r>
          </w:p>
        </w:tc>
      </w:tr>
    </w:tbl>
    <w:p w14:paraId="20915284" w14:textId="430337A5" w:rsidR="00015E2B" w:rsidRPr="00D96C20" w:rsidRDefault="00B15313" w:rsidP="000B3E97">
      <w:pPr>
        <w:spacing w:before="120" w:after="120"/>
        <w:jc w:val="both"/>
        <w:rPr>
          <w:i/>
        </w:rPr>
      </w:pPr>
      <w:r>
        <w:rPr>
          <w:i/>
        </w:rPr>
        <w:t xml:space="preserve">Med henblik på angivelsen af oplysningerne i dette afsnit henvises til afsnit 3.1.2, punkt 26-32, i CEEAG.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 xml:space="preserve">Støtte kan kun anses for at fremme en økonomisk aktivitet, hvis den har en tilskyndelsesvirkning. Redegør for, hvordan foranstaltningen/foranstaltningerne "tilskynder støttemodtageren til at ændre adfærd, til at udøve yderligere økonomisk </w:t>
      </w:r>
      <w:r>
        <w:lastRenderedPageBreak/>
        <w:t>aktivitet eller til at udøve en mere miljøvenlig økonomisk aktivitet, som den ikke ville udøve uden støtten eller ville udøve på en begrænset eller anden måde", med henblik på at vurdere overholdelsen af punkt 26 i CEEAG.</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Med henblik på at vurdere overholdelsen af punkt 27 i CEEAG skal der angives oplysninger til bekræftelse af, at støtten ikke anvendes til omkostningerne ved en aktivitet, som støttemodtageren under alle omstændigheder ville udføre, eller kompenserer for den normale forretningsmæssige risiko ved en økonomisk aktivitet</w:t>
      </w:r>
      <w:r>
        <w:rPr>
          <w:rStyle w:val="FootnoteReference"/>
          <w:color w:val="000000"/>
          <w:shd w:val="clear" w:color="auto" w:fill="FFFFFF"/>
        </w:rPr>
        <w:footnoteReference w:id="5"/>
      </w:r>
      <w:r>
        <w:t>.</w:t>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Giv en omfattende beskrivelse af det faktiske scenario og det eller de sandsynlige kontrafaktiske scenarier. Hvis der er tale om ordninger, der dækker forskellige referenceprojekter</w:t>
      </w:r>
      <w:r>
        <w:rPr>
          <w:rStyle w:val="FootnoteReference"/>
          <w:lang w:val="en-IE" w:eastAsia="en-GB"/>
        </w:rPr>
        <w:footnoteReference w:id="6"/>
      </w:r>
      <w:r>
        <w:t xml:space="preserve">, skal der gives en sådan beskrivelse for hvert referenceprojekt. Med hensyn til opførelse, opgradering og drift af distributionsnet antages det kontrafaktiske scenario at være den situation, hvor projektet ikke finder sted (punkt 395 i CEEAG).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Der skal til dette supplerende informationsskema vedlægges alle officielle bestyrelsesdokumenter, risikovurderinger, finansielle rapporter, interne forretningsplaner, ekspertudtalelser og andre undersøgelser vedrørende det projekt, der vurderes, dokumenter, der indeholder oplysninger om efterspørgselsprognoser, omkostningsprognoser, finansielle prognoser, dokumenter, der forelægges et investeringsudvalg, og hvori der gøres rede for forskellige investerings-/driftsscenarier, eller dokumenter, der stilles til rådighed for de finansielle institutioner, jf. punkt 28, fodnote 39, i CEEAG.</w:t>
      </w:r>
    </w:p>
    <w:p w14:paraId="489E64F5" w14:textId="080206B8" w:rsidR="00C713DD" w:rsidRPr="00D96C20" w:rsidRDefault="005F6E6B" w:rsidP="005F6E6B">
      <w:pPr>
        <w:pStyle w:val="ListParagraph"/>
        <w:spacing w:before="120" w:after="120"/>
        <w:ind w:left="1287"/>
        <w:contextualSpacing w:val="0"/>
        <w:jc w:val="both"/>
      </w:pPr>
      <w:r>
        <w:t>Bemærk, at disse dokumenter skal være aktuelle i beslutningsprocessen vedrørende investerings-/driftsafgørelsen.</w:t>
      </w:r>
    </w:p>
    <w:p w14:paraId="0F3CF49B" w14:textId="7575EEBA" w:rsidR="00DE063E" w:rsidRPr="00D96C20" w:rsidRDefault="00E32AD5" w:rsidP="005F6E6B">
      <w:pPr>
        <w:pStyle w:val="ListParagraph"/>
        <w:spacing w:before="120" w:after="120"/>
        <w:ind w:left="1287"/>
        <w:contextualSpacing w:val="0"/>
        <w:jc w:val="both"/>
      </w:pPr>
      <w:r>
        <w:t xml:space="preserve">Hvis sådanne dokumenter er vedlagt det </w:t>
      </w:r>
      <w:bookmarkStart w:id="6" w:name="_Hlk177381900"/>
      <w:r>
        <w:t>supplerende informationsskema</w:t>
      </w:r>
      <w:bookmarkEnd w:id="6"/>
      <w:r>
        <w:t>, skal der nedenfor anføres en liste over disse dokumenter med angivelse af forfatteren, datoen for deres udarbejdelse og konteksten for deres anvendelse.</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t xml:space="preserve">For det faktiske og et troværdigt kontrafaktisk scenario, som er beskrevet i nr. i, skal der i et bilag til dette supplerende informationsskema (ved hjælp af en Excel-fil, hvor alle formler er synlige) forelægges en kvantificering af alle de vigtigste omkostninger og indtægter, de anslåede vægtede gennemsnitlige kapitalomkostninger (WACC) for støttemodtagerne for at diskontere fremtidige pengestrømme samt nettonutidsværdien (NNV) for de faktiske og kontrafaktiske scenarier i projektets levetid. I tilfælde af individuel støtte og ordninger til fordel for et særligt begrænset antal støttemodtagere skal disse beregninger og prognoser fremlægges i den detaljerede forretningsplan for projektet og for støtteordninger på grundlag af et eller flere referenceprojekter. </w:t>
      </w:r>
    </w:p>
    <w:p w14:paraId="6BCA5B3D" w14:textId="0E90C75E" w:rsidR="008B1CA3" w:rsidRPr="00D96C20" w:rsidRDefault="00A255BF" w:rsidP="00F10E39">
      <w:pPr>
        <w:pStyle w:val="ListParagraph"/>
        <w:numPr>
          <w:ilvl w:val="0"/>
          <w:numId w:val="26"/>
        </w:numPr>
        <w:spacing w:before="120" w:after="120"/>
        <w:contextualSpacing w:val="0"/>
        <w:jc w:val="both"/>
      </w:pPr>
      <w:r>
        <w:lastRenderedPageBreak/>
        <w:t xml:space="preserve">Vedlæg i et bilag til dette supplerende informationsskema detaljerede oplysninger om de antagelser, metoder, begrundelser og bagvedliggende kilder, der er anvendt for hvert aspekt af kvantificeringen af omkostninger og indtægter i det faktiske og det sandsynlige kontrafaktiske scenario (angiv f.eks. de antagelser, der er anvendt til at udarbejde disse scenarier).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Med henblik på at påvise overholdelsen af punkt 29 og 31 i CEEAG:</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bekræft, at arbejdet med projektet eller aktiviteten ikke blev påbegyndt, inden støttemodtageren indgav en skriftlig støtteansøgning til de nationale myndigheder</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ELLER</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påvis for projekter, som blev påbegyndt før støtteansøgningen, at projektet falder ind under et af de undtagelsestilfælde, der er omhandlet i punkt 31 (litra a), b) eller c)) i CEEAG</w:t>
      </w:r>
      <w:r>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tab/>
      </w:r>
    </w:p>
    <w:p w14:paraId="0A578E5C" w14:textId="77777777" w:rsidR="00D96C20" w:rsidRPr="00D37B1D" w:rsidRDefault="00D96C20" w:rsidP="00D96C20">
      <w:pPr>
        <w:numPr>
          <w:ilvl w:val="0"/>
          <w:numId w:val="4"/>
        </w:numPr>
        <w:spacing w:before="120" w:after="120"/>
        <w:ind w:left="567" w:hanging="567"/>
        <w:jc w:val="both"/>
      </w:pPr>
      <w: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Med henblik på at påvise overholdelsen af punkt 32 i CEEAG skal det angives, om der findes EU-standarder</w:t>
      </w:r>
      <w:r>
        <w:rPr>
          <w:rStyle w:val="FootnoteReference"/>
          <w:lang w:val="en-IE" w:eastAsia="en-GB"/>
        </w:rPr>
        <w:footnoteReference w:id="8"/>
      </w:r>
      <w:r>
        <w:t xml:space="preserve">, der finder anvendelse på den eller de anmeldte foranstaltninger, </w:t>
      </w:r>
      <w:r>
        <w:lastRenderedPageBreak/>
        <w:t>obligatoriske nationale standarder, der er strengere eller mere ambitiøse end de tilsvarende EU-standarder, eller obligatoriske nationale standarder, som er vedtaget i fravær af EU-standarder. Fremlæg i den forbindelse oplysninger til påvisning af tilskyndelsesvirkningen.</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Når den relevante EU-standard allerede er vedtaget, men endnu ikke er trådt i kraft, skal det påvises, at støtten har en tilskyndelsesvirkning, fordi den tilskynder til, at investeringen gennemføres og afsluttes mindst 18 måneder før, at standarden træder i kraft.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Ingen overtrædelse af relevante EU-retlige bestemmelser</w:t>
            </w:r>
          </w:p>
        </w:tc>
      </w:tr>
    </w:tbl>
    <w:p w14:paraId="665FE026" w14:textId="5CEA7791" w:rsidR="00DE1D68" w:rsidRPr="00D96C20" w:rsidRDefault="00DE1D68" w:rsidP="00DE1D68">
      <w:pPr>
        <w:spacing w:before="360" w:after="120"/>
        <w:jc w:val="both"/>
        <w:rPr>
          <w:i/>
        </w:rPr>
      </w:pPr>
      <w:r>
        <w:rPr>
          <w:i/>
        </w:rPr>
        <w:t xml:space="preserve">Med henblik på angivelsen af oplysningerne i dette afsnit henvises til afsnit 3.1.3, punkt 33, i CEEAG.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Angiv oplysninger til bekræftelse af overholdelsen af de relevante bestemmelser i EU-retten i overensstemmelse med punkt 33 i CEEAG. </w:t>
      </w:r>
    </w:p>
    <w:p w14:paraId="4B99F870" w14:textId="77777777" w:rsidR="00A431BD" w:rsidRPr="00D96C20" w:rsidRDefault="00A431BD" w:rsidP="00A431BD">
      <w:pPr>
        <w:tabs>
          <w:tab w:val="left" w:leader="dot" w:pos="9072"/>
        </w:tabs>
        <w:spacing w:before="120" w:after="120"/>
        <w:ind w:left="567"/>
        <w:jc w:val="both"/>
        <w:rPr>
          <w:color w:val="000000"/>
        </w:rPr>
      </w:pPr>
      <w: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Hvis en afgift anvendes til at finansiere foranstaltningen/foranstaltningerne, skal det præciseres, om det er nødvendigt at foretage en vurdering af overholdelsen af artikel 30 og 110 i TEUF. Påvis i bekræftende fald, hvordan foranstaltningen er i overensstemmelse med bestemmelserne i artikel 30 og 110 i TEUF.</w:t>
      </w:r>
      <w:r>
        <w:rPr>
          <w:i/>
        </w:rPr>
        <w:t xml:space="preserve"> </w:t>
      </w:r>
      <w:r>
        <w:t xml:space="preserve">I den forbindelse kan der henvises til de oplysninger, der er fremlagt ovenfor under spørgsmål </w:t>
      </w:r>
      <w:r>
        <w:fldChar w:fldCharType="begin"/>
      </w:r>
      <w:r>
        <w:instrText xml:space="preserve"> REF _Ref116914408 \r \h  \* MERGEFORMAT </w:instrText>
      </w:r>
      <w:r>
        <w:fldChar w:fldCharType="separate"/>
      </w:r>
      <w:r>
        <w:t>5</w:t>
      </w:r>
      <w:r>
        <w:fldChar w:fldCharType="end"/>
      </w:r>
      <w:r>
        <w:t xml:space="preserve">, nr. </w:t>
      </w:r>
      <w:r>
        <w:fldChar w:fldCharType="begin"/>
      </w:r>
      <w:r>
        <w:instrText xml:space="preserve"> REF _Ref116914400 \r \h  \* MERGEFORMAT </w:instrText>
      </w:r>
      <w:r>
        <w:fldChar w:fldCharType="separate"/>
      </w:r>
      <w:r>
        <w:t>ii</w:t>
      </w:r>
      <w:r>
        <w:fldChar w:fldCharType="end"/>
      </w:r>
      <w:r>
        <w:t>, såfremt den eller de anmeldte foranstaltninger finansieres gennem en afgift.</w:t>
      </w:r>
    </w:p>
    <w:p w14:paraId="2F71FD11" w14:textId="31DD9C32" w:rsidR="00544B04" w:rsidRPr="00D96C20" w:rsidRDefault="00544B04" w:rsidP="00544B04">
      <w:pPr>
        <w:tabs>
          <w:tab w:val="left" w:leader="dot" w:pos="9072"/>
        </w:tabs>
        <w:spacing w:before="120" w:after="120"/>
        <w:ind w:left="567"/>
        <w:jc w:val="both"/>
        <w:rPr>
          <w:color w:val="000000"/>
        </w:rPr>
      </w:pPr>
      <w: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Negativ betingelse: Støtten påvirker ikke samhandelsvilkårene på en måde, der strider mod den fælles interesse</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Minimering af konkurrence- og samhandelsfordrejninger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Nødvendigheden og hensigtsmæssigheden af statsstøtte</w:t>
            </w:r>
          </w:p>
        </w:tc>
      </w:tr>
    </w:tbl>
    <w:p w14:paraId="3C23674F" w14:textId="4023898F" w:rsidR="00663008" w:rsidRPr="00D96C20" w:rsidRDefault="00663008" w:rsidP="000B3E97">
      <w:pPr>
        <w:spacing w:before="120" w:after="120"/>
        <w:jc w:val="both"/>
        <w:rPr>
          <w:i/>
          <w:color w:val="000000"/>
        </w:rPr>
      </w:pPr>
      <w:r>
        <w:rPr>
          <w:i/>
        </w:rPr>
        <w:t>Med henblik på angivelsen af oplysningerne i dette afsnit henvises til afsnit 4.10.3, punkt 391-393, i CEEAG.</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Redegør detaljeret for, hvordan projektet vil bidrage til at etablere, udvide eller opgradere effektive fjernvarme- og fjernkølingssystemer.</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Hvis foranstaltningen undtagelsesvis dækker driftsomkostninger, skal det dokumenteres, at disse omkostninger ikke kan væltes over på forbrugerne af fjernvarme/fjernkøling uden at underminere miljøbeskyttelsen i overensstemmelse med punkt 392 i CEEAG. Vis, at de støttede fjernvarme-/fjernkølingssystemer øger energieffektiviteten, reducerer CO</w:t>
      </w:r>
      <w:r>
        <w:rPr>
          <w:vertAlign w:val="subscript"/>
        </w:rPr>
        <w:t>2</w:t>
      </w:r>
      <w:r>
        <w:t xml:space="preserve">-emissioner og andre forureningskilder samt nettab sammenlignet med alternative fjernvarme-/fjernkølingsløsninger.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Hvis projektet er baseret på affald som inputbrændsel, skal det forklares, hvordan det overholder princippet om affaldshierarkiet (artikel 4, nr. 1), i direktiv (EU) 2008/98), jf. punkt 393 i CEEAG.</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Støttens proportionalitet </w:t>
            </w:r>
          </w:p>
        </w:tc>
      </w:tr>
    </w:tbl>
    <w:p w14:paraId="7AFDF26D" w14:textId="0DF381F0" w:rsidR="00A431BD" w:rsidRPr="00D96C20" w:rsidRDefault="00863406" w:rsidP="000B3E97">
      <w:pPr>
        <w:spacing w:before="120" w:after="120"/>
        <w:jc w:val="both"/>
        <w:rPr>
          <w:i/>
        </w:rPr>
      </w:pPr>
      <w:r>
        <w:rPr>
          <w:i/>
        </w:rPr>
        <w:t xml:space="preserve">Med henblik på angivelsen af oplysningerne i dette afsnit henvises til afsnit 3.2.1.3 og 4.10.4, punkt 394 og 395, i CEEAG.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Angiv følgende med henblik på at påvise overholdelsen af punkt 51 i CEEAG:</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For at fastslå finansieringskløften</w:t>
      </w:r>
      <w:r>
        <w:rPr>
          <w:rStyle w:val="FootnoteReference"/>
          <w:shd w:val="clear" w:color="auto" w:fill="FFFFFF"/>
        </w:rPr>
        <w:footnoteReference w:id="9"/>
      </w:r>
      <w:r>
        <w:rPr>
          <w:shd w:val="clear" w:color="auto" w:fill="FFFFFF"/>
        </w:rPr>
        <w:t xml:space="preserve"> skal der for det faktiske scenario og et troværdigt kontrafaktisk scenario forelægges en kvantificering for</w:t>
      </w:r>
      <w:r>
        <w:rPr>
          <w:rStyle w:val="FootnoteReference"/>
          <w:shd w:val="clear" w:color="auto" w:fill="FFFFFF"/>
        </w:rPr>
        <w:footnoteReference w:id="10"/>
      </w:r>
      <w:r>
        <w:rPr>
          <w:shd w:val="clear" w:color="auto" w:fill="FFFFFF"/>
        </w:rPr>
        <w:t>:</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t>alle projektets vigtigste omkostninger og indtægter</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de anslåede vægtede gennemsnitlige kapitalomkostninger (WACC) for støttemodtagerne for at diskontere fremtidige pengestrømme</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lastRenderedPageBreak/>
        <w:t>nettonutidsværdien for de faktiske og kontrafaktiske scenarier i projektets levetid.</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t xml:space="preserve">  </w:t>
      </w: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De antagelser, der er lagt til grund for hvert aspekt af kvantificeringen, og forklaring af og begrundelse for de anvendte metoder.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I tilfælde af individuel støtte og ordninger, der kommer et særligt begrænset antal støttemodtagere til gode, skal medlemsstaten fremlægge dokumentationen i den detaljerede forretningsplan for projektet.</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I tilfælde af støtteordninger skal medlemsstaten fremlægge dokumentation på grundlag af et eller flere referenceprojekter.</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Hvis der ikke findes et alternativt produkt angives følgende oplysninger for at gøre det muligt for Kommissionen at undersøge, om støttebeløbet ikke overstiger det minimum, der er nødvendigt for, at det støttemodtagende projekt er tilstrækkeligt rentabelt</w:t>
      </w:r>
      <w:r>
        <w:rPr>
          <w:rStyle w:val="FootnoteReference"/>
          <w:lang w:eastAsia="en-GB"/>
        </w:rPr>
        <w:footnoteReference w:id="11"/>
      </w:r>
      <w:r>
        <w:t>:</w:t>
      </w:r>
    </w:p>
    <w:p w14:paraId="020A0406" w14:textId="40D27EEF" w:rsidR="00EC2A7D" w:rsidRPr="00D96C20" w:rsidRDefault="00EC2A7D" w:rsidP="004776A4">
      <w:pPr>
        <w:pStyle w:val="ListParagraph"/>
        <w:numPr>
          <w:ilvl w:val="1"/>
          <w:numId w:val="4"/>
        </w:numPr>
        <w:spacing w:before="120" w:after="120"/>
        <w:contextualSpacing w:val="0"/>
        <w:jc w:val="both"/>
      </w:pPr>
      <w:r>
        <w:t>det interne afkast (IRR) svarende til det sektor- eller virksomhedsspecifikke benchmark eller kritiske afkast eller</w:t>
      </w:r>
    </w:p>
    <w:p w14:paraId="056D5BF9" w14:textId="64F3B5CD" w:rsidR="00AB47A1" w:rsidRPr="00D96C20" w:rsidRDefault="007315B8" w:rsidP="004776A4">
      <w:pPr>
        <w:pStyle w:val="ListParagraph"/>
        <w:numPr>
          <w:ilvl w:val="1"/>
          <w:numId w:val="4"/>
        </w:numPr>
        <w:spacing w:before="120" w:after="120"/>
        <w:contextualSpacing w:val="0"/>
        <w:jc w:val="both"/>
      </w:pPr>
      <w:r>
        <w:t>det afkast, støttemodtageren normalt kræver i forbindelse med andre investeringsprojekter af lignende art, støttemodtagerens generelle kapitalomkostninger eller</w:t>
      </w:r>
    </w:p>
    <w:p w14:paraId="13B46137" w14:textId="062C7DC0" w:rsidR="0029714D" w:rsidRPr="00D96C20" w:rsidRDefault="007315B8" w:rsidP="004776A4">
      <w:pPr>
        <w:pStyle w:val="ListParagraph"/>
        <w:numPr>
          <w:ilvl w:val="1"/>
          <w:numId w:val="4"/>
        </w:numPr>
        <w:spacing w:before="120" w:after="120"/>
        <w:contextualSpacing w:val="0"/>
        <w:jc w:val="both"/>
      </w:pPr>
      <w:r>
        <w:t>det afkast, der ses generelt i den pågældende sektor, eller</w:t>
      </w:r>
    </w:p>
    <w:p w14:paraId="0691A0E0" w14:textId="27443E78" w:rsidR="00445F48" w:rsidRPr="00D96C20" w:rsidRDefault="001622D8" w:rsidP="004776A4">
      <w:pPr>
        <w:pStyle w:val="ListParagraph"/>
        <w:numPr>
          <w:ilvl w:val="1"/>
          <w:numId w:val="4"/>
        </w:numPr>
        <w:spacing w:before="120" w:after="120"/>
        <w:contextualSpacing w:val="0"/>
        <w:jc w:val="both"/>
      </w:pPr>
      <w:r>
        <w:t>andre oplysninger, der begrunder, at støttebeløbet ikke overstiger det minimum, der er nødvendigt for, at det støttemodtagende projekt er tilstrækkeligt rentabelt.</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Kumulering</w:t>
            </w:r>
          </w:p>
        </w:tc>
      </w:tr>
    </w:tbl>
    <w:p w14:paraId="2346A85D" w14:textId="09594631" w:rsidR="00B21377" w:rsidRPr="00D96C20" w:rsidRDefault="00B21377" w:rsidP="00B21377">
      <w:pPr>
        <w:pStyle w:val="ListParagraph"/>
        <w:spacing w:before="120" w:after="120"/>
        <w:ind w:left="567"/>
        <w:contextualSpacing w:val="0"/>
        <w:jc w:val="both"/>
      </w:pPr>
      <w:r>
        <w:rPr>
          <w:i/>
        </w:rPr>
        <w:t>Med henblik på angivelsen af oplysningerne i dette afsnit henvises til punkt 56-57 i CEEAG</w:t>
      </w:r>
      <w:r>
        <w:t>.</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For at kontrollere overholdelsen af punkt 56 i CEEAG skal det præciseres, om støtten inden for rammerne af den eller de anmeldte foranstaltninger kan tildeles sideløbende efter flere støtteordninger, eller den kan kumuleres med ad hoc-støtte eller de minimis-støtte i forbindelse med de samme støtteberettigede omkostninger. Giv, hvis dette er tilfældet, nærmere oplysninger om disse støtteordninger, ad hoc-støtte eller de minimis-støtte, og hvordan støtten vil blive kumuleret.</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Hvis punkt 56 i CEEAG finder anvendelse på den eller de anmeldte støtteforanstaltninger, skal der gives en begrundelse for, at det samlede støttebeløb, der ydes inden for rammerne af den eller de anmeldte foranstaltninger til et projekt eller en </w:t>
      </w:r>
      <w:r>
        <w:lastRenderedPageBreak/>
        <w:t xml:space="preserve">aktivitet, ikke fører til overkompensation eller overstiger det maksimale støttebeløb, som er tilladt i henhold til punkt 394 i CEEAG. Angiv for hver foranstaltning, hvorunder støtte givet i henhold til den eller de anmeldte støtteforanstaltninger kan kumuleres, den metode, der er anvendt til at sikre overholdelse af betingelserne i punkt 56 i CEEAG.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Hvis punkt 57 i CEEAG finder anvendelse, dvs. at den støtte, der ydes inden for rammerne af den eller de anmeldte foranstaltninger, kombineres med centralt forvaltede EU-midler</w:t>
      </w:r>
      <w:r>
        <w:rPr>
          <w:rStyle w:val="FootnoteReference"/>
          <w:lang w:eastAsia="en-GB"/>
        </w:rPr>
        <w:footnoteReference w:id="12"/>
      </w:r>
      <w:r>
        <w:t xml:space="preserve">, skal det begrundes, hvordan den samlede offentlige finansiering, der ydes i forbindelse med de samme støtteberettigede omkostninger, ikke fører til overkompensation.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Gennemsigtighed</w:t>
            </w:r>
          </w:p>
        </w:tc>
      </w:tr>
    </w:tbl>
    <w:p w14:paraId="32448DD4" w14:textId="77777777" w:rsidR="009C7EC5" w:rsidRPr="00D96C20" w:rsidRDefault="009C7EC5" w:rsidP="000B3E97">
      <w:pPr>
        <w:spacing w:before="120" w:after="120"/>
        <w:jc w:val="both"/>
        <w:rPr>
          <w:i/>
        </w:rPr>
      </w:pPr>
      <w:r>
        <w:rPr>
          <w:i/>
        </w:rPr>
        <w:t xml:space="preserve">Med henblik på angivelsen af oplysningerne i dette afsnit henvises til afsnit 3.2.1.4, punkt 58-61, i CEEAG.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Bekræft, at medlemsstaten vil opfylde kravene om gennemsigtighed i punkt 58-61 i CEEAG.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Angiv internetlinket til offentliggørelsen af den godkendte støtteordnings fulde ordlyd eller afgørelsen om at yde individuel støtte og dennes gennemførelsesbestemmelser samt oplysninger om hver enkelt individuel tildeling af støtte, som ydes ad hoc eller i henhold til en støtteordning, der er godkendt på grundlag af CEEAG, og som overstiger 100 000 EUR.</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10BBB575" w:rsidR="008D37F9" w:rsidRPr="00D96C20" w:rsidRDefault="009C7EC5" w:rsidP="009C7EC5">
            <w:pPr>
              <w:pStyle w:val="Heading1"/>
              <w:ind w:left="792" w:hanging="432"/>
              <w:rPr>
                <w:i/>
                <w:color w:val="000000"/>
                <w:sz w:val="28"/>
                <w:szCs w:val="28"/>
              </w:rPr>
            </w:pPr>
            <w:r>
              <w:rPr>
                <w:i/>
                <w:color w:val="000000"/>
                <w:sz w:val="28"/>
              </w:rPr>
              <w:t xml:space="preserve"> 2.2. Undgåelse af støttens uberettigede negative virkninger på konkurrencen og samhandelen og på balanceringen</w:t>
            </w:r>
          </w:p>
        </w:tc>
      </w:tr>
    </w:tbl>
    <w:p w14:paraId="6CD3884F" w14:textId="308833E5" w:rsidR="00F83660" w:rsidRPr="00D96C20" w:rsidRDefault="00F83660" w:rsidP="000B3E97">
      <w:pPr>
        <w:spacing w:before="120" w:after="120"/>
        <w:jc w:val="both"/>
        <w:rPr>
          <w:i/>
        </w:rPr>
      </w:pPr>
      <w:r>
        <w:rPr>
          <w:i/>
        </w:rPr>
        <w:t xml:space="preserve">Med henblik på angivelsen af oplysningerne i dette afsnit henvises til afsnit 4.10.5, punkt 396-398, i CEEAG.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t xml:space="preserve">Hvis fjernvarme- og fjernkølingssystemerne benytter de mest forurenende fossile brændstoffer såsom kul, brunkul, olie og diesel, skal der redegøres for, om følgende kumulative betingelser er opfyldt i henhold til punkt 396 i CEEAG:  </w:t>
      </w:r>
    </w:p>
    <w:p w14:paraId="5E05EB28" w14:textId="599AE112" w:rsidR="00304F41" w:rsidRPr="00D96C20" w:rsidRDefault="00304F41" w:rsidP="00F10E39">
      <w:pPr>
        <w:pStyle w:val="ListParagraph"/>
        <w:numPr>
          <w:ilvl w:val="2"/>
          <w:numId w:val="28"/>
        </w:numPr>
        <w:spacing w:before="120" w:after="120"/>
        <w:contextualSpacing w:val="0"/>
        <w:jc w:val="both"/>
      </w:pPr>
      <w:r>
        <w:t>Støtten er begrænset til investeringer i distributionsnettet.</w:t>
      </w:r>
    </w:p>
    <w:p w14:paraId="48D098F7" w14:textId="77777777" w:rsidR="00F83660" w:rsidRPr="00D96C20" w:rsidRDefault="00F83660" w:rsidP="00F83660">
      <w:pPr>
        <w:tabs>
          <w:tab w:val="left" w:leader="dot" w:pos="9072"/>
        </w:tabs>
        <w:spacing w:before="120" w:after="120"/>
        <w:ind w:left="567"/>
        <w:jc w:val="both"/>
      </w:pPr>
      <w:r>
        <w:tab/>
      </w:r>
    </w:p>
    <w:p w14:paraId="05892635" w14:textId="05BE2130" w:rsidR="00F83660" w:rsidRPr="00D96C20" w:rsidRDefault="00304F41" w:rsidP="00F10E39">
      <w:pPr>
        <w:pStyle w:val="ListParagraph"/>
        <w:numPr>
          <w:ilvl w:val="2"/>
          <w:numId w:val="28"/>
        </w:numPr>
        <w:spacing w:before="120" w:after="120"/>
        <w:contextualSpacing w:val="0"/>
        <w:jc w:val="both"/>
      </w:pPr>
      <w:r>
        <w:t xml:space="preserve">Distributionsnettet muliggør allerede transport af varme eller køling fra vedvarende energikilder, overskudsvarme eller kulstofneutrale kilder.    </w:t>
      </w:r>
    </w:p>
    <w:p w14:paraId="798B76FF" w14:textId="77777777" w:rsidR="00F83660" w:rsidRPr="00D96C20" w:rsidRDefault="00F83660" w:rsidP="00F83660">
      <w:pPr>
        <w:tabs>
          <w:tab w:val="left" w:leader="dot" w:pos="9072"/>
        </w:tabs>
        <w:spacing w:before="120" w:after="120"/>
        <w:ind w:left="567"/>
        <w:jc w:val="both"/>
      </w:pPr>
      <w:r>
        <w:lastRenderedPageBreak/>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Støtten resulterer ikke i en øget produktion af energi fra de mest forurenende fossile brændstoffer (f.eks. ved at forbinde yderligere kunder).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t xml:space="preserve">Der er en klar tidsplan, der omfatter faste forpligtelser til at gå væk fra de mest forurenende fossile brændstoffer med henblik på Unionens 2030-klimamål og 2050-målet om klimaneutralitet (se eksemplet i fodnote 156 i CEEAG).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Hvis projektet tilskynder til nye investeringer i naturgas eller drift af energiproduktionsanlæg baseret på naturgas, skal der redegøres for, om projektet sikrer følgende i overensstemmelse med punkt 397 i CEEAG: </w:t>
      </w:r>
    </w:p>
    <w:p w14:paraId="38C1F102" w14:textId="32146B66" w:rsidR="00F610C7" w:rsidRPr="00D96C20" w:rsidRDefault="00304F41" w:rsidP="00D37B1D">
      <w:pPr>
        <w:pStyle w:val="ListParagraph"/>
        <w:numPr>
          <w:ilvl w:val="0"/>
          <w:numId w:val="38"/>
        </w:numPr>
        <w:spacing w:before="120" w:after="120"/>
        <w:contextualSpacing w:val="0"/>
        <w:jc w:val="both"/>
      </w:pPr>
      <w:r>
        <w:t>hvordan støtten bidrager til at nå Unionens klimamål for 2030 og målet om klimaneutralitet i 2050.</w:t>
      </w:r>
    </w:p>
    <w:p w14:paraId="389482B8" w14:textId="38817A0F" w:rsidR="00F610C7" w:rsidRPr="00D96C20" w:rsidRDefault="00304F41" w:rsidP="00D37B1D">
      <w:pPr>
        <w:pStyle w:val="ListParagraph"/>
        <w:numPr>
          <w:ilvl w:val="0"/>
          <w:numId w:val="38"/>
        </w:numPr>
        <w:spacing w:before="120" w:after="120"/>
        <w:contextualSpacing w:val="0"/>
        <w:jc w:val="both"/>
      </w:pPr>
      <w:r>
        <w:t>hvordan en fastlåsning af gasfyret energiproduktion undgås</w:t>
      </w:r>
    </w:p>
    <w:p w14:paraId="7EA03E9A" w14:textId="7AB57B2E" w:rsidR="00F83660" w:rsidRPr="00D96C20" w:rsidRDefault="00F610C7" w:rsidP="00D37B1D">
      <w:pPr>
        <w:pStyle w:val="ListParagraph"/>
        <w:numPr>
          <w:ilvl w:val="0"/>
          <w:numId w:val="38"/>
        </w:numPr>
        <w:spacing w:before="120" w:after="120"/>
        <w:contextualSpacing w:val="0"/>
        <w:jc w:val="both"/>
      </w:pPr>
      <w:r>
        <w:t>hvordan støtten ikke fortrænger investeringer i renere alternativer, der allerede findes på markedet, og ikke hæmmer udviklingen af renere teknologier og anvendelsen heraf.</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For at kontrollere overholdelsen af punkt 398 i CEEAG skal det præciseres, om fjernvarme- og fjernkølingssystemet er åbent for tredjepartsadgang, og om der vil være mulighed for bæredygtige alternative opvarmningsløsninger.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Evaluering</w:t>
            </w:r>
          </w:p>
        </w:tc>
      </w:tr>
    </w:tbl>
    <w:p w14:paraId="78AC9B95" w14:textId="1FB76E7E" w:rsidR="00C33721" w:rsidRPr="00D96C20" w:rsidRDefault="00C33721" w:rsidP="005C6138">
      <w:pPr>
        <w:tabs>
          <w:tab w:val="left" w:leader="dot" w:pos="9072"/>
        </w:tabs>
        <w:spacing w:before="120" w:after="120"/>
        <w:ind w:left="567"/>
        <w:jc w:val="both"/>
      </w:pPr>
      <w:r>
        <w:rPr>
          <w:i/>
        </w:rPr>
        <w:t>Med henblik på angivelsen af oplysningerne i dette afsnit henvises til punkt 76, litra a), og kapitel 5, punkt 455-463, i CEEAG.</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Hvis den eller de anmeldte foranstaltninger overskrider budget- eller udgiftstærsklerne i punkt 456 i CEEAG, skal det enten forklares, hvorfor undtagelsen i punkt 457 i CEEAG efter jeres mening bør finde anvendelse, eller der skal vedlægges et bilag til dette supplerende informationsskema, som indeholder et udkast til evalueringsplan, der dækker det anvendelsesområde, der er nævnt i punkt 458 i CEEAG</w:t>
      </w:r>
      <w:r>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Hvis der fremlægges et udkast til evalueringsplan, skal der:</w:t>
      </w:r>
    </w:p>
    <w:p w14:paraId="36682E0D" w14:textId="77777777" w:rsidR="00FE28B4" w:rsidRPr="00D96C20" w:rsidRDefault="00FE28B4" w:rsidP="00F10E39">
      <w:pPr>
        <w:numPr>
          <w:ilvl w:val="0"/>
          <w:numId w:val="34"/>
        </w:numPr>
        <w:spacing w:before="120" w:after="120"/>
        <w:jc w:val="both"/>
      </w:pPr>
      <w:r>
        <w:t>nedenfor gives et resumé af udkastet til evalueringsplanen i bilaget</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lastRenderedPageBreak/>
        <w:t>gives en bekræftelse af, at punkt 460 i CEEAG vil blive overholdt</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angives den dato og det internetlink, hvor evalueringsplanen offentliggøres.</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For at påvise overholdelsen af punkt 459, litra b), i CEEAG, såfremt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løbetid.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For at påvise overholdelsen af punkt 459, litra c), i CEEAG skal der, såfremt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Med henblik på at påvise overholdelsen af punkt 461 i CEEAG:</w:t>
      </w:r>
    </w:p>
    <w:p w14:paraId="04054438" w14:textId="77777777" w:rsidR="00FE28B4" w:rsidRPr="00D96C20" w:rsidRDefault="00FE28B4" w:rsidP="00F10E39">
      <w:pPr>
        <w:numPr>
          <w:ilvl w:val="0"/>
          <w:numId w:val="35"/>
        </w:numPr>
        <w:spacing w:before="120" w:after="120"/>
        <w:jc w:val="both"/>
      </w:pPr>
      <w:r>
        <w:t>Angiv, om den uafhængige ekspert allerede er blevet udvalgt eller vil blive udvalgt senere.</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Angiv oplysninger om proceduren for udvælgelse af eksperten.</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Begrund, hvordan eksperten er uafhængig af den støttetildelende myndighed.</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Med henblik på at påvise overholdelsen af punkt 461 i CEEAG: </w:t>
      </w:r>
    </w:p>
    <w:p w14:paraId="3043EB67" w14:textId="77777777" w:rsidR="00FE28B4" w:rsidRPr="00D96C20" w:rsidRDefault="00FE28B4" w:rsidP="00F10E39">
      <w:pPr>
        <w:numPr>
          <w:ilvl w:val="0"/>
          <w:numId w:val="36"/>
        </w:numPr>
        <w:spacing w:before="120" w:after="120"/>
        <w:jc w:val="both"/>
      </w:pPr>
      <w: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dens udløb, jf. punkt 463 i CEEAG. Bemærk, at denne frist kan afkortes for ordninger, der udløser evalueringskravet i de sidste to gennemførelsesår.</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Bekræft, at midtvejsrapporten og den endelige evalueringsrapport vil blive offentliggjort. Angiv den dato og det internetlink, hvor disse rapporter offentliggøres.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Rapportering og overvågning</w:t>
            </w:r>
          </w:p>
        </w:tc>
      </w:tr>
    </w:tbl>
    <w:p w14:paraId="03FF5B05" w14:textId="77777777" w:rsidR="00FE28B4" w:rsidRPr="00D96C20" w:rsidRDefault="00FE28B4" w:rsidP="00FE28B4">
      <w:pPr>
        <w:tabs>
          <w:tab w:val="left" w:leader="dot" w:pos="9072"/>
        </w:tabs>
        <w:spacing w:before="120" w:after="120"/>
        <w:ind w:left="567"/>
        <w:jc w:val="both"/>
      </w:pPr>
      <w:r>
        <w:rPr>
          <w:i/>
        </w:rPr>
        <w:t>Med henblik på angivelsen af oplysningerne i dette afsnit henvises til afsnit 6, punkt 464-465, i CEEAG.</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Bekræft, at medlemsstaten vil opfylde kravene om rapportering og overvågning i afsnit 6, punkt 464 og 465, i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1E0D" w14:textId="77777777" w:rsidR="00A2265A" w:rsidRDefault="00A22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4</w:t>
    </w:r>
    <w:r>
      <w:fldChar w:fldCharType="end"/>
    </w:r>
  </w:p>
  <w:p w14:paraId="75E356FD" w14:textId="77777777" w:rsidR="008D2777" w:rsidRDefault="008D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8C4E" w14:textId="77777777" w:rsidR="00A2265A" w:rsidRDefault="00A22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EUT C 80 af 18.2.2022, s. 1.</w:t>
      </w:r>
    </w:p>
  </w:footnote>
  <w:footnote w:id="3">
    <w:p w14:paraId="6565D8D9" w14:textId="77777777" w:rsidR="005937D4" w:rsidRPr="0067348B" w:rsidRDefault="005937D4" w:rsidP="005937D4">
      <w:pPr>
        <w:pStyle w:val="FootnoteText"/>
      </w:pPr>
      <w:r>
        <w:rPr>
          <w:rStyle w:val="FootnoteReference"/>
        </w:rPr>
        <w:footnoteRef/>
      </w:r>
      <w:r>
        <w:tab/>
        <w:t>Bemærk, at for en støtteordning er varigheden den periode, hvor der kan ansøges om og træffes afgørelse om støtte (herunder den tid, der er nødvendig for, at de nationale myndigheder kan godkende støtteansøgningerne). Den varighed, der henvises til i dette spørgsmål, vedrører ikke varigheden af de kontrakter, der er indgået inden for rammerne af støtteordningen og kan fortsætte ud over foranstaltningens varighed.</w:t>
      </w:r>
    </w:p>
  </w:footnote>
  <w:footnote w:id="4">
    <w:p w14:paraId="2D55E73F" w14:textId="77777777" w:rsidR="007444CC" w:rsidRPr="0067348B" w:rsidRDefault="007444CC" w:rsidP="007444CC">
      <w:pPr>
        <w:pStyle w:val="FootnoteText"/>
      </w:pPr>
      <w:r>
        <w:rPr>
          <w:rStyle w:val="FootnoteReference"/>
        </w:rPr>
        <w:footnoteRef/>
      </w:r>
      <w:r>
        <w:t xml:space="preserve"> </w:t>
      </w:r>
      <w:r>
        <w:tab/>
        <w:t>Bemærk, at en ændring af det faktiske eller anslåede budget kan være en ændring af støtten, som kræver en ny anmeldelse.</w:t>
      </w:r>
    </w:p>
  </w:footnote>
  <w:footnote w:id="5">
    <w:p w14:paraId="561DACBB" w14:textId="1FF2FC9F" w:rsidR="008D2777" w:rsidRDefault="008D2777">
      <w:pPr>
        <w:pStyle w:val="FootnoteText"/>
      </w:pPr>
    </w:p>
  </w:footnote>
  <w:footnote w:id="6">
    <w:p w14:paraId="4C19DBFC" w14:textId="4F9612F8" w:rsidR="008D2777" w:rsidRPr="00CD4325" w:rsidRDefault="008D2777">
      <w:pPr>
        <w:pStyle w:val="FootnoteText"/>
      </w:pPr>
    </w:p>
  </w:footnote>
  <w:footnote w:id="7">
    <w:p w14:paraId="76D8E62B" w14:textId="77777777" w:rsidR="00D37B1D" w:rsidRDefault="008D2777" w:rsidP="00D37B1D">
      <w:pPr>
        <w:pStyle w:val="FootnoteText"/>
      </w:pPr>
      <w:r>
        <w:t xml:space="preserve">Følgende fastsættes i punkt 31 i CEEAG: "I </w:t>
      </w:r>
      <w:r>
        <w:rPr>
          <w:i/>
          <w:iCs/>
        </w:rPr>
        <w:t>visse undtagelsestilfælde kan støtte have en tilskyndelsesvirkning, selv for projekter, der er påbegyndt inden støtteansøgningen.</w:t>
      </w:r>
    </w:p>
    <w:p w14:paraId="1524F4B1" w14:textId="7A02E55F" w:rsidR="008D2777" w:rsidRPr="00D24240" w:rsidRDefault="008D2777" w:rsidP="00D37B1D">
      <w:pPr>
        <w:pStyle w:val="FootnoteText"/>
        <w:rPr>
          <w:i/>
        </w:rPr>
      </w:pPr>
      <w:r>
        <w:rPr>
          <w:i/>
        </w:rPr>
        <w:t xml:space="preserve"> Støtten anses navnlig for at have en tilskyndelsesvirkning i følgende situationer:</w:t>
      </w:r>
    </w:p>
    <w:p w14:paraId="5730337E" w14:textId="7DC3746A" w:rsidR="008D2777" w:rsidRPr="00D24240" w:rsidRDefault="008D2777" w:rsidP="00F10E39">
      <w:pPr>
        <w:pStyle w:val="FootnoteText"/>
        <w:numPr>
          <w:ilvl w:val="0"/>
          <w:numId w:val="24"/>
        </w:numPr>
        <w:rPr>
          <w:i/>
        </w:rPr>
      </w:pPr>
      <w:r>
        <w:rPr>
          <w:i/>
        </w:rPr>
        <w:t>Støtten ydes automatisk i overensstemmelse med objektive og ikkediskriminerende kriterier og uden yderligere skøn fra medlemsstatens side, og foranstaltningen er vedtaget og trådt i kraft, inden arbejdet med det støttede projekt eller den støttede aktivitet er påbegyndt, undtagen i tilfælde af efterfølgerordninger på skatteområdet, hvor aktiviteten allerede var omfattet af de foregående skattefordelsordninger.</w:t>
      </w:r>
    </w:p>
    <w:p w14:paraId="126E383A" w14:textId="1F4A7ABF" w:rsidR="008D2777" w:rsidRPr="00D24240" w:rsidRDefault="008D2777" w:rsidP="00F10E39">
      <w:pPr>
        <w:pStyle w:val="FootnoteText"/>
        <w:numPr>
          <w:ilvl w:val="0"/>
          <w:numId w:val="24"/>
        </w:numPr>
        <w:rPr>
          <w:i/>
        </w:rPr>
      </w:pPr>
      <w:r>
        <w:rPr>
          <w:i/>
        </w:rPr>
        <w:t>De nationale myndigheder har inden arbejdets påbegyndelse offentliggjort en meddelelse om, at de har til hensigt at indføre den påtænkte støtteforanstaltning på betingelse af, at Kommissionen godkender foranstaltningen i henhold til traktatens artikel 108, stk. 3. Denne meddelelse skal gøres tilgængelig på et offentligt websted eller andre offentligt tilgængelige medier med forholdsvis bred og let adgang og klart angive, hvilken type projekter medlemsstaten foreslår at være støtteberettigede, og fra hvilket tidspunkt medlemsstaten agter at betragte sådanne projekter som støtteberettigede. Den foreslåede støtteberettigelse må ikke være unødigt begrænset. Støttemodtageren skal forud for arbejdets påbegyndelse have underrettet den støtteydende myndighed om, at den foreslåede støtteforanstaltning blev betragtet som en betingelse for de trufne investeringsbeslutninger. Hvis medlemsstaten påberåber sig en sådan meddelelse for at påvise en tilskyndelsesvirkning, skal den som led i sin anmeldelse af statsstøtte fremlægge en kopi af meddelelsen og et link til det websted, hvor den blev offentliggjort, eller dokumentation for, at den er tilgængelig for offentligheden.</w:t>
      </w:r>
    </w:p>
    <w:p w14:paraId="64F711A8" w14:textId="54D3F761" w:rsidR="008D2777" w:rsidRDefault="008D2777" w:rsidP="00F10E39">
      <w:pPr>
        <w:pStyle w:val="FootnoteText"/>
        <w:numPr>
          <w:ilvl w:val="0"/>
          <w:numId w:val="24"/>
        </w:numPr>
      </w:pPr>
      <w:r>
        <w:rPr>
          <w:i/>
        </w:rPr>
        <w:t>Driftsstøtte til eksisterende anlæg til miljøvenlig produktion, hvor der ikke er nogen "påbegyndelse af arbejdet", fordi der ikke er nogen væsentlige nye investeringer. I disse tilfælde kan tilskyndelsesvirkningen påvises ved en ændring i driften af anlægget på en miljøvenlig måde snarere end ved en alternativ billigere driftsform, der er mindre miljøvenlig."</w:t>
      </w:r>
    </w:p>
  </w:footnote>
  <w:footnote w:id="8">
    <w:p w14:paraId="5276A1EB" w14:textId="77777777" w:rsidR="000C258D" w:rsidRDefault="000C258D" w:rsidP="000C258D">
      <w:pPr>
        <w:pStyle w:val="FootnoteText"/>
      </w:pPr>
      <w:r>
        <w:rPr>
          <w:rStyle w:val="FootnoteReference"/>
        </w:rPr>
        <w:footnoteRef/>
      </w:r>
      <w:r>
        <w:tab/>
        <w:t>I henhold til punkt 19, nr. 89, i CEEAG forstås ved "EU-standard":</w:t>
      </w:r>
    </w:p>
    <w:p w14:paraId="2C2E9687" w14:textId="77777777" w:rsidR="000C258D" w:rsidRPr="004B74BC" w:rsidRDefault="000C258D" w:rsidP="00F10E39">
      <w:pPr>
        <w:pStyle w:val="FootnoteText"/>
        <w:numPr>
          <w:ilvl w:val="0"/>
          <w:numId w:val="27"/>
        </w:numPr>
        <w:rPr>
          <w:i/>
        </w:rPr>
      </w:pPr>
      <w:r>
        <w:rPr>
          <w:i/>
        </w:rPr>
        <w:t>en obligatorisk EU-standard, der fastsætter de niveauer, som de enkelte virksomheder skal nå på miljøområdet, med undtagelse af standarder eller mål fastsat på EU-plan, som er bindende for medlemsstaterne, men ikke for individuelle virksomheder</w:t>
      </w:r>
    </w:p>
    <w:p w14:paraId="125190F0" w14:textId="64BC945A" w:rsidR="000C258D" w:rsidRDefault="000C258D" w:rsidP="00F10E39">
      <w:pPr>
        <w:pStyle w:val="FootnoteText"/>
        <w:numPr>
          <w:ilvl w:val="0"/>
          <w:numId w:val="27"/>
        </w:numPr>
      </w:pPr>
      <w:r>
        <w:rPr>
          <w:i/>
        </w:rP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9">
    <w:p w14:paraId="6589188F" w14:textId="70D9D8AA" w:rsidR="008D2777" w:rsidRDefault="008D2777">
      <w:pPr>
        <w:pStyle w:val="FootnoteText"/>
      </w:pPr>
      <w:r>
        <w:rPr>
          <w:rStyle w:val="FootnoteReference"/>
        </w:rPr>
        <w:footnoteRef/>
      </w:r>
      <w:r>
        <w:t xml:space="preserve"> </w:t>
      </w:r>
      <w:r>
        <w:tab/>
        <w:t>De "typiske nettomeromkostninger kan anslås som forskellen mellem nettonutidsværdien for det faktiske scenario og for det kontrafaktiske scenario i referenceprojektets levetid", jf. punkt 51 i CEEAG".</w:t>
      </w:r>
    </w:p>
  </w:footnote>
  <w:footnote w:id="10">
    <w:p w14:paraId="02B0A4E3" w14:textId="5C6F97AB" w:rsidR="008D2777" w:rsidRDefault="008D2777">
      <w:pPr>
        <w:pStyle w:val="FootnoteText"/>
      </w:pPr>
      <w:r>
        <w:rPr>
          <w:rStyle w:val="FootnoteReference"/>
        </w:rPr>
        <w:footnoteRef/>
      </w:r>
      <w:r>
        <w:t xml:space="preserve"> </w:t>
      </w:r>
      <w:r>
        <w:tab/>
        <w:t>Bemærk, at følgende fastlægges i fodnote 45 i CEEAG: "Et kontrafaktisk scenario, der som et alternativt investerings-/driftsscenario foreslår en fortsættelse af de nuværende ikke miljømæssigt bæredygtige aktiviteter på lang sigt, vil ikke blive betragtet som realistisk".</w:t>
      </w:r>
    </w:p>
  </w:footnote>
  <w:footnote w:id="11">
    <w:p w14:paraId="4E6E256B" w14:textId="4AB0B555" w:rsidR="008D2777" w:rsidRDefault="008D2777">
      <w:pPr>
        <w:pStyle w:val="FootnoteText"/>
      </w:pPr>
      <w:r>
        <w:rPr>
          <w:rStyle w:val="FootnoteReference"/>
        </w:rPr>
        <w:footnoteRef/>
      </w:r>
      <w:r>
        <w:t xml:space="preserve"> </w:t>
      </w:r>
      <w:r>
        <w:tab/>
        <w:t>Bemærk, at der i henhold til fodnote 46 i CEEAG "skal tages hensyn til alle relevante forventede omkostninger og fordele i hele projektets levetid".</w:t>
      </w:r>
    </w:p>
  </w:footnote>
  <w:footnote w:id="12">
    <w:p w14:paraId="086AD512" w14:textId="7087BE19" w:rsidR="008D2777" w:rsidRPr="009C7EC5" w:rsidRDefault="008D2777">
      <w:pPr>
        <w:pStyle w:val="FootnoteText"/>
      </w:pPr>
      <w:r>
        <w:rPr>
          <w:rStyle w:val="FootnoteReference"/>
        </w:rPr>
        <w:footnoteRef/>
      </w:r>
      <w:r>
        <w:tab/>
        <w:t>Centralt forvaltede EU-midler, der forvaltes centralt af EU-institutioner, EU-agenturer, EU-kontorer, EU-fællesforetagender eller andre EU-organer, som ikke direkte eller indirekte er underlagt medlemsstatens kontrol.</w:t>
      </w:r>
    </w:p>
  </w:footnote>
  <w:footnote w:id="13">
    <w:p w14:paraId="2B7A8351" w14:textId="77777777" w:rsidR="00FE28B4" w:rsidRDefault="00FE28B4" w:rsidP="00FE28B4">
      <w:pPr>
        <w:pStyle w:val="FootnoteText"/>
      </w:pPr>
      <w:r>
        <w:rPr>
          <w:rStyle w:val="FootnoteReference"/>
        </w:rPr>
        <w:footnoteRef/>
      </w:r>
      <w:r>
        <w:t xml:space="preserve"> </w:t>
      </w:r>
      <w:r>
        <w:tab/>
        <w:t xml:space="preserve">Skabelonen til det supplerende informationsskema til anmeldelse af en evalueringsplan (del III.8) er tilgængelig her: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F1D6" w14:textId="77777777" w:rsidR="00A2265A" w:rsidRDefault="00A22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BCB6" w14:textId="77777777" w:rsidR="00A2265A" w:rsidRDefault="00A226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325"/>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a-D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aad0b86-1dbf-48d2-99f8-fcc2ae493cdc"/>
    <ds:schemaRef ds:uri="38080443-59f1-4468-9185-e277ce99790f"/>
    <ds:schemaRef ds:uri="http://www.w3.org/XML/1998/namespace"/>
    <ds:schemaRef ds:uri="http://purl.org/dc/dcmitype/"/>
  </ds:schemaRefs>
</ds:datastoreItem>
</file>

<file path=customXml/itemProps5.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3432</Words>
  <Characters>21179</Characters>
  <Application>Microsoft Office Word</Application>
  <DocSecurity>0</DocSecurity>
  <Lines>450</Lines>
  <Paragraphs>161</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HARMENS Maria (DGT)</cp:lastModifiedBy>
  <cp:revision>3</cp:revision>
  <cp:lastPrinted>2022-04-12T14:59:00Z</cp:lastPrinted>
  <dcterms:created xsi:type="dcterms:W3CDTF">2024-09-16T13:03:00Z</dcterms:created>
  <dcterms:modified xsi:type="dcterms:W3CDTF">2024-10-07T08:40:00Z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