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 xml:space="preserve">Atnaujinta* papildomos informacijos apie valstybės pagalbą, suteiktą pagal 2022 m. valstybės pagalbos klimato ir aplinkos apsaugai ir energetikai gaires</w:t>
            </w:r>
            <w:r>
              <w:rPr>
                <w:sz w:val="32"/>
              </w:rPr>
              <w:t xml:space="preserve">, pateikimo forma</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 xml:space="preserve">4.10 skyrius. Pagalba centralizuotam šilumos ir vėsumos tiekimui</w:t>
            </w:r>
          </w:p>
          <w:p w14:paraId="469DC4EF" w14:textId="2B54A3FD" w:rsidR="00C076F2" w:rsidRPr="00D96C20" w:rsidRDefault="00C076F2" w:rsidP="00C076F2">
            <w:r>
              <w:t xml:space="preserve">* oficialiai dar nepriimta.</w:t>
            </w:r>
          </w:p>
        </w:tc>
      </w:tr>
    </w:tbl>
    <w:p w14:paraId="35C43324" w14:textId="77777777" w:rsidR="00C076F2" w:rsidRPr="00D96C20" w:rsidRDefault="00C076F2" w:rsidP="00C076F2">
      <w:pPr>
        <w:spacing w:before="12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5661C6FF" w14:textId="6900E16C" w:rsidR="00C076F2" w:rsidRPr="00D96C20" w:rsidRDefault="00C076F2" w:rsidP="009E2EA1">
      <w:pPr>
        <w:spacing w:before="120" w:after="120"/>
        <w:ind w:right="-142"/>
        <w:jc w:val="both"/>
        <w:rPr>
          <w:i/>
          <w:iCs/>
        </w:rPr>
      </w:pPr>
      <w:r>
        <w:rPr>
          <w:i/>
        </w:rPr>
        <w:t xml:space="preserve">Šioje formoje pateikiama papildoma informacija apie priemones, kurioms taikomas PKAAE gairių 4.10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140907B2" w14:textId="712B456C" w:rsidR="00C076F2" w:rsidRPr="00D96C20" w:rsidRDefault="00C076F2" w:rsidP="00C076F2">
      <w:pPr>
        <w:spacing w:before="120" w:after="120"/>
        <w:ind w:right="-142"/>
        <w:jc w:val="both"/>
        <w:rPr>
          <w:i/>
          <w:iCs/>
        </w:rPr>
      </w:pPr>
      <w:r>
        <w:rPr>
          <w:i/>
        </w:rPr>
        <w:t xml:space="preserve">Valstybės narės turi sunumeruoti visus prie šios papildomos informacijos pateikimo formos pridedamus dokumentus ir nurodyti dokumentų numerius atitinkamose šios formos skirsniuose.</w:t>
      </w:r>
      <w:r>
        <w:rPr>
          <w:i/>
        </w:rPr>
        <w:t xml:space="preserve">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Jei dar nenurodėte formos „Bendroji informacija“ 5.2 skirsnyje (I dalis),</w:t>
      </w:r>
      <w:r>
        <w:t xml:space="preserve"> </w:t>
      </w:r>
      <w:r>
        <w:t xml:space="preserve">nurodykite priemonės aplinkybes ir pagrindinį tikslą, įskaitant išmetamo šiltnamio efektą sukeliančių dujų kiekio mažinimo ir absorbavimo Sąjungos tikslus, kurių siekimą ketinama remti.</w:t>
      </w:r>
      <w:r>
        <w:t xml:space="preserve">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 xml:space="preserve">ii.</w:t>
      </w:r>
      <w:r>
        <w:tab/>
      </w:r>
      <w:r>
        <w:t xml:space="preserve">Nurodykite visus kitus ja siekiamus tikslus.</w:t>
      </w:r>
      <w:r>
        <w:t xml:space="preserve"> </w:t>
      </w:r>
      <w:r>
        <w:t xml:space="preserve">Jei tikslai yra ne vien aplinkosauginiai, paaiškinkite, ar juos pasiekus gali būti iškraipoma vidaus rinka.</w:t>
      </w:r>
      <w:r>
        <w:t xml:space="preserve">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 xml:space="preserve">Įsigaliojimas ir taikymo trukmė</w:t>
      </w:r>
    </w:p>
    <w:p w14:paraId="3C55498B" w14:textId="77777777" w:rsidR="005937D4" w:rsidRPr="00D96C20" w:rsidRDefault="005937D4" w:rsidP="00F10E39">
      <w:pPr>
        <w:pStyle w:val="ListParagraph"/>
        <w:numPr>
          <w:ilvl w:val="0"/>
          <w:numId w:val="31"/>
        </w:numPr>
        <w:ind w:left="993" w:hanging="142"/>
        <w:jc w:val="both"/>
        <w:rPr>
          <w:szCs w:val="24"/>
        </w:rPr>
      </w:pPr>
      <w:r>
        <w:t xml:space="preserve">Jei dar nenurodėte formos „Bendroji informacija“ 5.5 skirsnyje (I dalis), nurodykite numatomą pagalbos schemos įsigaliojimo datą.</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 xml:space="preserve">Nurodykite schemos taikymo trukmę</w:t>
      </w:r>
      <w:r>
        <w:rPr>
          <w:szCs w:val="24"/>
          <w:vertAlign w:val="superscript"/>
        </w:rPr>
        <w:footnoteReference w:id="3"/>
      </w:r>
      <w:r>
        <w:t xml:space="preserve">.</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222C106D" w14:textId="77777777" w:rsidR="007444CC" w:rsidRPr="00D96C20" w:rsidRDefault="007444CC" w:rsidP="00F10E39">
      <w:pPr>
        <w:pStyle w:val="ListParagraph"/>
        <w:numPr>
          <w:ilvl w:val="0"/>
          <w:numId w:val="20"/>
        </w:numPr>
        <w:ind w:left="1078" w:hanging="227"/>
        <w:jc w:val="both"/>
        <w:rPr>
          <w:szCs w:val="24"/>
        </w:rPr>
      </w:pPr>
      <w:r>
        <w:t xml:space="preserve">Jei dar nenurodėte „Bendrosios informacijos formos“ 3 skirsnyje (I dalis), apibūdinkite (galimą) priemonės (-ių) pagalbos gavėją (-us).</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 xml:space="preserve">Nurodykite (galimo) pagalbos gavėjo (-ų) vietą (t. y. ar teisę dalyvauti priemonėje turi tik atitinkamose valstybėse narėse esantys ūkio subjektai, ar ir kitose valstybėse narėse esantys ūkio subjektai).</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Jei taip, pateikite informaciją apie pagalbos sumą, kuri dar nesusigrąžinta, kad Komisija į ją atsižvelgtų vertindama pagalbos priemonę (-es).</w:t>
      </w:r>
      <w:r>
        <w:t xml:space="preserve">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bCs/>
          <w:rFonts w:cs="Arial Unicode MS"/>
        </w:rPr>
      </w:pPr>
      <w:r>
        <w:rPr>
          <w:b/>
        </w:rPr>
        <w:t xml:space="preserve">Priemonės (-ių) biudžetas ir finansavimas</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szCs w:val="24"/>
          <w:vertAlign w:val="superscript"/>
        </w:rPr>
        <w:footnoteReference w:id="4"/>
      </w:r>
      <w:r>
        <w:t xml:space="preserve">.</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bCs/>
          <w:rFonts w:cs="Arial Unicode MS"/>
        </w:rPr>
      </w:pPr>
      <w:bookmarkStart w:id="3" w:name="_Ref116914400"/>
      <w:r>
        <w:t xml:space="preserve">Jei priemonė finansuojama iš mokesčio, paaiškinkite, ar:</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mokestis vienodai taikomas ir vidaus, ir importuojamiems produktams;</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bCs/>
          <w:rFonts w:cs="Arial Unicode MS"/>
        </w:rPr>
      </w:pPr>
      <w:r>
        <w:t xml:space="preserve">priemonė, apie kurią pranešama, bus vienodai naudinga ir vidaus, ir importuojamų produktų gamintojams;</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bCs/>
          <w:rFonts w:cs="Arial Unicode MS"/>
        </w:rPr>
      </w:pPr>
      <w:r>
        <w:t xml:space="preserve">priemonė, apie kurią pranešama, finansuojama iš mokesčio, iš kurio finansuojamos ir kitos pagalbos priemonės.</w:t>
      </w:r>
      <w:r>
        <w:t xml:space="preserve"> </w:t>
      </w:r>
      <w:r>
        <w:t xml:space="preserve">Jei taip, nurodykite tas kitas iš atitinkamo mokesčio finansuojamas pagalbos priemones.</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 xml:space="preserve">Indėlis į ekonominės veiklos plėtrą</w:t>
            </w:r>
          </w:p>
        </w:tc>
      </w:tr>
    </w:tbl>
    <w:p w14:paraId="1E2599D2" w14:textId="6708984F" w:rsidR="000442F5" w:rsidRPr="00D96C20" w:rsidRDefault="000442F5" w:rsidP="000442F5">
      <w:pPr>
        <w:spacing w:before="360" w:after="120"/>
        <w:jc w:val="both"/>
        <w:rPr>
          <w:i/>
        </w:rPr>
      </w:pPr>
      <w:r>
        <w:rPr>
          <w:i/>
        </w:rPr>
        <w:t xml:space="preserve">Kad pateiktumėte šiame skirsnyje prašomą informaciją, žr. PKAAE gairių 3.1.1 skirsnį (23–25 punktus), 4.10.1 ir 4.10.2 skirsnius (383–390 punktus)</w:t>
      </w:r>
      <w:r>
        <w:rPr>
          <w:i/>
          <w:color w:val="000000"/>
        </w:rPr>
        <w:t xml:space="preserve">.</w:t>
      </w:r>
      <w:r>
        <w:rPr>
          <w:i/>
        </w:rPr>
        <w:t xml:space="preserve">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bookmarkStart w:id="5" w:name="_Hlk170735690"/>
      <w:r>
        <w:t xml:space="preserve">Sutarties dėl Europos Sąjungos veikimo (SESV)</w:t>
      </w:r>
      <w:bookmarkEnd w:id="5"/>
      <w:r>
        <w:t xml:space="preserve"> 107 straipsnio 3 dalies c punkte nustatyta, kad Komisija gali pripažinti, kad suderinama yra „pagalba, skirta tam tikros ekonominės veiklos rūšių arba tam tikrų ekonomikos sričių plėtrai skatinti, jei ji netrikdo prekybos sąlygų taip, kad prieštarautų bendram interesui“.</w:t>
      </w:r>
      <w:r>
        <w:t xml:space="preserve"> </w:t>
      </w:r>
      <w:r>
        <w:t xml:space="preserve">Todėl pagal šią SESV nuostatą suderinama pagalba turi prisidėti prie tam tikros ekonominės veiklos plėtros.</w:t>
      </w:r>
      <w:r>
        <w:t xml:space="preserve"> </w:t>
      </w:r>
    </w:p>
    <w:p w14:paraId="32559872" w14:textId="77777777" w:rsidR="007444CC" w:rsidRPr="00D96C20" w:rsidRDefault="007444CC" w:rsidP="000442F5">
      <w:pPr>
        <w:tabs>
          <w:tab w:val="left" w:leader="dot" w:pos="9072"/>
        </w:tabs>
        <w:spacing w:before="120" w:after="120"/>
        <w:ind w:left="567"/>
        <w:jc w:val="both"/>
      </w:pPr>
      <w:r>
        <w:t xml:space="preserve">Kad būtų galima įvertinti, ar laikomasi PKAAE gairių 23 punkto, nurodykite, kokią ekonominę veiklą skatins pagalba ir kaip remiama šios veiklos plėtra.</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 xml:space="preserve">Kad būtų galima įvertinti, ar laikomasi PKAAE gairių 25 punkto, „</w:t>
      </w:r>
      <w:r>
        <w:rPr>
          <w:i/>
        </w:rP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 xml:space="preserve">Be to, nurodykite, kokiu mastu ši pagalba susijusi su PKAAE gairių 383 ir 384 punktuose aprašyta politika.</w:t>
      </w:r>
      <w:r>
        <w:t xml:space="preserve"> </w:t>
      </w:r>
      <w:r>
        <w:t xml:space="preserve">Tai darydami taip pat paaiškinkite, ar projektu skatinama atsinaujinančiųjų išteklių energija pagal Direktyvos (ES) 2018/2001 2 straipsnio 1 dalį.</w:t>
      </w:r>
      <w:r>
        <w:t xml:space="preserve"> </w:t>
      </w:r>
      <w:r>
        <w:t xml:space="preserve">Konkrečiai patvirtinkite, ar, siekiant skatinti šilumos ir vėsumos tiekimą iš atsinaujinančiųjų energijos išteklių, šia priemone plėtojamos efektyvaus centralizuoto šilumos ir vėsumos tiekimo sistemos, apibrėžtos Direktyvos (ES) 2023/1791 26 straipsnyje.</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PKAAE gairių 385 ir 386 punktuose numatyta, kad tam tikromis aplinkybėmis gali būti laikoma, kad parama, teikiama tik centralizuoto šilumos tiekimo tinklams, nepatenka į valstybės pagalbos kontrolės aprėptį.</w:t>
      </w:r>
      <w:r>
        <w:t xml:space="preserve"> </w:t>
      </w:r>
    </w:p>
    <w:p w14:paraId="4F669D19" w14:textId="14DDB074" w:rsidR="008D2777" w:rsidRPr="00D96C20" w:rsidRDefault="00E9552A" w:rsidP="00A2265A">
      <w:pPr>
        <w:pStyle w:val="ListParagraph"/>
        <w:numPr>
          <w:ilvl w:val="1"/>
          <w:numId w:val="4"/>
        </w:numPr>
        <w:spacing w:before="120" w:after="120"/>
        <w:contextualSpacing w:val="0"/>
        <w:jc w:val="both"/>
      </w:pPr>
      <w:r>
        <w:t xml:space="preserve">Ar pagal šią priemonę remiami centralizuoto šilumos tiekimo tinklai, prie kurių trečiosios šalys turės prieigą, kuriuos bus galima atsieti (t. y. atskirti šilumos ir (arba) vėsumos gamybą ir paskirstymą) ir kurių tarifai bus reguliuojami?</w:t>
      </w:r>
    </w:p>
    <w:p w14:paraId="79238E1B" w14:textId="51B3C821" w:rsidR="00E9552A" w:rsidRPr="00D96C20" w:rsidRDefault="00E9552A" w:rsidP="00A2265A">
      <w:pPr>
        <w:pStyle w:val="ListParagraph"/>
        <w:numPr>
          <w:ilvl w:val="1"/>
          <w:numId w:val="4"/>
        </w:numPr>
        <w:spacing w:before="120" w:after="120"/>
        <w:contextualSpacing w:val="0"/>
        <w:jc w:val="both"/>
      </w:pPr>
      <w:r>
        <w:t xml:space="preserve">Jei į a punkto klausimą atsakėte teigiamai, paaiškinkite, ar skirstymo tinklas bus eksploatuojamas teisėto ir (arba) natūralaus monopolio sąlygomis, atsižvelgiant į PKAAE gairių 374 ir 375 punktuose nustatytus kriterijus.</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Pateikite informacijos apie pagalbos priemonės (-ių) taikymo sritį ir pagal ją (jas) remiamos veiklos rūšis, kaip nurodyta PKAAE gairių 4.10.2 skirsnyje (388–389 punktuose).</w:t>
      </w:r>
      <w:r>
        <w:t xml:space="preserve"> </w:t>
      </w:r>
      <w:r>
        <w:t xml:space="preserve">Taip pat</w:t>
      </w:r>
      <w:r>
        <w:t xml:space="preserve">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paaiškinkite, kodėl projektas atitinka centralizuoto šilumos ir (arba) vėsumos tiekimo apibrėžtį pagal PKAAE gairių 19 punkto 27 papunktį ir centralizuoto šilumos ir (arba) vėsumos tiekimo sistemos apibrėžtį pagal PKAAE gairių19 punkto 28 papunktį;</w:t>
      </w:r>
      <w:r>
        <w:t xml:space="preserve">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paaiškinkite, ar projektu remiama toliau nurodytų objektų statyba, modernizavimas ar eksploatavimas:</w:t>
      </w:r>
      <w:r>
        <w:t xml:space="preserve">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gamybos įrenginio ir (arba)</w:t>
      </w:r>
      <w:r>
        <w:t xml:space="preserve">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saugojimo įrenginio, ir (arba)</w:t>
      </w:r>
      <w:r>
        <w:t xml:space="preserve"> </w:t>
      </w:r>
    </w:p>
    <w:p w14:paraId="7F9E3ACD" w14:textId="32BF6B8C" w:rsidR="009C1CC6" w:rsidRPr="00D96C20" w:rsidRDefault="009C1CC6" w:rsidP="00F10E39">
      <w:pPr>
        <w:pStyle w:val="ListParagraph"/>
        <w:numPr>
          <w:ilvl w:val="0"/>
          <w:numId w:val="30"/>
        </w:numPr>
        <w:spacing w:before="120" w:after="120"/>
        <w:contextualSpacing w:val="0"/>
        <w:jc w:val="both"/>
      </w:pPr>
      <w:r>
        <w:t xml:space="preserve">skirstymo tinklo;</w:t>
      </w:r>
    </w:p>
    <w:p w14:paraId="16B1DB2A" w14:textId="7E0B0C78" w:rsidR="009C1CC6" w:rsidRPr="00D96C20" w:rsidRDefault="009C1CC6" w:rsidP="00F10E39">
      <w:pPr>
        <w:pStyle w:val="ListParagraph"/>
        <w:numPr>
          <w:ilvl w:val="0"/>
          <w:numId w:val="29"/>
        </w:numPr>
        <w:spacing w:before="120" w:after="120"/>
        <w:contextualSpacing w:val="0"/>
        <w:jc w:val="both"/>
      </w:pPr>
      <w:r>
        <w:t xml:space="preserve">jei parama teikiama gamybos įrenginiui, paaiškinkite, kokius išteklius šis gamybos įrenginys naudoja elektros energijai, centralizuotai teikiamai šilumai ar vėsumai gaminti:</w:t>
      </w:r>
      <w:r>
        <w:t xml:space="preserve"> </w:t>
      </w:r>
      <w:r>
        <w:t xml:space="preserve">atsinaujinančiųjų išteklių energiją, atliekinę šilumą arba didelio efektyvumo kogeneraciją, įskaitant šiluminės energijos kaupimo sprendimus;</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jei parama teikiama gamybos įrenginiui, kuriame naudojamos atliekos, patvirtinkite, kad parama teikiama tik arba atliekoms, atitinkančioms atsinaujinančiųjų energijos išteklių apibrėžtį, arba atliekoms, naudojamoms kuro įrenginiuose, atitinkančiuose didelio naudingumo kogeneracijos apibrėžtį;</w:t>
      </w:r>
      <w:r>
        <w:t xml:space="preserve">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kai pagalba teikiama centralizuoto šilumos ir vėsumos tiekimo sistemai modernizuoti, paaiškinkite, ar centralizuoto šilumos ir vėsumos tiekimo sistema atitinka efektyvaus centralizuoto šilumos ir vėsumos tiekimo standartą pagal Direktyvos (ES) 2023/1791 2 straipsnio 46 punktą ir 26 straipsnį;</w:t>
      </w:r>
      <w:r>
        <w:t xml:space="preserve">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nurodykite, kokios rūšies išlaidos – investicinės ir (arba) veiklos – bus padengtos pagal priemonę.</w:t>
      </w:r>
      <w:r>
        <w:t xml:space="preserve">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 xml:space="preserve">Jei pagalba siekiama remti centralizuoto šilumos ir vėsumos tiekimo sistemos modernizavimą, tačiau po remiamo modernizavimo sistema neatitinka efektyvaus centralizuoto šilumos ir vėsumos tiekimo standarto, kaip apibrėžta Direktyvos (ES) 2023/1791 26 straipsnyje, nurodykite įsipareigojimą, kad pagalbos gavėjas per trejus metus nuo modernizavimo darbų pradėtų darbus, reikalingus tam efektyvumo standartui pasiekti pagal PKAAE gairių 390 punktą.</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 xml:space="preserve">Skatinamasis poveikis</w:t>
            </w:r>
          </w:p>
        </w:tc>
      </w:tr>
    </w:tbl>
    <w:p w14:paraId="20915284" w14:textId="430337A5" w:rsidR="00015E2B" w:rsidRPr="00D96C20" w:rsidRDefault="00B15313" w:rsidP="000B3E97">
      <w:pPr>
        <w:spacing w:before="120" w:after="120"/>
        <w:jc w:val="both"/>
        <w:rPr>
          <w:i/>
        </w:rPr>
      </w:pPr>
      <w:r>
        <w:rPr>
          <w:i/>
        </w:rPr>
        <w:t xml:space="preserve">Kad pateiktumėte šiame skirsnyje prašomą informaciją, žr. PKAAE gairių 3.1.2 skirsnį (26–32 punktus).</w:t>
      </w:r>
      <w:r>
        <w:rPr>
          <w:i/>
        </w:rPr>
        <w:t xml:space="preserve">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rPr>
          <w:color w:val="000000"/>
          <w:shd w:val="clear" w:color="auto" w:fill="FFFFFF"/>
        </w:rPr>
        <w:t xml:space="preserve">Kad būtų galima įvertinti, ar laikomasi PKAAE gairių 27 punkto, pateikite informaciją ir patvirtinkite, kad pagalba neremiamos veiklos, kurią pagalbos gavėjas ir taip būtų vykdęs, išlaidos ir nekompensuojama įprasta ekonominės veiklos verslo rizika</w:t>
      </w:r>
      <w:r>
        <w:rPr>
          <w:rStyle w:val="FootnoteReference"/>
          <w:color w:val="000000"/>
          <w:shd w:val="clear" w:color="auto" w:fill="FFFFFF"/>
        </w:rPr>
        <w:footnoteReference w:id="5"/>
      </w:r>
      <w:r>
        <w:t xml:space="preserve">.</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 xml:space="preserve">Išsamiai aprašykite faktinį scenarijų ir tikėtiną priešingos padėties scenarijų (-us).</w:t>
      </w:r>
      <w:r>
        <w:t xml:space="preserve"> </w:t>
      </w:r>
      <w:r>
        <w:t xml:space="preserve">Jei schemos apima skirtingus etaloninius projektus</w:t>
      </w:r>
      <w:r>
        <w:rPr>
          <w:rStyle w:val="FootnoteReference"/>
          <w:lang w:val="en-IE" w:eastAsia="en-GB"/>
        </w:rPr>
        <w:footnoteReference w:id="6"/>
      </w:r>
      <w:r>
        <w:t xml:space="preserve">, reikia pateikti kiekvieno etaloninio projekto scenarijų aprašymą.</w:t>
      </w:r>
      <w:r>
        <w:t xml:space="preserve"> </w:t>
      </w:r>
      <w:r>
        <w:t xml:space="preserve">Daroma prielaida, kad skirstymo tinklų statybos, modernizavimo ir eksploatavimo atveju priešingos padėties scenarijus būtų tokia padėtis, kai projektas nebūtų įgyvendintas (PKAAE gairių 395 punktas).</w:t>
      </w:r>
      <w:r>
        <w:t xml:space="preserve">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 xml:space="preserve">Kaip nurodyta PKAAE gairių 28 punkto 39 išnašoje, prie šios papildomos informacijos pateikimo formos pridėkite visus oficialius valdybos dokumentus, rizikos vertinimo dokumentus, finansinę ataskaitą, vidaus verslo planus, ekspertų nuomones ir kitus su vertinamu projektu susijusių tyrimų duomenis, dokumentus, kuriuose pateikiama informacija apie paklausos prognozes, išlaidų prognozes, finansines prognozes, investicijų komitetui pateiktus dokumentus, kuriuose išsamiai nagrinėjami investavimo / veiklos scenarijai, arba finansų institucijoms pateiktus dokumentus.</w:t>
      </w:r>
    </w:p>
    <w:p w14:paraId="489E64F5" w14:textId="080206B8" w:rsidR="00C713DD" w:rsidRPr="00D96C20" w:rsidRDefault="005F6E6B" w:rsidP="005F6E6B">
      <w:pPr>
        <w:pStyle w:val="ListParagraph"/>
        <w:spacing w:before="120" w:after="120"/>
        <w:ind w:left="1287"/>
        <w:contextualSpacing w:val="0"/>
        <w:jc w:val="both"/>
      </w:pPr>
      <w:r>
        <w:t xml:space="preserve">Atkreipkite dėmesį, kad tokie dokumentai turi būti to paties laikotarpio kaip ir sprendimo dėl investavimo / veiklos priėmimo procesas.</w:t>
      </w:r>
    </w:p>
    <w:p w14:paraId="0F3CF49B" w14:textId="7575EEBA" w:rsidR="00DE063E" w:rsidRPr="00D96C20" w:rsidRDefault="00E32AD5" w:rsidP="005F6E6B">
      <w:pPr>
        <w:pStyle w:val="ListParagraph"/>
        <w:spacing w:before="120" w:after="120"/>
        <w:ind w:left="1287"/>
        <w:contextualSpacing w:val="0"/>
        <w:jc w:val="both"/>
      </w:pPr>
      <w:r>
        <w:t xml:space="preserve">Jei tokius dokumentus pridedate prie </w:t>
      </w:r>
      <w:bookmarkStart w:id="6" w:name="_Hlk177381900"/>
      <w:r>
        <w:t xml:space="preserve">papildomos informacijos pateikimo formos</w:t>
      </w:r>
      <w:bookmarkEnd w:id="6"/>
      <w:r>
        <w:t xml:space="preserve">, toliau pateikite tų dokumentų sąrašą ir nurodykite jų autorių, parengimo datą ir naudojimo aplinkybes.</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Šios papildomos informacijos pateikimo formos priede (</w:t>
      </w:r>
      <w:r>
        <w:rPr>
          <w:i/>
          <w:iCs/>
        </w:rPr>
        <w:t xml:space="preserve">Excel</w:t>
      </w:r>
      <w:r>
        <w:t xml:space="preserve"> rinkmenoje, </w:t>
      </w:r>
      <w:r>
        <w:rPr>
          <w:shd w:val="clear" w:color="auto" w:fill="FFFFFF"/>
        </w:rPr>
        <w:t xml:space="preserve">kurioje matomos visos formulės</w:t>
      </w:r>
      <w:r>
        <w:t xml:space="preserve">) pateikite visų pagrindinių išlaidų ir pajamų kiekybinį įvertinimą pagal faktinį scenarijų ir patikimą priešingos padėties scenarijų, kaip aprašyta i papunktyje, apskaičiuotą vidutinę svertinę kapitalo kainą (VSKK), pagal kurią pagalbos gavėjai diskontuos būsimus pinigų srautus, taip pat grynąją dabartinę vertę (GDV) pagal faktinį ir priešingos padėties scenarijų per visą projekto įgyvendinimo laikotarpį.</w:t>
      </w:r>
      <w:r>
        <w:t xml:space="preserve"> </w:t>
      </w:r>
      <w:r>
        <w:t xml:space="preserve">Individualios pagalbos ir schemų, kurios naudingos labai ribotam pagalbos gavėjų skaičiui, atveju tokie skaičiavimai ir prognozės turi būti pateikti išsamaus projekto verslo plano lygmeniu, o pagalbos schemų atveju – remiantis vienu ar keliais etaloniniais projektais.</w:t>
      </w:r>
      <w:r>
        <w:t xml:space="preserve">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Šios papildomos informacijos pateikimo formos priede pateikite išsamią informaciją apie prielaidas, metodikas, pagrindimą ir pagrindinius jų šaltinius, kurie naudoti faktiniame scenarijuje ir tikėtiname priešingos padėties scenarijuje (-uose) nurodytų išlaidų ir pajamų kiekvienam kiekybinio vertinimo aspektui (pvz., nurodykite, kokiomis prielaidomis rėmėtės tuos scenarijus rengdami).</w:t>
      </w:r>
      <w:r>
        <w:t xml:space="preserve">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 xml:space="preserve">Kad įrodytumėte, kad laikotės PKAAE gairių 29 ir 31 punktų:</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 xml:space="preserve">patvirtinkite, kad su projektu susijusių darbų ar veiklos pagalbos gavėjas nepradėjo anksčiau, nei nacionalinėms valdžios institucijoms pateikė rašytinę paraišką gauti pagalbą,</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 xml:space="preserve">ARBA</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 xml:space="preserve">projekto, pradėto įgyvendinti prieš pateikiant paraišką gauti pagalbą, atveju įrodykite, kad taikoma viena iš PKAAE gairių 31 punkto a, b arba c papunkčiuose nurodytų išimčių</w:t>
      </w:r>
      <w:r>
        <w:rPr>
          <w:rStyle w:val="FootnoteReference"/>
          <w:lang w:val="en-IE" w:eastAsia="en-GB"/>
        </w:rPr>
        <w:footnoteReference w:id="7"/>
      </w:r>
      <w:r>
        <w:t xml:space="preserve">.</w:t>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 xml:space="preserve">Kad įrodytumėte, jog laikotės PKAAE gairių 30 punkto, patvirtinkite, kad paraiškoje gauti pagalbą yra nurodytas bent jau pareiškėjo pavadinimas, projekto ar veiklos aprašymas, įskaitant jų vietą, ir pagalbos suma, reikalinga jiems įgyvendinti.</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 xml:space="preserve">Kad įrodytumėte, kad laikotės PKAAE gairių 32 punkto, nurodykite, ar priemonei (-ėms), apie kurią (-ias) pranešama, taikomi Sąjungos standartai</w:t>
      </w:r>
      <w:r>
        <w:rPr>
          <w:rStyle w:val="FootnoteReference"/>
          <w:lang w:val="en-IE" w:eastAsia="en-GB"/>
        </w:rPr>
        <w:footnoteReference w:id="8"/>
      </w:r>
      <w:r>
        <w:t xml:space="preserve">, privalomi nacionaliniai standartai, kurie yra griežtesni ar platesnio užmojo nei atitinkami Sąjungos standartai, arba, jei Sąjungos standartų nėra, ar priimti privalomi nacionaliniai standartai.</w:t>
      </w:r>
      <w:r>
        <w:t xml:space="preserve"> </w:t>
      </w:r>
      <w:r>
        <w:t xml:space="preserve">Atsižvelgdami į tai, pateikite skatinamąjį poveikį įrodančią informaciją.</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Tais atvejais, kai atitinkamas Sąjungos standartas jau priimtas, bet dar neįsigaliojo, įrodykite, kad pagalba turi skatinamąjį poveikį, nes ja skatinama investicijas iki galo įgyvendinti likus ne mažiau kaip 18 mėnesių iki standarto įsigaliojimo.</w:t>
      </w:r>
      <w:r>
        <w:t xml:space="preserve">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 xml:space="preserve">Nepažeidžiama jokia atitinkama Sąjungos teisės nuostata</w:t>
            </w:r>
          </w:p>
        </w:tc>
      </w:tr>
    </w:tbl>
    <w:p w14:paraId="665FE026" w14:textId="5CEA7791" w:rsidR="00DE1D68" w:rsidRPr="00D96C20" w:rsidRDefault="00DE1D68" w:rsidP="00DE1D68">
      <w:pPr>
        <w:spacing w:before="360" w:after="120"/>
        <w:jc w:val="both"/>
        <w:rPr>
          <w:i/>
        </w:rPr>
      </w:pPr>
      <w:r>
        <w:rPr>
          <w:i/>
        </w:rPr>
        <w:t xml:space="preserve">Kad pateiktumėte šiame skirsnyje prašomą informaciją, žr. PKAAE gairių 3.1.3 skirsnį (33 punktą).</w:t>
      </w:r>
      <w:r>
        <w:rPr>
          <w:i/>
        </w:rPr>
        <w:t xml:space="preserve">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w:t>
      </w:r>
      <w:r>
        <w:t xml:space="preserve">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rPr>
          <w:i/>
        </w:rPr>
        <w:t xml:space="preserve"> </w:t>
      </w:r>
      <w:r>
        <w:t xml:space="preserve">Jei priemonė (-ės), apie kurią (-ias) pranešama, yra finansuojama iš mokesčio, pateikdami įrodymus galite remtis </w:t>
      </w:r>
      <w:r>
        <w:fldChar w:fldCharType="begin" w:dirty="true"/>
      </w:r>
      <w:r>
        <w:instrText xml:space="preserve"> REF _Ref116914408 \r \h  \* MERGEFORMAT </w:instrText>
      </w:r>
      <w:r/>
      <w:r>
        <w:fldChar w:fldCharType="separate"/>
      </w:r>
      <w:r>
        <w:t xml:space="preserve">5</w:t>
      </w:r>
      <w:r>
        <w:fldChar w:fldCharType="end"/>
      </w:r>
      <w:r>
        <w:t xml:space="preserve"> punkto </w:t>
      </w:r>
      <w:r>
        <w:fldChar w:fldCharType="begin" w:dirty="true"/>
      </w:r>
      <w:r>
        <w:instrText xml:space="preserve"> REF _Ref116914400 \r \h  \* MERGEFORMAT </w:instrText>
      </w:r>
      <w:r/>
      <w:r>
        <w:fldChar w:fldCharType="separate"/>
      </w:r>
      <w:r>
        <w:t xml:space="preserve">ii</w:t>
      </w:r>
      <w:r>
        <w:fldChar w:fldCharType="end"/>
      </w:r>
      <w:r>
        <w:t xml:space="preserve"> papunktyje pateikta informacija.</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w:t>
            </w:r>
            <w:r>
              <w:rPr>
                <w:i/>
                <w:color w:val="000000"/>
                <w:sz w:val="28"/>
              </w:rPr>
              <w:t xml:space="preserve">Konkurencijos ir prekybos iškraipymo mažinimas</w:t>
            </w:r>
            <w:r>
              <w:rPr>
                <w:i/>
                <w:color w:val="000000"/>
                <w:sz w:val="28"/>
              </w:rPr>
              <w:t xml:space="preserve">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 xml:space="preserve">Valstybės pagalbos intervencijos būtinumas ir tinkamumas</w:t>
            </w:r>
          </w:p>
        </w:tc>
      </w:tr>
    </w:tbl>
    <w:p w14:paraId="3C23674F" w14:textId="4023898F" w:rsidR="00663008" w:rsidRPr="00D96C20" w:rsidRDefault="00663008" w:rsidP="000B3E97">
      <w:pPr>
        <w:spacing w:before="120" w:after="120"/>
        <w:jc w:val="both"/>
        <w:rPr>
          <w:i/>
          <w:color w:val="000000"/>
        </w:rPr>
      </w:pPr>
      <w:r>
        <w:rPr>
          <w:i/>
          <w:color w:val="000000"/>
        </w:rPr>
        <w:t xml:space="preserve">Kad</w:t>
      </w:r>
      <w:r>
        <w:rPr>
          <w:i/>
          <w:color w:val="000000"/>
        </w:rPr>
        <w:t xml:space="preserve"> pateiktumėte šiame skirsnyje prašomą informaciją, žr. PKAAE gairių 4.10.3 skirsnį (391–393 punktus).</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 xml:space="preserve">Išsamiai paaiškinkite, kaip projektu bus prisidedama prie efektyvaus centralizuoto šilumos ir vėsumos tiekimo sistemų kūrimo, plėtojimo ar modernizavimo.</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Jei priemone išimtinai padengiamos veiklos išlaidos, įrodykite, kad šios išlaidos negali būti perkeltos centralizuotai teikiamos šilumos ir (arba) vėsumos vartotojams nepakenkiant aplinkos apsaugai pagal PKAAE gairių 392 punktą.</w:t>
      </w:r>
      <w:r>
        <w:t xml:space="preserve"> </w:t>
      </w:r>
      <w:r>
        <w:t xml:space="preserve">Nurodykite, kad remiamos centralizuoto šilumos ir (arba) vėsumos tiekimo sistemos, palyginti su alternatyviais centralizuoto šilumos ir (arba) vėsumos tiekimo sprendimais, didina energijos vartojimo efektyvumą, mažina išmetamą CO</w:t>
      </w:r>
      <w:r>
        <w:rPr>
          <w:vertAlign w:val="subscript"/>
        </w:rPr>
        <w:t xml:space="preserve">2</w:t>
      </w:r>
      <w:r>
        <w:t xml:space="preserve"> kiekį ir kitus taršos šaltinius, taip pat šalina tinklo nuostolius.</w:t>
      </w:r>
      <w:r>
        <w:t xml:space="preserve">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 xml:space="preserve">Pagal PKAAE gairių 393 punktą, jei projektas vykdomas kaip kurą naudojant atliekas, paaiškinkite, kaip laikomasi atliekų hierarchijos principo (Direktyvos (ES) 2008/98 4 straipsnio 1 punktas).</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Pagalbos proporcingumas</w:t>
            </w:r>
            <w:r>
              <w:rPr>
                <w:color w:val="000000"/>
                <w:sz w:val="24"/>
              </w:rPr>
              <w:t xml:space="preserve"> </w:t>
            </w:r>
          </w:p>
        </w:tc>
      </w:tr>
    </w:tbl>
    <w:p w14:paraId="7AFDF26D" w14:textId="0DF381F0" w:rsidR="00A431BD" w:rsidRPr="00D96C20" w:rsidRDefault="00863406" w:rsidP="000B3E97">
      <w:pPr>
        <w:spacing w:before="120" w:after="120"/>
        <w:jc w:val="both"/>
        <w:rPr>
          <w:i/>
        </w:rPr>
      </w:pPr>
      <w:r>
        <w:rPr>
          <w:i/>
        </w:rPr>
        <w:t xml:space="preserve">Kad pateiktumėte šiame skirsnyje prašomą informaciją, žr. PKAAE gairių 3.2.1.3 skirsnį ir 4.10.4 skirsnį (394 ir 395 punktus).</w:t>
      </w:r>
      <w:r>
        <w:rPr>
          <w:i/>
        </w:rPr>
        <w:t xml:space="preserve">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 xml:space="preserve">Kad būtų galima patikrinti, ar laikomasi PKAAE gairių 51 punkto, pateikite toliau nurodytą informaciją.</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 xml:space="preserve">Kad būtų galima nustatyti trūkstamą finansavimą</w:t>
      </w:r>
      <w:r>
        <w:rPr>
          <w:rStyle w:val="FootnoteReference"/>
          <w:shd w:val="clear" w:color="auto" w:fill="FFFFFF"/>
        </w:rPr>
        <w:footnoteReference w:id="9"/>
      </w:r>
      <w:r>
        <w:rPr>
          <w:shd w:val="clear" w:color="auto" w:fill="FFFFFF"/>
        </w:rPr>
        <w:t xml:space="preserve">, pateikite kiekybinį įvertinimą pagal faktinį scenarijų ir patikimą priešingos padėties scenarijų</w:t>
      </w:r>
      <w:r>
        <w:rPr>
          <w:rStyle w:val="FootnoteReference"/>
          <w:shd w:val="clear" w:color="auto" w:fill="FFFFFF"/>
        </w:rPr>
        <w:footnoteReference w:id="10"/>
      </w:r>
      <w:r>
        <w:rPr>
          <w:shd w:val="clear" w:color="auto" w:fill="FFFFFF"/>
        </w:rPr>
        <w:t xml:space="preserv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 xml:space="preserve">visų pagrindinių projekto išlaidų ir pajamų;</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 xml:space="preserve">įvertintą pagalbos gavėjų vidutinę svertinę kapitalo kainą (VSKK), pagal kurią bus diskontuojami būsimi pinigų srautai;</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 xml:space="preserve">grynąją dabartinę vertę visu projekto gyvavimo laikotarpiu pagal faktinį scenarijų ir pagal priešingos padėties scenarijų;</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pagrįskite kiekvienam kiekybinio įvertinimo aspektui taikytas prielaidas ir paaiškinkite bei pagrįskite visas taikytas metodikas.</w:t>
      </w:r>
      <w:r>
        <w:rPr>
          <w:shd w:val="clear" w:color="auto" w:fill="FFFFFF"/>
        </w:rPr>
        <w:t xml:space="preserv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 xml:space="preserve">Individualios pagalbos ir schemų, skirtų ypač ribotam pagalbos gavėjų skaičiui, atveju valstybė narė turi pateikti patvirtinamuosius įrodymus išsamaus projekto verslo plano lygmeniu.</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 xml:space="preserve">Pagalbos schemų atveju valstybė narė turi pateikti patvirtinamuosius įrodymus, remdamasi vienu ar keliais etaloniniais projektais.</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 xml:space="preserve">Jei alternatyviojo projekto nėra, kad Komisija galėtų patikrinti, ar pagalbos suma neviršija minimalios sumos, būtinos, kad projektas, kuriam teikiama pagalba, būtų pakankamai pelningas</w:t>
      </w:r>
      <w:r>
        <w:rPr>
          <w:rStyle w:val="FootnoteReference"/>
          <w:lang w:eastAsia="en-GB"/>
        </w:rPr>
        <w:footnoteReference w:id="11"/>
      </w:r>
      <w:r>
        <w:t xml:space="preserve">, pateikite šią informaciją:</w:t>
      </w:r>
    </w:p>
    <w:p w14:paraId="020A0406" w14:textId="40D27EEF" w:rsidR="00EC2A7D" w:rsidRPr="00D96C20" w:rsidRDefault="00EC2A7D" w:rsidP="004776A4">
      <w:pPr>
        <w:pStyle w:val="ListParagraph"/>
        <w:numPr>
          <w:ilvl w:val="1"/>
          <w:numId w:val="4"/>
        </w:numPr>
        <w:spacing w:before="120" w:after="120"/>
        <w:contextualSpacing w:val="0"/>
        <w:jc w:val="both"/>
      </w:pPr>
      <w:r>
        <w:t xml:space="preserve">vidinę grąžos normą (VGN), kuri atitiktų konkretaus sektoriaus ar įmonės orientacinę normą arba minimalaus pelningumo koeficientą,</w:t>
      </w:r>
      <w:r>
        <w:t xml:space="preserve"> </w:t>
      </w:r>
      <w:r>
        <w:t xml:space="preserve">arba</w:t>
      </w:r>
    </w:p>
    <w:p w14:paraId="056D5BF9" w14:textId="64F3B5CD" w:rsidR="00AB47A1" w:rsidRPr="00D96C20" w:rsidRDefault="007315B8" w:rsidP="004776A4">
      <w:pPr>
        <w:pStyle w:val="ListParagraph"/>
        <w:numPr>
          <w:ilvl w:val="1"/>
          <w:numId w:val="4"/>
        </w:numPr>
        <w:spacing w:before="120" w:after="120"/>
        <w:contextualSpacing w:val="0"/>
        <w:jc w:val="both"/>
      </w:pPr>
      <w:r>
        <w:t xml:space="preserve">įprastas grąžos, kurios pagalbos gavėjas reikalauja kituose panašios rūšies investicijų projektuose, normas, visos bendrovės kapitalo sąnaudas,</w:t>
      </w:r>
      <w:r>
        <w:t xml:space="preserve"> </w:t>
      </w:r>
      <w:r>
        <w:t xml:space="preserve">arba</w:t>
      </w:r>
    </w:p>
    <w:p w14:paraId="13B46137" w14:textId="062C7DC0" w:rsidR="0029714D" w:rsidRPr="00D96C20" w:rsidRDefault="007315B8" w:rsidP="004776A4">
      <w:pPr>
        <w:pStyle w:val="ListParagraph"/>
        <w:numPr>
          <w:ilvl w:val="1"/>
          <w:numId w:val="4"/>
        </w:numPr>
        <w:spacing w:before="120" w:after="120"/>
        <w:contextualSpacing w:val="0"/>
        <w:jc w:val="both"/>
      </w:pPr>
      <w:r>
        <w:t xml:space="preserve">grąžą, kuri paprastai gaunama atitinkamame pramonės sektoriuje,</w:t>
      </w:r>
      <w:r>
        <w:t xml:space="preserve"> </w:t>
      </w:r>
      <w:r>
        <w:t xml:space="preserve">arba</w:t>
      </w:r>
    </w:p>
    <w:p w14:paraId="0691A0E0" w14:textId="27443E78" w:rsidR="00445F48" w:rsidRPr="00D96C20" w:rsidRDefault="001622D8" w:rsidP="004776A4">
      <w:pPr>
        <w:pStyle w:val="ListParagraph"/>
        <w:numPr>
          <w:ilvl w:val="1"/>
          <w:numId w:val="4"/>
        </w:numPr>
        <w:spacing w:before="120" w:after="120"/>
        <w:contextualSpacing w:val="0"/>
        <w:jc w:val="both"/>
      </w:pPr>
      <w:r>
        <w:t xml:space="preserve">bet kokią kitą informaciją, pagrindžiančią, kad pagalbos suma neviršija minimalios sumos, būtinos, kad projektas, kuriam teikiama pagalba, būtų pakankamai pelningas.</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 xml:space="preserve">Sumavimas</w:t>
            </w:r>
          </w:p>
        </w:tc>
      </w:tr>
    </w:tbl>
    <w:p w14:paraId="2346A85D" w14:textId="09594631" w:rsidR="00B21377" w:rsidRPr="00D96C20" w:rsidRDefault="00B21377" w:rsidP="00B21377">
      <w:pPr>
        <w:pStyle w:val="ListParagraph"/>
        <w:spacing w:before="120" w:after="120"/>
        <w:ind w:left="567"/>
        <w:contextualSpacing w:val="0"/>
        <w:jc w:val="both"/>
      </w:pPr>
      <w:r>
        <w:rPr>
          <w:i/>
        </w:rPr>
        <w:t xml:space="preserve">Kad pateiktumėte šiame skirsnyje prašomą informaciją, žr. PKAAE gairių 56–57 punktus</w:t>
      </w:r>
      <w:r>
        <w:t xml:space="preserve">.</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Kad būtų galima patikrinti, ar laikomasi PKAAE gairių 56 punkto, paaiškinkite, ar pagalba pagal priemonę (-es), apie kurią (-ias) pranešama, gali būti suteikta vienu metu pagal kelias pagalbos schemas arba sumuojama su </w:t>
      </w:r>
      <w:r>
        <w:rPr>
          <w:i/>
        </w:rPr>
        <w:t xml:space="preserve">ad hoc</w:t>
      </w:r>
      <w:r>
        <w:t xml:space="preserve"> arba </w:t>
      </w:r>
      <w:r>
        <w:rPr>
          <w:i/>
          <w:iCs/>
        </w:rPr>
        <w:t xml:space="preserve">de minimis</w:t>
      </w:r>
      <w:r>
        <w:t xml:space="preserve"> pagalba tų pačių finansuoti tinkamų išlaidų atžvilgiu.</w:t>
      </w:r>
      <w:r>
        <w:t xml:space="preserve"> </w:t>
      </w:r>
      <w:r>
        <w:t xml:space="preserve">Jei taip, pateikite išsamią informaciją apie tas pagalbos schemas, </w:t>
      </w:r>
      <w:r>
        <w:rPr>
          <w:i/>
        </w:rPr>
        <w:t xml:space="preserve">ad hoc</w:t>
      </w:r>
      <w:r>
        <w:t xml:space="preserve"> pagalbą arba </w:t>
      </w:r>
      <w:r>
        <w:rPr>
          <w:i/>
        </w:rPr>
        <w:t xml:space="preserve">de minimis</w:t>
      </w:r>
      <w:r>
        <w:t xml:space="preserve"> pagalbą ir apie tai, kaip bus sumuojama pagalba.</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Jei pagalbos priemonei (-ėms), apie kurią (-ias) pranešama, taikomas PKAAE gairių 56 punktas, pagrįskite, kodėl dėl bendros pagal priemonę (-es), apie kurią (-ias) pranešama, projektui ar veiklai skirtos pagalbos sumos nesusidaro kompensacijos permoka arba neviršijama didžiausia pagalbos suma, leidžiama pagal PKAAE gairių 394 punktą.</w:t>
      </w:r>
      <w:r>
        <w:t xml:space="preserve"> </w:t>
      </w:r>
      <w:r>
        <w:t xml:space="preserve">Kiekvienos priemonės, pagal kurias teikiamą pagalbą galima sumuoti su pagal priemonę (-es), apie kurią (-ias) pranešama, teikiama pagalba, atveju nurodykite metodą, kuriuo užtikrinama, kad būtų laikomasi PKAAE gairių 56 punkte nustatytų sąlygų.</w:t>
      </w:r>
      <w:r>
        <w:t xml:space="preserve">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 xml:space="preserve">Jei taikomas PKAAE gairių 57 punktas, t. y. pagal priemonę (-es), apie kurią (-ias) pranešama, teikiama pagalba yra derinama su centralizuotai valdomu Sąjungos finansavimu</w:t>
      </w:r>
      <w:r>
        <w:rPr>
          <w:rStyle w:val="FootnoteReference"/>
          <w:lang w:eastAsia="en-GB"/>
        </w:rPr>
        <w:footnoteReference w:id="12"/>
      </w:r>
      <w:r>
        <w:t xml:space="preserve">, pagrįskite, kodėl dėl bendros </w:t>
      </w:r>
      <w:r>
        <w:rPr>
          <w:shd w:val="clear" w:color="auto" w:fill="FFFFFF"/>
        </w:rPr>
        <w:t xml:space="preserve">viešojo finansavimo sumos, skiriamos toms pačioms tinkamoms finansuoti išlaidoms padengti, nesusidaro kompensacijos permoka</w:t>
      </w:r>
      <w:r>
        <w:t xml:space="preserve">.</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 xml:space="preserve">Skaidrumas</w:t>
            </w:r>
          </w:p>
        </w:tc>
      </w:tr>
    </w:tbl>
    <w:p w14:paraId="32448DD4" w14:textId="77777777" w:rsidR="009C7EC5" w:rsidRPr="00D96C20" w:rsidRDefault="009C7EC5" w:rsidP="000B3E97">
      <w:pPr>
        <w:spacing w:before="120" w:after="120"/>
        <w:jc w:val="both"/>
        <w:rPr>
          <w:i/>
        </w:rPr>
      </w:pPr>
      <w:r>
        <w:rPr>
          <w:i/>
          <w:color w:val="000000"/>
        </w:rPr>
        <w:t xml:space="preserve">Kad</w:t>
      </w:r>
      <w:r>
        <w:rPr>
          <w:i/>
          <w:color w:val="000000"/>
        </w:rPr>
        <w:t xml:space="preserve"> pateiktumėte šiame skirsnyje prašomą informaciją, žr. PKAAE gairių 3.2.1.4 skirsnį (58–61 punktus).</w:t>
      </w:r>
      <w:r>
        <w:rPr>
          <w:i/>
        </w:rPr>
        <w:t xml:space="preserve">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Pr>
          <w:i/>
          <w:iCs/>
        </w:rPr>
        <w:t xml:space="preserve">ad hoc</w:t>
      </w:r>
      <w:r>
        <w:t xml:space="preserve"> arba pagal pagalbos schemą, patvirtintą remiantis PKAAE gairėmis ir viršijančią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w:t>
            </w:r>
            <w:r>
              <w:rPr>
                <w:i/>
                <w:color w:val="000000"/>
                <w:sz w:val="28"/>
              </w:rPr>
              <w:t xml:space="preserve">2.2.</w:t>
            </w:r>
            <w:r>
              <w:rPr>
                <w:i/>
                <w:color w:val="000000"/>
                <w:sz w:val="28"/>
              </w:rPr>
              <w:t xml:space="preserve">  </w:t>
            </w:r>
            <w:r>
              <w:rPr>
                <w:i/>
                <w:color w:val="000000"/>
                <w:sz w:val="28"/>
              </w:rPr>
              <w:t xml:space="preserve">Nederamo neigiamo pagalbos poveikio konkurencijai ir prekybai vengimas ir pusiausvyros užtikrinimas</w:t>
            </w:r>
          </w:p>
        </w:tc>
      </w:tr>
    </w:tbl>
    <w:p w14:paraId="6CD3884F" w14:textId="308833E5" w:rsidR="00F83660" w:rsidRPr="00D96C20" w:rsidRDefault="00F83660" w:rsidP="000B3E97">
      <w:pPr>
        <w:spacing w:before="120" w:after="120"/>
        <w:jc w:val="both"/>
        <w:rPr>
          <w:i/>
        </w:rPr>
      </w:pPr>
      <w:r>
        <w:rPr>
          <w:i/>
        </w:rPr>
        <w:t xml:space="preserve">Kad pateiktumėte šiame skirsnyje prašomą informaciją, žr. PKAAE gairių 4.10.5 skirsnį (396–398 punktus).</w:t>
      </w:r>
      <w:r>
        <w:rPr>
          <w:i/>
        </w:rPr>
        <w:t xml:space="preserve">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Jei centralizuoto šilumos ir vėsumos tiekimo sistemose naudojamas taršiausias iškastinis kuras, pavyzdžiui, anglys, lignitas, nafta ir dyzelinas, paaiškinkite, ar įvykdytos visos šios sąlygos pagal PKAAE gairių 396 punktą:</w:t>
      </w:r>
      <w:r>
        <w:t xml:space="preserve">  </w:t>
      </w:r>
    </w:p>
    <w:p w14:paraId="5E05EB28" w14:textId="599AE112" w:rsidR="00304F41" w:rsidRPr="00D96C20" w:rsidRDefault="00304F41" w:rsidP="00F10E39">
      <w:pPr>
        <w:pStyle w:val="ListParagraph"/>
        <w:numPr>
          <w:ilvl w:val="2"/>
          <w:numId w:val="28"/>
        </w:numPr>
        <w:spacing w:before="120" w:after="120"/>
        <w:contextualSpacing w:val="0"/>
        <w:jc w:val="both"/>
      </w:pPr>
      <w:r>
        <w:t xml:space="preserve">pagalba teikiama tik investicijoms į skirstymo tinklą;</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skirstymo tinklas jau suteikia galimybę transportuoti šilumą ir vėsumą, pagamintą iš atsinaujinančiųjų energijos išteklių, atliekinės šilumos arba anglies dioksido neišskiriančių šaltinių;</w:t>
      </w:r>
      <w:r>
        <w:t xml:space="preserve">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pagalba nepadidinama energijos gamyba iš taršiausio iškastinio kuro (pavyzdžiui, prijungiant papildomus vartotojus);</w:t>
      </w:r>
      <w:r>
        <w:t xml:space="preserve">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yra aiškus tvarkaraštis, kuriame numatyti tvirti įsipareigojimai atsisakyti taršiausio iškastinio kuro, siekiant Sąjungos 2030 m. klimato politikos tikslo ir 2050 m. poveikio klimatui neutralumo tikslo (žr. pavyzdį PKAAE gairių 156 išnašoje).</w:t>
      </w:r>
      <w:r>
        <w:t xml:space="preserve">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Jei projektu skatinamos naujos investicijos į gamtines dujas naudojančius energijos gamybos įrenginius arba jų eksploatavimas, paaiškinkite, ar projektu užtikrinama, kad būtų laikomasi toliau nurodytų sąlygų pagal PKAAE gairių 397 punktą:</w:t>
      </w:r>
      <w:r>
        <w:t xml:space="preserve"> </w:t>
      </w:r>
    </w:p>
    <w:p w14:paraId="38C1F102" w14:textId="32146B66" w:rsidR="00F610C7" w:rsidRPr="00D96C20" w:rsidRDefault="00304F41" w:rsidP="00D37B1D">
      <w:pPr>
        <w:pStyle w:val="ListParagraph"/>
        <w:numPr>
          <w:ilvl w:val="0"/>
          <w:numId w:val="38"/>
        </w:numPr>
        <w:spacing w:before="120" w:after="120"/>
        <w:contextualSpacing w:val="0"/>
        <w:jc w:val="both"/>
      </w:pPr>
      <w:r>
        <w:t xml:space="preserve">pagalba būtų prisidedama prie Sąjungos 2030 m. klimato politikos tikslo ir 2050 m. poveikio klimatui neutralumo tikslo;</w:t>
      </w:r>
    </w:p>
    <w:p w14:paraId="389482B8" w14:textId="38817A0F" w:rsidR="00F610C7" w:rsidRPr="00D96C20" w:rsidRDefault="00304F41" w:rsidP="00D37B1D">
      <w:pPr>
        <w:pStyle w:val="ListParagraph"/>
        <w:numPr>
          <w:ilvl w:val="0"/>
          <w:numId w:val="38"/>
        </w:numPr>
        <w:spacing w:before="120" w:after="120"/>
        <w:contextualSpacing w:val="0"/>
        <w:jc w:val="both"/>
      </w:pPr>
      <w:r>
        <w:t xml:space="preserve">kaip bus išvengta susisaistymo su energijos gamyba deginant dujas;</w:t>
      </w:r>
    </w:p>
    <w:p w14:paraId="7EA03E9A" w14:textId="7AB57B2E" w:rsidR="00F83660" w:rsidRPr="00D96C20" w:rsidRDefault="00F610C7" w:rsidP="00D37B1D">
      <w:pPr>
        <w:pStyle w:val="ListParagraph"/>
        <w:numPr>
          <w:ilvl w:val="0"/>
          <w:numId w:val="38"/>
        </w:numPr>
        <w:spacing w:before="120" w:after="120"/>
        <w:contextualSpacing w:val="0"/>
        <w:jc w:val="both"/>
      </w:pPr>
      <w:r>
        <w:t xml:space="preserve">kaip pagalba neišstumiamos investicijos į mažiau taršias ir rinkoje jau esančias alternatyvas ir netrukdoma kurti mažiau taršias technologijas ir jas naudoti.</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Kad būtų galima patikrinti, ar laikomasi PKAAE gairių 398 punkto, paaiškinkite, ar centralizuoto šilumos ir vėsumos tiekimo sistema yra prieinama trečiosioms šalims ir ar būtų galimi tvarūs alternatyvūs šildymo sprendimai.</w:t>
      </w:r>
      <w:r>
        <w:t xml:space="preserv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b/>
                <w:i/>
                <w:color w:val="000000"/>
                <w:sz w:val="28"/>
                <w:szCs w:val="28"/>
                <w:rFonts w:eastAsia="Times New Roman"/>
              </w:rPr>
            </w:pPr>
            <w:r>
              <w:rPr>
                <w:b/>
                <w:i/>
                <w:color w:val="000000"/>
                <w:sz w:val="28"/>
              </w:rPr>
              <w:t xml:space="preserve">Vertinimas</w:t>
            </w:r>
          </w:p>
        </w:tc>
      </w:tr>
    </w:tbl>
    <w:p w14:paraId="78AC9B95" w14:textId="1FB76E7E" w:rsidR="00C33721" w:rsidRPr="00D96C20" w:rsidRDefault="00C33721" w:rsidP="005C6138">
      <w:pPr>
        <w:tabs>
          <w:tab w:val="left" w:leader="dot" w:pos="9072"/>
        </w:tabs>
        <w:spacing w:before="120" w:after="120"/>
        <w:ind w:left="567"/>
        <w:jc w:val="both"/>
      </w:pPr>
      <w:r>
        <w:rPr>
          <w:i/>
        </w:rPr>
        <w:t xml:space="preserve">Kad pateiktumėte šiame skirsnyje prašomą informaciją, žr. PKAAE gairių 76 punkto a papunktį ir 5 skyrių (455–463 punktus).</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papildomos informacijos pateikimo formos priede pateikite, be kita ko, vertinimo plano projektą, apimantį PKAAE gairių 458 punkte nurodytą taikymo sritį</w:t>
      </w:r>
      <w:r>
        <w:rPr>
          <w:vertAlign w:val="superscript"/>
          <w:lang w:eastAsia="en-GB"/>
        </w:rPr>
        <w:footnoteReference w:id="13"/>
      </w:r>
      <w:r>
        <w:t xml:space="preserve">.</w:t>
      </w:r>
    </w:p>
    <w:p w14:paraId="02454385" w14:textId="77777777" w:rsidR="00FE28B4" w:rsidRPr="00D96C20" w:rsidRDefault="00FE28B4" w:rsidP="00FE28B4">
      <w:pPr>
        <w:spacing w:before="120" w:after="120"/>
        <w:ind w:firstLine="567"/>
        <w:jc w:val="both"/>
      </w:pPr>
      <w:r>
        <w:t xml:space="preserve">……………………………………………………………………………………………</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 xml:space="preserve">Jei pateikiamas vertinimo plano projektas:</w:t>
      </w:r>
    </w:p>
    <w:p w14:paraId="36682E0D" w14:textId="77777777" w:rsidR="00FE28B4" w:rsidRPr="00D96C20" w:rsidRDefault="00FE28B4" w:rsidP="00F10E39">
      <w:pPr>
        <w:numPr>
          <w:ilvl w:val="0"/>
          <w:numId w:val="34"/>
        </w:numPr>
        <w:spacing w:before="120" w:after="120"/>
        <w:jc w:val="both"/>
      </w:pPr>
      <w:r>
        <w:t xml:space="preserve">pateikite šios pranešimo formos priede pateikto vertinimo plano projekto santrauką;</w:t>
      </w:r>
    </w:p>
    <w:p w14:paraId="55BB6E08" w14:textId="77777777" w:rsidR="00FE28B4" w:rsidRPr="00D96C20" w:rsidRDefault="00FE28B4" w:rsidP="00FE28B4">
      <w:pPr>
        <w:spacing w:before="120" w:after="120"/>
        <w:ind w:left="1440"/>
        <w:jc w:val="both"/>
      </w:pPr>
      <w:r>
        <w:t xml:space="preserve">………………………………………………………………………………….</w:t>
      </w:r>
    </w:p>
    <w:p w14:paraId="1279036C" w14:textId="77777777" w:rsidR="00FE28B4" w:rsidRPr="00D96C20" w:rsidRDefault="00FE28B4" w:rsidP="00F10E39">
      <w:pPr>
        <w:numPr>
          <w:ilvl w:val="0"/>
          <w:numId w:val="34"/>
        </w:numPr>
        <w:spacing w:before="120" w:after="120"/>
        <w:jc w:val="both"/>
      </w:pPr>
      <w:r>
        <w:t xml:space="preserve">patvirtinkite, kad bus laikomasi PKAAE gairių 460 punkto;</w:t>
      </w:r>
    </w:p>
    <w:p w14:paraId="478509E5" w14:textId="77777777" w:rsidR="00FE28B4" w:rsidRPr="00D96C20" w:rsidRDefault="00FE28B4" w:rsidP="00FE28B4">
      <w:pPr>
        <w:spacing w:before="120" w:after="120"/>
        <w:ind w:left="1440"/>
        <w:jc w:val="both"/>
      </w:pPr>
      <w:r>
        <w:t xml:space="preserve">………………………………………………………………………………….</w:t>
      </w:r>
      <w:r>
        <w:t xml:space="preserve"> </w:t>
      </w:r>
    </w:p>
    <w:p w14:paraId="55D970DB" w14:textId="77777777" w:rsidR="00FE28B4" w:rsidRPr="00D96C20" w:rsidRDefault="00FE28B4" w:rsidP="00F10E39">
      <w:pPr>
        <w:numPr>
          <w:ilvl w:val="0"/>
          <w:numId w:val="34"/>
        </w:numPr>
        <w:spacing w:before="120" w:after="120"/>
        <w:jc w:val="both"/>
      </w:pPr>
      <w:r>
        <w:t xml:space="preserve">pateikite interneto nuorodą į vertinimo planą ir nurodykite, nuo kada jis bus skelbiamas viešai.</w:t>
      </w:r>
    </w:p>
    <w:p w14:paraId="11CB5329" w14:textId="77777777" w:rsidR="00FE28B4" w:rsidRPr="00D96C20" w:rsidRDefault="00FE28B4" w:rsidP="00FE28B4">
      <w:pPr>
        <w:spacing w:before="120" w:after="120"/>
        <w:ind w:left="1440"/>
        <w:jc w:val="both"/>
      </w:pPr>
      <w:r>
        <w:t xml:space="preserve">………………………………………………………………………………….</w:t>
      </w: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 xml:space="preserve">Kad būtų galima patikrinti, ar laikomasi PKAAE gairių 461 punkto:</w:t>
      </w:r>
    </w:p>
    <w:p w14:paraId="04054438" w14:textId="77777777" w:rsidR="00FE28B4" w:rsidRPr="00D96C20" w:rsidRDefault="00FE28B4" w:rsidP="00F10E39">
      <w:pPr>
        <w:numPr>
          <w:ilvl w:val="0"/>
          <w:numId w:val="35"/>
        </w:numPr>
        <w:spacing w:before="120" w:after="120"/>
        <w:jc w:val="both"/>
      </w:pPr>
      <w:r>
        <w:t xml:space="preserve">patikslinkite, ar nepriklausomas ekspertas jau atrinktas, ar bus atrinktas;</w:t>
      </w:r>
    </w:p>
    <w:p w14:paraId="5916D93B" w14:textId="77777777" w:rsidR="00FE28B4" w:rsidRPr="00D96C20" w:rsidRDefault="00FE28B4" w:rsidP="00FE28B4">
      <w:pPr>
        <w:spacing w:before="120" w:after="120"/>
        <w:ind w:left="1440"/>
        <w:jc w:val="both"/>
      </w:pPr>
      <w:r>
        <w:t xml:space="preserve">…………………………………………………………………………………..</w:t>
      </w:r>
    </w:p>
    <w:p w14:paraId="5C9891CF" w14:textId="77777777" w:rsidR="00FE28B4" w:rsidRPr="00D96C20" w:rsidRDefault="00FE28B4" w:rsidP="00F10E39">
      <w:pPr>
        <w:numPr>
          <w:ilvl w:val="0"/>
          <w:numId w:val="35"/>
        </w:numPr>
        <w:spacing w:before="120" w:after="120"/>
        <w:jc w:val="both"/>
      </w:pPr>
      <w:r>
        <w:t xml:space="preserve">pateikite informaciją apie eksperto atrankos procedūrą;</w:t>
      </w:r>
    </w:p>
    <w:p w14:paraId="641EA92F" w14:textId="77777777" w:rsidR="00FE28B4" w:rsidRPr="00D96C20" w:rsidRDefault="00FE28B4" w:rsidP="00FE28B4">
      <w:pPr>
        <w:spacing w:before="120" w:after="120"/>
        <w:ind w:left="1440"/>
        <w:jc w:val="both"/>
      </w:pPr>
      <w:r>
        <w:t xml:space="preserve">………………………………………………………………………………….</w:t>
      </w:r>
    </w:p>
    <w:p w14:paraId="074D5B00" w14:textId="77777777" w:rsidR="00FE28B4" w:rsidRPr="00D96C20" w:rsidRDefault="00FE28B4" w:rsidP="00F10E39">
      <w:pPr>
        <w:numPr>
          <w:ilvl w:val="0"/>
          <w:numId w:val="35"/>
        </w:numPr>
        <w:spacing w:before="120" w:after="120"/>
        <w:jc w:val="both"/>
      </w:pPr>
      <w:r>
        <w:t xml:space="preserve">pagrįskite, kodėl ekspertas nepriklauso nuo pagalbą teikiančios institucijos.</w:t>
      </w:r>
    </w:p>
    <w:p w14:paraId="3DA8CA32" w14:textId="77777777" w:rsidR="00FE28B4" w:rsidRPr="00D96C20" w:rsidRDefault="00FE28B4" w:rsidP="00FE28B4">
      <w:pPr>
        <w:spacing w:before="120" w:after="120"/>
        <w:ind w:left="1440"/>
        <w:jc w:val="both"/>
      </w:pPr>
      <w:r>
        <w:t xml:space="preserve">…………………………………………………………………………………..</w:t>
      </w: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Kad būtų galima patikrinti, ar laikomasi PKAAE gairių 461 punkto:</w:t>
      </w:r>
      <w:r>
        <w:t xml:space="preserve"> </w:t>
      </w:r>
    </w:p>
    <w:p w14:paraId="3043EB67" w14:textId="77777777" w:rsidR="00FE28B4" w:rsidRPr="00D96C20" w:rsidRDefault="00FE28B4" w:rsidP="00F10E39">
      <w:pPr>
        <w:numPr>
          <w:ilvl w:val="0"/>
          <w:numId w:val="36"/>
        </w:numPr>
        <w:spacing w:before="120" w:after="12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b/>
                <w:i/>
                <w:sz w:val="28"/>
                <w:szCs w:val="28"/>
                <w:rFonts w:eastAsia="Times New Roman"/>
              </w:rPr>
            </w:pPr>
            <w:r>
              <w:rPr>
                <w:b/>
                <w:i/>
                <w:sz w:val="28"/>
              </w:rPr>
              <w:t xml:space="preserve">Ataskaitų teikimas ir stebėsena</w:t>
            </w:r>
          </w:p>
        </w:tc>
      </w:tr>
    </w:tbl>
    <w:p w14:paraId="03FF5B05" w14:textId="77777777" w:rsidR="00FE28B4" w:rsidRPr="00D96C20" w:rsidRDefault="00FE28B4" w:rsidP="00FE28B4">
      <w:pPr>
        <w:tabs>
          <w:tab w:val="left" w:leader="dot" w:pos="9072"/>
        </w:tabs>
        <w:spacing w:before="120" w:after="120"/>
        <w:ind w:left="567"/>
        <w:jc w:val="both"/>
      </w:pPr>
      <w:r>
        <w:rPr>
          <w:i/>
        </w:rPr>
        <w:t xml:space="preserve">Kad pateiktumėte šiame skirsnyje prašomą informaciją, žr. PKAAE gairių 6 skirsnį (464–465 punktus).</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 xml:space="preserve">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r>
      <w:r>
        <w:t xml:space="preserve">OL C 80, 2022 2 18, p. 1.</w:t>
      </w:r>
    </w:p>
  </w:footnote>
  <w:footnote w:id="3">
    <w:p w14:paraId="6565D8D9" w14:textId="77777777" w:rsidR="005937D4" w:rsidRPr="0067348B" w:rsidRDefault="005937D4" w:rsidP="005937D4">
      <w:pPr>
        <w:pStyle w:val="FootnoteText"/>
      </w:pPr>
      <w:r>
        <w:rPr>
          <w:rStyle w:val="FootnoteReference"/>
        </w:rPr>
        <w:footnoteRef/>
      </w:r>
      <w:r>
        <w:tab/>
      </w:r>
      <w:r>
        <w:t xml:space="preserve">Atkreipkite dėmesį, kad pagalbos schemos taikymo trukmė – tai laikotarpis, per kurį galima prašyti pagalbos ir priimti sprendimą ją suteikti (taigi, įskaičiuojamas laikas, kurio nacionalinėms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p>
  </w:footnote>
  <w:footnote w:id="4">
    <w:p w14:paraId="2D55E73F" w14:textId="77777777" w:rsidR="007444CC" w:rsidRPr="0067348B" w:rsidRDefault="007444CC" w:rsidP="007444CC">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561DACBB" w14:textId="1FF2FC9F" w:rsidR="008D2777" w:rsidRDefault="008D2777">
      <w:pPr>
        <w:pStyle w:val="FootnoteText"/>
      </w:pPr>
    </w:p>
  </w:footnote>
  <w:footnote w:id="6">
    <w:p w14:paraId="4C19DBFC" w14:textId="4F9612F8" w:rsidR="008D2777" w:rsidRPr="00D37B1D" w:rsidRDefault="008D2777">
      <w:pPr>
        <w:pStyle w:val="FootnoteText"/>
        <w:rPr>
          <w:lang w:val="en-IE"/>
        </w:rPr>
      </w:pPr>
    </w:p>
  </w:footnote>
  <w:footnote w:id="7">
    <w:p w14:paraId="76D8E62B" w14:textId="77777777" w:rsidR="00D37B1D" w:rsidRDefault="008D2777" w:rsidP="00D37B1D">
      <w:pPr>
        <w:pStyle w:val="FootnoteText"/>
      </w:pPr>
      <w:r>
        <w:rPr>
          <w:rStyle w:val="FootnoteReference"/>
        </w:rPr>
        <w:footnoteRef/>
      </w:r>
      <w:r>
        <w:t xml:space="preserve"> </w:t>
      </w:r>
      <w:r>
        <w:tab/>
      </w:r>
      <w:r>
        <w:t xml:space="preserve">PKAAE gairių 31 punkte nustatyta, kad „</w:t>
      </w:r>
      <w:r>
        <w:rPr>
          <w:i/>
        </w:rPr>
        <w:t xml:space="preserve">[t]am tikrais išskirtiniais atvejais pagalba gali turėti skatinamąjį poveikį net tų projektų, kurie buvo pradėti įgyvendinti prieš pateikiant pagalbos paraišką, atveju.</w:t>
      </w:r>
    </w:p>
    <w:p w14:paraId="1524F4B1" w14:textId="7A02E55F" w:rsidR="008D2777" w:rsidRPr="00D24240" w:rsidRDefault="008D2777" w:rsidP="00D37B1D">
      <w:pPr>
        <w:pStyle w:val="FootnoteText"/>
        <w:rPr>
          <w:i/>
        </w:rPr>
      </w:pPr>
      <w:r>
        <w:rPr>
          <w:i/>
        </w:rPr>
        <w:t xml:space="preserve"> </w:t>
      </w:r>
      <w:r>
        <w:rPr>
          <w:i/>
        </w:rPr>
        <w:t xml:space="preserve">Visų pirma laikoma, kad pagalba turi skatinamąjį poveikį šiais atvejais:</w:t>
      </w:r>
    </w:p>
    <w:p w14:paraId="5730337E" w14:textId="7DC3746A" w:rsidR="008D2777" w:rsidRPr="00D24240" w:rsidRDefault="008D2777" w:rsidP="00F10E39">
      <w:pPr>
        <w:pStyle w:val="FootnoteText"/>
        <w:numPr>
          <w:ilvl w:val="0"/>
          <w:numId w:val="24"/>
        </w:numPr>
        <w:rPr>
          <w:i/>
        </w:rPr>
      </w:pPr>
      <w:r>
        <w:rPr>
          <w:i/>
        </w:rPr>
        <w:t xml:space="preserve">pagalba suteikiama automatiškai pagal objektyvius ir nediskriminacinius kriterijus toliau nepaliekant valstybei narei teisės spręsti savo nuožiūra, o priemonė priimta ir galioja prieš pradedant vykdyti su remiamu projektu ar veikla susijusius darbus, išskyrus fiskalinių teisių perėmimo schemų atveju, kai veiklai jau buvo taikomos ankstesnės schemos mokesčių lengvatų forma;</w:t>
      </w:r>
    </w:p>
    <w:p w14:paraId="126E383A" w14:textId="1F4A7ABF" w:rsidR="008D2777" w:rsidRPr="00D24240" w:rsidRDefault="008D2777" w:rsidP="00F10E39">
      <w:pPr>
        <w:pStyle w:val="FootnoteText"/>
        <w:numPr>
          <w:ilvl w:val="0"/>
          <w:numId w:val="24"/>
        </w:numPr>
        <w:rPr>
          <w:i/>
        </w:rPr>
      </w:pPr>
      <w:r>
        <w:rPr>
          <w:i/>
        </w:rPr>
        <w:t xml:space="preserve">nacionalinės valdžios institucijos iki darbų pradžios paskelbė pranešimą apie ketinimą priimti siūlomą pagalbos priemonę su sąlyga, kad Komisija patvirtins priemonę, kaip reikalaujama pagal Sutarties 108 straipsnio 3 dalį.</w:t>
      </w:r>
      <w:r>
        <w:rPr>
          <w:i/>
        </w:rPr>
        <w:t xml:space="preserve"> </w:t>
      </w:r>
      <w:r>
        <w:rPr>
          <w:i/>
        </w:rPr>
        <w:t xml:space="preserve">Šis pranešimas turi būti paskelbtas viešoje svetainėje arba kitoje viešai prieinamoje žiniasklaidos priemonėje, kuri yra palyginti plačiai ir lengvai prieinama, ir jame turi būti aiškiai nurodyta projektų, kuriuos valstybė narė siūlo pripažinti tinkamais finansuoti, rūšis ir momentas, nuo kurio valstybė narė ketina tokius projektus laikyti tinkamais finansuoti.</w:t>
      </w:r>
      <w:r>
        <w:rPr>
          <w:i/>
        </w:rPr>
        <w:t xml:space="preserve"> </w:t>
      </w:r>
      <w:r>
        <w:rPr>
          <w:i/>
        </w:rPr>
        <w:t xml:space="preserve">Siūlomas tinkamumas finansuoti negali būti nepagrįstai ribojamas.</w:t>
      </w:r>
      <w:r>
        <w:rPr>
          <w:i/>
        </w:rPr>
        <w:t xml:space="preserve"> </w:t>
      </w:r>
      <w:r>
        <w:rPr>
          <w:i/>
        </w:rPr>
        <w:t xml:space="preserve">Prieš pradėdamas darbus pagalbos gavėjas turėjo informuoti pagalbą teikiančią instituciją, kad investiciniai sprendimai buvo priimti su sąlyga, kad bus suteikta siūloma pagalbos priemonė.</w:t>
      </w:r>
      <w:r>
        <w:rPr>
          <w:i/>
        </w:rPr>
        <w:t xml:space="preserve"> </w:t>
      </w:r>
      <w:r>
        <w:rPr>
          <w:i/>
        </w:rPr>
        <w:t xml:space="preserve">Jei valstybė narė skatinamąjį poveikį įrodo remdamasi tokiu pranešimu, ji privalo kartu su pranešimu apie valstybės pagalbą pateikti to pranešimo kopiją ir nuorodą į svetainę, kurioje jis buvo paskelbtas, arba atitinkamą įrodymą, kad su juo buvo galima susipažinti viešai;</w:t>
      </w:r>
    </w:p>
    <w:p w14:paraId="64F711A8" w14:textId="54D3F761" w:rsidR="008D2777" w:rsidRDefault="008D2777" w:rsidP="00F10E39">
      <w:pPr>
        <w:pStyle w:val="FootnoteText"/>
        <w:numPr>
          <w:ilvl w:val="0"/>
          <w:numId w:val="24"/>
        </w:numPr>
      </w:pPr>
      <w:r>
        <w:rPr>
          <w:i/>
        </w:rPr>
        <w:t xml:space="preserve">veiklos pagalba teikiama esamiems aplinkai nekenksmingos gamybos įrenginiams ir „darbų pradžios“ nėra, nes nėra didelių naujų investicijų.</w:t>
      </w:r>
      <w:r>
        <w:rPr>
          <w:i/>
        </w:rPr>
        <w:t xml:space="preserve"> </w:t>
      </w:r>
      <w:r>
        <w:rPr>
          <w:i/>
        </w:rPr>
        <w:t xml:space="preserve">Tokiais atvejais skatinamąjį poveikį galima įrodyti, jei įrenginio eksploatavimas pakeičiamas į mažiau kenksmingą aplinkai, o ne kitą, pigesnį ir daugiau aplinkai kenksmingą eksploatavimo būdą.“</w:t>
      </w:r>
    </w:p>
  </w:footnote>
  <w:footnote w:id="8">
    <w:p w14:paraId="5276A1EB" w14:textId="77777777" w:rsidR="000C258D" w:rsidRDefault="000C258D" w:rsidP="000C258D">
      <w:pPr>
        <w:pStyle w:val="FootnoteText"/>
      </w:pPr>
      <w:r>
        <w:rPr>
          <w:rStyle w:val="FootnoteReference"/>
        </w:rPr>
        <w:footnoteRef/>
      </w:r>
      <w:r>
        <w:tab/>
      </w:r>
      <w:r>
        <w:t xml:space="preserve">Pagal PKAAE gairių 19 punkto 89 papunktį, Sąjungos standartas yra</w:t>
      </w:r>
    </w:p>
    <w:p w14:paraId="2C2E9687" w14:textId="77777777" w:rsidR="000C258D" w:rsidRPr="004B74BC" w:rsidRDefault="000C258D" w:rsidP="00F10E39">
      <w:pPr>
        <w:pStyle w:val="FootnoteText"/>
        <w:numPr>
          <w:ilvl w:val="0"/>
          <w:numId w:val="27"/>
        </w:numPr>
        <w:rPr>
          <w:i/>
        </w:rPr>
      </w:pPr>
      <w:r>
        <w:rPr>
          <w:i/>
        </w:rP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125190F0" w14:textId="64BC945A" w:rsidR="000C258D" w:rsidRDefault="000C258D" w:rsidP="00F10E39">
      <w:pPr>
        <w:pStyle w:val="FootnoteText"/>
        <w:numPr>
          <w:ilvl w:val="0"/>
          <w:numId w:val="27"/>
        </w:numPr>
      </w:pPr>
      <w:r>
        <w:rPr>
          <w:i/>
        </w:rPr>
        <w:t xml:space="preserve">įpareigojimas taikyti geriausius prieinamus gamybos būdus (GPGB), apibrėžtus Direktyvoje 2010/75/ES, ir užtikrinti, kad išmetamųjų teršalų kiekis neviršytų kiekio, kuris būtų pasiektas taikant GPGB;</w:t>
      </w:r>
      <w:r>
        <w:rPr>
          <w:i/>
        </w:rPr>
        <w:t xml:space="preserve"> </w:t>
      </w:r>
      <w:r>
        <w:rPr>
          <w:i/>
        </w:rPr>
        <w:t xml:space="preserve">jeigu su GPGB susiję išmetamųjų teršalų kiekiai nustatyti įgyvendinimo aktuose, priimtuose pagal Direktyvą 2010/75/ES ar pagal kitas taikytinas direktyvas, atsižvelgiant į šias gaires bus taikomi tie kiekiai;</w:t>
      </w:r>
      <w:r>
        <w:rPr>
          <w:i/>
        </w:rPr>
        <w:t xml:space="preserve"> </w:t>
      </w:r>
      <w:r>
        <w:rPr>
          <w:i/>
        </w:rPr>
        <w:t xml:space="preserve">jeigu tie kiekiai išreikšti intervalu, bus taikoma ta riba, nuo kurios laikoma, kad atitinkama įmonė taiko GPGB.</w:t>
      </w:r>
    </w:p>
  </w:footnote>
  <w:footnote w:id="9">
    <w:p w14:paraId="6589188F" w14:textId="70D9D8AA" w:rsidR="008D2777" w:rsidRDefault="008D2777">
      <w:pPr>
        <w:pStyle w:val="FootnoteText"/>
      </w:pPr>
      <w:r>
        <w:rPr>
          <w:rStyle w:val="FootnoteReference"/>
        </w:rPr>
        <w:footnoteRef/>
      </w:r>
      <w:r>
        <w:t xml:space="preserve"> </w:t>
      </w:r>
      <w:r>
        <w:tab/>
      </w:r>
      <w:r>
        <w:t xml:space="preserve">PKAAE gairių 51 punkte nustatyta, kad </w:t>
      </w:r>
      <w:r>
        <w:rPr>
          <w:i/>
        </w:rPr>
        <w:t xml:space="preserve">„</w:t>
      </w:r>
      <w:r>
        <w:rPr>
          <w:i/>
          <w:color w:val="000000"/>
          <w:shd w:val="clear" w:color="auto" w:fill="FFFFFF"/>
        </w:rPr>
        <w:t xml:space="preserve">[t]ipines grynąsias papildomas išlaidas galima apskaičiuoti kaip faktinio scenarijaus ir priešingos padėties scenarijaus GDV skirtumą per etaloninio projekto įgyvendinimo laikotarpį“</w:t>
      </w:r>
      <w:r>
        <w:rPr>
          <w:i/>
        </w:rPr>
        <w:t xml:space="preserve">.</w:t>
      </w:r>
    </w:p>
  </w:footnote>
  <w:footnote w:id="10">
    <w:p w14:paraId="02B0A4E3" w14:textId="5C6F97AB" w:rsidR="008D2777" w:rsidRDefault="008D2777">
      <w:pPr>
        <w:pStyle w:val="FootnoteText"/>
      </w:pPr>
      <w:r>
        <w:rPr>
          <w:rStyle w:val="FootnoteReference"/>
        </w:rPr>
        <w:footnoteRef/>
      </w:r>
      <w:r>
        <w:t xml:space="preserve"> </w:t>
      </w:r>
      <w:r>
        <w:tab/>
      </w:r>
      <w:r>
        <w:t xml:space="preserve">Atkreipkite dėmesį, kad pagal PKAAE gairių 45 išnašą </w:t>
      </w:r>
      <w:r>
        <w:rPr>
          <w:i/>
        </w:rPr>
        <w:t xml:space="preserve">„</w:t>
      </w:r>
      <w:r>
        <w:rPr>
          <w:i/>
          <w:color w:val="000000"/>
          <w:sz w:val="19"/>
          <w:shd w:val="clear" w:color="auto" w:fill="FFFFFF"/>
        </w:rPr>
        <w:t xml:space="preserve">[p]riešingos padėties scenarijus, pagal kurį siūloma, kad alternatyvus investicijų ir (arba) veiklos scenarijus būtų dabartinės aplinkos atžvilgiu netvarios veiklos tęsimas ilguoju laikotarpiu, nebus laikomas tikrovišku</w:t>
      </w:r>
      <w:r>
        <w:rPr>
          <w:i/>
        </w:rPr>
        <w:t xml:space="preserve">.</w:t>
      </w:r>
    </w:p>
  </w:footnote>
  <w:footnote w:id="11">
    <w:p w14:paraId="4E6E256B" w14:textId="4AB0B555" w:rsidR="008D2777" w:rsidRDefault="008D2777">
      <w:pPr>
        <w:pStyle w:val="FootnoteText"/>
      </w:pPr>
      <w:r>
        <w:rPr>
          <w:rStyle w:val="FootnoteReference"/>
        </w:rPr>
        <w:footnoteRef/>
      </w:r>
      <w:r>
        <w:t xml:space="preserve"> </w:t>
      </w:r>
      <w:r>
        <w:tab/>
      </w:r>
      <w:r>
        <w:t xml:space="preserve">Kaip nurodyta PKAAE gairių 46 išnašoje, atkreipkite dėmesį, kad „</w:t>
      </w:r>
      <w:r>
        <w:rPr>
          <w:i/>
          <w:iCs/>
        </w:rPr>
        <w:t xml:space="preserve">turi būti atsižvelgiama į visas numatomas susijusias išlaidas ir naudą per visą projekto vykdymo laikotarpį</w:t>
      </w:r>
      <w:r>
        <w:t xml:space="preserve">“.</w:t>
      </w:r>
    </w:p>
  </w:footnote>
  <w:footnote w:id="12">
    <w:p w14:paraId="086AD512" w14:textId="7087BE19" w:rsidR="008D2777" w:rsidRPr="009C7EC5" w:rsidRDefault="008D2777">
      <w:pPr>
        <w:pStyle w:val="FootnoteText"/>
      </w:pPr>
      <w:r>
        <w:rPr>
          <w:rStyle w:val="FootnoteReference"/>
        </w:rPr>
        <w:footnoteRef/>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13">
    <w:p w14:paraId="2B7A8351" w14:textId="77777777" w:rsidR="00FE28B4" w:rsidRDefault="00FE28B4" w:rsidP="00FE28B4">
      <w:pPr>
        <w:pStyle w:val="FootnoteText"/>
      </w:pPr>
      <w:r>
        <w:rPr>
          <w:rStyle w:val="FootnoteReference"/>
        </w:rPr>
        <w:footnoteRef/>
      </w:r>
      <w:r>
        <w:tab/>
      </w:r>
      <w:r>
        <w:t xml:space="preserve">Pranešimo apie vertinimo planą papildomos informacijos pateikimo formos (III.8 dalis) šablonas pateikiamas adresu</w:t>
      </w:r>
      <w:r>
        <w:t xml:space="preserve"> </w:t>
      </w:r>
      <w:hyperlink w:anchor="evaluation-plan" w:history="1">
        <w:r>
          <w:rPr>
            <w:rStyle w:val="Hyperlink"/>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lang w:val="lt-LT"/>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t-L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t-LT"/>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3794</Words>
  <Characters>19999</Characters>
  <Application>Microsoft Office Word</Application>
  <DocSecurity>4</DocSecurity>
  <Lines>444</Lines>
  <Paragraphs>165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COLUMB Damien (COMP)</cp:lastModifiedBy>
  <cp:revision>2</cp:revision>
  <cp:lastPrinted>2022-04-12T14:59:00Z</cp:lastPrinted>
  <dcterms:created xsi:type="dcterms:W3CDTF">2024-09-16T13:03:00Z</dcterms:created>
  <dcterms:modified xsi:type="dcterms:W3CDTF">2024-09-16T13:03:00Z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