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D96C20" w14:paraId="2D98EF73" w14:textId="77777777" w:rsidTr="00697188">
        <w:trPr>
          <w:trHeight w:val="1134"/>
        </w:trPr>
        <w:tc>
          <w:tcPr>
            <w:tcW w:w="9214" w:type="dxa"/>
            <w:shd w:val="pct15" w:color="auto" w:fill="auto"/>
          </w:tcPr>
          <w:p w14:paraId="7C4D597B" w14:textId="77777777" w:rsidR="00C076F2" w:rsidRPr="00D96C20" w:rsidRDefault="00FA1F8A" w:rsidP="007B485D">
            <w:pPr>
              <w:pStyle w:val="Heading2"/>
              <w:spacing w:before="240" w:after="240"/>
              <w:jc w:val="center"/>
              <w:rPr>
                <w:sz w:val="32"/>
                <w:szCs w:val="32"/>
              </w:rPr>
            </w:pPr>
            <w:bookmarkStart w:id="0" w:name="_Toc414370364"/>
            <w:bookmarkStart w:id="1" w:name="_Toc416949016"/>
            <w:r>
              <w:rPr>
                <w:sz w:val="32"/>
              </w:rPr>
              <w:t xml:space="preserve">Osa III.6  </w:t>
            </w:r>
          </w:p>
          <w:bookmarkEnd w:id="0"/>
          <w:bookmarkEnd w:id="1"/>
          <w:p w14:paraId="3E6EBB0B" w14:textId="77777777" w:rsidR="00C076F2" w:rsidRPr="00D96C20" w:rsidRDefault="00C076F2" w:rsidP="00C076F2">
            <w:pPr>
              <w:pStyle w:val="Heading2"/>
              <w:spacing w:before="240" w:after="240"/>
              <w:jc w:val="center"/>
              <w:rPr>
                <w:sz w:val="32"/>
                <w:szCs w:val="32"/>
              </w:rPr>
            </w:pPr>
            <w:r>
              <w:rPr>
                <w:sz w:val="32"/>
              </w:rPr>
              <w:t>Päivitetty* Lisätietolomake – Ilmastotoimiin, ympäristönsuojeluun ja energia-alalle myönnettävää valtiontukea koskevien vuoden 2022 suuntaviivojen mukaisesti myönnetty valtiontuki</w:t>
            </w:r>
            <w:bookmarkStart w:id="2" w:name="_Hlk152693571"/>
            <w:r>
              <w:rPr>
                <w:sz w:val="32"/>
                <w:szCs w:val="32"/>
                <w:vertAlign w:val="superscript"/>
              </w:rPr>
              <w:footnoteReference w:id="2"/>
            </w:r>
            <w:bookmarkEnd w:id="2"/>
            <w:r>
              <w:rPr>
                <w:sz w:val="32"/>
              </w:rPr>
              <w:t xml:space="preserve"> </w:t>
            </w:r>
          </w:p>
          <w:p w14:paraId="5E98E9F7" w14:textId="77777777" w:rsidR="002B52B3" w:rsidRPr="00D96C20" w:rsidRDefault="002B52B3" w:rsidP="00882B8A">
            <w:pPr>
              <w:jc w:val="center"/>
              <w:rPr>
                <w:sz w:val="32"/>
                <w:szCs w:val="32"/>
              </w:rPr>
            </w:pPr>
            <w:r>
              <w:rPr>
                <w:sz w:val="32"/>
              </w:rPr>
              <w:t>4.10 luku – Tuki kaukolämmitykseen ja -jäähdytykseen</w:t>
            </w:r>
          </w:p>
          <w:p w14:paraId="469DC4EF" w14:textId="2B54A3FD" w:rsidR="00C076F2" w:rsidRPr="00D96C20" w:rsidRDefault="00C076F2" w:rsidP="00C076F2">
            <w:r>
              <w:t>* Ei vielä virallisesti hyväksytty.</w:t>
            </w:r>
          </w:p>
        </w:tc>
      </w:tr>
    </w:tbl>
    <w:p w14:paraId="35C43324" w14:textId="77777777" w:rsidR="00C076F2" w:rsidRPr="00D96C20" w:rsidRDefault="00C076F2" w:rsidP="00C076F2">
      <w:pPr>
        <w:spacing w:before="120" w:after="120"/>
        <w:ind w:right="-142"/>
        <w:jc w:val="both"/>
        <w:rPr>
          <w:i/>
          <w:iCs/>
        </w:rPr>
      </w:pPr>
      <w:r>
        <w:rPr>
          <w:i/>
        </w:rPr>
        <w:t>Tätä lisätietolomaketta on käytettävä ilmoitettaessa tuesta, joka kuuluu ilmastotoimiin, ympäristönsuojeluun ja energia-alalle myönnettävää valtiontukea koskevien vuoden 2022 suuntaviivojen, jäljempänä ’suuntaviivat’, soveltamisalaan.</w:t>
      </w:r>
    </w:p>
    <w:p w14:paraId="5661C6FF" w14:textId="6900E16C" w:rsidR="00C076F2" w:rsidRPr="00D96C20" w:rsidRDefault="00C076F2" w:rsidP="009E2EA1">
      <w:pPr>
        <w:spacing w:before="120" w:after="120"/>
        <w:ind w:right="-142"/>
        <w:jc w:val="both"/>
        <w:rPr>
          <w:i/>
          <w:iCs/>
        </w:rPr>
      </w:pPr>
      <w:r>
        <w:rPr>
          <w:i/>
        </w:rPr>
        <w:t xml:space="preserve">Tämä lisätietolomake koskee suuntaviivojen 4.10 luvun piiriin kuuluvia toimenpiteitä. Jos ilmoitus koskee toimenpiteitä, jotka kuuluvat useamman kuin yhden suuntaviivojen luvun piiriin, täyttäkää kaikkia kyseeseen tulevia lukuja koskevat lisätietolomakkeet, kun ne tulevat saataville. </w:t>
      </w:r>
    </w:p>
    <w:p w14:paraId="140907B2" w14:textId="712B456C" w:rsidR="00C076F2" w:rsidRPr="00D96C20" w:rsidRDefault="00C076F2" w:rsidP="00C076F2">
      <w:pPr>
        <w:spacing w:before="120" w:after="120"/>
        <w:ind w:right="-142"/>
        <w:jc w:val="both"/>
        <w:rPr>
          <w:i/>
          <w:iCs/>
        </w:rPr>
      </w:pPr>
      <w:r>
        <w:rPr>
          <w:i/>
        </w:rPr>
        <w:t xml:space="preserve">Kaikki asiakirjat, jotka jäsenvaltiot esittävät tämän lisätietolomakkeen liitteinä, on numeroitava, ja asiakirjojen numerot on mainittava tämän lisätietolomakkeen asianomaisissa jaksoissa. </w:t>
      </w:r>
    </w:p>
    <w:p w14:paraId="73EB8CDA" w14:textId="77777777" w:rsidR="00193E48" w:rsidRPr="00D96C20"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D96C20" w14:paraId="2EC55755" w14:textId="77777777" w:rsidTr="00697188">
        <w:tc>
          <w:tcPr>
            <w:tcW w:w="9286" w:type="dxa"/>
            <w:shd w:val="pct15" w:color="auto" w:fill="auto"/>
          </w:tcPr>
          <w:p w14:paraId="3FE0D12C" w14:textId="2FC409D3" w:rsidR="000442F5" w:rsidRPr="00D96C20" w:rsidRDefault="00193E48" w:rsidP="007B7B48">
            <w:pPr>
              <w:spacing w:before="120" w:after="120"/>
              <w:jc w:val="center"/>
              <w:rPr>
                <w:b/>
                <w:iCs/>
                <w:sz w:val="32"/>
                <w:szCs w:val="32"/>
              </w:rPr>
            </w:pPr>
            <w:r>
              <w:br w:type="page"/>
            </w:r>
            <w:r>
              <w:br w:type="page"/>
            </w:r>
            <w:r>
              <w:rPr>
                <w:b/>
                <w:sz w:val="32"/>
              </w:rPr>
              <w:t>Jakso A: Yhteenveto ilmoitetun toimenpiteen tärkeimmistä ominaispiirteistä</w:t>
            </w:r>
          </w:p>
        </w:tc>
      </w:tr>
    </w:tbl>
    <w:p w14:paraId="58CA5BA7" w14:textId="77777777" w:rsidR="00564D5B" w:rsidRPr="00D96C20" w:rsidRDefault="00564D5B" w:rsidP="00564D5B">
      <w:pPr>
        <w:pStyle w:val="ListParagraph"/>
        <w:spacing w:before="120" w:after="120"/>
        <w:ind w:left="567"/>
        <w:contextualSpacing w:val="0"/>
        <w:jc w:val="both"/>
        <w:rPr>
          <w:b/>
        </w:rPr>
      </w:pPr>
    </w:p>
    <w:p w14:paraId="28B706E8" w14:textId="5AE686B3" w:rsidR="000442F5" w:rsidRPr="00D96C20" w:rsidRDefault="007302C9" w:rsidP="00C52CFD">
      <w:pPr>
        <w:pStyle w:val="ListParagraph"/>
        <w:numPr>
          <w:ilvl w:val="0"/>
          <w:numId w:val="4"/>
        </w:numPr>
        <w:spacing w:before="120" w:after="120"/>
        <w:ind w:left="567" w:hanging="567"/>
        <w:contextualSpacing w:val="0"/>
        <w:jc w:val="both"/>
        <w:rPr>
          <w:b/>
        </w:rPr>
      </w:pPr>
      <w:r>
        <w:rPr>
          <w:b/>
        </w:rPr>
        <w:t>Ilmoitetun toimenpiteen tausta ja tavoitteet</w:t>
      </w:r>
    </w:p>
    <w:p w14:paraId="4521A9FC" w14:textId="4B18252F" w:rsidR="00C076F2" w:rsidRPr="00D96C20" w:rsidRDefault="00C076F2" w:rsidP="000B3E97">
      <w:pPr>
        <w:pStyle w:val="ListParagraph"/>
        <w:numPr>
          <w:ilvl w:val="0"/>
          <w:numId w:val="37"/>
        </w:numPr>
        <w:spacing w:before="120" w:after="120"/>
        <w:ind w:left="993" w:hanging="284"/>
        <w:jc w:val="both"/>
      </w:pPr>
      <w:r>
        <w:t xml:space="preserve">Ilmoittakaa tausta ja päätavoite, mukaan lukien mahdolliset kasvihuonekaasupäästöjen vähentämistä ja poistamista koskevat unionin tavoitteet, joita toimenpiteellä on tarkoitus tukea, jos tätä ei ole jo käsitelty yleistietolomakkeen (osa I) kohdassa 5.2. </w:t>
      </w:r>
    </w:p>
    <w:p w14:paraId="58A3E6F8" w14:textId="311CFA0C" w:rsidR="005937D4" w:rsidRPr="00D96C20" w:rsidRDefault="005937D4" w:rsidP="005937D4">
      <w:pPr>
        <w:tabs>
          <w:tab w:val="left" w:leader="dot" w:pos="9072"/>
        </w:tabs>
        <w:spacing w:before="120" w:after="120"/>
        <w:ind w:left="360"/>
        <w:jc w:val="both"/>
      </w:pPr>
      <w:r>
        <w:t xml:space="preserve"> </w:t>
      </w:r>
      <w:r>
        <w:tab/>
      </w:r>
    </w:p>
    <w:p w14:paraId="37830F0D" w14:textId="77777777" w:rsidR="00C076F2" w:rsidRPr="00D96C20" w:rsidRDefault="00C076F2" w:rsidP="00C076F2">
      <w:pPr>
        <w:pStyle w:val="ListParagraph"/>
        <w:spacing w:before="120" w:after="120"/>
        <w:jc w:val="both"/>
      </w:pPr>
    </w:p>
    <w:p w14:paraId="0E9391CE" w14:textId="77777777" w:rsidR="00C076F2" w:rsidRPr="00D96C20" w:rsidRDefault="00C076F2" w:rsidP="000B3E97">
      <w:pPr>
        <w:pStyle w:val="ListParagraph"/>
        <w:spacing w:before="120" w:after="120"/>
        <w:ind w:left="993" w:hanging="284"/>
        <w:contextualSpacing w:val="0"/>
        <w:jc w:val="both"/>
      </w:pPr>
      <w:r>
        <w:t>ii.</w:t>
      </w:r>
      <w:r>
        <w:tab/>
        <w:t xml:space="preserve">Ilmoittakaa toimenpiteen mahdolliset muut tavoitteet. Jos tavoitteet eivät liity ainoastaan ympäristöön, selittäkää, voivatko ne johtaa sisämarkkinoiden vääristymiseen. </w:t>
      </w:r>
    </w:p>
    <w:p w14:paraId="3E653A30" w14:textId="3FB1786C" w:rsidR="005937D4" w:rsidRPr="00D96C20" w:rsidRDefault="005937D4" w:rsidP="005937D4">
      <w:pPr>
        <w:tabs>
          <w:tab w:val="left" w:leader="dot" w:pos="9072"/>
        </w:tabs>
        <w:spacing w:before="120" w:after="120"/>
        <w:ind w:left="360"/>
        <w:jc w:val="both"/>
      </w:pPr>
      <w:r>
        <w:t xml:space="preserve"> </w:t>
      </w:r>
      <w:r>
        <w:tab/>
      </w:r>
    </w:p>
    <w:p w14:paraId="189C473A" w14:textId="77777777" w:rsidR="005937D4" w:rsidRPr="00D96C20" w:rsidRDefault="005937D4" w:rsidP="00C076F2">
      <w:pPr>
        <w:pStyle w:val="ListParagraph"/>
        <w:spacing w:before="120" w:after="120"/>
        <w:contextualSpacing w:val="0"/>
        <w:jc w:val="both"/>
      </w:pPr>
    </w:p>
    <w:p w14:paraId="59CBFA17" w14:textId="78575AA1" w:rsidR="005A412F" w:rsidRPr="00D96C20" w:rsidRDefault="00D96C20" w:rsidP="00C076F2">
      <w:pPr>
        <w:pStyle w:val="ListParagraph"/>
        <w:numPr>
          <w:ilvl w:val="0"/>
          <w:numId w:val="4"/>
        </w:numPr>
        <w:spacing w:before="120" w:after="120"/>
        <w:ind w:left="567" w:hanging="567"/>
        <w:contextualSpacing w:val="0"/>
        <w:jc w:val="both"/>
        <w:rPr>
          <w:b/>
        </w:rPr>
      </w:pPr>
      <w:r>
        <w:rPr>
          <w:b/>
        </w:rPr>
        <w:t>Voimaantulo ja kesto</w:t>
      </w:r>
    </w:p>
    <w:p w14:paraId="3C55498B" w14:textId="77777777" w:rsidR="005937D4" w:rsidRPr="00D96C20" w:rsidRDefault="005937D4" w:rsidP="00F10E39">
      <w:pPr>
        <w:pStyle w:val="ListParagraph"/>
        <w:numPr>
          <w:ilvl w:val="0"/>
          <w:numId w:val="31"/>
        </w:numPr>
        <w:ind w:left="993" w:hanging="142"/>
        <w:jc w:val="both"/>
        <w:rPr>
          <w:szCs w:val="24"/>
        </w:rPr>
      </w:pPr>
      <w:r>
        <w:t>Ilmoittakaa päivämäärä, josta alkaen tukiohjelman on tarkoitus tulla voimaan, jos sitä ei ole jo ilmoitettu yleistietolomakkeen (osa I) kohdassa 5.5.</w:t>
      </w:r>
    </w:p>
    <w:p w14:paraId="2EF337FB" w14:textId="77777777" w:rsidR="005937D4" w:rsidRPr="00D96C20" w:rsidRDefault="005937D4" w:rsidP="005937D4">
      <w:pPr>
        <w:tabs>
          <w:tab w:val="left" w:leader="dot" w:pos="9072"/>
        </w:tabs>
        <w:spacing w:before="120" w:after="120"/>
        <w:ind w:left="567"/>
        <w:jc w:val="both"/>
      </w:pPr>
      <w:r>
        <w:tab/>
      </w:r>
    </w:p>
    <w:p w14:paraId="43B773E5" w14:textId="77777777" w:rsidR="005937D4" w:rsidRPr="00D96C20" w:rsidRDefault="005937D4" w:rsidP="00F10E39">
      <w:pPr>
        <w:pStyle w:val="ListParagraph"/>
        <w:numPr>
          <w:ilvl w:val="0"/>
          <w:numId w:val="31"/>
        </w:numPr>
        <w:ind w:left="993" w:hanging="142"/>
        <w:jc w:val="both"/>
        <w:rPr>
          <w:szCs w:val="24"/>
        </w:rPr>
      </w:pPr>
      <w:r>
        <w:t>Ilmoittakaa ohjelman kesto.</w:t>
      </w:r>
      <w:r>
        <w:rPr>
          <w:szCs w:val="24"/>
          <w:vertAlign w:val="superscript"/>
        </w:rPr>
        <w:footnoteReference w:id="3"/>
      </w:r>
    </w:p>
    <w:p w14:paraId="6FE5FE9E" w14:textId="77777777" w:rsidR="005937D4" w:rsidRPr="00D96C20" w:rsidRDefault="005937D4" w:rsidP="005937D4">
      <w:pPr>
        <w:tabs>
          <w:tab w:val="left" w:leader="dot" w:pos="9072"/>
        </w:tabs>
        <w:spacing w:before="120" w:after="120"/>
        <w:ind w:left="567"/>
        <w:jc w:val="both"/>
      </w:pPr>
      <w:r>
        <w:tab/>
      </w:r>
    </w:p>
    <w:p w14:paraId="5512E752" w14:textId="3773BE4C" w:rsidR="000442F5" w:rsidRPr="00D96C20" w:rsidRDefault="004D14A6" w:rsidP="00C52CFD">
      <w:pPr>
        <w:pStyle w:val="ListParagraph"/>
        <w:numPr>
          <w:ilvl w:val="0"/>
          <w:numId w:val="4"/>
        </w:numPr>
        <w:spacing w:before="120" w:after="120"/>
        <w:ind w:left="567" w:hanging="567"/>
        <w:contextualSpacing w:val="0"/>
        <w:jc w:val="both"/>
        <w:rPr>
          <w:rFonts w:cs="Arial Unicode MS"/>
          <w:b/>
          <w:bCs/>
        </w:rPr>
      </w:pPr>
      <w:r>
        <w:rPr>
          <w:b/>
        </w:rPr>
        <w:t>Tuensaaja(t)</w:t>
      </w:r>
      <w:r>
        <w:tab/>
      </w:r>
    </w:p>
    <w:p w14:paraId="222C106D" w14:textId="77777777" w:rsidR="007444CC" w:rsidRPr="00D96C20" w:rsidRDefault="007444CC" w:rsidP="00F10E39">
      <w:pPr>
        <w:pStyle w:val="ListParagraph"/>
        <w:numPr>
          <w:ilvl w:val="0"/>
          <w:numId w:val="20"/>
        </w:numPr>
        <w:ind w:left="1078" w:hanging="227"/>
        <w:jc w:val="both"/>
        <w:rPr>
          <w:szCs w:val="24"/>
        </w:rPr>
      </w:pPr>
      <w:r>
        <w:t>Kuvailkaa toimenpiteen (mahdolliset) tuensaajat, ellei niitä ole jo ilmoitettu yleistietolomakkeen (osa I) kohdassa 3.</w:t>
      </w:r>
    </w:p>
    <w:p w14:paraId="0F7EF374" w14:textId="77777777" w:rsidR="007444CC" w:rsidRPr="00D96C20" w:rsidRDefault="007444CC" w:rsidP="007444CC">
      <w:pPr>
        <w:tabs>
          <w:tab w:val="left" w:leader="dot" w:pos="9072"/>
        </w:tabs>
        <w:spacing w:before="120" w:after="120"/>
        <w:ind w:left="567"/>
        <w:jc w:val="both"/>
      </w:pPr>
      <w:r>
        <w:tab/>
      </w:r>
    </w:p>
    <w:p w14:paraId="144E520E" w14:textId="77777777" w:rsidR="007444CC" w:rsidRPr="00D96C20" w:rsidRDefault="007444CC" w:rsidP="00F10E39">
      <w:pPr>
        <w:pStyle w:val="ListParagraph"/>
        <w:numPr>
          <w:ilvl w:val="0"/>
          <w:numId w:val="20"/>
        </w:numPr>
        <w:ind w:left="1078" w:hanging="227"/>
        <w:jc w:val="both"/>
        <w:rPr>
          <w:szCs w:val="24"/>
        </w:rPr>
      </w:pPr>
      <w:r>
        <w:t>Ilmoittakaa (mahdollisten) tuensaajien sijainti (ts. voivatko toimenpiteeseen osallistua ainoastaan asianomaisissa jäsenvaltioissa vai myös muissa jäsenvaltioissa sijaitsevat taloudelliset yksiköt).</w:t>
      </w:r>
    </w:p>
    <w:p w14:paraId="1BAE9D4F" w14:textId="77777777" w:rsidR="007444CC" w:rsidRPr="00D96C20" w:rsidRDefault="007444CC" w:rsidP="007444CC">
      <w:pPr>
        <w:tabs>
          <w:tab w:val="left" w:leader="dot" w:pos="9072"/>
        </w:tabs>
        <w:spacing w:before="120" w:after="120"/>
        <w:ind w:left="567"/>
        <w:jc w:val="both"/>
      </w:pPr>
      <w:r>
        <w:tab/>
      </w:r>
    </w:p>
    <w:p w14:paraId="14D59859" w14:textId="77777777" w:rsidR="007444CC" w:rsidRPr="00D96C20" w:rsidRDefault="007444CC" w:rsidP="00F10E39">
      <w:pPr>
        <w:pStyle w:val="ListParagraph"/>
        <w:numPr>
          <w:ilvl w:val="0"/>
          <w:numId w:val="20"/>
        </w:numPr>
        <w:ind w:left="1078" w:hanging="227"/>
        <w:jc w:val="both"/>
        <w:rPr>
          <w:szCs w:val="24"/>
        </w:rPr>
      </w:pPr>
      <w:r>
        <w:t xml:space="preserve">Täsmentäkää suuntaviivojen 15 kappaleen noudattamisen arvioimiseksi, myönnetäänkö toimenpiteestä (yksittäistä tai ohjelman osana) tukea yritykselle, jolle on annettu aiempaan komission päätökseen perustuva perintämääräys tuen sääntöjenvastaisuuden ja sisämarkkinoille soveltumattomuuden </w:t>
      </w:r>
      <w:proofErr w:type="gramStart"/>
      <w:r>
        <w:t>takia</w:t>
      </w:r>
      <w:proofErr w:type="gramEnd"/>
      <w:r>
        <w:t xml:space="preserve"> mutta perintämääräys on vielä maksamatta. </w:t>
      </w:r>
    </w:p>
    <w:p w14:paraId="61424E18" w14:textId="77777777" w:rsidR="007444CC" w:rsidRPr="00D96C20" w:rsidRDefault="007444CC" w:rsidP="007444CC">
      <w:pPr>
        <w:pStyle w:val="ListParagraph"/>
        <w:rPr>
          <w:szCs w:val="24"/>
        </w:rPr>
      </w:pPr>
    </w:p>
    <w:p w14:paraId="47BADEA9" w14:textId="77777777" w:rsidR="007444CC" w:rsidRPr="00D96C20" w:rsidRDefault="007444CC" w:rsidP="007444CC">
      <w:pPr>
        <w:pStyle w:val="ListParagraph"/>
        <w:ind w:left="1077"/>
        <w:jc w:val="both"/>
        <w:rPr>
          <w:szCs w:val="24"/>
        </w:rPr>
      </w:pPr>
      <w:r>
        <w:t xml:space="preserve">Jos kyllä, antakaa tiedot vielä perimättä olevan tuen määrästä, jotta komissio voi ottaa sen huomioon arvioidessaan tukitoimenpidettä. </w:t>
      </w:r>
    </w:p>
    <w:p w14:paraId="66FCE178" w14:textId="77777777" w:rsidR="007444CC" w:rsidRPr="00D96C20" w:rsidRDefault="007444CC" w:rsidP="007444CC">
      <w:pPr>
        <w:tabs>
          <w:tab w:val="left" w:leader="dot" w:pos="9072"/>
        </w:tabs>
        <w:spacing w:before="120" w:after="120"/>
        <w:ind w:left="567"/>
        <w:jc w:val="both"/>
      </w:pPr>
      <w:r>
        <w:tab/>
      </w:r>
    </w:p>
    <w:p w14:paraId="0E629DE6" w14:textId="77777777" w:rsidR="007444CC" w:rsidRPr="00D96C20" w:rsidRDefault="007444CC" w:rsidP="00F10E39">
      <w:pPr>
        <w:pStyle w:val="ListParagraph"/>
        <w:numPr>
          <w:ilvl w:val="0"/>
          <w:numId w:val="20"/>
        </w:numPr>
        <w:ind w:left="1078" w:hanging="227"/>
        <w:jc w:val="both"/>
        <w:rPr>
          <w:szCs w:val="24"/>
        </w:rPr>
      </w:pPr>
      <w:r>
        <w:t>Vahvistakaa, että toimenpiteeseen ei sisälly tukea toimintoihin, jotka eivät kuulu suuntaviivojen soveltamisalaan (ks. suuntaviivojen 13 kappale). Muussa tapauksessa antakaa lisätietoa.</w:t>
      </w:r>
    </w:p>
    <w:p w14:paraId="78504A35" w14:textId="77777777" w:rsidR="007444CC" w:rsidRPr="00D96C20" w:rsidRDefault="007444CC" w:rsidP="007444CC">
      <w:pPr>
        <w:tabs>
          <w:tab w:val="left" w:leader="dot" w:pos="9072"/>
        </w:tabs>
        <w:spacing w:before="120" w:after="120"/>
        <w:ind w:left="567"/>
        <w:jc w:val="both"/>
      </w:pPr>
      <w:r>
        <w:tab/>
      </w:r>
    </w:p>
    <w:p w14:paraId="342676FE" w14:textId="40D0E59A" w:rsidR="00C11603" w:rsidRPr="00D96C20" w:rsidRDefault="00C11603" w:rsidP="00C52CFD">
      <w:pPr>
        <w:pStyle w:val="ListParagraph"/>
        <w:numPr>
          <w:ilvl w:val="0"/>
          <w:numId w:val="4"/>
        </w:numPr>
        <w:spacing w:before="120" w:after="120"/>
        <w:ind w:left="567" w:hanging="567"/>
        <w:contextualSpacing w:val="0"/>
        <w:jc w:val="both"/>
        <w:rPr>
          <w:rFonts w:cs="Arial Unicode MS"/>
          <w:bCs/>
        </w:rPr>
      </w:pPr>
      <w:r>
        <w:rPr>
          <w:b/>
        </w:rPr>
        <w:t>Toimenpiteen budjetti ja rahoitus</w:t>
      </w:r>
    </w:p>
    <w:p w14:paraId="3B40DA20" w14:textId="77777777" w:rsidR="007444CC" w:rsidRPr="00D96C20" w:rsidRDefault="007444CC" w:rsidP="00F10E39">
      <w:pPr>
        <w:pStyle w:val="ListParagraph"/>
        <w:numPr>
          <w:ilvl w:val="0"/>
          <w:numId w:val="21"/>
        </w:numPr>
        <w:spacing w:before="120" w:after="120"/>
        <w:ind w:left="993" w:hanging="284"/>
        <w:contextualSpacing w:val="0"/>
        <w:jc w:val="both"/>
        <w:rPr>
          <w:rFonts w:cs="Arial Unicode MS"/>
          <w:bCs/>
        </w:rPr>
      </w:pPr>
      <w:r>
        <w:t>Ilmoittakaa vuotuinen budjetti ja/tai kokonaisbudjetti toimenpiteen koko keston ajalta, jos sitä ei ole jo mainittu yleistietolomakkeen (osa I) kohdassa 7.1 olevassa taulukossa. Jos kokonaisbudjetti ei ole tiedossa (esimerkiksi siksi, että se riippuu tarjouskilpailujen tuloksista), ilmoittakaa alustava budjetti, mukaan lukien sen laskennassa käytetyt oletukset.</w:t>
      </w:r>
      <w:r>
        <w:rPr>
          <w:szCs w:val="24"/>
          <w:vertAlign w:val="superscript"/>
        </w:rPr>
        <w:footnoteReference w:id="4"/>
      </w:r>
    </w:p>
    <w:p w14:paraId="41FCE15B" w14:textId="77777777" w:rsidR="007444CC" w:rsidRPr="00D96C20" w:rsidRDefault="007444CC" w:rsidP="007444CC">
      <w:pPr>
        <w:tabs>
          <w:tab w:val="left" w:leader="dot" w:pos="9072"/>
        </w:tabs>
        <w:spacing w:before="120" w:after="120"/>
        <w:ind w:left="567"/>
        <w:jc w:val="both"/>
      </w:pPr>
      <w:r>
        <w:tab/>
      </w:r>
    </w:p>
    <w:p w14:paraId="1D5E30D5" w14:textId="77777777" w:rsidR="007444CC" w:rsidRPr="00D96C20" w:rsidRDefault="007444CC" w:rsidP="00F10E39">
      <w:pPr>
        <w:pStyle w:val="ListParagraph"/>
        <w:numPr>
          <w:ilvl w:val="0"/>
          <w:numId w:val="21"/>
        </w:numPr>
        <w:spacing w:before="120" w:after="120"/>
        <w:ind w:left="993" w:hanging="284"/>
        <w:contextualSpacing w:val="0"/>
        <w:jc w:val="both"/>
        <w:rPr>
          <w:rFonts w:cs="Arial Unicode MS"/>
          <w:bCs/>
        </w:rPr>
      </w:pPr>
      <w:bookmarkStart w:id="3" w:name="_Ref116914400"/>
      <w:r>
        <w:t>Jos toimenpiteen rahoittamiseksi peritään maksuja, täsmentäkää,</w:t>
      </w:r>
      <w:bookmarkEnd w:id="3"/>
    </w:p>
    <w:p w14:paraId="41842DE0"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säädetäänkö maksusta laissa tai muussa säädöksessä; jos kyllä, ilmoittakaa säädöksen nimi, numero, antamis- ja voimaantulopäivä sekä linkki säädökseen;</w:t>
      </w:r>
    </w:p>
    <w:p w14:paraId="06E0C3B1" w14:textId="77777777" w:rsidR="007444CC" w:rsidRPr="00D96C20" w:rsidRDefault="007444CC" w:rsidP="007444CC">
      <w:pPr>
        <w:tabs>
          <w:tab w:val="left" w:leader="dot" w:pos="9072"/>
        </w:tabs>
        <w:spacing w:before="120" w:after="120"/>
        <w:ind w:left="927"/>
        <w:jc w:val="both"/>
      </w:pPr>
      <w:r>
        <w:tab/>
      </w:r>
    </w:p>
    <w:p w14:paraId="77C0248E"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kohdistuuko maksu yhtäläisesti kotimaisiin tuotteisiin ja tuontituotteisiin;</w:t>
      </w:r>
    </w:p>
    <w:p w14:paraId="214751D3" w14:textId="77777777" w:rsidR="007444CC" w:rsidRPr="00D96C20" w:rsidRDefault="007444CC" w:rsidP="007444CC">
      <w:pPr>
        <w:tabs>
          <w:tab w:val="left" w:leader="dot" w:pos="9072"/>
        </w:tabs>
        <w:spacing w:before="120" w:after="120"/>
        <w:ind w:left="927"/>
        <w:jc w:val="both"/>
      </w:pPr>
      <w:r>
        <w:tab/>
      </w:r>
    </w:p>
    <w:p w14:paraId="481AD768" w14:textId="3E0745D5" w:rsidR="007444CC" w:rsidRPr="00D96C20" w:rsidRDefault="007444CC" w:rsidP="00F10E39">
      <w:pPr>
        <w:pStyle w:val="ListParagraph"/>
        <w:numPr>
          <w:ilvl w:val="1"/>
          <w:numId w:val="21"/>
        </w:numPr>
        <w:spacing w:before="120" w:after="120"/>
        <w:contextualSpacing w:val="0"/>
        <w:jc w:val="both"/>
        <w:rPr>
          <w:rFonts w:cs="Arial Unicode MS"/>
          <w:bCs/>
        </w:rPr>
      </w:pPr>
      <w:r>
        <w:t>hyödyttääkö ilmoitettu toimenpide yhtä lailla kotimaisia tuottajia ja tuontituotteiden tuottajia;</w:t>
      </w:r>
    </w:p>
    <w:p w14:paraId="48C67CC2" w14:textId="77777777" w:rsidR="007444CC" w:rsidRPr="00D96C20" w:rsidRDefault="007444CC" w:rsidP="007444CC">
      <w:pPr>
        <w:tabs>
          <w:tab w:val="left" w:leader="dot" w:pos="9072"/>
        </w:tabs>
        <w:spacing w:before="120" w:after="120"/>
        <w:ind w:left="927"/>
        <w:jc w:val="both"/>
      </w:pPr>
      <w:r>
        <w:tab/>
      </w:r>
    </w:p>
    <w:p w14:paraId="01ACFF5D"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rahoitetaanko toimenpide maksuilla kokonaan vai vain osittain. Jos toimenpide rahoitetaan maksuilla vain osittain, ilmoittakaa toimenpiteen muut rahoituslähteet ja niiden osuudet;</w:t>
      </w:r>
    </w:p>
    <w:p w14:paraId="64CD40F0" w14:textId="77777777" w:rsidR="007444CC" w:rsidRPr="00D96C20" w:rsidRDefault="007444CC" w:rsidP="007444CC">
      <w:pPr>
        <w:tabs>
          <w:tab w:val="left" w:leader="dot" w:pos="9072"/>
        </w:tabs>
        <w:spacing w:before="120" w:after="120"/>
        <w:ind w:left="927"/>
        <w:jc w:val="both"/>
      </w:pPr>
      <w:r>
        <w:tab/>
      </w:r>
    </w:p>
    <w:p w14:paraId="31413333"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rahoitetaanko ilmoitetun toimenpiteen rahoittamiseksi perittävillä maksuilla myös muita tukitoimenpiteitä. Jos kyllä, luetelkaa tässä muut kyseisillä maksuilla rahoitettavat tukitoimenpiteet.</w:t>
      </w:r>
    </w:p>
    <w:p w14:paraId="0C74DE83" w14:textId="2CAAC795" w:rsidR="00BA5751" w:rsidRPr="00D96C20" w:rsidRDefault="007444CC" w:rsidP="00BA5751">
      <w:pPr>
        <w:tabs>
          <w:tab w:val="left" w:leader="dot" w:pos="9072"/>
        </w:tabs>
        <w:spacing w:before="120" w:after="120"/>
        <w:ind w:left="567"/>
        <w:jc w:val="both"/>
      </w:pPr>
      <w:r>
        <w:t xml:space="preserve"> </w:t>
      </w:r>
      <w:bookmarkStart w:id="4" w:name="_Hlk163737291"/>
      <w:r>
        <w:tab/>
      </w:r>
      <w:bookmarkEnd w:id="4"/>
      <w:r>
        <w:tab/>
      </w:r>
    </w:p>
    <w:p w14:paraId="65388348" w14:textId="77777777" w:rsidR="00BA5751" w:rsidRPr="00D96C20" w:rsidRDefault="00BA5751" w:rsidP="00BA5751">
      <w:pPr>
        <w:pStyle w:val="ListParagraph"/>
        <w:spacing w:before="120" w:after="120"/>
        <w:ind w:left="993"/>
        <w:contextualSpacing w:val="0"/>
        <w:jc w:val="both"/>
      </w:pPr>
    </w:p>
    <w:p w14:paraId="42A291CB" w14:textId="77777777" w:rsidR="009916D5" w:rsidRPr="00D96C20"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D96C20" w14:paraId="23C2E9FC" w14:textId="77777777" w:rsidTr="00697188">
        <w:tc>
          <w:tcPr>
            <w:tcW w:w="9286" w:type="dxa"/>
            <w:shd w:val="pct15" w:color="auto" w:fill="auto"/>
          </w:tcPr>
          <w:p w14:paraId="1E14EC88" w14:textId="71541B27" w:rsidR="000442F5" w:rsidRPr="00D96C20" w:rsidRDefault="000442F5" w:rsidP="00DE2433">
            <w:pPr>
              <w:spacing w:before="120" w:after="120"/>
              <w:jc w:val="center"/>
              <w:rPr>
                <w:b/>
                <w:sz w:val="32"/>
                <w:szCs w:val="32"/>
              </w:rPr>
            </w:pPr>
            <w:r>
              <w:rPr>
                <w:b/>
                <w:sz w:val="32"/>
              </w:rPr>
              <w:t>Jakso B: Tuen sisämarkkinoille soveltuvuuden arviointi</w:t>
            </w:r>
          </w:p>
        </w:tc>
      </w:tr>
    </w:tbl>
    <w:p w14:paraId="07973474" w14:textId="77777777" w:rsidR="000442F5" w:rsidRPr="00D96C20"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D96C20" w14:paraId="4F4ED3F1" w14:textId="77777777" w:rsidTr="00697188">
        <w:tc>
          <w:tcPr>
            <w:tcW w:w="9322" w:type="dxa"/>
            <w:shd w:val="pct15" w:color="auto" w:fill="auto"/>
          </w:tcPr>
          <w:p w14:paraId="4EC3F9B1" w14:textId="4AFDC259" w:rsidR="000442F5" w:rsidRPr="00D96C20" w:rsidRDefault="007D1E08" w:rsidP="00F10E39">
            <w:pPr>
              <w:pStyle w:val="Heading1"/>
              <w:numPr>
                <w:ilvl w:val="0"/>
                <w:numId w:val="22"/>
              </w:numPr>
              <w:rPr>
                <w:i/>
                <w:sz w:val="28"/>
                <w:szCs w:val="28"/>
              </w:rPr>
            </w:pPr>
            <w:r>
              <w:rPr>
                <w:i/>
                <w:sz w:val="28"/>
              </w:rPr>
              <w:t>Positiivinen edellytys: tuen on edistettävä tietyn taloudellisen toiminnan kehitystä</w:t>
            </w:r>
          </w:p>
        </w:tc>
      </w:tr>
    </w:tbl>
    <w:p w14:paraId="51388EE2" w14:textId="77777777" w:rsidR="004B5C2A" w:rsidRPr="00D96C20"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D96C20" w14:paraId="6414F6C3" w14:textId="77777777" w:rsidTr="00305DC0">
        <w:tc>
          <w:tcPr>
            <w:tcW w:w="9322" w:type="dxa"/>
            <w:shd w:val="pct15" w:color="auto" w:fill="auto"/>
          </w:tcPr>
          <w:p w14:paraId="01CE580F" w14:textId="11F5C724" w:rsidR="004B5C2A" w:rsidRPr="00D96C20" w:rsidRDefault="007D1E08" w:rsidP="00F10E39">
            <w:pPr>
              <w:pStyle w:val="Heading1"/>
              <w:numPr>
                <w:ilvl w:val="1"/>
                <w:numId w:val="22"/>
              </w:numPr>
              <w:rPr>
                <w:sz w:val="24"/>
                <w:szCs w:val="24"/>
              </w:rPr>
            </w:pPr>
            <w:r>
              <w:rPr>
                <w:sz w:val="24"/>
              </w:rPr>
              <w:t>Tietyn taloudellisen toiminnan kehityksen edistäminen</w:t>
            </w:r>
          </w:p>
        </w:tc>
      </w:tr>
    </w:tbl>
    <w:p w14:paraId="1E2599D2" w14:textId="6708984F" w:rsidR="000442F5" w:rsidRPr="00D96C20" w:rsidRDefault="000442F5" w:rsidP="000442F5">
      <w:pPr>
        <w:spacing w:before="360" w:after="120"/>
        <w:jc w:val="both"/>
        <w:rPr>
          <w:i/>
        </w:rPr>
      </w:pPr>
      <w:r>
        <w:rPr>
          <w:i/>
        </w:rPr>
        <w:t xml:space="preserve">Tämän jakson tietoja varten ks. suuntaviivojen 3.1.1 kohta (23–25 kappale) sekä 4.10.1 ja 4.10.2 kohta (383–390 kappale). </w:t>
      </w:r>
    </w:p>
    <w:p w14:paraId="05FCD0A3" w14:textId="252DA6A7" w:rsidR="00864DCD" w:rsidRPr="00D96C20" w:rsidRDefault="006B6657" w:rsidP="00C52CFD">
      <w:pPr>
        <w:pStyle w:val="ListParagraph"/>
        <w:numPr>
          <w:ilvl w:val="0"/>
          <w:numId w:val="4"/>
        </w:numPr>
        <w:spacing w:before="120" w:after="120"/>
        <w:ind w:left="567" w:hanging="567"/>
        <w:contextualSpacing w:val="0"/>
        <w:jc w:val="both"/>
      </w:pPr>
      <w:bookmarkStart w:id="5" w:name="_Hlk170735690"/>
      <w:r>
        <w:t>Euroopan unionin toiminnasta tehdyn sopimuksen (SEUT)</w:t>
      </w:r>
      <w:bookmarkEnd w:id="5"/>
      <w:r>
        <w:t xml:space="preserve"> 107 artiklan 3 kohdan c alakohdan mukaan komissio voi pitää sisämarkkinoille soveltuvana ”tukea tietyn taloudellisen toiminnan tai talousalueen kehityksen edistämiseen, jos tuki ei muuta kaupankäynnin edellytyksiä yhteisen edun kanssa ristiriitaisella tavalla”. Sen vuoksi kyseisen SEUT-sopimuksen määräyksen mukaisen tuen on edistettävä tietyn taloudellisen toiminnan kehitystä. </w:t>
      </w:r>
    </w:p>
    <w:p w14:paraId="32559872" w14:textId="77777777" w:rsidR="007444CC" w:rsidRPr="00D96C20" w:rsidRDefault="007444CC" w:rsidP="000442F5">
      <w:pPr>
        <w:tabs>
          <w:tab w:val="left" w:leader="dot" w:pos="9072"/>
        </w:tabs>
        <w:spacing w:before="120" w:after="120"/>
        <w:ind w:left="567"/>
        <w:jc w:val="both"/>
      </w:pPr>
      <w:r>
        <w:t>Yksilöikää suuntaviivojen 23 kappaleen noudattamisen arvioimiseksi taloudellinen toiminta, jota tuella edistetään, ja se, miten kyseistä toimintaa tuetaan.</w:t>
      </w:r>
    </w:p>
    <w:p w14:paraId="43E4572F" w14:textId="60BC4951" w:rsidR="000442F5" w:rsidRPr="00D96C20" w:rsidRDefault="000442F5" w:rsidP="000442F5">
      <w:pPr>
        <w:tabs>
          <w:tab w:val="left" w:leader="dot" w:pos="9072"/>
        </w:tabs>
        <w:spacing w:before="120" w:after="120"/>
        <w:ind w:left="567"/>
        <w:jc w:val="both"/>
      </w:pPr>
      <w:r>
        <w:tab/>
      </w:r>
    </w:p>
    <w:p w14:paraId="587D72F7" w14:textId="77777777" w:rsidR="007444CC" w:rsidRPr="00D96C20" w:rsidRDefault="007444CC" w:rsidP="007444CC">
      <w:pPr>
        <w:pStyle w:val="ListParagraph"/>
        <w:numPr>
          <w:ilvl w:val="0"/>
          <w:numId w:val="4"/>
        </w:numPr>
        <w:spacing w:before="120" w:after="120"/>
        <w:ind w:left="567" w:hanging="567"/>
        <w:contextualSpacing w:val="0"/>
        <w:jc w:val="both"/>
      </w:pPr>
      <w:r>
        <w:t>Kuvatkaa suuntaviivojen 25 kappaleen noudattamisen arvioimiseksi ”</w:t>
      </w:r>
      <w:r>
        <w:rPr>
          <w:i/>
        </w:rPr>
        <w:t>mahdollinen unionin ilmasto-, ympäristö- ja energiapolitiikan tavoitteiden saavuttamista edistävä vaikutus ja erityisesti tuen odotetut hyödyt, jotka liittyvät sen olennaiseen vaikutukseen ympäristönsuojeluun, mukaan lukien ilmastonmuutoksen hillitseminen, tai energian sisämarkkinoiden tehokkaaseen toimintaan</w:t>
      </w:r>
      <w:r>
        <w:t>”.</w:t>
      </w:r>
    </w:p>
    <w:p w14:paraId="15364FEC" w14:textId="76494F69" w:rsidR="008102F0" w:rsidRPr="00D96C20" w:rsidRDefault="004152C3" w:rsidP="008102F0">
      <w:pPr>
        <w:tabs>
          <w:tab w:val="left" w:leader="dot" w:pos="9072"/>
        </w:tabs>
        <w:spacing w:before="120" w:after="120"/>
        <w:ind w:left="567"/>
        <w:jc w:val="both"/>
      </w:pPr>
      <w:r>
        <w:tab/>
      </w:r>
    </w:p>
    <w:p w14:paraId="3787D9AC" w14:textId="42A9F510" w:rsidR="009C1CC6" w:rsidRPr="00D96C20" w:rsidRDefault="00C865BD" w:rsidP="00C865BD">
      <w:pPr>
        <w:pStyle w:val="ListParagraph"/>
        <w:numPr>
          <w:ilvl w:val="0"/>
          <w:numId w:val="4"/>
        </w:numPr>
        <w:spacing w:before="120" w:after="120"/>
        <w:ind w:left="567" w:hanging="567"/>
        <w:contextualSpacing w:val="0"/>
        <w:jc w:val="both"/>
      </w:pPr>
      <w:r>
        <w:t>Lisäksi täsmentäkää, missä määrin tuki liittyy suuntaviivojen 383 ja 384 kappaleessa kuvattuihin toimintapolitiikkoihin. Täsmentäkää samalla, edistetäänkö hankkeella direktiivin 2018/2001/EU 2 artiklan 1 alakohdan mukaisen uusiutuvan energian käyttöä. Vahvistakaa erityisesti, kehitetäänkö toimenpiteellä direktiivin 2023/1791/EU 26 artiklan mukaisia tehokkaita kaukolämmitys- ja jäähdytysjärjestelmiä kannustaen uusiutuvan energian käyttöön lämmityksessä ja jäähdytyksessä.</w:t>
      </w:r>
    </w:p>
    <w:p w14:paraId="34E4C47D" w14:textId="5E110BB5" w:rsidR="00B91BE0" w:rsidRPr="00D96C20" w:rsidRDefault="00B91BE0" w:rsidP="00B91BE0">
      <w:pPr>
        <w:tabs>
          <w:tab w:val="left" w:leader="dot" w:pos="9072"/>
        </w:tabs>
        <w:spacing w:before="120" w:after="120"/>
        <w:ind w:left="567"/>
        <w:jc w:val="both"/>
      </w:pPr>
      <w:r>
        <w:tab/>
      </w:r>
    </w:p>
    <w:p w14:paraId="0263C9F6" w14:textId="30E43372" w:rsidR="008D2777" w:rsidRPr="00D96C20" w:rsidRDefault="009C1CC6" w:rsidP="00C865BD">
      <w:pPr>
        <w:pStyle w:val="ListParagraph"/>
        <w:numPr>
          <w:ilvl w:val="0"/>
          <w:numId w:val="4"/>
        </w:numPr>
        <w:spacing w:before="120" w:after="120"/>
        <w:ind w:left="567" w:hanging="567"/>
        <w:contextualSpacing w:val="0"/>
        <w:jc w:val="both"/>
      </w:pPr>
      <w:r>
        <w:t xml:space="preserve">Suuntaviivojen 385 ja 386 kappaleen mukaan kaukolämmön jakeluverkkoihin rajoittuvan tuen voidaan tietyissä olosuhteissa katsoa jäävän valtiontuen valvonnan ulkopuolelle. </w:t>
      </w:r>
    </w:p>
    <w:p w14:paraId="4F669D19" w14:textId="14DDB074" w:rsidR="008D2777" w:rsidRPr="00D96C20" w:rsidRDefault="00E9552A" w:rsidP="00A2265A">
      <w:pPr>
        <w:pStyle w:val="ListParagraph"/>
        <w:numPr>
          <w:ilvl w:val="1"/>
          <w:numId w:val="4"/>
        </w:numPr>
        <w:spacing w:before="120" w:after="120"/>
        <w:contextualSpacing w:val="0"/>
        <w:jc w:val="both"/>
      </w:pPr>
      <w:r>
        <w:t>Tuetaanko toimenpiteellä kaukolämmön jakeluverkkoja, jotka ovat kolmansien osapuolten käytettävissä, joissa lämmityksen/jäähdytyksen tuotanto ja jakelu on eriytetty toisistaan ja joissa tariffit ovat säänneltyjä?</w:t>
      </w:r>
    </w:p>
    <w:p w14:paraId="79238E1B" w14:textId="51B3C821" w:rsidR="00E9552A" w:rsidRPr="00D96C20" w:rsidRDefault="00E9552A" w:rsidP="00A2265A">
      <w:pPr>
        <w:pStyle w:val="ListParagraph"/>
        <w:numPr>
          <w:ilvl w:val="1"/>
          <w:numId w:val="4"/>
        </w:numPr>
        <w:spacing w:before="120" w:after="120"/>
        <w:contextualSpacing w:val="0"/>
        <w:jc w:val="both"/>
      </w:pPr>
      <w:r>
        <w:t>Jos vastaus luetelmakohtaan a on kyllä, selittäkää, toimiiko jakeluverkko lakisääteisenä ja/tai luonnollisena monopolina, viitaten suuntaviivojen 374 ja 375 kappaleessa esitettyihin edellytyksiin.</w:t>
      </w:r>
    </w:p>
    <w:p w14:paraId="4EFAFD17" w14:textId="258CC1D3" w:rsidR="009C1CC6" w:rsidRPr="00D96C20" w:rsidRDefault="009C1CC6" w:rsidP="009C1CC6">
      <w:pPr>
        <w:tabs>
          <w:tab w:val="left" w:leader="dot" w:pos="9072"/>
        </w:tabs>
        <w:spacing w:before="120" w:after="120"/>
        <w:ind w:left="567"/>
        <w:jc w:val="both"/>
      </w:pPr>
      <w:r>
        <w:tab/>
      </w:r>
    </w:p>
    <w:p w14:paraId="4F4A348D" w14:textId="25436FA0" w:rsidR="00355D93" w:rsidRPr="00D96C20" w:rsidRDefault="009E5AE0" w:rsidP="009C1CC6">
      <w:pPr>
        <w:pStyle w:val="ListParagraph"/>
        <w:numPr>
          <w:ilvl w:val="0"/>
          <w:numId w:val="4"/>
        </w:numPr>
        <w:spacing w:before="120" w:after="120"/>
        <w:ind w:left="567" w:hanging="567"/>
        <w:contextualSpacing w:val="0"/>
        <w:jc w:val="both"/>
      </w:pPr>
      <w:r>
        <w:lastRenderedPageBreak/>
        <w:t xml:space="preserve">Antakaa tiedot tukitoimenpiteen laajuudesta ja sillä tuetusta toiminnasta suuntaviivojen 4.10.2 kohdan (388–389 kappale) mukaisesti. Antakaa samalla seuraavat tiedot: </w:t>
      </w:r>
    </w:p>
    <w:p w14:paraId="66FA46BE" w14:textId="13CA8D30" w:rsidR="00355D93" w:rsidRPr="00D96C20" w:rsidRDefault="00056F69" w:rsidP="00F10E39">
      <w:pPr>
        <w:pStyle w:val="ListParagraph"/>
        <w:numPr>
          <w:ilvl w:val="0"/>
          <w:numId w:val="29"/>
        </w:numPr>
        <w:spacing w:before="120" w:after="120"/>
        <w:contextualSpacing w:val="0"/>
        <w:jc w:val="both"/>
      </w:pPr>
      <w:r>
        <w:t xml:space="preserve">Selittäkää, miksi hanke kuuluu suuntaviivojen 19 kappaleen 27 kohdassa olevan kaukolämmityksen/-jäähdytyksen määritelmän ja suuntaviivojen 19 kappaleen 28 kohdassa olevan kaukolämmitys- ja/tai -jäähdytysjärjestelmän määritelmän piiriin. </w:t>
      </w:r>
    </w:p>
    <w:p w14:paraId="008ECD14" w14:textId="1A4FF26C" w:rsidR="009C1CC6" w:rsidRPr="00D96C20" w:rsidRDefault="00305073" w:rsidP="00F10E39">
      <w:pPr>
        <w:pStyle w:val="ListParagraph"/>
        <w:numPr>
          <w:ilvl w:val="0"/>
          <w:numId w:val="29"/>
        </w:numPr>
        <w:spacing w:before="120" w:after="120"/>
        <w:contextualSpacing w:val="0"/>
        <w:jc w:val="both"/>
      </w:pPr>
      <w:r>
        <w:t xml:space="preserve">Selittäkää, tuetaanko hankkeella seuraavien rakentamista, parantamista tai käyttöä: </w:t>
      </w:r>
    </w:p>
    <w:p w14:paraId="7AB7E23F" w14:textId="46A4FE21" w:rsidR="009C1CC6" w:rsidRPr="00D96C20" w:rsidRDefault="009C1CC6" w:rsidP="00F10E39">
      <w:pPr>
        <w:pStyle w:val="ListParagraph"/>
        <w:numPr>
          <w:ilvl w:val="0"/>
          <w:numId w:val="30"/>
        </w:numPr>
        <w:spacing w:before="120" w:after="120"/>
        <w:contextualSpacing w:val="0"/>
        <w:jc w:val="both"/>
      </w:pPr>
      <w:r>
        <w:t xml:space="preserve">tuotantoyksikkö ja/tai </w:t>
      </w:r>
    </w:p>
    <w:p w14:paraId="13341846" w14:textId="6CB47D49" w:rsidR="009C1CC6" w:rsidRPr="00D96C20" w:rsidRDefault="009C1CC6" w:rsidP="00F10E39">
      <w:pPr>
        <w:pStyle w:val="ListParagraph"/>
        <w:numPr>
          <w:ilvl w:val="0"/>
          <w:numId w:val="30"/>
        </w:numPr>
        <w:spacing w:before="120" w:after="120"/>
        <w:contextualSpacing w:val="0"/>
        <w:jc w:val="both"/>
      </w:pPr>
      <w:r>
        <w:t xml:space="preserve">varastointilaitos ja/tai </w:t>
      </w:r>
    </w:p>
    <w:p w14:paraId="7F9E3ACD" w14:textId="32BF6B8C" w:rsidR="009C1CC6" w:rsidRPr="00D96C20" w:rsidRDefault="009C1CC6" w:rsidP="00F10E39">
      <w:pPr>
        <w:pStyle w:val="ListParagraph"/>
        <w:numPr>
          <w:ilvl w:val="0"/>
          <w:numId w:val="30"/>
        </w:numPr>
        <w:spacing w:before="120" w:after="120"/>
        <w:contextualSpacing w:val="0"/>
        <w:jc w:val="both"/>
      </w:pPr>
      <w:r>
        <w:t>jakeluverkko.</w:t>
      </w:r>
    </w:p>
    <w:p w14:paraId="16B1DB2A" w14:textId="7E0B0C78" w:rsidR="009C1CC6" w:rsidRPr="00D96C20" w:rsidRDefault="009C1CC6" w:rsidP="00F10E39">
      <w:pPr>
        <w:pStyle w:val="ListParagraph"/>
        <w:numPr>
          <w:ilvl w:val="0"/>
          <w:numId w:val="29"/>
        </w:numPr>
        <w:spacing w:before="120" w:after="120"/>
        <w:contextualSpacing w:val="0"/>
        <w:jc w:val="both"/>
      </w:pPr>
      <w:r>
        <w:t>Jos tuki liittyy tuotantoyksikköön, selittäkää, mitä resursseja tämä tuotantoyksikkö käyttää sähkön, kaukolämmityksen tai kaukojäähdytyksen tuotantoon: uusiutuvaa energiaa, hukkalämpöä vai erittäin tehokasta yhteistuotantoa, mukaan lukien lämmön varastointiratkaisut.</w:t>
      </w:r>
    </w:p>
    <w:p w14:paraId="3105D86D" w14:textId="3CD496B8" w:rsidR="00B025A1" w:rsidRPr="00D96C20" w:rsidRDefault="00B025A1" w:rsidP="00F10E39">
      <w:pPr>
        <w:pStyle w:val="ListParagraph"/>
        <w:numPr>
          <w:ilvl w:val="0"/>
          <w:numId w:val="29"/>
        </w:numPr>
        <w:spacing w:before="120" w:after="120"/>
        <w:contextualSpacing w:val="0"/>
        <w:jc w:val="both"/>
      </w:pPr>
      <w:r>
        <w:t xml:space="preserve">Jos tuki liittyy jätettä käyttävään tuotantoyksikköön, vahvistakaa, että tuki rajoittuu joko jätteisiin, jotka vastaavat uusiutuvien energialähteiden määritelmää, tai jätteisiin, joita käytetään polttoaineena tehokkaan yhteistuotannon määritelmän mukaisissa laitoksissa. </w:t>
      </w:r>
    </w:p>
    <w:p w14:paraId="078E5364" w14:textId="231FA8DF" w:rsidR="009C1CC6" w:rsidRPr="00D96C20" w:rsidRDefault="00E6468A" w:rsidP="00F10E39">
      <w:pPr>
        <w:pStyle w:val="ListParagraph"/>
        <w:numPr>
          <w:ilvl w:val="0"/>
          <w:numId w:val="29"/>
        </w:numPr>
        <w:spacing w:before="120" w:after="120"/>
        <w:contextualSpacing w:val="0"/>
        <w:jc w:val="both"/>
      </w:pPr>
      <w:r>
        <w:t xml:space="preserve">Jos tukea myönnetään kaukolämmitys- ja -jäähdytysjärjestelmän parantamiseen, täsmentäkää, täyttääkö kaukolämmitys- ja ‑jäähdytysjärjestelmä direktiivin 2023/1791/EU 2 artiklan 46 alakohdan ja 26 artiklan mukaiset tehokkaan kaukolämmitys- ja -jäähdytysjärjestelmän vaatimukset. </w:t>
      </w:r>
    </w:p>
    <w:p w14:paraId="2A78E714" w14:textId="252E4A24" w:rsidR="00355D93" w:rsidRPr="00D96C20" w:rsidRDefault="00355D93" w:rsidP="00F10E39">
      <w:pPr>
        <w:pStyle w:val="ListParagraph"/>
        <w:numPr>
          <w:ilvl w:val="0"/>
          <w:numId w:val="29"/>
        </w:numPr>
        <w:spacing w:before="120" w:after="120"/>
        <w:contextualSpacing w:val="0"/>
        <w:jc w:val="both"/>
      </w:pPr>
      <w:r>
        <w:t xml:space="preserve">Täsmentäkää, minkä tyyppisiä kustannuksia toimenpiteellä tuetaan: investointi- ja/tai toimintakustannuksia. </w:t>
      </w:r>
    </w:p>
    <w:p w14:paraId="1CD1FE6D" w14:textId="5F8EF826" w:rsidR="00355D93" w:rsidRPr="00D96C20" w:rsidRDefault="00355D93" w:rsidP="00B025A1">
      <w:pPr>
        <w:pStyle w:val="ListParagraph"/>
        <w:spacing w:before="120" w:after="120"/>
        <w:ind w:left="567"/>
        <w:contextualSpacing w:val="0"/>
        <w:jc w:val="both"/>
      </w:pPr>
    </w:p>
    <w:p w14:paraId="2BCE8BBC" w14:textId="77777777" w:rsidR="009E5AE0" w:rsidRPr="00D96C20" w:rsidRDefault="009E5AE0" w:rsidP="009E5AE0">
      <w:pPr>
        <w:tabs>
          <w:tab w:val="left" w:leader="dot" w:pos="9072"/>
        </w:tabs>
        <w:spacing w:before="120" w:after="120"/>
        <w:ind w:left="567"/>
        <w:jc w:val="both"/>
      </w:pPr>
      <w:r>
        <w:tab/>
      </w:r>
    </w:p>
    <w:p w14:paraId="348DC64D" w14:textId="5A818E0A" w:rsidR="00143ABF" w:rsidRPr="00D96C20" w:rsidRDefault="00143ABF" w:rsidP="00E1791B">
      <w:pPr>
        <w:ind w:left="-567" w:firstLine="1412"/>
      </w:pPr>
    </w:p>
    <w:p w14:paraId="37330726" w14:textId="0D3DDB33" w:rsidR="00143ABF" w:rsidRPr="00D37B1D" w:rsidRDefault="009B749D" w:rsidP="008E33E6">
      <w:pPr>
        <w:pStyle w:val="ListParagraph"/>
        <w:keepNext/>
        <w:keepLines/>
        <w:numPr>
          <w:ilvl w:val="0"/>
          <w:numId w:val="4"/>
        </w:numPr>
        <w:spacing w:before="120" w:after="120"/>
        <w:ind w:left="567" w:hanging="567"/>
        <w:contextualSpacing w:val="0"/>
        <w:jc w:val="both"/>
      </w:pPr>
      <w:r>
        <w:t>Jos tuki on tarkoitettu kaukolämmitys- ja -jäähdytysjärjestelmän parantamiseen mutta tuettu parannus ei saata järjestelmää direktiivin 2023/1791/EU 26 artiklassa tarkoitetun tehokkaan kaukolämmitys- ja -jäähdytysjärjestelmän vaatimusten mukaiseksi, esittäkää suuntaviivojen 390 kappaleen mukaisesti sitoumus, jonka mukaan tuensaaja aloittaa työt tämän tason saavuttamiseksi kolmen vuoden kuluessa parannustöiden tekemisestä.</w:t>
      </w:r>
    </w:p>
    <w:p w14:paraId="552D030F" w14:textId="77777777" w:rsidR="008E33E6" w:rsidRPr="00D96C20" w:rsidRDefault="008E33E6" w:rsidP="008E33E6">
      <w:pPr>
        <w:keepNext/>
        <w:keepLines/>
        <w:tabs>
          <w:tab w:val="left" w:leader="dot" w:pos="9072"/>
        </w:tabs>
        <w:spacing w:before="120" w:after="120"/>
        <w:ind w:left="567"/>
        <w:jc w:val="both"/>
      </w:pPr>
      <w:r>
        <w:tab/>
      </w:r>
    </w:p>
    <w:p w14:paraId="4731659B" w14:textId="77777777" w:rsidR="008E33E6" w:rsidRPr="00D96C20" w:rsidRDefault="008E33E6" w:rsidP="008E33E6">
      <w:pPr>
        <w:pStyle w:val="ListParagraph"/>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D96C20" w14:paraId="45672207" w14:textId="77777777" w:rsidTr="00305DC0">
        <w:tc>
          <w:tcPr>
            <w:tcW w:w="9322" w:type="dxa"/>
            <w:shd w:val="pct15" w:color="auto" w:fill="auto"/>
          </w:tcPr>
          <w:p w14:paraId="3169DD9A" w14:textId="209AD687" w:rsidR="00015E2B" w:rsidRPr="00D96C20" w:rsidRDefault="00015E2B" w:rsidP="00F10E39">
            <w:pPr>
              <w:pStyle w:val="Heading1"/>
              <w:numPr>
                <w:ilvl w:val="1"/>
                <w:numId w:val="22"/>
              </w:numPr>
              <w:rPr>
                <w:sz w:val="24"/>
                <w:szCs w:val="24"/>
              </w:rPr>
            </w:pPr>
            <w:r>
              <w:rPr>
                <w:sz w:val="24"/>
              </w:rPr>
              <w:t>Kannustava vaikutus</w:t>
            </w:r>
          </w:p>
        </w:tc>
      </w:tr>
    </w:tbl>
    <w:p w14:paraId="20915284" w14:textId="430337A5" w:rsidR="00015E2B" w:rsidRPr="00D96C20" w:rsidRDefault="00B15313" w:rsidP="000B3E97">
      <w:pPr>
        <w:spacing w:before="120" w:after="120"/>
        <w:jc w:val="both"/>
        <w:rPr>
          <w:i/>
        </w:rPr>
      </w:pPr>
      <w:r>
        <w:rPr>
          <w:i/>
        </w:rPr>
        <w:t xml:space="preserve">Tämän jakson tietoja varten ks. suuntaviivojen 3.1.2 kohta (26–32 kappale). </w:t>
      </w:r>
    </w:p>
    <w:p w14:paraId="7066F29D" w14:textId="77777777" w:rsidR="00BA3260" w:rsidRPr="00D96C20" w:rsidRDefault="00BA3260" w:rsidP="00BA3260">
      <w:pPr>
        <w:pStyle w:val="ListParagraph"/>
        <w:numPr>
          <w:ilvl w:val="0"/>
          <w:numId w:val="4"/>
        </w:numPr>
        <w:spacing w:before="120" w:after="120"/>
        <w:ind w:left="567" w:hanging="567"/>
        <w:contextualSpacing w:val="0"/>
        <w:jc w:val="both"/>
      </w:pPr>
      <w:r>
        <w:t>Tuen voidaan katsoa edistävän taloudellista toimintaa vain, jos sillä on kannustava vaikutus. Selostakaa suuntaviivojen 26 kappaleen noudattamisen arvioimiseksi, miten toimenpide ”</w:t>
      </w:r>
      <w:r>
        <w:rPr>
          <w:i/>
        </w:rPr>
        <w:t>kannustaa tuensaajaa muuttamaan käyttäytymistään, harjoittamaan lisää taloudellista toimintaa tai harjoittamaan ympäristöystävällisempää taloudellista toimintaa, jota se ei harjoittaisi ilman tukea tai harjoittaisi rajallisemmin tai eri tavalla</w:t>
      </w:r>
      <w:r>
        <w:t>”.</w:t>
      </w:r>
      <w:r>
        <w:rPr>
          <w:i/>
        </w:rPr>
        <w:t xml:space="preserve"> </w:t>
      </w:r>
    </w:p>
    <w:p w14:paraId="2697928B" w14:textId="2440E6E7" w:rsidR="00BA3260" w:rsidRPr="00D96C20" w:rsidRDefault="00BA3260" w:rsidP="00BA3260">
      <w:pPr>
        <w:tabs>
          <w:tab w:val="left" w:leader="dot" w:pos="9072"/>
        </w:tabs>
        <w:spacing w:before="120" w:after="120"/>
        <w:ind w:left="360"/>
        <w:jc w:val="both"/>
      </w:pPr>
      <w:r>
        <w:lastRenderedPageBreak/>
        <w:tab/>
      </w:r>
    </w:p>
    <w:p w14:paraId="20A4524D" w14:textId="30F47662" w:rsidR="00BA3260" w:rsidRPr="00D96C20" w:rsidRDefault="00BA3260" w:rsidP="00BA3260">
      <w:pPr>
        <w:pStyle w:val="ListParagraph"/>
        <w:spacing w:before="120" w:after="120"/>
        <w:ind w:left="567"/>
        <w:contextualSpacing w:val="0"/>
        <w:jc w:val="both"/>
      </w:pPr>
    </w:p>
    <w:p w14:paraId="4586822C" w14:textId="34B8E38F" w:rsidR="002D67D0" w:rsidRPr="00D96C20" w:rsidRDefault="002D67D0" w:rsidP="00C52CFD">
      <w:pPr>
        <w:pStyle w:val="ListParagraph"/>
        <w:numPr>
          <w:ilvl w:val="0"/>
          <w:numId w:val="4"/>
        </w:numPr>
        <w:spacing w:before="120" w:after="120"/>
        <w:ind w:left="567" w:hanging="567"/>
        <w:contextualSpacing w:val="0"/>
        <w:jc w:val="both"/>
      </w:pPr>
      <w:r>
        <w:rPr>
          <w:color w:val="000000"/>
          <w:shd w:val="clear" w:color="auto" w:fill="FFFFFF"/>
        </w:rPr>
        <w:t>Esittäkää suuntaviivojen 27 kappaleen noudattamisen arvioimiseksi tiedot, jotka vahvistavat, että tuella ei kateta kustannuksia toiminnasta, jota tuensaaja harjoittaisi joka tapauksessa, ja että sillä ei kompensoida taloudelliseen toimintaan liittyvää tavanomaista liiketoimintariskiä</w:t>
      </w:r>
      <w:r>
        <w:rPr>
          <w:i/>
        </w:rPr>
        <w:t>.</w:t>
      </w:r>
      <w:r>
        <w:rPr>
          <w:rStyle w:val="FootnoteReference"/>
          <w:color w:val="000000"/>
          <w:shd w:val="clear" w:color="auto" w:fill="FFFFFF"/>
        </w:rPr>
        <w:footnoteReference w:id="5"/>
      </w:r>
      <w:r>
        <w:rPr>
          <w:i/>
        </w:rPr>
        <w:t xml:space="preserve"> </w:t>
      </w:r>
    </w:p>
    <w:p w14:paraId="543CA454" w14:textId="4E886173" w:rsidR="002D67D0" w:rsidRPr="00D96C20" w:rsidRDefault="002D67D0" w:rsidP="002D67D0">
      <w:pPr>
        <w:tabs>
          <w:tab w:val="left" w:leader="dot" w:pos="9072"/>
        </w:tabs>
        <w:spacing w:before="120" w:after="120"/>
        <w:ind w:left="567"/>
        <w:jc w:val="both"/>
      </w:pPr>
      <w:r>
        <w:tab/>
      </w:r>
    </w:p>
    <w:p w14:paraId="4AA49B40" w14:textId="349F6EAC" w:rsidR="00D70FE9" w:rsidRPr="00D96C20" w:rsidRDefault="00A255BF" w:rsidP="00015434">
      <w:pPr>
        <w:pStyle w:val="ListParagraph"/>
        <w:numPr>
          <w:ilvl w:val="0"/>
          <w:numId w:val="4"/>
        </w:numPr>
        <w:spacing w:before="120" w:after="120"/>
        <w:ind w:left="567" w:hanging="567"/>
        <w:contextualSpacing w:val="0"/>
        <w:jc w:val="both"/>
      </w:pPr>
      <w:r>
        <w:t>Esittäkää kattava kuvaus tosiasiallisesta skenaariosta ja todennäköisesti toteutuvasta vaihtoehtoisesta skenaariosta. Jos ohjelma kattaa erilaisia viitehankkeita</w:t>
      </w:r>
      <w:r>
        <w:rPr>
          <w:rStyle w:val="FootnoteReference"/>
          <w:lang w:val="en-IE" w:eastAsia="en-GB"/>
        </w:rPr>
        <w:footnoteReference w:id="6"/>
      </w:r>
      <w:r>
        <w:t xml:space="preserve">, nämä kuvaukset on toimitettava kunkin viitehankkeen osalta. Jakeluverkkojen rakentamisen, päivittämisen ja ylläpidon osalta vaihtoehtoiseksi skenaarioksi katsotaan tilanne, jossa hanketta ei toteutettaisi (suuntaviivojen 395 kappale). </w:t>
      </w:r>
    </w:p>
    <w:p w14:paraId="1508C9BB" w14:textId="2AF79FDD" w:rsidR="008E4062" w:rsidRPr="00D96C20" w:rsidRDefault="008E4062" w:rsidP="008E4062">
      <w:pPr>
        <w:tabs>
          <w:tab w:val="left" w:leader="dot" w:pos="9072"/>
        </w:tabs>
        <w:spacing w:before="120" w:after="120"/>
        <w:ind w:left="567"/>
        <w:jc w:val="both"/>
      </w:pPr>
      <w:r>
        <w:tab/>
      </w:r>
    </w:p>
    <w:p w14:paraId="2B9D3662" w14:textId="7C0C0DAF" w:rsidR="005F6E6B" w:rsidRPr="00D96C20" w:rsidRDefault="00C713DD" w:rsidP="00F10E39">
      <w:pPr>
        <w:pStyle w:val="ListParagraph"/>
        <w:numPr>
          <w:ilvl w:val="0"/>
          <w:numId w:val="26"/>
        </w:numPr>
        <w:spacing w:before="120" w:after="120"/>
        <w:contextualSpacing w:val="0"/>
        <w:jc w:val="both"/>
      </w:pPr>
      <w:r>
        <w:t>Liittäkää tähän lisätietolomakkeeseen suuntaviivojen 28 kappaleen alaviitteen 39 mukaisesti mahdolliset yritysten hallintoelinten asiakirjat, riskinarvioinnit, tilinpäätökset, sisäiset liiketoimintasuunnitelmat, asiantuntijalausunnot ja muut arvioitavana olevaan hankkeeseen liittyvät selvitykset, asiakirjat, jotka sisältävät tietoja kysyntä-, kustannus- ja talousennusteista, asiakirjat, jotka on toimitettu investointikomitealle ja joissa kuvaillaan investointi-/toimintaskenaarioita, tai asiakirjat, jotka on tarkoitettu rahoituslaitoksille.</w:t>
      </w:r>
    </w:p>
    <w:p w14:paraId="489E64F5" w14:textId="080206B8" w:rsidR="00C713DD" w:rsidRPr="00D96C20" w:rsidRDefault="005F6E6B" w:rsidP="005F6E6B">
      <w:pPr>
        <w:pStyle w:val="ListParagraph"/>
        <w:spacing w:before="120" w:after="120"/>
        <w:ind w:left="1287"/>
        <w:contextualSpacing w:val="0"/>
        <w:jc w:val="both"/>
      </w:pPr>
      <w:r>
        <w:t>Huomioikaa, että asiakirjojen on oltava ajankohtaisia investointia/toimintaa koskevaan päätöksentekoprosessiin nähden.</w:t>
      </w:r>
    </w:p>
    <w:p w14:paraId="0F3CF49B" w14:textId="7575EEBA" w:rsidR="00DE063E" w:rsidRPr="00D96C20" w:rsidRDefault="00E32AD5" w:rsidP="005F6E6B">
      <w:pPr>
        <w:pStyle w:val="ListParagraph"/>
        <w:spacing w:before="120" w:after="120"/>
        <w:ind w:left="1287"/>
        <w:contextualSpacing w:val="0"/>
        <w:jc w:val="both"/>
      </w:pPr>
      <w:r>
        <w:t xml:space="preserve">Jos </w:t>
      </w:r>
      <w:bookmarkStart w:id="6" w:name="_Hlk177381900"/>
      <w:r>
        <w:t>lisätietolomakkeeseen</w:t>
      </w:r>
      <w:bookmarkEnd w:id="6"/>
      <w:r>
        <w:t xml:space="preserve"> liitetään tällaisia asiakirjoja, luetelkaa ne alla ja ilmoittakaa laatija, laatimispäivä ja asiayhteys, jossa asiakirjaa käytettiin.</w:t>
      </w:r>
    </w:p>
    <w:p w14:paraId="7C9E31EE" w14:textId="28800A70" w:rsidR="008E4062" w:rsidRPr="00D96C20" w:rsidRDefault="008E4062" w:rsidP="008E4062">
      <w:pPr>
        <w:tabs>
          <w:tab w:val="left" w:leader="dot" w:pos="9072"/>
        </w:tabs>
        <w:spacing w:before="120" w:after="120"/>
        <w:ind w:left="567"/>
        <w:jc w:val="both"/>
      </w:pPr>
      <w:r>
        <w:tab/>
      </w:r>
    </w:p>
    <w:p w14:paraId="435391F4" w14:textId="2A25FE12" w:rsidR="0030040A" w:rsidRPr="00D96C20" w:rsidRDefault="0030040A" w:rsidP="00F10E39">
      <w:pPr>
        <w:pStyle w:val="ListParagraph"/>
        <w:numPr>
          <w:ilvl w:val="0"/>
          <w:numId w:val="26"/>
        </w:numPr>
        <w:spacing w:before="120" w:after="120"/>
        <w:contextualSpacing w:val="0"/>
        <w:jc w:val="both"/>
      </w:pPr>
      <w:r>
        <w:t xml:space="preserve">Antakaa tämän lisätietolomakkeen liitteessä (käyttäkää Excel-tiedostoa, jossa kaikki kaavat ovat näkyvissä) tosiasiallisen skenaarion ja uskottavan vaihtoehtoisen skenaarion, sellaisina kuin ne on kuvattu luetelmakohdan i yhteydessä, osalta määrällinen arvio kaikista pääasiallisista kustannuksista ja tuloista, tuensaajien arvioiduista painotetuista keskimääräisistä pääomakustannuksista tulevien kassavirtojen diskonttaamiseksi sekä tosiasiallisen ja vaihtoehtoisen skenaarion nettonykyarvosta hankkeen elinkaaren ajalta. Kun on kyse yksittäisistä tuista ja ohjelmista, jotka hyödyttävät erityisen pientä määrää tuensaajia, nämä laskelmat ja ennusteet on esitettävä yksityiskohtaisen hankekohtaisen liiketoimintasuunnitelman tasolla ja tukiohjelmien osalta yhden tai useamman viitehankkeen perusteella. </w:t>
      </w:r>
    </w:p>
    <w:p w14:paraId="6BCA5B3D" w14:textId="0E90C75E" w:rsidR="008B1CA3" w:rsidRPr="00D96C20" w:rsidRDefault="00A255BF" w:rsidP="00F10E39">
      <w:pPr>
        <w:pStyle w:val="ListParagraph"/>
        <w:numPr>
          <w:ilvl w:val="0"/>
          <w:numId w:val="26"/>
        </w:numPr>
        <w:spacing w:before="120" w:after="120"/>
        <w:contextualSpacing w:val="0"/>
        <w:jc w:val="both"/>
      </w:pPr>
      <w:r>
        <w:t xml:space="preserve">Ilmoittakaa tämän ilmoituslomakkeen liitteessä yksityiskohtaiset tiedot oletuksista, menetelmistä, perusteluista ja niiden taustalla olevista lähteistä, joita on käytetty kustannusten ja tulojen kvantifioinnin kunkin osa-alueen osalta tosiasiallisessa skenaariossa ja todennäköisessä vaihtoehtoisessa skenaariossa (esittäkää esimerkiksi näiden skenaarioiden laatimisessa käytetyt oletukset).  </w:t>
      </w:r>
    </w:p>
    <w:p w14:paraId="4D1B1A1C" w14:textId="28F9749B" w:rsidR="008B1CA3" w:rsidRPr="00D96C20" w:rsidRDefault="008B1CA3" w:rsidP="008B1CA3">
      <w:pPr>
        <w:tabs>
          <w:tab w:val="left" w:leader="dot" w:pos="9072"/>
        </w:tabs>
        <w:spacing w:before="120" w:after="120"/>
        <w:ind w:left="567"/>
        <w:jc w:val="both"/>
      </w:pPr>
      <w:r>
        <w:lastRenderedPageBreak/>
        <w:tab/>
      </w:r>
    </w:p>
    <w:p w14:paraId="78A49F12" w14:textId="39CB8A1B" w:rsidR="00C14706" w:rsidRPr="00D96C20" w:rsidRDefault="00FC1BCC" w:rsidP="00C52CFD">
      <w:pPr>
        <w:pStyle w:val="ListParagraph"/>
        <w:numPr>
          <w:ilvl w:val="0"/>
          <w:numId w:val="4"/>
        </w:numPr>
        <w:spacing w:before="120" w:after="120"/>
        <w:ind w:left="567" w:hanging="567"/>
        <w:contextualSpacing w:val="0"/>
        <w:jc w:val="both"/>
      </w:pPr>
      <w:r>
        <w:t>Suuntaviivojen 29 ja 31 kappaleen noudattamisen osoittamiseksi:</w:t>
      </w:r>
    </w:p>
    <w:p w14:paraId="48499390" w14:textId="47E7D7F7" w:rsidR="006445C3" w:rsidRPr="00D96C20" w:rsidRDefault="00677805" w:rsidP="00F10E39">
      <w:pPr>
        <w:pStyle w:val="ListParagraph"/>
        <w:numPr>
          <w:ilvl w:val="0"/>
          <w:numId w:val="23"/>
        </w:numPr>
        <w:spacing w:before="120" w:after="120"/>
        <w:ind w:left="993" w:hanging="284"/>
        <w:contextualSpacing w:val="0"/>
        <w:jc w:val="both"/>
      </w:pPr>
      <w:r>
        <w:t>Vahvistakaa, että hankkeeseen tai toimintaan liittyviä töitä ei ollut aloitettu ennen kuin tuensaaja jätti kirjallisen tukihakemuksen kansallisille viranomaisille;</w:t>
      </w:r>
    </w:p>
    <w:p w14:paraId="72FB2087" w14:textId="77777777" w:rsidR="006445C3" w:rsidRPr="00D96C20" w:rsidRDefault="006445C3" w:rsidP="006445C3">
      <w:pPr>
        <w:tabs>
          <w:tab w:val="left" w:leader="dot" w:pos="9072"/>
        </w:tabs>
        <w:spacing w:before="120" w:after="120"/>
        <w:ind w:left="567"/>
        <w:jc w:val="both"/>
      </w:pPr>
      <w:r>
        <w:tab/>
      </w:r>
    </w:p>
    <w:p w14:paraId="74427F37" w14:textId="1D135D62" w:rsidR="006445C3" w:rsidRPr="00D96C20" w:rsidRDefault="006445C3" w:rsidP="006445C3">
      <w:pPr>
        <w:pStyle w:val="ListParagraph"/>
        <w:spacing w:before="120" w:after="120"/>
        <w:ind w:left="993"/>
        <w:contextualSpacing w:val="0"/>
        <w:jc w:val="both"/>
      </w:pPr>
      <w:r>
        <w:t>TAI</w:t>
      </w:r>
    </w:p>
    <w:p w14:paraId="0252AF86" w14:textId="0F796BA6" w:rsidR="000442F5" w:rsidRPr="00D96C20" w:rsidRDefault="00D96C20" w:rsidP="00F10E39">
      <w:pPr>
        <w:pStyle w:val="ListParagraph"/>
        <w:numPr>
          <w:ilvl w:val="0"/>
          <w:numId w:val="23"/>
        </w:numPr>
        <w:spacing w:before="120" w:after="120"/>
        <w:ind w:left="993" w:hanging="284"/>
        <w:contextualSpacing w:val="0"/>
        <w:jc w:val="both"/>
      </w:pPr>
      <w:r>
        <w:t>Osoittakaa, että jos hanke on alkanut ennen tukihakemuksen jättämistä, sitä koskee jokin suuntaviivojen 31 kappaleessa tarkoitetuista poikkeustapauksista (a, b tai c kohta)</w:t>
      </w:r>
      <w:r>
        <w:rPr>
          <w:rStyle w:val="FootnoteReference"/>
          <w:lang w:val="en-IE" w:eastAsia="en-GB"/>
        </w:rPr>
        <w:footnoteReference w:id="7"/>
      </w:r>
      <w:r>
        <w:t xml:space="preserve">. </w:t>
      </w:r>
    </w:p>
    <w:p w14:paraId="76275A84" w14:textId="77777777" w:rsidR="00FC1BCC" w:rsidRPr="00D96C20" w:rsidRDefault="00FC1BCC" w:rsidP="00FC1BCC">
      <w:pPr>
        <w:tabs>
          <w:tab w:val="left" w:leader="dot" w:pos="9072"/>
        </w:tabs>
        <w:spacing w:before="120" w:after="120"/>
        <w:ind w:left="567"/>
        <w:jc w:val="both"/>
      </w:pPr>
      <w:r>
        <w:tab/>
      </w:r>
    </w:p>
    <w:p w14:paraId="0A578E5C" w14:textId="77777777" w:rsidR="00D96C20" w:rsidRPr="00D37B1D" w:rsidRDefault="00D96C20" w:rsidP="00D96C20">
      <w:pPr>
        <w:numPr>
          <w:ilvl w:val="0"/>
          <w:numId w:val="4"/>
        </w:numPr>
        <w:spacing w:before="120" w:after="120"/>
        <w:ind w:left="567" w:hanging="567"/>
        <w:jc w:val="both"/>
      </w:pPr>
      <w:r>
        <w:t>Vahvistakaa suuntaviivojen 30 kappaleen noudattamisen osoittamiseksi, että tukihakemuksessa on vähintään hakijan nimi, kuvaus hankkeesta tai toiminnasta, mukaan lukien sen sijainti, sekä hankkeen tai toiminnan toteuttamiseen tarvittavan tuen määrä.</w:t>
      </w:r>
    </w:p>
    <w:p w14:paraId="5BFD0928" w14:textId="77777777" w:rsidR="00D96C20" w:rsidRPr="00991FAA" w:rsidRDefault="00D96C20" w:rsidP="00D96C20">
      <w:pPr>
        <w:tabs>
          <w:tab w:val="left" w:leader="dot" w:pos="9072"/>
        </w:tabs>
        <w:spacing w:before="120" w:after="120"/>
        <w:ind w:left="567"/>
        <w:jc w:val="both"/>
      </w:pPr>
      <w:r>
        <w:tab/>
      </w:r>
    </w:p>
    <w:p w14:paraId="64CE5B4A" w14:textId="657B9067" w:rsidR="000C258D" w:rsidRPr="00D96C20" w:rsidRDefault="000C258D" w:rsidP="000C258D">
      <w:pPr>
        <w:pStyle w:val="ListParagraph"/>
        <w:numPr>
          <w:ilvl w:val="0"/>
          <w:numId w:val="4"/>
        </w:numPr>
        <w:spacing w:before="120" w:after="120"/>
        <w:ind w:left="567" w:hanging="567"/>
        <w:contextualSpacing w:val="0"/>
        <w:jc w:val="both"/>
      </w:pPr>
      <w:r>
        <w:t>Ilmoittakaa suuntaviivojen 32 kappaleen noudattamisen osoittamiseksi, sovelletaanko ilmoitettuihin toimenpiteisiin unionin normeja</w:t>
      </w:r>
      <w:r>
        <w:rPr>
          <w:rStyle w:val="FootnoteReference"/>
          <w:lang w:val="en-IE" w:eastAsia="en-GB"/>
        </w:rPr>
        <w:footnoteReference w:id="8"/>
      </w:r>
      <w:r>
        <w:t xml:space="preserve">, velvoittavia kansallisia normeja, jotka </w:t>
      </w:r>
      <w:r>
        <w:lastRenderedPageBreak/>
        <w:t>ovat tiukempia tai kunnianhimoisempia kuin vastaavat unionin normit, tai unionin normien puuttuessa hyväksyttyjä velvoittavia kansallisia normeja. Esittäkää tässä yhteydessä tietoa kannustavan vaikutuksen osoittamiseksi.</w:t>
      </w:r>
    </w:p>
    <w:p w14:paraId="5B91130D" w14:textId="77777777" w:rsidR="000C258D" w:rsidRPr="00D96C20" w:rsidRDefault="000C258D" w:rsidP="000C258D">
      <w:pPr>
        <w:tabs>
          <w:tab w:val="left" w:leader="dot" w:pos="9072"/>
        </w:tabs>
        <w:spacing w:before="120" w:after="120"/>
        <w:ind w:left="567"/>
        <w:jc w:val="both"/>
      </w:pPr>
      <w:r>
        <w:t xml:space="preserve"> </w:t>
      </w:r>
      <w:r>
        <w:tab/>
      </w:r>
    </w:p>
    <w:p w14:paraId="6794CC83" w14:textId="77777777" w:rsidR="000C258D" w:rsidRPr="00D96C20" w:rsidRDefault="000C258D" w:rsidP="000C258D">
      <w:pPr>
        <w:pStyle w:val="ListParagraph"/>
        <w:keepNext/>
        <w:keepLines/>
        <w:numPr>
          <w:ilvl w:val="0"/>
          <w:numId w:val="4"/>
        </w:numPr>
        <w:spacing w:before="120" w:after="120"/>
        <w:ind w:left="567" w:hanging="567"/>
        <w:contextualSpacing w:val="0"/>
        <w:jc w:val="both"/>
      </w:pPr>
      <w:r>
        <w:t xml:space="preserve">Jos kyseinen unionin normi on jo hyväksytty mutta ei vielä voimassa, osoittakaa, että tuella on kannustava vaikutus, koska se kannustaa investoinnin toteuttamiseen ja loppuunsaattamiseen vähintään 18 kuukautta ennen normin voimaantuloa. </w:t>
      </w:r>
    </w:p>
    <w:p w14:paraId="1F681DE3" w14:textId="77777777" w:rsidR="00C86C53" w:rsidRPr="00D96C20" w:rsidRDefault="00C86C53" w:rsidP="00C86C53">
      <w:pPr>
        <w:tabs>
          <w:tab w:val="left" w:leader="dot" w:pos="9072"/>
        </w:tabs>
        <w:spacing w:before="120" w:after="120"/>
        <w:ind w:left="567"/>
        <w:jc w:val="both"/>
      </w:pPr>
      <w:bookmarkStart w:id="7" w:name="_Hlk163740936"/>
      <w:r>
        <w:tab/>
      </w:r>
    </w:p>
    <w:bookmarkEnd w:id="7"/>
    <w:p w14:paraId="3063B88D" w14:textId="77777777" w:rsidR="00DE1D68" w:rsidRPr="00D96C20"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D96C20" w14:paraId="66A1C06C" w14:textId="77777777" w:rsidTr="00504F2E">
        <w:tc>
          <w:tcPr>
            <w:tcW w:w="9322" w:type="dxa"/>
            <w:shd w:val="pct15" w:color="auto" w:fill="auto"/>
          </w:tcPr>
          <w:p w14:paraId="7CABD1EF" w14:textId="4D11A7A0" w:rsidR="00DE1D68" w:rsidRPr="00D96C20" w:rsidRDefault="00DE1D68" w:rsidP="00F10E39">
            <w:pPr>
              <w:pStyle w:val="Heading1"/>
              <w:numPr>
                <w:ilvl w:val="1"/>
                <w:numId w:val="22"/>
              </w:numPr>
              <w:rPr>
                <w:sz w:val="24"/>
                <w:szCs w:val="24"/>
              </w:rPr>
            </w:pPr>
            <w:r>
              <w:rPr>
                <w:sz w:val="24"/>
              </w:rPr>
              <w:t>Mitään asiaan liittyvää unionin oikeuden säännöstä ei rikota</w:t>
            </w:r>
          </w:p>
        </w:tc>
      </w:tr>
    </w:tbl>
    <w:p w14:paraId="665FE026" w14:textId="5CEA7791" w:rsidR="00DE1D68" w:rsidRPr="00D96C20" w:rsidRDefault="00DE1D68" w:rsidP="00DE1D68">
      <w:pPr>
        <w:spacing w:before="360" w:after="120"/>
        <w:jc w:val="both"/>
        <w:rPr>
          <w:i/>
        </w:rPr>
      </w:pPr>
      <w:r>
        <w:rPr>
          <w:i/>
        </w:rPr>
        <w:t xml:space="preserve">Tämän jakson tietoja varten ks. suuntaviivojen 3.1.3 kohta (33 kappale). </w:t>
      </w:r>
    </w:p>
    <w:p w14:paraId="34841EAF" w14:textId="77777777" w:rsidR="00A431BD" w:rsidRPr="00D96C20" w:rsidRDefault="00A431BD" w:rsidP="00A431BD">
      <w:pPr>
        <w:pStyle w:val="ListParagraph"/>
        <w:numPr>
          <w:ilvl w:val="0"/>
          <w:numId w:val="4"/>
        </w:numPr>
        <w:spacing w:before="120" w:after="120"/>
        <w:ind w:left="567" w:hanging="567"/>
        <w:contextualSpacing w:val="0"/>
        <w:jc w:val="both"/>
      </w:pPr>
      <w:r>
        <w:t xml:space="preserve">Antakaa tiedot, jotka vahvistavat, että asiaa koskevia EU:n lainsäädännön säännöksiä on noudatettu suuntaviivojen 33 kappaleen mukaisesti. </w:t>
      </w:r>
    </w:p>
    <w:p w14:paraId="4B99F870" w14:textId="77777777" w:rsidR="00A431BD" w:rsidRPr="00D96C20" w:rsidRDefault="00A431BD" w:rsidP="00A431BD">
      <w:pPr>
        <w:tabs>
          <w:tab w:val="left" w:leader="dot" w:pos="9072"/>
        </w:tabs>
        <w:spacing w:before="120" w:after="120"/>
        <w:ind w:left="567"/>
        <w:jc w:val="both"/>
        <w:rPr>
          <w:color w:val="000000"/>
        </w:rPr>
      </w:pPr>
      <w:r>
        <w:tab/>
      </w:r>
    </w:p>
    <w:p w14:paraId="6CDCCADC" w14:textId="77777777" w:rsidR="00A431BD" w:rsidRPr="00D96C20" w:rsidRDefault="00A431BD" w:rsidP="00A431BD">
      <w:pPr>
        <w:pStyle w:val="ListParagraph"/>
        <w:numPr>
          <w:ilvl w:val="0"/>
          <w:numId w:val="4"/>
        </w:numPr>
        <w:spacing w:before="120" w:after="120"/>
        <w:ind w:left="567" w:hanging="567"/>
        <w:contextualSpacing w:val="0"/>
        <w:jc w:val="both"/>
        <w:rPr>
          <w:i/>
          <w:iCs/>
          <w:color w:val="000000"/>
        </w:rPr>
      </w:pPr>
      <w:r>
        <w:t>Jos toimenpiteen rahoittamiseksi peritään maksuja, täsmentäkää, onko toimenpidettä tarpeen arvioida SEUT-sopimuksen 30 ja 110 artiklan näkökulmasta. Jos kyllä, osoittakaa, millä tavoin toimenpide on SEUT-sopimuksen 30 ja 110 artiklan määräysten mukainen.</w:t>
      </w:r>
      <w:r>
        <w:rPr>
          <w:i/>
        </w:rPr>
        <w:t xml:space="preserve"> </w:t>
      </w:r>
      <w:r>
        <w:t xml:space="preserve">Tässä yhteydessä voidaan viitata kysymyksen </w:t>
      </w:r>
      <w:r>
        <w:fldChar w:fldCharType="begin"/>
      </w:r>
      <w:r>
        <w:instrText xml:space="preserve"> REF _Ref116914408 \r \h  \* MERGEFORMAT </w:instrText>
      </w:r>
      <w:r>
        <w:fldChar w:fldCharType="separate"/>
      </w:r>
      <w:r>
        <w:t>5</w:t>
      </w:r>
      <w:r>
        <w:fldChar w:fldCharType="end"/>
      </w:r>
      <w:r>
        <w:t xml:space="preserve"> luetelmakohdan </w:t>
      </w:r>
      <w:r>
        <w:fldChar w:fldCharType="begin"/>
      </w:r>
      <w:r>
        <w:instrText xml:space="preserve"> REF _Ref116914400 \r \h  \* MERGEFORMAT </w:instrText>
      </w:r>
      <w:r>
        <w:fldChar w:fldCharType="separate"/>
      </w:r>
      <w:r>
        <w:t>ii</w:t>
      </w:r>
      <w:r>
        <w:fldChar w:fldCharType="end"/>
      </w:r>
      <w:r>
        <w:t xml:space="preserve"> yhteydessä esitettyihin tietoihin, jos ilmoitetun toimenpiteen rahoittamiseksi peritään maksuja.</w:t>
      </w:r>
    </w:p>
    <w:p w14:paraId="2F71FD11" w14:textId="31DD9C32" w:rsidR="00544B04" w:rsidRPr="00D96C20" w:rsidRDefault="00544B04" w:rsidP="00544B04">
      <w:pPr>
        <w:tabs>
          <w:tab w:val="left" w:leader="dot" w:pos="9072"/>
        </w:tabs>
        <w:spacing w:before="120" w:after="120"/>
        <w:ind w:left="567"/>
        <w:jc w:val="both"/>
        <w:rPr>
          <w:color w:val="000000"/>
        </w:rPr>
      </w:pPr>
      <w:r>
        <w:tab/>
      </w:r>
    </w:p>
    <w:p w14:paraId="71C06663" w14:textId="77777777" w:rsidR="00E21BAD" w:rsidRPr="00D96C20" w:rsidRDefault="00E21BAD" w:rsidP="00A2265A">
      <w:pPr>
        <w:pStyle w:val="ListParagraph"/>
        <w:spacing w:before="120" w:after="120"/>
        <w:contextualSpacing w:val="0"/>
        <w:jc w:val="both"/>
      </w:pPr>
    </w:p>
    <w:p w14:paraId="1DBDF34C" w14:textId="5460DBB8" w:rsidR="00CC29A8" w:rsidRPr="00D96C20" w:rsidRDefault="005017E1" w:rsidP="00544B04">
      <w:pPr>
        <w:tabs>
          <w:tab w:val="left" w:leader="dot" w:pos="9072"/>
        </w:tabs>
        <w:spacing w:before="120" w:after="120"/>
        <w:ind w:left="567"/>
        <w:jc w:val="both"/>
        <w:rPr>
          <w:color w:val="000000"/>
        </w:rPr>
      </w:pPr>
      <w:r>
        <w:t xml:space="preserve"> </w:t>
      </w:r>
    </w:p>
    <w:p w14:paraId="12BBBE61" w14:textId="6B867948" w:rsidR="00663008" w:rsidRPr="00D96C20"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D96C20" w14:paraId="1446B9C4" w14:textId="77777777" w:rsidTr="00504F2E">
        <w:tc>
          <w:tcPr>
            <w:tcW w:w="9322" w:type="dxa"/>
            <w:shd w:val="pct15" w:color="auto" w:fill="auto"/>
          </w:tcPr>
          <w:p w14:paraId="47835452" w14:textId="1E46754C" w:rsidR="00663008" w:rsidRPr="00D96C20" w:rsidRDefault="00663008" w:rsidP="00F10E39">
            <w:pPr>
              <w:pStyle w:val="Heading1"/>
              <w:numPr>
                <w:ilvl w:val="0"/>
                <w:numId w:val="22"/>
              </w:numPr>
              <w:rPr>
                <w:i/>
                <w:color w:val="000000"/>
                <w:sz w:val="28"/>
                <w:szCs w:val="28"/>
              </w:rPr>
            </w:pPr>
            <w:r>
              <w:rPr>
                <w:i/>
                <w:color w:val="000000"/>
                <w:sz w:val="28"/>
              </w:rPr>
              <w:t>Negatiivinen edellytys: tuki ei saa perusteettomasti vaikuttaa kaupankäynnin edellytyksiin yhteisen edun vastaisesti</w:t>
            </w:r>
          </w:p>
        </w:tc>
      </w:tr>
    </w:tbl>
    <w:p w14:paraId="78513DDC" w14:textId="7983A86C" w:rsidR="00663008" w:rsidRPr="00D96C20" w:rsidRDefault="00663008" w:rsidP="00663008">
      <w:pPr>
        <w:ind w:left="-567" w:firstLine="1412"/>
        <w:rPr>
          <w:i/>
          <w:color w:val="000000"/>
        </w:rPr>
      </w:pPr>
    </w:p>
    <w:p w14:paraId="567C40B6" w14:textId="77777777" w:rsidR="00164ADE" w:rsidRPr="00D96C20"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D96C20" w14:paraId="51499EDF" w14:textId="77777777" w:rsidTr="00504F2E">
        <w:tc>
          <w:tcPr>
            <w:tcW w:w="9322" w:type="dxa"/>
            <w:shd w:val="pct15" w:color="auto" w:fill="auto"/>
          </w:tcPr>
          <w:p w14:paraId="77CB675F" w14:textId="02173F46" w:rsidR="00164ADE" w:rsidRPr="00D96C20" w:rsidRDefault="00A431BD" w:rsidP="00F10E39">
            <w:pPr>
              <w:pStyle w:val="Heading1"/>
              <w:numPr>
                <w:ilvl w:val="1"/>
                <w:numId w:val="32"/>
              </w:numPr>
              <w:rPr>
                <w:i/>
                <w:color w:val="000000"/>
                <w:sz w:val="28"/>
                <w:szCs w:val="28"/>
              </w:rPr>
            </w:pPr>
            <w:r>
              <w:rPr>
                <w:i/>
                <w:color w:val="000000"/>
                <w:sz w:val="28"/>
              </w:rPr>
              <w:t xml:space="preserve"> Kilpailun ja kaupan vääristymien minimointi </w:t>
            </w:r>
          </w:p>
        </w:tc>
      </w:tr>
    </w:tbl>
    <w:p w14:paraId="1060B87E" w14:textId="77777777" w:rsidR="00164ADE" w:rsidRPr="00D96C20" w:rsidRDefault="00164ADE" w:rsidP="00164ADE">
      <w:pPr>
        <w:ind w:left="-567" w:firstLine="1412"/>
        <w:rPr>
          <w:i/>
          <w:color w:val="000000"/>
        </w:rPr>
      </w:pPr>
    </w:p>
    <w:p w14:paraId="7218929B" w14:textId="77777777" w:rsidR="00164ADE" w:rsidRPr="00D96C2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D96C20" w14:paraId="425B1AE4" w14:textId="77777777" w:rsidTr="00504F2E">
        <w:tc>
          <w:tcPr>
            <w:tcW w:w="9322" w:type="dxa"/>
            <w:shd w:val="pct15" w:color="auto" w:fill="auto"/>
          </w:tcPr>
          <w:p w14:paraId="5FBF20D3" w14:textId="64171528" w:rsidR="00663008" w:rsidRPr="00D96C20" w:rsidRDefault="00C24E2C" w:rsidP="00F10E39">
            <w:pPr>
              <w:pStyle w:val="Heading1"/>
              <w:numPr>
                <w:ilvl w:val="2"/>
                <w:numId w:val="33"/>
              </w:numPr>
              <w:rPr>
                <w:color w:val="000000"/>
                <w:sz w:val="24"/>
                <w:szCs w:val="24"/>
              </w:rPr>
            </w:pPr>
            <w:r>
              <w:rPr>
                <w:color w:val="000000"/>
                <w:sz w:val="24"/>
              </w:rPr>
              <w:t>Valtiontuen tarpeellisuus ja tarkoituksenmukaisuus</w:t>
            </w:r>
          </w:p>
        </w:tc>
      </w:tr>
    </w:tbl>
    <w:p w14:paraId="3C23674F" w14:textId="4023898F" w:rsidR="00663008" w:rsidRPr="00D96C20" w:rsidRDefault="00663008" w:rsidP="000B3E97">
      <w:pPr>
        <w:spacing w:before="120" w:after="120"/>
        <w:jc w:val="both"/>
        <w:rPr>
          <w:i/>
          <w:color w:val="000000"/>
        </w:rPr>
      </w:pPr>
      <w:r>
        <w:rPr>
          <w:i/>
        </w:rPr>
        <w:t>Tämän jakson tietoja varten ks. suuntaviivojen 4.10.3 kohta (391–393 kappale).</w:t>
      </w:r>
      <w:r>
        <w:rPr>
          <w:i/>
          <w:color w:val="000000"/>
        </w:rPr>
        <w:t xml:space="preserve"> </w:t>
      </w:r>
    </w:p>
    <w:p w14:paraId="6668EB5F" w14:textId="280A7D98" w:rsidR="00663008" w:rsidRPr="00D96C20" w:rsidRDefault="00BC04CA" w:rsidP="00A2265A">
      <w:pPr>
        <w:pStyle w:val="ListParagraph"/>
        <w:numPr>
          <w:ilvl w:val="0"/>
          <w:numId w:val="4"/>
        </w:numPr>
        <w:spacing w:before="120" w:after="120"/>
        <w:contextualSpacing w:val="0"/>
        <w:jc w:val="both"/>
      </w:pPr>
      <w:r>
        <w:t>Selittäkää yksityiskohtaisesti, miten hankkeella edistetään tehokkaiden kaukolämmitys- ja -jäähdytysjärjestelmien luomista, laajentamista tai päivittämistä.</w:t>
      </w:r>
    </w:p>
    <w:p w14:paraId="621A86A8" w14:textId="77777777" w:rsidR="00663008" w:rsidRDefault="00663008" w:rsidP="00663008">
      <w:pPr>
        <w:tabs>
          <w:tab w:val="left" w:leader="dot" w:pos="9072"/>
        </w:tabs>
        <w:spacing w:before="120" w:after="120"/>
        <w:ind w:left="567"/>
        <w:jc w:val="both"/>
      </w:pPr>
      <w:bookmarkStart w:id="8" w:name="_Hlk171095492"/>
      <w:r>
        <w:tab/>
      </w:r>
    </w:p>
    <w:bookmarkEnd w:id="8"/>
    <w:p w14:paraId="34091FD1" w14:textId="7D239171" w:rsidR="009B749D" w:rsidRDefault="009B749D" w:rsidP="009B749D">
      <w:pPr>
        <w:pStyle w:val="ListParagraph"/>
        <w:numPr>
          <w:ilvl w:val="0"/>
          <w:numId w:val="4"/>
        </w:numPr>
        <w:spacing w:before="120" w:after="120"/>
        <w:contextualSpacing w:val="0"/>
        <w:jc w:val="both"/>
      </w:pPr>
      <w:r>
        <w:t xml:space="preserve">Jos toimenpiteellä katetaan poikkeuksellisesti toimintakustannuksia, osoittakaa suuntaviivojen 392 kappaleen mukaisesti, että näitä kustannuksia ei voida siirtää kaukolämmityksen/-jäähdytyksen kuluttajille heikentämättä ympäristönsuojelua. Osoittakaa, että tuetut kaukolämmitys-/-jäähdytysjärjestelmät lisäävät energiatehokkuutta ja vähentävät hiilidioksidi- ja muita päästöjä sekä verkkohävikkiä verrattuna vaihtoehtoisiin kaukolämmitys-/-jäähdytysratkaisuihin. </w:t>
      </w:r>
    </w:p>
    <w:p w14:paraId="6FBF7751" w14:textId="552BD7EB" w:rsidR="00836816" w:rsidRPr="00D96C20" w:rsidRDefault="009B749D" w:rsidP="00A2265A">
      <w:pPr>
        <w:pStyle w:val="ListParagraph"/>
        <w:numPr>
          <w:ilvl w:val="0"/>
          <w:numId w:val="4"/>
        </w:numPr>
        <w:spacing w:before="120" w:after="120"/>
        <w:contextualSpacing w:val="0"/>
        <w:jc w:val="both"/>
      </w:pPr>
      <w:r>
        <w:tab/>
      </w:r>
      <w:r>
        <w:rPr>
          <w:shd w:val="clear" w:color="auto" w:fill="FFFFFF"/>
        </w:rPr>
        <w:t>Jos hankkeessa hyödynnetään polttoaineena jätettä, selittäkää suuntaviivojen 393 kappaleen mukaisesti, miten hankkeessa noudatetaan jätehierarkiaperiaatetta (direktiivin 2008/98/EU 4 artiklan 1 kohta).</w:t>
      </w:r>
    </w:p>
    <w:p w14:paraId="1F515EEE" w14:textId="77777777" w:rsidR="00836816" w:rsidRPr="00D96C20" w:rsidRDefault="00836816" w:rsidP="00836816">
      <w:pPr>
        <w:tabs>
          <w:tab w:val="left" w:leader="dot" w:pos="9072"/>
        </w:tabs>
        <w:spacing w:before="120" w:after="120"/>
        <w:ind w:left="567"/>
        <w:jc w:val="both"/>
      </w:pPr>
      <w:r>
        <w:tab/>
      </w:r>
    </w:p>
    <w:p w14:paraId="7589B387" w14:textId="77777777" w:rsidR="00863406" w:rsidRPr="00D96C20"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D96C20" w14:paraId="6548EFF5" w14:textId="77777777" w:rsidTr="00504F2E">
        <w:tc>
          <w:tcPr>
            <w:tcW w:w="9322" w:type="dxa"/>
            <w:shd w:val="pct15" w:color="auto" w:fill="auto"/>
          </w:tcPr>
          <w:p w14:paraId="3EB94997" w14:textId="358108C9" w:rsidR="00863406" w:rsidRPr="00D96C20" w:rsidRDefault="00970EF3" w:rsidP="00F10E39">
            <w:pPr>
              <w:pStyle w:val="Heading1"/>
              <w:numPr>
                <w:ilvl w:val="2"/>
                <w:numId w:val="33"/>
              </w:numPr>
              <w:rPr>
                <w:color w:val="000000"/>
                <w:sz w:val="24"/>
                <w:szCs w:val="24"/>
              </w:rPr>
            </w:pPr>
            <w:r>
              <w:rPr>
                <w:color w:val="000000"/>
                <w:sz w:val="24"/>
              </w:rPr>
              <w:t xml:space="preserve">Tuen oikeasuhteisuus </w:t>
            </w:r>
          </w:p>
        </w:tc>
      </w:tr>
    </w:tbl>
    <w:p w14:paraId="7AFDF26D" w14:textId="0DF381F0" w:rsidR="00A431BD" w:rsidRPr="00D96C20" w:rsidRDefault="00863406" w:rsidP="000B3E97">
      <w:pPr>
        <w:spacing w:before="120" w:after="120"/>
        <w:jc w:val="both"/>
        <w:rPr>
          <w:i/>
        </w:rPr>
      </w:pPr>
      <w:r>
        <w:rPr>
          <w:i/>
        </w:rPr>
        <w:t xml:space="preserve">Tämän jakson tietoja varten ks. suuntaviivojen 3.2.1.3 kohta ja 4.10.4 kohta (394 ja 395 kappale). </w:t>
      </w:r>
    </w:p>
    <w:p w14:paraId="2FF71764" w14:textId="437EF3AC" w:rsidR="001620DB" w:rsidRPr="00D96C20" w:rsidRDefault="001620DB" w:rsidP="001620DB">
      <w:pPr>
        <w:pStyle w:val="ListParagraph"/>
        <w:numPr>
          <w:ilvl w:val="0"/>
          <w:numId w:val="4"/>
        </w:numPr>
        <w:spacing w:before="120" w:after="120"/>
        <w:ind w:left="567" w:hanging="567"/>
        <w:contextualSpacing w:val="0"/>
        <w:jc w:val="both"/>
      </w:pPr>
      <w:r>
        <w:t>Selittäkää suuntaviivojen 51 kappaleen noudattamisen todentamiseksi seuraavat:</w:t>
      </w:r>
    </w:p>
    <w:p w14:paraId="2B6DDCC1" w14:textId="7F6938B0" w:rsidR="006F666A" w:rsidRPr="00D96C20" w:rsidRDefault="007C0C88" w:rsidP="00F10E39">
      <w:pPr>
        <w:pStyle w:val="ListParagraph"/>
        <w:numPr>
          <w:ilvl w:val="0"/>
          <w:numId w:val="25"/>
        </w:numPr>
        <w:spacing w:before="120" w:after="120"/>
        <w:contextualSpacing w:val="0"/>
        <w:jc w:val="both"/>
      </w:pPr>
      <w:r>
        <w:rPr>
          <w:shd w:val="clear" w:color="auto" w:fill="FFFFFF"/>
        </w:rPr>
        <w:t>Rahoitusvajeen määrittämiseksi</w:t>
      </w:r>
      <w:r>
        <w:rPr>
          <w:rStyle w:val="FootnoteReference"/>
          <w:shd w:val="clear" w:color="auto" w:fill="FFFFFF"/>
        </w:rPr>
        <w:footnoteReference w:id="9"/>
      </w:r>
      <w:r>
        <w:rPr>
          <w:shd w:val="clear" w:color="auto" w:fill="FFFFFF"/>
        </w:rPr>
        <w:t xml:space="preserve"> toimittakaa tosiasiallisen skenaarion ja uskottavan vaihtoehtoisen skenaarion</w:t>
      </w:r>
      <w:r>
        <w:rPr>
          <w:rStyle w:val="FootnoteReference"/>
          <w:shd w:val="clear" w:color="auto" w:fill="FFFFFF"/>
        </w:rPr>
        <w:footnoteReference w:id="10"/>
      </w:r>
      <w:r>
        <w:rPr>
          <w:shd w:val="clear" w:color="auto" w:fill="FFFFFF"/>
        </w:rPr>
        <w:t xml:space="preserve"> osalta määrällinen arvio seuraavista:</w:t>
      </w:r>
    </w:p>
    <w:p w14:paraId="7941A97E" w14:textId="54CCBFE9" w:rsidR="006F666A" w:rsidRPr="00D96C20" w:rsidRDefault="006F666A" w:rsidP="00F10E39">
      <w:pPr>
        <w:pStyle w:val="ListParagraph"/>
        <w:numPr>
          <w:ilvl w:val="1"/>
          <w:numId w:val="25"/>
        </w:numPr>
        <w:spacing w:before="120" w:after="120"/>
        <w:contextualSpacing w:val="0"/>
        <w:jc w:val="both"/>
      </w:pPr>
      <w:r>
        <w:rPr>
          <w:shd w:val="clear" w:color="auto" w:fill="FFFFFF"/>
        </w:rPr>
        <w:t>kaikki hankkeen pääasialliset kustannukset ja tulot</w:t>
      </w:r>
    </w:p>
    <w:p w14:paraId="2D2BE464" w14:textId="77777777" w:rsidR="006F666A" w:rsidRPr="00D96C20" w:rsidRDefault="00FD2296" w:rsidP="00F10E39">
      <w:pPr>
        <w:pStyle w:val="ListParagraph"/>
        <w:numPr>
          <w:ilvl w:val="1"/>
          <w:numId w:val="25"/>
        </w:numPr>
        <w:spacing w:before="120" w:after="120"/>
        <w:contextualSpacing w:val="0"/>
        <w:jc w:val="both"/>
      </w:pPr>
      <w:r>
        <w:rPr>
          <w:shd w:val="clear" w:color="auto" w:fill="FFFFFF"/>
        </w:rPr>
        <w:t>tuensaajien arvioidut painotetut keskimääräiset pääomakustannukset tulevien kassavirtojen diskonttaamiseksi</w:t>
      </w:r>
    </w:p>
    <w:p w14:paraId="2C7C5B9C" w14:textId="77777777" w:rsidR="00F05162" w:rsidRPr="00D96C20" w:rsidRDefault="00FD2296" w:rsidP="00F10E39">
      <w:pPr>
        <w:pStyle w:val="ListParagraph"/>
        <w:numPr>
          <w:ilvl w:val="1"/>
          <w:numId w:val="25"/>
        </w:numPr>
        <w:spacing w:before="120" w:after="120"/>
        <w:contextualSpacing w:val="0"/>
        <w:jc w:val="both"/>
      </w:pPr>
      <w:r>
        <w:rPr>
          <w:shd w:val="clear" w:color="auto" w:fill="FFFFFF"/>
        </w:rPr>
        <w:t>tosiasiallisen ja vaihtoehtoisen skenaarion nettonykyarvo hankkeen elinkaaren aikana.</w:t>
      </w:r>
    </w:p>
    <w:p w14:paraId="6B0BF531" w14:textId="3B1A6EC9" w:rsidR="00F05162" w:rsidRPr="00D96C20" w:rsidRDefault="00F05162" w:rsidP="00F05162">
      <w:pPr>
        <w:tabs>
          <w:tab w:val="left" w:leader="dot" w:pos="9072"/>
        </w:tabs>
        <w:spacing w:before="120" w:after="120"/>
        <w:ind w:left="567"/>
        <w:jc w:val="both"/>
      </w:pPr>
      <w:r>
        <w:rPr>
          <w:shd w:val="clear" w:color="auto" w:fill="FFFFFF"/>
        </w:rPr>
        <w:lastRenderedPageBreak/>
        <w:t xml:space="preserve">  </w:t>
      </w:r>
      <w:r>
        <w:tab/>
      </w:r>
    </w:p>
    <w:p w14:paraId="32D73315" w14:textId="4193B5C2" w:rsidR="00FD2296" w:rsidRPr="00D96C20" w:rsidRDefault="006F666A" w:rsidP="00F10E39">
      <w:pPr>
        <w:pStyle w:val="ListParagraph"/>
        <w:numPr>
          <w:ilvl w:val="0"/>
          <w:numId w:val="25"/>
        </w:numPr>
        <w:spacing w:before="120" w:after="120"/>
        <w:contextualSpacing w:val="0"/>
        <w:jc w:val="both"/>
      </w:pPr>
      <w:r>
        <w:rPr>
          <w:shd w:val="clear" w:color="auto" w:fill="FFFFFF"/>
        </w:rPr>
        <w:t xml:space="preserve">Perustelut kvantifioinnin kunkin osa-alueen osalta käytetyille oletuksille sekä sovelletuille menetelmille. </w:t>
      </w:r>
    </w:p>
    <w:p w14:paraId="2B3BDD63" w14:textId="33CD07DC" w:rsidR="005C0DBD" w:rsidRPr="00D96C20" w:rsidRDefault="001620DB" w:rsidP="001620DB">
      <w:pPr>
        <w:tabs>
          <w:tab w:val="left" w:leader="dot" w:pos="9072"/>
        </w:tabs>
        <w:spacing w:before="120" w:after="120"/>
        <w:ind w:left="567"/>
        <w:jc w:val="both"/>
      </w:pPr>
      <w:r>
        <w:tab/>
      </w:r>
    </w:p>
    <w:p w14:paraId="59F30261" w14:textId="1CC4B2DD" w:rsidR="00C53C43" w:rsidRPr="00D96C20" w:rsidRDefault="00C53C43" w:rsidP="00C53C43">
      <w:pPr>
        <w:pStyle w:val="ListParagraph"/>
        <w:spacing w:before="120" w:after="120"/>
        <w:ind w:left="567"/>
        <w:contextualSpacing w:val="0"/>
        <w:jc w:val="both"/>
        <w:rPr>
          <w:shd w:val="clear" w:color="auto" w:fill="FFFFFF"/>
        </w:rPr>
      </w:pPr>
      <w:r>
        <w:rPr>
          <w:shd w:val="clear" w:color="auto" w:fill="FFFFFF"/>
        </w:rPr>
        <w:t>Kun on kyse yksittäisistä tuista ja ohjelmista, jotka hyödyttävät erityisen vähäistä määrää tuensaajia, jäsenvaltion on esitettävä asiaa tukeva näyttö hankekohtaisen liiketoimintasuunnitelman tasolla.</w:t>
      </w:r>
    </w:p>
    <w:p w14:paraId="584CA833" w14:textId="06F76F13" w:rsidR="00124B6F" w:rsidRPr="00D96C20" w:rsidRDefault="00C53C43" w:rsidP="00C53C43">
      <w:pPr>
        <w:pStyle w:val="ListParagraph"/>
        <w:spacing w:before="120" w:after="120"/>
        <w:ind w:left="567"/>
        <w:contextualSpacing w:val="0"/>
        <w:jc w:val="both"/>
        <w:rPr>
          <w:shd w:val="clear" w:color="auto" w:fill="FFFFFF"/>
        </w:rPr>
      </w:pPr>
      <w:r>
        <w:rPr>
          <w:shd w:val="clear" w:color="auto" w:fill="FFFFFF"/>
        </w:rPr>
        <w:t>Tukiohjelmien osalta jäsenvaltion on esitettävä asiaa tukeva näyttö yhden tai useamman viitehankkeen perusteella.</w:t>
      </w:r>
    </w:p>
    <w:p w14:paraId="5D6CEEF6" w14:textId="66FE36E4" w:rsidR="001B0D9B" w:rsidRPr="00D96C20" w:rsidRDefault="001B0D9B" w:rsidP="001B0D9B">
      <w:pPr>
        <w:tabs>
          <w:tab w:val="left" w:leader="dot" w:pos="9072"/>
        </w:tabs>
        <w:spacing w:before="120" w:after="120"/>
        <w:ind w:left="567"/>
        <w:jc w:val="both"/>
      </w:pPr>
      <w:r>
        <w:tab/>
      </w:r>
    </w:p>
    <w:p w14:paraId="0D69FEAB" w14:textId="570EE56A" w:rsidR="004776A4" w:rsidRPr="00D96C20" w:rsidRDefault="00E71C59" w:rsidP="004776A4">
      <w:pPr>
        <w:pStyle w:val="ListParagraph"/>
        <w:numPr>
          <w:ilvl w:val="0"/>
          <w:numId w:val="4"/>
        </w:numPr>
        <w:spacing w:before="120" w:after="120"/>
        <w:ind w:left="567" w:hanging="567"/>
        <w:contextualSpacing w:val="0"/>
        <w:jc w:val="both"/>
      </w:pPr>
      <w:r>
        <w:t>Jos vaihtoehtoista hanketta ei ole, toimittakaa seuraavat tiedot, jotta komissio voi tarkastaa, että tukimäärä ei ylitä vähimmäismäärää, joka tarvitaan tuetun hankkeen saattamiseksi riittävän kannattavaksi</w:t>
      </w:r>
      <w:r>
        <w:rPr>
          <w:rStyle w:val="FootnoteReference"/>
          <w:lang w:eastAsia="en-GB"/>
        </w:rPr>
        <w:footnoteReference w:id="11"/>
      </w:r>
      <w:r>
        <w:t>:</w:t>
      </w:r>
    </w:p>
    <w:p w14:paraId="020A0406" w14:textId="40D27EEF" w:rsidR="00EC2A7D" w:rsidRPr="00D96C20" w:rsidRDefault="00EC2A7D" w:rsidP="004776A4">
      <w:pPr>
        <w:pStyle w:val="ListParagraph"/>
        <w:numPr>
          <w:ilvl w:val="1"/>
          <w:numId w:val="4"/>
        </w:numPr>
        <w:spacing w:before="120" w:after="120"/>
        <w:contextualSpacing w:val="0"/>
        <w:jc w:val="both"/>
      </w:pPr>
      <w:r>
        <w:t>ala- tai yrityskohtaista vertailuarvoa tai vähimmäistuottovaatimusta vastaava sisäinen tuottoprosentti; tai</w:t>
      </w:r>
    </w:p>
    <w:p w14:paraId="056D5BF9" w14:textId="64F3B5CD" w:rsidR="00AB47A1" w:rsidRPr="00D96C20" w:rsidRDefault="007315B8" w:rsidP="004776A4">
      <w:pPr>
        <w:pStyle w:val="ListParagraph"/>
        <w:numPr>
          <w:ilvl w:val="1"/>
          <w:numId w:val="4"/>
        </w:numPr>
        <w:spacing w:before="120" w:after="120"/>
        <w:contextualSpacing w:val="0"/>
        <w:jc w:val="both"/>
      </w:pPr>
      <w:r>
        <w:t>tuensaajan muissa saman tyyppisissä investointihankkeissa edellyttämät tavanomaiset tuottoprosentit tai sen pääomakustannukset kokonaisuudessaan; tai</w:t>
      </w:r>
    </w:p>
    <w:p w14:paraId="13B46137" w14:textId="062C7DC0" w:rsidR="0029714D" w:rsidRPr="00D96C20" w:rsidRDefault="007315B8" w:rsidP="004776A4">
      <w:pPr>
        <w:pStyle w:val="ListParagraph"/>
        <w:numPr>
          <w:ilvl w:val="1"/>
          <w:numId w:val="4"/>
        </w:numPr>
        <w:spacing w:before="120" w:after="120"/>
        <w:contextualSpacing w:val="0"/>
        <w:jc w:val="both"/>
      </w:pPr>
      <w:r>
        <w:t>kyseisellä toimialalla yleisesti toteutuneet tuottoprosentit; tai</w:t>
      </w:r>
    </w:p>
    <w:p w14:paraId="0691A0E0" w14:textId="27443E78" w:rsidR="00445F48" w:rsidRPr="00D96C20" w:rsidRDefault="001622D8" w:rsidP="004776A4">
      <w:pPr>
        <w:pStyle w:val="ListParagraph"/>
        <w:numPr>
          <w:ilvl w:val="1"/>
          <w:numId w:val="4"/>
        </w:numPr>
        <w:spacing w:before="120" w:after="120"/>
        <w:contextualSpacing w:val="0"/>
        <w:jc w:val="both"/>
      </w:pPr>
      <w:r>
        <w:t>muut tiedot, jotka osoittavat, että tukimäärä ei ylitä vähimmäismäärää, joka tarvitaan tuetun hankkeen saattamiseksi riittävän kannattavaksi.</w:t>
      </w:r>
    </w:p>
    <w:p w14:paraId="123D26BD" w14:textId="11192D82" w:rsidR="00D96561" w:rsidRPr="00D96C20" w:rsidRDefault="004F192A" w:rsidP="00A431BD">
      <w:pPr>
        <w:tabs>
          <w:tab w:val="left" w:leader="dot" w:pos="9072"/>
        </w:tabs>
        <w:spacing w:before="120" w:after="120"/>
        <w:ind w:left="567"/>
        <w:jc w:val="both"/>
      </w:pPr>
      <w:r>
        <w:tab/>
      </w:r>
    </w:p>
    <w:p w14:paraId="4CEF8F72" w14:textId="77777777" w:rsidR="00B21377" w:rsidRPr="00D96C20"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D96C20" w14:paraId="5ADB97A4" w14:textId="77777777" w:rsidTr="00D25DD0">
        <w:tc>
          <w:tcPr>
            <w:tcW w:w="9322" w:type="dxa"/>
            <w:shd w:val="pct15" w:color="auto" w:fill="auto"/>
          </w:tcPr>
          <w:p w14:paraId="1D5ED9F0" w14:textId="2394281B" w:rsidR="00B21377" w:rsidRPr="00D96C20" w:rsidRDefault="00B21377" w:rsidP="00F10E39">
            <w:pPr>
              <w:pStyle w:val="Heading1"/>
              <w:numPr>
                <w:ilvl w:val="2"/>
                <w:numId w:val="33"/>
              </w:numPr>
              <w:rPr>
                <w:sz w:val="24"/>
                <w:szCs w:val="24"/>
              </w:rPr>
            </w:pPr>
            <w:r>
              <w:rPr>
                <w:color w:val="000000"/>
                <w:sz w:val="24"/>
              </w:rPr>
              <w:t>Kasautuminen</w:t>
            </w:r>
          </w:p>
        </w:tc>
      </w:tr>
    </w:tbl>
    <w:p w14:paraId="2346A85D" w14:textId="09594631" w:rsidR="00B21377" w:rsidRPr="00D96C20" w:rsidRDefault="00B21377" w:rsidP="00B21377">
      <w:pPr>
        <w:pStyle w:val="ListParagraph"/>
        <w:spacing w:before="120" w:after="120"/>
        <w:ind w:left="567"/>
        <w:contextualSpacing w:val="0"/>
        <w:jc w:val="both"/>
      </w:pPr>
      <w:r>
        <w:rPr>
          <w:i/>
        </w:rPr>
        <w:t>Tämän jakson tietoja varten ks. suuntaviivojen 56–57 kappale</w:t>
      </w:r>
      <w:r>
        <w:t>.</w:t>
      </w:r>
    </w:p>
    <w:p w14:paraId="7159B0AA" w14:textId="2EFF4AB9" w:rsidR="00E5484B" w:rsidRPr="00D96C20" w:rsidRDefault="00E5484B" w:rsidP="007257F0">
      <w:pPr>
        <w:pStyle w:val="ListParagraph"/>
        <w:numPr>
          <w:ilvl w:val="0"/>
          <w:numId w:val="4"/>
        </w:numPr>
        <w:spacing w:before="120" w:after="120"/>
        <w:ind w:left="567" w:hanging="567"/>
        <w:contextualSpacing w:val="0"/>
        <w:jc w:val="both"/>
      </w:pPr>
      <w:r>
        <w:t>Täsmentäkää suuntaviivojen 56 kappaleen noudattamisen todentamiseksi, voidaanko ilmoitetun toimenpiteen mukaista tukea myöntää samanaikaisesti useista tukiohjelmista tai voiko se kasautua samoihin tukikelpoisiin kustannuksiin kohdistuvan tapauskohtaisen tai vähämerkityksisen tuen kanssa. Jos näin on, esittäkää tiedot kyseisistä tukiohjelmista, tapauskohtaisesta tuesta tai vähämerkityksisestä tuesta sekä siitä, miten tuki kasautuu.</w:t>
      </w:r>
    </w:p>
    <w:p w14:paraId="4EA350F2" w14:textId="6700FB40" w:rsidR="00D13239" w:rsidRPr="00D96C20" w:rsidRDefault="002A3B51" w:rsidP="002A3B51">
      <w:pPr>
        <w:tabs>
          <w:tab w:val="left" w:leader="dot" w:pos="9072"/>
        </w:tabs>
        <w:spacing w:before="120" w:after="120"/>
        <w:ind w:left="567"/>
        <w:jc w:val="both"/>
      </w:pPr>
      <w:r>
        <w:tab/>
      </w:r>
    </w:p>
    <w:p w14:paraId="113EC6AF" w14:textId="1351DC48" w:rsidR="007257F0" w:rsidRPr="00D96C20" w:rsidRDefault="00720951" w:rsidP="007257F0">
      <w:pPr>
        <w:pStyle w:val="ListParagraph"/>
        <w:numPr>
          <w:ilvl w:val="0"/>
          <w:numId w:val="4"/>
        </w:numPr>
        <w:spacing w:before="120" w:after="120"/>
        <w:ind w:left="567" w:hanging="567"/>
        <w:contextualSpacing w:val="0"/>
        <w:jc w:val="both"/>
      </w:pPr>
      <w:r>
        <w:t xml:space="preserve">Jos ilmoitettuun tukitoimenpiteeseen sovelletaan suuntaviivojen 56 kappaletta, perustelkaa, miten ilmoitetusta toimenpiteestä hankkeelle tai toiminnalle myönnettävän tuen kokonaismäärä ei johda ylikompensaatioon tai ylitä suuntaviivojen 394 kappaleessa kuvattuja sallittuja tuen enimmäismääriä. Täsmentäkää kullekin toimenpiteelle, jonka kanssa ilmoitetusta toimenpiteestä myönnetty tuki voi kasautua, menetelmä, jolla varmistetaan suuntaviivojen 56 kappaleessa kuvattujen ehtojen täyttyminen. </w:t>
      </w:r>
    </w:p>
    <w:p w14:paraId="5A4E851C" w14:textId="1587758B" w:rsidR="007257F0" w:rsidRPr="00D96C20" w:rsidRDefault="007257F0" w:rsidP="007257F0">
      <w:pPr>
        <w:tabs>
          <w:tab w:val="left" w:leader="dot" w:pos="9072"/>
        </w:tabs>
        <w:spacing w:before="120" w:after="120"/>
        <w:ind w:left="567"/>
        <w:jc w:val="both"/>
      </w:pPr>
      <w:r>
        <w:lastRenderedPageBreak/>
        <w:tab/>
      </w:r>
    </w:p>
    <w:p w14:paraId="4B762428" w14:textId="5EAC05E4" w:rsidR="009861F5" w:rsidRPr="00D96C20" w:rsidRDefault="00562354" w:rsidP="009861F5">
      <w:pPr>
        <w:pStyle w:val="ListParagraph"/>
        <w:numPr>
          <w:ilvl w:val="0"/>
          <w:numId w:val="4"/>
        </w:numPr>
        <w:spacing w:before="120" w:after="120"/>
        <w:ind w:left="567" w:hanging="567"/>
        <w:contextualSpacing w:val="0"/>
        <w:jc w:val="both"/>
      </w:pPr>
      <w:r>
        <w:t>Jos kyseessä on suuntaviivojen 57 kappaleen mukainen tilanne eli jos ilmoitetusta toimenpiteestä myönnetty tuki yhdistetään keskitetysti hallinnoituun unionin rahoitukseen</w:t>
      </w:r>
      <w:r>
        <w:rPr>
          <w:rStyle w:val="FootnoteReference"/>
          <w:lang w:eastAsia="en-GB"/>
        </w:rPr>
        <w:footnoteReference w:id="12"/>
      </w:r>
      <w:r>
        <w:t xml:space="preserve">, perustelkaa, miten </w:t>
      </w:r>
      <w:r>
        <w:rPr>
          <w:shd w:val="clear" w:color="auto" w:fill="FFFFFF"/>
        </w:rPr>
        <w:t>samoihin tukikelpoisiin kustannuksiin myönnetyn julkisen rahoituksen kokonaismäärä ei johda ylikompensaatioon</w:t>
      </w:r>
      <w:r>
        <w:t xml:space="preserve">. </w:t>
      </w:r>
    </w:p>
    <w:p w14:paraId="4A76BA85" w14:textId="5308E4AE" w:rsidR="0078387C" w:rsidRPr="00D96C20" w:rsidRDefault="009861F5" w:rsidP="0078387C">
      <w:pPr>
        <w:tabs>
          <w:tab w:val="left" w:leader="dot" w:pos="9072"/>
        </w:tabs>
        <w:spacing w:before="120" w:after="120"/>
        <w:ind w:left="567"/>
        <w:jc w:val="both"/>
      </w:pPr>
      <w:r>
        <w:tab/>
      </w:r>
    </w:p>
    <w:p w14:paraId="1739D1B0" w14:textId="77777777" w:rsidR="0001211F" w:rsidRPr="00D96C20"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D96C20" w14:paraId="3B675B34" w14:textId="77777777" w:rsidTr="00504F2E">
        <w:tc>
          <w:tcPr>
            <w:tcW w:w="9322" w:type="dxa"/>
            <w:shd w:val="pct15" w:color="auto" w:fill="auto"/>
          </w:tcPr>
          <w:p w14:paraId="75619393" w14:textId="382F2F6E" w:rsidR="006773CE" w:rsidRPr="00D96C20" w:rsidRDefault="00571910" w:rsidP="00F10E39">
            <w:pPr>
              <w:pStyle w:val="Heading1"/>
              <w:numPr>
                <w:ilvl w:val="2"/>
                <w:numId w:val="33"/>
              </w:numPr>
              <w:rPr>
                <w:color w:val="000000"/>
                <w:sz w:val="24"/>
                <w:szCs w:val="24"/>
              </w:rPr>
            </w:pPr>
            <w:r>
              <w:rPr>
                <w:color w:val="000000"/>
                <w:sz w:val="24"/>
              </w:rPr>
              <w:t>Läpinäkyvyys</w:t>
            </w:r>
          </w:p>
        </w:tc>
      </w:tr>
    </w:tbl>
    <w:p w14:paraId="32448DD4" w14:textId="77777777" w:rsidR="009C7EC5" w:rsidRPr="00D96C20" w:rsidRDefault="009C7EC5" w:rsidP="000B3E97">
      <w:pPr>
        <w:spacing w:before="120" w:after="120"/>
        <w:jc w:val="both"/>
        <w:rPr>
          <w:i/>
        </w:rPr>
      </w:pPr>
      <w:r>
        <w:rPr>
          <w:i/>
        </w:rPr>
        <w:t xml:space="preserve">Tämän jakson tietoja varten ks. suuntaviivojen 3.2.1.4 kohta (58–61 kappale). </w:t>
      </w:r>
    </w:p>
    <w:p w14:paraId="0B01CFD7" w14:textId="77777777" w:rsidR="009C7EC5" w:rsidRPr="00D96C20" w:rsidRDefault="009C7EC5" w:rsidP="009C7EC5">
      <w:pPr>
        <w:pStyle w:val="ListParagraph"/>
        <w:numPr>
          <w:ilvl w:val="0"/>
          <w:numId w:val="4"/>
        </w:numPr>
        <w:spacing w:before="120" w:after="120"/>
        <w:ind w:left="567" w:hanging="567"/>
        <w:contextualSpacing w:val="0"/>
        <w:jc w:val="both"/>
        <w:rPr>
          <w:rFonts w:eastAsia="Times New Roman"/>
          <w:szCs w:val="24"/>
        </w:rPr>
      </w:pPr>
      <w:r>
        <w:t xml:space="preserve">Vahvistakaa, että jäsenvaltio noudattaa suuntaviivojen 58–61 kappaleessa kuvattuja läpinäkyvyysvaatimuksia. </w:t>
      </w:r>
    </w:p>
    <w:p w14:paraId="5F8F2C11" w14:textId="77777777" w:rsidR="009C7EC5" w:rsidRPr="00D96C20" w:rsidRDefault="009C7EC5" w:rsidP="009C7EC5">
      <w:pPr>
        <w:tabs>
          <w:tab w:val="left" w:leader="dot" w:pos="9072"/>
        </w:tabs>
        <w:spacing w:before="120" w:after="120"/>
        <w:ind w:left="567"/>
        <w:jc w:val="both"/>
      </w:pPr>
      <w:r>
        <w:tab/>
      </w:r>
    </w:p>
    <w:p w14:paraId="129A7486" w14:textId="3ECB7498" w:rsidR="009C7EC5" w:rsidRPr="00D96C20" w:rsidRDefault="009C7EC5" w:rsidP="009C7EC5">
      <w:pPr>
        <w:pStyle w:val="ListParagraph"/>
        <w:numPr>
          <w:ilvl w:val="0"/>
          <w:numId w:val="4"/>
        </w:numPr>
        <w:spacing w:before="120" w:after="120"/>
        <w:ind w:left="567" w:hanging="567"/>
        <w:contextualSpacing w:val="0"/>
        <w:jc w:val="both"/>
      </w:pPr>
      <w:r>
        <w:t>Antakaa linkki verkkosivulle, jolla julkaistaan hyväksytyn tukiohjelman tai yksittäisen tuen myöntämistä koskevan päätöksen ja sen täytäntöönpanosääntöjen koko teksti sekä tiedot kustakin yksittäisestä tuesta, joka on myönnetty tapauskohtaisesti tai suuntaviivojen perusteella hyväksytyn tukiohjelman puitteissa ja joka ylittää 100 000 euroa.</w:t>
      </w:r>
      <w:r>
        <w:rPr>
          <w:rFonts w:ascii="inherit" w:hAnsi="inherit"/>
        </w:rPr>
        <w:t xml:space="preserve"> </w:t>
      </w:r>
    </w:p>
    <w:p w14:paraId="4A75052E" w14:textId="77777777" w:rsidR="009C7EC5" w:rsidRPr="00D96C20" w:rsidRDefault="009C7EC5" w:rsidP="009C7EC5">
      <w:pPr>
        <w:tabs>
          <w:tab w:val="left" w:leader="dot" w:pos="9072"/>
        </w:tabs>
        <w:spacing w:before="120" w:after="120"/>
        <w:ind w:left="567"/>
        <w:jc w:val="both"/>
      </w:pPr>
      <w:r>
        <w:tab/>
      </w:r>
    </w:p>
    <w:p w14:paraId="14FE0B14" w14:textId="77777777" w:rsidR="007C0A44" w:rsidRPr="00D96C20"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D96C20" w14:paraId="3CD6496D" w14:textId="77777777" w:rsidTr="00504F2E">
        <w:tc>
          <w:tcPr>
            <w:tcW w:w="9322" w:type="dxa"/>
            <w:shd w:val="pct15" w:color="auto" w:fill="auto"/>
          </w:tcPr>
          <w:p w14:paraId="6D3C4956" w14:textId="50A90A86" w:rsidR="008D37F9" w:rsidRPr="00D96C20" w:rsidRDefault="009C7EC5" w:rsidP="009C7EC5">
            <w:pPr>
              <w:pStyle w:val="Heading1"/>
              <w:ind w:left="792" w:hanging="432"/>
              <w:rPr>
                <w:i/>
                <w:color w:val="000000"/>
                <w:sz w:val="28"/>
                <w:szCs w:val="28"/>
              </w:rPr>
            </w:pPr>
            <w:r>
              <w:rPr>
                <w:i/>
                <w:color w:val="000000"/>
                <w:sz w:val="28"/>
              </w:rPr>
              <w:t xml:space="preserve"> 2.2.</w:t>
            </w:r>
            <w:r w:rsidR="00AF47B9">
              <w:rPr>
                <w:i/>
                <w:color w:val="000000"/>
                <w:sz w:val="28"/>
              </w:rPr>
              <w:t xml:space="preserve"> </w:t>
            </w:r>
            <w:r>
              <w:rPr>
                <w:i/>
                <w:color w:val="000000"/>
                <w:sz w:val="28"/>
              </w:rPr>
              <w:t>Kilpailuun ja kauppaan kohdistuvien tuen kohtuuttomien kielteisten vaikutusten välttäminen ja punninta</w:t>
            </w:r>
          </w:p>
        </w:tc>
      </w:tr>
    </w:tbl>
    <w:p w14:paraId="6CD3884F" w14:textId="308833E5" w:rsidR="00F83660" w:rsidRPr="00D96C20" w:rsidRDefault="00F83660" w:rsidP="000B3E97">
      <w:pPr>
        <w:spacing w:before="120" w:after="120"/>
        <w:jc w:val="both"/>
        <w:rPr>
          <w:i/>
        </w:rPr>
      </w:pPr>
      <w:r>
        <w:rPr>
          <w:i/>
          <w:color w:val="000000"/>
        </w:rPr>
        <w:t>Tämän</w:t>
      </w:r>
      <w:r>
        <w:rPr>
          <w:i/>
        </w:rPr>
        <w:t xml:space="preserve"> jakson tietoja varten ks. suuntaviivojen 4.10.5 kohta (396–398 kappale). </w:t>
      </w:r>
    </w:p>
    <w:p w14:paraId="633F735E" w14:textId="7A895C46" w:rsidR="00304F41" w:rsidRPr="00D96C20" w:rsidRDefault="00304F41" w:rsidP="000B3E97">
      <w:pPr>
        <w:pStyle w:val="ListParagraph"/>
        <w:numPr>
          <w:ilvl w:val="0"/>
          <w:numId w:val="4"/>
        </w:numPr>
        <w:spacing w:before="120" w:after="120"/>
        <w:ind w:left="567" w:hanging="567"/>
        <w:contextualSpacing w:val="0"/>
        <w:jc w:val="both"/>
      </w:pPr>
      <w:r>
        <w:t xml:space="preserve">Jos kaukolämmitys- ja -jäähdytysjärjestelmät perustuvat kaikkein saastuttavimpiin fossiilisiin polttoaineisiin, kuten kivihiileen, ruskohiileen, öljyyn ja dieseliin, selittäkää suuntaviivojen 396 kappaleen mukaisesti, täyttyvätkö seuraavat kumulatiiviset edellytykset:  </w:t>
      </w:r>
    </w:p>
    <w:p w14:paraId="5E05EB28" w14:textId="599AE112" w:rsidR="00304F41" w:rsidRPr="00D96C20" w:rsidRDefault="00304F41" w:rsidP="00F10E39">
      <w:pPr>
        <w:pStyle w:val="ListParagraph"/>
        <w:numPr>
          <w:ilvl w:val="2"/>
          <w:numId w:val="28"/>
        </w:numPr>
        <w:spacing w:before="120" w:after="120"/>
        <w:contextualSpacing w:val="0"/>
        <w:jc w:val="both"/>
      </w:pPr>
      <w:r>
        <w:t>tuki rajoittuu jakeluverkkoon tehtäviin investointeihin</w:t>
      </w:r>
    </w:p>
    <w:p w14:paraId="48D098F7" w14:textId="77777777" w:rsidR="00F83660" w:rsidRPr="00D96C20" w:rsidRDefault="00F83660" w:rsidP="00F83660">
      <w:pPr>
        <w:tabs>
          <w:tab w:val="left" w:leader="dot" w:pos="9072"/>
        </w:tabs>
        <w:spacing w:before="120" w:after="120"/>
        <w:ind w:left="567"/>
        <w:jc w:val="both"/>
      </w:pPr>
      <w:r>
        <w:tab/>
      </w:r>
    </w:p>
    <w:p w14:paraId="05892635" w14:textId="05BE2130" w:rsidR="00F83660" w:rsidRPr="00D96C20" w:rsidRDefault="00304F41" w:rsidP="00F10E39">
      <w:pPr>
        <w:pStyle w:val="ListParagraph"/>
        <w:numPr>
          <w:ilvl w:val="2"/>
          <w:numId w:val="28"/>
        </w:numPr>
        <w:spacing w:before="120" w:after="120"/>
        <w:contextualSpacing w:val="0"/>
        <w:jc w:val="both"/>
      </w:pPr>
      <w:r>
        <w:t xml:space="preserve">jakeluverkko mahdollistaa jo uusiutuvista energialähteistä, hukkalämmöstä tai hiilineutraaleista lähteistä tuotetun lämmön ja jäähdytyksen siirron    </w:t>
      </w:r>
    </w:p>
    <w:p w14:paraId="798B76FF" w14:textId="77777777" w:rsidR="00F83660" w:rsidRPr="00D96C20" w:rsidRDefault="00F83660" w:rsidP="00F83660">
      <w:pPr>
        <w:tabs>
          <w:tab w:val="left" w:leader="dot" w:pos="9072"/>
        </w:tabs>
        <w:spacing w:before="120" w:after="120"/>
        <w:ind w:left="567"/>
        <w:jc w:val="both"/>
      </w:pPr>
      <w:r>
        <w:tab/>
      </w:r>
    </w:p>
    <w:p w14:paraId="76611A3B" w14:textId="00EC0819" w:rsidR="00F83660" w:rsidRPr="00D96C20" w:rsidRDefault="00304F41" w:rsidP="00F10E39">
      <w:pPr>
        <w:pStyle w:val="ListParagraph"/>
        <w:numPr>
          <w:ilvl w:val="2"/>
          <w:numId w:val="28"/>
        </w:numPr>
        <w:spacing w:before="120" w:after="120"/>
        <w:contextualSpacing w:val="0"/>
        <w:jc w:val="both"/>
      </w:pPr>
      <w:r>
        <w:t xml:space="preserve">tuki ei lisää energiantuotantoa saastuttavimmista fossiilisista polttoaineista (esimerkiksi liittämällä verkostoon uusia asiakkaita)  </w:t>
      </w:r>
    </w:p>
    <w:p w14:paraId="0638448B" w14:textId="77777777" w:rsidR="00F83660" w:rsidRPr="00D96C20" w:rsidRDefault="00F83660" w:rsidP="00F83660">
      <w:pPr>
        <w:tabs>
          <w:tab w:val="left" w:leader="dot" w:pos="9072"/>
        </w:tabs>
        <w:spacing w:before="120" w:after="120"/>
        <w:ind w:left="567"/>
        <w:jc w:val="both"/>
      </w:pPr>
      <w:r>
        <w:tab/>
      </w:r>
    </w:p>
    <w:p w14:paraId="1B4F742A" w14:textId="330651E8" w:rsidR="00F83660" w:rsidRPr="00D96C20" w:rsidRDefault="00304F41" w:rsidP="00F10E39">
      <w:pPr>
        <w:pStyle w:val="ListParagraph"/>
        <w:numPr>
          <w:ilvl w:val="2"/>
          <w:numId w:val="28"/>
        </w:numPr>
        <w:spacing w:before="120" w:after="120"/>
        <w:contextualSpacing w:val="0"/>
        <w:jc w:val="both"/>
      </w:pPr>
      <w:r>
        <w:lastRenderedPageBreak/>
        <w:t xml:space="preserve">on olemassa selkeä aikataulu, johon sisältyy vankat sitoumukset siirtyä pois saastuttavimmista fossiilisista polttoaineista unionin vuoden 2030 ilmastotavoitteen ja vuoden 2050 ilmastoneutraaliustavoitteen myötäisesti (ks. esimerkki suuntaviivojen alaviitteessä 156).   </w:t>
      </w:r>
    </w:p>
    <w:p w14:paraId="32B25629" w14:textId="2FB9C88F" w:rsidR="00F83660" w:rsidRPr="00D96C20" w:rsidRDefault="00F83660" w:rsidP="00F83660">
      <w:pPr>
        <w:tabs>
          <w:tab w:val="left" w:leader="dot" w:pos="9072"/>
        </w:tabs>
        <w:spacing w:before="120" w:after="120"/>
        <w:ind w:left="567"/>
        <w:jc w:val="both"/>
      </w:pPr>
      <w:r>
        <w:tab/>
      </w:r>
      <w:r>
        <w:tab/>
      </w:r>
    </w:p>
    <w:p w14:paraId="085E60A1" w14:textId="253FE13D" w:rsidR="00F610C7" w:rsidRPr="00D96C20" w:rsidRDefault="00F83660" w:rsidP="000B3E97">
      <w:pPr>
        <w:pStyle w:val="ListParagraph"/>
        <w:numPr>
          <w:ilvl w:val="0"/>
          <w:numId w:val="4"/>
        </w:numPr>
        <w:spacing w:before="120" w:after="120"/>
        <w:ind w:left="567" w:hanging="567"/>
        <w:contextualSpacing w:val="0"/>
        <w:jc w:val="both"/>
      </w:pPr>
      <w:r>
        <w:t xml:space="preserve">Jos hankkeella luodaan kannustimia uusiin investointeihin, jotka kohdistuvat maakaasuun tai maakaasuun perustuvien energialaitosten käyttöön, selittäkää suuntaviivojen 397 kappaleen mukaisesti, varmistetaanko hankkeessa seuraavat: </w:t>
      </w:r>
    </w:p>
    <w:p w14:paraId="38C1F102" w14:textId="32146B66" w:rsidR="00F610C7" w:rsidRPr="00D96C20" w:rsidRDefault="00304F41" w:rsidP="00D37B1D">
      <w:pPr>
        <w:pStyle w:val="ListParagraph"/>
        <w:numPr>
          <w:ilvl w:val="0"/>
          <w:numId w:val="38"/>
        </w:numPr>
        <w:spacing w:before="120" w:after="120"/>
        <w:contextualSpacing w:val="0"/>
        <w:jc w:val="both"/>
      </w:pPr>
      <w:r>
        <w:t>tuki edistää vuoteen 2030 ulottuvan unionin ilmastotavoitteen ja vuoden 2050 ilmastoneutraaliustavoitteen saavuttamista</w:t>
      </w:r>
    </w:p>
    <w:p w14:paraId="389482B8" w14:textId="38817A0F" w:rsidR="00F610C7" w:rsidRPr="00D96C20" w:rsidRDefault="00304F41" w:rsidP="00D37B1D">
      <w:pPr>
        <w:pStyle w:val="ListParagraph"/>
        <w:numPr>
          <w:ilvl w:val="0"/>
          <w:numId w:val="38"/>
        </w:numPr>
        <w:spacing w:before="120" w:after="120"/>
        <w:contextualSpacing w:val="0"/>
        <w:jc w:val="both"/>
      </w:pPr>
      <w:r>
        <w:t>miten vältetään lukkiutuminen kaasukäyttöiseen energiantuotantoon</w:t>
      </w:r>
    </w:p>
    <w:p w14:paraId="7EA03E9A" w14:textId="7AB57B2E" w:rsidR="00F83660" w:rsidRPr="00D96C20" w:rsidRDefault="00F610C7" w:rsidP="00D37B1D">
      <w:pPr>
        <w:pStyle w:val="ListParagraph"/>
        <w:numPr>
          <w:ilvl w:val="0"/>
          <w:numId w:val="38"/>
        </w:numPr>
        <w:spacing w:before="120" w:after="120"/>
        <w:contextualSpacing w:val="0"/>
        <w:jc w:val="both"/>
      </w:pPr>
      <w:r>
        <w:t>miten tuki ei syrjäytä investointeja markkinoilla jo saatavilla oleviin puhtaampiin vaihtoehtoihin ja ei haittaa puhtaampien teknologioiden kehitystä ja käyttöä.</w:t>
      </w:r>
    </w:p>
    <w:p w14:paraId="4F9F5FD3" w14:textId="77777777" w:rsidR="00F83660" w:rsidRPr="00D96C20" w:rsidRDefault="00F83660" w:rsidP="00F83660">
      <w:pPr>
        <w:tabs>
          <w:tab w:val="left" w:leader="dot" w:pos="9072"/>
        </w:tabs>
        <w:spacing w:before="120" w:after="120"/>
        <w:ind w:left="567"/>
        <w:jc w:val="both"/>
      </w:pPr>
      <w:r>
        <w:tab/>
      </w:r>
    </w:p>
    <w:p w14:paraId="145AEE21" w14:textId="77777777" w:rsidR="008203A0" w:rsidRPr="00D96C20" w:rsidRDefault="008203A0" w:rsidP="008203A0">
      <w:pPr>
        <w:pStyle w:val="ListParagraph"/>
        <w:numPr>
          <w:ilvl w:val="0"/>
          <w:numId w:val="4"/>
        </w:numPr>
        <w:spacing w:before="120" w:after="120"/>
        <w:ind w:left="567" w:hanging="567"/>
        <w:contextualSpacing w:val="0"/>
        <w:jc w:val="both"/>
      </w:pPr>
      <w:r>
        <w:t xml:space="preserve">Täsmentäkää suuntaviivojen 398 kappaleen noudattamisen todentamiseksi, onko kaukolämmitys- ja jäähdytysjärjestelmä kolmansien osapuolten käytettävissä ja ovatko kestävät vaihtoehtoiset lämmitysratkaisut mahdollisia. </w:t>
      </w:r>
    </w:p>
    <w:p w14:paraId="7F6E1AF0" w14:textId="77777777" w:rsidR="008203A0" w:rsidRPr="00D96C20" w:rsidRDefault="008203A0" w:rsidP="008203A0">
      <w:pPr>
        <w:tabs>
          <w:tab w:val="left" w:leader="dot" w:pos="9072"/>
        </w:tabs>
        <w:spacing w:before="120" w:after="120"/>
        <w:ind w:left="567"/>
        <w:jc w:val="both"/>
      </w:pPr>
      <w:r>
        <w:tab/>
      </w:r>
    </w:p>
    <w:p w14:paraId="10688268" w14:textId="77777777" w:rsidR="00C33721" w:rsidRPr="008203A0" w:rsidRDefault="00C33721" w:rsidP="008203A0">
      <w:pPr>
        <w:ind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D96C20" w14:paraId="2E5836DE" w14:textId="77777777" w:rsidTr="001C4D88">
        <w:tc>
          <w:tcPr>
            <w:tcW w:w="9322" w:type="dxa"/>
            <w:shd w:val="pct15" w:color="auto" w:fill="auto"/>
          </w:tcPr>
          <w:p w14:paraId="145F7D57" w14:textId="75FF5DE8" w:rsidR="00C33721" w:rsidRPr="00D96C20" w:rsidRDefault="00C33721" w:rsidP="00B96B8C">
            <w:pPr>
              <w:numPr>
                <w:ilvl w:val="0"/>
                <w:numId w:val="33"/>
              </w:numPr>
              <w:jc w:val="center"/>
              <w:rPr>
                <w:rFonts w:eastAsia="Times New Roman"/>
                <w:b/>
                <w:i/>
                <w:color w:val="000000"/>
                <w:sz w:val="28"/>
                <w:szCs w:val="28"/>
              </w:rPr>
            </w:pPr>
            <w:r>
              <w:rPr>
                <w:b/>
                <w:i/>
                <w:color w:val="000000"/>
                <w:sz w:val="28"/>
              </w:rPr>
              <w:t>Arviointi</w:t>
            </w:r>
          </w:p>
        </w:tc>
      </w:tr>
    </w:tbl>
    <w:p w14:paraId="78AC9B95" w14:textId="1FB76E7E" w:rsidR="00C33721" w:rsidRPr="00D96C20" w:rsidRDefault="00C33721" w:rsidP="005C6138">
      <w:pPr>
        <w:tabs>
          <w:tab w:val="left" w:leader="dot" w:pos="9072"/>
        </w:tabs>
        <w:spacing w:before="120" w:after="120"/>
        <w:ind w:left="567"/>
        <w:jc w:val="both"/>
      </w:pPr>
      <w:r>
        <w:rPr>
          <w:i/>
        </w:rPr>
        <w:t>Tämän jakson tietoja varten ks. suuntaviivojen 76 kappaleen a kohta ja 5 luku (455–463 kappale).</w:t>
      </w:r>
    </w:p>
    <w:p w14:paraId="4176B687" w14:textId="1F43944A" w:rsidR="00FE28B4" w:rsidRPr="00D96C20" w:rsidRDefault="00FE28B4" w:rsidP="000B3E97">
      <w:pPr>
        <w:pStyle w:val="ListParagraph"/>
        <w:numPr>
          <w:ilvl w:val="0"/>
          <w:numId w:val="4"/>
        </w:numPr>
        <w:spacing w:before="120" w:after="120"/>
        <w:ind w:left="567" w:hanging="567"/>
        <w:contextualSpacing w:val="0"/>
        <w:jc w:val="both"/>
      </w:pPr>
      <w:r>
        <w:t>Jos ilmoitettu toimenpide ylittää suuntaviivojen 456 kappaleessa esitetyt budjetin/menojen kynnysarvot, selittäkää, miksi mielestänne olisi sovellettava suuntaviivojen 457 kappaleen mukaista poikkeusta, tai liittäkää tähän lisätietolomakkeeseen liite, joka sisältää luonnoksen suuntaviivojen 458 kappaleessa mainitut seikat kattavaksi arviointisuunnitelmaksi</w:t>
      </w:r>
      <w:r>
        <w:rPr>
          <w:vertAlign w:val="superscript"/>
          <w:lang w:eastAsia="en-GB"/>
        </w:rPr>
        <w:footnoteReference w:id="13"/>
      </w:r>
      <w:r>
        <w:t>.</w:t>
      </w:r>
    </w:p>
    <w:p w14:paraId="02454385" w14:textId="77777777" w:rsidR="00FE28B4" w:rsidRPr="00D96C20" w:rsidRDefault="00FE28B4" w:rsidP="00FE28B4">
      <w:pPr>
        <w:spacing w:before="120" w:after="120"/>
        <w:ind w:firstLine="567"/>
        <w:jc w:val="both"/>
      </w:pPr>
      <w:r>
        <w:t>……………………………………………………………………………………………</w:t>
      </w:r>
    </w:p>
    <w:p w14:paraId="363BFD10" w14:textId="77777777" w:rsidR="00FE28B4" w:rsidRPr="00D96C20" w:rsidRDefault="00FE28B4" w:rsidP="000B3E97">
      <w:pPr>
        <w:pStyle w:val="ListParagraph"/>
        <w:numPr>
          <w:ilvl w:val="0"/>
          <w:numId w:val="4"/>
        </w:numPr>
        <w:spacing w:before="120" w:after="120"/>
        <w:ind w:left="567" w:hanging="567"/>
        <w:contextualSpacing w:val="0"/>
        <w:jc w:val="both"/>
      </w:pPr>
      <w:r>
        <w:t>Jos toimitatte arviointisuunnitelman luonnoksen,</w:t>
      </w:r>
    </w:p>
    <w:p w14:paraId="36682E0D" w14:textId="77777777" w:rsidR="00FE28B4" w:rsidRPr="00D96C20" w:rsidRDefault="00FE28B4" w:rsidP="00F10E39">
      <w:pPr>
        <w:numPr>
          <w:ilvl w:val="0"/>
          <w:numId w:val="34"/>
        </w:numPr>
        <w:spacing w:before="120" w:after="120"/>
        <w:jc w:val="both"/>
      </w:pPr>
      <w:r>
        <w:t>esittäkää alla yhteenveto liitteessä olevasta arviointisuunnitelman luonnoksesta;</w:t>
      </w:r>
    </w:p>
    <w:p w14:paraId="55BB6E08" w14:textId="77777777" w:rsidR="00FE28B4" w:rsidRPr="00D96C20" w:rsidRDefault="00FE28B4" w:rsidP="00FE28B4">
      <w:pPr>
        <w:spacing w:before="120" w:after="120"/>
        <w:ind w:left="1440"/>
        <w:jc w:val="both"/>
      </w:pPr>
      <w:r>
        <w:t>………………………………………………………………………………….</w:t>
      </w:r>
    </w:p>
    <w:p w14:paraId="1279036C" w14:textId="77777777" w:rsidR="00FE28B4" w:rsidRPr="00D96C20" w:rsidRDefault="00FE28B4" w:rsidP="00F10E39">
      <w:pPr>
        <w:numPr>
          <w:ilvl w:val="0"/>
          <w:numId w:val="34"/>
        </w:numPr>
        <w:spacing w:before="120" w:after="120"/>
        <w:jc w:val="both"/>
      </w:pPr>
      <w:r>
        <w:t>vahvistakaa, että suuntaviivojen 460 kappaletta noudatetaan;</w:t>
      </w:r>
    </w:p>
    <w:p w14:paraId="478509E5" w14:textId="77777777" w:rsidR="00FE28B4" w:rsidRPr="00D96C20" w:rsidRDefault="00FE28B4" w:rsidP="00FE28B4">
      <w:pPr>
        <w:spacing w:before="120" w:after="120"/>
        <w:ind w:left="1440"/>
        <w:jc w:val="both"/>
      </w:pPr>
      <w:r>
        <w:t xml:space="preserve">…………………………………………………………………………………. </w:t>
      </w:r>
    </w:p>
    <w:p w14:paraId="55D970DB" w14:textId="77777777" w:rsidR="00FE28B4" w:rsidRPr="00D96C20" w:rsidRDefault="00FE28B4" w:rsidP="00F10E39">
      <w:pPr>
        <w:numPr>
          <w:ilvl w:val="0"/>
          <w:numId w:val="34"/>
        </w:numPr>
        <w:spacing w:before="120" w:after="120"/>
        <w:jc w:val="both"/>
      </w:pPr>
      <w:r>
        <w:t>antakaa linkki verkkosivulle, jolla arviointisuunnitelma julkaistaan, ja ilmoittakaa julkaisemisen päivämäärä.</w:t>
      </w:r>
    </w:p>
    <w:p w14:paraId="11CB5329" w14:textId="77777777" w:rsidR="00FE28B4" w:rsidRPr="00D96C20" w:rsidRDefault="00FE28B4" w:rsidP="00FE28B4">
      <w:pPr>
        <w:spacing w:before="120" w:after="120"/>
        <w:ind w:left="1440"/>
        <w:jc w:val="both"/>
      </w:pPr>
      <w:r>
        <w:lastRenderedPageBreak/>
        <w:t xml:space="preserve">…………………………………………………………………………………. </w:t>
      </w:r>
    </w:p>
    <w:p w14:paraId="4041F7F4" w14:textId="77777777" w:rsidR="00FE28B4" w:rsidRPr="00D96C20" w:rsidRDefault="00FE28B4" w:rsidP="000B3E97">
      <w:pPr>
        <w:pStyle w:val="ListParagraph"/>
        <w:numPr>
          <w:ilvl w:val="0"/>
          <w:numId w:val="4"/>
        </w:numPr>
        <w:spacing w:before="120" w:after="120"/>
        <w:ind w:left="567" w:hanging="567"/>
        <w:contextualSpacing w:val="0"/>
        <w:jc w:val="both"/>
      </w:pPr>
      <w:r>
        <w:t xml:space="preserve">Jos tukiohjelmaan ei tällä hetkellä sovelleta jälkiarviointia ja sen kesto on yli kolme vuotta, vahvistakaa suuntaviivojen 459 kappaleen b kohdan noudattamisen todentamiseksi, että ilmoitatte arviointisuunnitelman luonnoksen 30 työpäivän kuluessa merkittävästä muutoksesta, joka kasvattaa ohjelman budjetin jonakin vuotena yli 150 miljoonaan euroon tai ohjelman koko keston aikana yli 750 miljoonaan euroon. </w:t>
      </w:r>
    </w:p>
    <w:p w14:paraId="3DD21DFD" w14:textId="77777777" w:rsidR="00FE28B4" w:rsidRPr="00D96C20" w:rsidRDefault="00FE28B4" w:rsidP="00FE28B4">
      <w:pPr>
        <w:tabs>
          <w:tab w:val="left" w:leader="dot" w:pos="9072"/>
        </w:tabs>
        <w:spacing w:before="120" w:after="120"/>
        <w:ind w:left="567"/>
        <w:jc w:val="both"/>
      </w:pPr>
      <w:r>
        <w:tab/>
      </w:r>
    </w:p>
    <w:p w14:paraId="40D53E4A" w14:textId="77777777" w:rsidR="00FE28B4" w:rsidRPr="00D96C20" w:rsidRDefault="00FE28B4" w:rsidP="000B3E97">
      <w:pPr>
        <w:pStyle w:val="ListParagraph"/>
        <w:numPr>
          <w:ilvl w:val="0"/>
          <w:numId w:val="4"/>
        </w:numPr>
        <w:spacing w:before="120" w:after="120"/>
        <w:ind w:left="567" w:hanging="567"/>
        <w:contextualSpacing w:val="0"/>
        <w:jc w:val="both"/>
      </w:pPr>
      <w:r>
        <w:t xml:space="preserve">Jos tukiohjelmaan ei tällä hetkellä sovelleta jälkiarviointia, esittäkää suuntaviivojen 459 kappaleen c kohdan noudattamisen todentamiseksi alla sitoumus, jonka mukaan jäsenvaltio ilmoittaa arviointisuunnitelman luonnoksen </w:t>
      </w:r>
      <w:r>
        <w:rPr>
          <w:shd w:val="clear" w:color="auto" w:fill="FFFFFF"/>
        </w:rPr>
        <w:t>30 työpäivän kuluessa siitä, kun viralliseen tilinpäätökseen on kirjattu yli 150 miljoonan euron menot edelliseltä vuodelta</w:t>
      </w:r>
      <w:r>
        <w:t xml:space="preserve">. </w:t>
      </w:r>
    </w:p>
    <w:p w14:paraId="4FC36C62" w14:textId="77777777" w:rsidR="00FE28B4" w:rsidRPr="00D96C20" w:rsidRDefault="00FE28B4" w:rsidP="00FE28B4">
      <w:pPr>
        <w:tabs>
          <w:tab w:val="left" w:leader="dot" w:pos="9072"/>
        </w:tabs>
        <w:spacing w:before="120" w:after="120"/>
        <w:ind w:left="567"/>
        <w:jc w:val="both"/>
      </w:pPr>
      <w:r>
        <w:tab/>
      </w:r>
    </w:p>
    <w:p w14:paraId="1721BABB" w14:textId="77777777" w:rsidR="00FE28B4" w:rsidRPr="00D96C20" w:rsidRDefault="00FE28B4" w:rsidP="000B3E97">
      <w:pPr>
        <w:pStyle w:val="ListParagraph"/>
        <w:numPr>
          <w:ilvl w:val="0"/>
          <w:numId w:val="4"/>
        </w:numPr>
        <w:spacing w:before="120" w:after="120"/>
        <w:ind w:left="567" w:hanging="567"/>
        <w:contextualSpacing w:val="0"/>
        <w:jc w:val="both"/>
      </w:pPr>
      <w:r>
        <w:t>Suuntaviivojen 461 kappaleen noudattamisen todentamiseksi:</w:t>
      </w:r>
    </w:p>
    <w:p w14:paraId="04054438" w14:textId="77777777" w:rsidR="00FE28B4" w:rsidRPr="00D96C20" w:rsidRDefault="00FE28B4" w:rsidP="00F10E39">
      <w:pPr>
        <w:numPr>
          <w:ilvl w:val="0"/>
          <w:numId w:val="35"/>
        </w:numPr>
        <w:spacing w:before="120" w:after="120"/>
        <w:jc w:val="both"/>
      </w:pPr>
      <w:r>
        <w:t>täsmentäkää, onko riippumaton asiantuntija jo valittu vai valitaanko tämä tulevaisuudessa;</w:t>
      </w:r>
    </w:p>
    <w:p w14:paraId="5916D93B" w14:textId="77777777" w:rsidR="00FE28B4" w:rsidRPr="00D96C20" w:rsidRDefault="00FE28B4" w:rsidP="00FE28B4">
      <w:pPr>
        <w:spacing w:before="120" w:after="120"/>
        <w:ind w:left="1440"/>
        <w:jc w:val="both"/>
      </w:pPr>
      <w:r>
        <w:t>…………………………………………………………………………………..</w:t>
      </w:r>
    </w:p>
    <w:p w14:paraId="5C9891CF" w14:textId="77777777" w:rsidR="00FE28B4" w:rsidRPr="00D96C20" w:rsidRDefault="00FE28B4" w:rsidP="00F10E39">
      <w:pPr>
        <w:numPr>
          <w:ilvl w:val="0"/>
          <w:numId w:val="35"/>
        </w:numPr>
        <w:spacing w:before="120" w:after="120"/>
        <w:jc w:val="both"/>
      </w:pPr>
      <w:r>
        <w:t>antakaa tiedot asiantuntijan valintamenettelystä;</w:t>
      </w:r>
    </w:p>
    <w:p w14:paraId="641EA92F" w14:textId="77777777" w:rsidR="00FE28B4" w:rsidRPr="00D96C20" w:rsidRDefault="00FE28B4" w:rsidP="00FE28B4">
      <w:pPr>
        <w:spacing w:before="120" w:after="120"/>
        <w:ind w:left="1440"/>
        <w:jc w:val="both"/>
      </w:pPr>
      <w:r>
        <w:t>………………………………………………………………………………….</w:t>
      </w:r>
    </w:p>
    <w:p w14:paraId="074D5B00" w14:textId="77777777" w:rsidR="00FE28B4" w:rsidRPr="00D96C20" w:rsidRDefault="00FE28B4" w:rsidP="00F10E39">
      <w:pPr>
        <w:numPr>
          <w:ilvl w:val="0"/>
          <w:numId w:val="35"/>
        </w:numPr>
        <w:spacing w:before="120" w:after="120"/>
        <w:jc w:val="both"/>
      </w:pPr>
      <w:r>
        <w:t>perustelkaa, miten asiantuntija on riippumaton tuen myöntävästä viranomaisesta.</w:t>
      </w:r>
    </w:p>
    <w:p w14:paraId="3DA8CA32" w14:textId="77777777" w:rsidR="00FE28B4" w:rsidRPr="00D96C20" w:rsidRDefault="00FE28B4" w:rsidP="00FE28B4">
      <w:pPr>
        <w:spacing w:before="120" w:after="120"/>
        <w:ind w:left="1440"/>
        <w:jc w:val="both"/>
      </w:pPr>
      <w:r>
        <w:t xml:space="preserve">………………………………………………………………………………….. </w:t>
      </w:r>
    </w:p>
    <w:p w14:paraId="0F61A6AD" w14:textId="77777777" w:rsidR="00FE28B4" w:rsidRPr="00D96C20" w:rsidRDefault="00FE28B4" w:rsidP="000B3E97">
      <w:pPr>
        <w:pStyle w:val="ListParagraph"/>
        <w:numPr>
          <w:ilvl w:val="0"/>
          <w:numId w:val="4"/>
        </w:numPr>
        <w:tabs>
          <w:tab w:val="left" w:pos="567"/>
        </w:tabs>
        <w:spacing w:before="120" w:after="120"/>
        <w:ind w:left="567" w:hanging="567"/>
        <w:contextualSpacing w:val="0"/>
        <w:jc w:val="both"/>
      </w:pPr>
      <w:r>
        <w:t xml:space="preserve">Suuntaviivojen 461 kappaleen noudattamisen todentamiseksi: </w:t>
      </w:r>
    </w:p>
    <w:p w14:paraId="3043EB67" w14:textId="77777777" w:rsidR="00FE28B4" w:rsidRPr="00D96C20" w:rsidRDefault="00FE28B4" w:rsidP="00F10E39">
      <w:pPr>
        <w:numPr>
          <w:ilvl w:val="0"/>
          <w:numId w:val="36"/>
        </w:numPr>
        <w:spacing w:before="120" w:after="120"/>
        <w:jc w:val="both"/>
      </w:pPr>
      <w:r>
        <w:t>Ilmoittakaa ehdottamanne määräajat väliarviointiraportin ja lopullisen arviointiraportin toimittamiselle. Huomatkaa, että suuntaviivojen 463 kappaleen mukaan jälkiarviointiraportti on toimitettava komissiolle riittävän ajoissa, jotta komissio voi arvioida tukijärjestelmän voimassaolon mahdollista jatkamista, ja viimeistään yhdeksän kuukautta ennen sen voimassaolon päättymistä. Huomatkaa, että tätä määräaikaa voidaan lyhentää ohjelmissa, joihin kohdistuu arviointivaatimus niiden kahden viimeisen toteutusvuoden aikana.</w:t>
      </w:r>
    </w:p>
    <w:p w14:paraId="38AA9CDE" w14:textId="77777777" w:rsidR="00FE28B4" w:rsidRPr="00D96C20" w:rsidRDefault="00FE28B4" w:rsidP="00FE28B4">
      <w:pPr>
        <w:tabs>
          <w:tab w:val="left" w:leader="dot" w:pos="9072"/>
        </w:tabs>
        <w:spacing w:before="120" w:after="120"/>
        <w:ind w:left="567"/>
        <w:jc w:val="both"/>
      </w:pPr>
      <w:r>
        <w:t xml:space="preserve"> </w:t>
      </w:r>
      <w:r>
        <w:tab/>
      </w:r>
    </w:p>
    <w:p w14:paraId="0450D14F" w14:textId="77777777" w:rsidR="00FE28B4" w:rsidRPr="00D96C20" w:rsidRDefault="00FE28B4" w:rsidP="00F10E39">
      <w:pPr>
        <w:numPr>
          <w:ilvl w:val="0"/>
          <w:numId w:val="36"/>
        </w:numPr>
        <w:spacing w:before="120" w:after="120"/>
        <w:jc w:val="both"/>
      </w:pPr>
      <w:r>
        <w:t xml:space="preserve">Vahvistakaa, että väliarviointiraportti ja lopullinen arviointiraportti julkistetaan. Antakaa linkki verkkosivulle, jolla raportit julkaistaan, ja ilmoittakaa julkaisemisen päivämäärä. </w:t>
      </w:r>
    </w:p>
    <w:p w14:paraId="10FA3DB0" w14:textId="77777777" w:rsidR="00627715" w:rsidRPr="00D96C20"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D96C20" w14:paraId="5AFCC7AE" w14:textId="77777777" w:rsidTr="001C4D88">
        <w:tc>
          <w:tcPr>
            <w:tcW w:w="9322" w:type="dxa"/>
            <w:shd w:val="pct15" w:color="auto" w:fill="auto"/>
          </w:tcPr>
          <w:p w14:paraId="6B1D3811" w14:textId="0DC25057" w:rsidR="00627715" w:rsidRPr="00D96C20" w:rsidRDefault="00627715" w:rsidP="00B96B8C">
            <w:pPr>
              <w:numPr>
                <w:ilvl w:val="0"/>
                <w:numId w:val="33"/>
              </w:numPr>
              <w:jc w:val="center"/>
              <w:rPr>
                <w:rFonts w:eastAsia="Times New Roman"/>
                <w:b/>
                <w:i/>
                <w:sz w:val="28"/>
                <w:szCs w:val="28"/>
              </w:rPr>
            </w:pPr>
            <w:r>
              <w:rPr>
                <w:b/>
                <w:i/>
                <w:sz w:val="28"/>
              </w:rPr>
              <w:t>Raportointi ja seuranta</w:t>
            </w:r>
          </w:p>
        </w:tc>
      </w:tr>
    </w:tbl>
    <w:p w14:paraId="03FF5B05" w14:textId="77777777" w:rsidR="00FE28B4" w:rsidRPr="00D96C20" w:rsidRDefault="00FE28B4" w:rsidP="00FE28B4">
      <w:pPr>
        <w:tabs>
          <w:tab w:val="left" w:leader="dot" w:pos="9072"/>
        </w:tabs>
        <w:spacing w:before="120" w:after="120"/>
        <w:ind w:left="567"/>
        <w:jc w:val="both"/>
      </w:pPr>
      <w:r>
        <w:rPr>
          <w:i/>
        </w:rPr>
        <w:t>Tämän jakson tietoja varten ks. suuntaviivojen 6 luku (464–465 kappale).</w:t>
      </w:r>
    </w:p>
    <w:p w14:paraId="76538DE7" w14:textId="77777777" w:rsidR="00FE28B4" w:rsidRPr="00D96C20" w:rsidRDefault="00FE28B4" w:rsidP="000B3E97">
      <w:pPr>
        <w:pStyle w:val="ListParagraph"/>
        <w:numPr>
          <w:ilvl w:val="0"/>
          <w:numId w:val="4"/>
        </w:numPr>
        <w:spacing w:before="120" w:after="120"/>
        <w:ind w:left="567" w:hanging="567"/>
        <w:contextualSpacing w:val="0"/>
        <w:jc w:val="both"/>
      </w:pPr>
      <w:r>
        <w:t>Vahvistakaa, että jäsenvaltio noudattaa suuntaviivojen 6 luvun 464 ja 465 kappaleessa esitettyjä raportointi- ja seurantavaatimuksia.</w:t>
      </w:r>
    </w:p>
    <w:p w14:paraId="6B996AF9" w14:textId="77777777" w:rsidR="00697188" w:rsidRPr="00711243" w:rsidRDefault="00697188" w:rsidP="000442F5"/>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4E055" w14:textId="77777777" w:rsidR="008D2777" w:rsidRDefault="008D2777" w:rsidP="000442F5">
      <w:r>
        <w:separator/>
      </w:r>
    </w:p>
  </w:endnote>
  <w:endnote w:type="continuationSeparator" w:id="0">
    <w:p w14:paraId="30518242" w14:textId="77777777" w:rsidR="008D2777" w:rsidRDefault="008D2777" w:rsidP="000442F5">
      <w:r>
        <w:continuationSeparator/>
      </w:r>
    </w:p>
  </w:endnote>
  <w:endnote w:type="continuationNotice" w:id="1">
    <w:p w14:paraId="6C286D99" w14:textId="77777777" w:rsidR="008D2777" w:rsidRDefault="008D2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81E0D" w14:textId="77777777" w:rsidR="00A2265A" w:rsidRDefault="00A226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1C9EC25" w:rsidR="008D2777" w:rsidRDefault="008D2777">
    <w:pPr>
      <w:pStyle w:val="Footer"/>
      <w:jc w:val="center"/>
    </w:pPr>
    <w:r>
      <w:fldChar w:fldCharType="begin"/>
    </w:r>
    <w:r>
      <w:instrText xml:space="preserve"> PAGE   \* MERGEFORMAT </w:instrText>
    </w:r>
    <w:r>
      <w:fldChar w:fldCharType="separate"/>
    </w:r>
    <w:r>
      <w:t>4</w:t>
    </w:r>
    <w:r>
      <w:fldChar w:fldCharType="end"/>
    </w:r>
  </w:p>
  <w:p w14:paraId="75E356FD" w14:textId="77777777" w:rsidR="008D2777" w:rsidRDefault="008D2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A8C4E" w14:textId="77777777" w:rsidR="00A2265A" w:rsidRDefault="00A226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F06E9" w14:textId="77777777" w:rsidR="008D2777" w:rsidRDefault="008D2777" w:rsidP="000442F5">
      <w:r>
        <w:separator/>
      </w:r>
    </w:p>
  </w:footnote>
  <w:footnote w:type="continuationSeparator" w:id="0">
    <w:p w14:paraId="69A14AB2" w14:textId="77777777" w:rsidR="008D2777" w:rsidRDefault="008D2777" w:rsidP="000442F5">
      <w:r>
        <w:continuationSeparator/>
      </w:r>
    </w:p>
  </w:footnote>
  <w:footnote w:type="continuationNotice" w:id="1">
    <w:p w14:paraId="15170FD1" w14:textId="77777777" w:rsidR="008D2777" w:rsidRDefault="008D2777"/>
  </w:footnote>
  <w:footnote w:id="2">
    <w:p w14:paraId="390A7C79" w14:textId="77777777" w:rsidR="00C076F2" w:rsidRPr="0067348B" w:rsidRDefault="00C076F2" w:rsidP="00C076F2">
      <w:pPr>
        <w:pStyle w:val="FootnoteText"/>
      </w:pPr>
      <w:r>
        <w:rPr>
          <w:rStyle w:val="FootnoteReference"/>
        </w:rPr>
        <w:footnoteRef/>
      </w:r>
      <w:r>
        <w:tab/>
        <w:t>EUVL C 80, 18.2.2022, s. 1.</w:t>
      </w:r>
    </w:p>
  </w:footnote>
  <w:footnote w:id="3">
    <w:p w14:paraId="6565D8D9" w14:textId="77777777" w:rsidR="005937D4" w:rsidRPr="0067348B" w:rsidRDefault="005937D4" w:rsidP="005937D4">
      <w:pPr>
        <w:pStyle w:val="FootnoteText"/>
      </w:pPr>
      <w:r>
        <w:rPr>
          <w:rStyle w:val="FootnoteReference"/>
        </w:rPr>
        <w:footnoteRef/>
      </w:r>
      <w:r>
        <w:tab/>
        <w:t>Huomatkaa, että tukiohjelman kesto on se ajanjakso, jona tukea voidaan hakea ja jona siitä voidaan päättää (mukaan lukien aika, jonka kansalliset viranomaiset tarvitsevat tukihakemusten hyväksymiseen). Tässä kysymyksessä tarkoitettu kesto ei liity tukiohjelman puitteissa tehtyjen sopimusten kestoon, vaan sopimukset voivat jatkua myös toimenpiteen päättymisen jälkeen.</w:t>
      </w:r>
    </w:p>
  </w:footnote>
  <w:footnote w:id="4">
    <w:p w14:paraId="2D55E73F" w14:textId="77777777" w:rsidR="007444CC" w:rsidRPr="0067348B" w:rsidRDefault="007444CC" w:rsidP="007444CC">
      <w:pPr>
        <w:pStyle w:val="FootnoteText"/>
      </w:pPr>
      <w:r>
        <w:rPr>
          <w:rStyle w:val="FootnoteReference"/>
        </w:rPr>
        <w:footnoteRef/>
      </w:r>
      <w:r>
        <w:tab/>
        <w:t>Huomatkaa, että toteutuvan tai alustavan budjetin muutos voi vaikuttaa tukitoimenpiteeseen siinä määrin että siitä on tehtävä uusi ilmoitus.</w:t>
      </w:r>
    </w:p>
  </w:footnote>
  <w:footnote w:id="5">
    <w:p w14:paraId="561DACBB" w14:textId="1FF2FC9F" w:rsidR="008D2777" w:rsidRDefault="008D2777">
      <w:pPr>
        <w:pStyle w:val="FootnoteText"/>
      </w:pPr>
    </w:p>
  </w:footnote>
  <w:footnote w:id="6">
    <w:p w14:paraId="4C19DBFC" w14:textId="4F9612F8" w:rsidR="008D2777" w:rsidRPr="00AF47B9" w:rsidRDefault="008D2777">
      <w:pPr>
        <w:pStyle w:val="FootnoteText"/>
      </w:pPr>
    </w:p>
  </w:footnote>
  <w:footnote w:id="7">
    <w:p w14:paraId="76D8E62B" w14:textId="77777777" w:rsidR="00D37B1D" w:rsidRDefault="008D2777" w:rsidP="00D37B1D">
      <w:pPr>
        <w:pStyle w:val="FootnoteText"/>
      </w:pPr>
      <w:r>
        <w:rPr>
          <w:rStyle w:val="FootnoteReference"/>
        </w:rPr>
        <w:footnoteRef/>
      </w:r>
      <w:r>
        <w:t xml:space="preserve"> </w:t>
      </w:r>
      <w:r>
        <w:tab/>
        <w:t xml:space="preserve">Suuntaviivojen 31 kappaleessa todetaan näin: </w:t>
      </w:r>
      <w:r>
        <w:rPr>
          <w:i/>
        </w:rPr>
        <w:t>”Tietyissä poikkeustapauksissa tuella voi olla kannustava vaikutus myös sellaisten hankkeiden osalta, jotka on aloitettu ennen tukihakemuksen jättämistä.</w:t>
      </w:r>
    </w:p>
    <w:p w14:paraId="1524F4B1" w14:textId="7A02E55F" w:rsidR="008D2777" w:rsidRPr="00D24240" w:rsidRDefault="008D2777" w:rsidP="00D37B1D">
      <w:pPr>
        <w:pStyle w:val="FootnoteText"/>
        <w:rPr>
          <w:i/>
        </w:rPr>
      </w:pPr>
      <w:r>
        <w:rPr>
          <w:i/>
        </w:rPr>
        <w:t xml:space="preserve"> Tällöin tuella katsotaan olevan kannustava vaikutus erityisesti seuraavissa tilanteissa:</w:t>
      </w:r>
    </w:p>
    <w:p w14:paraId="5730337E" w14:textId="7DC3746A" w:rsidR="008D2777" w:rsidRPr="00D24240" w:rsidRDefault="008D2777" w:rsidP="00F10E39">
      <w:pPr>
        <w:pStyle w:val="FootnoteText"/>
        <w:numPr>
          <w:ilvl w:val="0"/>
          <w:numId w:val="24"/>
        </w:numPr>
        <w:rPr>
          <w:i/>
        </w:rPr>
      </w:pPr>
      <w:r>
        <w:rPr>
          <w:i/>
        </w:rPr>
        <w:t>tuki myönnetään automaattisesti puolueettomin ja syrjimättömin perustein ja ilman jäsenvaltion harkintavaltaa ja tukitoimenpide on hyväksytty ja se on voimassa ennen tuetun hankkeen tai toiminnan aloittamista, lukuun ottamatta verotuksellisia jatko-ohjelmia, joissa toiminta kuului jo aikaisempien, veroetujen muodossa olevien järjestelmien piiriin;</w:t>
      </w:r>
    </w:p>
    <w:p w14:paraId="126E383A" w14:textId="1F4A7ABF" w:rsidR="008D2777" w:rsidRPr="00D24240" w:rsidRDefault="008D2777" w:rsidP="00F10E39">
      <w:pPr>
        <w:pStyle w:val="FootnoteText"/>
        <w:numPr>
          <w:ilvl w:val="0"/>
          <w:numId w:val="24"/>
        </w:numPr>
        <w:rPr>
          <w:i/>
        </w:rPr>
      </w:pPr>
      <w:r>
        <w:rPr>
          <w:i/>
        </w:rPr>
        <w:t>kansalliset viranomaiset ovat ennen töiden aloittamista julkaisseet ilmoituksen aikomuksestaan ottaa ehdotettu tukitoimenpide käyttöön edellyttäen, että komissio hyväksyy toimenpiteen perussopimuksen 108 artiklan 3 kohdan mukaisesti. Tämä ilmoitus on asetettava saataville julkisella verkkosivustolla (tai muilla julkisilla tiedotusvälineillä, jotka ovat yhtä laajasti ja helposti saatavilla), ja siinä on ilmoitettava selkeästi, minkä tyyppisiä hankkeita jäsenvaltio ehdottaa tukikelpoisiksi ja mistä ajankohdasta alkaen jäsenvaltio aikoo katsoa tällaiset hankkeet tukikelpoisiksi. Ehdotettua tukikelpoisuutta ei saa perusteettomasti rajoittaa. Tuensaajan on täytynyt ilmoittaa tuen myöntävälle viranomaiselle ennen töiden aloittamista, että ehdotettua tukitoimenpidettä pidettiin investointipäätösten ehtona. Jos jäsenvaltio vetoaa tällaiseen ilmoitukseen kannustavan vaikutuksen osoittamiseksi, sen on toimitettava valtiontuki-ilmoituksensa yhteydessä kopio kyseisestä ilmoituksesta ja linkki verkkosivustolle, jolla se on julkaistu, tai vastaavat todisteet ilmoituksen yleisestä saatavuudesta;</w:t>
      </w:r>
    </w:p>
    <w:p w14:paraId="64F711A8" w14:textId="54D3F761" w:rsidR="008D2777" w:rsidRDefault="008D2777" w:rsidP="00F10E39">
      <w:pPr>
        <w:pStyle w:val="FootnoteText"/>
        <w:numPr>
          <w:ilvl w:val="0"/>
          <w:numId w:val="24"/>
        </w:numPr>
      </w:pPr>
      <w:r>
        <w:rPr>
          <w:i/>
        </w:rPr>
        <w:t>toimintatukea myönnetään olemassa oleville laitoksille ympäristöystävälliseen tuotantoon, kun ”töiden aloittamista” ei voida määrittää koska asiaan ei liity uutta merkittävää investointia. Näissä tapauksissa kannustava vaikutus voidaan osoittaa muutoksella laitoksen toiminnassa ympäristöystävälliseen suuntaan sen sijaan että olisi valittu vaihtoehtoinen halvempi toimintatapa, joka olisi ollut vähemmän ympäristöystävällinen.”</w:t>
      </w:r>
    </w:p>
  </w:footnote>
  <w:footnote w:id="8">
    <w:p w14:paraId="5276A1EB" w14:textId="77777777" w:rsidR="000C258D" w:rsidRDefault="000C258D" w:rsidP="000C258D">
      <w:pPr>
        <w:pStyle w:val="FootnoteText"/>
      </w:pPr>
      <w:r>
        <w:rPr>
          <w:rStyle w:val="FootnoteReference"/>
        </w:rPr>
        <w:footnoteRef/>
      </w:r>
      <w:r>
        <w:tab/>
        <w:t>Suuntaviivojen 19 kappaleen 89 kohdan mukaan ’unionin normilla’ tarkoitetaan</w:t>
      </w:r>
    </w:p>
    <w:p w14:paraId="2C2E9687" w14:textId="77777777" w:rsidR="000C258D" w:rsidRPr="004B74BC" w:rsidRDefault="000C258D" w:rsidP="00F10E39">
      <w:pPr>
        <w:pStyle w:val="FootnoteText"/>
        <w:numPr>
          <w:ilvl w:val="0"/>
          <w:numId w:val="27"/>
        </w:numPr>
        <w:rPr>
          <w:i/>
        </w:rPr>
      </w:pPr>
      <w:r>
        <w:rPr>
          <w:i/>
        </w:rPr>
        <w:t>pakollista unionin normia, jossa vahvistetaan tasot, jotka yksittäisten yritysten on saavutettava ympäristön kannalta, lukuun ottamatta unionin tasolla asetettuja normeja tai tavoitteita, jotka sitovat jäsenvaltioita mutta eivät yksittäisiä yrityksiä;</w:t>
      </w:r>
    </w:p>
    <w:p w14:paraId="125190F0" w14:textId="64BC945A" w:rsidR="000C258D" w:rsidRDefault="000C258D" w:rsidP="00F10E39">
      <w:pPr>
        <w:pStyle w:val="FootnoteText"/>
        <w:numPr>
          <w:ilvl w:val="0"/>
          <w:numId w:val="27"/>
        </w:numPr>
      </w:pPr>
      <w:r>
        <w:rPr>
          <w:i/>
        </w:rPr>
        <w:t>velvoitetta käyttää parasta käytettävissä olevaa tekniikkaa (BAT), siten kuin se on määritelty direktiivissä 2010/75/EU, ja sen varmistamista, että päästötasot eivät ylitä tasoa, joka saavutettaisiin soveltamalla parasta käytettävissä olevaa tekniikkaa; kun parhaaseen käytettävissä olevaan tekniikkaan liittyvät päästötasot on määritelty direktiivin 2010/75/EU tai muiden sovellettavien direktiivien nojalla annetuissa täytäntöönpanosäädöksissä, kyseisiä tasoja käytetään näitä suuntaviivoja sovellettaessa; jos nämä tasot ilmaistaan vaihteluvälinä, sovelletaan sitä raja-arvoa, jonka kyseinen yritys saavuttaa parhaalla käytettävissä olevalla tekniikalla ensimmäisen kerran.</w:t>
      </w:r>
    </w:p>
  </w:footnote>
  <w:footnote w:id="9">
    <w:p w14:paraId="6589188F" w14:textId="70D9D8AA" w:rsidR="008D2777" w:rsidRDefault="008D2777">
      <w:pPr>
        <w:pStyle w:val="FootnoteText"/>
      </w:pPr>
      <w:r>
        <w:rPr>
          <w:rStyle w:val="FootnoteReference"/>
        </w:rPr>
        <w:footnoteRef/>
      </w:r>
      <w:r>
        <w:t xml:space="preserve"> </w:t>
      </w:r>
      <w:r>
        <w:tab/>
        <w:t>Suuntaviivojen 51 kappaleen mukaan ”</w:t>
      </w:r>
      <w:r>
        <w:rPr>
          <w:i/>
          <w:color w:val="000000"/>
          <w:shd w:val="clear" w:color="auto" w:fill="FFFFFF"/>
        </w:rPr>
        <w:t>tyypilliset ylimääräiset nettokustannukset voidaan arvioida tosiasiallisen skenaarion nettonykyarvon ja vaihtoehtoisen skenaarion nettonykyarvon erotuksena viitehankkeen elinkaaren aikana</w:t>
      </w:r>
      <w:r>
        <w:t>”.</w:t>
      </w:r>
    </w:p>
  </w:footnote>
  <w:footnote w:id="10">
    <w:p w14:paraId="02B0A4E3" w14:textId="5C6F97AB" w:rsidR="008D2777" w:rsidRDefault="008D2777">
      <w:pPr>
        <w:pStyle w:val="FootnoteText"/>
      </w:pPr>
      <w:r>
        <w:rPr>
          <w:rStyle w:val="FootnoteReference"/>
        </w:rPr>
        <w:footnoteRef/>
      </w:r>
      <w:r>
        <w:t xml:space="preserve"> </w:t>
      </w:r>
      <w:r>
        <w:tab/>
        <w:t xml:space="preserve">Huomioikaa, että suuntaviivojen alaviitteen 45 mukaan </w:t>
      </w:r>
      <w:r>
        <w:rPr>
          <w:i/>
        </w:rPr>
        <w:t>”</w:t>
      </w:r>
      <w:r>
        <w:rPr>
          <w:i/>
          <w:color w:val="000000"/>
          <w:sz w:val="19"/>
          <w:shd w:val="clear" w:color="auto" w:fill="FFFFFF"/>
        </w:rPr>
        <w:t>vaihtoehtoista skenaariota, jossa ehdotetaan vaihtoehtoisena investointi-/toimintaskenaariona nykyisen, ympäristön kannalta kestävän kehityksen vastaisen toiminnan jatkamista pitkällä aikavälillä, ei pidetä realistisena</w:t>
      </w:r>
      <w:r>
        <w:rPr>
          <w:i/>
        </w:rPr>
        <w:t>”</w:t>
      </w:r>
      <w:r>
        <w:t>.</w:t>
      </w:r>
    </w:p>
  </w:footnote>
  <w:footnote w:id="11">
    <w:p w14:paraId="4E6E256B" w14:textId="4AB0B555" w:rsidR="008D2777" w:rsidRDefault="008D2777">
      <w:pPr>
        <w:pStyle w:val="FootnoteText"/>
      </w:pPr>
      <w:r>
        <w:rPr>
          <w:rStyle w:val="FootnoteReference"/>
        </w:rPr>
        <w:footnoteRef/>
      </w:r>
      <w:r>
        <w:t xml:space="preserve"> </w:t>
      </w:r>
      <w:r>
        <w:tab/>
        <w:t>Huomatkaa, että suuntaviivojen alaviitteessä 46 todetaan seuraavaa: ”</w:t>
      </w:r>
      <w:r>
        <w:rPr>
          <w:i/>
        </w:rPr>
        <w:t>Kaikki asiaankuuluvat odotettavissa olevat kustannukset ja hyödyt hankkeen koko kestoaikana on otettava huomioon.</w:t>
      </w:r>
      <w:r>
        <w:t>”</w:t>
      </w:r>
    </w:p>
  </w:footnote>
  <w:footnote w:id="12">
    <w:p w14:paraId="086AD512" w14:textId="7087BE19" w:rsidR="008D2777" w:rsidRPr="009C7EC5" w:rsidRDefault="008D2777">
      <w:pPr>
        <w:pStyle w:val="FootnoteText"/>
      </w:pPr>
      <w:r>
        <w:rPr>
          <w:rStyle w:val="FootnoteReference"/>
        </w:rPr>
        <w:footnoteRef/>
      </w:r>
      <w:r>
        <w:t xml:space="preserve"> </w:t>
      </w:r>
      <w:r>
        <w:tab/>
        <w:t>Keskitetysti hallinnoitu unionin rahoitus on Euroopan unionin toimielinten, virastojen, yhteisyritysten tai muiden elinten keskitetysti hallinnoimaa unionin rahoitusta, joka ei kuulu suoraan tai välillisesti jäsenvaltion määräysvaltaan.</w:t>
      </w:r>
    </w:p>
  </w:footnote>
  <w:footnote w:id="13">
    <w:p w14:paraId="2B7A8351" w14:textId="77777777" w:rsidR="00FE28B4" w:rsidRDefault="00FE28B4" w:rsidP="00FE28B4">
      <w:pPr>
        <w:pStyle w:val="FootnoteText"/>
      </w:pPr>
      <w:r>
        <w:rPr>
          <w:rStyle w:val="FootnoteReference"/>
        </w:rPr>
        <w:footnoteRef/>
      </w:r>
      <w:r>
        <w:t xml:space="preserve"> </w:t>
      </w:r>
      <w:r>
        <w:tab/>
        <w:t xml:space="preserve">Arviointisuunnitelman ilmoittamiseen käytettävän lisätietolomakkeen malli (osa III.8) on saatavilla täällä: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2F1D6" w14:textId="77777777" w:rsidR="00A2265A" w:rsidRDefault="00A226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3BCB6" w14:textId="77777777" w:rsidR="00A2265A" w:rsidRDefault="00A226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D2777" w:rsidRDefault="008D2777"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1A5ED0"/>
    <w:multiLevelType w:val="hybridMultilevel"/>
    <w:tmpl w:val="3E5A5FE2"/>
    <w:lvl w:ilvl="0" w:tplc="54525058">
      <w:start w:val="1"/>
      <w:numFmt w:val="lowerLetter"/>
      <w:lvlText w:val="%1."/>
      <w:lvlJc w:val="right"/>
      <w:pPr>
        <w:ind w:left="2160" w:hanging="18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0D37DAB"/>
    <w:multiLevelType w:val="hybridMultilevel"/>
    <w:tmpl w:val="AE36005C"/>
    <w:lvl w:ilvl="0" w:tplc="03AE66F8">
      <w:start w:val="9"/>
      <w:numFmt w:val="lowerLetter"/>
      <w:lvlText w:val="%1."/>
      <w:lvlJc w:val="left"/>
      <w:pPr>
        <w:ind w:left="1211" w:hanging="360"/>
      </w:pPr>
      <w:rPr>
        <w:rFonts w:hint="default"/>
      </w:rPr>
    </w:lvl>
    <w:lvl w:ilvl="1" w:tplc="18090019" w:tentative="1">
      <w:start w:val="1"/>
      <w:numFmt w:val="lowerLetter"/>
      <w:lvlText w:val="%2."/>
      <w:lvlJc w:val="left"/>
      <w:pPr>
        <w:ind w:left="1931" w:hanging="360"/>
      </w:pPr>
    </w:lvl>
    <w:lvl w:ilvl="2" w:tplc="1809001B" w:tentative="1">
      <w:start w:val="1"/>
      <w:numFmt w:val="lowerRoman"/>
      <w:lvlText w:val="%3."/>
      <w:lvlJc w:val="right"/>
      <w:pPr>
        <w:ind w:left="2651" w:hanging="180"/>
      </w:pPr>
    </w:lvl>
    <w:lvl w:ilvl="3" w:tplc="1809000F" w:tentative="1">
      <w:start w:val="1"/>
      <w:numFmt w:val="decimal"/>
      <w:lvlText w:val="%4."/>
      <w:lvlJc w:val="left"/>
      <w:pPr>
        <w:ind w:left="3371" w:hanging="360"/>
      </w:pPr>
    </w:lvl>
    <w:lvl w:ilvl="4" w:tplc="18090019" w:tentative="1">
      <w:start w:val="1"/>
      <w:numFmt w:val="lowerLetter"/>
      <w:lvlText w:val="%5."/>
      <w:lvlJc w:val="left"/>
      <w:pPr>
        <w:ind w:left="4091" w:hanging="360"/>
      </w:pPr>
    </w:lvl>
    <w:lvl w:ilvl="5" w:tplc="1809001B" w:tentative="1">
      <w:start w:val="1"/>
      <w:numFmt w:val="lowerRoman"/>
      <w:lvlText w:val="%6."/>
      <w:lvlJc w:val="right"/>
      <w:pPr>
        <w:ind w:left="4811" w:hanging="180"/>
      </w:pPr>
    </w:lvl>
    <w:lvl w:ilvl="6" w:tplc="1809000F" w:tentative="1">
      <w:start w:val="1"/>
      <w:numFmt w:val="decimal"/>
      <w:lvlText w:val="%7."/>
      <w:lvlJc w:val="left"/>
      <w:pPr>
        <w:ind w:left="5531" w:hanging="360"/>
      </w:pPr>
    </w:lvl>
    <w:lvl w:ilvl="7" w:tplc="18090019" w:tentative="1">
      <w:start w:val="1"/>
      <w:numFmt w:val="lowerLetter"/>
      <w:lvlText w:val="%8."/>
      <w:lvlJc w:val="left"/>
      <w:pPr>
        <w:ind w:left="6251" w:hanging="360"/>
      </w:pPr>
    </w:lvl>
    <w:lvl w:ilvl="8" w:tplc="1809001B" w:tentative="1">
      <w:start w:val="1"/>
      <w:numFmt w:val="lowerRoman"/>
      <w:lvlText w:val="%9."/>
      <w:lvlJc w:val="right"/>
      <w:pPr>
        <w:ind w:left="6971" w:hanging="180"/>
      </w:pPr>
    </w:lvl>
  </w:abstractNum>
  <w:abstractNum w:abstractNumId="14"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232E4F69"/>
    <w:multiLevelType w:val="multilevel"/>
    <w:tmpl w:val="6C1CF95A"/>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ED3E62"/>
    <w:multiLevelType w:val="hybridMultilevel"/>
    <w:tmpl w:val="0896A066"/>
    <w:lvl w:ilvl="0" w:tplc="FFFFFFFF">
      <w:start w:val="1"/>
      <w:numFmt w:val="lowerRoman"/>
      <w:lvlText w:val="%1."/>
      <w:lvlJc w:val="right"/>
      <w:pPr>
        <w:ind w:left="1550" w:hanging="360"/>
      </w:pPr>
      <w:rPr>
        <w:rFonts w:ascii="Times New Roman" w:hAnsi="Times New Roman" w:hint="default"/>
        <w:b w:val="0"/>
        <w:i w:val="0"/>
        <w:sz w:val="24"/>
      </w:rPr>
    </w:lvl>
    <w:lvl w:ilvl="1" w:tplc="FFFFFFFF" w:tentative="1">
      <w:start w:val="1"/>
      <w:numFmt w:val="lowerLetter"/>
      <w:lvlText w:val="%2."/>
      <w:lvlJc w:val="left"/>
      <w:pPr>
        <w:ind w:left="2270" w:hanging="360"/>
      </w:pPr>
    </w:lvl>
    <w:lvl w:ilvl="2" w:tplc="FFFFFFFF" w:tentative="1">
      <w:start w:val="1"/>
      <w:numFmt w:val="lowerRoman"/>
      <w:lvlText w:val="%3."/>
      <w:lvlJc w:val="right"/>
      <w:pPr>
        <w:ind w:left="2990" w:hanging="180"/>
      </w:pPr>
    </w:lvl>
    <w:lvl w:ilvl="3" w:tplc="FFFFFFFF" w:tentative="1">
      <w:start w:val="1"/>
      <w:numFmt w:val="decimal"/>
      <w:lvlText w:val="%4."/>
      <w:lvlJc w:val="left"/>
      <w:pPr>
        <w:ind w:left="3710" w:hanging="360"/>
      </w:pPr>
    </w:lvl>
    <w:lvl w:ilvl="4" w:tplc="FFFFFFFF" w:tentative="1">
      <w:start w:val="1"/>
      <w:numFmt w:val="lowerLetter"/>
      <w:lvlText w:val="%5."/>
      <w:lvlJc w:val="left"/>
      <w:pPr>
        <w:ind w:left="4430" w:hanging="360"/>
      </w:pPr>
    </w:lvl>
    <w:lvl w:ilvl="5" w:tplc="FFFFFFFF" w:tentative="1">
      <w:start w:val="1"/>
      <w:numFmt w:val="lowerRoman"/>
      <w:lvlText w:val="%6."/>
      <w:lvlJc w:val="right"/>
      <w:pPr>
        <w:ind w:left="5150" w:hanging="180"/>
      </w:pPr>
    </w:lvl>
    <w:lvl w:ilvl="6" w:tplc="FFFFFFFF" w:tentative="1">
      <w:start w:val="1"/>
      <w:numFmt w:val="decimal"/>
      <w:lvlText w:val="%7."/>
      <w:lvlJc w:val="left"/>
      <w:pPr>
        <w:ind w:left="5870" w:hanging="360"/>
      </w:pPr>
    </w:lvl>
    <w:lvl w:ilvl="7" w:tplc="FFFFFFFF" w:tentative="1">
      <w:start w:val="1"/>
      <w:numFmt w:val="lowerLetter"/>
      <w:lvlText w:val="%8."/>
      <w:lvlJc w:val="left"/>
      <w:pPr>
        <w:ind w:left="6590" w:hanging="360"/>
      </w:pPr>
    </w:lvl>
    <w:lvl w:ilvl="8" w:tplc="FFFFFFFF" w:tentative="1">
      <w:start w:val="1"/>
      <w:numFmt w:val="lowerRoman"/>
      <w:lvlText w:val="%9."/>
      <w:lvlJc w:val="right"/>
      <w:pPr>
        <w:ind w:left="731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B056A5"/>
    <w:multiLevelType w:val="hybridMultilevel"/>
    <w:tmpl w:val="8A4626D8"/>
    <w:lvl w:ilvl="0" w:tplc="A1A49292">
      <w:numFmt w:val="bullet"/>
      <w:lvlText w:val="-"/>
      <w:lvlJc w:val="left"/>
      <w:pPr>
        <w:ind w:left="1797" w:hanging="360"/>
      </w:pPr>
      <w:rPr>
        <w:rFonts w:ascii="Times New Roman" w:eastAsia="Calibri" w:hAnsi="Times New Roman" w:cs="Times New Roman" w:hint="default"/>
      </w:rPr>
    </w:lvl>
    <w:lvl w:ilvl="1" w:tplc="04090003">
      <w:start w:val="1"/>
      <w:numFmt w:val="bullet"/>
      <w:lvlText w:val="o"/>
      <w:lvlJc w:val="left"/>
      <w:pPr>
        <w:ind w:left="2517" w:hanging="360"/>
      </w:pPr>
      <w:rPr>
        <w:rFonts w:ascii="Courier New" w:hAnsi="Courier New" w:cs="Courier New" w:hint="default"/>
      </w:rPr>
    </w:lvl>
    <w:lvl w:ilvl="2" w:tplc="04090005">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24"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8D4807"/>
    <w:multiLevelType w:val="hybridMultilevel"/>
    <w:tmpl w:val="856AB6F4"/>
    <w:lvl w:ilvl="0" w:tplc="CF80E470">
      <w:start w:val="1"/>
      <w:numFmt w:val="lowerLetter"/>
      <w:lvlText w:val="%1)"/>
      <w:lvlJc w:val="left"/>
      <w:pPr>
        <w:ind w:left="1077" w:hanging="360"/>
      </w:pPr>
      <w:rPr>
        <w:rFonts w:hint="default"/>
      </w:rPr>
    </w:lvl>
    <w:lvl w:ilvl="1" w:tplc="04090019">
      <w:start w:val="1"/>
      <w:numFmt w:val="lowerLetter"/>
      <w:lvlText w:val="%2."/>
      <w:lvlJc w:val="left"/>
      <w:pPr>
        <w:ind w:left="1797" w:hanging="360"/>
      </w:pPr>
    </w:lvl>
    <w:lvl w:ilvl="2" w:tplc="3AB49D94">
      <w:numFmt w:val="bullet"/>
      <w:lvlText w:val="-"/>
      <w:lvlJc w:val="left"/>
      <w:pPr>
        <w:ind w:left="2697" w:hanging="360"/>
      </w:pPr>
      <w:rPr>
        <w:rFonts w:ascii="Times New Roman" w:eastAsia="Calibri" w:hAnsi="Times New Roman" w:cs="Times New Roman" w:hint="default"/>
      </w:r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2"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3"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4" w15:restartNumberingAfterBreak="0">
    <w:nsid w:val="66A63355"/>
    <w:multiLevelType w:val="hybridMultilevel"/>
    <w:tmpl w:val="6972DC1E"/>
    <w:lvl w:ilvl="0" w:tplc="82A46EEA">
      <w:start w:val="1"/>
      <w:numFmt w:val="decimal"/>
      <w:lvlText w:val="%1."/>
      <w:lvlJc w:val="left"/>
      <w:pPr>
        <w:ind w:left="720" w:hanging="360"/>
      </w:pPr>
      <w:rPr>
        <w:rFonts w:hint="default"/>
        <w:b/>
        <w:i w:val="0"/>
      </w:rPr>
    </w:lvl>
    <w:lvl w:ilvl="1" w:tplc="04090017">
      <w:start w:val="1"/>
      <w:numFmt w:val="lowerLetter"/>
      <w:lvlText w:val="%2)"/>
      <w:lvlJc w:val="left"/>
      <w:pPr>
        <w:ind w:left="1440" w:hanging="360"/>
      </w:pPr>
      <w:rPr>
        <w:rFonts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6" w15:restartNumberingAfterBreak="0">
    <w:nsid w:val="69E82D07"/>
    <w:multiLevelType w:val="multilevel"/>
    <w:tmpl w:val="68B699BC"/>
    <w:lvl w:ilvl="0">
      <w:start w:val="2"/>
      <w:numFmt w:val="decimal"/>
      <w:lvlText w:val="%1"/>
      <w:lvlJc w:val="left"/>
      <w:pPr>
        <w:ind w:left="480" w:hanging="480"/>
      </w:pPr>
      <w:rPr>
        <w:rFonts w:hint="default"/>
      </w:rPr>
    </w:lvl>
    <w:lvl w:ilvl="1">
      <w:start w:val="1"/>
      <w:numFmt w:val="decimal"/>
      <w:lvlText w:val="%1.%2"/>
      <w:lvlJc w:val="left"/>
      <w:pPr>
        <w:ind w:left="1236" w:hanging="480"/>
      </w:pPr>
      <w:rPr>
        <w:rFonts w:hint="default"/>
      </w:rPr>
    </w:lvl>
    <w:lvl w:ilvl="2">
      <w:start w:val="2"/>
      <w:numFmt w:val="decimal"/>
      <w:lvlText w:val="%1.%2.%3"/>
      <w:lvlJc w:val="left"/>
      <w:pPr>
        <w:ind w:left="2232"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4104" w:hanging="1080"/>
      </w:pPr>
      <w:rPr>
        <w:rFonts w:hint="default"/>
      </w:rPr>
    </w:lvl>
    <w:lvl w:ilvl="5">
      <w:start w:val="1"/>
      <w:numFmt w:val="decimal"/>
      <w:lvlText w:val="%1.%2.%3.%4.%5.%6"/>
      <w:lvlJc w:val="left"/>
      <w:pPr>
        <w:ind w:left="4860" w:hanging="1080"/>
      </w:pPr>
      <w:rPr>
        <w:rFonts w:hint="default"/>
      </w:rPr>
    </w:lvl>
    <w:lvl w:ilvl="6">
      <w:start w:val="1"/>
      <w:numFmt w:val="decimal"/>
      <w:lvlText w:val="%1.%2.%3.%4.%5.%6.%7"/>
      <w:lvlJc w:val="left"/>
      <w:pPr>
        <w:ind w:left="5976" w:hanging="1440"/>
      </w:pPr>
      <w:rPr>
        <w:rFonts w:hint="default"/>
      </w:rPr>
    </w:lvl>
    <w:lvl w:ilvl="7">
      <w:start w:val="1"/>
      <w:numFmt w:val="decimal"/>
      <w:lvlText w:val="%1.%2.%3.%4.%5.%6.%7.%8"/>
      <w:lvlJc w:val="left"/>
      <w:pPr>
        <w:ind w:left="6732" w:hanging="1440"/>
      </w:pPr>
      <w:rPr>
        <w:rFonts w:hint="default"/>
      </w:rPr>
    </w:lvl>
    <w:lvl w:ilvl="8">
      <w:start w:val="1"/>
      <w:numFmt w:val="decimal"/>
      <w:lvlText w:val="%1.%2.%3.%4.%5.%6.%7.%8.%9"/>
      <w:lvlJc w:val="left"/>
      <w:pPr>
        <w:ind w:left="7848" w:hanging="1800"/>
      </w:pPr>
      <w:rPr>
        <w:rFonts w:hint="default"/>
      </w:rPr>
    </w:lvl>
  </w:abstractNum>
  <w:abstractNum w:abstractNumId="3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num w:numId="1" w16cid:durableId="1014918617">
    <w:abstractNumId w:val="8"/>
  </w:num>
  <w:num w:numId="2" w16cid:durableId="1789277758">
    <w:abstractNumId w:val="12"/>
  </w:num>
  <w:num w:numId="3" w16cid:durableId="10832619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8878899">
    <w:abstractNumId w:val="34"/>
  </w:num>
  <w:num w:numId="5" w16cid:durableId="20779712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97660977">
    <w:abstractNumId w:val="22"/>
  </w:num>
  <w:num w:numId="7" w16cid:durableId="1359891630">
    <w:abstractNumId w:val="18"/>
  </w:num>
  <w:num w:numId="8" w16cid:durableId="642975715">
    <w:abstractNumId w:val="7"/>
  </w:num>
  <w:num w:numId="9" w16cid:durableId="1260598691">
    <w:abstractNumId w:val="6"/>
  </w:num>
  <w:num w:numId="10" w16cid:durableId="1819884786">
    <w:abstractNumId w:val="32"/>
  </w:num>
  <w:num w:numId="11" w16cid:durableId="1358772462">
    <w:abstractNumId w:val="35"/>
  </w:num>
  <w:num w:numId="12" w16cid:durableId="227375807">
    <w:abstractNumId w:val="33"/>
  </w:num>
  <w:num w:numId="13" w16cid:durableId="1866283419">
    <w:abstractNumId w:val="37"/>
  </w:num>
  <w:num w:numId="14" w16cid:durableId="640429853">
    <w:abstractNumId w:val="16"/>
  </w:num>
  <w:num w:numId="15" w16cid:durableId="1318727278">
    <w:abstractNumId w:val="27"/>
  </w:num>
  <w:num w:numId="16" w16cid:durableId="1169446170">
    <w:abstractNumId w:val="4"/>
  </w:num>
  <w:num w:numId="17" w16cid:durableId="1230574815">
    <w:abstractNumId w:val="29"/>
  </w:num>
  <w:num w:numId="18" w16cid:durableId="924264111">
    <w:abstractNumId w:val="1"/>
  </w:num>
  <w:num w:numId="19" w16cid:durableId="265237095">
    <w:abstractNumId w:val="0"/>
  </w:num>
  <w:num w:numId="20" w16cid:durableId="1973055113">
    <w:abstractNumId w:val="5"/>
  </w:num>
  <w:num w:numId="21" w16cid:durableId="163671220">
    <w:abstractNumId w:val="14"/>
  </w:num>
  <w:num w:numId="22" w16cid:durableId="125316281">
    <w:abstractNumId w:val="19"/>
  </w:num>
  <w:num w:numId="23" w16cid:durableId="1206066391">
    <w:abstractNumId w:val="10"/>
  </w:num>
  <w:num w:numId="24" w16cid:durableId="825976972">
    <w:abstractNumId w:val="21"/>
  </w:num>
  <w:num w:numId="25" w16cid:durableId="1114203769">
    <w:abstractNumId w:val="30"/>
  </w:num>
  <w:num w:numId="26" w16cid:durableId="61604726">
    <w:abstractNumId w:val="9"/>
  </w:num>
  <w:num w:numId="27" w16cid:durableId="858083849">
    <w:abstractNumId w:val="20"/>
  </w:num>
  <w:num w:numId="28" w16cid:durableId="1614898177">
    <w:abstractNumId w:val="25"/>
  </w:num>
  <w:num w:numId="29" w16cid:durableId="190732580">
    <w:abstractNumId w:val="31"/>
  </w:num>
  <w:num w:numId="30" w16cid:durableId="1967617921">
    <w:abstractNumId w:val="23"/>
  </w:num>
  <w:num w:numId="31" w16cid:durableId="1678455596">
    <w:abstractNumId w:val="17"/>
  </w:num>
  <w:num w:numId="32" w16cid:durableId="1201631566">
    <w:abstractNumId w:val="15"/>
  </w:num>
  <w:num w:numId="33" w16cid:durableId="828903209">
    <w:abstractNumId w:val="36"/>
  </w:num>
  <w:num w:numId="34" w16cid:durableId="1489056556">
    <w:abstractNumId w:val="26"/>
  </w:num>
  <w:num w:numId="35" w16cid:durableId="1679229139">
    <w:abstractNumId w:val="11"/>
  </w:num>
  <w:num w:numId="36" w16cid:durableId="1456363873">
    <w:abstractNumId w:val="3"/>
  </w:num>
  <w:num w:numId="37" w16cid:durableId="1601258063">
    <w:abstractNumId w:val="13"/>
  </w:num>
  <w:num w:numId="38" w16cid:durableId="868682578">
    <w:abstractNumId w:val="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grammar="clean"/>
  <w:doNotTrackMoves/>
  <w:defaultTabStop w:val="720"/>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434"/>
    <w:rsid w:val="00015E2B"/>
    <w:rsid w:val="00016884"/>
    <w:rsid w:val="00016924"/>
    <w:rsid w:val="00020ECB"/>
    <w:rsid w:val="0002251B"/>
    <w:rsid w:val="000236B2"/>
    <w:rsid w:val="00026DCF"/>
    <w:rsid w:val="00030283"/>
    <w:rsid w:val="000314D8"/>
    <w:rsid w:val="00033005"/>
    <w:rsid w:val="00034704"/>
    <w:rsid w:val="000369C2"/>
    <w:rsid w:val="00041455"/>
    <w:rsid w:val="00042D7B"/>
    <w:rsid w:val="0004325C"/>
    <w:rsid w:val="000442F5"/>
    <w:rsid w:val="0004464A"/>
    <w:rsid w:val="0004513C"/>
    <w:rsid w:val="000456D8"/>
    <w:rsid w:val="00050EB9"/>
    <w:rsid w:val="00051090"/>
    <w:rsid w:val="000531F9"/>
    <w:rsid w:val="00054C3D"/>
    <w:rsid w:val="00054C7D"/>
    <w:rsid w:val="00056F69"/>
    <w:rsid w:val="000575C3"/>
    <w:rsid w:val="00062608"/>
    <w:rsid w:val="00067138"/>
    <w:rsid w:val="0006798B"/>
    <w:rsid w:val="00074701"/>
    <w:rsid w:val="00082E97"/>
    <w:rsid w:val="000A055E"/>
    <w:rsid w:val="000A276B"/>
    <w:rsid w:val="000A5825"/>
    <w:rsid w:val="000A5C13"/>
    <w:rsid w:val="000B0AAF"/>
    <w:rsid w:val="000B1BDB"/>
    <w:rsid w:val="000B3E97"/>
    <w:rsid w:val="000B4557"/>
    <w:rsid w:val="000B46CA"/>
    <w:rsid w:val="000B768F"/>
    <w:rsid w:val="000B7D26"/>
    <w:rsid w:val="000C258D"/>
    <w:rsid w:val="000C3517"/>
    <w:rsid w:val="000C614B"/>
    <w:rsid w:val="000C64AD"/>
    <w:rsid w:val="000D23DD"/>
    <w:rsid w:val="000D3C54"/>
    <w:rsid w:val="000D7371"/>
    <w:rsid w:val="000E7DFF"/>
    <w:rsid w:val="000F176E"/>
    <w:rsid w:val="00100464"/>
    <w:rsid w:val="00102684"/>
    <w:rsid w:val="00102E32"/>
    <w:rsid w:val="00105CC5"/>
    <w:rsid w:val="00106A61"/>
    <w:rsid w:val="00115C85"/>
    <w:rsid w:val="001169CB"/>
    <w:rsid w:val="00117CBD"/>
    <w:rsid w:val="00120336"/>
    <w:rsid w:val="0012340C"/>
    <w:rsid w:val="00124329"/>
    <w:rsid w:val="00124B6F"/>
    <w:rsid w:val="00125122"/>
    <w:rsid w:val="00126334"/>
    <w:rsid w:val="001368AC"/>
    <w:rsid w:val="0013791D"/>
    <w:rsid w:val="00137C03"/>
    <w:rsid w:val="00140522"/>
    <w:rsid w:val="00142B91"/>
    <w:rsid w:val="00143ABF"/>
    <w:rsid w:val="00144C96"/>
    <w:rsid w:val="001474B5"/>
    <w:rsid w:val="0015340B"/>
    <w:rsid w:val="00154451"/>
    <w:rsid w:val="001548B6"/>
    <w:rsid w:val="001555F0"/>
    <w:rsid w:val="001620DB"/>
    <w:rsid w:val="001622D8"/>
    <w:rsid w:val="00164ADE"/>
    <w:rsid w:val="0016750C"/>
    <w:rsid w:val="00170FBF"/>
    <w:rsid w:val="0017251B"/>
    <w:rsid w:val="00173E14"/>
    <w:rsid w:val="001759B4"/>
    <w:rsid w:val="00175C89"/>
    <w:rsid w:val="001766A0"/>
    <w:rsid w:val="0017744F"/>
    <w:rsid w:val="00181BB0"/>
    <w:rsid w:val="0018463C"/>
    <w:rsid w:val="001874A6"/>
    <w:rsid w:val="00190D7F"/>
    <w:rsid w:val="00191564"/>
    <w:rsid w:val="00193E48"/>
    <w:rsid w:val="00196847"/>
    <w:rsid w:val="00197CE8"/>
    <w:rsid w:val="001A7BBF"/>
    <w:rsid w:val="001A7CAC"/>
    <w:rsid w:val="001B0D9B"/>
    <w:rsid w:val="001B645C"/>
    <w:rsid w:val="001B6590"/>
    <w:rsid w:val="001B6DD1"/>
    <w:rsid w:val="001C27EF"/>
    <w:rsid w:val="001C4D88"/>
    <w:rsid w:val="001C5A50"/>
    <w:rsid w:val="001C7129"/>
    <w:rsid w:val="001D3382"/>
    <w:rsid w:val="001D69A5"/>
    <w:rsid w:val="001D7EE4"/>
    <w:rsid w:val="001E6859"/>
    <w:rsid w:val="001F17A4"/>
    <w:rsid w:val="001F56DC"/>
    <w:rsid w:val="001F7806"/>
    <w:rsid w:val="0020109B"/>
    <w:rsid w:val="0020702F"/>
    <w:rsid w:val="0020770B"/>
    <w:rsid w:val="00207D52"/>
    <w:rsid w:val="00210BE0"/>
    <w:rsid w:val="00211A92"/>
    <w:rsid w:val="00222274"/>
    <w:rsid w:val="0022598D"/>
    <w:rsid w:val="00230614"/>
    <w:rsid w:val="0023543E"/>
    <w:rsid w:val="00235A26"/>
    <w:rsid w:val="002464D3"/>
    <w:rsid w:val="00250081"/>
    <w:rsid w:val="00250481"/>
    <w:rsid w:val="0025374D"/>
    <w:rsid w:val="002565B7"/>
    <w:rsid w:val="00256F72"/>
    <w:rsid w:val="00263A65"/>
    <w:rsid w:val="00264FE6"/>
    <w:rsid w:val="00265702"/>
    <w:rsid w:val="002727F7"/>
    <w:rsid w:val="00277BC0"/>
    <w:rsid w:val="00280D61"/>
    <w:rsid w:val="00284ADA"/>
    <w:rsid w:val="0029002E"/>
    <w:rsid w:val="0029110A"/>
    <w:rsid w:val="00291ACC"/>
    <w:rsid w:val="002928CD"/>
    <w:rsid w:val="00293076"/>
    <w:rsid w:val="002933E1"/>
    <w:rsid w:val="00295028"/>
    <w:rsid w:val="00295065"/>
    <w:rsid w:val="00295C90"/>
    <w:rsid w:val="0029714D"/>
    <w:rsid w:val="002A11D4"/>
    <w:rsid w:val="002A2303"/>
    <w:rsid w:val="002A3B51"/>
    <w:rsid w:val="002B0498"/>
    <w:rsid w:val="002B056A"/>
    <w:rsid w:val="002B0F24"/>
    <w:rsid w:val="002B4509"/>
    <w:rsid w:val="002B52B3"/>
    <w:rsid w:val="002B70C6"/>
    <w:rsid w:val="002C0264"/>
    <w:rsid w:val="002C1559"/>
    <w:rsid w:val="002C4CEE"/>
    <w:rsid w:val="002C6636"/>
    <w:rsid w:val="002C6BE5"/>
    <w:rsid w:val="002D014F"/>
    <w:rsid w:val="002D3277"/>
    <w:rsid w:val="002D67D0"/>
    <w:rsid w:val="002D6F97"/>
    <w:rsid w:val="002E10AC"/>
    <w:rsid w:val="002E1B91"/>
    <w:rsid w:val="002F16BD"/>
    <w:rsid w:val="002F4845"/>
    <w:rsid w:val="002F4F73"/>
    <w:rsid w:val="0030040A"/>
    <w:rsid w:val="00304535"/>
    <w:rsid w:val="00304F41"/>
    <w:rsid w:val="00305073"/>
    <w:rsid w:val="00305DC0"/>
    <w:rsid w:val="00307FC7"/>
    <w:rsid w:val="00312A8F"/>
    <w:rsid w:val="00313947"/>
    <w:rsid w:val="003151F7"/>
    <w:rsid w:val="00321874"/>
    <w:rsid w:val="00324224"/>
    <w:rsid w:val="00325713"/>
    <w:rsid w:val="00326F40"/>
    <w:rsid w:val="00327439"/>
    <w:rsid w:val="003342BE"/>
    <w:rsid w:val="003358B3"/>
    <w:rsid w:val="00336A87"/>
    <w:rsid w:val="00341C6B"/>
    <w:rsid w:val="00343948"/>
    <w:rsid w:val="00345523"/>
    <w:rsid w:val="003458AA"/>
    <w:rsid w:val="00346146"/>
    <w:rsid w:val="003469DB"/>
    <w:rsid w:val="00355D93"/>
    <w:rsid w:val="00355ECB"/>
    <w:rsid w:val="0036238A"/>
    <w:rsid w:val="0036428C"/>
    <w:rsid w:val="00364FC0"/>
    <w:rsid w:val="003664A8"/>
    <w:rsid w:val="00372914"/>
    <w:rsid w:val="00373272"/>
    <w:rsid w:val="00374DC2"/>
    <w:rsid w:val="00374F76"/>
    <w:rsid w:val="003764EE"/>
    <w:rsid w:val="003765A5"/>
    <w:rsid w:val="00384B34"/>
    <w:rsid w:val="00387A82"/>
    <w:rsid w:val="0039008E"/>
    <w:rsid w:val="00391015"/>
    <w:rsid w:val="00392A3E"/>
    <w:rsid w:val="00393A93"/>
    <w:rsid w:val="0039646D"/>
    <w:rsid w:val="00396BCE"/>
    <w:rsid w:val="003A66DE"/>
    <w:rsid w:val="003B58FE"/>
    <w:rsid w:val="003C1D16"/>
    <w:rsid w:val="003C1D18"/>
    <w:rsid w:val="003C33B1"/>
    <w:rsid w:val="003C4F59"/>
    <w:rsid w:val="003C668A"/>
    <w:rsid w:val="003D0AAE"/>
    <w:rsid w:val="003D433B"/>
    <w:rsid w:val="003D476F"/>
    <w:rsid w:val="003D4D77"/>
    <w:rsid w:val="003D68B8"/>
    <w:rsid w:val="003E2897"/>
    <w:rsid w:val="003E4266"/>
    <w:rsid w:val="003E5029"/>
    <w:rsid w:val="003E6E6B"/>
    <w:rsid w:val="003F629D"/>
    <w:rsid w:val="00403BCE"/>
    <w:rsid w:val="004065A8"/>
    <w:rsid w:val="00407C0A"/>
    <w:rsid w:val="00411A2F"/>
    <w:rsid w:val="004133BD"/>
    <w:rsid w:val="00413966"/>
    <w:rsid w:val="004152C3"/>
    <w:rsid w:val="00415614"/>
    <w:rsid w:val="004165E0"/>
    <w:rsid w:val="00416D76"/>
    <w:rsid w:val="00421F63"/>
    <w:rsid w:val="004261E0"/>
    <w:rsid w:val="00427762"/>
    <w:rsid w:val="00431D32"/>
    <w:rsid w:val="00432738"/>
    <w:rsid w:val="0043413B"/>
    <w:rsid w:val="00435C49"/>
    <w:rsid w:val="00441F0B"/>
    <w:rsid w:val="00445F48"/>
    <w:rsid w:val="004473F5"/>
    <w:rsid w:val="004525DA"/>
    <w:rsid w:val="00452F5A"/>
    <w:rsid w:val="004556D2"/>
    <w:rsid w:val="00471B74"/>
    <w:rsid w:val="004755F4"/>
    <w:rsid w:val="004776A4"/>
    <w:rsid w:val="0048026D"/>
    <w:rsid w:val="004810CA"/>
    <w:rsid w:val="00483882"/>
    <w:rsid w:val="00484374"/>
    <w:rsid w:val="00493B89"/>
    <w:rsid w:val="00497548"/>
    <w:rsid w:val="00497669"/>
    <w:rsid w:val="004B0C34"/>
    <w:rsid w:val="004B10B5"/>
    <w:rsid w:val="004B2EF3"/>
    <w:rsid w:val="004B5C2A"/>
    <w:rsid w:val="004B74BC"/>
    <w:rsid w:val="004C0064"/>
    <w:rsid w:val="004D061A"/>
    <w:rsid w:val="004D1161"/>
    <w:rsid w:val="004D14A6"/>
    <w:rsid w:val="004D34AD"/>
    <w:rsid w:val="004D6830"/>
    <w:rsid w:val="004D6B12"/>
    <w:rsid w:val="004E0647"/>
    <w:rsid w:val="004E1CCE"/>
    <w:rsid w:val="004F16F9"/>
    <w:rsid w:val="004F192A"/>
    <w:rsid w:val="004F1FC4"/>
    <w:rsid w:val="004F668D"/>
    <w:rsid w:val="005003AE"/>
    <w:rsid w:val="005017E1"/>
    <w:rsid w:val="00501DBF"/>
    <w:rsid w:val="0050219C"/>
    <w:rsid w:val="005021C4"/>
    <w:rsid w:val="00502FC2"/>
    <w:rsid w:val="005039EF"/>
    <w:rsid w:val="00503FD6"/>
    <w:rsid w:val="00504F2E"/>
    <w:rsid w:val="00507D75"/>
    <w:rsid w:val="005105A1"/>
    <w:rsid w:val="0051165C"/>
    <w:rsid w:val="00512A31"/>
    <w:rsid w:val="0051324D"/>
    <w:rsid w:val="00514375"/>
    <w:rsid w:val="00523E17"/>
    <w:rsid w:val="00526607"/>
    <w:rsid w:val="00526ADF"/>
    <w:rsid w:val="00526E16"/>
    <w:rsid w:val="0053006D"/>
    <w:rsid w:val="005333AD"/>
    <w:rsid w:val="00533AE4"/>
    <w:rsid w:val="005440AC"/>
    <w:rsid w:val="0054472A"/>
    <w:rsid w:val="00544B04"/>
    <w:rsid w:val="00545B2F"/>
    <w:rsid w:val="00546CDE"/>
    <w:rsid w:val="005536DD"/>
    <w:rsid w:val="00554E1F"/>
    <w:rsid w:val="00557962"/>
    <w:rsid w:val="00562354"/>
    <w:rsid w:val="00564D5B"/>
    <w:rsid w:val="00566315"/>
    <w:rsid w:val="00571910"/>
    <w:rsid w:val="0057276B"/>
    <w:rsid w:val="0057408B"/>
    <w:rsid w:val="00574327"/>
    <w:rsid w:val="0057611A"/>
    <w:rsid w:val="00576C43"/>
    <w:rsid w:val="00577AF5"/>
    <w:rsid w:val="005832CC"/>
    <w:rsid w:val="0058489E"/>
    <w:rsid w:val="00592A5F"/>
    <w:rsid w:val="005937D4"/>
    <w:rsid w:val="005A370E"/>
    <w:rsid w:val="005A412F"/>
    <w:rsid w:val="005A4D83"/>
    <w:rsid w:val="005B1A69"/>
    <w:rsid w:val="005B2FED"/>
    <w:rsid w:val="005B40D5"/>
    <w:rsid w:val="005B7DF0"/>
    <w:rsid w:val="005C0DBD"/>
    <w:rsid w:val="005C2ABA"/>
    <w:rsid w:val="005C5481"/>
    <w:rsid w:val="005C6138"/>
    <w:rsid w:val="005C6594"/>
    <w:rsid w:val="005C7B32"/>
    <w:rsid w:val="005E0688"/>
    <w:rsid w:val="005E3625"/>
    <w:rsid w:val="005F0397"/>
    <w:rsid w:val="005F0E0A"/>
    <w:rsid w:val="005F4A56"/>
    <w:rsid w:val="005F6E6B"/>
    <w:rsid w:val="00606D3F"/>
    <w:rsid w:val="00611562"/>
    <w:rsid w:val="00613560"/>
    <w:rsid w:val="0061499B"/>
    <w:rsid w:val="00615130"/>
    <w:rsid w:val="006209FA"/>
    <w:rsid w:val="00622E98"/>
    <w:rsid w:val="00627715"/>
    <w:rsid w:val="00633726"/>
    <w:rsid w:val="00633A78"/>
    <w:rsid w:val="0064082D"/>
    <w:rsid w:val="006445C3"/>
    <w:rsid w:val="006461A6"/>
    <w:rsid w:val="00660F14"/>
    <w:rsid w:val="00663008"/>
    <w:rsid w:val="00663F9A"/>
    <w:rsid w:val="00665B4F"/>
    <w:rsid w:val="006668D8"/>
    <w:rsid w:val="00671053"/>
    <w:rsid w:val="0067348B"/>
    <w:rsid w:val="006773CE"/>
    <w:rsid w:val="00677805"/>
    <w:rsid w:val="00677E67"/>
    <w:rsid w:val="006906AE"/>
    <w:rsid w:val="00694FA0"/>
    <w:rsid w:val="00697188"/>
    <w:rsid w:val="00697BDC"/>
    <w:rsid w:val="006B0930"/>
    <w:rsid w:val="006B1712"/>
    <w:rsid w:val="006B2D40"/>
    <w:rsid w:val="006B345F"/>
    <w:rsid w:val="006B59A2"/>
    <w:rsid w:val="006B6657"/>
    <w:rsid w:val="006B7161"/>
    <w:rsid w:val="006C2BFD"/>
    <w:rsid w:val="006D10E1"/>
    <w:rsid w:val="006D38D6"/>
    <w:rsid w:val="006D6281"/>
    <w:rsid w:val="006D6AED"/>
    <w:rsid w:val="006E34F7"/>
    <w:rsid w:val="006E59A1"/>
    <w:rsid w:val="006F256F"/>
    <w:rsid w:val="006F2898"/>
    <w:rsid w:val="006F55B6"/>
    <w:rsid w:val="006F666A"/>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4FD0"/>
    <w:rsid w:val="00741A7A"/>
    <w:rsid w:val="00741C93"/>
    <w:rsid w:val="007444CC"/>
    <w:rsid w:val="00745B62"/>
    <w:rsid w:val="0074772E"/>
    <w:rsid w:val="00750C29"/>
    <w:rsid w:val="00752850"/>
    <w:rsid w:val="00753463"/>
    <w:rsid w:val="00753B93"/>
    <w:rsid w:val="00754C35"/>
    <w:rsid w:val="0075622E"/>
    <w:rsid w:val="00757E53"/>
    <w:rsid w:val="007629B8"/>
    <w:rsid w:val="00763003"/>
    <w:rsid w:val="00764CD2"/>
    <w:rsid w:val="0077075F"/>
    <w:rsid w:val="00770BD4"/>
    <w:rsid w:val="007746DD"/>
    <w:rsid w:val="007754A5"/>
    <w:rsid w:val="00775A33"/>
    <w:rsid w:val="00775A7E"/>
    <w:rsid w:val="0078387C"/>
    <w:rsid w:val="00785906"/>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5ADE"/>
    <w:rsid w:val="007C72F6"/>
    <w:rsid w:val="007D1E08"/>
    <w:rsid w:val="007D3544"/>
    <w:rsid w:val="007E16D8"/>
    <w:rsid w:val="007E30CC"/>
    <w:rsid w:val="007E39F8"/>
    <w:rsid w:val="007E3BA1"/>
    <w:rsid w:val="007E434C"/>
    <w:rsid w:val="007E4583"/>
    <w:rsid w:val="007F0A5C"/>
    <w:rsid w:val="007F2769"/>
    <w:rsid w:val="007F2D9B"/>
    <w:rsid w:val="007F5375"/>
    <w:rsid w:val="007F7B2E"/>
    <w:rsid w:val="00803223"/>
    <w:rsid w:val="00805640"/>
    <w:rsid w:val="0080609B"/>
    <w:rsid w:val="00807298"/>
    <w:rsid w:val="0080741F"/>
    <w:rsid w:val="00807B85"/>
    <w:rsid w:val="00807C9E"/>
    <w:rsid w:val="008102F0"/>
    <w:rsid w:val="00812A88"/>
    <w:rsid w:val="00815E69"/>
    <w:rsid w:val="00816A2B"/>
    <w:rsid w:val="008172E2"/>
    <w:rsid w:val="008203A0"/>
    <w:rsid w:val="00820985"/>
    <w:rsid w:val="00821F07"/>
    <w:rsid w:val="00825B94"/>
    <w:rsid w:val="0082799F"/>
    <w:rsid w:val="008309FC"/>
    <w:rsid w:val="008317D4"/>
    <w:rsid w:val="008334E3"/>
    <w:rsid w:val="00833705"/>
    <w:rsid w:val="00836324"/>
    <w:rsid w:val="00836816"/>
    <w:rsid w:val="00843D95"/>
    <w:rsid w:val="00846B27"/>
    <w:rsid w:val="00846CE7"/>
    <w:rsid w:val="008515FB"/>
    <w:rsid w:val="0085208E"/>
    <w:rsid w:val="00853AC4"/>
    <w:rsid w:val="008618B1"/>
    <w:rsid w:val="00861D9F"/>
    <w:rsid w:val="00863406"/>
    <w:rsid w:val="00863626"/>
    <w:rsid w:val="00864DCD"/>
    <w:rsid w:val="00865A9D"/>
    <w:rsid w:val="00866C66"/>
    <w:rsid w:val="008674C0"/>
    <w:rsid w:val="00870C6A"/>
    <w:rsid w:val="008806FA"/>
    <w:rsid w:val="008828D4"/>
    <w:rsid w:val="00882B8A"/>
    <w:rsid w:val="008848B5"/>
    <w:rsid w:val="008861D9"/>
    <w:rsid w:val="00890F0D"/>
    <w:rsid w:val="008948A5"/>
    <w:rsid w:val="00897919"/>
    <w:rsid w:val="008A18BC"/>
    <w:rsid w:val="008A3CB7"/>
    <w:rsid w:val="008A559D"/>
    <w:rsid w:val="008A5B68"/>
    <w:rsid w:val="008A7E93"/>
    <w:rsid w:val="008B16AB"/>
    <w:rsid w:val="008B1CA3"/>
    <w:rsid w:val="008B1E43"/>
    <w:rsid w:val="008C3068"/>
    <w:rsid w:val="008C3AB2"/>
    <w:rsid w:val="008C5759"/>
    <w:rsid w:val="008D1DCC"/>
    <w:rsid w:val="008D2777"/>
    <w:rsid w:val="008D2AB4"/>
    <w:rsid w:val="008D37F9"/>
    <w:rsid w:val="008D5571"/>
    <w:rsid w:val="008D71EF"/>
    <w:rsid w:val="008E0275"/>
    <w:rsid w:val="008E33E6"/>
    <w:rsid w:val="008E4062"/>
    <w:rsid w:val="008E4E94"/>
    <w:rsid w:val="008F12AC"/>
    <w:rsid w:val="008F26C5"/>
    <w:rsid w:val="008F2CDE"/>
    <w:rsid w:val="008F5A1E"/>
    <w:rsid w:val="009000F0"/>
    <w:rsid w:val="00900825"/>
    <w:rsid w:val="0090138C"/>
    <w:rsid w:val="00904729"/>
    <w:rsid w:val="00904979"/>
    <w:rsid w:val="009159A7"/>
    <w:rsid w:val="009162D0"/>
    <w:rsid w:val="00917063"/>
    <w:rsid w:val="00920B9C"/>
    <w:rsid w:val="00921247"/>
    <w:rsid w:val="0092172E"/>
    <w:rsid w:val="00925EF8"/>
    <w:rsid w:val="0093046D"/>
    <w:rsid w:val="009329F1"/>
    <w:rsid w:val="00932D56"/>
    <w:rsid w:val="00936573"/>
    <w:rsid w:val="009368F1"/>
    <w:rsid w:val="009412D3"/>
    <w:rsid w:val="0094429F"/>
    <w:rsid w:val="00945368"/>
    <w:rsid w:val="00947BCE"/>
    <w:rsid w:val="00957D47"/>
    <w:rsid w:val="00961876"/>
    <w:rsid w:val="0096537D"/>
    <w:rsid w:val="0096752D"/>
    <w:rsid w:val="00970EF3"/>
    <w:rsid w:val="00980D9E"/>
    <w:rsid w:val="009813AF"/>
    <w:rsid w:val="00981863"/>
    <w:rsid w:val="009861F5"/>
    <w:rsid w:val="0098722B"/>
    <w:rsid w:val="009916D5"/>
    <w:rsid w:val="009965BA"/>
    <w:rsid w:val="00996699"/>
    <w:rsid w:val="009A606D"/>
    <w:rsid w:val="009B23EB"/>
    <w:rsid w:val="009B2A4B"/>
    <w:rsid w:val="009B2F61"/>
    <w:rsid w:val="009B6EA8"/>
    <w:rsid w:val="009B749D"/>
    <w:rsid w:val="009C1CC6"/>
    <w:rsid w:val="009C275F"/>
    <w:rsid w:val="009C7EC5"/>
    <w:rsid w:val="009D0772"/>
    <w:rsid w:val="009D15AC"/>
    <w:rsid w:val="009D22F2"/>
    <w:rsid w:val="009D3BC5"/>
    <w:rsid w:val="009D65D3"/>
    <w:rsid w:val="009D6AD7"/>
    <w:rsid w:val="009E2C04"/>
    <w:rsid w:val="009E2EA1"/>
    <w:rsid w:val="009E309F"/>
    <w:rsid w:val="009E5AE0"/>
    <w:rsid w:val="009F4041"/>
    <w:rsid w:val="00A05235"/>
    <w:rsid w:val="00A2108A"/>
    <w:rsid w:val="00A22402"/>
    <w:rsid w:val="00A2265A"/>
    <w:rsid w:val="00A255BF"/>
    <w:rsid w:val="00A25D46"/>
    <w:rsid w:val="00A27600"/>
    <w:rsid w:val="00A27E0C"/>
    <w:rsid w:val="00A33BDE"/>
    <w:rsid w:val="00A35E9E"/>
    <w:rsid w:val="00A37F08"/>
    <w:rsid w:val="00A4067B"/>
    <w:rsid w:val="00A40CA2"/>
    <w:rsid w:val="00A42834"/>
    <w:rsid w:val="00A431BD"/>
    <w:rsid w:val="00A45079"/>
    <w:rsid w:val="00A51C4A"/>
    <w:rsid w:val="00A54EFB"/>
    <w:rsid w:val="00A56FE6"/>
    <w:rsid w:val="00A6007A"/>
    <w:rsid w:val="00A652F4"/>
    <w:rsid w:val="00A66FA2"/>
    <w:rsid w:val="00A70104"/>
    <w:rsid w:val="00A77677"/>
    <w:rsid w:val="00A77F76"/>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5B96"/>
    <w:rsid w:val="00AD0976"/>
    <w:rsid w:val="00AD3A3E"/>
    <w:rsid w:val="00AE4020"/>
    <w:rsid w:val="00AF1422"/>
    <w:rsid w:val="00AF203B"/>
    <w:rsid w:val="00AF3BAB"/>
    <w:rsid w:val="00AF3E4A"/>
    <w:rsid w:val="00AF47B9"/>
    <w:rsid w:val="00AF520F"/>
    <w:rsid w:val="00B025A1"/>
    <w:rsid w:val="00B049F9"/>
    <w:rsid w:val="00B05591"/>
    <w:rsid w:val="00B07E32"/>
    <w:rsid w:val="00B13D02"/>
    <w:rsid w:val="00B13E24"/>
    <w:rsid w:val="00B15313"/>
    <w:rsid w:val="00B2002A"/>
    <w:rsid w:val="00B21377"/>
    <w:rsid w:val="00B246B7"/>
    <w:rsid w:val="00B249F6"/>
    <w:rsid w:val="00B24D9B"/>
    <w:rsid w:val="00B2631C"/>
    <w:rsid w:val="00B26532"/>
    <w:rsid w:val="00B27DBF"/>
    <w:rsid w:val="00B35F1C"/>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815E3"/>
    <w:rsid w:val="00B87223"/>
    <w:rsid w:val="00B91BE0"/>
    <w:rsid w:val="00B932EC"/>
    <w:rsid w:val="00B942E0"/>
    <w:rsid w:val="00B96B8C"/>
    <w:rsid w:val="00BA0515"/>
    <w:rsid w:val="00BA3260"/>
    <w:rsid w:val="00BA42C6"/>
    <w:rsid w:val="00BA5751"/>
    <w:rsid w:val="00BB0FC6"/>
    <w:rsid w:val="00BB1DF5"/>
    <w:rsid w:val="00BB2068"/>
    <w:rsid w:val="00BB56D1"/>
    <w:rsid w:val="00BC0409"/>
    <w:rsid w:val="00BC04CA"/>
    <w:rsid w:val="00BC1A80"/>
    <w:rsid w:val="00BC250F"/>
    <w:rsid w:val="00BC2DAA"/>
    <w:rsid w:val="00BC5DDD"/>
    <w:rsid w:val="00BC61CF"/>
    <w:rsid w:val="00BC7F53"/>
    <w:rsid w:val="00BD2DC7"/>
    <w:rsid w:val="00BD33A7"/>
    <w:rsid w:val="00BD7C58"/>
    <w:rsid w:val="00BE09C7"/>
    <w:rsid w:val="00BE4C16"/>
    <w:rsid w:val="00BE6629"/>
    <w:rsid w:val="00BE702A"/>
    <w:rsid w:val="00BF09E3"/>
    <w:rsid w:val="00BF32AF"/>
    <w:rsid w:val="00BF38BD"/>
    <w:rsid w:val="00BF53A3"/>
    <w:rsid w:val="00BF716C"/>
    <w:rsid w:val="00C0147D"/>
    <w:rsid w:val="00C020A0"/>
    <w:rsid w:val="00C0291D"/>
    <w:rsid w:val="00C041E3"/>
    <w:rsid w:val="00C068D1"/>
    <w:rsid w:val="00C076F2"/>
    <w:rsid w:val="00C07889"/>
    <w:rsid w:val="00C07AEA"/>
    <w:rsid w:val="00C109E2"/>
    <w:rsid w:val="00C11149"/>
    <w:rsid w:val="00C11603"/>
    <w:rsid w:val="00C121DE"/>
    <w:rsid w:val="00C13B55"/>
    <w:rsid w:val="00C14706"/>
    <w:rsid w:val="00C158CA"/>
    <w:rsid w:val="00C1643D"/>
    <w:rsid w:val="00C17552"/>
    <w:rsid w:val="00C24D2F"/>
    <w:rsid w:val="00C24E2C"/>
    <w:rsid w:val="00C25FDB"/>
    <w:rsid w:val="00C33721"/>
    <w:rsid w:val="00C347F6"/>
    <w:rsid w:val="00C34C79"/>
    <w:rsid w:val="00C40309"/>
    <w:rsid w:val="00C458F9"/>
    <w:rsid w:val="00C506E3"/>
    <w:rsid w:val="00C50CBE"/>
    <w:rsid w:val="00C50F7B"/>
    <w:rsid w:val="00C52389"/>
    <w:rsid w:val="00C52CFD"/>
    <w:rsid w:val="00C53C43"/>
    <w:rsid w:val="00C55D4C"/>
    <w:rsid w:val="00C61829"/>
    <w:rsid w:val="00C63D7C"/>
    <w:rsid w:val="00C63FA7"/>
    <w:rsid w:val="00C64270"/>
    <w:rsid w:val="00C66590"/>
    <w:rsid w:val="00C667C0"/>
    <w:rsid w:val="00C707A0"/>
    <w:rsid w:val="00C70CD0"/>
    <w:rsid w:val="00C70D68"/>
    <w:rsid w:val="00C713DD"/>
    <w:rsid w:val="00C842AF"/>
    <w:rsid w:val="00C8481E"/>
    <w:rsid w:val="00C865BD"/>
    <w:rsid w:val="00C869B3"/>
    <w:rsid w:val="00C86C53"/>
    <w:rsid w:val="00C90797"/>
    <w:rsid w:val="00CA1921"/>
    <w:rsid w:val="00CA3172"/>
    <w:rsid w:val="00CA6ADC"/>
    <w:rsid w:val="00CA7A4A"/>
    <w:rsid w:val="00CB09E0"/>
    <w:rsid w:val="00CB253B"/>
    <w:rsid w:val="00CB43A7"/>
    <w:rsid w:val="00CC09AC"/>
    <w:rsid w:val="00CC1756"/>
    <w:rsid w:val="00CC1891"/>
    <w:rsid w:val="00CC1A2C"/>
    <w:rsid w:val="00CC29A8"/>
    <w:rsid w:val="00CC373C"/>
    <w:rsid w:val="00CC3843"/>
    <w:rsid w:val="00CC7D76"/>
    <w:rsid w:val="00CC7EFA"/>
    <w:rsid w:val="00CD498E"/>
    <w:rsid w:val="00CD6B86"/>
    <w:rsid w:val="00CD6ED4"/>
    <w:rsid w:val="00CE1ED6"/>
    <w:rsid w:val="00CF0917"/>
    <w:rsid w:val="00CF1135"/>
    <w:rsid w:val="00CF412D"/>
    <w:rsid w:val="00D00AB5"/>
    <w:rsid w:val="00D01C6E"/>
    <w:rsid w:val="00D06B73"/>
    <w:rsid w:val="00D073C2"/>
    <w:rsid w:val="00D07969"/>
    <w:rsid w:val="00D10FE7"/>
    <w:rsid w:val="00D12079"/>
    <w:rsid w:val="00D13239"/>
    <w:rsid w:val="00D1529E"/>
    <w:rsid w:val="00D24240"/>
    <w:rsid w:val="00D25DD0"/>
    <w:rsid w:val="00D25FB9"/>
    <w:rsid w:val="00D2673A"/>
    <w:rsid w:val="00D275BF"/>
    <w:rsid w:val="00D32847"/>
    <w:rsid w:val="00D357DF"/>
    <w:rsid w:val="00D37676"/>
    <w:rsid w:val="00D37B1D"/>
    <w:rsid w:val="00D43837"/>
    <w:rsid w:val="00D438AA"/>
    <w:rsid w:val="00D53859"/>
    <w:rsid w:val="00D54947"/>
    <w:rsid w:val="00D55ACA"/>
    <w:rsid w:val="00D56E44"/>
    <w:rsid w:val="00D605C9"/>
    <w:rsid w:val="00D6096B"/>
    <w:rsid w:val="00D61D41"/>
    <w:rsid w:val="00D7055C"/>
    <w:rsid w:val="00D70FE9"/>
    <w:rsid w:val="00D72D27"/>
    <w:rsid w:val="00D7525E"/>
    <w:rsid w:val="00D77A43"/>
    <w:rsid w:val="00D81C3B"/>
    <w:rsid w:val="00D84DA0"/>
    <w:rsid w:val="00D90307"/>
    <w:rsid w:val="00D90AAC"/>
    <w:rsid w:val="00D90BD8"/>
    <w:rsid w:val="00D93836"/>
    <w:rsid w:val="00D95B36"/>
    <w:rsid w:val="00D96561"/>
    <w:rsid w:val="00D96C20"/>
    <w:rsid w:val="00D97B3D"/>
    <w:rsid w:val="00DA1EB0"/>
    <w:rsid w:val="00DA74C7"/>
    <w:rsid w:val="00DB09CF"/>
    <w:rsid w:val="00DB40A5"/>
    <w:rsid w:val="00DC11B9"/>
    <w:rsid w:val="00DC25E7"/>
    <w:rsid w:val="00DC347A"/>
    <w:rsid w:val="00DD3E6F"/>
    <w:rsid w:val="00DE063E"/>
    <w:rsid w:val="00DE1D68"/>
    <w:rsid w:val="00DE2433"/>
    <w:rsid w:val="00DE3BED"/>
    <w:rsid w:val="00DE4086"/>
    <w:rsid w:val="00DE525C"/>
    <w:rsid w:val="00DF0130"/>
    <w:rsid w:val="00DF0AED"/>
    <w:rsid w:val="00DF1DD3"/>
    <w:rsid w:val="00DF76BD"/>
    <w:rsid w:val="00DF7875"/>
    <w:rsid w:val="00E02B81"/>
    <w:rsid w:val="00E142B1"/>
    <w:rsid w:val="00E152E7"/>
    <w:rsid w:val="00E15CCB"/>
    <w:rsid w:val="00E1791B"/>
    <w:rsid w:val="00E21BAD"/>
    <w:rsid w:val="00E21EC7"/>
    <w:rsid w:val="00E30A75"/>
    <w:rsid w:val="00E32327"/>
    <w:rsid w:val="00E32AD5"/>
    <w:rsid w:val="00E33385"/>
    <w:rsid w:val="00E338F5"/>
    <w:rsid w:val="00E34D0D"/>
    <w:rsid w:val="00E35BE1"/>
    <w:rsid w:val="00E41869"/>
    <w:rsid w:val="00E4424D"/>
    <w:rsid w:val="00E446F2"/>
    <w:rsid w:val="00E47719"/>
    <w:rsid w:val="00E528A7"/>
    <w:rsid w:val="00E52B4D"/>
    <w:rsid w:val="00E535D8"/>
    <w:rsid w:val="00E5484B"/>
    <w:rsid w:val="00E55631"/>
    <w:rsid w:val="00E56709"/>
    <w:rsid w:val="00E573FA"/>
    <w:rsid w:val="00E57872"/>
    <w:rsid w:val="00E6468A"/>
    <w:rsid w:val="00E661B9"/>
    <w:rsid w:val="00E71C59"/>
    <w:rsid w:val="00E72CCA"/>
    <w:rsid w:val="00E74034"/>
    <w:rsid w:val="00E74CAF"/>
    <w:rsid w:val="00E754D1"/>
    <w:rsid w:val="00E77DDE"/>
    <w:rsid w:val="00E80F06"/>
    <w:rsid w:val="00E8390C"/>
    <w:rsid w:val="00E86C23"/>
    <w:rsid w:val="00E9233A"/>
    <w:rsid w:val="00E9552A"/>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2A7D"/>
    <w:rsid w:val="00EC47CD"/>
    <w:rsid w:val="00EC5DCC"/>
    <w:rsid w:val="00EC7AC0"/>
    <w:rsid w:val="00EC7CB4"/>
    <w:rsid w:val="00ED2FA7"/>
    <w:rsid w:val="00ED3116"/>
    <w:rsid w:val="00ED71CB"/>
    <w:rsid w:val="00ED7929"/>
    <w:rsid w:val="00EE0083"/>
    <w:rsid w:val="00EE038E"/>
    <w:rsid w:val="00EE2D70"/>
    <w:rsid w:val="00EE2FCC"/>
    <w:rsid w:val="00EE6689"/>
    <w:rsid w:val="00EF0A45"/>
    <w:rsid w:val="00EF1F6E"/>
    <w:rsid w:val="00EF35F2"/>
    <w:rsid w:val="00F02B0C"/>
    <w:rsid w:val="00F05162"/>
    <w:rsid w:val="00F05DB7"/>
    <w:rsid w:val="00F1014F"/>
    <w:rsid w:val="00F10E39"/>
    <w:rsid w:val="00F1260A"/>
    <w:rsid w:val="00F14A91"/>
    <w:rsid w:val="00F25D42"/>
    <w:rsid w:val="00F30F01"/>
    <w:rsid w:val="00F32C74"/>
    <w:rsid w:val="00F33CC0"/>
    <w:rsid w:val="00F36456"/>
    <w:rsid w:val="00F41459"/>
    <w:rsid w:val="00F52A81"/>
    <w:rsid w:val="00F5520A"/>
    <w:rsid w:val="00F60172"/>
    <w:rsid w:val="00F605A7"/>
    <w:rsid w:val="00F610C7"/>
    <w:rsid w:val="00F65835"/>
    <w:rsid w:val="00F65B17"/>
    <w:rsid w:val="00F6756A"/>
    <w:rsid w:val="00F710BE"/>
    <w:rsid w:val="00F7280F"/>
    <w:rsid w:val="00F73CA6"/>
    <w:rsid w:val="00F760AD"/>
    <w:rsid w:val="00F76B39"/>
    <w:rsid w:val="00F7705E"/>
    <w:rsid w:val="00F83660"/>
    <w:rsid w:val="00F8597E"/>
    <w:rsid w:val="00FA1F8A"/>
    <w:rsid w:val="00FA5166"/>
    <w:rsid w:val="00FA5348"/>
    <w:rsid w:val="00FA6322"/>
    <w:rsid w:val="00FB1406"/>
    <w:rsid w:val="00FB1FC5"/>
    <w:rsid w:val="00FB1FD6"/>
    <w:rsid w:val="00FB2CFC"/>
    <w:rsid w:val="00FB2E17"/>
    <w:rsid w:val="00FB4C21"/>
    <w:rsid w:val="00FC1454"/>
    <w:rsid w:val="00FC1BCC"/>
    <w:rsid w:val="00FC3C58"/>
    <w:rsid w:val="00FC4A9E"/>
    <w:rsid w:val="00FC5D31"/>
    <w:rsid w:val="00FC6878"/>
    <w:rsid w:val="00FC6BCD"/>
    <w:rsid w:val="00FD1D13"/>
    <w:rsid w:val="00FD2086"/>
    <w:rsid w:val="00FD2212"/>
    <w:rsid w:val="00FD2296"/>
    <w:rsid w:val="00FD43A6"/>
    <w:rsid w:val="00FD5F79"/>
    <w:rsid w:val="00FE281D"/>
    <w:rsid w:val="00FE28B4"/>
    <w:rsid w:val="00FE3044"/>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fi-FI"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7E1"/>
    <w:rPr>
      <w:sz w:val="24"/>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fi-FI"/>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fi-FI"/>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5937D4"/>
    <w:rPr>
      <w:sz w:val="24"/>
      <w:lang w:val="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832170-D5BA-45BA-BB7F-55BE20A93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D86F5DDF-BEAD-4476-B8D3-940ADF233AD8}">
  <ds:schemaRefs>
    <ds:schemaRef ds:uri="http://schemas.microsoft.com/sharepoint/v3/contenttype/forms"/>
  </ds:schemaRefs>
</ds:datastoreItem>
</file>

<file path=customXml/itemProps4.xml><?xml version="1.0" encoding="utf-8"?>
<ds:datastoreItem xmlns:ds="http://schemas.openxmlformats.org/officeDocument/2006/customXml" ds:itemID="{A1C1DA78-896E-461D-A61E-B93DC91F7A48}">
  <ds:schemaRefs>
    <ds:schemaRef ds:uri="http://purl.org/dc/elements/1.1/"/>
    <ds:schemaRef ds:uri="http://purl.org/dc/term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aaad0b86-1dbf-48d2-99f8-fcc2ae493cdc"/>
    <ds:schemaRef ds:uri="38080443-59f1-4468-9185-e277ce99790f"/>
    <ds:schemaRef ds:uri="http://www.w3.org/XML/1998/namespace"/>
    <ds:schemaRef ds:uri="http://purl.org/dc/dcmitype/"/>
  </ds:schemaRefs>
</ds:datastoreItem>
</file>

<file path=customXml/itemProps5.xml><?xml version="1.0" encoding="utf-8"?>
<ds:datastoreItem xmlns:ds="http://schemas.openxmlformats.org/officeDocument/2006/customXml" ds:itemID="{9A9CC5B9-207C-4D1D-9255-7382ACCB8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2460</Words>
  <Characters>20740</Characters>
  <Application>Microsoft Office Word</Application>
  <DocSecurity>0</DocSecurity>
  <Lines>441</Lines>
  <Paragraphs>155</Paragraphs>
  <ScaleCrop>false</ScaleCrop>
  <HeadingPairs>
    <vt:vector size="2" baseType="variant">
      <vt:variant>
        <vt:lpstr>Title</vt:lpstr>
      </vt:variant>
      <vt:variant>
        <vt:i4>1</vt:i4>
      </vt:variant>
    </vt:vector>
  </HeadingPairs>
  <TitlesOfParts>
    <vt:vector size="1" baseType="lpstr">
      <vt:lpstr>CEEAG - Section 4.10 - Draft Notification Form rev 2.7.24.docx</vt:lpstr>
    </vt:vector>
  </TitlesOfParts>
  <Company>European Commission</Company>
  <LinksUpToDate>false</LinksUpToDate>
  <CharactersWithSpaces>23045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4.10 - Draft Notification Form rev 2.7.24.docx</dc:title>
  <dc:subject/>
  <dc:creator>MICHEAU Claire (COMP)</dc:creator>
  <cp:keywords/>
  <cp:lastModifiedBy>MERILAINEN Anne (DGT)</cp:lastModifiedBy>
  <cp:revision>3</cp:revision>
  <cp:lastPrinted>2022-04-12T14:59:00Z</cp:lastPrinted>
  <dcterms:created xsi:type="dcterms:W3CDTF">2024-09-16T13:03:00Z</dcterms:created>
  <dcterms:modified xsi:type="dcterms:W3CDTF">2024-10-08T11:32:00Z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4eea8feb-99da-4af6-a30f-bf5cd98cdfb0</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f4cdc456-5864-460f-beda-883d23b78bbb_Enabled">
    <vt:lpwstr>true</vt:lpwstr>
  </property>
  <property fmtid="{D5CDD505-2E9C-101B-9397-08002B2CF9AE}" pid="9" name="MSIP_Label_f4cdc456-5864-460f-beda-883d23b78bbb_SetDate">
    <vt:lpwstr>2024-04-11T15:15:18Z</vt:lpwstr>
  </property>
  <property fmtid="{D5CDD505-2E9C-101B-9397-08002B2CF9AE}" pid="10" name="MSIP_Label_f4cdc456-5864-460f-beda-883d23b78bbb_Method">
    <vt:lpwstr>Privileged</vt:lpwstr>
  </property>
  <property fmtid="{D5CDD505-2E9C-101B-9397-08002B2CF9AE}" pid="11" name="MSIP_Label_f4cdc456-5864-460f-beda-883d23b78bbb_Name">
    <vt:lpwstr>Publicly Available</vt:lpwstr>
  </property>
  <property fmtid="{D5CDD505-2E9C-101B-9397-08002B2CF9AE}" pid="12" name="MSIP_Label_f4cdc456-5864-460f-beda-883d23b78bbb_SiteId">
    <vt:lpwstr>b24c8b06-522c-46fe-9080-70926f8dddb1</vt:lpwstr>
  </property>
  <property fmtid="{D5CDD505-2E9C-101B-9397-08002B2CF9AE}" pid="13" name="MSIP_Label_f4cdc456-5864-460f-beda-883d23b78bbb_ActionId">
    <vt:lpwstr>3894f436-f4db-4a7f-b8a9-833167a80cdf</vt:lpwstr>
  </property>
  <property fmtid="{D5CDD505-2E9C-101B-9397-08002B2CF9AE}" pid="14" name="MSIP_Label_f4cdc456-5864-460f-beda-883d23b78bbb_ContentBits">
    <vt:lpwstr>0</vt:lpwstr>
  </property>
</Properties>
</file>