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7097866F">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III.6. daļa. </w:t>
            </w:r>
          </w:p>
          <w:p w14:paraId="1C239D2C" w14:textId="40222408" w:rsidR="000442F5" w:rsidRPr="009916D5" w:rsidRDefault="1AB540F5" w:rsidP="008D5ADF">
            <w:pPr>
              <w:pStyle w:val="Heading2"/>
              <w:spacing w:before="240" w:after="240"/>
              <w:jc w:val="center"/>
              <w:rPr>
                <w:sz w:val="32"/>
                <w:szCs w:val="32"/>
              </w:rPr>
            </w:pPr>
            <w:r>
              <w:rPr>
                <w:sz w:val="32"/>
              </w:rPr>
              <w:t>Atjaunināta* papildinformācijas lapa par valsts atbalstu, ko piešķir saskaņā ar Pamatnostādnēm par valsts atbalstu klimata, vides aizsardzības un enerģētikas pasākumiem (2022) (</w:t>
            </w:r>
            <w:r>
              <w:rPr>
                <w:i/>
                <w:sz w:val="32"/>
              </w:rPr>
              <w:t>CEEAG</w:t>
            </w:r>
            <w:r>
              <w:rPr>
                <w:sz w:val="32"/>
              </w:rPr>
              <w:t>)</w:t>
            </w:r>
            <w:r>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4.2. Atbalsts ēku energosnieguma un vidiskā snieguma uzlabošanai</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Vēl nav oficiāli pieņemta.</w:t>
            </w:r>
            <w:r>
              <w:rPr>
                <w:rStyle w:val="eop"/>
              </w:rPr>
              <w:t xml:space="preserve"> </w:t>
            </w:r>
          </w:p>
        </w:tc>
      </w:tr>
    </w:tbl>
    <w:p w14:paraId="44FC34CA" w14:textId="6965FF28" w:rsidR="009E2EA1" w:rsidRPr="00711243" w:rsidRDefault="1D5D3D78" w:rsidP="7097866F">
      <w:pPr>
        <w:spacing w:before="120" w:after="120"/>
        <w:ind w:right="-142"/>
        <w:jc w:val="both"/>
        <w:rPr>
          <w:rFonts w:eastAsia="Times New Roman"/>
          <w:i/>
          <w:iCs/>
          <w:szCs w:val="24"/>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17CF3DD5" w14:textId="6501ABC5" w:rsidR="009E2EA1" w:rsidRDefault="1D5D3D78" w:rsidP="118DF711">
      <w:pPr>
        <w:spacing w:before="120" w:after="120"/>
        <w:ind w:right="-142"/>
        <w:jc w:val="both"/>
        <w:rPr>
          <w:rFonts w:eastAsia="Times New Roman"/>
          <w:i/>
          <w:iCs/>
          <w:szCs w:val="24"/>
        </w:rPr>
      </w:pPr>
      <w:r>
        <w:rPr>
          <w:i/>
        </w:rPr>
        <w:t xml:space="preserve">Šī papildinformācijas lapa attiecas uz pasākumiem, ko aptver </w:t>
      </w:r>
      <w:r>
        <w:t>CEEAG</w:t>
      </w:r>
      <w:r>
        <w:rPr>
          <w:i/>
        </w:rPr>
        <w:t xml:space="preserve"> 4.2. nodaļa. Ja paziņojumā ir iekļauti pasākumi, uz kuriem attiecas vairāk nekā viena </w:t>
      </w:r>
      <w:r>
        <w:t>CEEAG</w:t>
      </w:r>
      <w:r>
        <w:rPr>
          <w:i/>
        </w:rPr>
        <w:t xml:space="preserve"> nodaļa, aizpildiet arī attiecīgo papildinformācijas lapu, kas attiecas uz attiecīgo </w:t>
      </w:r>
      <w:r>
        <w:t>CEEAG</w:t>
      </w:r>
      <w:r>
        <w:rPr>
          <w:i/>
        </w:rPr>
        <w:t xml:space="preserve"> nodaļu, kad tā pieejama. </w:t>
      </w:r>
    </w:p>
    <w:p w14:paraId="3C67E530" w14:textId="776D64C2" w:rsidR="1541A55D" w:rsidRDefault="1541A55D" w:rsidP="00135DD2">
      <w:pPr>
        <w:spacing w:before="120" w:after="120"/>
        <w:ind w:right="-142"/>
        <w:jc w:val="both"/>
        <w:rPr>
          <w:rFonts w:eastAsia="Times New Roman"/>
          <w:i/>
          <w:iCs/>
          <w:szCs w:val="24"/>
        </w:rPr>
      </w:pPr>
      <w:r>
        <w:rPr>
          <w:i/>
        </w:rPr>
        <w:t>Visiem dokumentiem, ko dalībvalstis iesniedz kā šīs papildinformācijas lapas pielikumus, jābūt numurētiem, un dokumentu numuri jānorāda attiecīgajās šīs papildinformācijas lapas sadaļās.</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sadaļa. Kopsavilkums par galvenajiem paziņoto pasākumu aspektiem</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Paziņoto pasākumu priekšvēsture un mērķi</w:t>
      </w:r>
    </w:p>
    <w:p w14:paraId="437F042E" w14:textId="260C4E54" w:rsidR="00111EDE" w:rsidRPr="007159A8" w:rsidRDefault="00111EDE" w:rsidP="00BC0346">
      <w:pPr>
        <w:pStyle w:val="ListParagraph"/>
        <w:numPr>
          <w:ilvl w:val="0"/>
          <w:numId w:val="20"/>
        </w:numPr>
        <w:spacing w:after="240"/>
        <w:ind w:left="993" w:hanging="142"/>
        <w:jc w:val="both"/>
      </w:pPr>
      <w:r>
        <w:t>Ja tas nav jau iztirzāts Vispārīgās informācijas veidlapas 5.2. sadaļā (I daļa), norādiet priekšvēsturi un pamatmērķi, arī jebkādus Savienības ēku energosnieguma un vidiskā snieguma mērķrādītājus, kurus ar pasākumu paredzēts atbalstīt.</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6830A4F6" w:rsidR="00111EDE" w:rsidRDefault="00111EDE" w:rsidP="00BC0346">
      <w:pPr>
        <w:pStyle w:val="ListParagraph"/>
        <w:numPr>
          <w:ilvl w:val="0"/>
          <w:numId w:val="20"/>
        </w:numPr>
        <w:spacing w:after="240"/>
        <w:ind w:left="993" w:hanging="142"/>
        <w:jc w:val="both"/>
      </w:pPr>
      <w:r>
        <w:t xml:space="preserve">Norādiet citus ar pasākumu sasniedzamos mērķus, ja tādi ir. Attiecībā uz mērķiem, kas nav tikai vidiski, paskaidrojiet, vai tie var novest pie </w:t>
      </w:r>
      <w:r w:rsidR="0017368C">
        <w:t xml:space="preserve"> konkurences izkropļojumiem </w:t>
      </w:r>
      <w:r>
        <w:t>iekšējā tirg</w:t>
      </w:r>
      <w:r w:rsidR="0017368C">
        <w:t>ū</w:t>
      </w:r>
      <w:r>
        <w:t xml:space="preserve">. </w:t>
      </w:r>
    </w:p>
    <w:p w14:paraId="092936BC" w14:textId="77777777" w:rsidR="00111EDE" w:rsidRPr="00711243" w:rsidRDefault="00111EDE" w:rsidP="00FF52AA">
      <w:pPr>
        <w:tabs>
          <w:tab w:val="left" w:leader="dot" w:pos="9072"/>
        </w:tabs>
        <w:spacing w:before="120" w:after="120"/>
        <w:ind w:left="1077"/>
        <w:jc w:val="both"/>
      </w:pPr>
      <w:r>
        <w:tab/>
      </w:r>
    </w:p>
    <w:p w14:paraId="0D258352" w14:textId="215F0518" w:rsidR="00111EDE" w:rsidRPr="00711243" w:rsidRDefault="00435FF0" w:rsidP="00111EDE">
      <w:pPr>
        <w:pStyle w:val="ListParagraph"/>
        <w:numPr>
          <w:ilvl w:val="0"/>
          <w:numId w:val="4"/>
        </w:numPr>
        <w:spacing w:before="120" w:after="120"/>
        <w:ind w:left="567" w:hanging="567"/>
        <w:contextualSpacing w:val="0"/>
        <w:jc w:val="both"/>
      </w:pPr>
      <w:r>
        <w:rPr>
          <w:b/>
        </w:rPr>
        <w:t>Stāšanās spēkā un ilgums</w:t>
      </w:r>
    </w:p>
    <w:p w14:paraId="732B9D07" w14:textId="77777777" w:rsidR="00111EDE" w:rsidRPr="00CF4A34" w:rsidRDefault="00111EDE" w:rsidP="00BC0346">
      <w:pPr>
        <w:pStyle w:val="ListParagraph"/>
        <w:numPr>
          <w:ilvl w:val="0"/>
          <w:numId w:val="28"/>
        </w:numPr>
        <w:spacing w:after="240"/>
        <w:ind w:left="993" w:hanging="142"/>
        <w:jc w:val="both"/>
        <w:rPr>
          <w:szCs w:val="24"/>
        </w:rPr>
      </w:pPr>
      <w:r>
        <w:t>Ja tas nav jau norādīts Vispārīgās informācijas veidlapas (I daļa) 5.5. sadaļā, norādiet, no kāda datuma atbalsta shēmai paredzēts stāties spēkā.</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Norādiet shēmas ilgumu</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Atbalsta saņēmēji</w:t>
      </w:r>
      <w:r>
        <w:tab/>
      </w:r>
    </w:p>
    <w:p w14:paraId="101D761C" w14:textId="77777777" w:rsidR="00111EDE" w:rsidRDefault="00111EDE" w:rsidP="00BC0346">
      <w:pPr>
        <w:pStyle w:val="ListParagraph"/>
        <w:numPr>
          <w:ilvl w:val="0"/>
          <w:numId w:val="21"/>
        </w:numPr>
        <w:spacing w:after="240"/>
        <w:ind w:hanging="229"/>
        <w:jc w:val="both"/>
        <w:rPr>
          <w:szCs w:val="24"/>
        </w:rPr>
      </w:pPr>
      <w:r>
        <w:t>Ja tas nav jau norādīts Vispārīgās informācijas veidlapas (I daļa) 3. sadaļā, aprakstiet (potenciālos) atbalsta saņēmējus.</w:t>
      </w:r>
    </w:p>
    <w:p w14:paraId="5548BC87" w14:textId="77777777" w:rsidR="00111EDE" w:rsidRPr="00564D5B" w:rsidRDefault="00111EDE" w:rsidP="00FF52AA">
      <w:pPr>
        <w:tabs>
          <w:tab w:val="left" w:leader="dot" w:pos="9072"/>
        </w:tabs>
        <w:spacing w:before="120" w:after="120"/>
        <w:ind w:left="1077"/>
        <w:jc w:val="both"/>
      </w:pPr>
      <w:r>
        <w:tab/>
      </w:r>
    </w:p>
    <w:p w14:paraId="62757543" w14:textId="77777777" w:rsidR="00111EDE" w:rsidRPr="00C55D4C" w:rsidRDefault="00111EDE" w:rsidP="00BC0346">
      <w:pPr>
        <w:pStyle w:val="ListParagraph"/>
        <w:numPr>
          <w:ilvl w:val="0"/>
          <w:numId w:val="21"/>
        </w:numPr>
        <w:spacing w:after="240"/>
        <w:ind w:hanging="229"/>
        <w:jc w:val="both"/>
        <w:rPr>
          <w:szCs w:val="24"/>
        </w:rPr>
      </w:pPr>
      <w:r>
        <w:t>Norādiet atbalsta saņēmēju atrašanās vietu (t. i., vai pasākumā piedalīties drīkst tikai saimnieciskās vienības, kas atrodas attiecīgajā dalībvalstī, vai arī vienības citās dalībvalstīs).</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Lai varētu novērtēt atbilstību </w:t>
      </w:r>
      <w:r>
        <w:rPr>
          <w:i/>
        </w:rPr>
        <w:t>CEEAG</w:t>
      </w:r>
      <w: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Ja atbilde ir apstiprinoša, sniedziet informāciju par vēl atgūstamo atbalsta summu, lai Komisija to ņemtu vērā atbalsta pasākumu novērtējumā.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 xml:space="preserve">Apstipriniet, ka pasākumi neietver atbalstu darbībām, kas neietilpst </w:t>
      </w:r>
      <w:r>
        <w:rPr>
          <w:i/>
        </w:rPr>
        <w:t>CEEAG</w:t>
      </w:r>
      <w:r>
        <w:t xml:space="preserve"> piemērošanas tvērumā (sk. </w:t>
      </w:r>
      <w:r>
        <w:rPr>
          <w:i/>
        </w:rPr>
        <w:t>CEEAG</w:t>
      </w:r>
      <w:r>
        <w:t xml:space="preserve"> 13. punktu). Pretējā gadījumā sniedziet sīkāku informāciju.</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Pasākumu budžets un finansējums</w:t>
      </w:r>
      <w:bookmarkEnd w:id="2"/>
    </w:p>
    <w:p w14:paraId="31B41457" w14:textId="77777777"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Ja pasākumi tiek finansēti no nodevas, precizējiet, vai</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nodeva ir noteikta ar likumu vai kādu citu leģislatīvu aktu; ja atbilde ir apstiprinoša, norādiet tiesību aktu, tā numuru un pieņemšanas un spēkā stāšanās datumu, kā arī interneta saiti uz tiesību aktu;</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nodevu vienlīdz piemēro gan vietējiem, gan importētiem produktiem;</w:t>
      </w:r>
    </w:p>
    <w:p w14:paraId="1F67F164" w14:textId="4F34E48A" w:rsidR="00111EDE" w:rsidRPr="000E6B11" w:rsidRDefault="00111EDE" w:rsidP="000E6B11">
      <w:pPr>
        <w:tabs>
          <w:tab w:val="left" w:leader="dot" w:pos="9072"/>
        </w:tabs>
        <w:spacing w:before="120" w:after="120"/>
        <w:ind w:left="1701"/>
        <w:jc w:val="both"/>
      </w:pPr>
      <w:r>
        <w:tab/>
      </w:r>
    </w:p>
    <w:p w14:paraId="71A44A4A" w14:textId="190C4EAD" w:rsidR="00111EDE" w:rsidRDefault="00111EDE" w:rsidP="000E6B11">
      <w:pPr>
        <w:pStyle w:val="ListParagraph"/>
        <w:numPr>
          <w:ilvl w:val="1"/>
          <w:numId w:val="22"/>
        </w:numPr>
        <w:spacing w:before="120" w:after="120"/>
        <w:ind w:left="1797" w:hanging="357"/>
        <w:contextualSpacing w:val="0"/>
        <w:jc w:val="both"/>
        <w:rPr>
          <w:rFonts w:cs="Arial Unicode MS"/>
          <w:bCs/>
        </w:rPr>
      </w:pPr>
      <w:r>
        <w:t>paziņotie pasākumi būs vienlīdz izdevīgi gan attiecībā uz vietējiem, gan importētiem produktiem;</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nodeva pasākumu finansē pilnībā vai tikai daļēji. Ja nodeva pasākumu finansē tikai daļēji, norāda citus pasākuma finansējuma avotus un to attiecīgo proporciju;</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ar nodevu, ar ko paziņotos pasākumus finansē, finansē arī citus atbalsta pasākumus. Ja jā, norādiet, kādi citi atbalsta pasākumi tiek finansēti ar attiecīgo nodevu.</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sadaļa. Atbalsta shēmas saderības novērtējums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Pozitīvs nosacījums: atbalstam ir jāveicina saimnieciskās darbības attīstība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Ieguldījums saimnieciskās darbības attīstībā</w:t>
            </w:r>
          </w:p>
        </w:tc>
      </w:tr>
    </w:tbl>
    <w:p w14:paraId="1E2599D2" w14:textId="72A8D7AE" w:rsidR="000442F5" w:rsidRPr="00DB40A5" w:rsidRDefault="000442F5" w:rsidP="00A029BF">
      <w:pPr>
        <w:spacing w:before="120" w:after="120"/>
        <w:jc w:val="both"/>
        <w:rPr>
          <w:i/>
        </w:rPr>
      </w:pPr>
      <w:r>
        <w:rPr>
          <w:i/>
        </w:rPr>
        <w:t xml:space="preserve">Lai sniegtu šajā sadaļā prasīto informāciju, sk. </w:t>
      </w:r>
      <w:r>
        <w:t>CEEAG</w:t>
      </w:r>
      <w:r>
        <w:rPr>
          <w:i/>
        </w:rPr>
        <w:t xml:space="preserve"> 3.1.1. iedaļu (23.–25. punktu), 4.2.1. un 4.2.2. iedaļu (136.–140. punktu). </w:t>
      </w:r>
    </w:p>
    <w:p w14:paraId="05FCD0A3" w14:textId="0833144C" w:rsidR="00864DCD" w:rsidRPr="00DB40A5" w:rsidRDefault="006B6657" w:rsidP="00C52CFD">
      <w:pPr>
        <w:pStyle w:val="ListParagraph"/>
        <w:numPr>
          <w:ilvl w:val="0"/>
          <w:numId w:val="4"/>
        </w:numPr>
        <w:spacing w:before="120" w:after="120"/>
        <w:ind w:left="567" w:hanging="567"/>
        <w:contextualSpacing w:val="0"/>
        <w:jc w:val="both"/>
      </w:pPr>
      <w:r>
        <w:rPr>
          <w:i/>
        </w:rPr>
        <w:t>Līguma par Eiropas Savienības darbību (LESD)</w:t>
      </w:r>
      <w:r>
        <w:t xml:space="preserve"> 107. panta 3. punkta c) apakšpunkts nosaka, ka Komisija par saderīgu var atzīt </w:t>
      </w:r>
      <w:r>
        <w:rPr>
          <w:i/>
          <w:iCs/>
        </w:rPr>
        <w:t>“atbalstu, kas veicina konkrētu saimniecisko darbību vai konkrētu tautsaimniecības jomu attīstību, ja šādam atbalstam nav tāds nelabvēlīgs iespaids uz tirdzniecības apstākļiem, kas ir pretrunā kopīgām interesēm”</w:t>
      </w:r>
      <w:r>
        <w:t xml:space="preserve">. Tas nozīmē, ka saskaņā ar šo LESD noteikumu saderīgam atbalstam ir jāveicina konkrētas saimnieciskās darbības attīstība. </w:t>
      </w:r>
    </w:p>
    <w:p w14:paraId="4422EB0C" w14:textId="77777777" w:rsidR="00EA08CE" w:rsidRDefault="00EA08CE" w:rsidP="00AE72C0">
      <w:pPr>
        <w:pStyle w:val="ListParagraph"/>
        <w:spacing w:before="120" w:after="120"/>
        <w:ind w:left="567"/>
        <w:contextualSpacing w:val="0"/>
        <w:jc w:val="both"/>
      </w:pPr>
      <w:r>
        <w:t xml:space="preserve">Lai varētu novērtēt atbilstību </w:t>
      </w:r>
      <w:r>
        <w:rPr>
          <w:i/>
        </w:rPr>
        <w:t>CEEAG</w:t>
      </w:r>
      <w:r>
        <w:t xml:space="preserve"> 23. punktam, norādiet, kādas saimnieciskās darbības ar atbalstu tiks veicinātas, kā arī to, kā tiek atbalstīta minēto darbību attīstība.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Lai varētu novērtēt atbilstību </w:t>
      </w:r>
      <w:r>
        <w:rPr>
          <w:i/>
        </w:rPr>
        <w:t>CEEAG</w:t>
      </w:r>
      <w:r>
        <w:t xml:space="preserve"> 25. punktam, aprakstiet, vai un kā atbalsts dos </w:t>
      </w:r>
      <w:r>
        <w:rPr>
          <w:i/>
        </w:rPr>
        <w:t>“ieguldījumu Savienības klimata rīcībpolitikas, vides rīcībpolitikas un enerģētikas rīcībpolitikas mērķu sasniegšanā”</w:t>
      </w:r>
      <w:r>
        <w:t xml:space="preserve">, un, konkrētāk, kādi ir </w:t>
      </w:r>
      <w:r>
        <w:rPr>
          <w:i/>
        </w:rPr>
        <w:t>“paredzamie atbalsta sniegtie labumi, proti, tā būtiskais ieguldījums vides aizsardzībā, arī klimata pārmaiņu mīkstināšanā jeb klimatmitigācijā, vai iekšējā enerģijas tirgus efektīvā darbībā”</w:t>
      </w:r>
      <w:r>
        <w:t xml:space="preserve">. </w:t>
      </w:r>
    </w:p>
    <w:p w14:paraId="6BA1AB7B" w14:textId="47A34289" w:rsidR="00422410" w:rsidRDefault="00422410" w:rsidP="00422410">
      <w:pPr>
        <w:pStyle w:val="ListParagraph"/>
        <w:spacing w:before="120" w:after="120"/>
        <w:ind w:left="567"/>
        <w:contextualSpacing w:val="0"/>
        <w:jc w:val="both"/>
      </w:pPr>
      <w:r>
        <w:t xml:space="preserve">Turklāt norādiet, kādā mērā atbalsts ir saistīts ar </w:t>
      </w:r>
      <w:r>
        <w:rPr>
          <w:i/>
        </w:rPr>
        <w:t>CEEAG</w:t>
      </w:r>
      <w:r>
        <w:t xml:space="preserve"> 135. punktā aprakstītajām rīcībpolitikām.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Aprakstiet atbalsta saņēmējiem piemērojamās atbilstības prasības (piemēram, norādot visas tehniskās, vidiskās (t. i., atļaujas), finansiālās (t. i., nodrošinājumu) vai citas prasības, kas atbalsta saņēmējiem jāizpilda).</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15EA88D8" w:rsidR="007257F6" w:rsidRPr="00864DCD" w:rsidRDefault="009E5AE0" w:rsidP="00C76808">
      <w:pPr>
        <w:pStyle w:val="ListParagraph"/>
        <w:numPr>
          <w:ilvl w:val="0"/>
          <w:numId w:val="4"/>
        </w:numPr>
        <w:spacing w:before="120" w:after="120"/>
        <w:ind w:left="567" w:hanging="567"/>
        <w:contextualSpacing w:val="0"/>
        <w:jc w:val="both"/>
      </w:pPr>
      <w:r>
        <w:t xml:space="preserve">Sniedziet informāciju par to, kāds tieši ir atbalsta pasākumu tvērums un atbalstītās darbības, kā noteikts </w:t>
      </w:r>
      <w:r>
        <w:rPr>
          <w:i/>
        </w:rPr>
        <w:t>CEEAG</w:t>
      </w:r>
      <w:r>
        <w:t xml:space="preserve"> 4.2.2. iedaļā. Konkrētāk,</w:t>
      </w:r>
    </w:p>
    <w:p w14:paraId="32AFD134" w14:textId="1ED9FBCA" w:rsidR="00B35947" w:rsidRDefault="00B35947" w:rsidP="008D5ADF">
      <w:pPr>
        <w:pStyle w:val="ListParagraph"/>
        <w:numPr>
          <w:ilvl w:val="1"/>
          <w:numId w:val="4"/>
        </w:numPr>
        <w:spacing w:before="120" w:after="120"/>
        <w:contextualSpacing w:val="0"/>
        <w:jc w:val="both"/>
      </w:pPr>
      <w:r>
        <w:t xml:space="preserve">paskaidrojiet, vai atbalsta pasākumi paredz tikai atbalstu ēku energoefektivitātes uzlabošanai vai atbalstu ēku energoefektivitātes uzlabošanai apvieno ar atbalstu kādai vai visām </w:t>
      </w:r>
      <w:r>
        <w:rPr>
          <w:i/>
        </w:rPr>
        <w:t>CEEAG</w:t>
      </w:r>
      <w:r>
        <w:t xml:space="preserve"> 137. punktā norādītajām investīcijām. Pēdējā gadījumā precizējiet, kuras no investīcijām saskaņā ar pasākumiem ir atbalsttiesīgas;  </w:t>
      </w:r>
    </w:p>
    <w:p w14:paraId="1DF9800D" w14:textId="77777777" w:rsidR="00B35947" w:rsidRDefault="00B35947" w:rsidP="008D5ADF">
      <w:pPr>
        <w:tabs>
          <w:tab w:val="left" w:leader="dot" w:pos="9072"/>
        </w:tabs>
        <w:spacing w:before="120" w:after="120"/>
        <w:ind w:left="1077"/>
        <w:jc w:val="both"/>
      </w:pPr>
      <w:r>
        <w:tab/>
      </w:r>
    </w:p>
    <w:p w14:paraId="07B22321" w14:textId="117CD80D" w:rsidR="00B35947" w:rsidRDefault="00B35947" w:rsidP="008D5ADF">
      <w:pPr>
        <w:pStyle w:val="ListParagraph"/>
        <w:numPr>
          <w:ilvl w:val="1"/>
          <w:numId w:val="4"/>
        </w:numPr>
        <w:spacing w:before="120" w:after="120"/>
        <w:contextualSpacing w:val="0"/>
        <w:jc w:val="both"/>
      </w:pPr>
      <w:r>
        <w:t xml:space="preserve">paskaidrojiet, vai atbalsta pasākumi ietver arī tādu veidu atbalstu, kas ir izslēgts no </w:t>
      </w:r>
      <w:r>
        <w:rPr>
          <w:i/>
        </w:rPr>
        <w:t>CEEAG</w:t>
      </w:r>
      <w:r>
        <w:t xml:space="preserve"> 4.2. iedaļas darbības jomas saskaņā ar to 138. punktu. Apstiprinošas atbildes gadījumā iesniedziet attiecīgās paziņojuma veidlapas par relevantajām pasākumu daļām.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lastRenderedPageBreak/>
        <w:t>Norādiet, vai saskaņā ar pasākumiem piešķirtais atbalsts attiecas uz esošu ēku renovāciju, tikai viena veida būves elementu</w:t>
      </w:r>
      <w:r>
        <w:rPr>
          <w:rStyle w:val="FootnoteReference"/>
        </w:rPr>
        <w:footnoteReference w:id="5"/>
      </w:r>
      <w:r>
        <w:t xml:space="preserve"> uzstādīšanu vai nomaiņu un/vai investīcijām jaunu ēku energoefektivitātē, kā noteikts </w:t>
      </w:r>
      <w:r>
        <w:rPr>
          <w:i/>
        </w:rPr>
        <w:t>CEEAG</w:t>
      </w:r>
      <w:r>
        <w:t xml:space="preserve"> 139. punkta a)–c) apakšpunktā.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Pierādiet, ka saskaņā ar atbalsta pasākumiem piešķirtais atbalsts veicinās energosnieguma uzlabojumus, kas prasīti </w:t>
      </w:r>
      <w:r>
        <w:rPr>
          <w:i/>
        </w:rPr>
        <w:t>CEEAG</w:t>
      </w:r>
      <w:r>
        <w:t xml:space="preserve"> 139. punktā (attiecīgi a)–c) apakšpunktā).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Norādiet, vai atbalsts tiek piešķirts saskaņā ar atbalsta pasākumiem MVU un maziem vidējas kapitalizācijas uzņēmumiem, kas nodrošina energosnieguma uzlabošanas pasākumus energosnieguma līgumu slēgšanas vajadzībām, kā paredz </w:t>
      </w:r>
      <w:r>
        <w:rPr>
          <w:i/>
        </w:rPr>
        <w:t>CEEAG</w:t>
      </w:r>
      <w:r>
        <w:t xml:space="preserve"> 140. punkts.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Stimulējoša ietekme</w:t>
            </w:r>
          </w:p>
        </w:tc>
      </w:tr>
    </w:tbl>
    <w:p w14:paraId="20915284" w14:textId="4DB9CF89" w:rsidR="00015E2B" w:rsidRPr="00A05235" w:rsidRDefault="00B15313" w:rsidP="00A029BF">
      <w:pPr>
        <w:spacing w:before="120" w:after="120"/>
        <w:jc w:val="both"/>
        <w:rPr>
          <w:i/>
        </w:rPr>
      </w:pPr>
      <w:r>
        <w:rPr>
          <w:i/>
        </w:rPr>
        <w:t xml:space="preserve">Lai sniegtu šajā sadaļā prasīto informāciju, sk. </w:t>
      </w:r>
      <w:r>
        <w:t>CEEAG</w:t>
      </w:r>
      <w:r>
        <w:rPr>
          <w:i/>
        </w:rPr>
        <w:t xml:space="preserve"> 3.1.2. iedaļu (26.–32. punktu) un 4.2.3. iedaļu (141.–143. punktu).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Uzskatīt, ka atbalsts veicina saimniecisku darbību, var tikai tad, ja tam ir stimulējoša ietekme. Lai varētu novērtēt atbilstību </w:t>
      </w:r>
      <w:r>
        <w:rPr>
          <w:i/>
        </w:rPr>
        <w:t>CEEAG</w:t>
      </w:r>
      <w:r>
        <w:t xml:space="preserve"> 26. punktam, norādiet, kā pasākumi atbalsta saņēmēju rosina mainīt </w:t>
      </w:r>
      <w:r>
        <w:rPr>
          <w:i/>
        </w:rPr>
        <w:t>“uzvedību, iesaistīties papildu saimnieciskā darbībā vai videi nekaitīgākā saimnieciskā darbībā, ko atbalsta saņēmējs nedarītu, ja nebūtu atbalsta, vai darītu to ierobežotā vai atšķirīgā veidā”</w:t>
      </w:r>
      <w:r>
        <w:t xml:space="preserve">. Turklāt, lai varētu novērtēt atbilstību </w:t>
      </w:r>
      <w:r>
        <w:rPr>
          <w:i/>
          <w:iCs/>
        </w:rPr>
        <w:t>CEEAG</w:t>
      </w:r>
      <w:r>
        <w:t xml:space="preserve"> 27. punktam, apstipriniet, ka pasākums </w:t>
      </w:r>
      <w:r>
        <w:rPr>
          <w:i/>
        </w:rPr>
        <w:t>“[nekompensē] saimnieciskās darbības parasto darījumdarbības risku”</w:t>
      </w:r>
      <w:r>
        <w:t>, un īsi paskaidrojiet, kāpēc.</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 xml:space="preserve">Saskaņā ar </w:t>
      </w:r>
      <w:r>
        <w:rPr>
          <w:i/>
        </w:rPr>
        <w:t>CEEAG</w:t>
      </w:r>
      <w:r>
        <w:t xml:space="preserve"> 28. punktu</w:t>
      </w:r>
    </w:p>
    <w:p w14:paraId="1D53C270" w14:textId="61433453" w:rsidR="006C5D8B" w:rsidRPr="00883777" w:rsidRDefault="005B0BB7" w:rsidP="00B0184F">
      <w:pPr>
        <w:pStyle w:val="ListParagraph"/>
        <w:numPr>
          <w:ilvl w:val="2"/>
          <w:numId w:val="22"/>
        </w:numPr>
        <w:spacing w:before="120" w:after="120"/>
        <w:ind w:left="1071" w:hanging="357"/>
        <w:contextualSpacing w:val="0"/>
        <w:jc w:val="both"/>
      </w:pPr>
      <w:r>
        <w:t>visaptveroši aprakstiet faktisko scenāriju, kas no atbalsta pasākuma, paredzams, izrietēs, un hipotētisku scenāriju (scenārijus), kas, visticamāk, iestātos, ja atbalsta pasākuma nebūtu</w:t>
      </w:r>
      <w:r>
        <w:rPr>
          <w:rStyle w:val="FootnoteReference"/>
        </w:rPr>
        <w:footnoteReference w:id="6"/>
      </w:r>
      <w:r>
        <w:t>. Ja sagaidāt, ka atbalstu saņemt varētu dažādu kategoriju atbalsta saņēmēji, pārliecinieties, ka hipotētiskais scenārijs ir ticams attiecībā uz katru no šīm kategorijām.</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Īsi pamatojiet ticamā hipotētiskā scenārija vai scenāriju izvēli, attiecīgā gadījumā ņemot vērā ierosinātās dažādās atbalsta saņēmēju kategorijas.</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lastRenderedPageBreak/>
        <w:t xml:space="preserve">Kvantificējiet faktisko un hipotētisko scenāriju izmaksas un ieņēmumus un attiecīgā gadījumā pamatojiet rīcības maiņu attiecībā uz katru saņēmēju kategoriju, balstoties uz </w:t>
      </w:r>
    </w:p>
    <w:p w14:paraId="3678CF33" w14:textId="45739BAD" w:rsidR="00D54588" w:rsidRPr="007159A8" w:rsidRDefault="005B7459" w:rsidP="00D54588">
      <w:pPr>
        <w:pStyle w:val="ListParagraph"/>
        <w:numPr>
          <w:ilvl w:val="3"/>
          <w:numId w:val="22"/>
        </w:numPr>
        <w:spacing w:before="120" w:after="120"/>
        <w:ind w:left="1775" w:hanging="357"/>
        <w:contextualSpacing w:val="0"/>
        <w:jc w:val="both"/>
      </w:pPr>
      <w:r>
        <w:t>attiecīgajiem atsauces projektiem</w:t>
      </w:r>
      <w:r>
        <w:rPr>
          <w:vertAlign w:val="superscript"/>
        </w:rPr>
        <w:footnoteReference w:id="7"/>
      </w:r>
      <w:r>
        <w:t>, attiecīgajiem hipotētiskajiem scenārijiem un no tiem izrietošo finansējuma deficītu</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VAI</w:t>
      </w:r>
    </w:p>
    <w:p w14:paraId="11E50234" w14:textId="3F81765C" w:rsidR="006C5D8B" w:rsidRPr="007159A8" w:rsidRDefault="006A4BD4" w:rsidP="00D54588">
      <w:pPr>
        <w:pStyle w:val="ListParagraph"/>
        <w:numPr>
          <w:ilvl w:val="3"/>
          <w:numId w:val="22"/>
        </w:numPr>
        <w:spacing w:before="120" w:after="120"/>
        <w:ind w:left="1775" w:hanging="357"/>
        <w:contextualSpacing w:val="0"/>
        <w:jc w:val="both"/>
      </w:pPr>
      <w:r>
        <w:t>relevantiem kvantitatīviem pierādījumiem, kuru pamatā ir tirgus pētījumi (it sevišķi pētījumi par paredzamajiem atmaksāšanās periodiem), investoru plāni, finanšu pārskati, vai citiem kvantitatīviem pierādījumiem, tostarp attiecīgā gadījumā piedāvājumiem, kas iesniegti par līdzīgiem projektiem nesenās pielīdzināmās konkurenci veicinošās konkursa procedūrās</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64A6854E" w:rsidR="006C5D8B" w:rsidRPr="008D5ADF" w:rsidRDefault="006C5D8B" w:rsidP="00C27E1B">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29. un 31. punktam,</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apstipriniet, ka projekta vai darbības darbi nav sākti, pirms atbalsta saņēmējs valsts iestādēm iesniedzis rakstisku atbalsta pieteikumu,</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VAI</w:t>
      </w:r>
    </w:p>
    <w:p w14:paraId="5C354347" w14:textId="4CD5D793" w:rsidR="006C5D8B" w:rsidRPr="00471B74" w:rsidRDefault="006B7B52" w:rsidP="00BC0346">
      <w:pPr>
        <w:pStyle w:val="ListParagraph"/>
        <w:numPr>
          <w:ilvl w:val="0"/>
          <w:numId w:val="24"/>
        </w:numPr>
        <w:spacing w:before="120" w:after="120"/>
        <w:ind w:left="1066" w:hanging="357"/>
        <w:contextualSpacing w:val="0"/>
        <w:jc w:val="both"/>
      </w:pPr>
      <w:r>
        <w:t xml:space="preserve">attiecībā uz projektiem, kas sākti pirms atbalsta pieteikuma iesniegšanas, pierādiet, ka uz projektu attiecas kāds no </w:t>
      </w:r>
      <w:r>
        <w:rPr>
          <w:i/>
          <w:iCs/>
        </w:rPr>
        <w:t>CEEAG</w:t>
      </w:r>
      <w:r>
        <w:t xml:space="preserve"> 31. punktā minētajiem izņēmuma gadījumiem (a), b) vai c) apakšpunkts).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Lai pierādītu atbilstību </w:t>
      </w:r>
      <w:r>
        <w:rPr>
          <w:i/>
          <w:iCs/>
        </w:rPr>
        <w:t>CEEAG</w:t>
      </w:r>
      <w:r>
        <w:t xml:space="preserve"> 30. punktam, apstipriniet, ka atbalsta pieteikumā ir norādīts vismaz pieteikuma iesniedzēja vārds un uzvārds, projekta vai darbības apraksts, arī tā vieta, un tā īstenošanai nepieciešamā atbalsta summa.</w:t>
      </w:r>
    </w:p>
    <w:p w14:paraId="1E36165B" w14:textId="0A777F03" w:rsidR="00C220F5" w:rsidRPr="00340974" w:rsidRDefault="00C220F5" w:rsidP="00340974">
      <w:pPr>
        <w:pStyle w:val="ListParagraph"/>
        <w:tabs>
          <w:tab w:val="left" w:leader="dot" w:pos="9072"/>
        </w:tabs>
        <w:spacing w:before="120" w:after="120"/>
        <w:ind w:left="567"/>
        <w:contextualSpacing w:val="0"/>
        <w:jc w:val="both"/>
      </w:pPr>
      <w:r>
        <w:tab/>
      </w:r>
    </w:p>
    <w:p w14:paraId="0BA9B2F2" w14:textId="742238ED" w:rsidR="0025374D" w:rsidRPr="008D5ADF" w:rsidRDefault="00305DC0" w:rsidP="005E45B5">
      <w:pPr>
        <w:pStyle w:val="ListParagraph"/>
        <w:numPr>
          <w:ilvl w:val="0"/>
          <w:numId w:val="4"/>
        </w:numPr>
        <w:spacing w:before="120" w:after="120"/>
        <w:ind w:left="567" w:hanging="567"/>
        <w:contextualSpacing w:val="0"/>
        <w:jc w:val="both"/>
      </w:pPr>
      <w:r>
        <w:t xml:space="preserve">Lai pierādītu atbilstību </w:t>
      </w:r>
      <w:r>
        <w:rPr>
          <w:i/>
        </w:rPr>
        <w:t>CEEAG</w:t>
      </w:r>
      <w:r>
        <w:t xml:space="preserve"> 32. un 14</w:t>
      </w:r>
      <w:r w:rsidR="0017368C">
        <w:t>2</w:t>
      </w:r>
      <w:r>
        <w:t>. punktam,</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norādiet, vai paziņotajiem pasākumiem ir piemērojami Savienības standarti</w:t>
      </w:r>
      <w:r>
        <w:rPr>
          <w:vertAlign w:val="superscript"/>
        </w:rPr>
        <w:footnoteReference w:id="9"/>
      </w:r>
      <w:r>
        <w:t xml:space="preserve">, obligāti valsts standarti, kas ir stingrāki vai vērienīgāki par atbilstošajiem </w:t>
      </w:r>
      <w:r>
        <w:lastRenderedPageBreak/>
        <w:t xml:space="preserve">Savienības standartiem, vai obligāti valsts standarti, kas pieņemti tāpēc, ka Savienības standartu nav;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gadījumos, kad Savienības tiesību akti nosaka, ka izmantojami Savienības standarti, apstipriniet un pierādiet, ka atbalstam ir stimulējoša ietekme tāpēc, ka tas stimulē investīciju veikšanu un pabeigšanu vismaz 18 mēnešus pirms standarta stāšanās spēkā;</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paskaidrojiet, vai projekti, kuru atmaksāšanās periods</w:t>
      </w:r>
      <w:r>
        <w:rPr>
          <w:vertAlign w:val="superscript"/>
          <w:lang w:eastAsia="en-GB"/>
        </w:rPr>
        <w:footnoteReference w:id="10"/>
      </w:r>
      <w:r>
        <w:t xml:space="preserve"> ir mazāks par pieciem gadiem, saskaņā ar pasākumiem ir atbalsttiesīgi. Ja atbilde ir apstiprinoša, sniedziet pierādījumus, ka atbalsts ir vajadzīgs, lai izraisītu izmaiņas uzvedībā, kā prasa </w:t>
      </w:r>
      <w:r>
        <w:rPr>
          <w:i/>
        </w:rPr>
        <w:t>CEEAG</w:t>
      </w:r>
      <w:r>
        <w:t xml:space="preserve"> 142. punkts.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Nav pārkāpts neviens relevants Savienības tiesību akta noteikums</w:t>
            </w:r>
          </w:p>
        </w:tc>
      </w:tr>
    </w:tbl>
    <w:p w14:paraId="71F2B6DF" w14:textId="77777777" w:rsidR="00382DE7" w:rsidRDefault="00382DE7" w:rsidP="00A029BF">
      <w:pPr>
        <w:spacing w:before="120" w:after="120"/>
        <w:jc w:val="both"/>
        <w:rPr>
          <w:i/>
        </w:rPr>
      </w:pPr>
      <w:r>
        <w:rPr>
          <w:i/>
        </w:rPr>
        <w:t xml:space="preserve">Lai sniegtu šajā sadaļā prasīto informāciju, sk. </w:t>
      </w:r>
      <w:r>
        <w:t>CEEAG</w:t>
      </w:r>
      <w:r>
        <w:rPr>
          <w:i/>
        </w:rPr>
        <w:t xml:space="preserve"> 3.1.3. iedaļu (33. punktu). </w:t>
      </w:r>
    </w:p>
    <w:p w14:paraId="075E8A7E" w14:textId="77777777" w:rsidR="00382DE7" w:rsidRDefault="00382DE7" w:rsidP="005450FE">
      <w:pPr>
        <w:pStyle w:val="ListParagraph"/>
        <w:numPr>
          <w:ilvl w:val="0"/>
          <w:numId w:val="4"/>
        </w:numPr>
        <w:spacing w:before="120" w:after="120"/>
        <w:ind w:left="567" w:hanging="567"/>
        <w:contextualSpacing w:val="0"/>
        <w:jc w:val="both"/>
      </w:pPr>
      <w:r>
        <w:t xml:space="preserve">Sniedziet informāciju, kas apstiprina atbilstību relevantajiem ES tiesību aktu noteikumiem, saskaņā ar </w:t>
      </w:r>
      <w:r>
        <w:rPr>
          <w:i/>
        </w:rPr>
        <w:t>CEEAG</w:t>
      </w:r>
      <w:r>
        <w:t xml:space="preserve"> 33. punktu.</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32622DD8" w:rsidR="00382DE7" w:rsidRPr="005450FE" w:rsidRDefault="00382DE7" w:rsidP="005450FE">
      <w:pPr>
        <w:pStyle w:val="ListParagraph"/>
        <w:numPr>
          <w:ilvl w:val="0"/>
          <w:numId w:val="4"/>
        </w:numPr>
        <w:spacing w:before="120" w:after="120"/>
        <w:ind w:left="567" w:hanging="567"/>
        <w:contextualSpacing w:val="0"/>
        <w:jc w:val="both"/>
      </w:pPr>
      <w:r>
        <w:t xml:space="preserve">Ja pasākumu finansēšanai izmanto nodevu, precizējiet, vai ir jānovērtē atbilstība LESD 30. un 110. pantam. Ja atbilde ir apstiprinoša, pierādiet, ka pasākums atbilst LESD 30. un 110. panta noteikumiem. Šajā sakarā, ja paziņotais pasākums tiek finansēts no nodevas, var atsaukties uz informāciju, kas iesniegta saskaņā ar </w:t>
      </w:r>
      <w:r>
        <w:fldChar w:fldCharType="begin"/>
      </w:r>
      <w:r>
        <w:instrText xml:space="preserve"> REF _Ref126829229 \w \h  \* MERGEFORMAT </w:instrText>
      </w:r>
      <w:r>
        <w:fldChar w:fldCharType="separate"/>
      </w:r>
      <w:r>
        <w:t>5</w:t>
      </w:r>
      <w:r>
        <w:fldChar w:fldCharType="end"/>
      </w:r>
      <w:r>
        <w:t xml:space="preserve">. punkta </w:t>
      </w:r>
      <w:r>
        <w:fldChar w:fldCharType="begin"/>
      </w:r>
      <w:r>
        <w:instrText xml:space="preserve"> REF _Ref126829235 \w \h  \* MERGEFORMAT </w:instrText>
      </w:r>
      <w:r>
        <w:fldChar w:fldCharType="separate"/>
      </w:r>
      <w:r>
        <w:t>ii</w:t>
      </w:r>
      <w:r>
        <w:fldChar w:fldCharType="end"/>
      </w:r>
      <w:r>
        <w:t>. apakšpunktu.</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Negatīvs nosacījums: atbalsta pasākums nevar radīt tādu nepamatotu nelabvēlīgu iespaidu uz tirdzniecības apstākļiem, kas ir pretrunā kopīgām interesēm</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Konkurences un tirdzniecības izkropļojumu minimalizēšana</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Atbalsta nepieciešamība</w:t>
            </w:r>
          </w:p>
        </w:tc>
      </w:tr>
    </w:tbl>
    <w:p w14:paraId="3C23674F" w14:textId="0E280353" w:rsidR="00663008" w:rsidRPr="00F83660" w:rsidRDefault="00663008" w:rsidP="00A029BF">
      <w:pPr>
        <w:spacing w:before="120" w:after="120"/>
        <w:jc w:val="both"/>
        <w:rPr>
          <w:i/>
          <w:color w:val="000000"/>
        </w:rPr>
      </w:pPr>
      <w:r>
        <w:rPr>
          <w:i/>
        </w:rPr>
        <w:t xml:space="preserve">Lai sniegtu šajā sadaļā prasīto informāciju, sk. </w:t>
      </w:r>
      <w:r>
        <w:t>CEEAG</w:t>
      </w:r>
      <w:r>
        <w:rPr>
          <w:i/>
        </w:rPr>
        <w:t xml:space="preserve"> 3.2.1.1. iedaļu (34.–38. punktu).</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 xml:space="preserve">Paskaidrojiet, kādas tirgus nepilnības, kuras liedz sasniegt pietiekamu vides aizsardzības līmeni, jūsu iestādes ir konstatējušas. Norādiet, kurā kategorijā konstatētās tirgus nepilnības ietilpst, atsaucoties uz </w:t>
      </w:r>
      <w:r>
        <w:rPr>
          <w:i/>
        </w:rPr>
        <w:t>CEEAG</w:t>
      </w:r>
      <w:r>
        <w:t xml:space="preserve"> 34. punkta a), b), c) vai d) apakšpunktu.</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42133953" w:rsidR="00B658C2" w:rsidRPr="008D5ADF" w:rsidRDefault="001F680C" w:rsidP="00076394">
      <w:pPr>
        <w:pStyle w:val="ListParagraph"/>
        <w:numPr>
          <w:ilvl w:val="0"/>
          <w:numId w:val="4"/>
        </w:numPr>
        <w:spacing w:before="120" w:after="120"/>
        <w:ind w:left="567" w:hanging="567"/>
        <w:contextualSpacing w:val="0"/>
        <w:jc w:val="both"/>
      </w:pPr>
      <w:r>
        <w:t xml:space="preserve">Saskaņā ar </w:t>
      </w:r>
      <w:r>
        <w:rPr>
          <w:i/>
          <w:iCs/>
        </w:rPr>
        <w:t>CEEAG</w:t>
      </w:r>
      <w:r>
        <w:t xml:space="preserve"> 35. punktu sniedziet informāciju par visām jūsu iestāžu apzinātajām esošajām rīcībpolitikām un pasākumiem, kas jau orientēti uz konstatēto regulatīvo vai tirgus nepilnību novēršanu.</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Lai pierādītu atbilstību </w:t>
      </w:r>
      <w:r>
        <w:rPr>
          <w:i/>
        </w:rPr>
        <w:t>CEEAG</w:t>
      </w:r>
      <w: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33283892" w:rsidR="00B658C2" w:rsidRPr="008D5ADF" w:rsidRDefault="00B658C2" w:rsidP="00076394">
      <w:pPr>
        <w:pStyle w:val="ListParagraph"/>
        <w:numPr>
          <w:ilvl w:val="0"/>
          <w:numId w:val="4"/>
        </w:numPr>
        <w:spacing w:before="120" w:after="120"/>
        <w:ind w:left="567" w:hanging="567"/>
        <w:contextualSpacing w:val="0"/>
        <w:jc w:val="both"/>
      </w:pPr>
      <w:r>
        <w:t xml:space="preserve">Lai pierādītu atbilstību </w:t>
      </w:r>
      <w:r>
        <w:rPr>
          <w:i/>
        </w:rPr>
        <w:t>CEEAG</w:t>
      </w:r>
      <w: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w:t>
      </w:r>
      <w:r w:rsidR="0017368C">
        <w:t xml:space="preserve">papildu </w:t>
      </w:r>
      <w:r>
        <w:t>pierādījumus, kas pierāda valsts atbalsta nepieciešamību.</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38. punktam, sk. kvantitatīvos pierādījumus, kas jau sniegti iepriekš 14. punkta C) apakšpunktā.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Piemērotība</w:t>
            </w:r>
          </w:p>
        </w:tc>
      </w:tr>
    </w:tbl>
    <w:p w14:paraId="4C2D927B" w14:textId="0560221D" w:rsidR="00EA354A" w:rsidRPr="00F83660" w:rsidRDefault="00EA354A" w:rsidP="00AF17C3">
      <w:pPr>
        <w:spacing w:before="120" w:after="120"/>
        <w:jc w:val="both"/>
        <w:rPr>
          <w:i/>
          <w:color w:val="000000"/>
        </w:rPr>
      </w:pPr>
      <w:r>
        <w:rPr>
          <w:i/>
        </w:rPr>
        <w:t xml:space="preserve">Lai sniegtu šajā sadaļā prasīto informāciju, sk. </w:t>
      </w:r>
      <w:r>
        <w:t>CEEAG</w:t>
      </w:r>
      <w:r>
        <w:rPr>
          <w:i/>
        </w:rPr>
        <w:t xml:space="preserve"> 3.2.1.2. iedaļu (39.–46. punktu), 4.2.4.1. iedaļu (144. un 145. punktu) un 153. un 157. punktu.</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40. punktam, pierādiet, ka nav pieejami mazāk kropļojoši instrumenti, kas būtu piemērotāki par valsts atbalstu.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lastRenderedPageBreak/>
        <w:t xml:space="preserve">Lai varētu verificēt atbilstību </w:t>
      </w:r>
      <w:r>
        <w:rPr>
          <w:i/>
        </w:rPr>
        <w:t>CEEAG</w:t>
      </w:r>
      <w:r>
        <w:t xml:space="preserve"> 41. punktam, pierādiet, ka atbalsta pasākums ir izstrādāts tā, lai nemazinātu citu tādu pasākumu efektivitāti, ar kuriem novērš to pašu tirgus nepilnību, piemēram, tirgus mehānismu (piemēram, ES ETS) efektivitāti.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Lai pierādītu atbilstību </w:t>
      </w:r>
      <w:r>
        <w:rPr>
          <w:i/>
        </w:rPr>
        <w:t>CEEAG</w:t>
      </w:r>
      <w:r>
        <w:t xml:space="preserve"> 42. punktam, apstipriniet, ka neviens no atbalsta saņēmējiem nebūtu saucams pie atbildības par piesārņojumu saskaņā ar spēkā esošajiem Savienības vai valsts tiesību aktiem (</w:t>
      </w:r>
      <w:r>
        <w:rPr>
          <w:i/>
        </w:rPr>
        <w:t>princips “piesārņotājs maksā”</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4B4BA021" w:rsidR="003A56C9" w:rsidRPr="00BD5698" w:rsidRDefault="001D366B" w:rsidP="00BD5698">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43.–46. punktam, pierādiet atbalsta piemērotību citu atbalsta instrumentu vidū, sniedzot šādu informāciju: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kā prasa </w:t>
      </w:r>
      <w:r>
        <w:rPr>
          <w:i/>
        </w:rPr>
        <w:t>CEEAG</w:t>
      </w:r>
      <w: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procentu likmes subsīdijas, valsts garantijas vai alternatīva finansējuma nodrošināšana ar izdevīgiem nosacījumiem;</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 xml:space="preserve">pierādiet, ka atbalsta instrumenta izvēle ir piemērota tirgus nepilnībai, ko ar atbalsta pasākumiem iecerēts novērst, kā noteikts </w:t>
      </w:r>
      <w:r>
        <w:rPr>
          <w:i/>
        </w:rPr>
        <w:t>CEEAG</w:t>
      </w:r>
      <w:r>
        <w:t xml:space="preserve"> 45. punktā;</w:t>
      </w:r>
    </w:p>
    <w:p w14:paraId="3C5110AA" w14:textId="77777777" w:rsidR="003A56C9" w:rsidRPr="00ED71CB" w:rsidRDefault="003A56C9" w:rsidP="00BD5698">
      <w:pPr>
        <w:tabs>
          <w:tab w:val="left" w:leader="dot" w:pos="9072"/>
        </w:tabs>
        <w:spacing w:before="120" w:after="120"/>
        <w:ind w:left="1077"/>
        <w:jc w:val="both"/>
      </w:pPr>
      <w:r>
        <w:tab/>
      </w:r>
    </w:p>
    <w:p w14:paraId="0CF9131E" w14:textId="2F4AEED3" w:rsidR="003A56C9" w:rsidRPr="00ED71CB" w:rsidRDefault="003A56C9" w:rsidP="00BC0346">
      <w:pPr>
        <w:pStyle w:val="ListParagraph"/>
        <w:numPr>
          <w:ilvl w:val="0"/>
          <w:numId w:val="30"/>
        </w:numPr>
        <w:spacing w:before="120" w:after="120"/>
        <w:ind w:left="1066" w:hanging="357"/>
        <w:contextualSpacing w:val="0"/>
        <w:jc w:val="both"/>
      </w:pPr>
      <w:r>
        <w:t xml:space="preserve">paskaidrojiet, kāpēc atbalsts un tā plānojums ir piemēroti tā pasākuma mērķa sasniegšanai, uz kuru atbalsts ir vērsts (kā prasa </w:t>
      </w:r>
      <w:r>
        <w:rPr>
          <w:i/>
          <w:iCs/>
        </w:rPr>
        <w:t>CEEAG</w:t>
      </w:r>
      <w:r>
        <w:t xml:space="preserve"> 46. punkts).</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Ja atbalstu piešķir saskaņā ar pasākumiem MVU un maziem vidējas kapitalizācijas uzņēmumiem, kas nodrošina energosnieguma uzlabošanas pasākumus saskaņā ar energosnieguma līgumiem, apstipriniet, ka, kā prasa </w:t>
      </w:r>
      <w:r>
        <w:rPr>
          <w:i/>
        </w:rPr>
        <w:t>CEEAG</w:t>
      </w:r>
      <w:r>
        <w:t xml:space="preserve"> 145. punkts, atbalsts ir aizdevums vai garantija pasākumu veicējam vai ka tas ir finanšu produkts, kura mērķis ir finansēt attiecīgo pakalpojumu sniedzēju (piemēram, faktorings vai forfeitings).</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Ja atbalstu piešķir saskaņā ar pasākumiem, kas ir finanšu instrumenti, apstipriniet, ka</w:t>
      </w:r>
    </w:p>
    <w:p w14:paraId="407E4217" w14:textId="02AA56C3" w:rsidR="00A8494E" w:rsidRDefault="00A8494E" w:rsidP="00BC0346">
      <w:pPr>
        <w:pStyle w:val="ListParagraph"/>
        <w:numPr>
          <w:ilvl w:val="0"/>
          <w:numId w:val="33"/>
        </w:numPr>
        <w:spacing w:before="120" w:after="120"/>
        <w:contextualSpacing w:val="0"/>
        <w:jc w:val="both"/>
      </w:pPr>
      <w:r>
        <w:t xml:space="preserve">atbalsts ēkas īpašniekam vai īrniekam ir garantija vai aizdevums, kā prasa </w:t>
      </w:r>
      <w:r>
        <w:rPr>
          <w:i/>
        </w:rPr>
        <w:t>CEEAG</w:t>
      </w:r>
      <w:r>
        <w:t xml:space="preserve"> 153. punkts, un</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atbalsts finanšu starpniekam (piemēram, energoefektivitātes fondam) ir dotācija, pašu kapitāls, garantija vai aizdevums, kā prasa </w:t>
      </w:r>
      <w:r>
        <w:rPr>
          <w:i/>
        </w:rPr>
        <w:t>CEEAG</w:t>
      </w:r>
      <w:r>
        <w:t xml:space="preserve"> 157. punkts.</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Samērīgums </w:t>
            </w:r>
          </w:p>
        </w:tc>
      </w:tr>
    </w:tbl>
    <w:p w14:paraId="201592AD" w14:textId="77777777" w:rsidR="00E47105" w:rsidRDefault="00DC2847" w:rsidP="00BD1EF7">
      <w:pPr>
        <w:spacing w:before="360" w:after="120"/>
        <w:jc w:val="both"/>
        <w:rPr>
          <w:i/>
        </w:rPr>
      </w:pPr>
      <w:r>
        <w:rPr>
          <w:i/>
        </w:rPr>
        <w:lastRenderedPageBreak/>
        <w:t xml:space="preserve">Lai sniegtu šajā sadaļā prasīto informāciju, sk. </w:t>
      </w:r>
      <w:r>
        <w:t>CEEAG</w:t>
      </w:r>
      <w:r>
        <w:rPr>
          <w:i/>
        </w:rPr>
        <w:t xml:space="preserve"> 4.2.4.2. iedaļu (146.–153. punktu). </w:t>
      </w:r>
    </w:p>
    <w:p w14:paraId="46E1A5AF" w14:textId="04DAB5C6" w:rsidR="00BD1EF7" w:rsidRPr="00BD1EF7" w:rsidRDefault="00DC2847" w:rsidP="00E47105">
      <w:pPr>
        <w:spacing w:before="120" w:after="120"/>
        <w:jc w:val="both"/>
        <w:rPr>
          <w:i/>
        </w:rPr>
      </w:pPr>
      <w:r>
        <w:rPr>
          <w:i/>
        </w:rPr>
        <w:t xml:space="preserve">Ņemiet vērā, ka </w:t>
      </w:r>
      <w:r>
        <w:rPr>
          <w:i/>
          <w:u w:val="single"/>
        </w:rPr>
        <w:t>trīs nākamās sadaļas — 2.1.3.1., 2.1.3.2. un 2.1.3.3. — ir alternatīvas</w:t>
      </w:r>
      <w:r>
        <w:rPr>
          <w:i/>
        </w:rPr>
        <w:t xml:space="preserve">. Sniedziet tikai piemērojamajā sadaļā prasīto informāciju — atkarībā no ierosinātā pasākuma plānojuma.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79B77A66" w:rsidR="001620DB" w:rsidRPr="00FC6878" w:rsidRDefault="00D46167" w:rsidP="001A21E9">
            <w:pPr>
              <w:pStyle w:val="Heading1"/>
              <w:ind w:left="788" w:right="-28" w:hanging="357"/>
              <w:jc w:val="left"/>
              <w:rPr>
                <w:sz w:val="24"/>
                <w:szCs w:val="24"/>
              </w:rPr>
            </w:pPr>
            <w:r>
              <w:rPr>
                <w:sz w:val="24"/>
              </w:rPr>
              <w:t xml:space="preserve">2.1.3.1. Atbalsta </w:t>
            </w:r>
            <w:r w:rsidRPr="0017368C">
              <w:rPr>
                <w:sz w:val="24"/>
              </w:rPr>
              <w:t>samērīgums</w:t>
            </w:r>
            <w:r>
              <w:rPr>
                <w:sz w:val="24"/>
              </w:rPr>
              <w:t xml:space="preserve">, ja atbalsts </w:t>
            </w:r>
            <w:r>
              <w:rPr>
                <w:sz w:val="24"/>
                <w:u w:val="single"/>
              </w:rPr>
              <w:t>netiek</w:t>
            </w:r>
            <w:r>
              <w:rPr>
                <w:sz w:val="24"/>
              </w:rPr>
              <w:t xml:space="preserve"> piešķirts konkurenci veicinošā konkursa procedūrā un netiek piešķirts finanšu instrumenta veidā</w:t>
            </w:r>
          </w:p>
        </w:tc>
      </w:tr>
    </w:tbl>
    <w:p w14:paraId="38D650DB" w14:textId="658040C6" w:rsidR="00D32425" w:rsidRDefault="001620DB" w:rsidP="00BD1EF7">
      <w:pPr>
        <w:pStyle w:val="ListParagraph"/>
        <w:spacing w:before="120" w:after="120"/>
        <w:ind w:left="0"/>
        <w:contextualSpacing w:val="0"/>
        <w:jc w:val="both"/>
      </w:pPr>
      <w:r>
        <w:rPr>
          <w:i/>
        </w:rPr>
        <w:t xml:space="preserve">Lai sniegtu šajā sadaļā prasīto informāciju, sk. </w:t>
      </w:r>
      <w:r>
        <w:t>CEEAG</w:t>
      </w:r>
      <w:r>
        <w:rPr>
          <w:i/>
        </w:rPr>
        <w:t xml:space="preserve"> 146.–151. punktu un 153. punktu.</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 xml:space="preserve">Lai varētu verificēt atbilstību </w:t>
      </w:r>
      <w:r>
        <w:rPr>
          <w:i/>
        </w:rPr>
        <w:t>CEEAG</w:t>
      </w:r>
      <w:r>
        <w:t xml:space="preserve"> 146. punktam, paskaidrojiet, kuras ir pasākumu attiecināmās izmaksas un kā nodrošināts, ka tās ir tikai investīciju izmaksas, kas tieši saistītas ar augstāka energosnieguma vai vidiskā snieguma panākšanu.</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Norādiet maksimālo atbalsta intensitāti, kas piemērojama saskaņā ar pasākumu, un norādiet, vai ir piemērojami kādi palielinājumi (kas aprakstīti </w:t>
      </w:r>
      <w:r>
        <w:rPr>
          <w:i/>
        </w:rPr>
        <w:t>CEEAG</w:t>
      </w:r>
      <w:r>
        <w:t xml:space="preserve"> 147.–150. punktā).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 xml:space="preserve">Attiecīgā gadījumā, kā prasa </w:t>
      </w:r>
      <w:r>
        <w:rPr>
          <w:i/>
        </w:rPr>
        <w:t>CEEAG</w:t>
      </w:r>
      <w:r>
        <w:t xml:space="preserve"> 148. punkts, pamatojiet atbalsta intensitātes palielinājuma piemērošanu uzlabojumiem, kuru rezultātā primārās enerģijas pieprasījums samazinās vismaz par 40 %.</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 xml:space="preserve">Ja, atkāpjoties no </w:t>
      </w:r>
      <w:r>
        <w:rPr>
          <w:i/>
        </w:rPr>
        <w:t>CEEAG</w:t>
      </w:r>
      <w:r>
        <w:t xml:space="preserve"> 147.–150. punkta, tiek uzskatīts, ka vajadzīgs atbalsts, kas pārsniedz maksimālo atbalsta intensitāti, kas noteikta šajos punktos, norādiet, kāds atbalsta līmenis uzskatāms par nepieciešamu, un pamatojiet to, balstoties uz finansējuma deficīta analīzi, saskaņā ar </w:t>
      </w:r>
      <w:r>
        <w:rPr>
          <w:i/>
        </w:rPr>
        <w:t>CEEAG</w:t>
      </w:r>
      <w:r>
        <w:t xml:space="preserve"> 51.–52. punktu.</w:t>
      </w:r>
    </w:p>
    <w:p w14:paraId="7FF7142F" w14:textId="0EBC2073" w:rsidR="006C2F85" w:rsidRPr="00A23A7E" w:rsidRDefault="006C2F85" w:rsidP="002F344E">
      <w:pPr>
        <w:pStyle w:val="ListParagraph"/>
        <w:spacing w:before="120" w:after="120"/>
        <w:ind w:left="567"/>
        <w:contextualSpacing w:val="0"/>
        <w:jc w:val="both"/>
      </w:pPr>
      <w:r>
        <w:t>Šīs finansējuma deficīta analīzes vajadzībām iesniedziet skaitlisku aprēķinu — par faktisko scenāriju (scenārijiem) un reālistisko hipotētisko scenāriju (scenārijiem)</w:t>
      </w:r>
      <w:r>
        <w:rPr>
          <w:vertAlign w:val="superscript"/>
          <w:lang w:val="en-IE" w:eastAsia="hr-HR" w:bidi="hr-HR"/>
        </w:rPr>
        <w:footnoteReference w:id="11"/>
      </w:r>
      <w:r>
        <w:t>, kas norādīts pie 14. punkta C) apakšpunkta, — par visām galvenajām izmaksām un ieņēmumiem, aplēstā atbalsta saņēmēju vidējā svērtā kapitāla cenu (</w:t>
      </w:r>
      <w:r>
        <w:rPr>
          <w:i/>
          <w:iCs/>
        </w:rPr>
        <w:t>WACC</w:t>
      </w:r>
      <w:r>
        <w:t xml:space="preserve">) turpmāko naudas plūsmu diskontēšanai, kā arī neto pašreizējo vērtību (NPV) visā projekta / atsauces projekta laikā.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Ņemiet vērā, ka, ja runa ir par individuālu atbalstu vai shēmu, kas dod labumu sevišķi ierobežotam skaitam atbalsta saņēmēju, dalībvalstij jāiesniedz apliecinoši pierādījumi detalizētā projekta uzņēmējdarbības plāna līmenī, savukārt atbalsta shēmu gadījumā dalībvalstij ir jāiesniedz apliecinošie pierādījumi, kuru pamatā ir viens vai vairāki atsauces projekti.</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To sniedziet šīs paziņojuma veidlapas pielikumā (izmantojot </w:t>
      </w:r>
      <w:r>
        <w:rPr>
          <w:i/>
        </w:rPr>
        <w:t>Excel</w:t>
      </w:r>
      <w:r>
        <w:t xml:space="preserve"> datni, kurā redzamas visas formulas).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Sniedziet detalizētu informāciju par pieņēmumiem, metodiku, pamatojumu un to avotiem, kas izmantoti katram faktiskā scenārija un ticamā hipotētiskā scenārija izmaksu un ieņēmumu kvantificēšanas aspektam (piemēram, norādiet </w:t>
      </w:r>
      <w:r>
        <w:lastRenderedPageBreak/>
        <w:t>pieņēmumus, kas izmantoti šo scenāriju izstrādei, un šo pieņēmumu avotu/pamatojumu).</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 xml:space="preserve">Šai paziņojuma veidlapai var pievienot arī dokumentus, kas minēti </w:t>
      </w:r>
      <w:r>
        <w:rPr>
          <w:i/>
        </w:rPr>
        <w:t>CEEAG</w:t>
      </w:r>
      <w:r>
        <w:t xml:space="preserve"> 39. zemsvītras piezīmē. Valdes dokumenti var būt īpaši noderīgi attiecībā uz individuālā atbalsta pasākumiem vai shēmām, no kurām labumu gūst sevišķi ierobežots skaits atbalsta saņēmēju. Ja šādi dokumenti ir pievienoti paziņojuma veidlapai, tālāk sniedziet šo dokumentu sarakstu, norādot autoru, to sagatavošanas datumu un kontekstu, kurā tie izmantoti.</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19EFC5F5" w:rsidR="00CF5A9D" w:rsidRPr="00EA5A4E" w:rsidRDefault="00CF5A9D" w:rsidP="00CF5A9D">
      <w:pPr>
        <w:pStyle w:val="ListParagraph"/>
        <w:numPr>
          <w:ilvl w:val="0"/>
          <w:numId w:val="4"/>
        </w:numPr>
        <w:spacing w:before="120" w:after="120"/>
        <w:ind w:left="567" w:hanging="567"/>
        <w:contextualSpacing w:val="0"/>
        <w:jc w:val="both"/>
      </w:pPr>
      <w:r>
        <w:t xml:space="preserve">Turklāt pierādiet, ka, piemērojot lielāku atbalsta intensitāti, kas noteikta, kā norādīts 34. punktā, atbalsts nepārsniegs finansējuma deficītu.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Ja ir piemērojams </w:t>
      </w:r>
      <w:r>
        <w:rPr>
          <w:i/>
        </w:rPr>
        <w:t>CEEAG</w:t>
      </w:r>
      <w:r>
        <w:t xml:space="preserve"> 52. punkts, t. i., visticamākais hipotētiskais scenārijs ir tāds, ka atbalsta saņēmējs neveic darbību vai investīciju vai savu darbību turpina bez izmaiņām, sniedziet pierādījumus, kas šo pieņēmumu pamato</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448D81FB" w:rsidR="009A595D" w:rsidRPr="00FC6878" w:rsidRDefault="000D77DA" w:rsidP="000D77DA">
            <w:pPr>
              <w:pStyle w:val="Heading1"/>
              <w:ind w:left="788" w:right="-28" w:hanging="357"/>
              <w:rPr>
                <w:sz w:val="24"/>
                <w:szCs w:val="24"/>
              </w:rPr>
            </w:pPr>
            <w:r>
              <w:rPr>
                <w:sz w:val="24"/>
              </w:rPr>
              <w:t>2.1.3.2. Atbalsta samērīgums, ja atbalsts tiek piešķirts finanšu instrumentu veidā</w:t>
            </w:r>
          </w:p>
        </w:tc>
      </w:tr>
    </w:tbl>
    <w:p w14:paraId="24BE5936" w14:textId="12CB228A" w:rsidR="00B536D4" w:rsidRPr="00EA5A4E" w:rsidRDefault="00B536D4" w:rsidP="00986C5B">
      <w:pPr>
        <w:pStyle w:val="ListParagraph"/>
        <w:spacing w:before="120" w:after="120"/>
        <w:ind w:left="0"/>
        <w:contextualSpacing w:val="0"/>
        <w:jc w:val="both"/>
      </w:pPr>
      <w:r>
        <w:rPr>
          <w:i/>
        </w:rPr>
        <w:t xml:space="preserve">Lai sniegtu šajā sadaļā prasīto informāciju, sk. </w:t>
      </w:r>
      <w:r>
        <w:t>CEEAG</w:t>
      </w:r>
      <w:r>
        <w:rPr>
          <w:i/>
        </w:rPr>
        <w:t xml:space="preserve"> 146. punktu un 153. punktu.</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146. punktam, paskaidrojiet, kuras ir pasākumu attiecināmās izmaksas un kā nodrošināts, ka tās ir tikai investīciju izmaksas, kas tieši saistītas ar augstāka energosnieguma vai vidiskā snieguma panākšanu.</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153. punktam, sniedziet šeit prasīto informāciju.</w:t>
      </w:r>
    </w:p>
    <w:p w14:paraId="237638A6" w14:textId="73DDDADD" w:rsidR="00CB6373" w:rsidRPr="00EA5A4E" w:rsidRDefault="00CB6373" w:rsidP="00BC0346">
      <w:pPr>
        <w:pStyle w:val="ListParagraph"/>
        <w:numPr>
          <w:ilvl w:val="0"/>
          <w:numId w:val="27"/>
        </w:numPr>
        <w:spacing w:before="120" w:after="120"/>
        <w:contextualSpacing w:val="0"/>
        <w:jc w:val="both"/>
      </w:pPr>
      <w:r>
        <w:t>Ja atbalsts tiek piešķirts garantijas veidā, apstipriniet, ka garantija nepārsniegs 80 % no pamatā esošā aizdevuma, un paskaidrojiet, kā tiks nodrošināta šīs prasības ievērošana.</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Ja atbalsts tiek piešķirts aizdevuma veidā, apstipriniet, ka ēkas īpašniekiem energoefektivitātes fondam, atjaunīgās enerģijas fondam vai citam finanšu starpniekam būs jāatmaksā vismaz aizdevuma nominālvērtība, un paskaidrojiet, kā tiks nodrošināta šīs prasības ievērošana.</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Konkurenci veicinošā konkursa procedūrā piešķirtā atbalsta samērīgums </w:t>
            </w:r>
          </w:p>
        </w:tc>
      </w:tr>
    </w:tbl>
    <w:p w14:paraId="5EF69CC9" w14:textId="5A225620" w:rsidR="005679B2" w:rsidRPr="00441F0B" w:rsidRDefault="005679B2" w:rsidP="000D77DA">
      <w:pPr>
        <w:pStyle w:val="ListParagraph"/>
        <w:spacing w:before="120" w:after="120"/>
        <w:ind w:left="0"/>
        <w:contextualSpacing w:val="0"/>
        <w:jc w:val="both"/>
      </w:pPr>
      <w:r>
        <w:rPr>
          <w:i/>
        </w:rPr>
        <w:t xml:space="preserve">Lai sniegtu šajā sadaļā prasīto informāciju, sk. </w:t>
      </w:r>
      <w:r>
        <w:t>CEEAG</w:t>
      </w:r>
      <w:r>
        <w:rPr>
          <w:i/>
        </w:rPr>
        <w:t xml:space="preserve"> 49. punktu un 50. punktu.</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lastRenderedPageBreak/>
        <w:t xml:space="preserve">Lai varētu verificēt atbilstību </w:t>
      </w:r>
      <w:r>
        <w:rPr>
          <w:i/>
        </w:rPr>
        <w:t>CEEAG</w:t>
      </w:r>
      <w:r>
        <w:t xml:space="preserve"> 49. un 50. punktam, sniedziet šeit prasīto informāciju.</w:t>
      </w:r>
    </w:p>
    <w:p w14:paraId="60189593" w14:textId="77777777" w:rsidR="005679B2" w:rsidRPr="00441F0B" w:rsidRDefault="005679B2" w:rsidP="00BC0346">
      <w:pPr>
        <w:pStyle w:val="ListParagraph"/>
        <w:numPr>
          <w:ilvl w:val="0"/>
          <w:numId w:val="35"/>
        </w:numPr>
        <w:spacing w:before="120" w:after="120"/>
        <w:contextualSpacing w:val="0"/>
        <w:jc w:val="both"/>
      </w:pPr>
      <w:r>
        <w:t xml:space="preserve">Paskaidrojiet, kā iestādes nodrošina, ka konkursa procedūra ir atklāta, skaidra, pārredzama un nediskriminējoša, balstīta uz objektīviem kritērijiem, noteikta </w:t>
      </w:r>
      <w:r>
        <w:rPr>
          <w:i/>
        </w:rPr>
        <w:t>ex ante</w:t>
      </w:r>
      <w:r>
        <w:t xml:space="preserve"> saskaņā ar pasākuma mērķi un līdz minimumam samazina stratēģiskas piedāvājumu iesniegšanas risku (</w:t>
      </w:r>
      <w:r>
        <w:rPr>
          <w:i/>
        </w:rPr>
        <w:t>CEEAG</w:t>
      </w:r>
      <w:r>
        <w:t xml:space="preserve"> 49. punkta a) apakšpunkts).</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5A5BDCAA" w:rsidR="005679B2" w:rsidRPr="00050EB9" w:rsidRDefault="00653273" w:rsidP="00BC0346">
      <w:pPr>
        <w:pStyle w:val="ListParagraph"/>
        <w:numPr>
          <w:ilvl w:val="0"/>
          <w:numId w:val="35"/>
        </w:numPr>
        <w:spacing w:before="120" w:after="120"/>
        <w:contextualSpacing w:val="0"/>
        <w:jc w:val="both"/>
      </w:pPr>
      <w:r>
        <w:t xml:space="preserve">Kādi atlases kritēriji tiek izmantoti piedāvājumu sarindošanai un galu galā atbalsta līmeņa noteikšanai konkurenci veicinošā konkursa procedūrā. Konkrētāk, </w:t>
      </w:r>
    </w:p>
    <w:p w14:paraId="69DC932F" w14:textId="77777777" w:rsidR="005679B2" w:rsidRPr="00050EB9" w:rsidRDefault="005679B2" w:rsidP="00BC0346">
      <w:pPr>
        <w:pStyle w:val="ListParagraph"/>
        <w:numPr>
          <w:ilvl w:val="1"/>
          <w:numId w:val="25"/>
        </w:numPr>
        <w:spacing w:before="120" w:after="120"/>
        <w:contextualSpacing w:val="0"/>
        <w:jc w:val="both"/>
      </w:pPr>
      <w:r>
        <w:t>sniedziet atlases kritēriju sarakstu un norādiet, kuri no tiem ir vai nav tieši vai netieši saistīti ar pasākumu pamatmērķiem. Norādiet arī to svērumus;</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paskaidrojiet, kā saskaņā ar atlases kritērijiem ieguldījums pasākumu galveno mērķu sasniegšanā ir tieši vai netieši saistīts ar pieteikuma iesniedzēja pieprasīto atbalsta summu. To var izteikt, piemēram, kā atbalstu uz vienu vides aizsardzības vienību</w:t>
      </w:r>
      <w:r>
        <w:rPr>
          <w:rStyle w:val="FootnoteReference"/>
          <w:lang w:eastAsia="en-GB"/>
        </w:rPr>
        <w:footnoteReference w:id="13"/>
      </w:r>
      <w:r>
        <w:t xml:space="preserve"> (</w:t>
      </w:r>
      <w:r>
        <w:rPr>
          <w:i/>
        </w:rPr>
        <w:t>CEEAG</w:t>
      </w:r>
      <w:r>
        <w:t xml:space="preserve"> 50. punkts un 44. zemsvītras piezīme);</w:t>
      </w:r>
    </w:p>
    <w:p w14:paraId="37C678B0" w14:textId="77777777" w:rsidR="005679B2" w:rsidRPr="00050EB9" w:rsidRDefault="005679B2" w:rsidP="00387331">
      <w:pPr>
        <w:tabs>
          <w:tab w:val="left" w:leader="dot" w:pos="9072"/>
        </w:tabs>
        <w:spacing w:before="120" w:after="120"/>
        <w:ind w:left="1701"/>
        <w:jc w:val="both"/>
      </w:pPr>
      <w:r>
        <w:tab/>
      </w:r>
    </w:p>
    <w:p w14:paraId="5410BA40" w14:textId="112D4E49" w:rsidR="005679B2" w:rsidRPr="00050EB9" w:rsidRDefault="005679B2" w:rsidP="00BC0346">
      <w:pPr>
        <w:pStyle w:val="ListParagraph"/>
        <w:numPr>
          <w:ilvl w:val="1"/>
          <w:numId w:val="25"/>
        </w:numPr>
        <w:spacing w:before="120" w:after="120"/>
        <w:contextualSpacing w:val="0"/>
        <w:jc w:val="both"/>
      </w:pPr>
      <w: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Pr>
          <w:i/>
        </w:rPr>
        <w:t>CEEAG</w:t>
      </w:r>
      <w:r>
        <w:t xml:space="preserve"> 50. punkts);</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paskaidrojiet, cik ilgi pirms katras konkurenci veicinošās konkursa procedūras atlases kritēriji tiks publicēti (</w:t>
      </w:r>
      <w:r>
        <w:rPr>
          <w:i/>
        </w:rPr>
        <w:t>CEEAG</w:t>
      </w:r>
      <w:r>
        <w:t xml:space="preserve"> 49. punkta b) apakšpunkts un 43. zemsvītras piezīme).</w:t>
      </w:r>
    </w:p>
    <w:p w14:paraId="4DCF6CD1" w14:textId="77777777" w:rsidR="005679B2" w:rsidRPr="00B35F1C" w:rsidRDefault="005679B2" w:rsidP="00B751E1">
      <w:pPr>
        <w:tabs>
          <w:tab w:val="left" w:leader="dot" w:pos="9072"/>
        </w:tabs>
        <w:spacing w:before="120" w:after="120"/>
        <w:ind w:left="1701"/>
        <w:jc w:val="both"/>
      </w:pPr>
      <w:r>
        <w:tab/>
      </w:r>
    </w:p>
    <w:p w14:paraId="298E794D" w14:textId="05A0ADEF" w:rsidR="005679B2" w:rsidRPr="005B7EC4" w:rsidRDefault="005679B2" w:rsidP="00BC0346">
      <w:pPr>
        <w:pStyle w:val="ListParagraph"/>
        <w:numPr>
          <w:ilvl w:val="0"/>
          <w:numId w:val="35"/>
        </w:numPr>
        <w:spacing w:before="120" w:after="120"/>
        <w:contextualSpacing w:val="0"/>
        <w:jc w:val="both"/>
      </w:pPr>
      <w: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Pr>
          <w:i/>
        </w:rPr>
        <w:t>CEEAG</w:t>
      </w:r>
      <w:r>
        <w:t xml:space="preserve"> 49. punkta c) apakšpunkts). Paskaidrojumā ņemiet vērā shēmas budžetu vai apmēru. Attiecīgā gadījumā atsaucieties uz pierādījumiem, kas sniegti atbildēs pie 14. punkta.</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lastRenderedPageBreak/>
        <w:t>Sniedziet informāciju par iecerēto solīšanas kārtu skaitu un paredzamo pretendentu skaitu pirmajā kārtā un laika gaitā.</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379DA69" w:rsidR="005679B2" w:rsidRPr="00B35F1C" w:rsidRDefault="005679B2" w:rsidP="00BC0346">
      <w:pPr>
        <w:pStyle w:val="ListParagraph"/>
        <w:numPr>
          <w:ilvl w:val="0"/>
          <w:numId w:val="35"/>
        </w:numPr>
        <w:spacing w:before="120" w:after="120"/>
        <w:contextualSpacing w:val="0"/>
        <w:jc w:val="both"/>
      </w:pPr>
      <w:r>
        <w:t>Ja ir viena vai vairākas konkursa procedūras, kurās piedāvājumu skaits ir nepietiekams, paskaidrojiet, kā un kad konkursa procedūru plānojums shēmas īstenošanas laikā tiks koriģēts tā, lai atjaunotu efektīvu konkurenci (</w:t>
      </w:r>
      <w:r>
        <w:rPr>
          <w:i/>
        </w:rPr>
        <w:t>CEEAG</w:t>
      </w:r>
      <w:r>
        <w:t xml:space="preserve"> 49. punkta c) apakšpunkts).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Apstipriniet, ka netiek pieļautas konkursa procesa iznākuma </w:t>
      </w:r>
      <w:r>
        <w:rPr>
          <w:i/>
        </w:rPr>
        <w:t>ex post</w:t>
      </w:r>
      <w:r>
        <w:t xml:space="preserve"> korekcijas (piemēram, vēlākas sarunas par piedāvājumu rezultātiem vai normēšana) (</w:t>
      </w:r>
      <w:r>
        <w:rPr>
          <w:i/>
        </w:rPr>
        <w:t>CEEAG</w:t>
      </w:r>
      <w:r>
        <w:t xml:space="preserve"> 49. punkta d) apakšpunkts).</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226CBE22" w:rsidR="005679B2" w:rsidRDefault="005679B2" w:rsidP="00BC0346">
      <w:pPr>
        <w:pStyle w:val="ListParagraph"/>
        <w:numPr>
          <w:ilvl w:val="0"/>
          <w:numId w:val="35"/>
        </w:numPr>
        <w:spacing w:before="120" w:after="120"/>
        <w:contextualSpacing w:val="0"/>
        <w:jc w:val="both"/>
      </w:pPr>
      <w:r>
        <w:t>Ja pastāv “</w:t>
      </w:r>
      <w:r>
        <w:rPr>
          <w:i/>
        </w:rPr>
        <w:t>nulles subsīdiju piedāvājumu</w:t>
      </w:r>
      <w:r>
        <w:t>” iespēja, paskaidrojiet, kā tiks nodrošināts samērīgums</w:t>
      </w:r>
      <w:r w:rsidR="0017368C">
        <w:t xml:space="preserve"> </w:t>
      </w:r>
      <w:r w:rsidR="0017368C">
        <w:t>(</w:t>
      </w:r>
      <w:r w:rsidR="0017368C">
        <w:t xml:space="preserve">sk. </w:t>
      </w:r>
      <w:r w:rsidR="0017368C">
        <w:rPr>
          <w:i/>
        </w:rPr>
        <w:t>CEEAG</w:t>
      </w:r>
      <w:r w:rsidR="0017368C">
        <w:t xml:space="preserve"> 49. punkt</w:t>
      </w:r>
      <w:r w:rsidR="0017368C">
        <w:t>u</w:t>
      </w:r>
      <w:r w:rsidR="0017368C">
        <w:t xml:space="preserve"> un 42. zemsvītras piezīm</w:t>
      </w:r>
      <w:r w:rsidR="0017368C">
        <w:t>i</w:t>
      </w:r>
      <w:r w:rsidR="0017368C">
        <w:t>)</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Pr>
          <w:i/>
        </w:rPr>
        <w:t>CEEAG</w:t>
      </w:r>
      <w:r>
        <w:t xml:space="preserve"> 49. punkts un 42. zemsvītras piezīme).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Kumulācija</w:t>
            </w:r>
          </w:p>
        </w:tc>
      </w:tr>
    </w:tbl>
    <w:p w14:paraId="2346A85D" w14:textId="3D60C926" w:rsidR="00B21377" w:rsidRPr="002A3B51" w:rsidRDefault="00B21377" w:rsidP="00211CE3">
      <w:pPr>
        <w:pStyle w:val="ListParagraph"/>
        <w:spacing w:before="120" w:after="120"/>
        <w:ind w:left="0"/>
        <w:contextualSpacing w:val="0"/>
        <w:jc w:val="both"/>
      </w:pPr>
      <w:r>
        <w:rPr>
          <w:i/>
        </w:rPr>
        <w:t xml:space="preserve">Lai sniegtu šajā sadaļā prasīto informāciju, sk. </w:t>
      </w:r>
      <w:r>
        <w:t>CEEAG</w:t>
      </w:r>
      <w:r>
        <w:rPr>
          <w:i/>
        </w:rPr>
        <w:t xml:space="preserve"> 56.–57. iedaļu.</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Ciktāl tas nav jau paredzēts vispārīgās paziņojuma veidlapas I daļā un lai varētu verificēt atbilstību </w:t>
      </w:r>
      <w:r>
        <w:rPr>
          <w:i/>
        </w:rPr>
        <w:t>CEEAG</w:t>
      </w:r>
      <w:r>
        <w:t xml:space="preserve"> 56. punktam, precizējiet, vai atbalstu saskaņā ar paziņotajiem pasākumiem var piešķirt vienlaikus saskaņā ar vairākām atbalsta shēmām vai kumulēt ar </w:t>
      </w:r>
      <w:r>
        <w:rPr>
          <w:i/>
        </w:rPr>
        <w:t>ad hoc</w:t>
      </w:r>
      <w:r>
        <w:t xml:space="preserve"> vai </w:t>
      </w:r>
      <w:r>
        <w:rPr>
          <w:i/>
        </w:rPr>
        <w:t>de minimis</w:t>
      </w:r>
      <w:r>
        <w:t xml:space="preserve"> atbalstu attiecībā uz tām pašām attiecināmajām izmaksām. Ja tā ir, sniedziet sīkāku informāciju par šīm atbalsta shēmām, </w:t>
      </w:r>
      <w:r>
        <w:rPr>
          <w:i/>
        </w:rPr>
        <w:t>ad hoc</w:t>
      </w:r>
      <w:r>
        <w:t xml:space="preserve"> atbalstu vai </w:t>
      </w:r>
      <w:r>
        <w:rPr>
          <w:i/>
        </w:rPr>
        <w:t>de minimis</w:t>
      </w:r>
      <w:r>
        <w:t xml:space="preserve"> atbalstu un to, kā atbalsts tiks kumulēts. </w:t>
      </w:r>
    </w:p>
    <w:p w14:paraId="60FF606D" w14:textId="77777777" w:rsidR="004345D1" w:rsidRPr="002A3B51" w:rsidRDefault="004345D1" w:rsidP="004345D1">
      <w:pPr>
        <w:tabs>
          <w:tab w:val="left" w:leader="dot" w:pos="9072"/>
        </w:tabs>
        <w:spacing w:before="120" w:after="120"/>
        <w:ind w:left="567"/>
        <w:jc w:val="both"/>
      </w:pPr>
      <w:r>
        <w:tab/>
      </w:r>
    </w:p>
    <w:p w14:paraId="40231309" w14:textId="4B6D8A82" w:rsidR="004345D1" w:rsidRPr="00EE2D70" w:rsidRDefault="004345D1" w:rsidP="00211CE3">
      <w:pPr>
        <w:pStyle w:val="ListParagraph"/>
        <w:numPr>
          <w:ilvl w:val="0"/>
          <w:numId w:val="4"/>
        </w:numPr>
        <w:spacing w:before="120" w:after="120"/>
        <w:ind w:left="567" w:hanging="567"/>
        <w:contextualSpacing w:val="0"/>
        <w:jc w:val="both"/>
      </w:pPr>
      <w:r>
        <w:t xml:space="preserve">Ja ir piemērojams </w:t>
      </w:r>
      <w:r>
        <w:rPr>
          <w:i/>
        </w:rPr>
        <w:t>CEEAG</w:t>
      </w:r>
      <w:r>
        <w:t xml:space="preserve"> 56. punkts, pamatojiet, kāpēc projektam vai darbībai saskaņā ar paziņotajiem pasākumiem piešķirtā atbalsta kopsumma ne noved pie pārmērīgas kompensācijas, ne pārsniedz maksimālo atbalsta summu, kas atļauta saskaņā ar </w:t>
      </w:r>
      <w:r>
        <w:rPr>
          <w:i/>
        </w:rPr>
        <w:t>CEEAG</w:t>
      </w:r>
      <w:r>
        <w:t xml:space="preserve"> 4.2.4.2. punktu. Attiecībā uz katru pasākumu, ar kuru atbalstu, kas piešķirts saskaņā ar paziņotajiem atbalsta pasākumiem, var kumulēt, norādiet, kādu metodi izmanto, lai nodrošinātu atbilstību </w:t>
      </w:r>
      <w:r>
        <w:rPr>
          <w:i/>
        </w:rPr>
        <w:t>CEEAG</w:t>
      </w:r>
      <w:r>
        <w:t xml:space="preserve"> 56. punktā izklāstītajiem nosacījumiem. </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lastRenderedPageBreak/>
        <w:t xml:space="preserve">Ja piemērojams </w:t>
      </w:r>
      <w:r>
        <w:rPr>
          <w:i/>
        </w:rPr>
        <w:t>CEEAG</w:t>
      </w:r>
      <w:r>
        <w:t xml:space="preserve"> 57. punkts, t. i., atbalsts, kas piešķirts saskaņā ar paziņotajiem pasākumiem, tiek apvienots ar centralizēti pārvaldītu Savienības finansējumu</w:t>
      </w:r>
      <w:r>
        <w:rPr>
          <w:rStyle w:val="FootnoteReference"/>
          <w:lang w:eastAsia="en-GB"/>
        </w:rPr>
        <w:footnoteReference w:id="14"/>
      </w:r>
      <w:r>
        <w:t xml:space="preserve"> (kas par valsts atbalstu nav uzskatāms), pamatojiet, kāpēc publiskā finansējuma kopsumma, kas piešķirta attiecībā uz tām pašām attiecināmajām izmaksām, nenoved pie pārmērīgas kompensācijas.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Pārredzamība</w:t>
            </w:r>
          </w:p>
        </w:tc>
      </w:tr>
    </w:tbl>
    <w:p w14:paraId="07229A8F" w14:textId="598E00E5" w:rsidR="006773CE" w:rsidRPr="007C0A44" w:rsidRDefault="006773CE" w:rsidP="00707E7C">
      <w:pPr>
        <w:spacing w:before="120" w:after="120"/>
        <w:jc w:val="both"/>
        <w:rPr>
          <w:i/>
        </w:rPr>
      </w:pPr>
      <w:r>
        <w:rPr>
          <w:i/>
        </w:rPr>
        <w:t xml:space="preserve">Lai sniegtu šajā sadaļā prasīto informāciju, sk. </w:t>
      </w:r>
      <w:r>
        <w:t>CEEAG</w:t>
      </w:r>
      <w:r>
        <w:rPr>
          <w:i/>
        </w:rPr>
        <w:t xml:space="preserve"> 3.2.1.4. iedaļu (58.–62. punktu).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Apstipriniet, ka dalībvalsts ievēros </w:t>
      </w:r>
      <w:r>
        <w:rPr>
          <w:i/>
        </w:rPr>
        <w:t>CEEAG</w:t>
      </w:r>
      <w:r>
        <w:t xml:space="preserve"> 58.–61. punktā paredzētās pārredzamības prasības. </w:t>
      </w:r>
    </w:p>
    <w:p w14:paraId="0302618B" w14:textId="77777777" w:rsidR="00573A4B" w:rsidRPr="00AB745F" w:rsidRDefault="00573A4B" w:rsidP="00573A4B">
      <w:pPr>
        <w:tabs>
          <w:tab w:val="left" w:leader="dot" w:pos="9072"/>
        </w:tabs>
        <w:spacing w:before="120" w:after="120"/>
        <w:ind w:left="567"/>
        <w:jc w:val="both"/>
      </w:pPr>
      <w:r>
        <w:tab/>
      </w:r>
    </w:p>
    <w:p w14:paraId="0D64CEDE" w14:textId="358B0BAC" w:rsidR="00573A4B" w:rsidRPr="00AB745F" w:rsidRDefault="00573A4B" w:rsidP="0038016C">
      <w:pPr>
        <w:pStyle w:val="ListParagraph"/>
        <w:numPr>
          <w:ilvl w:val="0"/>
          <w:numId w:val="4"/>
        </w:numPr>
        <w:spacing w:before="120" w:after="120"/>
        <w:ind w:left="567" w:hanging="567"/>
        <w:contextualSpacing w:val="0"/>
        <w:jc w:val="both"/>
      </w:pPr>
      <w:r>
        <w:t xml:space="preserve">Norādiet interneta saiti, kurā tiks publicēts apstiprinātās atbalsta shēmas vai individuālā atbalsta piešķiršanas lēmuma un tā īstenošanas noteikumu pilns teksts un informācija par katru individuālo atbalstu, kas piešķirts </w:t>
      </w:r>
      <w:r>
        <w:rPr>
          <w:i/>
          <w:iCs/>
        </w:rPr>
        <w:t>ad hoc</w:t>
      </w:r>
      <w:r>
        <w:t xml:space="preserve"> vai saskaņā ar atbalsta shēmu, kura apstiprināta, balstoties uz </w:t>
      </w:r>
      <w:r>
        <w:rPr>
          <w:i/>
          <w:iCs/>
        </w:rPr>
        <w:t>CEEAG</w:t>
      </w:r>
      <w:r>
        <w:t xml:space="preserve">, un kas pārsniedz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Izvairīšanās no nepamatotas negatīvas atbalsta ietekmes uz konkurenci un tirdzniecību, kā arī balansēšana</w:t>
            </w:r>
          </w:p>
        </w:tc>
      </w:tr>
    </w:tbl>
    <w:p w14:paraId="6CD3884F" w14:textId="49EA9766" w:rsidR="00F83660" w:rsidRPr="00B215FD" w:rsidRDefault="00F83660" w:rsidP="0038016C">
      <w:pPr>
        <w:spacing w:before="120" w:after="120"/>
        <w:jc w:val="both"/>
        <w:rPr>
          <w:i/>
        </w:rPr>
      </w:pPr>
      <w:r>
        <w:rPr>
          <w:i/>
        </w:rPr>
        <w:t xml:space="preserve">Lai sniegtu šajā sadaļā prasīto informāciju, sk. </w:t>
      </w:r>
      <w:r>
        <w:t>CEEAG</w:t>
      </w:r>
      <w:r>
        <w:rPr>
          <w:i/>
        </w:rPr>
        <w:t xml:space="preserve"> 3.2.2. iedaļu (63.–70. punktu) un 4.2.4.3. iedaļu (154.–157. punktu).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67. punktam, sniedziet informāciju par paziņoto pasākumu iespējamo negatīvo īstermiņa un ilgtermiņa ietekmi uz konkurenci un tirdzniecību.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Paskaidrojiet, vai uz pasākumu attiecas kāda no šīm situācijām: </w:t>
      </w:r>
    </w:p>
    <w:p w14:paraId="44BBD0E3" w14:textId="77777777" w:rsidR="00BC72E3" w:rsidRPr="00E752D3" w:rsidRDefault="00BC72E3" w:rsidP="00BC0346">
      <w:pPr>
        <w:pStyle w:val="ListParagraph"/>
        <w:numPr>
          <w:ilvl w:val="0"/>
          <w:numId w:val="37"/>
        </w:numPr>
        <w:spacing w:before="120" w:after="120"/>
        <w:contextualSpacing w:val="0"/>
        <w:jc w:val="both"/>
      </w:pPr>
      <w:r>
        <w:t>tas tiek īstenots tirgū (vai tirgos), kur esošie tirgus dalībnieki ieguvuši tirgus varu pirms tirgus liberalizācijas;</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tas ietver konkurenci veicinošas konkursa procedūras jaunā tirgū (vai tirgos), kur kāds dalībnieks ir ar spēcīgu pozīciju tirgū;</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no tā labumu gūs tikai viens atbalsta saņēmējs vai sevišķi ierobežots skaits atbalsta saņēmēju.</w:t>
      </w:r>
    </w:p>
    <w:p w14:paraId="43B690C3" w14:textId="08AA7AC9" w:rsidR="009212E9" w:rsidRDefault="00BC72E3" w:rsidP="009212E9">
      <w:pPr>
        <w:pStyle w:val="ListParagraph"/>
        <w:numPr>
          <w:ilvl w:val="0"/>
          <w:numId w:val="4"/>
        </w:numPr>
        <w:spacing w:before="120" w:after="120"/>
        <w:ind w:left="567" w:hanging="567"/>
        <w:contextualSpacing w:val="0"/>
        <w:jc w:val="both"/>
      </w:pPr>
      <w:r>
        <w:lastRenderedPageBreak/>
        <w:t xml:space="preserve">Ja atbalsta pasākums ir vērsts uz konkrētu tehnoloģisko izvēli/ceļu, pamatojiet tehnoloģiskās izvēles iemeslu un to, ka tas neatturēs no tīrāku tehnoloģiju ieviešanas.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 xml:space="preserve">Ja paziņotie pasākumi labumu dos tikai vienam atbalsta saņēmējam vai sevišķi ierobežotam skaitam atbalsta saņēmēju, tad, lai varētu verificēt atbilstību </w:t>
      </w:r>
      <w:r>
        <w:rPr>
          <w:i/>
          <w:iCs/>
        </w:rPr>
        <w:t>CEEAG</w:t>
      </w:r>
      <w:r>
        <w:t xml:space="preserve"> 68. punktam,</w:t>
      </w:r>
    </w:p>
    <w:p w14:paraId="4E1C5F60" w14:textId="2612C1BB" w:rsidR="006B1971" w:rsidRPr="00722DE1" w:rsidRDefault="00722DE1" w:rsidP="00BC0346">
      <w:pPr>
        <w:pStyle w:val="ListParagraph"/>
        <w:numPr>
          <w:ilvl w:val="0"/>
          <w:numId w:val="38"/>
        </w:numPr>
        <w:spacing w:before="120" w:after="120"/>
        <w:contextualSpacing w:val="0"/>
        <w:jc w:val="both"/>
      </w:pPr>
      <w:r>
        <w:t>paskaidrojiet, vai paziņotie pasākumi nostiprina vai saglabā atbalsta saņēmēju tirgus varu vai esošos konkurentus attur no paplašināšanās vai veicina to iziešanu no tirgus, vai jaunu konkurentu attur no ienākšanas tirgū. Šajā sakarā paskaidrojiet arī to, vai atbalsta pasākums palielinās atbalsta saņēmēja ražošanas jaudu;</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aprakstiet, kādi pasākumi ieviesti, lai ierobežotu iespējamos konkurences izkropļojumus, ko varētu radīt atbalsta piešķiršana atbalsta saņēmējam vai saņēmējiem.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69. punktam,</w:t>
      </w:r>
    </w:p>
    <w:p w14:paraId="55298360" w14:textId="77777777" w:rsidR="00E62DD7" w:rsidRDefault="00E62DD7" w:rsidP="00BC0346">
      <w:pPr>
        <w:pStyle w:val="ListParagraph"/>
        <w:numPr>
          <w:ilvl w:val="0"/>
          <w:numId w:val="39"/>
        </w:numPr>
        <w:spacing w:before="120" w:after="120"/>
        <w:contextualSpacing w:val="0"/>
        <w:jc w:val="both"/>
      </w:pPr>
      <w:r>
        <w:t xml:space="preserve">paskaidrojiet, vai saskaņā ar paziņotajiem pasākumiem piešķirtā atbalsta mērķis ir saglabāt saimniecisko darbību vienā reģionā vai to piesaistīt no citiem iekšējā tirgus reģioniem;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ja atbilde ir apstiprinoša, precizējiet, kāda ir paziņoto pasākumu neto ietekme uz vidi un kā paziņotie pasākumi uzlabo pašreizējo vides aizsardzības līmeni dalībvalstīs;</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paskaidrojiet, kāpēc atbalsts nerada acīmredzami negatīvu ietekmi uz konkurenci un tirdzniecību;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individuālā atbalsta gadījumā paskaidrojiet, kādi ir galvenie atbalsta saņēmēja investīciju vietas izvēles virzītājspēki.</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70. punktam,</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apstipriniet, ka atbalstu saskaņā ar paziņoto shēmu var piešķirt ne ilgāk kā uz 10 gadiem no dienas, kad paziņots par Komisijas lēmumu, ar kuru atbalsts atzīts par saderīgu;  </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apstipriniet, ka tad, ja jūsu iestādes vēlētos shēmas darbības laiku pagarināt pēc minētā maksimālā perioda beigām, tās par pasākumu paziņos atkārtoti.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5766CC4C" w:rsidR="00F83660" w:rsidRPr="00722DE1" w:rsidRDefault="00344211" w:rsidP="00722DE1">
      <w:pPr>
        <w:pStyle w:val="ListParagraph"/>
        <w:numPr>
          <w:ilvl w:val="0"/>
          <w:numId w:val="4"/>
        </w:numPr>
        <w:spacing w:before="120" w:after="120"/>
        <w:ind w:left="567" w:hanging="567"/>
        <w:contextualSpacing w:val="0"/>
        <w:jc w:val="both"/>
      </w:pPr>
      <w:r>
        <w:t>Ja atbalstu piešķir kā piešķīrumu, pašu kapitālu, garantiju vai aizdevumu energoefektivitātes fondam, atjaunīgās enerģijas fondam vai citam finanšu starpniekam, tad, lai verificētu atbilstību</w:t>
      </w:r>
      <w:r w:rsidR="0017368C">
        <w:t xml:space="preserve"> </w:t>
      </w:r>
      <w:r w:rsidR="0017368C">
        <w:rPr>
          <w:i/>
        </w:rPr>
        <w:t>CEEAG</w:t>
      </w:r>
      <w:r>
        <w:t xml:space="preserve"> 157. punktam,</w:t>
      </w:r>
    </w:p>
    <w:p w14:paraId="04EC5970" w14:textId="36680F60" w:rsidR="00344211" w:rsidRPr="009E0FCA" w:rsidRDefault="00344211" w:rsidP="00BC0346">
      <w:pPr>
        <w:pStyle w:val="ListParagraph"/>
        <w:numPr>
          <w:ilvl w:val="0"/>
          <w:numId w:val="41"/>
        </w:numPr>
        <w:spacing w:before="120" w:after="120"/>
        <w:contextualSpacing w:val="0"/>
        <w:jc w:val="both"/>
      </w:pPr>
      <w:r>
        <w:lastRenderedPageBreak/>
        <w:t>pierādiet, ka finanšu starpnieki vai fondu pārvaldnieki tiks izraudzīti, izmantojot atklātu, pārredzamu un nediskriminējošu procesu, kas tiks īstenots saskaņā ar piemērojamajiem Savienības un valsts tiesību aktiem;</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pierādiet, ka ir ieviesti nosacījumi, lai nodrošinātu, ka finanšu starpnieki, arī energoefektivitātes fondi vai atjaunīgās enerģijas fondi, tiek pārvaldīti, balstoties uz komerciāliem principiem, un nodrošina uz peļņu balstītu finansēšanas lēmumu pieņemšanu;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pierādiet, ka energoefektivitātes fonda vai atjaunīgās enerģijas fonda pārvaldniekiem vai citiem finanšu starpniekiem priekšrocības iespējami lielā mērā jānodod galasaņēmējiem (ēku īpašniekiem vai īrniekiem) lielāku finansējuma apjomu, mazāku nodrošinājuma prasību, zemāku garantiju prēmiju vai zemāku procentu likmju veidā.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Atbalsta pozitīvās ietekmes izsvēršana attiecībā pret negatīvo ietekmi uz konkurenci un tirdzniecību</w:t>
            </w:r>
          </w:p>
        </w:tc>
      </w:tr>
    </w:tbl>
    <w:p w14:paraId="2BA426DC" w14:textId="7B0A6CA4" w:rsidR="00265702" w:rsidRPr="00863406" w:rsidRDefault="00265702" w:rsidP="00AD5646">
      <w:pPr>
        <w:spacing w:before="120" w:after="120"/>
        <w:jc w:val="both"/>
        <w:rPr>
          <w:i/>
          <w:color w:val="000000"/>
        </w:rPr>
      </w:pPr>
      <w:r>
        <w:rPr>
          <w:i/>
        </w:rPr>
        <w:t xml:space="preserve">Lai sniegtu šajā sadaļā prasīto informāciju, sk. </w:t>
      </w:r>
      <w:r>
        <w:t>CEEAG</w:t>
      </w:r>
      <w:r>
        <w:rPr>
          <w:i/>
        </w:rPr>
        <w:t xml:space="preserve"> 3.3. iedaļu (71.–76. punktu).</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Lai varētu verificēt atbilstību </w:t>
      </w:r>
      <w:r>
        <w:rPr>
          <w:i/>
        </w:rPr>
        <w:t>CEEAG</w:t>
      </w:r>
      <w:r>
        <w:t xml:space="preserve"> 72. punktam, paskaidrojiet, vai saskaņā ar paziņotajiem pasākumiem atbalstītās darbības atbilst Eiropas Parlamenta un Padomes Regulas (ES) 2020/852</w:t>
      </w:r>
      <w:r>
        <w:rPr>
          <w:rStyle w:val="FootnoteReference"/>
          <w:lang w:eastAsia="en-GB"/>
        </w:rPr>
        <w:footnoteReference w:id="15"/>
      </w:r>
      <w:r>
        <w:t xml:space="preserve"> 3. pantā noteiktajiem vides ziņā ilgtspējīgu saimniecisko darbību kritērijiem, arī principam “nenodarīt būtisku kaitējumu” vai citām pielīdzināmām metodikām.</w:t>
      </w:r>
    </w:p>
    <w:p w14:paraId="7A16EB41" w14:textId="77777777" w:rsidR="004B2EF3" w:rsidRPr="00564B1B" w:rsidRDefault="004B2EF3" w:rsidP="004B2EF3">
      <w:pPr>
        <w:tabs>
          <w:tab w:val="left" w:leader="dot" w:pos="9072"/>
        </w:tabs>
        <w:spacing w:before="120" w:after="120"/>
        <w:ind w:left="567"/>
        <w:jc w:val="both"/>
      </w:pPr>
      <w:r>
        <w:tab/>
      </w:r>
    </w:p>
    <w:p w14:paraId="5895DC02" w14:textId="324BA279" w:rsidR="000B260D" w:rsidRPr="00AC1973" w:rsidRDefault="004C67CC" w:rsidP="00BC0346">
      <w:pPr>
        <w:pStyle w:val="ListParagraph"/>
        <w:numPr>
          <w:ilvl w:val="0"/>
          <w:numId w:val="42"/>
        </w:numPr>
        <w:spacing w:before="120" w:after="120"/>
        <w:ind w:left="567" w:hanging="567"/>
        <w:contextualSpacing w:val="0"/>
        <w:jc w:val="both"/>
      </w:pPr>
      <w: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 xml:space="preserve">Lai varētu verificēt atbilstību </w:t>
      </w:r>
      <w:r>
        <w:rPr>
          <w:i/>
        </w:rPr>
        <w:t>CEEAG</w:t>
      </w:r>
      <w:r>
        <w:t xml:space="preserve"> 74. un 155.–156. punktam,</w:t>
      </w:r>
    </w:p>
    <w:p w14:paraId="63C203A5" w14:textId="5E6F0AA2" w:rsidR="00976A75" w:rsidRDefault="00976A75" w:rsidP="00BC0346">
      <w:pPr>
        <w:pStyle w:val="ListParagraph"/>
        <w:numPr>
          <w:ilvl w:val="0"/>
          <w:numId w:val="43"/>
        </w:numPr>
        <w:spacing w:before="120" w:after="120"/>
        <w:contextualSpacing w:val="0"/>
        <w:jc w:val="both"/>
      </w:pPr>
      <w:r>
        <w:t>precizējiet, vai saskaņā ar paziņotajiem pasākumiem var saņemt atbalstu par investīcijām aprīkojumā, kurā izmanto dabasgāzi. Ja atbilde ir apstiprinoša, pierādiet, ka atbalsts neizstums investīcijas tīrākās alternatīvās, kas jau ir pieejamas tirgū, un nenovedīs pie noteiktu tehnoloģiju iesīkstes. Paskaidrojiet arī to, vai aprīkojums, kurā izmanto dabasgāzi, aizstāj energoaprīkojumu, kurā izmanto vispiesārņojošāko fosilo kurināmo, piemēram, naftu un ogles;</w:t>
      </w:r>
    </w:p>
    <w:p w14:paraId="56E960B4" w14:textId="77777777" w:rsidR="005C68A3" w:rsidRPr="00AD5646" w:rsidRDefault="005C68A3" w:rsidP="00AD5646">
      <w:pPr>
        <w:tabs>
          <w:tab w:val="left" w:leader="dot" w:pos="9072"/>
        </w:tabs>
        <w:spacing w:before="120" w:after="120"/>
        <w:ind w:left="1080"/>
        <w:jc w:val="both"/>
        <w:rPr>
          <w:color w:val="000000"/>
        </w:rPr>
      </w:pPr>
      <w:r>
        <w:lastRenderedPageBreak/>
        <w:tab/>
      </w:r>
    </w:p>
    <w:p w14:paraId="616E2283" w14:textId="09C211A7" w:rsidR="00976A75" w:rsidRDefault="00976A75" w:rsidP="00BC0346">
      <w:pPr>
        <w:pStyle w:val="ListParagraph"/>
        <w:numPr>
          <w:ilvl w:val="0"/>
          <w:numId w:val="43"/>
        </w:numPr>
        <w:spacing w:before="120" w:after="120"/>
        <w:contextualSpacing w:val="0"/>
        <w:jc w:val="both"/>
      </w:pPr>
      <w:r>
        <w:t xml:space="preserve">apstipriniet, ka investīcijas aprīkojumā, kurā izmanto piesārņojošu fosilo kurināmo, piemēram, naftu un ogles, atbalstu saskaņā ar paziņotajiem pasākumiem saņemt nevar. Ņemiet vērā, ka atbalsts tāda aprīkojuma uzstādīšanai, kurā izmanto fosilo kurināmo, piemēram, naftu un ogles, tiek uzskatīts par tādu, kam ir negatīva ietekme uz konkurenci sakarā ar lielākām oglekļa emisijām, kas saistītas ar fosilā kurināmā izmantošanu, ievērojamu risku, ka iesīkstēs fosilā kurināmā tehnoloģiju izmantošana, un tirgū pieejamu tīrāku un inovatīvāku alternatīvu izstumšanu.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C sadaļa. Izvērtēšana</w:t>
            </w:r>
          </w:p>
        </w:tc>
      </w:tr>
    </w:tbl>
    <w:p w14:paraId="0E74647B" w14:textId="1E418F5C" w:rsidR="00E752D3" w:rsidRDefault="00E752D3" w:rsidP="00E752D3">
      <w:pPr>
        <w:tabs>
          <w:tab w:val="left" w:leader="dot" w:pos="9072"/>
        </w:tabs>
        <w:spacing w:before="120" w:after="120"/>
        <w:jc w:val="both"/>
      </w:pPr>
      <w:r>
        <w:rPr>
          <w:i/>
        </w:rPr>
        <w:t xml:space="preserve">Lai sniegtu šajā sadaļā prasīto informāciju, sk. </w:t>
      </w:r>
      <w:r>
        <w:t>CEEAG</w:t>
      </w:r>
      <w:r>
        <w:rPr>
          <w:i/>
        </w:rPr>
        <w:t xml:space="preserve"> 5. </w:t>
      </w:r>
      <w:r w:rsidR="0017368C">
        <w:rPr>
          <w:i/>
        </w:rPr>
        <w:t>no</w:t>
      </w:r>
      <w:r>
        <w:rPr>
          <w:i/>
        </w:rPr>
        <w:t>daļu (455.–463. punktu).</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Ja paziņotie pasākumi pārsniedz </w:t>
      </w:r>
      <w:r>
        <w:rPr>
          <w:i/>
        </w:rPr>
        <w:t>CEEAG</w:t>
      </w:r>
      <w:r>
        <w:t xml:space="preserve"> 456. punktā noteiktās budžeta/izdevumu sliekšņvērtības, paskaidrojiet, kāpēc, jūsuprāt, būtu piemērojams </w:t>
      </w:r>
      <w:r>
        <w:rPr>
          <w:i/>
        </w:rPr>
        <w:t>CEEAG</w:t>
      </w:r>
      <w:r>
        <w:t xml:space="preserve"> 457. punktā paredzētais izņēmums, vai šai paziņojuma veidlapai pievienojiet pielikumu, kurā iekļauts izvērtēšanas plāna projekts, kas aptver </w:t>
      </w:r>
      <w:r>
        <w:rPr>
          <w:i/>
        </w:rPr>
        <w:t>CEEAG</w:t>
      </w:r>
      <w:r>
        <w:t xml:space="preserve"> 458. punktā minēto tvērumu</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Ja ir iesniegts izvērtēšanas plāna projekts,</w:t>
      </w:r>
    </w:p>
    <w:p w14:paraId="2908B272" w14:textId="6B17EC45" w:rsidR="005B1125" w:rsidRDefault="00BC0346" w:rsidP="00BC0346">
      <w:pPr>
        <w:pStyle w:val="ListParagraph"/>
        <w:numPr>
          <w:ilvl w:val="0"/>
          <w:numId w:val="46"/>
        </w:numPr>
        <w:spacing w:before="120" w:after="120"/>
        <w:contextualSpacing w:val="0"/>
        <w:jc w:val="both"/>
      </w:pPr>
      <w:r>
        <w:t>tālāk sniedziet pielikumā iekļautā izvērtēšanas plāna projekta kopsavilkumu;</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 xml:space="preserve">apstipriniet, ka tiks ievērots </w:t>
      </w:r>
      <w:r>
        <w:rPr>
          <w:i/>
        </w:rPr>
        <w:t>CEEAG</w:t>
      </w:r>
      <w:r>
        <w:t xml:space="preserve"> 460. punkts;</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norādiet datumu un interneta saiti, kurā izvērtēšanas plāns būs publiski pieejams.</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Lai varētu verificēt atbilstību </w:t>
      </w:r>
      <w:r>
        <w:rPr>
          <w:i/>
        </w:rPr>
        <w:t>CEEAG</w:t>
      </w:r>
      <w:r>
        <w:t xml:space="preserve"> 459. punkta b) apakšpunktam, ja atbalsta shēmai pašlaik netiek veikts </w:t>
      </w:r>
      <w:r>
        <w:rPr>
          <w:i/>
        </w:rPr>
        <w:t>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64197818" w14:textId="77777777" w:rsidR="005B1125" w:rsidRPr="0051324D" w:rsidRDefault="005B1125" w:rsidP="005B1125">
      <w:pPr>
        <w:tabs>
          <w:tab w:val="left" w:leader="dot" w:pos="9072"/>
        </w:tabs>
        <w:spacing w:before="120" w:after="120"/>
        <w:ind w:left="567"/>
        <w:jc w:val="both"/>
      </w:pPr>
      <w:r>
        <w:tab/>
      </w:r>
    </w:p>
    <w:p w14:paraId="40210AA2" w14:textId="03A6001A" w:rsidR="005B1125" w:rsidRPr="0051324D" w:rsidRDefault="005B1125" w:rsidP="005D3A8D">
      <w:pPr>
        <w:pStyle w:val="ListParagraph"/>
        <w:numPr>
          <w:ilvl w:val="0"/>
          <w:numId w:val="45"/>
        </w:numPr>
        <w:spacing w:before="120" w:after="120"/>
        <w:ind w:left="567" w:hanging="567"/>
        <w:contextualSpacing w:val="0"/>
        <w:jc w:val="both"/>
      </w:pPr>
      <w:r>
        <w:t xml:space="preserve">Lai varētu verificēt atbilstību </w:t>
      </w:r>
      <w:r>
        <w:rPr>
          <w:i/>
        </w:rPr>
        <w:t>CEEAG</w:t>
      </w:r>
      <w:r>
        <w:t xml:space="preserve"> 459. punkta c) apakšpunktam, ja atbalsta shēmai pašlaik netiek veikts </w:t>
      </w:r>
      <w:r>
        <w:rPr>
          <w:i/>
        </w:rPr>
        <w:t>ex post</w:t>
      </w:r>
      <w: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Lai varētu verificēt atbilstību </w:t>
      </w:r>
      <w:r>
        <w:rPr>
          <w:i/>
        </w:rPr>
        <w:t>CEEAG</w:t>
      </w:r>
      <w:r>
        <w:t xml:space="preserve"> 461. punktam,</w:t>
      </w:r>
    </w:p>
    <w:p w14:paraId="523B7898" w14:textId="4DB1F92C" w:rsidR="005B1125" w:rsidRPr="0051324D" w:rsidRDefault="005B1125" w:rsidP="005D3A8D">
      <w:pPr>
        <w:pStyle w:val="ListParagraph"/>
        <w:numPr>
          <w:ilvl w:val="0"/>
          <w:numId w:val="47"/>
        </w:numPr>
        <w:spacing w:before="120" w:after="120"/>
        <w:contextualSpacing w:val="0"/>
        <w:jc w:val="both"/>
      </w:pPr>
      <w:r>
        <w:t>precizējiet, vai neatkarīgais eksperts jau ir izraudzīts vai tiks izraudzīts nākotnē;</w:t>
      </w:r>
    </w:p>
    <w:p w14:paraId="4E8E4DD0" w14:textId="77777777" w:rsidR="005B1125" w:rsidRPr="005D3A8D" w:rsidRDefault="005B1125" w:rsidP="005D3A8D">
      <w:pPr>
        <w:tabs>
          <w:tab w:val="left" w:leader="dot" w:pos="9072"/>
        </w:tabs>
        <w:spacing w:before="120" w:after="120"/>
        <w:ind w:left="1080"/>
        <w:jc w:val="both"/>
        <w:rPr>
          <w:color w:val="000000"/>
        </w:rPr>
      </w:pPr>
      <w:r>
        <w:lastRenderedPageBreak/>
        <w:tab/>
      </w:r>
    </w:p>
    <w:p w14:paraId="444C024C" w14:textId="77777777" w:rsidR="005B1125" w:rsidRPr="0051324D" w:rsidRDefault="005B1125" w:rsidP="005D3A8D">
      <w:pPr>
        <w:pStyle w:val="ListParagraph"/>
        <w:numPr>
          <w:ilvl w:val="0"/>
          <w:numId w:val="47"/>
        </w:numPr>
        <w:spacing w:before="120" w:after="120"/>
        <w:contextualSpacing w:val="0"/>
        <w:jc w:val="both"/>
      </w:pPr>
      <w:r>
        <w:t>sniedziet informāciju par eksperta izraudzīšanās procedūru;</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pamatojiet, kā eksperts ir neatkarīgs no piešķīrējas iestādes.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77777777" w:rsidR="005B1125" w:rsidRPr="0051324D" w:rsidRDefault="005B1125" w:rsidP="00CC6CA7">
      <w:pPr>
        <w:pStyle w:val="ListParagraph"/>
        <w:numPr>
          <w:ilvl w:val="0"/>
          <w:numId w:val="47"/>
        </w:numPr>
        <w:spacing w:before="120" w:after="120"/>
        <w:contextualSpacing w:val="0"/>
        <w:jc w:val="both"/>
      </w:pPr>
      <w:r>
        <w:t xml:space="preserve">norādiet ierosinātos starpposma un galīgā izvērtējuma ziņojuma iesniegšanas termiņus. Ņemiet vērā, ka saskaņā ar </w:t>
      </w:r>
      <w:r>
        <w:rPr>
          <w:i/>
        </w:rPr>
        <w:t>CEEAG</w:t>
      </w:r>
      <w: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apstipriniet, ka starpposma un galīgais izvērtējuma ziņojums tiks publiskots. Norādiet datumu un interneta saiti, kurā šie ziņojumi būs publiski pieejami.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D sadaļa. Ziņošana un uzraudzība</w:t>
            </w:r>
          </w:p>
        </w:tc>
      </w:tr>
    </w:tbl>
    <w:p w14:paraId="3310B87F" w14:textId="4C658377" w:rsidR="003C6D6A" w:rsidRPr="0051324D" w:rsidRDefault="003C6D6A" w:rsidP="002A6F78">
      <w:pPr>
        <w:tabs>
          <w:tab w:val="left" w:leader="dot" w:pos="9072"/>
        </w:tabs>
        <w:spacing w:before="120" w:after="120"/>
        <w:jc w:val="both"/>
      </w:pPr>
      <w:bookmarkStart w:id="16" w:name="_Hlk166084968"/>
      <w:r>
        <w:rPr>
          <w:i/>
        </w:rPr>
        <w:t xml:space="preserve">Lai sniegtu šajā sadaļā prasīto informāciju, sk. </w:t>
      </w:r>
      <w:r>
        <w:t>CEEAG</w:t>
      </w:r>
      <w:r>
        <w:rPr>
          <w:i/>
        </w:rPr>
        <w:t xml:space="preserve"> 6. iedaļu (464. un 465. punktu).</w:t>
      </w:r>
    </w:p>
    <w:bookmarkEnd w:id="16"/>
    <w:p w14:paraId="2382A61F" w14:textId="2271EC28" w:rsidR="003C6D6A" w:rsidRDefault="003C6D6A" w:rsidP="002A6F78">
      <w:pPr>
        <w:pStyle w:val="ListParagraph"/>
        <w:numPr>
          <w:ilvl w:val="0"/>
          <w:numId w:val="45"/>
        </w:numPr>
        <w:spacing w:before="120" w:after="120"/>
        <w:ind w:left="567" w:hanging="567"/>
        <w:contextualSpacing w:val="0"/>
        <w:jc w:val="both"/>
      </w:pPr>
      <w:r>
        <w:t xml:space="preserve">Apstipriniet, ka dalībvalsts izpildīs ziņošanas un uzraudzības prasības, kas noteiktas </w:t>
      </w:r>
      <w:r>
        <w:rPr>
          <w:i/>
        </w:rPr>
        <w:t>CEEAG</w:t>
      </w:r>
      <w:r>
        <w:t xml:space="preserve"> </w:t>
      </w:r>
      <w:r w:rsidR="0017368C">
        <w:t xml:space="preserve">6. iedaļas </w:t>
      </w:r>
      <w:r>
        <w:t>464. un 465. punktā.</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1E9CF" w14:textId="77777777" w:rsidR="00E651FD" w:rsidRDefault="00E651FD" w:rsidP="000442F5">
      <w:r>
        <w:separator/>
      </w:r>
    </w:p>
  </w:endnote>
  <w:endnote w:type="continuationSeparator" w:id="0">
    <w:p w14:paraId="72EF7908" w14:textId="77777777" w:rsidR="00E651FD" w:rsidRDefault="00E651FD" w:rsidP="000442F5">
      <w:r>
        <w:continuationSeparator/>
      </w:r>
    </w:p>
  </w:endnote>
  <w:endnote w:type="continuationNotice" w:id="1">
    <w:p w14:paraId="5BE74EC3" w14:textId="77777777" w:rsidR="00E651FD" w:rsidRDefault="00E65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C400" w14:textId="77777777" w:rsidR="00E651FD" w:rsidRDefault="00E651FD" w:rsidP="000442F5">
      <w:r>
        <w:separator/>
      </w:r>
    </w:p>
  </w:footnote>
  <w:footnote w:type="continuationSeparator" w:id="0">
    <w:p w14:paraId="6505A7C3" w14:textId="77777777" w:rsidR="00E651FD" w:rsidRDefault="00E651FD" w:rsidP="000442F5">
      <w:r>
        <w:continuationSeparator/>
      </w:r>
    </w:p>
  </w:footnote>
  <w:footnote w:type="continuationNotice" w:id="1">
    <w:p w14:paraId="52ECDECF" w14:textId="77777777" w:rsidR="00E651FD" w:rsidRDefault="00E651FD"/>
  </w:footnote>
  <w:footnote w:id="2">
    <w:p w14:paraId="2E1DAC13" w14:textId="77777777" w:rsidR="00770302" w:rsidRPr="0067348B" w:rsidRDefault="00770302" w:rsidP="007B485D">
      <w:pPr>
        <w:pStyle w:val="FootnoteText"/>
      </w:pPr>
      <w:r>
        <w:rPr>
          <w:rStyle w:val="FootnoteReference"/>
        </w:rPr>
        <w:footnoteRef/>
      </w:r>
      <w:r>
        <w:tab/>
        <w:t>OV C 80, 18.2.2022., 1. lpp.</w:t>
      </w:r>
    </w:p>
  </w:footnote>
  <w:footnote w:id="3">
    <w:p w14:paraId="2A08361A" w14:textId="77777777" w:rsidR="00111EDE" w:rsidRDefault="00111EDE" w:rsidP="00111EDE">
      <w:pPr>
        <w:pStyle w:val="FootnoteText"/>
      </w:pPr>
      <w:r>
        <w:rPr>
          <w:rStyle w:val="FootnoteReference"/>
        </w:rPr>
        <w:footnoteRef/>
      </w:r>
      <w:r>
        <w:tab/>
        <w:t xml:space="preserve">Ņemiet vērā, ka atbalsta shēmas ilgums ir laikposms, kurā var pieteikties uz atbalstu un par to pieņemt lēmumu (ieskaitot arī laiku, kas iestādēm vajadzīgs atbalsta pieteikumu apstiprināšanai). Šajā punktā minētais ilgums nav saistīts ar atbalsta shēmas ietvaros noslēgto līgumu ilgumu; tie var būt spēkā pēc pasākuma termiņa beigām. </w:t>
      </w:r>
    </w:p>
  </w:footnote>
  <w:footnote w:id="4">
    <w:p w14:paraId="18104C0E" w14:textId="77777777" w:rsidR="00111EDE" w:rsidRPr="0067348B" w:rsidRDefault="00111EDE" w:rsidP="00111EDE">
      <w:pPr>
        <w:pStyle w:val="FootnoteText"/>
      </w:pPr>
      <w:r>
        <w:rPr>
          <w:rStyle w:val="FootnoteReference"/>
        </w:rPr>
        <w:footnoteRef/>
      </w:r>
      <w:r>
        <w:tab/>
        <w:t>Ņemiet vērā, ka izmaiņas faktiskajā vai aplēstajā budžetā var būt atbalsta izmaiņas, par kurām jāpaziņo no jauna.</w:t>
      </w:r>
    </w:p>
  </w:footnote>
  <w:footnote w:id="5">
    <w:p w14:paraId="619B015F" w14:textId="77777777" w:rsidR="00B35947" w:rsidRPr="00CC03BD" w:rsidRDefault="00B35947" w:rsidP="00B35947">
      <w:pPr>
        <w:pStyle w:val="FootnoteText"/>
      </w:pPr>
      <w:r>
        <w:rPr>
          <w:rStyle w:val="FootnoteReference"/>
        </w:rPr>
        <w:footnoteRef/>
      </w:r>
      <w:r>
        <w:t xml:space="preserve"> </w:t>
      </w:r>
      <w:r>
        <w:tab/>
        <w:t>74. zemsvītras piezīmē minēts, ka investīcijas viena veida būves elementā varētu būt, piemēram, investīcijas ēkas logu vai apkures katlu nomaiņā vai sienu siltumizolācijā.</w:t>
      </w:r>
    </w:p>
  </w:footnote>
  <w:footnote w:id="6">
    <w:p w14:paraId="2024B5EE" w14:textId="0A95B5DE" w:rsidR="006C5D8B" w:rsidRPr="00CF158B" w:rsidRDefault="006C5D8B" w:rsidP="006C5D8B">
      <w:pPr>
        <w:pStyle w:val="FootnoteText"/>
      </w:pPr>
      <w:r>
        <w:rPr>
          <w:rStyle w:val="FootnoteReference"/>
        </w:rPr>
        <w:footnoteRef/>
      </w:r>
      <w:r>
        <w:t xml:space="preserve"> </w:t>
      </w:r>
      <w:r>
        <w:tab/>
        <w:t xml:space="preserve">Ņemiet vērā, ka </w:t>
      </w:r>
      <w:r>
        <w:rPr>
          <w:i/>
        </w:rPr>
        <w:t>CEEAG</w:t>
      </w:r>
      <w:r>
        <w:t xml:space="preserve"> 38. un 52. punktā, kā arī 39. un 45. zemsvītras piezīmē ir sniegti papildu norādījumi par to, kā ticamais hipotētiskais scenārijs būtu jāizstrādā.</w:t>
      </w:r>
    </w:p>
  </w:footnote>
  <w:footnote w:id="7">
    <w:p w14:paraId="593783A2" w14:textId="77777777" w:rsidR="005B7459" w:rsidRPr="00114695" w:rsidRDefault="005B7459" w:rsidP="005B7459">
      <w:pPr>
        <w:pStyle w:val="FootnoteText"/>
      </w:pPr>
      <w:r>
        <w:rPr>
          <w:rStyle w:val="FootnoteReference"/>
        </w:rPr>
        <w:footnoteRef/>
      </w:r>
      <w:r>
        <w:t xml:space="preserve"> </w:t>
      </w:r>
      <w:r>
        <w:tab/>
        <w:t xml:space="preserve">“Atsauces projekts” ir definēts </w:t>
      </w:r>
      <w:r>
        <w:rPr>
          <w:i/>
        </w:rPr>
        <w:t>CEEAG</w:t>
      </w:r>
      <w:r>
        <w:t xml:space="preserve"> 19. punkta 63) apakšpunktā.</w:t>
      </w:r>
    </w:p>
  </w:footnote>
  <w:footnote w:id="8">
    <w:p w14:paraId="0BFAE3BE" w14:textId="77777777" w:rsidR="006C5D8B" w:rsidRDefault="006C5D8B" w:rsidP="006C5D8B">
      <w:pPr>
        <w:pStyle w:val="FootnoteText"/>
      </w:pPr>
      <w:r>
        <w:rPr>
          <w:rStyle w:val="FootnoteReference"/>
        </w:rPr>
        <w:footnoteRef/>
      </w:r>
      <w:r>
        <w:t xml:space="preserve"> </w:t>
      </w:r>
      <w:r>
        <w:tab/>
        <w:t>Ja izmantojat nesenu konkurenci veicinošu procedūru, paskaidrojiet, kāpēc minēto konkursa procedūru var uzskatīt par konkurenci veicinošu, arī to, kā attiecīgā gadījumā novērsta pārmērīga negaidīta papildu peļņa no dažādām tehnoloģijām, kas konkurenci veicinošajā konkursa procedūrā iekļautas, un kāpēc tā ir pielīdzināma, piemēram:</w:t>
      </w:r>
    </w:p>
    <w:p w14:paraId="32FF99E9" w14:textId="09CF0337" w:rsidR="006C5D8B" w:rsidRDefault="006C5D8B" w:rsidP="00BC0346">
      <w:pPr>
        <w:pStyle w:val="FootnoteText"/>
        <w:numPr>
          <w:ilvl w:val="0"/>
          <w:numId w:val="29"/>
        </w:numPr>
      </w:pPr>
      <w:r>
        <w:t>vai nosacījumi (piemēram, līguma noteikumi un ilgums, investīciju termiņi, tas, vai atbalsta maksājumi indeksēti pēc inflācijas) bija līdzīgi tiem, kas ierosināti paziņotajos pasākumos;</w:t>
      </w:r>
    </w:p>
    <w:p w14:paraId="12C047BB" w14:textId="77777777" w:rsidR="006C5D8B" w:rsidRDefault="006C5D8B" w:rsidP="00BC0346">
      <w:pPr>
        <w:pStyle w:val="FootnoteText"/>
        <w:numPr>
          <w:ilvl w:val="0"/>
          <w:numId w:val="29"/>
        </w:numPr>
      </w:pPr>
      <w:r>
        <w:t>vai konkurenci veicinošā procedūra notika līdzīgos makroekonomiskos apstākļos;</w:t>
      </w:r>
    </w:p>
    <w:p w14:paraId="758C7A5E" w14:textId="77777777" w:rsidR="006C5D8B" w:rsidRDefault="006C5D8B" w:rsidP="00BC0346">
      <w:pPr>
        <w:pStyle w:val="FootnoteText"/>
        <w:numPr>
          <w:ilvl w:val="0"/>
          <w:numId w:val="29"/>
        </w:numPr>
      </w:pPr>
      <w:r>
        <w:t>vai tehnoloģijas / projektu veidi bija līdzīgi.</w:t>
      </w:r>
    </w:p>
  </w:footnote>
  <w:footnote w:id="9">
    <w:p w14:paraId="590F3FC7" w14:textId="30CB4935" w:rsidR="00770302" w:rsidRPr="003D1C23" w:rsidRDefault="00770302" w:rsidP="00821F07">
      <w:pPr>
        <w:pStyle w:val="FootnoteText"/>
      </w:pPr>
      <w:r>
        <w:rPr>
          <w:rStyle w:val="FootnoteReference"/>
        </w:rPr>
        <w:footnoteRef/>
      </w:r>
      <w:r>
        <w:t xml:space="preserve"> </w:t>
      </w:r>
      <w:r>
        <w:tab/>
        <w:t xml:space="preserve">Saskaņā ar </w:t>
      </w:r>
      <w:r>
        <w:rPr>
          <w:i/>
        </w:rPr>
        <w:t>CEEAG</w:t>
      </w:r>
      <w:r>
        <w:t xml:space="preserve"> 19. punkta 89) apakšpunktu “Savienības standarts” ir</w:t>
      </w:r>
    </w:p>
    <w:p w14:paraId="340A0B20" w14:textId="77777777" w:rsidR="00770302" w:rsidRPr="003D1C23" w:rsidRDefault="00770302" w:rsidP="00BC0346">
      <w:pPr>
        <w:pStyle w:val="FootnoteText"/>
        <w:numPr>
          <w:ilvl w:val="0"/>
          <w:numId w:val="26"/>
        </w:numPr>
      </w:pPr>
      <w:r>
        <w:t>“obligāts Savienības standarts, ar ko nosaka līmeņus, kādi vides jomā jāsasniedz atsevišķiem uzņēmumiem, izņemot standartus vai mērķrādītājus, kas noteikti Savienības līmenī un ir saistoši dalībvalstīm, bet ne atsevišķiem uzņēmumiem;</w:t>
      </w:r>
    </w:p>
    <w:p w14:paraId="02AC4E0B" w14:textId="609C0B25" w:rsidR="00770302" w:rsidRPr="003D1C23" w:rsidRDefault="00770302" w:rsidP="00BC0346">
      <w:pPr>
        <w:pStyle w:val="FootnoteText"/>
        <w:numPr>
          <w:ilvl w:val="0"/>
          <w:numId w:val="26"/>
        </w:numPr>
      </w:pPr>
      <w: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10">
    <w:p w14:paraId="6853F00F" w14:textId="1EBBBF50" w:rsidR="00770302" w:rsidRPr="007E4A3E" w:rsidRDefault="00770302">
      <w:pPr>
        <w:pStyle w:val="FootnoteText"/>
      </w:pPr>
      <w:r>
        <w:rPr>
          <w:rStyle w:val="FootnoteReference"/>
        </w:rPr>
        <w:footnoteRef/>
      </w:r>
      <w:r>
        <w:t xml:space="preserve"> </w:t>
      </w:r>
      <w:r>
        <w:tab/>
        <w:t>Atmaksāšanās periods ir laiks, kas nepieciešams, lai atgūtu investīcijas izmaksas (bez atbalsta).</w:t>
      </w:r>
    </w:p>
  </w:footnote>
  <w:footnote w:id="11">
    <w:p w14:paraId="2937680B" w14:textId="77777777" w:rsidR="006C2F85" w:rsidRPr="0095488F" w:rsidRDefault="006C2F85" w:rsidP="006C2F85">
      <w:pPr>
        <w:pStyle w:val="FootnoteText"/>
      </w:pPr>
      <w:r>
        <w:rPr>
          <w:rStyle w:val="FootnoteReference"/>
        </w:rPr>
        <w:footnoteRef/>
      </w:r>
      <w:r>
        <w:t xml:space="preserve"> </w:t>
      </w:r>
      <w:r>
        <w:tab/>
        <w:t xml:space="preserve">Sk. arī sīkāku informāciju </w:t>
      </w:r>
      <w:r>
        <w:rPr>
          <w:i/>
        </w:rPr>
        <w:t>CEEAG</w:t>
      </w:r>
      <w:r>
        <w:t xml:space="preserve"> 51.–53. punktā, kā arī 45. un 46. zemsvītras piezīmē.</w:t>
      </w:r>
    </w:p>
  </w:footnote>
  <w:footnote w:id="12">
    <w:p w14:paraId="739A8028" w14:textId="082B93E2" w:rsidR="009A7FA6" w:rsidRPr="007D07E2" w:rsidRDefault="009A7FA6" w:rsidP="009A7FA6">
      <w:pPr>
        <w:pStyle w:val="FootnoteText"/>
      </w:pPr>
      <w:r>
        <w:rPr>
          <w:rStyle w:val="FootnoteReference"/>
        </w:rPr>
        <w:footnoteRef/>
      </w:r>
      <w:r>
        <w:t xml:space="preserve"> </w:t>
      </w:r>
      <w:r>
        <w:tab/>
        <w:t xml:space="preserve">Ņemiet vērā, ka </w:t>
      </w:r>
      <w:r>
        <w:rPr>
          <w:i/>
        </w:rPr>
        <w:t>CEEAG</w:t>
      </w:r>
      <w:r>
        <w:t xml:space="preserve"> 38., 52., 165., 166. un 167. punktā, kā arī 39. un 45. zemsvītras piezīmē ir sniegti papildu norādījumi par to, kā ticamais hipotētiskais scenārijs būtu jāizstrādā.</w:t>
      </w:r>
    </w:p>
  </w:footnote>
  <w:footnote w:id="13">
    <w:p w14:paraId="68255F0B" w14:textId="33EEB9D6" w:rsidR="005679B2" w:rsidRDefault="005679B2" w:rsidP="005679B2">
      <w:pPr>
        <w:pStyle w:val="FootnoteText"/>
      </w:pPr>
      <w:r>
        <w:rPr>
          <w:rStyle w:val="FootnoteReference"/>
        </w:rPr>
        <w:footnoteRef/>
      </w:r>
      <w:r>
        <w:t xml:space="preserve"> </w:t>
      </w:r>
      <w:r>
        <w:tab/>
        <w:t xml:space="preserve">Ņemiet vērā, ka </w:t>
      </w:r>
      <w:r>
        <w:rPr>
          <w:i/>
        </w:rPr>
        <w:t>CEEAG</w:t>
      </w:r>
      <w:r>
        <w:t xml:space="preserve"> 44. zemsvītras piezīme nosaka: </w:t>
      </w:r>
      <w:r>
        <w:rPr>
          <w:i/>
        </w:rPr>
        <w:t>“Novērtējot vides aizsardzības vienības, dalībvalstis var, piemēram, izstrādāt metodiku, kas nosaka emisijas vai citu piesārņojumu dažādos atbalstītās saimnieciskās darbības posmos, projekta īstenošanas laiku vai sistēmas integrācijas izmaksas.</w:t>
      </w:r>
      <w:r>
        <w:rPr>
          <w:i/>
          <w:color w:val="000000"/>
          <w:shd w:val="clear" w:color="auto" w:fill="FFFFFF"/>
        </w:rPr>
        <w:t xml:space="preserve"> Nosakot ieguldījumu pamatmērķu sasniegšanā attiecībā pret pieprasīto atbalsta summu, dalībvalstis var, piemēram, piešķirt svērumus dažādiem objektīvajiem kritērijiem un izvēli balstīt uz atbalsta summu par vienu objektīvo kritēriju vidējās svērtās vērtības vienību, vai no ierobežota piedāvājumu klāsta, kam ir viszemākā atbalsta summa par vienu objektīvo kritēriju vienību, izraudzīties tos, kam pēc objektīvajiem kritērijiem ir vislielākais punktu skaits. Jebkuras šādas pieejas raksturlielumi ir precīzi jāpielāgo tā, lai nodrošinātu, ka konkursa procedūra ir nediskriminējoša, ar reālu konkurenci un atspoguļo ekonomisko vērtību.”</w:t>
      </w:r>
    </w:p>
  </w:footnote>
  <w:footnote w:id="14">
    <w:p w14:paraId="7C525AD8" w14:textId="77777777" w:rsidR="004345D1" w:rsidRDefault="004345D1" w:rsidP="004345D1">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5">
    <w:p w14:paraId="67F58827" w14:textId="11D260F2" w:rsidR="001A0689" w:rsidRPr="008772CC" w:rsidRDefault="001A0689" w:rsidP="001A0689">
      <w:pPr>
        <w:pStyle w:val="FootnoteText"/>
      </w:pPr>
      <w:r>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6">
    <w:p w14:paraId="2031DE19" w14:textId="508259E6" w:rsidR="005B1125" w:rsidRDefault="005B1125" w:rsidP="005B1125">
      <w:pPr>
        <w:pStyle w:val="FootnoteText"/>
      </w:pPr>
      <w:r>
        <w:rPr>
          <w:rStyle w:val="FootnoteReference"/>
        </w:rPr>
        <w:footnoteRef/>
      </w:r>
      <w:r>
        <w:t xml:space="preserve"> </w:t>
      </w:r>
      <w:r>
        <w:tab/>
        <w:t xml:space="preserve">Papildinformācijas lapas veidne izvērtēšanas plāna paziņošanai (III.8. daļa) ir piekļūstama šeit: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E136C"/>
    <w:rsid w:val="000E1B03"/>
    <w:rsid w:val="000E1B4C"/>
    <w:rsid w:val="000E25F5"/>
    <w:rsid w:val="000E33A7"/>
    <w:rsid w:val="000E6B11"/>
    <w:rsid w:val="000E7DFF"/>
    <w:rsid w:val="000F14C1"/>
    <w:rsid w:val="000F176E"/>
    <w:rsid w:val="000F2D50"/>
    <w:rsid w:val="000F62F3"/>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20DB"/>
    <w:rsid w:val="001622D8"/>
    <w:rsid w:val="00164ADE"/>
    <w:rsid w:val="0016750C"/>
    <w:rsid w:val="00170FBF"/>
    <w:rsid w:val="001715B6"/>
    <w:rsid w:val="0017251B"/>
    <w:rsid w:val="0017368C"/>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3237"/>
    <w:rsid w:val="0022598D"/>
    <w:rsid w:val="00225B62"/>
    <w:rsid w:val="00225FCA"/>
    <w:rsid w:val="00226704"/>
    <w:rsid w:val="00230614"/>
    <w:rsid w:val="0023543E"/>
    <w:rsid w:val="00235A26"/>
    <w:rsid w:val="0024051A"/>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0974"/>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FC0"/>
    <w:rsid w:val="003664A8"/>
    <w:rsid w:val="00372914"/>
    <w:rsid w:val="00373272"/>
    <w:rsid w:val="00374DC2"/>
    <w:rsid w:val="00374F76"/>
    <w:rsid w:val="003764EE"/>
    <w:rsid w:val="003765A5"/>
    <w:rsid w:val="0038016C"/>
    <w:rsid w:val="00380F3B"/>
    <w:rsid w:val="00381C09"/>
    <w:rsid w:val="00382339"/>
    <w:rsid w:val="0038254B"/>
    <w:rsid w:val="00382DE7"/>
    <w:rsid w:val="0038414B"/>
    <w:rsid w:val="00384B34"/>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621E"/>
    <w:rsid w:val="003E6E6B"/>
    <w:rsid w:val="003F0334"/>
    <w:rsid w:val="003F11EA"/>
    <w:rsid w:val="003F17D8"/>
    <w:rsid w:val="003F1B1C"/>
    <w:rsid w:val="003F25B3"/>
    <w:rsid w:val="003F4FF5"/>
    <w:rsid w:val="003F5046"/>
    <w:rsid w:val="003F5EDD"/>
    <w:rsid w:val="003F629D"/>
    <w:rsid w:val="00403BCE"/>
    <w:rsid w:val="0040438F"/>
    <w:rsid w:val="00405463"/>
    <w:rsid w:val="004058A0"/>
    <w:rsid w:val="004065A8"/>
    <w:rsid w:val="00406CDE"/>
    <w:rsid w:val="00407C0A"/>
    <w:rsid w:val="00410D64"/>
    <w:rsid w:val="00411A2F"/>
    <w:rsid w:val="004133BD"/>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4441"/>
    <w:rsid w:val="00496E86"/>
    <w:rsid w:val="00497548"/>
    <w:rsid w:val="00497669"/>
    <w:rsid w:val="004976C6"/>
    <w:rsid w:val="004A1394"/>
    <w:rsid w:val="004A2701"/>
    <w:rsid w:val="004A4D2D"/>
    <w:rsid w:val="004A5FB0"/>
    <w:rsid w:val="004B0C34"/>
    <w:rsid w:val="004B10B5"/>
    <w:rsid w:val="004B1B6D"/>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CE7"/>
    <w:rsid w:val="005A3FE1"/>
    <w:rsid w:val="005A412F"/>
    <w:rsid w:val="005A4D83"/>
    <w:rsid w:val="005A5817"/>
    <w:rsid w:val="005A736F"/>
    <w:rsid w:val="005B0913"/>
    <w:rsid w:val="005B0BB7"/>
    <w:rsid w:val="005B0FA8"/>
    <w:rsid w:val="005B1125"/>
    <w:rsid w:val="005B1A69"/>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DC2"/>
    <w:rsid w:val="005E0688"/>
    <w:rsid w:val="005E3625"/>
    <w:rsid w:val="005E45B5"/>
    <w:rsid w:val="005F0397"/>
    <w:rsid w:val="005F0E0A"/>
    <w:rsid w:val="005F4A56"/>
    <w:rsid w:val="005F5257"/>
    <w:rsid w:val="005F646C"/>
    <w:rsid w:val="005F6E6B"/>
    <w:rsid w:val="005F78D1"/>
    <w:rsid w:val="00606D3F"/>
    <w:rsid w:val="00607AC8"/>
    <w:rsid w:val="006104F3"/>
    <w:rsid w:val="00611562"/>
    <w:rsid w:val="006116CB"/>
    <w:rsid w:val="00612710"/>
    <w:rsid w:val="00613560"/>
    <w:rsid w:val="006147E3"/>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3273"/>
    <w:rsid w:val="00653F5A"/>
    <w:rsid w:val="0065617D"/>
    <w:rsid w:val="00657402"/>
    <w:rsid w:val="00660F14"/>
    <w:rsid w:val="00663008"/>
    <w:rsid w:val="00663C54"/>
    <w:rsid w:val="00663F9A"/>
    <w:rsid w:val="00664585"/>
    <w:rsid w:val="00665B4F"/>
    <w:rsid w:val="006668D8"/>
    <w:rsid w:val="00671053"/>
    <w:rsid w:val="0067348B"/>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850"/>
    <w:rsid w:val="00753463"/>
    <w:rsid w:val="00753B93"/>
    <w:rsid w:val="00754C35"/>
    <w:rsid w:val="0075622E"/>
    <w:rsid w:val="007577BC"/>
    <w:rsid w:val="0076025D"/>
    <w:rsid w:val="007629B8"/>
    <w:rsid w:val="00763003"/>
    <w:rsid w:val="00764CD2"/>
    <w:rsid w:val="00764ED5"/>
    <w:rsid w:val="0076601B"/>
    <w:rsid w:val="00770302"/>
    <w:rsid w:val="0077075F"/>
    <w:rsid w:val="00770BD4"/>
    <w:rsid w:val="007746DD"/>
    <w:rsid w:val="007754A5"/>
    <w:rsid w:val="00775A33"/>
    <w:rsid w:val="00775A7E"/>
    <w:rsid w:val="0077615A"/>
    <w:rsid w:val="0078387C"/>
    <w:rsid w:val="007838D9"/>
    <w:rsid w:val="00785769"/>
    <w:rsid w:val="00785906"/>
    <w:rsid w:val="00790CB7"/>
    <w:rsid w:val="00796871"/>
    <w:rsid w:val="007979CA"/>
    <w:rsid w:val="007A002C"/>
    <w:rsid w:val="007A1615"/>
    <w:rsid w:val="007A3039"/>
    <w:rsid w:val="007A3434"/>
    <w:rsid w:val="007A4DBB"/>
    <w:rsid w:val="007A56A1"/>
    <w:rsid w:val="007A5DD1"/>
    <w:rsid w:val="007A5F19"/>
    <w:rsid w:val="007A704E"/>
    <w:rsid w:val="007A7340"/>
    <w:rsid w:val="007B1CF1"/>
    <w:rsid w:val="007B485D"/>
    <w:rsid w:val="007B5D63"/>
    <w:rsid w:val="007B706A"/>
    <w:rsid w:val="007B7B48"/>
    <w:rsid w:val="007C0A44"/>
    <w:rsid w:val="007C0C88"/>
    <w:rsid w:val="007C4E0C"/>
    <w:rsid w:val="007C6D6C"/>
    <w:rsid w:val="007C72F6"/>
    <w:rsid w:val="007D07E2"/>
    <w:rsid w:val="007D1E08"/>
    <w:rsid w:val="007D3544"/>
    <w:rsid w:val="007D40C6"/>
    <w:rsid w:val="007E21C9"/>
    <w:rsid w:val="007E3B25"/>
    <w:rsid w:val="007E3BA1"/>
    <w:rsid w:val="007E434C"/>
    <w:rsid w:val="007E4583"/>
    <w:rsid w:val="007E4A3E"/>
    <w:rsid w:val="007F0A5C"/>
    <w:rsid w:val="007F2769"/>
    <w:rsid w:val="007F2D9B"/>
    <w:rsid w:val="007F34CA"/>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C6A"/>
    <w:rsid w:val="00870CF2"/>
    <w:rsid w:val="00874506"/>
    <w:rsid w:val="008761EC"/>
    <w:rsid w:val="008764EF"/>
    <w:rsid w:val="008806FA"/>
    <w:rsid w:val="008828D4"/>
    <w:rsid w:val="008848B5"/>
    <w:rsid w:val="008848DD"/>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7172"/>
    <w:rsid w:val="00957D47"/>
    <w:rsid w:val="00960E2E"/>
    <w:rsid w:val="00961876"/>
    <w:rsid w:val="0096215D"/>
    <w:rsid w:val="0096537D"/>
    <w:rsid w:val="0096752D"/>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7F9"/>
    <w:rsid w:val="00A018E0"/>
    <w:rsid w:val="00A029BF"/>
    <w:rsid w:val="00A04A0F"/>
    <w:rsid w:val="00A05235"/>
    <w:rsid w:val="00A073C4"/>
    <w:rsid w:val="00A10D87"/>
    <w:rsid w:val="00A132D9"/>
    <w:rsid w:val="00A16EB1"/>
    <w:rsid w:val="00A2108A"/>
    <w:rsid w:val="00A21ADB"/>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709"/>
    <w:rsid w:val="00B017F3"/>
    <w:rsid w:val="00B0184F"/>
    <w:rsid w:val="00B049F9"/>
    <w:rsid w:val="00B05591"/>
    <w:rsid w:val="00B07DFD"/>
    <w:rsid w:val="00B07E32"/>
    <w:rsid w:val="00B13D02"/>
    <w:rsid w:val="00B13E24"/>
    <w:rsid w:val="00B14993"/>
    <w:rsid w:val="00B15313"/>
    <w:rsid w:val="00B15852"/>
    <w:rsid w:val="00B2002A"/>
    <w:rsid w:val="00B20065"/>
    <w:rsid w:val="00B21377"/>
    <w:rsid w:val="00B214FC"/>
    <w:rsid w:val="00B224A8"/>
    <w:rsid w:val="00B246B7"/>
    <w:rsid w:val="00B249F6"/>
    <w:rsid w:val="00B24D9B"/>
    <w:rsid w:val="00B2631C"/>
    <w:rsid w:val="00B26532"/>
    <w:rsid w:val="00B27DBF"/>
    <w:rsid w:val="00B347A9"/>
    <w:rsid w:val="00B35463"/>
    <w:rsid w:val="00B35947"/>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EDD"/>
    <w:rsid w:val="00B64C5B"/>
    <w:rsid w:val="00B658C2"/>
    <w:rsid w:val="00B66909"/>
    <w:rsid w:val="00B66BF4"/>
    <w:rsid w:val="00B70355"/>
    <w:rsid w:val="00B72939"/>
    <w:rsid w:val="00B739DB"/>
    <w:rsid w:val="00B73E30"/>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B09E0"/>
    <w:rsid w:val="00CB253B"/>
    <w:rsid w:val="00CB43A7"/>
    <w:rsid w:val="00CB6373"/>
    <w:rsid w:val="00CC09AC"/>
    <w:rsid w:val="00CC1756"/>
    <w:rsid w:val="00CC19C4"/>
    <w:rsid w:val="00CC1A2C"/>
    <w:rsid w:val="00CC29A8"/>
    <w:rsid w:val="00CC373C"/>
    <w:rsid w:val="00CC3843"/>
    <w:rsid w:val="00CC4B59"/>
    <w:rsid w:val="00CC6CA7"/>
    <w:rsid w:val="00CC7D76"/>
    <w:rsid w:val="00CC7EFA"/>
    <w:rsid w:val="00CD0DA8"/>
    <w:rsid w:val="00CD1FB1"/>
    <w:rsid w:val="00CD498E"/>
    <w:rsid w:val="00CD566E"/>
    <w:rsid w:val="00CD5EEB"/>
    <w:rsid w:val="00CD6B86"/>
    <w:rsid w:val="00CD6ED4"/>
    <w:rsid w:val="00CE05DF"/>
    <w:rsid w:val="00CE1ED6"/>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A08CE"/>
    <w:rsid w:val="00EA272E"/>
    <w:rsid w:val="00EA354A"/>
    <w:rsid w:val="00EA4860"/>
    <w:rsid w:val="00EA5A4E"/>
    <w:rsid w:val="00EA5AC6"/>
    <w:rsid w:val="00EA5CBC"/>
    <w:rsid w:val="00EA609E"/>
    <w:rsid w:val="00EA6C73"/>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90"/>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F8A0B9A7-7588-44B8-8FA1-C77791A9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lv-LV"/>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http://www.w3.org/XML/1998/namespace"/>
    <ds:schemaRef ds:uri="66b6254d-0f40-4716-8f91-c3453959d219"/>
    <ds:schemaRef ds:uri="http://schemas.microsoft.com/office/2006/metadata/properties"/>
    <ds:schemaRef ds:uri="a94e2606-67d3-479b-bb64-e7d9251b8ee1"/>
    <ds:schemaRef ds:uri="http://purl.org/dc/dcmitype/"/>
  </ds:schemaRefs>
</ds:datastoreItem>
</file>

<file path=customXml/itemProps4.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5.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5326</Words>
  <Characters>27642</Characters>
  <DocSecurity>0</DocSecurity>
  <Lines>614</Lines>
  <Paragraphs>203</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32765</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2022-04-13T17:59:00Z</cp:lastPrinted>
  <dcterms:created xsi:type="dcterms:W3CDTF">2024-07-04T12:03:00Z</dcterms:created>
  <dcterms:modified xsi:type="dcterms:W3CDTF">2024-11-25T21:45:00Z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