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608E3C9B">
        <w:trPr>
          <w:trHeight w:val="1134"/>
        </w:trPr>
        <w:tc>
          <w:tcPr>
            <w:tcW w:w="9214" w:type="dxa"/>
            <w:shd w:val="clear" w:color="auto" w:fill="auto"/>
          </w:tcPr>
          <w:p w14:paraId="7C28D065" w14:textId="0983E240" w:rsidR="000442F5" w:rsidRPr="009916D5" w:rsidRDefault="00FA1F8A" w:rsidP="7097866F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Parti III.6:</w:t>
            </w:r>
            <w:r>
              <w:rPr>
                <w:sz w:val="32"/>
              </w:rPr>
              <w:t xml:space="preserve"> </w:t>
            </w:r>
          </w:p>
          <w:p w14:paraId="1C239D2C" w14:textId="40222408" w:rsidR="000442F5" w:rsidRPr="009916D5" w:rsidRDefault="1AB540F5" w:rsidP="008D5ADF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Formola ta’ Informazzjoni Supplimentari Aġġornata* għall-għajnuna mill-Istat mogħtija skont il-Linji gwida dwar l-għajnuna mill-Istat għall-klima, għall-ħarsien tal-ambjent u għall-enerġija 2022 (CEEAG)</w:t>
            </w:r>
            <w:r w:rsidR="007B485D" w:rsidRPr="009916D5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543C62B0" w14:textId="77777777" w:rsidR="002B52B3" w:rsidRDefault="002B52B3" w:rsidP="7097866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Kapitolu 4.2 – Għajnuna għat-titjib tal-prestazzjoni ambjentali u r-rendiment fl-użu tal-enerġija tal-bini</w:t>
            </w:r>
          </w:p>
          <w:p w14:paraId="09D41530" w14:textId="77777777" w:rsidR="00DD6F5C" w:rsidRDefault="00DD6F5C" w:rsidP="7097866F">
            <w:pPr>
              <w:jc w:val="center"/>
              <w:rPr>
                <w:sz w:val="32"/>
                <w:szCs w:val="32"/>
              </w:rPr>
            </w:pPr>
          </w:p>
          <w:p w14:paraId="09B2710D" w14:textId="77777777" w:rsidR="00DD6F5C" w:rsidRDefault="00DD6F5C" w:rsidP="00DD6F5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  <w:rFonts w:ascii="Segoe UI" w:hAnsi="Segoe UI" w:cs="Segoe UI"/>
              </w:rPr>
            </w:pPr>
            <w:r>
              <w:rPr>
                <w:rStyle w:val="eop"/>
              </w:rPr>
              <w:t xml:space="preserve"> </w:t>
            </w:r>
          </w:p>
          <w:p w14:paraId="469DC4EF" w14:textId="60FD3289" w:rsidR="00DD6F5C" w:rsidRPr="008D5ADF" w:rsidRDefault="00DD6F5C" w:rsidP="008D5ADF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rFonts w:ascii="Segoe UI" w:hAnsi="Segoe UI" w:cs="Segoe UI"/>
              </w:rPr>
            </w:pPr>
            <w:r>
              <w:rPr>
                <w:rStyle w:val="normaltextrun"/>
              </w:rPr>
              <w:t xml:space="preserve">* Għadha ma ġietx adottata formalment</w:t>
            </w:r>
            <w:r>
              <w:rPr>
                <w:rStyle w:val="eop"/>
              </w:rPr>
              <w:t xml:space="preserve"> </w:t>
            </w:r>
          </w:p>
        </w:tc>
      </w:tr>
    </w:tbl>
    <w:p w14:paraId="44FC34CA" w14:textId="00EFB351" w:rsidR="009E2EA1" w:rsidRPr="00711243" w:rsidRDefault="1D5D3D78" w:rsidP="7097866F">
      <w:pPr>
        <w:spacing w:before="120" w:after="120"/>
        <w:ind w:right="-142"/>
        <w:jc w:val="both"/>
        <w:rPr>
          <w:i/>
          <w:iCs/>
          <w:szCs w:val="24"/>
          <w:rFonts w:eastAsia="Times New Roman"/>
        </w:rPr>
      </w:pPr>
      <w:r>
        <w:rPr>
          <w:i/>
        </w:rPr>
        <w:t xml:space="preserve">Din il-formola ta’ informazzjoni supplimentari trid jintuża għan-notifika ta’ kwalunkwe għajnuna koperta mil-Linji Gwida dwar l-għajnuna mill-Istat għall-klima, għall-ħarsien tal-ambjent u għall-enerġija 2022 (minn hawn ‘il quddiem imsejħin is-“CEEAG”).</w:t>
      </w:r>
    </w:p>
    <w:p w14:paraId="17CF3DD5" w14:textId="162501A6" w:rsidR="009E2EA1" w:rsidRDefault="1D5D3D78" w:rsidP="118DF711">
      <w:pPr>
        <w:spacing w:before="120" w:after="120"/>
        <w:ind w:right="-142"/>
        <w:jc w:val="both"/>
        <w:rPr>
          <w:i/>
          <w:iCs/>
          <w:szCs w:val="24"/>
          <w:rFonts w:eastAsia="Times New Roman"/>
        </w:rPr>
      </w:pPr>
      <w:r>
        <w:rPr>
          <w:i/>
        </w:rPr>
        <w:t xml:space="preserve">Din il-formola ta’ informazzjoni supplimentari tikkonċerna l-miżuri koperti fil-Kapitolu 4.2 tas-CEEAG.</w:t>
      </w:r>
      <w:r>
        <w:rPr>
          <w:i/>
        </w:rPr>
        <w:t xml:space="preserve"> </w:t>
      </w:r>
      <w:r>
        <w:rPr>
          <w:i/>
        </w:rPr>
        <w:t xml:space="preserve">Jekk in-notifika tinkludi miżuri li huma koperti minn aktar minn kapitolu wieħed tas-CEEAG, jekk jogħġbok, ladarba tkun disponibbli, imla wkoll il-formola ta’ informazzjoni supplimentari rispettiva li tikkonċerna l-kapitolu rispettiv tas-CEEAG.</w:t>
      </w:r>
      <w:r>
        <w:rPr>
          <w:i/>
        </w:rPr>
        <w:t xml:space="preserve"> </w:t>
      </w:r>
    </w:p>
    <w:p w14:paraId="3C67E530" w14:textId="776D64C2" w:rsidR="1541A55D" w:rsidRDefault="1541A55D" w:rsidP="00135DD2">
      <w:pPr>
        <w:spacing w:before="120" w:after="120"/>
        <w:ind w:right="-142"/>
        <w:jc w:val="both"/>
        <w:rPr>
          <w:i/>
          <w:iCs/>
          <w:szCs w:val="24"/>
          <w:rFonts w:eastAsia="Times New Roman"/>
        </w:rPr>
      </w:pPr>
      <w:r>
        <w:rPr>
          <w:i/>
        </w:rPr>
        <w:t xml:space="preserve">Id-dokumenti kollha pprovduti mill-Istati Membri bħala annessi għal din il-formola ta’ informazzjoni supplimentari aġġornata jridu jiġu nnumerati u n-numri tad-dokument iridu jiġu indikati fit-taqsimiet rilevanti ta’ din il-formola ta’ informazzjoni supplimentari.</w:t>
      </w:r>
    </w:p>
    <w:p w14:paraId="59668F46" w14:textId="34262F08" w:rsidR="118DF711" w:rsidRDefault="118DF711" w:rsidP="118DF711">
      <w:pPr>
        <w:spacing w:before="120" w:after="120"/>
        <w:ind w:right="-142"/>
        <w:jc w:val="both"/>
        <w:rPr>
          <w:i/>
          <w:iCs/>
        </w:rPr>
      </w:pP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 xml:space="preserve">Taqsima A: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Sommarju tal-karatteristiċi ewlenin tal-miżura/i notifikata/i</w:t>
            </w:r>
          </w:p>
        </w:tc>
      </w:tr>
    </w:tbl>
    <w:p w14:paraId="58CA5BA7" w14:textId="77777777" w:rsidR="00564D5B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7F8C46A4" w14:textId="7D15D44B" w:rsidR="00111EDE" w:rsidRPr="001A02C8" w:rsidRDefault="00111EDE" w:rsidP="001A02C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t xml:space="preserve">Sfond u objettiv/i tal-miżura/i notifikata/i:</w:t>
      </w:r>
    </w:p>
    <w:p w14:paraId="437F042E" w14:textId="62F95870" w:rsidR="00111EDE" w:rsidRPr="007159A8" w:rsidRDefault="00111EDE" w:rsidP="00BC0346">
      <w:pPr>
        <w:pStyle w:val="ListParagraph"/>
        <w:numPr>
          <w:ilvl w:val="0"/>
          <w:numId w:val="20"/>
        </w:numPr>
        <w:spacing w:after="240"/>
        <w:ind w:left="993" w:hanging="142"/>
        <w:jc w:val="both"/>
      </w:pPr>
      <w:r>
        <w:t xml:space="preserve">Jekk mhux diġà diskuss taħt it-taqsima 5.2 tal-Formola ta’ Informazzjoni Ġenerali (Parti I), jekk jogħġbok ipprovdi l-isfond u l-objettiv ewlieni, inkluż kwalunkwe mira tal-Unjoni għall-prestazzjoni enerġetika u ambjentali tal-bini li l-miżura hija maħsuba li tappoġġa.</w:t>
      </w:r>
    </w:p>
    <w:p w14:paraId="7AD02343" w14:textId="77777777" w:rsidR="00111EDE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1DE5B748" w14:textId="77777777" w:rsidR="00111EDE" w:rsidRPr="004725A8" w:rsidRDefault="00111EDE" w:rsidP="00111EDE">
      <w:pPr>
        <w:pStyle w:val="ListParagraph"/>
        <w:spacing w:after="240"/>
        <w:ind w:left="993"/>
        <w:jc w:val="both"/>
      </w:pPr>
    </w:p>
    <w:p w14:paraId="10B4F50A" w14:textId="3F7F8F5B" w:rsidR="00111EDE" w:rsidRDefault="00111EDE" w:rsidP="00BC0346">
      <w:pPr>
        <w:pStyle w:val="ListParagraph"/>
        <w:numPr>
          <w:ilvl w:val="0"/>
          <w:numId w:val="20"/>
        </w:numPr>
        <w:spacing w:after="240"/>
        <w:ind w:left="993" w:hanging="142"/>
        <w:jc w:val="both"/>
      </w:pPr>
      <w:r>
        <w:t xml:space="preserve">Indika kwalunkwe objettiv ieħor segwit mill-miżura.</w:t>
      </w:r>
      <w:r>
        <w:t xml:space="preserve"> </w:t>
      </w:r>
      <w:r>
        <w:t xml:space="preserve">Għal kwalunkwe objettiv li mhuwiex purament ambjentali, jekk jogħġbok spjega jekk dan jistax jirriżulta f’xi distorsjoni fis-suq intern.</w:t>
      </w:r>
      <w:r>
        <w:t xml:space="preserve"> </w:t>
      </w:r>
    </w:p>
    <w:p w14:paraId="092936BC" w14:textId="77777777" w:rsidR="00111EDE" w:rsidRPr="00711243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0D258352" w14:textId="4EE47BB9" w:rsidR="00111EDE" w:rsidRPr="00711243" w:rsidRDefault="00435FF0" w:rsidP="00111ED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 xml:space="preserve">Dħul fis-seħħ u durata:</w:t>
      </w:r>
    </w:p>
    <w:p w14:paraId="732B9D07" w14:textId="224D72C4" w:rsidR="00111EDE" w:rsidRPr="00CF4A34" w:rsidRDefault="00111EDE" w:rsidP="00BC0346">
      <w:pPr>
        <w:pStyle w:val="ListParagraph"/>
        <w:numPr>
          <w:ilvl w:val="0"/>
          <w:numId w:val="28"/>
        </w:numPr>
        <w:spacing w:after="240"/>
        <w:ind w:left="993" w:hanging="142"/>
        <w:jc w:val="both"/>
        <w:rPr>
          <w:szCs w:val="24"/>
        </w:rPr>
      </w:pPr>
      <w:r>
        <w:t xml:space="preserve">Sa fejn mhux diġà pprovdut fit-taqsima 5.5 tal-Formola ta’ Informazzjoni Ġenerali (Parti I), indika d-data minn meta l-iskema ta’ għajnuna hija ppjanata li tidħol fis-seħħ;</w:t>
      </w:r>
    </w:p>
    <w:p w14:paraId="6B34173E" w14:textId="77777777" w:rsidR="00111EDE" w:rsidRPr="00564D5B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486C8F8C" w14:textId="77777777" w:rsidR="00111EDE" w:rsidRPr="00A05822" w:rsidRDefault="00111EDE" w:rsidP="00BC0346">
      <w:pPr>
        <w:pStyle w:val="ListParagraph"/>
        <w:numPr>
          <w:ilvl w:val="0"/>
          <w:numId w:val="28"/>
        </w:numPr>
        <w:spacing w:after="240"/>
        <w:ind w:left="993" w:hanging="142"/>
        <w:jc w:val="both"/>
      </w:pPr>
      <w:r>
        <w:t xml:space="preserve">Indika t-tul ta’ żmien tal-iskema</w:t>
      </w:r>
      <w:r w:rsidRPr="0096487F">
        <w:rPr>
          <w:rStyle w:val="FootnoteReference"/>
          <w:rFonts w:cs="Arial Unicode MS"/>
          <w:bCs/>
          <w:lang w:bidi="si-LK"/>
        </w:rPr>
        <w:footnoteReference w:id="3"/>
      </w:r>
      <w:r>
        <w:t xml:space="preserve">.</w:t>
      </w:r>
    </w:p>
    <w:p w14:paraId="07CBC89A" w14:textId="77777777" w:rsidR="00111EDE" w:rsidRPr="006B1712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2FDB6E26" w14:textId="497E4558" w:rsidR="00111EDE" w:rsidRPr="006B1712" w:rsidRDefault="00111EDE" w:rsidP="00111ED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  <w:bCs/>
          <w:rFonts w:cs="Arial Unicode MS"/>
        </w:rPr>
      </w:pPr>
      <w:r>
        <w:rPr>
          <w:b/>
        </w:rPr>
        <w:t xml:space="preserve">Riċevitur/i:</w:t>
      </w:r>
      <w:r>
        <w:rPr>
          <w:b/>
        </w:rPr>
        <w:tab/>
      </w:r>
    </w:p>
    <w:p w14:paraId="101D761C" w14:textId="191E498C" w:rsidR="00111EDE" w:rsidRDefault="00111EDE" w:rsidP="00BC0346">
      <w:pPr>
        <w:pStyle w:val="ListParagraph"/>
        <w:numPr>
          <w:ilvl w:val="0"/>
          <w:numId w:val="21"/>
        </w:numPr>
        <w:spacing w:after="240"/>
        <w:ind w:hanging="229"/>
        <w:jc w:val="both"/>
        <w:rPr>
          <w:szCs w:val="24"/>
        </w:rPr>
      </w:pPr>
      <w:r>
        <w:t xml:space="preserve">Jekk mhux diġà pprovdut fit-taqsima 3 tal-Formola ta’ Informazzjoni Ġenerali (Parti I), iddeskrivi l-benefiċjarju/i (potenzjali) tal-miżura/i;</w:t>
      </w:r>
    </w:p>
    <w:p w14:paraId="5548BC87" w14:textId="77777777" w:rsidR="00111EDE" w:rsidRPr="00564D5B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62757543" w14:textId="3E4B29E9" w:rsidR="00111EDE" w:rsidRPr="00C55D4C" w:rsidRDefault="00111EDE" w:rsidP="00BC0346">
      <w:pPr>
        <w:pStyle w:val="ListParagraph"/>
        <w:numPr>
          <w:ilvl w:val="0"/>
          <w:numId w:val="21"/>
        </w:numPr>
        <w:spacing w:after="240"/>
        <w:ind w:hanging="229"/>
        <w:jc w:val="both"/>
        <w:rPr>
          <w:szCs w:val="24"/>
        </w:rPr>
      </w:pPr>
      <w:r>
        <w:t xml:space="preserve">Indika l-lokalità tal-benefiċjarju/i (jiġifieri jekk l-entitajiet ekonomiċi li jinsabu fl-Istat Membru rispettiv biss jew ukoll dawk fi Stati Membri oħra jkunux eliġibbli li jipparteċipaw fil-miżura).</w:t>
      </w:r>
    </w:p>
    <w:p w14:paraId="4F206C99" w14:textId="77777777" w:rsidR="00111EDE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29F2FA95" w14:textId="77777777" w:rsidR="00111EDE" w:rsidRDefault="00111EDE" w:rsidP="00BC0346">
      <w:pPr>
        <w:pStyle w:val="ListParagraph"/>
        <w:numPr>
          <w:ilvl w:val="0"/>
          <w:numId w:val="21"/>
        </w:numPr>
        <w:spacing w:after="240"/>
        <w:ind w:hanging="229"/>
        <w:jc w:val="both"/>
        <w:rPr>
          <w:szCs w:val="24"/>
        </w:rPr>
      </w:pPr>
      <w:r>
        <w:t xml:space="preserve">Sabiex tivvaluta l-konformità mal-punt 15 tas-CEEAG, speċifika jekk l-għajnuna tingħatax skont il-miżura/i favur impriża (individwali jew parti minn skema) li hija soġġetta għal ordni ta’ rkupru pendenti wara deċiżjoni preċedenti tal-Kummissjoni li tiddikjara għajnuna illegali u inkompatibbli mas-suq intern.</w:t>
      </w:r>
      <w:r>
        <w:t xml:space="preserve"> </w:t>
      </w:r>
    </w:p>
    <w:p w14:paraId="6983E72A" w14:textId="77777777" w:rsidR="00111EDE" w:rsidRDefault="00111EDE" w:rsidP="00111EDE">
      <w:pPr>
        <w:pStyle w:val="ListParagraph"/>
        <w:rPr>
          <w:szCs w:val="24"/>
        </w:rPr>
      </w:pPr>
    </w:p>
    <w:p w14:paraId="04482994" w14:textId="77777777" w:rsidR="00111EDE" w:rsidRPr="00E4424D" w:rsidRDefault="00111EDE" w:rsidP="00111EDE">
      <w:pPr>
        <w:pStyle w:val="ListParagraph"/>
        <w:spacing w:after="240"/>
        <w:ind w:left="1080"/>
        <w:jc w:val="both"/>
        <w:rPr>
          <w:szCs w:val="24"/>
        </w:rPr>
      </w:pPr>
      <w:r>
        <w:t xml:space="preserve">Jekk iva, ipprovdi informazzjoni dwar l-ammont ta’ għajnuna li għad trid tiġi rkuprata sabiex il-Kummissjoni tqisha fil-valutazzjoni tal-miżura/i ta’ għajnuna.</w:t>
      </w:r>
      <w:r>
        <w:t xml:space="preserve"> </w:t>
      </w:r>
    </w:p>
    <w:p w14:paraId="5F6FB4C8" w14:textId="77777777" w:rsidR="00111EDE" w:rsidRDefault="00111EDE" w:rsidP="00FF52AA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5B774854" w14:textId="77777777" w:rsidR="00111EDE" w:rsidRPr="00FC4A9E" w:rsidRDefault="00111EDE" w:rsidP="00111ED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Ikkonferma li l-miżura/i ma tinvolvix/jinvolvux għajnuna għal attivitajiet li jaqgħu barra mill-kamp ta’ applikazzjoni tas-CEEAG (ara l-punt 13 tas-CEEAG).</w:t>
      </w:r>
      <w:r>
        <w:t xml:space="preserve"> </w:t>
      </w:r>
      <w:r>
        <w:t xml:space="preserve">Inkella, ipprovdi d-dettalji.</w:t>
      </w:r>
    </w:p>
    <w:p w14:paraId="0A1E9908" w14:textId="77777777" w:rsidR="00111EDE" w:rsidRPr="00C55D4C" w:rsidRDefault="00111EDE" w:rsidP="00111ED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2E18B91" w14:textId="77777777" w:rsidR="00111EDE" w:rsidRPr="00ED2FA7" w:rsidRDefault="00111EDE" w:rsidP="00111ED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Cs/>
          <w:rFonts w:cs="Arial Unicode MS"/>
        </w:rPr>
      </w:pPr>
      <w:bookmarkStart w:id="2" w:name="_Ref126829229"/>
      <w:r>
        <w:rPr>
          <w:b/>
        </w:rPr>
        <w:t xml:space="preserve">Il-baġit u l-finanzjament tal-miżura/i.</w:t>
      </w:r>
      <w:bookmarkEnd w:id="2"/>
    </w:p>
    <w:p w14:paraId="31B41457" w14:textId="63D14525" w:rsidR="00111EDE" w:rsidRPr="00ED2FA7" w:rsidRDefault="00111EDE" w:rsidP="00BC0346">
      <w:pPr>
        <w:pStyle w:val="ListParagraph"/>
        <w:numPr>
          <w:ilvl w:val="0"/>
          <w:numId w:val="22"/>
        </w:numPr>
        <w:spacing w:before="120" w:after="120"/>
        <w:ind w:left="993" w:hanging="284"/>
        <w:contextualSpacing w:val="0"/>
        <w:jc w:val="both"/>
        <w:rPr>
          <w:bCs/>
          <w:rFonts w:cs="Arial Unicode MS"/>
        </w:rPr>
      </w:pPr>
      <w:r>
        <w:t xml:space="preserve">Jekk mhux diġà msemmi fit-tabella taħt it-taqsima 7.1 tal-Formola ta’ Informazzjoni Ġenerali (Parti I), ipprovdi l-baġit annwali u/jew totali għad-durata kollha tal-miżura/i;</w:t>
      </w:r>
      <w:r>
        <w:t xml:space="preserve"> </w:t>
      </w:r>
      <w:r>
        <w:t xml:space="preserve">jekk il-baġit totali mhuwiex magħruf (pereżempju minħabba li jiddependi fuq ir-riżultati tal-offerti), indika stima tal-baġit, inkluż is-suppożizzjonijiet użati għall-kalkolu tal-baġit stmat rispettiv</w:t>
      </w:r>
      <w:r w:rsidRPr="00AC286A">
        <w:rPr>
          <w:rFonts w:cs="Arial Unicode MS"/>
          <w:bCs/>
          <w:vertAlign w:val="superscript"/>
          <w:lang w:bidi="si-LK"/>
        </w:rPr>
        <w:footnoteReference w:id="4"/>
      </w:r>
      <w:r>
        <w:t xml:space="preserve">.</w:t>
      </w:r>
    </w:p>
    <w:p w14:paraId="647D1F33" w14:textId="77777777" w:rsidR="00111EDE" w:rsidRPr="00ED2FA7" w:rsidRDefault="00111EDE" w:rsidP="00EE5514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2F22E050" w14:textId="6DB30327" w:rsidR="00111EDE" w:rsidRDefault="001A02C8" w:rsidP="00BC0346">
      <w:pPr>
        <w:pStyle w:val="ListParagraph"/>
        <w:numPr>
          <w:ilvl w:val="0"/>
          <w:numId w:val="22"/>
        </w:numPr>
        <w:spacing w:before="120" w:after="120"/>
        <w:ind w:left="993" w:hanging="284"/>
        <w:contextualSpacing w:val="0"/>
        <w:jc w:val="both"/>
        <w:rPr>
          <w:bCs/>
          <w:rFonts w:cs="Arial Unicode MS"/>
        </w:rPr>
      </w:pPr>
      <w:bookmarkStart w:id="3" w:name="_Ref126829235"/>
      <w:r>
        <w:t xml:space="preserve">Jekk il-miżura/i hija/huma ffinanzjata/i permezz ta’ imposta, iċċara jekk:</w:t>
      </w:r>
      <w:bookmarkEnd w:id="3"/>
      <w:r>
        <w:t xml:space="preserve"> </w:t>
      </w:r>
    </w:p>
    <w:p w14:paraId="68042F68" w14:textId="77777777" w:rsidR="00111EDE" w:rsidRDefault="00111EDE" w:rsidP="000E6B11">
      <w:pPr>
        <w:pStyle w:val="ListParagraph"/>
        <w:numPr>
          <w:ilvl w:val="1"/>
          <w:numId w:val="22"/>
        </w:numPr>
        <w:spacing w:before="120" w:after="120"/>
        <w:ind w:left="1797" w:hanging="357"/>
        <w:contextualSpacing w:val="0"/>
        <w:jc w:val="both"/>
        <w:rPr>
          <w:bCs/>
          <w:rFonts w:cs="Arial Unicode MS"/>
        </w:rPr>
      </w:pPr>
      <w:r>
        <w:t xml:space="preserve">l-imposta hija stabbilita bil-liġi jew bi kwalunkwe att leġiżlattiv ieħor;</w:t>
      </w:r>
      <w:r>
        <w:t xml:space="preserve"> </w:t>
      </w:r>
      <w:r>
        <w:t xml:space="preserve">Jekk iva, ipprovdi l-att legali, in-numru u d-data meta jiġi adottat u daħal fis-seħħ, il-link tal-internet għall-att legali;</w:t>
      </w:r>
    </w:p>
    <w:p w14:paraId="039B9A87" w14:textId="77777777" w:rsidR="00111EDE" w:rsidRDefault="00111EDE" w:rsidP="000E6B1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0383D62F" w14:textId="77777777" w:rsidR="00111EDE" w:rsidRDefault="00111EDE" w:rsidP="000E6B11">
      <w:pPr>
        <w:pStyle w:val="ListParagraph"/>
        <w:numPr>
          <w:ilvl w:val="1"/>
          <w:numId w:val="22"/>
        </w:numPr>
        <w:spacing w:before="120" w:after="120"/>
        <w:ind w:left="1797" w:hanging="357"/>
        <w:contextualSpacing w:val="0"/>
        <w:jc w:val="both"/>
        <w:rPr>
          <w:bCs/>
          <w:rFonts w:cs="Arial Unicode MS"/>
        </w:rPr>
      </w:pPr>
      <w:r>
        <w:t xml:space="preserve">l-imposta hija imposta b’mod ugwali fuq prodotti domestiċi u importati;</w:t>
      </w:r>
    </w:p>
    <w:p w14:paraId="1F67F164" w14:textId="4F34E48A" w:rsidR="00111EDE" w:rsidRPr="000E6B11" w:rsidRDefault="00111EDE" w:rsidP="000E6B1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71A44A4A" w14:textId="6E27BFA0" w:rsidR="00111EDE" w:rsidRDefault="00111EDE" w:rsidP="000E6B11">
      <w:pPr>
        <w:pStyle w:val="ListParagraph"/>
        <w:numPr>
          <w:ilvl w:val="1"/>
          <w:numId w:val="22"/>
        </w:numPr>
        <w:spacing w:before="120" w:after="120"/>
        <w:ind w:left="1797" w:hanging="357"/>
        <w:contextualSpacing w:val="0"/>
        <w:jc w:val="both"/>
        <w:rPr>
          <w:bCs/>
          <w:rFonts w:cs="Arial Unicode MS"/>
        </w:rPr>
      </w:pPr>
      <w:r>
        <w:t xml:space="preserve">il-miżura/i notifikata/i se tibbenefika lill-prodotti domestiċi u importati bl-istess mod;</w:t>
      </w:r>
    </w:p>
    <w:p w14:paraId="46C2E53B" w14:textId="77777777" w:rsidR="00111EDE" w:rsidRDefault="00111EDE" w:rsidP="000E6B1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3DE0D516" w14:textId="6D1E055C" w:rsidR="00111EDE" w:rsidRDefault="00111EDE" w:rsidP="000E6B11">
      <w:pPr>
        <w:pStyle w:val="ListParagraph"/>
        <w:numPr>
          <w:ilvl w:val="1"/>
          <w:numId w:val="22"/>
        </w:numPr>
        <w:spacing w:before="120" w:after="120"/>
        <w:ind w:left="1797" w:hanging="357"/>
        <w:contextualSpacing w:val="0"/>
        <w:jc w:val="both"/>
        <w:rPr>
          <w:bCs/>
          <w:rFonts w:cs="Arial Unicode MS"/>
        </w:rPr>
      </w:pPr>
      <w:r>
        <w:t xml:space="preserve">l-imposta tiffinanzja kompletament il-miżura/i jew parzjalment biss.</w:t>
      </w:r>
      <w:r>
        <w:t xml:space="preserve"> </w:t>
      </w:r>
      <w:r>
        <w:t xml:space="preserve">Jekk l-imposta tiffinanzja biss parzjalment il-miżura, indika s-sorsi l-oħra ta’ finanzjament tal-miżura u l-proporzjon rispettiv tagħhom;</w:t>
      </w:r>
    </w:p>
    <w:p w14:paraId="52451714" w14:textId="16900281" w:rsidR="00111EDE" w:rsidRPr="000E6B11" w:rsidRDefault="00111EDE" w:rsidP="000E6B1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3F93335B" w14:textId="060CAC38" w:rsidR="00111EDE" w:rsidRDefault="00111EDE" w:rsidP="000E6B11">
      <w:pPr>
        <w:pStyle w:val="ListParagraph"/>
        <w:numPr>
          <w:ilvl w:val="1"/>
          <w:numId w:val="22"/>
        </w:numPr>
        <w:spacing w:before="120" w:after="120"/>
        <w:ind w:left="1797" w:hanging="357"/>
        <w:contextualSpacing w:val="0"/>
        <w:jc w:val="both"/>
        <w:rPr>
          <w:bCs/>
          <w:rFonts w:cs="Arial Unicode MS"/>
        </w:rPr>
      </w:pPr>
      <w:r>
        <w:t xml:space="preserve">l-imposta li tiffinanzja l-miżura/i notifikata/i tiffinanzja wkoll miżuri oħra ta’ għajnuna.</w:t>
      </w:r>
      <w:r>
        <w:t xml:space="preserve"> </w:t>
      </w:r>
      <w:r>
        <w:t xml:space="preserve">Jekk iva, indika l-miżuri l-oħra ta’ għajnuna ffinanzjati mill-imposta kkonċernata.</w:t>
      </w:r>
    </w:p>
    <w:p w14:paraId="0D2602C7" w14:textId="77777777" w:rsidR="00111EDE" w:rsidRDefault="00111EDE" w:rsidP="000E6B1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0645422C" w14:textId="77777777" w:rsidR="00111EDE" w:rsidRDefault="00111EDE" w:rsidP="00111EDE">
      <w:pPr>
        <w:tabs>
          <w:tab w:val="left" w:leader="dot" w:pos="9072"/>
        </w:tabs>
        <w:spacing w:before="120" w:after="120"/>
        <w:ind w:left="567"/>
        <w:jc w:val="both"/>
      </w:pP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 xml:space="preserve">Taqsima B: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Valutazzjoni tal-kompatibbiltà tal-għajnuna</w:t>
            </w:r>
          </w:p>
        </w:tc>
      </w:tr>
    </w:tbl>
    <w:p w14:paraId="07973474" w14:textId="77777777" w:rsidR="000442F5" w:rsidRPr="00711243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>
        <w:tc>
          <w:tcPr>
            <w:tcW w:w="9322" w:type="dxa"/>
            <w:shd w:val="clear" w:color="auto" w:fill="D9D9D9"/>
          </w:tcPr>
          <w:p w14:paraId="4EC3F9B1" w14:textId="4AFDC259" w:rsidR="000442F5" w:rsidRPr="006D38D6" w:rsidRDefault="007D1E08" w:rsidP="00BC0346">
            <w:pPr>
              <w:pStyle w:val="Heading1"/>
              <w:numPr>
                <w:ilvl w:val="0"/>
                <w:numId w:val="23"/>
              </w:numPr>
              <w:rPr>
                <w:i/>
                <w:iCs/>
                <w:sz w:val="28"/>
                <w:szCs w:val="28"/>
              </w:rPr>
            </w:pPr>
            <w:r>
              <w:rPr>
                <w:i/>
                <w:sz w:val="28"/>
              </w:rPr>
              <w:t xml:space="preserve">Kundizzjoni pożittiva: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l-għajnuna trid tiffaċilita l-iżvilupp ta’ attività ekonomika</w:t>
            </w:r>
          </w:p>
        </w:tc>
      </w:tr>
    </w:tbl>
    <w:p w14:paraId="51388EE2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418CC" w:rsidRDefault="007D1E08" w:rsidP="00BC0346">
            <w:pPr>
              <w:pStyle w:val="Heading1"/>
              <w:numPr>
                <w:ilvl w:val="1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Il-kontribut għall-iżvilupp ta’ attività ekonomika</w:t>
            </w:r>
          </w:p>
        </w:tc>
      </w:tr>
    </w:tbl>
    <w:p w14:paraId="1E2599D2" w14:textId="67A963FD" w:rsidR="000442F5" w:rsidRPr="00DB40A5" w:rsidRDefault="000442F5" w:rsidP="00A029BF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23–25) u t-taqsimiet 4.2.1 u 4.2.2 (il-punti 136 sa 140) tas-CEEAG.</w:t>
      </w:r>
      <w:r>
        <w:rPr>
          <w:i/>
        </w:rPr>
        <w:t xml:space="preserve"> </w:t>
      </w:r>
    </w:p>
    <w:p w14:paraId="05FCD0A3" w14:textId="1D950BB0" w:rsidR="00864DCD" w:rsidRPr="00DB40A5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L-Artikolu 107(3)(c) tat-Trattat dwar il-Funzjonament tal-Unjoni Ewropea (TFUE) jistabbilixxi li l-Kummissjoni tista’ tiddikjara bħala kompatibbli l-“għajnuna maħsuba sabiex tiffaċilita l-iżvilupp ta’ ċerti attivitajiet jew ta’ ċerti reġjuni ekonomiċi, basta dik l-għajnuna ma tfixkilx il-kondizzjonijiet tal-kummerċ sa grad li jkun kuntrarju għall-interess komuni”.</w:t>
      </w:r>
      <w:r>
        <w:t xml:space="preserve"> </w:t>
      </w:r>
      <w:r>
        <w:t xml:space="preserve">Għalhekk, l-għajnuna kompatibbli taħt dik id-dispożizzjoni tat-TFUE trid tikkontribwixxi għall-iżvilupp ta’ ċerta attività ekonomika.</w:t>
      </w:r>
      <w:r>
        <w:t xml:space="preserve"> </w:t>
      </w:r>
    </w:p>
    <w:p w14:paraId="4422EB0C" w14:textId="77777777" w:rsidR="00EA08CE" w:rsidRDefault="00EA08CE" w:rsidP="00AE72C0">
      <w:pPr>
        <w:pStyle w:val="ListParagraph"/>
        <w:spacing w:before="120" w:after="120"/>
        <w:ind w:left="567"/>
        <w:contextualSpacing w:val="0"/>
        <w:jc w:val="both"/>
      </w:pPr>
      <w:r>
        <w:t xml:space="preserve">Sabiex tivvaluta l-konformità mal-punt 23 tas-CEEAG, identifika l-attivitajiet ekonomiċi li se jiġu ffaċilitati bħala riżultat tal-għajnuna u kif l-iżvilupp ta’ dawk l-attivitajiet huwa appoġġat.</w:t>
      </w:r>
      <w:r>
        <w:t xml:space="preserve"> </w:t>
      </w:r>
    </w:p>
    <w:p w14:paraId="43E4572F" w14:textId="77777777" w:rsidR="000442F5" w:rsidRPr="00864DCD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0241C3" w14:textId="7F121E09" w:rsidR="00422410" w:rsidRDefault="00422410" w:rsidP="0042241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tivvaluta l-konformità mal-punt 25 tas-CEEAG, iddeskrivi jekk u kif l-għajnuna se tikkontribwixxi għall-kisba tal-objettivi tal-politika tal-Unjoni dwar il-klima, il-politika ambjentali u l-politika tal-enerġija u b’mod aktar speċifiku, il-benefiċċji mistennija tal-għajnuna f’termini tal-kontribut materjali tagħha għall-protezzjoni ambjentali, inkluż il-mitigazzjoni tat-tibdil fil-klima, jew il-funzjonament effiċjenti tas-suq intern tal-enerġija.</w:t>
      </w:r>
      <w:r>
        <w:t xml:space="preserve"> </w:t>
      </w:r>
    </w:p>
    <w:p w14:paraId="6BA1AB7B" w14:textId="47A34289" w:rsidR="00422410" w:rsidRDefault="00422410" w:rsidP="00422410">
      <w:pPr>
        <w:pStyle w:val="ListParagraph"/>
        <w:spacing w:before="120" w:after="120"/>
        <w:ind w:left="567"/>
        <w:contextualSpacing w:val="0"/>
        <w:jc w:val="both"/>
      </w:pPr>
      <w:r>
        <w:t xml:space="preserve">Barra minn hekk, enfasizza sa liema punt l-għajnuna hija relatata mal-politiki deskritti fil-punt 135 tas-CEEAG.</w:t>
      </w:r>
      <w:r>
        <w:t xml:space="preserve"> </w:t>
      </w:r>
    </w:p>
    <w:p w14:paraId="343C7F20" w14:textId="77777777" w:rsidR="00422410" w:rsidRDefault="00422410" w:rsidP="0042241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FE5C8C4" w14:textId="77777777" w:rsidR="00422410" w:rsidRDefault="00422410" w:rsidP="0042241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</w:rPr>
      </w:pPr>
      <w:r>
        <w:t xml:space="preserve">Iddeskrivi r-rekwiżiti ta’ eliġibbiltà applikabbli għall-benefiċjarju/i (pereżempju billi tinkludi kwalunkwe rekwiżit tekniku, ambjentali (jiġifieri permessi), finanzjarji (jiġifieri kollaterali) jew rekwiżiti oħra li l-benefiċjarju/i jeħtieġ li jikkonforma/jikkonformaw magħhom).</w:t>
      </w:r>
    </w:p>
    <w:p w14:paraId="4BA2963C" w14:textId="211C700B" w:rsidR="0018341B" w:rsidRDefault="00F521E8" w:rsidP="00EB1C1A">
      <w:pPr>
        <w:tabs>
          <w:tab w:val="left" w:leader="dot" w:pos="9072"/>
        </w:tabs>
        <w:spacing w:before="120" w:after="120"/>
        <w:ind w:left="567"/>
        <w:jc w:val="both"/>
        <w:rPr>
          <w:szCs w:val="24"/>
        </w:rPr>
      </w:pPr>
      <w:r>
        <w:tab/>
      </w:r>
      <w:r>
        <w:tab/>
      </w:r>
      <w:r>
        <w:tab/>
      </w:r>
    </w:p>
    <w:p w14:paraId="0448C65F" w14:textId="0D86D2DA" w:rsidR="007257F6" w:rsidRPr="00864DCD" w:rsidRDefault="009E5AE0" w:rsidP="00C7680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dwar il-kamp ta’ applikazzjoni preċiż u l-attivitajiet appoġġati tal-miżura/i ta’ għajnuna, kif previst fit-Taqsima 4.2.2 tas-CEEAG.</w:t>
      </w:r>
      <w:r>
        <w:t xml:space="preserve"> </w:t>
      </w:r>
      <w:r>
        <w:t xml:space="preserve">B’mod partikolari:</w:t>
      </w:r>
    </w:p>
    <w:p w14:paraId="32AFD134" w14:textId="1ED9FBCA" w:rsidR="00B35947" w:rsidRDefault="00B35947" w:rsidP="008D5ADF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 xml:space="preserve">Spjega jekk il-miżura/i ta’ għajnuna tipprovdix biss għajnuna għat-titjib tal-effiċjenza enerġetika tal-bini jew tikkombina l-għajnuna għat-titjib tal-effiċjenza enerġetika tal-bini ma’ għajnuna għal kwalunkwe wieħed mill-investimenti elenkati fil-punt 137 tas-CEEAG jew għall-investimenti kollha elenkati fil-punt tas-CEEAG.</w:t>
      </w:r>
      <w:r>
        <w:t xml:space="preserve"> </w:t>
      </w:r>
      <w:r>
        <w:t xml:space="preserve">Fil-każ tal-aħħar, iċċara liema mill-investimenti huma eliġibbli għall-għajnuna skont il-miżura/i.</w:t>
      </w:r>
      <w:r>
        <w:t xml:space="preserve">  </w:t>
      </w:r>
    </w:p>
    <w:p w14:paraId="1DF9800D" w14:textId="77777777" w:rsidR="00B35947" w:rsidRDefault="00B35947" w:rsidP="008D5ADF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07B22321" w14:textId="41C913FD" w:rsidR="00B35947" w:rsidRDefault="00B35947" w:rsidP="008D5ADF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 xml:space="preserve">Spjega jekk il-miżura/i ta’ għajnuna tinkludix ukoll tipi ta’ għajnuna li huma esklużi mill-kamp ta’ applikazzjoni tat-Taqsima 4.2 tas-CEEAG, bis-saħħa tal-punt 138 tagħha.</w:t>
      </w:r>
      <w:r>
        <w:t xml:space="preserve"> </w:t>
      </w:r>
      <w:r>
        <w:t xml:space="preserve">Jekk iva, il-formola/i ta’ notifika xierqa jridu jiġu sottomessi fir-rigward tal-parti(jiet) rilevanti tal-miżura/i.</w:t>
      </w:r>
      <w:r>
        <w:t xml:space="preserve"> </w:t>
      </w:r>
    </w:p>
    <w:p w14:paraId="57FA6980" w14:textId="77777777" w:rsidR="00B35947" w:rsidRDefault="00B35947" w:rsidP="008D5ADF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3CAE3C66" w14:textId="77777777" w:rsidR="00B35947" w:rsidRDefault="00B35947" w:rsidP="00EB1C1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Indika jekk l-għajnuna mogħtija skont il-miżura/i tikkonċernax ir-rinnovazzjoni ta’ bini eżistenti, l-installazzjoni jew is-sostituzzjoni ta’ tip wieħed biss ta’ element tal-bini</w:t>
      </w:r>
      <w:r>
        <w:rPr>
          <w:rStyle w:val="FootnoteReference"/>
        </w:rPr>
        <w:footnoteReference w:id="5"/>
      </w:r>
      <w:r>
        <w:t xml:space="preserve">, u/jew investimenti fl-effiċjenza enerġetika f’bini ġdid, kif definit fil-punt 139 (l-ittri (a) sa (c)) tas-CEEAG.</w:t>
      </w:r>
      <w:r>
        <w:t xml:space="preserve">  </w:t>
      </w:r>
    </w:p>
    <w:p w14:paraId="034FFA49" w14:textId="77777777" w:rsidR="00B35947" w:rsidRDefault="00B35947" w:rsidP="00B3594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E418535" w14:textId="77777777" w:rsidR="00B35947" w:rsidRDefault="00B35947" w:rsidP="00EB1C1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Uri li l-għajnuna mogħtija skont il-miżura/i ta’ għajnuna se twassal għat-titjib fir-rendiment fl-użu tal-enerġija meħtieġ fil-punt 139 (l-ittri (a) sa (c), kif applikabbli) tas-CEEAG.</w:t>
      </w:r>
      <w:r>
        <w:t xml:space="preserve"> </w:t>
      </w:r>
    </w:p>
    <w:p w14:paraId="22A00F0F" w14:textId="77777777" w:rsidR="00B35947" w:rsidRDefault="00B35947" w:rsidP="00B3594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16E83E5" w14:textId="77777777" w:rsidR="00B35947" w:rsidRDefault="00B35947" w:rsidP="006E39D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Indika jekk l-għajnuna tingħatax skont il-miżura/i ta’ għajnuna lill-SMEs u lill-kumpaniji żgħar b’kapitalizzazzjoni medja li huma fornituri ta’ miżuri għat-titjib tar-rendiment fl-użu tal-enerġija għall-faċilitazzjoni tal-ikkuntrattar tar-rendiment fl-użu tal-enerġija, kif previst fil-punt 140 tas-CEEAG.</w:t>
      </w:r>
      <w:r>
        <w:t xml:space="preserve"> </w:t>
      </w:r>
    </w:p>
    <w:p w14:paraId="37C6D30A" w14:textId="77777777" w:rsidR="00B35947" w:rsidRDefault="00B35947" w:rsidP="00B3594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20D3CB" w14:textId="77777777" w:rsidR="00015E2B" w:rsidRPr="00711243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711243" w14:paraId="45672207" w14:textId="77777777" w:rsidTr="00305DC0">
        <w:tc>
          <w:tcPr>
            <w:tcW w:w="9322" w:type="dxa"/>
            <w:shd w:val="pct15" w:color="auto" w:fill="auto"/>
          </w:tcPr>
          <w:p w14:paraId="3169DD9A" w14:textId="5B1E1371" w:rsidR="00015E2B" w:rsidRPr="00B418CC" w:rsidRDefault="003E621E" w:rsidP="00BC0346">
            <w:pPr>
              <w:pStyle w:val="Heading1"/>
              <w:numPr>
                <w:ilvl w:val="1"/>
                <w:numId w:val="23"/>
              </w:numPr>
              <w:ind w:left="788" w:right="-28" w:hanging="431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L-effett ta’ inċentiv</w:t>
            </w:r>
          </w:p>
        </w:tc>
      </w:tr>
    </w:tbl>
    <w:p w14:paraId="20915284" w14:textId="0D70BA96" w:rsidR="00015E2B" w:rsidRPr="00A05235" w:rsidRDefault="00B15313" w:rsidP="00A029BF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3.1.2 (il-punti 26-32) u għat-taqsima 4.2.3 (il-punti 141-143) tas-CEEAG.</w:t>
      </w:r>
      <w:r>
        <w:rPr>
          <w:i/>
        </w:rPr>
        <w:t xml:space="preserve"> </w:t>
      </w:r>
    </w:p>
    <w:p w14:paraId="1EB5279D" w14:textId="338D4CA4" w:rsidR="00210BE0" w:rsidRPr="00864DCD" w:rsidRDefault="00874506" w:rsidP="006C6BA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Għajnuna tista’ titqies li tiffaċilita attività ekonomika biss jekk ikollha effett ta’ inċentiv.</w:t>
      </w:r>
      <w:r>
        <w:t xml:space="preserve"> </w:t>
      </w:r>
      <w:r>
        <w:t xml:space="preserve">Sabiex tivvaluta l-konformità mal-punt 26 tas-CEEAG, spjega kif il-miżura/i </w:t>
      </w:r>
      <w:r>
        <w:rPr>
          <w:i/>
        </w:rPr>
        <w:t xml:space="preserve">“</w:t>
      </w:r>
      <w:r>
        <w:rPr>
          <w:i/>
        </w:rPr>
        <w:t xml:space="preserve">tiffaċilita attività ekonomika biss jekk ikollha effett ta’ inċentiv. Effett ta’ inċentiv iseħħ meta l-għajnuna ġġiegħel lill-benefiċjarju jibdel l-imġiba tiegħu, jinvolvi ruħu f’attività ekonomika addizzjonali jew f’attività ekonomika aktar ekoloġika, li kieku ma kienx iwettaq mingħajr l-għajnuna jew kien iwettaqha b’mod ristrett jew differenti</w:t>
      </w:r>
      <w:r>
        <w:rPr>
          <w:i/>
        </w:rPr>
        <w:t xml:space="preserve">”</w:t>
      </w:r>
      <w:r>
        <w:t xml:space="preserve">.</w:t>
      </w:r>
      <w:r>
        <w:t xml:space="preserve"> </w:t>
      </w:r>
      <w:r>
        <w:t xml:space="preserve">Barra minn hekk, sabiex tiġi vvalutata l-konformità mal-punt 27 tas-CEEAG, ikkonferma li l-miżura “</w:t>
      </w:r>
      <w:r>
        <w:rPr>
          <w:i/>
        </w:rPr>
        <w:t xml:space="preserve">ma tikkumpensax għar-riskju kummerċjali normali ta’ attività ekonomika</w:t>
      </w:r>
      <w:r>
        <w:t xml:space="preserve">” u spjega fil-qosor għaliex.</w:t>
      </w:r>
    </w:p>
    <w:p w14:paraId="26BD861B" w14:textId="77777777" w:rsidR="00210BE0" w:rsidRPr="00864DCD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E79BC0" w14:textId="62FF06AD" w:rsidR="001A0085" w:rsidRPr="00931530" w:rsidRDefault="006C5D8B" w:rsidP="0093153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4" w:name="_Ref126829801"/>
      <w:r>
        <w:t xml:space="preserve">Skont il-punt 28 tas-CEEAG:</w:t>
      </w:r>
    </w:p>
    <w:p w14:paraId="1D53C270" w14:textId="0862C107" w:rsidR="006C5D8B" w:rsidRPr="00883777" w:rsidRDefault="005B0BB7" w:rsidP="00B0184F">
      <w:pPr>
        <w:pStyle w:val="ListParagraph"/>
        <w:numPr>
          <w:ilvl w:val="2"/>
          <w:numId w:val="22"/>
        </w:numPr>
        <w:spacing w:before="120" w:after="120"/>
        <w:ind w:left="1071" w:hanging="357"/>
        <w:contextualSpacing w:val="0"/>
        <w:jc w:val="both"/>
      </w:pPr>
      <w:r>
        <w:t xml:space="preserve">Ipprovdi deskrizzjoni komprensiva tax-xenarju fattwali mistenni li jirriżulta mill-miżura ta’ għajnuna u x-xenarju/i kontrofattwali probabbli fin-nuqqas tal-miżura ta’ għajnuna.</w:t>
      </w:r>
      <w:r w:rsidR="006C5D8B" w:rsidRPr="005C1156">
        <w:rPr>
          <w:rStyle w:val="FootnoteReference"/>
        </w:rPr>
        <w:footnoteReference w:id="6"/>
      </w:r>
      <w:r>
        <w:t xml:space="preserve"> </w:t>
      </w:r>
      <w:r>
        <w:t xml:space="preserve">Fejn tistenna li kategoriji differenti ta’ benefiċjarji jistgħu jiġu appoġġati, żgura li x-xenarju kontrofattwali jkun kredibbli għal kull waħda minn dawn il-kategoriji.</w:t>
      </w:r>
      <w:bookmarkEnd w:id="4"/>
    </w:p>
    <w:p w14:paraId="01AAF615" w14:textId="77777777" w:rsidR="006C5D8B" w:rsidRPr="00DD0932" w:rsidRDefault="006C5D8B" w:rsidP="008D5ADF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16AF2892" w14:textId="0CB1F5D7" w:rsidR="006C5D8B" w:rsidRDefault="006C5D8B" w:rsidP="00B0184F">
      <w:pPr>
        <w:pStyle w:val="ListParagraph"/>
        <w:numPr>
          <w:ilvl w:val="2"/>
          <w:numId w:val="22"/>
        </w:numPr>
        <w:spacing w:before="120" w:after="120"/>
        <w:ind w:left="1071" w:hanging="357"/>
        <w:contextualSpacing w:val="0"/>
        <w:jc w:val="both"/>
      </w:pPr>
      <w:r>
        <w:t xml:space="preserve">Jekk jogħġbok spjega fil-qosor ir-raġunament għall-għażla tax-xenarju/i kontrofattwali probabbli, fid-dawl tal-kategoriji differenti proposti ta’ benefiċjarji, jekk applikabbli.</w:t>
      </w:r>
    </w:p>
    <w:p w14:paraId="58B43192" w14:textId="77777777" w:rsidR="006C5D8B" w:rsidRPr="00DD0932" w:rsidRDefault="006C5D8B" w:rsidP="00321A13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596E3C8F" w14:textId="77777777" w:rsidR="00D54588" w:rsidRPr="007159A8" w:rsidRDefault="00EB6440" w:rsidP="008B0F04">
      <w:pPr>
        <w:pStyle w:val="ListParagraph"/>
        <w:numPr>
          <w:ilvl w:val="2"/>
          <w:numId w:val="22"/>
        </w:numPr>
        <w:spacing w:before="120" w:after="120"/>
        <w:ind w:left="1071" w:hanging="357"/>
        <w:contextualSpacing w:val="0"/>
        <w:jc w:val="both"/>
      </w:pPr>
      <w:r>
        <w:t xml:space="preserve">Ikkwantifika l-ispejjeż u d-dħul tax-xenarji fattwali u kontrofattwali u ġġustifika l-bidla fl-imġiba fejn rilevanti għal kull kategorija ta’ benefiċjarju, abbażi ta’:</w:t>
      </w:r>
      <w:r>
        <w:t xml:space="preserve"> </w:t>
      </w:r>
    </w:p>
    <w:p w14:paraId="3678CF33" w14:textId="39AB6B62" w:rsidR="00D54588" w:rsidRPr="007159A8" w:rsidRDefault="005B7459" w:rsidP="00D54588">
      <w:pPr>
        <w:pStyle w:val="ListParagraph"/>
        <w:numPr>
          <w:ilvl w:val="3"/>
          <w:numId w:val="22"/>
        </w:numPr>
        <w:spacing w:before="120" w:after="120"/>
        <w:ind w:left="1775" w:hanging="357"/>
        <w:contextualSpacing w:val="0"/>
        <w:jc w:val="both"/>
      </w:pPr>
      <w:r>
        <w:t xml:space="preserve">il-proġett/i ta’ referenza rispettiv/i</w:t>
      </w:r>
      <w:r w:rsidRPr="007159A8">
        <w:rPr>
          <w:vertAlign w:val="superscript"/>
        </w:rPr>
        <w:footnoteReference w:id="7"/>
      </w:r>
      <w:r>
        <w:t xml:space="preserve"> korrispondenti u d-diskrepanza tal-likwidità li tirriżulta;</w:t>
      </w:r>
    </w:p>
    <w:p w14:paraId="1E9DD3B8" w14:textId="6B7751F7" w:rsidR="005B7459" w:rsidRPr="007159A8" w:rsidRDefault="005B7459" w:rsidP="005B7459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11157FE2" w14:textId="6E45C2CA" w:rsidR="005B7459" w:rsidRPr="007159A8" w:rsidRDefault="005B7459" w:rsidP="005B7459">
      <w:pPr>
        <w:pStyle w:val="ListParagraph"/>
        <w:spacing w:before="120" w:after="120"/>
        <w:ind w:left="1775"/>
        <w:contextualSpacing w:val="0"/>
        <w:jc w:val="both"/>
      </w:pPr>
      <w:r>
        <w:t xml:space="preserve">JEW</w:t>
      </w:r>
    </w:p>
    <w:p w14:paraId="11E50234" w14:textId="5C54C993" w:rsidR="006C5D8B" w:rsidRPr="007159A8" w:rsidRDefault="006A4BD4" w:rsidP="00D54588">
      <w:pPr>
        <w:pStyle w:val="ListParagraph"/>
        <w:numPr>
          <w:ilvl w:val="3"/>
          <w:numId w:val="22"/>
        </w:numPr>
        <w:spacing w:before="120" w:after="120"/>
        <w:ind w:left="1775" w:hanging="357"/>
        <w:contextualSpacing w:val="0"/>
        <w:jc w:val="both"/>
      </w:pPr>
      <w:r>
        <w:t xml:space="preserve">evidenza kwantitattiva rilevanti bbażata fuq studji tas-suq (b’mod partikolari studji dwar perjodi ta’ rkupru tal-kost), pjanijiet tal-investituri, rapporti finanzjarji, jew evidenza kwantitattiva oħra inklużi, fejn applikabbli, offerti magħmula minn proġetti simili fi proċessi ta’ offerti kompetittivi komparabbli reċenti.</w:t>
      </w:r>
      <w:r w:rsidR="006C5D8B" w:rsidRPr="007159A8">
        <w:rPr>
          <w:vertAlign w:val="superscript"/>
        </w:rPr>
        <w:footnoteReference w:id="8"/>
      </w:r>
      <w:r>
        <w:t xml:space="preserve"> </w:t>
      </w:r>
    </w:p>
    <w:p w14:paraId="199238F8" w14:textId="77777777" w:rsidR="006C5D8B" w:rsidRPr="00471B74" w:rsidRDefault="006C5D8B" w:rsidP="00D54588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19A03ECA" w14:textId="0BE85DE9" w:rsidR="006C5D8B" w:rsidRPr="008D5ADF" w:rsidRDefault="006C5D8B" w:rsidP="00C27E1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turi l-konformità mal-punti 29 u 31 tas-CEEAG:</w:t>
      </w:r>
    </w:p>
    <w:p w14:paraId="339583CE" w14:textId="77777777" w:rsidR="006C5D8B" w:rsidRPr="00471B74" w:rsidRDefault="006C5D8B" w:rsidP="00BC0346">
      <w:pPr>
        <w:pStyle w:val="ListParagraph"/>
        <w:numPr>
          <w:ilvl w:val="0"/>
          <w:numId w:val="24"/>
        </w:numPr>
        <w:spacing w:before="120" w:after="120"/>
        <w:ind w:left="1066" w:hanging="357"/>
        <w:contextualSpacing w:val="0"/>
        <w:jc w:val="both"/>
      </w:pPr>
      <w:r>
        <w:t xml:space="preserve">Ikkonferma li l-bidu tax-xogħlijiet fuq il-proġett jew l-attività ma seħħx qabel applikazzjoni bil-miktub għall-għajnuna mill-benefiċjarju lill-awtoritajiet nazzjonali;</w:t>
      </w:r>
    </w:p>
    <w:p w14:paraId="09EE4710" w14:textId="77777777" w:rsidR="006C5D8B" w:rsidRPr="00471B74" w:rsidRDefault="006C5D8B" w:rsidP="008D5301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1528E065" w14:textId="77777777" w:rsidR="006C5D8B" w:rsidRPr="00471B74" w:rsidRDefault="006C5D8B" w:rsidP="006C5D8B">
      <w:pPr>
        <w:pStyle w:val="ListParagraph"/>
        <w:spacing w:before="120" w:after="120"/>
        <w:ind w:left="993"/>
        <w:contextualSpacing w:val="0"/>
        <w:jc w:val="both"/>
      </w:pPr>
      <w:r>
        <w:t xml:space="preserve">JEW</w:t>
      </w:r>
    </w:p>
    <w:p w14:paraId="5C354347" w14:textId="593FB73A" w:rsidR="006C5D8B" w:rsidRPr="00471B74" w:rsidRDefault="006B7B52" w:rsidP="00BC0346">
      <w:pPr>
        <w:pStyle w:val="ListParagraph"/>
        <w:numPr>
          <w:ilvl w:val="0"/>
          <w:numId w:val="24"/>
        </w:numPr>
        <w:spacing w:before="120" w:after="120"/>
        <w:ind w:left="1066" w:hanging="357"/>
        <w:contextualSpacing w:val="0"/>
        <w:jc w:val="both"/>
      </w:pPr>
      <w:r>
        <w:t xml:space="preserve">Għall-proġetti li bdew qabel l-applikazzjoni għall-għajnuna, jekk jogħġbok uri li l-proġett jaqa’ f’wieħed mill-każijiet eċċezzjonali pprovduti fil-punt 31 tas-CEEAG l-ittri (a), (b) jew (c).</w:t>
      </w:r>
      <w:r>
        <w:t xml:space="preserve"> </w:t>
      </w:r>
    </w:p>
    <w:p w14:paraId="0262EAAA" w14:textId="77777777" w:rsidR="006C5D8B" w:rsidRPr="00864DCD" w:rsidRDefault="006C5D8B" w:rsidP="008D5301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106A556A" w14:textId="77777777" w:rsidR="00C220F5" w:rsidRDefault="00C220F5" w:rsidP="00C220F5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turi konformità mal-punt 30 tas-CEEAG, napprezzaw li tikkonferma li l-applikazzjoni għall-għajnuna tinkludi mill-inqas l-isem tal-applikant, deskrizzjoni tal-proġett jew l-attività, inkluż il-post, u l-ammont tal-għajnuna meħtieġa biex titwettaq.</w:t>
      </w:r>
    </w:p>
    <w:p w14:paraId="1E36165B" w14:textId="0A777F03" w:rsidR="00C220F5" w:rsidRPr="00242A27" w:rsidRDefault="00C220F5" w:rsidP="00242A27">
      <w:pPr>
        <w:pStyle w:val="ListParagraph"/>
        <w:tabs>
          <w:tab w:val="left" w:leader="dot" w:pos="9072"/>
        </w:tabs>
        <w:spacing w:before="120" w:after="120"/>
        <w:ind w:left="567"/>
        <w:contextualSpacing w:val="0"/>
        <w:jc w:val="both"/>
      </w:pPr>
      <w:r>
        <w:tab/>
      </w:r>
    </w:p>
    <w:p w14:paraId="0BA9B2F2" w14:textId="679B7764" w:rsidR="0025374D" w:rsidRPr="008D5ADF" w:rsidRDefault="00305DC0" w:rsidP="005E45B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mal-punti 32 u 142 tas-CEEAG:</w:t>
      </w:r>
    </w:p>
    <w:p w14:paraId="5CE9EEA0" w14:textId="06607FC6" w:rsidR="009B2A4B" w:rsidRPr="009B2A4B" w:rsidRDefault="001C4353" w:rsidP="00BC0346">
      <w:pPr>
        <w:pStyle w:val="ListParagraph"/>
        <w:numPr>
          <w:ilvl w:val="0"/>
          <w:numId w:val="32"/>
        </w:numPr>
        <w:spacing w:before="120" w:after="120"/>
        <w:ind w:left="1066" w:hanging="357"/>
        <w:contextualSpacing w:val="0"/>
        <w:jc w:val="both"/>
      </w:pPr>
      <w:r>
        <w:t xml:space="preserve">Indika jekk hemmx standards tal-Unjoni</w:t>
      </w:r>
      <w:r w:rsidR="005B7DF0" w:rsidRPr="00436F14">
        <w:rPr>
          <w:vertAlign w:val="superscript"/>
        </w:rPr>
        <w:footnoteReference w:id="9"/>
      </w:r>
      <w:r>
        <w:t xml:space="preserve"> applikabbli għall-miżura/i notifikata/i, standards nazzjonali obbligatorji li huma aktar stretti jew ambizzjużi mill-istandards korrispondenti tal-Unjoni, jew standards nazzjonali obbligatorji adottati fin-nuqqas ta’ standards tal-Unjoni;</w:t>
      </w:r>
      <w:r>
        <w:t xml:space="preserve"> </w:t>
      </w:r>
    </w:p>
    <w:p w14:paraId="0E3763A8" w14:textId="6FCB4900" w:rsidR="0025374D" w:rsidRPr="00471B74" w:rsidRDefault="004152C3" w:rsidP="001C4353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39ED4203" w14:textId="3B84ED4C" w:rsidR="000F2D50" w:rsidRDefault="007E4A3E" w:rsidP="000F2D50">
      <w:pPr>
        <w:pStyle w:val="ListParagraph"/>
        <w:numPr>
          <w:ilvl w:val="0"/>
          <w:numId w:val="32"/>
        </w:numPr>
        <w:spacing w:before="120" w:after="120"/>
        <w:ind w:left="1066" w:hanging="357"/>
        <w:contextualSpacing w:val="0"/>
        <w:jc w:val="both"/>
      </w:pPr>
      <w:r>
        <w:t xml:space="preserve">F’każijiet fejn il-liġi tal-Unjoni timponi standards tal-Unjoni, ikkonferma u uri li l-għajnuna għandha effett ta’ inċentiv minħabba li tinċentiva l-investiment li għandu jiġi implimentat u ffinalizzat mill-inqas 18-il xahar qabel ma jidħol fis-seħħ l-istandard.</w:t>
      </w:r>
    </w:p>
    <w:p w14:paraId="06D524B1" w14:textId="40B611ED" w:rsidR="000F2D50" w:rsidRPr="000F2D50" w:rsidRDefault="000F2D50" w:rsidP="000F2D50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66EBAFF4" w14:textId="00CAF936" w:rsidR="007E4A3E" w:rsidRDefault="007E4A3E" w:rsidP="00BC0346">
      <w:pPr>
        <w:pStyle w:val="ListParagraph"/>
        <w:numPr>
          <w:ilvl w:val="0"/>
          <w:numId w:val="32"/>
        </w:numPr>
        <w:spacing w:before="120" w:after="120"/>
        <w:ind w:left="1066" w:hanging="357"/>
        <w:contextualSpacing w:val="0"/>
        <w:jc w:val="both"/>
      </w:pPr>
      <w:r>
        <w:t xml:space="preserve">Spjega jekk il-proġetti b’perjodu ta’ rkupru tal-kost</w:t>
      </w:r>
      <w:r w:rsidRPr="000F2D50">
        <w:rPr>
          <w:vertAlign w:val="superscript"/>
          <w:lang w:eastAsia="en-GB"/>
        </w:rPr>
        <w:footnoteReference w:id="10"/>
      </w:r>
      <w:r>
        <w:t xml:space="preserve"> ta’ inqas minn ħames snin humiex eliġibbli għall-għajnuna skont il-miżura/i.</w:t>
      </w:r>
      <w:r>
        <w:t xml:space="preserve"> </w:t>
      </w:r>
      <w:r>
        <w:t xml:space="preserve">Jekk iva, ipprovdi evidenza biex turi li l-għajnuna hija meħtieġa biex tiskatta bidla fl-imġiba, kif meħtieġ mill-punt 142 tas-CEEAG.</w:t>
      </w:r>
      <w:r>
        <w:t xml:space="preserve"> </w:t>
      </w:r>
    </w:p>
    <w:p w14:paraId="540A1729" w14:textId="47D2E85F" w:rsidR="007E4A3E" w:rsidRPr="007E4A3E" w:rsidRDefault="00AE66EA" w:rsidP="0092276B">
      <w:pPr>
        <w:tabs>
          <w:tab w:val="left" w:leader="dot" w:pos="9072"/>
        </w:tabs>
        <w:spacing w:before="120" w:after="120"/>
        <w:ind w:left="1077"/>
        <w:jc w:val="both"/>
      </w:pPr>
      <w:bookmarkStart w:id="5" w:name="_Hlk166514760"/>
      <w:r>
        <w:tab/>
      </w:r>
      <w:bookmarkEnd w:id="5"/>
    </w:p>
    <w:p w14:paraId="3063B88D" w14:textId="77777777" w:rsidR="00DE1D68" w:rsidRPr="00711243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BC0346">
            <w:pPr>
              <w:pStyle w:val="Heading1"/>
              <w:numPr>
                <w:ilvl w:val="1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Ebda ksur ta’ ebda dispożizzjoni rilevanti tad-dritt tal-Unjoni</w:t>
            </w:r>
          </w:p>
        </w:tc>
      </w:tr>
    </w:tbl>
    <w:p w14:paraId="71F2B6DF" w14:textId="01B42D4E" w:rsidR="00382DE7" w:rsidRDefault="00382DE7" w:rsidP="00A029BF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jekk irreferi għat-taqsima 3.1.3 (punt 33) tas-CEEAG.</w:t>
      </w:r>
      <w:r>
        <w:rPr>
          <w:i/>
        </w:rPr>
        <w:t xml:space="preserve"> </w:t>
      </w:r>
    </w:p>
    <w:p w14:paraId="075E8A7E" w14:textId="77777777" w:rsidR="00382DE7" w:rsidRDefault="00382DE7" w:rsidP="005450F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biex tikkonferma l-konformità mad-dispożizzjonijiet rilevanti tal-liġi tal-UE, f’konformità mal-punt 33 tas-CEEAG.</w:t>
      </w:r>
    </w:p>
    <w:p w14:paraId="50F3B274" w14:textId="77777777" w:rsidR="00382DE7" w:rsidRDefault="00382DE7" w:rsidP="00382DE7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bookmarkStart w:id="6" w:name="_Hlk169543689"/>
      <w:r>
        <w:rPr>
          <w:color w:val="000000"/>
        </w:rPr>
        <w:tab/>
      </w:r>
    </w:p>
    <w:bookmarkEnd w:id="6"/>
    <w:p w14:paraId="3011EC33" w14:textId="528719B5" w:rsidR="00382DE7" w:rsidRPr="005450FE" w:rsidRDefault="00382DE7" w:rsidP="005450F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tintuża imposta biex tiffinanzja l-miżura/i, iċċara jekk hemmx bżonn li titwettaq il-valutazzjoni tal-konformità mal-Artikoli 30 u 110 tat-TFUE.</w:t>
      </w:r>
      <w:r>
        <w:t xml:space="preserve"> </w:t>
      </w:r>
      <w:r>
        <w:t xml:space="preserve">Jekk iva, uri kif il-miżura tikkonforma mad-dispożizzjonijiet tal-Artikoli 30 u 110 tat-TFUE.</w:t>
      </w:r>
      <w:r>
        <w:t xml:space="preserve"> </w:t>
      </w:r>
      <w:r>
        <w:t xml:space="preserve">F’dan il-kuntest, tista’ ssir referenza għall-informazzjoni sottomessa taħt il-mistoqsija </w:t>
      </w:r>
      <w:r w:rsidRPr="005450FE">
        <w:fldChar w:fldCharType="begin" w:dirty="true"/>
      </w:r>
      <w:r w:rsidRPr="005450FE">
        <w:instrText xml:space="preserve"> REF _Ref126829229 \w \h </w:instrText>
      </w:r>
      <w:r w:rsidR="005450FE">
        <w:instrText xml:space="preserve"> \* MERGEFORMAT </w:instrText>
      </w:r>
      <w:r w:rsidRPr="005450FE"/>
      <w:r w:rsidRPr="005450FE">
        <w:fldChar w:fldCharType="separate"/>
      </w:r>
      <w:r w:rsidRPr="005450FE">
        <w:t>5</w:t>
      </w:r>
      <w:r w:rsidRPr="005450FE">
        <w:fldChar w:fldCharType="end"/>
      </w:r>
      <w:r w:rsidRPr="005450FE">
        <w:fldChar w:fldCharType="begin" w:dirty="true"/>
      </w:r>
      <w:r w:rsidRPr="005450FE">
        <w:instrText xml:space="preserve"> REF _Ref126829235 \w \h </w:instrText>
      </w:r>
      <w:r w:rsidR="005450FE">
        <w:instrText xml:space="preserve"> \* MERGEFORMAT </w:instrText>
      </w:r>
      <w:r w:rsidRPr="005450FE"/>
      <w:r w:rsidRPr="005450FE">
        <w:fldChar w:fldCharType="separate"/>
      </w:r>
      <w:r w:rsidRPr="005450FE">
        <w:t>ii</w:t>
      </w:r>
      <w:r w:rsidRPr="005450FE">
        <w:fldChar w:fldCharType="end"/>
      </w:r>
      <w:r>
        <w:t xml:space="preserve"> ta’ hawn fuq, fejn il-miżura/i notifikata/i hija/huma ffinanzjata/i permezz ta’ imposta.</w:t>
      </w:r>
    </w:p>
    <w:p w14:paraId="3A9F351F" w14:textId="77777777" w:rsidR="00382DE7" w:rsidRDefault="00382DE7" w:rsidP="00382DE7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bookmarkStart w:id="7" w:name="_Hlk165966354"/>
      <w:r>
        <w:rPr>
          <w:color w:val="000000"/>
        </w:rPr>
        <w:tab/>
      </w:r>
    </w:p>
    <w:bookmarkEnd w:id="7"/>
    <w:p w14:paraId="12BBBE61" w14:textId="6B867948" w:rsidR="00663008" w:rsidRPr="00F83660" w:rsidRDefault="008D37F9" w:rsidP="00663008">
      <w:pPr>
        <w:ind w:left="-567" w:firstLine="1412"/>
        <w:rPr>
          <w:i/>
          <w:color w:val="000000"/>
        </w:rPr>
      </w:pPr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F83660" w:rsidRDefault="00663008" w:rsidP="00BC0346">
            <w:pPr>
              <w:pStyle w:val="Heading1"/>
              <w:numPr>
                <w:ilvl w:val="0"/>
                <w:numId w:val="23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Kundizzjoni negattiva: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l-għajnuna ma tistax taffettwa b’mod mhux xieraq il-kundizzjonijiet tal-kummerċ sa punt li jmur kontra l-interess komuni</w:t>
            </w:r>
          </w:p>
        </w:tc>
      </w:tr>
    </w:tbl>
    <w:p w14:paraId="567C40B6" w14:textId="77777777" w:rsidR="00164ADE" w:rsidRPr="00164ADE" w:rsidRDefault="00164ADE" w:rsidP="000E136C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B60D81">
        <w:trPr>
          <w:trHeight w:val="300"/>
        </w:trPr>
        <w:tc>
          <w:tcPr>
            <w:tcW w:w="9322" w:type="dxa"/>
            <w:shd w:val="pct15" w:color="auto" w:fill="auto"/>
          </w:tcPr>
          <w:p w14:paraId="77CB675F" w14:textId="5329851C" w:rsidR="00164ADE" w:rsidRPr="00164ADE" w:rsidRDefault="00262A24" w:rsidP="000E136C">
            <w:pPr>
              <w:pStyle w:val="Heading2"/>
              <w:spacing w:before="75" w:after="75"/>
              <w:ind w:left="1729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2.1.</w:t>
            </w:r>
            <w:r>
              <w:rPr>
                <w:color w:val="000000"/>
              </w:rPr>
              <w:t xml:space="preserve"> </w:t>
            </w:r>
            <w:r>
              <w:t xml:space="preserve">Minimizzazzjoni tad-distorsjonijiet tal-kompetizzjoni u tal-kummerċ</w:t>
            </w:r>
          </w:p>
        </w:tc>
      </w:tr>
    </w:tbl>
    <w:p w14:paraId="7218929B" w14:textId="77777777" w:rsidR="00164ADE" w:rsidRPr="00F8366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5FBF20D3" w14:textId="1F1AF8B6" w:rsidR="00663008" w:rsidRPr="00F83660" w:rsidRDefault="00262A24" w:rsidP="006A10B6">
            <w:pPr>
              <w:pStyle w:val="Heading2"/>
              <w:spacing w:before="75" w:after="75"/>
              <w:ind w:left="788" w:right="-28" w:hanging="431"/>
              <w:jc w:val="center"/>
              <w:rPr>
                <w:color w:val="000000"/>
                <w:szCs w:val="24"/>
              </w:rPr>
            </w:pPr>
            <w:r>
              <w:t xml:space="preserve">2</w:t>
            </w:r>
            <w:r>
              <w:rPr>
                <w:color w:val="000000"/>
              </w:rPr>
              <w:t xml:space="preserve">.1.1.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In-neċessità tal-għajnuna</w:t>
            </w:r>
          </w:p>
        </w:tc>
      </w:tr>
    </w:tbl>
    <w:p w14:paraId="3C23674F" w14:textId="13FAD6B4" w:rsidR="00663008" w:rsidRPr="00F83660" w:rsidRDefault="00663008" w:rsidP="00A029BF">
      <w:pPr>
        <w:spacing w:before="120" w:after="120"/>
        <w:jc w:val="both"/>
        <w:rPr>
          <w:i/>
          <w:color w:val="000000"/>
        </w:rPr>
      </w:pPr>
      <w:r>
        <w:rPr>
          <w:i/>
        </w:rPr>
        <w:t xml:space="preserve">Biex tipprovdi l-informazzjoni f’din it-taqsima, irreferi għat-taqsima 3.2.1.1 (il-punti 34-38) tas-CEEAG.</w:t>
      </w:r>
      <w:r>
        <w:rPr>
          <w:i/>
          <w:color w:val="000000"/>
        </w:rPr>
        <w:t xml:space="preserve"> </w:t>
      </w:r>
    </w:p>
    <w:p w14:paraId="087594C1" w14:textId="77777777" w:rsidR="00B658C2" w:rsidRDefault="00B658C2" w:rsidP="0007639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Spjega liema falliment/i tas-suq identifikaw l-awtoritajiet tiegħek li jipprevjenu l-kisba ta’ livell suffiċjenti ta’ protezzjoni ambjentali.</w:t>
      </w:r>
      <w:r>
        <w:t xml:space="preserve"> </w:t>
      </w:r>
      <w:r>
        <w:t xml:space="preserve">Speċifika f’liema kategorija jaqgħu l-fallimenti tas-suq identifikati, billi tagħmel referenza għall-ittri (a), (b), (c) jew (d) tal-punt 34 tas-CEEAG.</w:t>
      </w:r>
    </w:p>
    <w:p w14:paraId="735B7CD2" w14:textId="77777777" w:rsidR="00076394" w:rsidRDefault="00076394" w:rsidP="0007639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06B91ACA" w14:textId="76A49390" w:rsidR="00B658C2" w:rsidRPr="008D5ADF" w:rsidRDefault="001F680C" w:rsidP="0007639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F’konformità mal-punt 35 tas-CEEAG, jekk jogħġbok ipprovdi informazzjoni dwar kwalunkwe politika u miżura eżistenti li l-awtoritajiet tiegħek identifikaw, li diġà għandhom fil-mira l-fallimenti regolatorji jew tas-suq identifikati.</w:t>
      </w:r>
    </w:p>
    <w:p w14:paraId="3715A328" w14:textId="77777777" w:rsidR="00076394" w:rsidRDefault="00076394" w:rsidP="0007639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2EA5DCAB" w14:textId="77777777" w:rsidR="00B658C2" w:rsidRPr="008D5ADF" w:rsidRDefault="00B658C2" w:rsidP="0007639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36 tas-CEEAG, ipprovdi informazzjoni li turi li l-għajnuna timmira b’mod effettiv lejn fallimenti residwi tas-suq, filwaqt li tqis ukoll kwalunkwe politika u miżura oħra diġà fis-seħħ biex tindirizza wħud mill-fallimenti tas-suq identifikati.</w:t>
      </w:r>
      <w:r>
        <w:t xml:space="preserve"> </w:t>
      </w:r>
    </w:p>
    <w:p w14:paraId="2C0F460B" w14:textId="0A8A16D2" w:rsidR="00B658C2" w:rsidRPr="00076394" w:rsidRDefault="00076394" w:rsidP="0007639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60FED721" w14:textId="455D91AB" w:rsidR="00B658C2" w:rsidRPr="008D5ADF" w:rsidRDefault="00B658C2" w:rsidP="0007639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37 tas-CEEAG, spjega jekk, sa fejn jafu l-awtoritajiet tiegħek, proġetti jew attivitajiet simili għal dawk koperti mill-miżura/i notifikata/i fir-rigward tal-kontenut teknoloġiku, il-livell ta’ riskju u d-daqs tagħhom, humiex diġà mwassla fl-Unjoni bil-kundizzjonijiet tas-suq.</w:t>
      </w:r>
      <w:r>
        <w:t xml:space="preserve"> </w:t>
      </w:r>
      <w:r>
        <w:t xml:space="preserve">Jekk iva, jekk jogħġbok ipprovdi evidenza ulterjuri biex turi l-ħtieġa għal għajnuna mill-Istat.</w:t>
      </w:r>
    </w:p>
    <w:p w14:paraId="2B90039A" w14:textId="53CA3019" w:rsidR="00B658C2" w:rsidRPr="00076394" w:rsidRDefault="00076394" w:rsidP="0007639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4EE6F307" w14:textId="63EBD37E" w:rsidR="00B658C2" w:rsidRPr="00C91A09" w:rsidRDefault="00B658C2" w:rsidP="0007639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38 tas-CEEAG, irreferi għall-evidenza kwantitattiva diġà pprovduta fil-mistoqsija 14 C) hawn fuq.</w:t>
      </w:r>
      <w:r>
        <w:t xml:space="preserve"> </w:t>
      </w:r>
    </w:p>
    <w:p w14:paraId="5E057239" w14:textId="40EE0A91" w:rsidR="00EA354A" w:rsidRDefault="00B658C2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139B6409" w14:textId="77777777" w:rsidR="004152C3" w:rsidRPr="004152C3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39A2943" w14:textId="77777777" w:rsidTr="00504F2E">
        <w:tc>
          <w:tcPr>
            <w:tcW w:w="9322" w:type="dxa"/>
            <w:shd w:val="pct15" w:color="auto" w:fill="auto"/>
          </w:tcPr>
          <w:p w14:paraId="11FBCAA7" w14:textId="46A23F57" w:rsidR="00EA354A" w:rsidRPr="00F83660" w:rsidRDefault="00FC68CD" w:rsidP="00FC68CD">
            <w:pPr>
              <w:pStyle w:val="Heading1"/>
              <w:ind w:left="788" w:right="-28" w:hanging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2.1.2.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Adegwatezza</w:t>
            </w:r>
          </w:p>
        </w:tc>
      </w:tr>
    </w:tbl>
    <w:p w14:paraId="4C2D927B" w14:textId="547B9884" w:rsidR="00EA354A" w:rsidRPr="00F83660" w:rsidRDefault="00EA354A" w:rsidP="00AF17C3">
      <w:pPr>
        <w:spacing w:before="120" w:after="120"/>
        <w:jc w:val="both"/>
        <w:rPr>
          <w:i/>
          <w:color w:val="000000"/>
        </w:rPr>
      </w:pPr>
      <w:r>
        <w:rPr>
          <w:i/>
        </w:rPr>
        <w:t xml:space="preserve">Biex tipprovdi l-informazzjoni f’din it-taqsima, irreferi għat-taqsima 3.2.1.2 (il-punti 39-46), it-taqsima 4.2.4.1 (il-punti 144-145) u l-punti 153 u 157 tas-CEEAG.</w:t>
      </w:r>
      <w:r>
        <w:rPr>
          <w:i/>
          <w:color w:val="000000"/>
        </w:rPr>
        <w:t xml:space="preserve"> </w:t>
      </w:r>
    </w:p>
    <w:p w14:paraId="7DD683CE" w14:textId="6541DB7D" w:rsidR="00EA354A" w:rsidRPr="00210409" w:rsidRDefault="003D433B" w:rsidP="0021040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40 tas-CEEAG, uri li ma hemmx strumenti inqas distorsivi disponibbli li huma aktar xierqa mill-għajnuna mill-Istat.</w:t>
      </w:r>
      <w:r>
        <w:t xml:space="preserve"> </w:t>
      </w:r>
    </w:p>
    <w:p w14:paraId="298B657B" w14:textId="77777777" w:rsidR="00EA354A" w:rsidRPr="00900825" w:rsidRDefault="00EA354A" w:rsidP="00EA354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14B995" w14:textId="77777777" w:rsidR="003A56C9" w:rsidRPr="00210409" w:rsidRDefault="003A56C9" w:rsidP="0021040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41 tas-CEEAG, uri li l-miżura ta’ għajnuna hija mfassla b’tali mod li ma ddgħajjifx l-effiċjenza ta’ miżuri oħra li jirrimedjaw l-istess falliment tas-suq, bħal mekkaniżmu/i bbażat/i fuq is-suq (eż. l-EU ETS).</w:t>
      </w:r>
      <w:r>
        <w:t xml:space="preserve"> </w:t>
      </w:r>
    </w:p>
    <w:p w14:paraId="4C2045D2" w14:textId="77777777" w:rsidR="003A56C9" w:rsidRPr="00900825" w:rsidRDefault="003A56C9" w:rsidP="003A56C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D236814" w14:textId="77777777" w:rsidR="003A56C9" w:rsidRPr="00210409" w:rsidRDefault="003A56C9" w:rsidP="0021040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42 tas-CEEAG, ikkonferma li l-ebda wieħed mill-benefiċjarji tal-miżura/i ta’ għajnuna ma seta’ jinżamm responsabbli għat-tniġġis skont il-liġi tal-Unjoni jew nazzjonali eżistenti (il-prinċipju ta’ “min iniġġes iħallas”).</w:t>
      </w:r>
      <w:r>
        <w:t xml:space="preserve"> </w:t>
      </w:r>
    </w:p>
    <w:p w14:paraId="225C7220" w14:textId="77777777" w:rsidR="003A56C9" w:rsidRPr="00E80F06" w:rsidRDefault="003A56C9" w:rsidP="003A56C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F930B91" w14:textId="617E6DC6" w:rsidR="003A56C9" w:rsidRPr="00BD5698" w:rsidRDefault="001D366B" w:rsidP="00BD569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Biex tiġi vverifikata l-konformità mal-punti minn 43 sa 46 tas-CEEAG, biex turi l-adegwatezza tal-għajnuna fost strumenti ta’ għajnuna differenti, jekk jogħġbok ipprovdi l-informazzjoni li ġejja:</w:t>
      </w:r>
      <w:r>
        <w:t xml:space="preserve"> </w:t>
      </w:r>
    </w:p>
    <w:p w14:paraId="572FA0A0" w14:textId="4CEDF9A8" w:rsidR="003A56C9" w:rsidRPr="00ED71CB" w:rsidRDefault="003A56C9" w:rsidP="00BC0346">
      <w:pPr>
        <w:pStyle w:val="ListParagraph"/>
        <w:numPr>
          <w:ilvl w:val="0"/>
          <w:numId w:val="30"/>
        </w:numPr>
        <w:spacing w:before="120" w:after="120"/>
        <w:ind w:left="1066" w:hanging="357"/>
        <w:contextualSpacing w:val="0"/>
        <w:jc w:val="both"/>
      </w:pPr>
      <w:r>
        <w:t xml:space="preserve">Spjega għaliex forom oħra ta’ għajnuna potenzjalment inqas distorsivi huma inqas xierqa, kif meħtieġ fil-punt 44 tas-CEEAG.</w:t>
      </w:r>
      <w:r>
        <w:t xml:space="preserve"> </w:t>
      </w:r>
      <w:r>
        <w:t xml:space="preserve">Forom inqas distorsivi ta’ għajnuna jistgħu jkunu self bil-quddiem li jitħallas lura meta mqabbel ma’ għotjiet diretti;</w:t>
      </w:r>
      <w:r>
        <w:t xml:space="preserve"> </w:t>
      </w:r>
      <w:r>
        <w:t xml:space="preserve">krediti ta’ taxxa meta mqabbel ma’ tnaqqis ta’ taxxa;</w:t>
      </w:r>
      <w:r>
        <w:t xml:space="preserve"> </w:t>
      </w:r>
      <w:r>
        <w:t xml:space="preserve">jew forom oħra ta’ għajnuna li huma bbażati fuq strumenti finanzjarji, bħal dejn meta mqabbel ma’ strumenti ta’ ekwità, inkluż, pereżempju, self b’imgħax baxx jew tnaqqis tal-imgħax, garanziji tal-gvern, jew forniment ta’ finanzjament alternattiv b’termini favorevoli.</w:t>
      </w:r>
    </w:p>
    <w:p w14:paraId="593209FE" w14:textId="77777777" w:rsidR="003A56C9" w:rsidRPr="00ED71CB" w:rsidRDefault="003A56C9" w:rsidP="00BD5698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6FB63661" w14:textId="2E815B9E" w:rsidR="003A56C9" w:rsidRPr="00ED71CB" w:rsidRDefault="003A56C9" w:rsidP="00BC0346">
      <w:pPr>
        <w:pStyle w:val="ListParagraph"/>
        <w:numPr>
          <w:ilvl w:val="0"/>
          <w:numId w:val="30"/>
        </w:numPr>
        <w:spacing w:before="120" w:after="120"/>
        <w:ind w:left="1066" w:hanging="357"/>
        <w:contextualSpacing w:val="0"/>
        <w:jc w:val="both"/>
      </w:pPr>
      <w:r>
        <w:t xml:space="preserve">Uri li l-għażla tal-istrument ta’ għajnuna hija xierqa għall-falliment tas-suq li l-miżura/i ta’ għajnuna għandha l-għan li tindirizza, kif meħtieġ fil-punt 45 tas-CEEAG.</w:t>
      </w:r>
    </w:p>
    <w:p w14:paraId="3C5110AA" w14:textId="77777777" w:rsidR="003A56C9" w:rsidRPr="00ED71CB" w:rsidRDefault="003A56C9" w:rsidP="00BD5698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0CF9131E" w14:textId="78D0466B" w:rsidR="003A56C9" w:rsidRPr="00ED71CB" w:rsidRDefault="003A56C9" w:rsidP="00BC0346">
      <w:pPr>
        <w:pStyle w:val="ListParagraph"/>
        <w:numPr>
          <w:ilvl w:val="0"/>
          <w:numId w:val="30"/>
        </w:numPr>
        <w:spacing w:before="120" w:after="120"/>
        <w:ind w:left="1066" w:hanging="357"/>
        <w:contextualSpacing w:val="0"/>
        <w:jc w:val="both"/>
      </w:pPr>
      <w:r>
        <w:t xml:space="preserve">Jekk jogħġbok spjega kif</w:t>
      </w:r>
      <w:r>
        <w:rPr>
          <w:color w:val="000000"/>
          <w:shd w:val="clear" w:color="auto" w:fill="FFFFFF"/>
        </w:rPr>
        <w:t xml:space="preserve"> </w:t>
      </w:r>
      <w:r>
        <w:t xml:space="preserve">il-</w:t>
      </w:r>
      <w:r>
        <w:rPr>
          <w:color w:val="000000"/>
          <w:shd w:val="clear" w:color="auto" w:fill="FFFFFF"/>
        </w:rPr>
        <w:t xml:space="preserve">miżura ta’ għajnuna u t-tfassil tagħha huma xierqa biex jintlaħaq l-objettiv tal-miżura li għaliha hija mmirata l-għajnuna, </w:t>
      </w:r>
      <w:r>
        <w:t xml:space="preserve">kif meħtieġ fil-punt 46 tas-CEEAG.</w:t>
      </w:r>
    </w:p>
    <w:p w14:paraId="4A5F12B5" w14:textId="77777777" w:rsidR="003A56C9" w:rsidRDefault="003A56C9" w:rsidP="00BD5698">
      <w:pPr>
        <w:tabs>
          <w:tab w:val="left" w:leader="dot" w:pos="9072"/>
        </w:tabs>
        <w:spacing w:before="120" w:after="120"/>
        <w:ind w:left="1077"/>
        <w:jc w:val="both"/>
      </w:pPr>
      <w:bookmarkStart w:id="8" w:name="_Hlk165967164"/>
      <w:r>
        <w:tab/>
      </w:r>
    </w:p>
    <w:bookmarkEnd w:id="8"/>
    <w:p w14:paraId="039FC206" w14:textId="52D96A6B" w:rsidR="001C6AF0" w:rsidRPr="00BD5698" w:rsidRDefault="000F62F3" w:rsidP="00BD569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l-għajnuna tingħata skont il-miżura/i lill-SMEs u lill-kumpaniji żgħar b’kapitalizzazzjoni medja li huma fornituri ta’ miżuri għat-titjib tar-rendiment fl-użu tal-enerġija skont kuntratti tar-rendiment fl-użu tal-enerġija, ikkonferma li, kif meħtieġ mill-punt 145 tas-CEEAG, l-għajnuna tieħu l-forma ta’ self jew garanzija lill-fornitur jew tikkonsisti fi prodott finanzjarju mmirat lejn il-finanzjament tal-fornitur (pereżempju, il-fatturament jew il-forfaiting).</w:t>
      </w:r>
    </w:p>
    <w:p w14:paraId="6F29A04D" w14:textId="4E107D4D" w:rsidR="000F62F3" w:rsidRDefault="000F62F3" w:rsidP="000F62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858A4EF" w14:textId="32EBC18D" w:rsidR="003F5046" w:rsidRPr="00BD5698" w:rsidRDefault="003F5046" w:rsidP="00BD569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l-għajnuna tingħata skont il-miżura/i fil-forma ta’ strumenti finanzjarji, ikkonferma li:</w:t>
      </w:r>
    </w:p>
    <w:p w14:paraId="407E4217" w14:textId="02AA56C3" w:rsidR="00A8494E" w:rsidRDefault="00A8494E" w:rsidP="00BC0346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 xml:space="preserve">L-għajnuna lis-sid jew lill-inkwilin tal-bini tieħu l-forma ta’ garanzija jew self, f’konformità mal-punt 153 tas-CEEAG;</w:t>
      </w:r>
      <w:r>
        <w:t xml:space="preserve"> </w:t>
      </w:r>
      <w:r>
        <w:t xml:space="preserve">kif ukoll</w:t>
      </w:r>
    </w:p>
    <w:p w14:paraId="45DFDBF9" w14:textId="77777777" w:rsidR="004E0438" w:rsidRDefault="004E0438" w:rsidP="004E0438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7DD44F85" w14:textId="36B753B3" w:rsidR="003F5046" w:rsidRDefault="003F5046" w:rsidP="00BC0346">
      <w:pPr>
        <w:pStyle w:val="ListParagraph"/>
        <w:numPr>
          <w:ilvl w:val="0"/>
          <w:numId w:val="33"/>
        </w:numPr>
        <w:spacing w:before="120" w:after="120"/>
        <w:ind w:left="1066" w:hanging="357"/>
        <w:contextualSpacing w:val="0"/>
        <w:jc w:val="both"/>
      </w:pPr>
      <w:r>
        <w:t xml:space="preserve">L-għajnuna lill-intermedjarju finanzjarju (eż. fond għall-effiċjenza enerġetika) tieħu l-forma ta’ dotazzjoni, ekwità, garanzija jew self, f’konformità mal-punt 157 tas-CEEAG.</w:t>
      </w:r>
    </w:p>
    <w:p w14:paraId="3F4272F4" w14:textId="402C8EE7" w:rsidR="003F5046" w:rsidRDefault="003F5046" w:rsidP="00BD5698">
      <w:pPr>
        <w:tabs>
          <w:tab w:val="left" w:leader="dot" w:pos="9072"/>
        </w:tabs>
        <w:spacing w:before="120" w:after="120"/>
        <w:ind w:left="1077"/>
        <w:jc w:val="both"/>
      </w:pPr>
      <w:bookmarkStart w:id="9" w:name="_Hlk165967128"/>
      <w:r>
        <w:tab/>
      </w:r>
      <w:bookmarkEnd w:id="9"/>
    </w:p>
    <w:p w14:paraId="7589B387" w14:textId="77777777" w:rsidR="00863406" w:rsidRPr="00863406" w:rsidRDefault="00863406" w:rsidP="00863406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2ACDE5BC" w:rsidR="00863406" w:rsidRPr="00FC6878" w:rsidRDefault="00333D51" w:rsidP="00D46167">
            <w:pPr>
              <w:pStyle w:val="Heading1"/>
              <w:ind w:left="788" w:right="-28" w:hanging="431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Proporzjonalità</w:t>
            </w:r>
            <w:r>
              <w:rPr>
                <w:sz w:val="24"/>
              </w:rPr>
              <w:t xml:space="preserve"> </w:t>
            </w:r>
          </w:p>
        </w:tc>
      </w:tr>
    </w:tbl>
    <w:p w14:paraId="201592AD" w14:textId="1A723365" w:rsidR="00E47105" w:rsidRDefault="00DC2847" w:rsidP="00BD1EF7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4.2.4.2 (il-punti 146-153) tas-CEEAG.</w:t>
      </w:r>
      <w:r>
        <w:rPr>
          <w:i/>
        </w:rPr>
        <w:t xml:space="preserve"> </w:t>
      </w:r>
    </w:p>
    <w:p w14:paraId="46E1A5AF" w14:textId="4388075F" w:rsidR="00BD1EF7" w:rsidRPr="00BD1EF7" w:rsidRDefault="00DC2847" w:rsidP="00E47105">
      <w:pPr>
        <w:spacing w:before="120" w:after="120"/>
        <w:jc w:val="both"/>
        <w:rPr>
          <w:i/>
        </w:rPr>
      </w:pPr>
      <w:r>
        <w:rPr>
          <w:i/>
        </w:rPr>
        <w:t xml:space="preserve">Innota li </w:t>
      </w:r>
      <w:r>
        <w:rPr>
          <w:i/>
          <w:u w:val="single"/>
        </w:rPr>
        <w:t xml:space="preserve">t-tliet taqsimiet 2.1.3.1., 2.1.3.2. u 2.1.3.3. li ġejjin huma alternattivi.</w:t>
      </w:r>
      <w:r>
        <w:rPr>
          <w:i/>
        </w:rPr>
        <w:t xml:space="preserve"> </w:t>
      </w:r>
      <w:r>
        <w:rPr>
          <w:i/>
        </w:rPr>
        <w:t xml:space="preserve">Ipprovdi tweġibiet biss għat-taqsima applikabbli, skont id-disinn tal-miżura proposta.</w:t>
      </w:r>
      <w:r>
        <w:rPr>
          <w:i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2C58A840" w:rsidR="001620DB" w:rsidRPr="00FC6878" w:rsidRDefault="00D46167" w:rsidP="001A21E9">
            <w:pPr>
              <w:pStyle w:val="Heading1"/>
              <w:ind w:left="788" w:right="-28" w:hanging="357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Il-proporzjonalità tal-għajnuna meta l-għajnuna </w:t>
            </w:r>
            <w:r>
              <w:rPr>
                <w:sz w:val="24"/>
                <w:u w:val="single"/>
              </w:rPr>
              <w:t xml:space="preserve">ma tingħatax</w:t>
            </w:r>
            <w:r>
              <w:rPr>
                <w:sz w:val="24"/>
              </w:rPr>
              <w:t xml:space="preserve"> permezz ta’ proċess kompetittiv ta’ offerti u ma tingħatax fil-forma ta’ strumenti finanzjarji</w:t>
            </w:r>
          </w:p>
        </w:tc>
      </w:tr>
    </w:tbl>
    <w:p w14:paraId="38D650DB" w14:textId="658040C6" w:rsidR="00D32425" w:rsidRDefault="001620DB" w:rsidP="00BD1EF7">
      <w:pPr>
        <w:pStyle w:val="ListParagraph"/>
        <w:spacing w:before="120" w:after="120"/>
        <w:ind w:left="0"/>
        <w:contextualSpacing w:val="0"/>
        <w:jc w:val="both"/>
      </w:pPr>
      <w:r>
        <w:t xml:space="preserve">Biex tipprovdi l-informazzjoni f’din it-taqsima, irreferi għall-punti 146-151 u 153 tas-CEEAG.</w:t>
      </w:r>
      <w:r>
        <w:t xml:space="preserve"> </w:t>
      </w:r>
    </w:p>
    <w:p w14:paraId="46EBC2FA" w14:textId="3876B956" w:rsidR="00825F70" w:rsidRPr="00BD1EF7" w:rsidRDefault="00825F70" w:rsidP="00BD1EF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10" w:name="_Hlk166072571"/>
      <w:r>
        <w:t xml:space="preserve">Sabiex tiġi vverifikata l-konformità mal-punt 146 tas-CEEAG, spjega liema huma l-kostijiet eliġibbli skont il-miżura/i u kif huma limitati għall-kostijiet tal-investiment marbuta direttament mal-kisba ta’ livell ogħla ta’ prestazzjoni enerġetika jew ambjentali.</w:t>
      </w:r>
    </w:p>
    <w:p w14:paraId="6BC1581D" w14:textId="39F7B22E" w:rsidR="00B64C5B" w:rsidRDefault="00B64C5B" w:rsidP="00D75B3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bookmarkEnd w:id="10"/>
    <w:p w14:paraId="5164472A" w14:textId="5C4A1B7A" w:rsidR="004F277F" w:rsidRPr="00BD1EF7" w:rsidRDefault="004F277F" w:rsidP="00BD1EF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Indika l-intensitajiet massimi tal-għajnuna applikabbli skont il-miżura u indika jekk japplikawx xi bonusijiet (kif deskritt fil-punti 147-150 tas-CEEAG).</w:t>
      </w:r>
      <w:r>
        <w:t xml:space="preserve"> </w:t>
      </w:r>
    </w:p>
    <w:p w14:paraId="0F0AEB01" w14:textId="77777777" w:rsidR="004F277F" w:rsidRPr="00142B91" w:rsidRDefault="004F277F" w:rsidP="004F277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5C8E34" w14:textId="0BAE267E" w:rsidR="00435FBA" w:rsidRPr="00BD1EF7" w:rsidRDefault="00E9061A" w:rsidP="00BD1EF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applikabbli, iġġustifika l-applikazzjoni tal-bonus tal-intensità tal-għajnuna għal titjib li jwassal għal tnaqqis fid-domanda għall-enerġija primarja ta’ mill-inqas 40 %, f’konformità mal-punt 148 tas-CEEAG.</w:t>
      </w:r>
    </w:p>
    <w:p w14:paraId="73C8497D" w14:textId="77777777" w:rsidR="00435FBA" w:rsidRDefault="00435FBA" w:rsidP="00435FBA">
      <w:pPr>
        <w:tabs>
          <w:tab w:val="left" w:leader="dot" w:pos="9072"/>
        </w:tabs>
        <w:spacing w:before="120" w:after="120"/>
        <w:ind w:left="567"/>
        <w:jc w:val="both"/>
      </w:pPr>
      <w:bookmarkStart w:id="11" w:name="_Hlk165967370"/>
      <w:r>
        <w:tab/>
      </w:r>
    </w:p>
    <w:bookmarkEnd w:id="11"/>
    <w:p w14:paraId="0398EA76" w14:textId="17BACBC5" w:rsidR="00260BD3" w:rsidRPr="00F256F6" w:rsidRDefault="006C2F85" w:rsidP="002F344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b’deroga mill-punti 147-150 tas-CEEAG, jitqies li hija meħtieġa għajnuna lil hinn mill-intensitajiet massimi tal-għajnuna stabbiliti f’dawn il-punti, indika l-livell ta’ għajnuna meqjus bħala meħtieġ u ġġustifikaha abbażi ta’ analiżi tad-diskrepanza tal-likwidità, f’konformità mal-punti 51-52 tas-CEEAG.</w:t>
      </w:r>
    </w:p>
    <w:p w14:paraId="7FF7142F" w14:textId="0EBC2073" w:rsidR="006C2F85" w:rsidRPr="00A23A7E" w:rsidRDefault="006C2F85" w:rsidP="002F344E">
      <w:pPr>
        <w:pStyle w:val="ListParagraph"/>
        <w:spacing w:before="120" w:after="120"/>
        <w:ind w:left="567"/>
        <w:contextualSpacing w:val="0"/>
        <w:jc w:val="both"/>
      </w:pPr>
      <w:r>
        <w:t xml:space="preserve">Għal din l-analiżi tad-diskrepanza tal-likwidità, ippreżenta kwantifikazzjoni, għax-xenarju/i fattwali u xenarju/xenarji kontrofattwali realistiċi</w:t>
      </w:r>
      <w:r w:rsidRPr="00F256F6">
        <w:rPr>
          <w:vertAlign w:val="superscript"/>
          <w:lang w:val="en-IE" w:eastAsia="hr-HR" w:bidi="hr-HR"/>
        </w:rPr>
        <w:footnoteReference w:id="11"/>
      </w:r>
      <w:r>
        <w:t xml:space="preserve"> identifikati bi tweġiba għall-mistoqsija 14 C) hawn fuq, tal-kostijiet u d-dħul ewlenin kollha, il-kost medju ponderat tal-kapital (weighted average cost of capital, WACC) stmat tal-benefiċjarji (jew proġetti ta’ referenza) biex jiġu skontati l-flussi futuri tal-flus, kif ukoll il-valur preżenti nett (VPN) għax-xenarji fattwali u kontrofattwali, matul il-ħajja tal-proġett/tal-proġett ta’ referenza.</w:t>
      </w:r>
      <w:r>
        <w:t xml:space="preserve"> </w:t>
      </w:r>
    </w:p>
    <w:p w14:paraId="61E45611" w14:textId="0BF9FEF6" w:rsidR="00960E2E" w:rsidRPr="008D5ADF" w:rsidRDefault="00960E2E" w:rsidP="00C70D13">
      <w:pPr>
        <w:pStyle w:val="ListParagraph"/>
        <w:spacing w:before="120" w:after="120"/>
        <w:ind w:left="567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Innota li għal każijiet ta’ għajnuna u skemi individwali li jibbenefikaw minn għadd partikolarment limitat ta’ benefiċjarji, l-Istat Membru jeħtieġ li jippreżenta l-evidenza ta’ sostenn fil-livell tal-pjan dettaljat ta’ direzzjoni tan-negozju tal-proġett, filwaqt li għal każijiet ta’ skemi ta’ għajnuna, l-Istat Membru jeħtieġ li jippreżenta l-evidenza ta’ sostenn abbażi ta’ proġett ta’ referenza wieħed jew aktar.</w:t>
      </w:r>
    </w:p>
    <w:p w14:paraId="44CE43AA" w14:textId="77777777" w:rsidR="006C2F85" w:rsidRPr="008E430F" w:rsidRDefault="006C2F85" w:rsidP="00BC0346">
      <w:pPr>
        <w:pStyle w:val="ListParagraph"/>
        <w:numPr>
          <w:ilvl w:val="0"/>
          <w:numId w:val="34"/>
        </w:numPr>
        <w:spacing w:before="120" w:after="120"/>
        <w:contextualSpacing w:val="0"/>
        <w:jc w:val="both"/>
      </w:pPr>
      <w:r>
        <w:t xml:space="preserve">Ipprovdi dan f’Anness għal din il-formola ta’ notifika (billi tuża fajl Excel fejn il-formuli kollha huma viżibbli).</w:t>
      </w:r>
      <w:r>
        <w:t xml:space="preserve"> </w:t>
      </w:r>
    </w:p>
    <w:p w14:paraId="38069C83" w14:textId="77777777" w:rsidR="006C2F85" w:rsidRPr="00AC286A" w:rsidRDefault="006C2F85" w:rsidP="006C2F85">
      <w:pPr>
        <w:pStyle w:val="ListParagraph"/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70AF1991" w14:textId="77777777" w:rsidR="006C2F85" w:rsidRPr="00443E1F" w:rsidRDefault="006C2F85" w:rsidP="00BC0346">
      <w:pPr>
        <w:pStyle w:val="ListParagraph"/>
        <w:numPr>
          <w:ilvl w:val="0"/>
          <w:numId w:val="34"/>
        </w:numPr>
        <w:spacing w:before="120" w:after="120"/>
        <w:contextualSpacing w:val="0"/>
        <w:jc w:val="both"/>
      </w:pPr>
      <w:r>
        <w:t xml:space="preserve">Inkludi informazzjoni dettaljata dwar is-suppożizzjonijiet, il-metodoloġiji, ir-raġunament u s-sorsi sottostanti tagħhom, użati għal kull aspett tal-kwantifikazzjoni tal-kostijiet u d-dħul fix-xenarju fattwali u x-xenarju kontrofattwali probabbli (pereżempju inkludi s-suppożizzjonijiet użati biex jiġu żviluppati dawk ix-xenarji u s-sors/ir-raġunament għal dawn is-suppożizzjonijiet).</w:t>
      </w:r>
    </w:p>
    <w:p w14:paraId="0874B090" w14:textId="77777777" w:rsidR="006C2F85" w:rsidRPr="00AC286A" w:rsidRDefault="006C2F85" w:rsidP="006C2F85">
      <w:pPr>
        <w:tabs>
          <w:tab w:val="left" w:leader="dot" w:pos="9072"/>
        </w:tabs>
        <w:spacing w:before="120" w:after="120"/>
        <w:ind w:left="1080"/>
        <w:jc w:val="both"/>
      </w:pPr>
      <w:bookmarkStart w:id="12" w:name="_Hlk169542255"/>
      <w:r>
        <w:tab/>
      </w:r>
    </w:p>
    <w:bookmarkEnd w:id="12"/>
    <w:p w14:paraId="3CA2345A" w14:textId="628DE7EF" w:rsidR="006C2F85" w:rsidRPr="00AC286A" w:rsidRDefault="006C2F85" w:rsidP="00BC0346">
      <w:pPr>
        <w:pStyle w:val="ListParagraph"/>
        <w:numPr>
          <w:ilvl w:val="0"/>
          <w:numId w:val="34"/>
        </w:numPr>
        <w:spacing w:before="120" w:after="120"/>
        <w:contextualSpacing w:val="0"/>
        <w:jc w:val="both"/>
      </w:pPr>
      <w:r>
        <w:t xml:space="preserve">Ma’ din il-formola ta’ notifika tista’ tehmeż ukoll id-dokumenti msemmija fin-nota 39 f’qiegħ il-paġna tas-CEEAG.</w:t>
      </w:r>
      <w:r>
        <w:t xml:space="preserve"> </w:t>
      </w:r>
      <w:r>
        <w:t xml:space="preserve">Id-dokumenti tal-Bord jistgħu jkunu partikolarment utli għal miżuri jew skemi ta’ għajnuna individwali li jkunu ta’ benefiċċju għal għadd partikolarment limitat ta’ benefiċjarji.</w:t>
      </w:r>
      <w:r>
        <w:t xml:space="preserve"> </w:t>
      </w:r>
      <w:r>
        <w:t xml:space="preserve">Jekk tali dokumenti huma mehmuża mal-formola ta’ notifika, ipprovdi hawn taħt lista ta’ dawk id-dokumenti, li tispeċifika l-awtur, id-data meta ġew abbozzati u l-kuntest meta ntużaw.</w:t>
      </w:r>
    </w:p>
    <w:p w14:paraId="35BF3CC8" w14:textId="77777777" w:rsidR="006C2F85" w:rsidRPr="00E766C0" w:rsidRDefault="006C2F85" w:rsidP="006C2F85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715D9173" w14:textId="7A703FEF" w:rsidR="00CF5A9D" w:rsidRPr="00EA5A4E" w:rsidRDefault="00CF5A9D" w:rsidP="00CF5A9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uri li l-applikazzjoni ta’ intensità ogħla tal-għajnuna ddeterminata kif indikat fil-mistoqsija 34 ma tirriżultax f’għajnuna li taqbeż id-distakk fil-finanzjament.</w:t>
      </w:r>
      <w:r>
        <w:t xml:space="preserve"> </w:t>
      </w:r>
    </w:p>
    <w:p w14:paraId="4D9BE9B2" w14:textId="5ECBA837" w:rsidR="00CF5A9D" w:rsidRPr="00CF5A9D" w:rsidRDefault="00CF5A9D" w:rsidP="00CF5A9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B2B3DA" w14:textId="18B4F667" w:rsidR="009A7FA6" w:rsidRDefault="009A7FA6" w:rsidP="009A7FA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 li l-punt 52 tas-CEEAG huwa applikabbli, jiġifieri l-aktar xenarju kontrofattwali probabbli jikkonsisti mill-fatt li l-benefiċjarju ma jwettaqx attività jew investiment, jew ikompli n-negozju tiegħu mingħajr bidliet, ipprovdi evidenza biex issostni din is-suppożizzjoni</w:t>
      </w:r>
      <w:r>
        <w:rPr>
          <w:rStyle w:val="FootnoteReference"/>
          <w:lang w:val="en-IE" w:eastAsia="hr-HR" w:bidi="hr-HR"/>
        </w:rPr>
        <w:footnoteReference w:id="12"/>
      </w:r>
      <w:r>
        <w:t xml:space="preserve">.</w:t>
      </w:r>
      <w:r>
        <w:t xml:space="preserve"> </w:t>
      </w:r>
    </w:p>
    <w:p w14:paraId="3CAA7D6D" w14:textId="77777777" w:rsidR="009A7FA6" w:rsidRDefault="009A7FA6" w:rsidP="009A7FA6">
      <w:pPr>
        <w:tabs>
          <w:tab w:val="left" w:leader="dot" w:pos="9072"/>
        </w:tabs>
        <w:spacing w:before="120" w:after="120"/>
        <w:ind w:left="567"/>
        <w:jc w:val="both"/>
      </w:pPr>
      <w:bookmarkStart w:id="13" w:name="_Hlk169542394"/>
      <w:r>
        <w:tab/>
      </w:r>
    </w:p>
    <w:bookmarkEnd w:id="13"/>
    <w:p w14:paraId="5F5E911B" w14:textId="77777777" w:rsidR="00B73E30" w:rsidRPr="00BD6637" w:rsidRDefault="00B73E30" w:rsidP="00BD6637">
      <w:pPr>
        <w:pStyle w:val="ListParagraph"/>
        <w:spacing w:before="120" w:after="120"/>
        <w:ind w:left="0"/>
        <w:contextualSpacing w:val="0"/>
        <w:jc w:val="both"/>
        <w:rPr>
          <w:lang w:val="en-IE" w:eastAsia="hr-HR" w:bidi="hr-H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A595D" w:rsidRPr="00FC6878" w14:paraId="1488F97D" w14:textId="77777777" w:rsidTr="00AB0298">
        <w:tc>
          <w:tcPr>
            <w:tcW w:w="9322" w:type="dxa"/>
            <w:shd w:val="pct15" w:color="auto" w:fill="auto"/>
          </w:tcPr>
          <w:p w14:paraId="4D60C596" w14:textId="1011703D" w:rsidR="009A595D" w:rsidRPr="00FC6878" w:rsidRDefault="000D77DA" w:rsidP="000D77DA">
            <w:pPr>
              <w:pStyle w:val="Heading1"/>
              <w:ind w:left="788" w:right="-28" w:hanging="357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Il-proporzjonalità tal-għajnuna meta l-għajnuna tingħata fil-forma ta’ strumenti finanzjarji</w:t>
            </w:r>
          </w:p>
        </w:tc>
      </w:tr>
    </w:tbl>
    <w:p w14:paraId="24BE5936" w14:textId="12CB228A" w:rsidR="00B536D4" w:rsidRPr="00EA5A4E" w:rsidRDefault="00B536D4" w:rsidP="00986C5B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 xml:space="preserve">Biex tipprovdi l-informazzjoni f’din it-taqsima, irreferi għall-punti 146 u 153 tas-</w:t>
      </w:r>
      <w:r>
        <w:t xml:space="preserve">CEEAG.</w:t>
      </w:r>
    </w:p>
    <w:p w14:paraId="7FEFA203" w14:textId="77777777" w:rsidR="00986C5B" w:rsidRPr="00EA5A4E" w:rsidRDefault="00986C5B" w:rsidP="00986C5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146 tas-CEEAG, spjega liema huma l-kostijiet eliġibbli skont il-miżura/i u kif huma limitati għall-kostijiet tal-investiment marbuta direttament mal-kisba ta’ livell ogħla ta’ prestazzjoni enerġetika jew ambjentali.</w:t>
      </w:r>
    </w:p>
    <w:p w14:paraId="0C22A1AB" w14:textId="49A2AD6B" w:rsidR="00986C5B" w:rsidRPr="00EA5A4E" w:rsidRDefault="00986C5B" w:rsidP="00986C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90B309" w14:textId="5182939A" w:rsidR="00CB6373" w:rsidRPr="00EA5A4E" w:rsidRDefault="00711D80" w:rsidP="000D314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l-informazzjoni li ġejja sabiex tivverifika l-konformità mal-punt 153 tas-CEEAG:</w:t>
      </w:r>
    </w:p>
    <w:p w14:paraId="237638A6" w14:textId="73DDDADD" w:rsidR="00CB6373" w:rsidRPr="00EA5A4E" w:rsidRDefault="00CB6373" w:rsidP="00BC0346">
      <w:pPr>
        <w:pStyle w:val="ListParagraph"/>
        <w:numPr>
          <w:ilvl w:val="0"/>
          <w:numId w:val="27"/>
        </w:numPr>
        <w:spacing w:before="120" w:after="120"/>
        <w:contextualSpacing w:val="0"/>
        <w:jc w:val="both"/>
      </w:pPr>
      <w:r>
        <w:t xml:space="preserve">Jekk l-għajnuna tingħata fil-forma ta’ garanzija, ikkonferma li l-garanzija mhux se taqbeż it-80 % tas-self sottostanti u spjega kif se tiġi żgurata l-konformità ma’ dan ir-rekwiżit.</w:t>
      </w:r>
    </w:p>
    <w:p w14:paraId="45974E6C" w14:textId="4CA51FE7" w:rsidR="00914AB6" w:rsidRPr="00EA5A4E" w:rsidRDefault="000D3144" w:rsidP="000D3144">
      <w:pPr>
        <w:tabs>
          <w:tab w:val="left" w:leader="dot" w:pos="9072"/>
        </w:tabs>
        <w:spacing w:before="120" w:after="120"/>
        <w:ind w:left="1080"/>
        <w:jc w:val="both"/>
      </w:pPr>
      <w:r>
        <w:rPr>
          <w:color w:val="000000"/>
        </w:rPr>
        <w:tab/>
      </w:r>
      <w:r>
        <w:tab/>
      </w:r>
    </w:p>
    <w:p w14:paraId="417CC449" w14:textId="7ED38702" w:rsidR="00914AB6" w:rsidRPr="00EA5A4E" w:rsidRDefault="00914AB6" w:rsidP="00BC0346">
      <w:pPr>
        <w:pStyle w:val="ListParagraph"/>
        <w:numPr>
          <w:ilvl w:val="0"/>
          <w:numId w:val="27"/>
        </w:numPr>
        <w:spacing w:before="120" w:after="120"/>
        <w:ind w:left="1066" w:hanging="357"/>
        <w:contextualSpacing w:val="0"/>
        <w:jc w:val="both"/>
      </w:pPr>
      <w:r>
        <w:t xml:space="preserve">Jekk l-għajnuna tingħata fil-forma ta’ self, ikkonferma li l-ħlas lura mis-sid/i tal-bini lill-fond tal-effiċjenza enerġetika jew lill-fond tal-enerġija rinnovabbli jew intermedjarju finanzjarju ieħor ikun tal-inqas ugwali għall-valur nominali tas-self u spjega kif se tiġi żgurata l-konformità ma’ dan ir-rekwiżit.</w:t>
      </w:r>
    </w:p>
    <w:p w14:paraId="4CB69839" w14:textId="77777777" w:rsidR="00914AB6" w:rsidRPr="000D3144" w:rsidRDefault="00914AB6" w:rsidP="000D3144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573DE6F4" w14:textId="4FF284B3" w:rsidR="005679B2" w:rsidRPr="00863406" w:rsidRDefault="005679B2" w:rsidP="005679B2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5679B2" w:rsidRPr="00FC6878" w14:paraId="20D13A5B" w14:textId="77777777">
        <w:tc>
          <w:tcPr>
            <w:tcW w:w="9322" w:type="dxa"/>
            <w:shd w:val="pct15" w:color="auto" w:fill="auto"/>
          </w:tcPr>
          <w:p w14:paraId="7CD209DC" w14:textId="5B0DB032" w:rsidR="005679B2" w:rsidRPr="00FC6878" w:rsidRDefault="005679B2" w:rsidP="0064533D">
            <w:pPr>
              <w:pStyle w:val="Heading1"/>
              <w:ind w:left="788" w:right="-28" w:hanging="357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Proporzjonalità tal-għajnuna mogħtija permezz ta’ proċess kompetittiv ta’ offerti</w:t>
            </w:r>
            <w:r>
              <w:rPr>
                <w:sz w:val="24"/>
              </w:rPr>
              <w:t xml:space="preserve"> </w:t>
            </w:r>
          </w:p>
        </w:tc>
      </w:tr>
    </w:tbl>
    <w:p w14:paraId="5EF69CC9" w14:textId="34CFB392" w:rsidR="005679B2" w:rsidRPr="00441F0B" w:rsidRDefault="005679B2" w:rsidP="000D77DA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 xml:space="preserve">Biex tipprovdi l-informazzjoni f’din it-taqsima, irreferi għall-punti 49 u 50 tas-</w:t>
      </w:r>
      <w:r>
        <w:t xml:space="preserve">CEEAG.</w:t>
      </w:r>
    </w:p>
    <w:p w14:paraId="35E9A981" w14:textId="77777777" w:rsidR="005679B2" w:rsidRPr="000D77DA" w:rsidRDefault="005679B2" w:rsidP="000D77D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mal-punti 49 u 50 tas-CEEAG, ipprovdi dan li ġej:</w:t>
      </w:r>
    </w:p>
    <w:p w14:paraId="60189593" w14:textId="77777777" w:rsidR="005679B2" w:rsidRPr="00441F0B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Spjega kif l-awtoritajiet jiżguraw li l-proċess tal-offerti jkun miftuħ, ċar, trasparenti u mhux diskriminatorju, bbażat fuq kriterji oġġettivi, definiti </w:t>
      </w:r>
      <w:r>
        <w:rPr>
          <w:i/>
        </w:rPr>
        <w:t xml:space="preserve">ex ante</w:t>
      </w:r>
      <w:r>
        <w:t xml:space="preserve"> skont l-għan tal-miżura u jimminimizzaw ir-riskju tal-offerti strateġiċi (punt 49(a) tas-CEEAG).</w:t>
      </w:r>
    </w:p>
    <w:p w14:paraId="2A2F0ED5" w14:textId="77777777" w:rsidR="005679B2" w:rsidRPr="000D77DA" w:rsidRDefault="005679B2" w:rsidP="000D77DA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6A58C077" w14:textId="268B20CC" w:rsidR="005679B2" w:rsidRPr="00050EB9" w:rsidRDefault="00653273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Il-kriterji tal-għażla użati għall-klassifikazzjoni tal-offerti, u fl-aħħar mill-aħħar l-identifikazzjoni tal-livell ta’ għajnuna fil-proċess kompetittiv tal-offerti.</w:t>
      </w:r>
      <w:r>
        <w:t xml:space="preserve"> </w:t>
      </w:r>
      <w:r>
        <w:t xml:space="preserve">B’mod aktar speċifiku:</w:t>
      </w:r>
      <w:r>
        <w:t xml:space="preserve"> </w:t>
      </w:r>
    </w:p>
    <w:p w14:paraId="69DC932F" w14:textId="77777777" w:rsidR="005679B2" w:rsidRPr="00050EB9" w:rsidRDefault="005679B2" w:rsidP="00BC0346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Ipprovdi l-lista tal-kriterji tal-għażla u speċifika liema minnhom huma/mhumiex direttament jew indirettament relatati mal-objettivi ewlenin tal-miżura/i.</w:t>
      </w:r>
      <w:r>
        <w:t xml:space="preserve"> </w:t>
      </w:r>
      <w:r>
        <w:t xml:space="preserve">Inkludi l-ponderazzjoni tagħhom.</w:t>
      </w:r>
    </w:p>
    <w:p w14:paraId="4E0758E0" w14:textId="3A5B0A4E" w:rsidR="005679B2" w:rsidRPr="00050EB9" w:rsidRDefault="00387331" w:rsidP="0038733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  <w:r>
        <w:tab/>
      </w:r>
    </w:p>
    <w:p w14:paraId="0AE96B4F" w14:textId="77777777" w:rsidR="005679B2" w:rsidRPr="00050EB9" w:rsidRDefault="005679B2" w:rsidP="00BC0346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Spjega kif il-kriterji tal-għażla jpoġġu l-kontribuzzjoni għall-objettivi ewlenin tal-miżura/i f’relazzjoni diretta jew indiretta mal-ammont ta’ għajnuna mitlub mill-applikant.</w:t>
      </w:r>
      <w:r>
        <w:t xml:space="preserve"> </w:t>
      </w:r>
      <w:r>
        <w:t xml:space="preserve">Dan jista’ jiġi espress, pereżempju, f’termini ta’ għajnuna għal kull unità ta’ protezzjoni ambjentali</w:t>
      </w:r>
      <w:r w:rsidRPr="00050EB9">
        <w:rPr>
          <w:rStyle w:val="FootnoteReference"/>
          <w:lang w:eastAsia="en-GB"/>
        </w:rPr>
        <w:footnoteReference w:id="13"/>
      </w:r>
      <w:r>
        <w:t xml:space="preserve"> (il-punt 50 tas-CEEAG u n-nota 44 f’qiegħ il-paġna tas-CEEAG).</w:t>
      </w:r>
    </w:p>
    <w:p w14:paraId="37C678B0" w14:textId="77777777" w:rsidR="005679B2" w:rsidRPr="00050EB9" w:rsidRDefault="005679B2" w:rsidP="0038733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5410BA40" w14:textId="2EA5197B" w:rsidR="005679B2" w:rsidRPr="00050EB9" w:rsidRDefault="005679B2" w:rsidP="00BC0346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F’każ li jkun hemm kriterji oħra tal-għażla li mhumiex relatati direttament jew indirettament mal-objettivi ewlenin tal-miżura/i, ipprovdi raġunijiet għall-approċċ propost u spjega kif huwa xieraq għall-objettivi segwiti mill-miżura/i.</w:t>
      </w:r>
      <w:r>
        <w:t xml:space="preserve"> </w:t>
      </w:r>
      <w:r>
        <w:t xml:space="preserve">Ikkonferma wkoll li dawk il-kriterji ma jirrappreżentawx aktar minn 30 % tal-ponderazzjoni tal-kriterji kollha tal-għażla (il-punt 50 tas-CEEAG).</w:t>
      </w:r>
    </w:p>
    <w:p w14:paraId="20C5F993" w14:textId="77777777" w:rsidR="005679B2" w:rsidRPr="00050EB9" w:rsidRDefault="005679B2" w:rsidP="0038733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66044B73" w14:textId="28D21843" w:rsidR="005679B2" w:rsidRPr="00B35F1C" w:rsidRDefault="005679B2" w:rsidP="00BC0346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Spjega sa fejn qabel kull proċess kompetittiv tal-offerti </w:t>
      </w:r>
      <w:r>
        <w:rPr>
          <w:shd w:val="clear" w:color="auto" w:fill="FFFFFF"/>
        </w:rPr>
        <w:t xml:space="preserve">se jiġu ppubblikati l-kriterji tal-għażla </w:t>
      </w:r>
      <w:r>
        <w:t xml:space="preserve">(il-punt 49(b) u n-nota 43 f’qiegħ il-paġna tas-CEEAG)</w:t>
      </w:r>
      <w:r>
        <w:rPr>
          <w:shd w:val="clear" w:color="auto" w:fill="FFFFFF"/>
        </w:rPr>
        <w:t xml:space="preserve">.</w:t>
      </w:r>
    </w:p>
    <w:p w14:paraId="4DCF6CD1" w14:textId="77777777" w:rsidR="005679B2" w:rsidRPr="00B35F1C" w:rsidRDefault="005679B2" w:rsidP="00B751E1">
      <w:pPr>
        <w:tabs>
          <w:tab w:val="left" w:leader="dot" w:pos="9072"/>
        </w:tabs>
        <w:spacing w:before="120" w:after="120"/>
        <w:ind w:left="1701"/>
        <w:jc w:val="both"/>
      </w:pPr>
      <w:r>
        <w:tab/>
      </w:r>
    </w:p>
    <w:p w14:paraId="298E794D" w14:textId="3063F715" w:rsidR="005679B2" w:rsidRPr="005B7EC4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Spjega l-elementi li fuqhom bbażajt is-suppożizzjoni li l-proċess tal-offerti se jkun miftuħ u sottoskritt kif suppost, jiġifieri li jista’ jkun mistenni li mhux l-offerenti kollha se jirċievu għajnuna u li l-għadd ta’ offerenti mistennija huwa biżżejjed biex jiżgura kompetizzjoni effettiva għad-durata tal-iskema (il-punt 49(c) tas-CEEAG).</w:t>
      </w:r>
      <w:r>
        <w:t xml:space="preserve"> </w:t>
      </w:r>
      <w:r>
        <w:t xml:space="preserve">Fl-ispjegazzjoni tiegħek, ikkunsidra l-baġit jew il-volum tal-iskema.</w:t>
      </w:r>
      <w:r>
        <w:t xml:space="preserve"> </w:t>
      </w:r>
      <w:r>
        <w:t xml:space="preserve">Fejn rilevanti, jekk jogħġbok irreferi għall-evidenza pprovduta bi tweġibiet għall-mistoqsija 14.</w:t>
      </w:r>
    </w:p>
    <w:p w14:paraId="59D03D9D" w14:textId="77777777" w:rsidR="005679B2" w:rsidRPr="00B751E1" w:rsidRDefault="005679B2" w:rsidP="00B751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4D8842E" w14:textId="77777777" w:rsidR="005679B2" w:rsidRPr="00B35F1C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Ipprovdi informazzjoni dwar l-għadd ta’ sessjonijiet ta’ offerti previsti u l-għadd mistenni ta’ offerenti fl-ewwel ċiklu u matul iż-żmien.</w:t>
      </w:r>
    </w:p>
    <w:p w14:paraId="2153B1E1" w14:textId="77777777" w:rsidR="005679B2" w:rsidRPr="00B751E1" w:rsidRDefault="005679B2" w:rsidP="00B751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2DBBE0F" w14:textId="372CE55F" w:rsidR="005679B2" w:rsidRPr="00B35F1C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Fil-każ ta’ proċess wieħed jew aktar ta’ offerti sottosottoskritti, spjega kif id-disinn tal-proċessi tal-offerti se jiġi kkoreġut matul l-implimentazzjoni tal-iskema sabiex terġa’ tinkiseb kompetizzjoni effettiva, u meta (il-punt 49(c) tas-CEEAG).</w:t>
      </w:r>
      <w:r>
        <w:t xml:space="preserve"> </w:t>
      </w:r>
    </w:p>
    <w:p w14:paraId="63171D90" w14:textId="77777777" w:rsidR="005679B2" w:rsidRPr="00B35F1C" w:rsidRDefault="005679B2" w:rsidP="00B751E1">
      <w:pPr>
        <w:tabs>
          <w:tab w:val="left" w:leader="dot" w:pos="9072"/>
        </w:tabs>
        <w:spacing w:before="120" w:after="120"/>
        <w:ind w:left="1080"/>
        <w:jc w:val="both"/>
      </w:pPr>
      <w:r>
        <w:rPr>
          <w:color w:val="000000"/>
        </w:rPr>
        <w:tab/>
      </w:r>
    </w:p>
    <w:p w14:paraId="08D60E88" w14:textId="77777777" w:rsidR="005679B2" w:rsidRPr="009D65D3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Ikkonferma li aġġustamenti </w:t>
      </w:r>
      <w:r>
        <w:rPr>
          <w:i/>
        </w:rPr>
        <w:t xml:space="preserve">ex post</w:t>
      </w:r>
      <w:r>
        <w:t xml:space="preserve"> għall-eżitu tal-proċess tal-offerti (bħal negozjati sussegwenti dwar ir-riżultati tal-offerti jew ir-razzjonar) huma evitati (il-punt 49(d) tas-CEEAG).</w:t>
      </w:r>
    </w:p>
    <w:p w14:paraId="16F83C7E" w14:textId="77777777" w:rsidR="005679B2" w:rsidRPr="00B751E1" w:rsidRDefault="005679B2" w:rsidP="00B751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C357362" w14:textId="0A1DD5B0" w:rsidR="005679B2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F’każ li jkun hemm possibbiltà ta’ “</w:t>
      </w:r>
      <w:r>
        <w:rPr>
          <w:i/>
        </w:rPr>
        <w:t xml:space="preserve">offerti mingħajr sussidju</w:t>
      </w:r>
      <w:r>
        <w:t xml:space="preserve">”, jekk jogħġbok spjega kif se tiġi żgurata l-proporzjonalità (jekk jogħġbok ara l-punt 49, in-nota 42 f’qiegħ il-paġna, tas-CEEAG).</w:t>
      </w:r>
      <w:r>
        <w:t xml:space="preserve"> </w:t>
      </w:r>
    </w:p>
    <w:p w14:paraId="399846A0" w14:textId="77777777" w:rsidR="005679B2" w:rsidRPr="00B751E1" w:rsidRDefault="005679B2" w:rsidP="00B751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1DA41AB" w14:textId="77777777" w:rsidR="005679B2" w:rsidRPr="009D65D3" w:rsidRDefault="005679B2" w:rsidP="00BC0346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Iċċara jekk l-awtoritajiet jipprevedux l-użu ta’ livelli minimi tal-prezzijiet jew limiti massimi fil-proċess kompetittiv tal-offerti.</w:t>
      </w:r>
      <w:r>
        <w:t xml:space="preserve"> </w:t>
      </w:r>
      <w:r>
        <w:t xml:space="preserve">Jekk iva, iġġustifika l-użu tagħhom u spjega kif dawn ma jillimitawx il-proċess kompetittiv tal-offerti (il-punt 49 u n-nota 42 f’qiegħ il-paġna tas-CEEAG).</w:t>
      </w:r>
      <w:r>
        <w:t xml:space="preserve"> </w:t>
      </w:r>
    </w:p>
    <w:p w14:paraId="4D15F2EB" w14:textId="77777777" w:rsidR="005679B2" w:rsidRPr="00B751E1" w:rsidRDefault="005679B2" w:rsidP="00B751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CEF8F72" w14:textId="77777777" w:rsidR="00B21377" w:rsidRPr="00863406" w:rsidRDefault="00B21377" w:rsidP="00B21377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77B01380" w:rsidR="00B21377" w:rsidRPr="00FC6878" w:rsidRDefault="00B21377" w:rsidP="00BC0346">
            <w:pPr>
              <w:pStyle w:val="Heading1"/>
              <w:numPr>
                <w:ilvl w:val="2"/>
                <w:numId w:val="36"/>
              </w:numPr>
              <w:ind w:left="788" w:right="-28" w:hanging="357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Kumulazzjoni</w:t>
            </w:r>
          </w:p>
        </w:tc>
      </w:tr>
    </w:tbl>
    <w:p w14:paraId="2346A85D" w14:textId="3D60C926" w:rsidR="00B21377" w:rsidRPr="002A3B51" w:rsidRDefault="00B21377" w:rsidP="00211CE3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 xml:space="preserve">Biex tipprovdi l-informazzjoni f'din it-taqsima, irreferi għall-punti 56-57 tas-CEEAG.</w:t>
      </w:r>
    </w:p>
    <w:p w14:paraId="4BD90E1E" w14:textId="77777777" w:rsidR="004345D1" w:rsidRPr="002A3B51" w:rsidRDefault="004345D1" w:rsidP="00211C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 fejn mhux diġà pprovdut fil-Parti I tal-formola ta’ notifika ġenerali u sabiex tiġi vverifikata l-konformità mal-punt 56 tas-CEEAG, iċċara jekk l-għajnuna taħt il-miżura/i nnotifikata/i tistax tingħata fl-istess ħin taħt diversi skemi ta’ għajnuna jew akkumulata ma’ għajnuna ad hoc jew </w:t>
      </w:r>
      <w:r>
        <w:rPr>
          <w:i/>
        </w:rPr>
        <w:t xml:space="preserve">de minimis</w:t>
      </w:r>
      <w:r>
        <w:t xml:space="preserve"> fir-rigward tal-istess kostijiet eliġibbli.</w:t>
      </w:r>
      <w:r>
        <w:t xml:space="preserve"> </w:t>
      </w:r>
      <w:r>
        <w:t xml:space="preserve">Jekk dan huwa l-każ, ipprovdi dettalji dwar dawk l-iskemi ta’ għajnuna, għajnuna ad hoc jew għajnuna </w:t>
      </w:r>
      <w:r>
        <w:rPr>
          <w:i/>
        </w:rPr>
        <w:t xml:space="preserve">de minimis</w:t>
      </w:r>
      <w:r>
        <w:t xml:space="preserve"> u kif l-għajnuna se tiġi akkumulata.</w:t>
      </w:r>
      <w:r>
        <w:t xml:space="preserve"> </w:t>
      </w:r>
    </w:p>
    <w:p w14:paraId="60FF606D" w14:textId="77777777" w:rsidR="004345D1" w:rsidRPr="002A3B51" w:rsidRDefault="004345D1" w:rsidP="004345D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231309" w14:textId="0E087B8C" w:rsidR="004345D1" w:rsidRPr="00EE2D70" w:rsidRDefault="004345D1" w:rsidP="00211C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il-punt 56 tas-CEEAG huwa applikabbli, iġġustifika kif l-ammont totali ta’ għajnuna mogħtija skont il-miżura/i notifikata/i għal proġett jew attività ma jwassalx għal kumpens żejjed jew jaqbeż l-ammont massimu ta’ għajnuna permess skont it-Taqsima 4.2.4.2. tas-CEEAG.</w:t>
      </w:r>
      <w:r>
        <w:t xml:space="preserve"> </w:t>
      </w:r>
      <w:r>
        <w:t xml:space="preserve">Għal kull miżura li l-għajnuna mogħtija skont il-miżura/i ta’ għajnuna notifikata tista’ tiġi akkumulata magħha, jekk jogħġbok speċifika l-metodu użat biex tiġi żgurata l-konformità mal-kundizzjonijiet stabbiliti fil-punt 56 tas-CEEAG.</w:t>
      </w:r>
    </w:p>
    <w:p w14:paraId="1C9E0727" w14:textId="77777777" w:rsidR="004345D1" w:rsidRPr="00EE2D70" w:rsidRDefault="004345D1" w:rsidP="004345D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5368F" w14:textId="77777777" w:rsidR="004345D1" w:rsidRPr="00EE2D70" w:rsidRDefault="004345D1" w:rsidP="00211CE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 li l-punt 57 tas-CEEAG huwa applikabbli, jiġifieri l-għajnuna mogħtija skont il-miżura/i nnotifikata/i hija kkombinata ma’ finanzjament tal-Unjoni ġestit ċentralment</w:t>
      </w:r>
      <w:r>
        <w:rPr>
          <w:rStyle w:val="FootnoteReference"/>
          <w:lang w:eastAsia="en-GB"/>
        </w:rPr>
        <w:footnoteReference w:id="14"/>
      </w:r>
      <w:r>
        <w:t xml:space="preserve"> (li ma jikkostitwixxix għajnuna mill-Istat), iġġustifika kif </w:t>
      </w:r>
      <w:r>
        <w:rPr>
          <w:shd w:val="clear" w:color="auto" w:fill="FFFFFF"/>
        </w:rPr>
        <w:t xml:space="preserve">l-ammont totali ta’ finanzjament pubbliku mogħti fir-rigward tal-istess kostijiet eliġibbli ma jwassalx għal kumpens żejjed.</w:t>
      </w:r>
      <w:r>
        <w:t xml:space="preserve"> </w:t>
      </w:r>
    </w:p>
    <w:p w14:paraId="1739D1B0" w14:textId="3ED99BC6" w:rsidR="0001211F" w:rsidRDefault="004345D1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 xml:space="preserve"> </w:t>
      </w:r>
    </w:p>
    <w:p w14:paraId="0530B14F" w14:textId="77777777" w:rsidR="00A8335C" w:rsidRPr="00EE2D70" w:rsidRDefault="00A8335C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070D3230" w:rsidR="006773CE" w:rsidRPr="00863406" w:rsidRDefault="000B64EA" w:rsidP="0030792B">
            <w:pPr>
              <w:pStyle w:val="Heading1"/>
              <w:ind w:left="788" w:right="-28" w:hanging="357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2.1.5.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Trasparenza</w:t>
            </w:r>
          </w:p>
        </w:tc>
      </w:tr>
    </w:tbl>
    <w:p w14:paraId="07229A8F" w14:textId="028CA7B4" w:rsidR="006773CE" w:rsidRPr="007C0A44" w:rsidRDefault="006773CE" w:rsidP="00707E7C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3.2.1.4 (punti 58-62) tas-CEEAG.</w:t>
      </w:r>
      <w:r>
        <w:rPr>
          <w:i/>
        </w:rPr>
        <w:t xml:space="preserve"> </w:t>
      </w:r>
    </w:p>
    <w:p w14:paraId="5BEF3648" w14:textId="77777777" w:rsidR="00573A4B" w:rsidRPr="0000648C" w:rsidRDefault="00573A4B" w:rsidP="0038016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  <w:rFonts w:eastAsia="Times New Roman"/>
        </w:rPr>
      </w:pPr>
      <w:r>
        <w:t xml:space="preserve">Ikkonferma li l-Istat Membru se jikkonforma mar-rekwiżiti dwar it-trasparenza previsti fil-punti 58-61 tas-CEEAG.</w:t>
      </w:r>
      <w:r>
        <w:t xml:space="preserve"> </w:t>
      </w:r>
    </w:p>
    <w:p w14:paraId="0302618B" w14:textId="77777777" w:rsidR="00573A4B" w:rsidRPr="00AB745F" w:rsidRDefault="00573A4B" w:rsidP="00573A4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D64CEDE" w14:textId="03627102" w:rsidR="00573A4B" w:rsidRPr="00AB745F" w:rsidRDefault="00573A4B" w:rsidP="0038016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ipprovdi l-link tal-internet fejn se jiġi ppubblikat it-test sħiħ tal-iskema ta’ għajnuna approvata jew tad-deċiżjoni dwar l-għoti tal-għajnuna individwali u d-dispożizzjonijiet ta’ implimentazzjoni tagħha u informazzjoni dwar kull għotja ta’ għajnuna individwali mogħtija ad hoc jew taħt skema ta’ għajnuna approvata fuq il-bażi tas-CEEAG u li taqbeż l-EUR 100 000.</w:t>
      </w:r>
      <w:r>
        <w:t xml:space="preserve"> </w:t>
      </w:r>
    </w:p>
    <w:p w14:paraId="14FE0B14" w14:textId="232D975F" w:rsidR="007C0A44" w:rsidRDefault="00573A4B" w:rsidP="0038016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1AF950" w14:textId="77777777" w:rsidR="0038016C" w:rsidRPr="0038016C" w:rsidRDefault="0038016C" w:rsidP="0038016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>
        <w:tc>
          <w:tcPr>
            <w:tcW w:w="9322" w:type="dxa"/>
            <w:shd w:val="clear" w:color="auto" w:fill="D9D9D9"/>
          </w:tcPr>
          <w:p w14:paraId="6D3C4956" w14:textId="443DDD78" w:rsidR="008D37F9" w:rsidRPr="00164ADE" w:rsidRDefault="000B64EA" w:rsidP="0038016C">
            <w:pPr>
              <w:pStyle w:val="Heading1"/>
              <w:ind w:left="788" w:right="-28" w:hanging="357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2.2.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L-evitar ta’ effetti negattivi bla bżonn ta’ l-għajnuna fuq il-kompetizzjoni u l-kummerċ u l-ibbilanċjar</w:t>
            </w:r>
          </w:p>
        </w:tc>
      </w:tr>
    </w:tbl>
    <w:p w14:paraId="6CD3884F" w14:textId="56A9CDD5" w:rsidR="00F83660" w:rsidRPr="00B215FD" w:rsidRDefault="00F83660" w:rsidP="0038016C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3.2.2 (punti 63-70) u t-taqsima 4.2.4.3 (punti 154-157) tas-CEEAG.</w:t>
      </w:r>
      <w:r>
        <w:rPr>
          <w:i/>
        </w:rPr>
        <w:t xml:space="preserve"> </w:t>
      </w:r>
    </w:p>
    <w:p w14:paraId="0A211E3D" w14:textId="3FE6DAAA" w:rsidR="00F83660" w:rsidRPr="00B215FD" w:rsidRDefault="00F83660" w:rsidP="0038016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67 tas-CEEAG, ipprovdi informazzjoni dwar l-effetti negattivi possibbli fuq terminu qasir u twil tal-miżura/i notifikata/i fuq il-kompetizzjoni u l-kummerċ.</w:t>
      </w:r>
      <w:r>
        <w:t xml:space="preserve"> </w:t>
      </w:r>
    </w:p>
    <w:p w14:paraId="3391AE0D" w14:textId="77777777" w:rsidR="00F83660" w:rsidRPr="00B215FD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62AD860" w14:textId="77777777" w:rsidR="00BC72E3" w:rsidRPr="00E752D3" w:rsidRDefault="00BC72E3" w:rsidP="00FF0CD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Spjega jekk il-miżura taqax taħt xi waħda mis-sitwazzjonijiet li ġejjin:</w:t>
      </w:r>
      <w:r>
        <w:t xml:space="preserve"> </w:t>
      </w:r>
    </w:p>
    <w:p w14:paraId="44BBD0E3" w14:textId="77777777" w:rsidR="00BC72E3" w:rsidRPr="00E752D3" w:rsidRDefault="00BC72E3" w:rsidP="00BC0346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Tikkonċerna suq (jew swieq) fejn l-operaturi stabbiliti kisbu saħħa fis-suq qabel il-liberalizzazzjoni tas-suq;</w:t>
      </w:r>
    </w:p>
    <w:p w14:paraId="74497186" w14:textId="77777777" w:rsidR="00BC72E3" w:rsidRPr="00E752D3" w:rsidRDefault="00BC72E3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0951272" w14:textId="4BD2AAF2" w:rsidR="00BC72E3" w:rsidRPr="00E752D3" w:rsidRDefault="00BC72E3" w:rsidP="00BC0346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Tinvolvi proċessi kompetittivi ta’ offerti f’suq (swieq) emerġenti, meta jkun hemm attur b’pożizzjoni b’saħħitha fis-suq;</w:t>
      </w:r>
    </w:p>
    <w:p w14:paraId="31F1877E" w14:textId="77777777" w:rsidR="00BC72E3" w:rsidRPr="00E752D3" w:rsidRDefault="00BC72E3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19E7ABB7" w14:textId="77777777" w:rsidR="00BC72E3" w:rsidRPr="00E752D3" w:rsidRDefault="00BC72E3" w:rsidP="00BC0346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Dan se jkun ta’ benefiċċju biss għal benefiċjarju wieħed jew għal għadd partikolarment limitat ta’ benefiċjarji.</w:t>
      </w:r>
    </w:p>
    <w:p w14:paraId="43B690C3" w14:textId="08AA7AC9" w:rsidR="009212E9" w:rsidRDefault="00BC72E3" w:rsidP="009212E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ta’ għajnuna tiffoka fuq għażla/perkors teknoloġika/u speċifika/ku, iġġustifika r-raġuni għall-għażla teknoloġika u li mhux se tiskoraġġixxi l-użu ta’ teknoloġiji aktar nodfa.</w:t>
      </w:r>
      <w:r>
        <w:t xml:space="preserve"> </w:t>
      </w:r>
    </w:p>
    <w:p w14:paraId="425A096A" w14:textId="0168E344" w:rsidR="009212E9" w:rsidRPr="00E752D3" w:rsidRDefault="009212E9" w:rsidP="009212E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CF02C9" w14:textId="325EEDC9" w:rsidR="00F83660" w:rsidRPr="00B215FD" w:rsidRDefault="00BD4D89" w:rsidP="00722DE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il-miżura/i notifikata/i tibbenefika/jibbenefikaw biss minn benefiċjarju wieħed jew minn għadd partikolarment limitat ta’ benefiċjarji, sabiex tiġi vverifikata l-konformità mal-punt 68 tas-CEEAG:</w:t>
      </w:r>
    </w:p>
    <w:p w14:paraId="4E1C5F60" w14:textId="2612C1BB" w:rsidR="006B1971" w:rsidRPr="00722DE1" w:rsidRDefault="00722DE1" w:rsidP="00BC034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Spjega jekk il-miżura/i nnotifikata/i ssaħħaħx jew iżżommx is-saħħa fis-suq tal-benefiċjarju/i jew tiskoraġġixxix l-espansjoni tal-kompetituri eżistenti jew twassalx għall-ħruġ tagħhom jew tiskoraġġixxi d-dħul ta’ kompetituri ġodda.</w:t>
      </w:r>
      <w:r>
        <w:t xml:space="preserve"> </w:t>
      </w:r>
      <w:r>
        <w:t xml:space="preserve">F’dan ir-rigward spjega wkoll jekk il-miżura ta’ għajnuna twassalx għal żieda fil-kapaċità tal-produzzjoni tal-benefiċjarju.</w:t>
      </w:r>
    </w:p>
    <w:p w14:paraId="3183C9D5" w14:textId="77777777" w:rsidR="006B1971" w:rsidRPr="00722DE1" w:rsidRDefault="006B1971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7E2AFB2" w14:textId="77777777" w:rsidR="006B1971" w:rsidRPr="00B215FD" w:rsidRDefault="006B1971" w:rsidP="00BC034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Iddeskrivi l-miżura/i stabbilita/i biex tillimita d-distorsjoni potenzjali tal-kompetizzjoni kkawżata mill-għoti tal-għajnuna lill-benefiċjarju/i.</w:t>
      </w:r>
      <w:r>
        <w:t xml:space="preserve"> </w:t>
      </w:r>
    </w:p>
    <w:p w14:paraId="3E7B05CC" w14:textId="77777777" w:rsidR="006B1971" w:rsidRPr="00722DE1" w:rsidRDefault="006B1971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7EA03E9A" w14:textId="76EB4487" w:rsidR="00F83660" w:rsidRPr="009E0FCA" w:rsidRDefault="00F83660" w:rsidP="00722DE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69 tas-CEEAG, spjega:</w:t>
      </w:r>
    </w:p>
    <w:p w14:paraId="55298360" w14:textId="77777777" w:rsidR="00E62DD7" w:rsidRDefault="00E62DD7" w:rsidP="00BC0346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Jekk l-għajnuna mogħtija skont il-miżura/i notifikata/i għandha l-għan li tippreserva l-attività ekonomika f’reġjun wieħed jew tiġbed lejha lil hinn minn reġjuni oħra fis-suq intern.</w:t>
      </w:r>
      <w:r>
        <w:t xml:space="preserve"> </w:t>
      </w:r>
    </w:p>
    <w:p w14:paraId="34A1D43D" w14:textId="77777777" w:rsidR="00E62DD7" w:rsidRPr="00722DE1" w:rsidRDefault="00E62DD7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3F58043F" w14:textId="6F5F5D14" w:rsidR="00E62DD7" w:rsidRPr="009E0FCA" w:rsidRDefault="00E62DD7" w:rsidP="00BC0346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Jekk iva, speċifika liema huwa l-effett ambjentali nett tal-miżura/i notifikata/i u kif il-miżura/i notifikata/i ttejjeb il-livell eżistenti ta’ protezzjoni ambjentali fl-Istati Membri.</w:t>
      </w:r>
    </w:p>
    <w:p w14:paraId="2EA7C7CB" w14:textId="77777777" w:rsidR="00E62DD7" w:rsidRPr="00722DE1" w:rsidRDefault="00E62DD7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75A88797" w14:textId="77777777" w:rsidR="00E62DD7" w:rsidRPr="001D7B55" w:rsidRDefault="00E62DD7" w:rsidP="00BC0346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Kif l-għajnuna mogħtija taħt il-miżura/i notifikata/i ma tirriżultax f’effetti manifestament negattivi fuq il-kompetizzjoni u l-kummerċ.</w:t>
      </w:r>
      <w:r>
        <w:t xml:space="preserve"> </w:t>
      </w:r>
    </w:p>
    <w:p w14:paraId="5D66ABAF" w14:textId="77777777" w:rsidR="00E62DD7" w:rsidRPr="00722DE1" w:rsidRDefault="00E62DD7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6D52DEB" w14:textId="77777777" w:rsidR="00E62DD7" w:rsidRPr="00E752D3" w:rsidRDefault="00E62DD7" w:rsidP="00BC0346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F’każ ta’ għajnuna individwali, il-fatturi ewlenin tal-għażla tal-post għall-investimenti mill-benefiċjarju.</w:t>
      </w:r>
    </w:p>
    <w:p w14:paraId="2310FA4D" w14:textId="77777777" w:rsidR="00F83660" w:rsidRPr="00722DE1" w:rsidRDefault="00F83660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5D5F17EA" w14:textId="77777777" w:rsidR="00F83660" w:rsidRPr="001D7B55" w:rsidRDefault="00F83660" w:rsidP="00722DE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70 tas-CEEAG:</w:t>
      </w:r>
    </w:p>
    <w:p w14:paraId="70793CBE" w14:textId="77777777" w:rsidR="00F563A2" w:rsidRPr="00AC286A" w:rsidRDefault="00F563A2" w:rsidP="00BC0346">
      <w:pPr>
        <w:pStyle w:val="ListParagraph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Ikkonferma li l-għajnuna tista’ tingħata taħt l-iskema notifikata għal perjodu massimu ta’ 10 snin mid-data tan-notifika tad-deċiżjoni tal-Kummissjoni li tiddikjara l-għajnuna kompatibbli.</w:t>
      </w:r>
      <w:r>
        <w:t xml:space="preserve">  </w:t>
      </w:r>
    </w:p>
    <w:p w14:paraId="761C2FF1" w14:textId="77777777" w:rsidR="00F563A2" w:rsidRPr="00722DE1" w:rsidRDefault="00F563A2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3268388C" w14:textId="77777777" w:rsidR="00F563A2" w:rsidRPr="00AC286A" w:rsidRDefault="00F563A2" w:rsidP="00BC0346">
      <w:pPr>
        <w:pStyle w:val="ListParagraph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Ikkonferma li, jekk l-awtoritajiet tiegħek jixtiequ jestendu t-tul ta’ żmien tal-iskema lil hinn minn dak il-perjodu massimu, huma se jirrinotifikaw il-miżura.</w:t>
      </w:r>
      <w:r>
        <w:t xml:space="preserve"> </w:t>
      </w:r>
    </w:p>
    <w:p w14:paraId="77064147" w14:textId="77777777" w:rsidR="00F83660" w:rsidRPr="00722DE1" w:rsidRDefault="00F83660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0D3E49C5" w14:textId="0CE37CAC" w:rsidR="00F83660" w:rsidRPr="00722DE1" w:rsidRDefault="00344211" w:rsidP="00722DE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l-għajnuna tingħata fil-forma ta’ dotazzjoni, ekwità, garanzija jew self lil fond għall-effiċjenza enerġetika jew fond tal-enerġija rinnovabbli jew intermedjarju finanzjarju ieħor, sabiex tiġi vverifikata l-konformità mal-punt 157 tas-CEEAG:</w:t>
      </w:r>
    </w:p>
    <w:p w14:paraId="04EC5970" w14:textId="36680F60" w:rsidR="00344211" w:rsidRPr="009E0FCA" w:rsidRDefault="00344211" w:rsidP="00BC0346">
      <w:pPr>
        <w:pStyle w:val="ListParagraph"/>
        <w:numPr>
          <w:ilvl w:val="0"/>
          <w:numId w:val="41"/>
        </w:numPr>
        <w:spacing w:before="120" w:after="120"/>
        <w:contextualSpacing w:val="0"/>
        <w:jc w:val="both"/>
      </w:pPr>
      <w:r>
        <w:t xml:space="preserve">uri li l-intermedjarji finanzjarji jew il-maniġers tal-fondi se jintgħażlu permezz ta' proċess miftuħ, trasparenti u mhux diskriminatorju li jsir skont il-liġijiet applikabbli tal-Unjoni u nazzjonali;</w:t>
      </w:r>
    </w:p>
    <w:p w14:paraId="7A2FDB46" w14:textId="25262C08" w:rsidR="00344211" w:rsidRPr="00722DE1" w:rsidRDefault="00344211" w:rsidP="00722DE1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00340101" w14:textId="4E3CA68D" w:rsidR="00344211" w:rsidRPr="00AD5646" w:rsidRDefault="00344211" w:rsidP="00BC0346">
      <w:pPr>
        <w:pStyle w:val="ListParagraph"/>
        <w:numPr>
          <w:ilvl w:val="0"/>
          <w:numId w:val="41"/>
        </w:numPr>
        <w:spacing w:before="120" w:after="120"/>
        <w:contextualSpacing w:val="0"/>
        <w:jc w:val="both"/>
      </w:pPr>
      <w:r>
        <w:t xml:space="preserve">Uri li hemm kundizzjonijiet fis-seħħ biex jiżguraw li l-intermedjarji finanzjarji, inklużi l-fondi għall-effiċjenza enerġetika jew il-fondi għall-enerġija rinnovabbli, jiġu ġestiti fuq bażi kummerċjali u se jiżguraw deċiżjonijiet ta’ finanzjament immexxija mill-profitt;</w:t>
      </w:r>
      <w:r>
        <w:t xml:space="preserve"> </w:t>
      </w:r>
    </w:p>
    <w:p w14:paraId="6619FD31" w14:textId="77777777" w:rsidR="00344211" w:rsidRPr="00AD5646" w:rsidRDefault="00344211" w:rsidP="00AD56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8F922F0" w14:textId="4965C592" w:rsidR="00344211" w:rsidRPr="00AD5646" w:rsidRDefault="00B753D4" w:rsidP="00BC0346">
      <w:pPr>
        <w:pStyle w:val="ListParagraph"/>
        <w:numPr>
          <w:ilvl w:val="0"/>
          <w:numId w:val="41"/>
        </w:numPr>
        <w:spacing w:before="120" w:after="120"/>
        <w:contextualSpacing w:val="0"/>
        <w:jc w:val="both"/>
      </w:pPr>
      <w:r>
        <w:t xml:space="preserve">l-amministraturi tal-fond għall-effiċjenza fl-enerġija jew tal-fond għall-enerġija rinnovabbli jew intermedjarju finanzjarju ieħor jgħaddu l-vantaġġ kemm jista’ jkun lill-benefiċjarji finali (is-sid/ien) jew l-inkwilin/i tal-bini), fil-forma ta’ volumi ogħla ta’ finanzjament, rekwiżiti ta’ kollateral aktar baxxi, primjums ta’ garanzija aktar baxxi jew rati tal-imgħax aktar baxxi.</w:t>
      </w:r>
      <w:r>
        <w:t xml:space="preserve"> </w:t>
      </w:r>
    </w:p>
    <w:p w14:paraId="68D96680" w14:textId="77777777" w:rsidR="00344211" w:rsidRDefault="00344211" w:rsidP="00AD56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6E0940DA" w14:textId="77777777" w:rsidR="00B15852" w:rsidRPr="00AD5646" w:rsidRDefault="00B15852" w:rsidP="00AD56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30392405" w14:textId="77777777" w:rsidTr="00504F2E">
        <w:tc>
          <w:tcPr>
            <w:tcW w:w="9322" w:type="dxa"/>
            <w:shd w:val="pct15" w:color="auto" w:fill="auto"/>
          </w:tcPr>
          <w:p w14:paraId="4A3A0E08" w14:textId="359FFA22" w:rsidR="0096537D" w:rsidRPr="00AA7DB4" w:rsidRDefault="00904DED" w:rsidP="00AD5646">
            <w:pPr>
              <w:pStyle w:val="Heading1"/>
              <w:ind w:left="788" w:right="-28" w:hanging="357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3.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L-ippeżar tal-effetti pożittivi tal-għajnuna kontra l-effetti negattivi fuq il-kompetizzjoni u l-kummerċ</w:t>
            </w:r>
          </w:p>
        </w:tc>
      </w:tr>
    </w:tbl>
    <w:p w14:paraId="2BA426DC" w14:textId="3A9BC05F" w:rsidR="00265702" w:rsidRPr="00863406" w:rsidRDefault="00265702" w:rsidP="00AD5646">
      <w:pPr>
        <w:spacing w:before="120" w:after="120"/>
        <w:jc w:val="both"/>
        <w:rPr>
          <w:i/>
          <w:color w:val="000000"/>
        </w:rPr>
      </w:pPr>
      <w:r>
        <w:rPr>
          <w:i/>
        </w:rPr>
        <w:t xml:space="preserve">Biex tipprovdi l-informazzjoni f’din it-taqsima, irreferi għat-Taqsima 3.3 (il-punti 71-76) tal-Linji Gwida.</w:t>
      </w:r>
      <w:r>
        <w:rPr>
          <w:i/>
          <w:color w:val="000000"/>
        </w:rPr>
        <w:t xml:space="preserve"> </w:t>
      </w:r>
    </w:p>
    <w:p w14:paraId="6C071D22" w14:textId="12B764BB" w:rsidR="001A0689" w:rsidRPr="00564B1B" w:rsidRDefault="001A0689" w:rsidP="00BC0346">
      <w:pPr>
        <w:pStyle w:val="ListParagraph"/>
        <w:numPr>
          <w:ilvl w:val="0"/>
          <w:numId w:val="42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72 tas-CEEAG, spjega jekk l-attivitajiet appoġġati skont il-miżura/i notifikata/i jissodisfawx il-kriterji għal attivitajiet ekonomiċi ambjentalment sostenibbli</w:t>
      </w:r>
      <w:r>
        <w:rPr>
          <w:shd w:val="clear" w:color="auto" w:fill="FFFFFF"/>
        </w:rPr>
        <w:t xml:space="preserve"> previsti </w:t>
      </w:r>
      <w:r>
        <w:t xml:space="preserve">fl-Artikolu 3 tar-Regolament (UE) 2020/852 tal-Parlament Ewropew u tal-Kunsill</w:t>
      </w:r>
      <w:r w:rsidRPr="008772CC">
        <w:rPr>
          <w:rStyle w:val="FootnoteReference"/>
          <w:lang w:eastAsia="en-GB"/>
        </w:rPr>
        <w:footnoteReference w:id="15"/>
      </w:r>
      <w:r>
        <w:t xml:space="preserve">,</w:t>
      </w:r>
      <w:r>
        <w:rPr>
          <w:shd w:val="clear" w:color="auto" w:fill="FFFFFF"/>
        </w:rPr>
        <w:t xml:space="preserve"> inkluż il-prinċipju “la tagħmilx ħsara sinifikanti”, jew metodoloġiji komparabbli oħra.</w:t>
      </w:r>
    </w:p>
    <w:p w14:paraId="7A16EB41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895DC02" w14:textId="1DB2B304" w:rsidR="000B260D" w:rsidRPr="00AC1973" w:rsidRDefault="004C67CC" w:rsidP="00BC0346">
      <w:pPr>
        <w:pStyle w:val="ListParagraph"/>
        <w:numPr>
          <w:ilvl w:val="0"/>
          <w:numId w:val="42"/>
        </w:numPr>
        <w:spacing w:before="120" w:after="120"/>
        <w:ind w:left="567" w:hanging="567"/>
        <w:contextualSpacing w:val="0"/>
        <w:jc w:val="both"/>
      </w:pPr>
      <w:r>
        <w:t xml:space="preserve">(Fil-każ ta’ proċess kompetittiv ta’ offerti) spjega jekk il-miżura/i notifikata/i tinkludix/jinkludux karatteristiċi li jiffaċilitaw il-parteċipazzjoni tal-SMEs fi proċessi kompetittivi ta’ offerti.</w:t>
      </w:r>
      <w:r>
        <w:t xml:space="preserve"> </w:t>
      </w:r>
      <w:r>
        <w:t xml:space="preserve">Fl-affermattiv, jekk jogħġbok ipprovdi informazzjoni dwar dawk il-karatteristiki u ġġustifika kif l-effetti pożittivi tal-iżgurar tal-parteċipazzjoni tal-SMEs fil-miżura/i notifikata/i jegħlbu l-effetti distorsivi possibbli.</w:t>
      </w:r>
    </w:p>
    <w:p w14:paraId="08262B4C" w14:textId="77777777" w:rsidR="000B260D" w:rsidRPr="00AC1973" w:rsidRDefault="000B260D" w:rsidP="000B260D">
      <w:pPr>
        <w:tabs>
          <w:tab w:val="left" w:leader="dot" w:pos="9072"/>
        </w:tabs>
        <w:spacing w:before="120" w:after="120"/>
        <w:ind w:left="567"/>
        <w:jc w:val="both"/>
      </w:pPr>
      <w:bookmarkStart w:id="14" w:name="_Hlk165969741"/>
      <w:r>
        <w:tab/>
      </w:r>
    </w:p>
    <w:bookmarkEnd w:id="14"/>
    <w:p w14:paraId="14E6F4A2" w14:textId="4914705C" w:rsidR="00976A75" w:rsidRDefault="004B2EF3" w:rsidP="00BC0346">
      <w:pPr>
        <w:pStyle w:val="ListParagraph"/>
        <w:numPr>
          <w:ilvl w:val="0"/>
          <w:numId w:val="42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mal-punti 74 u 155-156 tas-CEEAG:</w:t>
      </w:r>
    </w:p>
    <w:p w14:paraId="63C203A5" w14:textId="5E6F0AA2" w:rsidR="00976A75" w:rsidRDefault="00976A75" w:rsidP="00BC0346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Iċċara jekk l-investimenti f’tagħmir li juża l-gass naturali humiex eliġibbli għall-għajnuna skont il-miżura/i notifikata/i.</w:t>
      </w:r>
      <w:r>
        <w:t xml:space="preserve"> </w:t>
      </w:r>
      <w:r>
        <w:t xml:space="preserve">Jekk iva, uri li l-għajnuna mhux se tisposta l-investimenti f’alternattivi aktar nodfa li diġà huma disponibbli fis-suq jew li jissakkru f’ċerti teknoloġiji.</w:t>
      </w:r>
      <w:r>
        <w:t xml:space="preserve"> </w:t>
      </w:r>
      <w:r>
        <w:t xml:space="preserve">Spjega wkoll jekk it-tagħmir li juża l-gass naturali jissostitwix it-tagħmir tal-enerġija li juża l-aktar fjuwils fossili li jniġġsu bħaż-żejt u l-faħam.</w:t>
      </w:r>
    </w:p>
    <w:p w14:paraId="56E960B4" w14:textId="77777777" w:rsidR="005C68A3" w:rsidRPr="00AD5646" w:rsidRDefault="005C68A3" w:rsidP="00AD56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616E2283" w14:textId="09C211A7" w:rsidR="00976A75" w:rsidRDefault="00976A75" w:rsidP="00BC0346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Ikkonferma li l-investimenti f’tagħmir li juża fjuwils fossili li jniġġsu bħaż-żejt u l-faħam mhumiex eliġibbli għall-għajnuna skont il-miżura/i notifikata/i.</w:t>
      </w:r>
      <w:r>
        <w:t xml:space="preserve"> </w:t>
      </w:r>
      <w:r>
        <w:t xml:space="preserve">Innota li l-għajnuna għall-installazzjoni ta’ tagħmir li juża fjuwils fossili bħaż-żejt u l-faħam hija meqjusa li għandha effetti negattivi fuq il-kompetizzjoni minħabba l-emissjonijiet akbar tal-karbonju marbuta mal-użu tal-fjuwils fossili, ir-riskju sinifikanti ta’ mblukkar fit-teknoloġiji tal-fjuwils fossili u l-ispostament tal-investimenti f’alternattivi aktar nodfa u aktar innovattivi disponibbli fis-suq.</w:t>
      </w:r>
      <w:r>
        <w:t xml:space="preserve"> </w:t>
      </w:r>
    </w:p>
    <w:p w14:paraId="29D8F6FD" w14:textId="77777777" w:rsidR="004B2EF3" w:rsidRPr="00AD5646" w:rsidRDefault="004B2EF3" w:rsidP="00AD56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bookmarkStart w:id="15" w:name="_Hlk165969860"/>
      <w:r>
        <w:rPr>
          <w:color w:val="000000"/>
        </w:rPr>
        <w:tab/>
      </w:r>
    </w:p>
    <w:bookmarkEnd w:id="15"/>
    <w:p w14:paraId="10688268" w14:textId="77777777" w:rsidR="00C33721" w:rsidRPr="00681731" w:rsidRDefault="00C33721" w:rsidP="00C33721">
      <w:pPr>
        <w:ind w:left="-567" w:firstLine="1412"/>
        <w:rPr>
          <w:iCs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96537D" w14:paraId="2E5836DE" w14:textId="77777777" w:rsidTr="001C4D88">
        <w:tc>
          <w:tcPr>
            <w:tcW w:w="9322" w:type="dxa"/>
            <w:shd w:val="pct15" w:color="auto" w:fill="auto"/>
          </w:tcPr>
          <w:p w14:paraId="145F7D57" w14:textId="2399088F" w:rsidR="00C33721" w:rsidRPr="00265702" w:rsidRDefault="005B0FA8" w:rsidP="00AD5646">
            <w:pPr>
              <w:pStyle w:val="Heading1"/>
              <w:ind w:left="788" w:right="-28" w:hanging="357"/>
              <w:rPr>
                <w:b w:val="0"/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Taqsima C: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Evalwazzjoni</w:t>
            </w:r>
          </w:p>
        </w:tc>
      </w:tr>
    </w:tbl>
    <w:p w14:paraId="0E74647B" w14:textId="4714C7EA" w:rsidR="00E752D3" w:rsidRDefault="00E752D3" w:rsidP="00E752D3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 xml:space="preserve">Biex tipprovdi l-informazzjoni f’din it-Taqsima, irreferi għall-Kapitolu 5 (il-punti 455-463) tas-CEEAG.</w:t>
      </w:r>
    </w:p>
    <w:p w14:paraId="3B148946" w14:textId="6DA2827A" w:rsidR="005B1125" w:rsidRDefault="005B1125" w:rsidP="00BC0346">
      <w:pPr>
        <w:pStyle w:val="ListParagraph"/>
        <w:numPr>
          <w:ilvl w:val="0"/>
          <w:numId w:val="44"/>
        </w:numPr>
        <w:spacing w:before="120" w:after="120"/>
        <w:ind w:left="567" w:hanging="567"/>
        <w:contextualSpacing w:val="0"/>
        <w:jc w:val="both"/>
      </w:pPr>
      <w:r>
        <w:t xml:space="preserve">Jekk il-miżura/i nnotifikata/i taqbeż/jaqbżu l-limiti tal-baġit/tan-nefqa fil-punt 456 tas-CEEAG, spjega għaliex fil-fehma tiegħek għandha tapplika l-eċċezzjoni fil-punt 457 tas-CEEAG, jew inkella ehmeż ma’ din il-formola ta’ notifika Anness li jinkludi abbozz ta’ pjan ta’ evalwazzjoni li jkopri l-kamp ta’ applikazzjoni msemmi fil-punt 458 tas-CEEAG</w:t>
      </w:r>
      <w:r w:rsidRPr="00AC286A">
        <w:rPr>
          <w:rStyle w:val="FootnoteReference"/>
          <w:lang w:eastAsia="en-GB"/>
        </w:rPr>
        <w:footnoteReference w:id="16"/>
      </w:r>
      <w:r>
        <w:t xml:space="preserve">.</w:t>
      </w:r>
    </w:p>
    <w:p w14:paraId="7EAD398C" w14:textId="77777777" w:rsidR="00AD5646" w:rsidRPr="00AC1973" w:rsidRDefault="00AD5646" w:rsidP="00AD564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9A138B1" w14:textId="5018DA1E" w:rsidR="005B1125" w:rsidRDefault="005B1125" w:rsidP="00BC0346">
      <w:pPr>
        <w:pStyle w:val="ListParagraph"/>
        <w:numPr>
          <w:ilvl w:val="0"/>
          <w:numId w:val="45"/>
        </w:numPr>
        <w:spacing w:before="120" w:after="120"/>
        <w:ind w:left="567" w:hanging="567"/>
        <w:contextualSpacing w:val="0"/>
        <w:jc w:val="both"/>
      </w:pPr>
      <w:r>
        <w:t xml:space="preserve">Jekk jiġi pprovdut abbozz ta’ pjan ta’ evalwazzjoni:</w:t>
      </w:r>
    </w:p>
    <w:p w14:paraId="2908B272" w14:textId="6B17EC45" w:rsidR="005B1125" w:rsidRDefault="00BC0346" w:rsidP="00BC0346">
      <w:pPr>
        <w:pStyle w:val="ListParagraph"/>
        <w:numPr>
          <w:ilvl w:val="0"/>
          <w:numId w:val="46"/>
        </w:numPr>
        <w:spacing w:before="120" w:after="120"/>
        <w:contextualSpacing w:val="0"/>
        <w:jc w:val="both"/>
      </w:pPr>
      <w:r>
        <w:t xml:space="preserve">Ipprovdi hawn taħt sommarju ta’ dak l-abbozz tal-pjan ta’ evalwazzjoni inkluż fl-Anness.</w:t>
      </w:r>
    </w:p>
    <w:p w14:paraId="55469442" w14:textId="77777777" w:rsidR="00BC0346" w:rsidRPr="00AD5646" w:rsidRDefault="00BC0346" w:rsidP="00BC03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57944573" w14:textId="72B8D967" w:rsidR="005B1125" w:rsidRDefault="00BC0346" w:rsidP="00BC0346">
      <w:pPr>
        <w:pStyle w:val="ListParagraph"/>
        <w:numPr>
          <w:ilvl w:val="0"/>
          <w:numId w:val="46"/>
        </w:numPr>
        <w:spacing w:before="120" w:after="120"/>
        <w:contextualSpacing w:val="0"/>
        <w:jc w:val="both"/>
      </w:pPr>
      <w:r>
        <w:t xml:space="preserve">Ikkonferma li l-punt 460 tas-CEEAG se jiġi rispettat.</w:t>
      </w:r>
    </w:p>
    <w:p w14:paraId="79C8841F" w14:textId="77777777" w:rsidR="00BC0346" w:rsidRPr="00AD5646" w:rsidRDefault="00BC0346" w:rsidP="00BC03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149300C" w14:textId="7EA80A87" w:rsidR="005B1125" w:rsidRDefault="00BC0346" w:rsidP="00BC0346">
      <w:pPr>
        <w:pStyle w:val="ListParagraph"/>
        <w:numPr>
          <w:ilvl w:val="0"/>
          <w:numId w:val="46"/>
        </w:numPr>
        <w:spacing w:before="120" w:after="120"/>
        <w:contextualSpacing w:val="0"/>
        <w:jc w:val="both"/>
      </w:pPr>
      <w:r>
        <w:t xml:space="preserve">Ipprovdi d-data u l-link tal-internet fejn il-pjan ta’ evalwazzjoni se jkun disponibbli għall-pubbliku.</w:t>
      </w:r>
    </w:p>
    <w:p w14:paraId="392B2683" w14:textId="77777777" w:rsidR="00BC0346" w:rsidRPr="00AD5646" w:rsidRDefault="00BC0346" w:rsidP="00BC0346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13D817E5" w14:textId="6DF200ED" w:rsidR="005B1125" w:rsidRPr="0051324D" w:rsidRDefault="005B1125" w:rsidP="005D3A8D">
      <w:pPr>
        <w:pStyle w:val="ListParagraph"/>
        <w:numPr>
          <w:ilvl w:val="0"/>
          <w:numId w:val="45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459(b) tas-CEEAG, f’każ li l-iskema ta’ għajnuna bħalissa ma tkunx soġġetta għal evalwazzjoni </w:t>
      </w:r>
      <w:r>
        <w:rPr>
          <w:i/>
        </w:rPr>
        <w:t xml:space="preserve">ex post</w:t>
      </w:r>
      <w:r>
        <w:t xml:space="preserve">, u d-durata tagħha taqbeż it-tliet snin, ikkonferma li se tinnotifika abbozz ta’ pjan ta’ evalwazzjoni fi żmien 30 jum tax-xogħol wara modifika sinifikanti li żżid il-baġit tal-iskema għal aktar minn EUR 150 miljun fi kwalunkwe sena partikolari jew EUR 750 miljun tul id-durata totali tal-iskema.</w:t>
      </w:r>
      <w:r>
        <w:t xml:space="preserve"> </w:t>
      </w:r>
    </w:p>
    <w:p w14:paraId="64197818" w14:textId="77777777" w:rsidR="005B1125" w:rsidRPr="0051324D" w:rsidRDefault="005B1125" w:rsidP="005B112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210AA2" w14:textId="7C1E1E18" w:rsidR="005B1125" w:rsidRPr="0051324D" w:rsidRDefault="005B1125" w:rsidP="005D3A8D">
      <w:pPr>
        <w:pStyle w:val="ListParagraph"/>
        <w:numPr>
          <w:ilvl w:val="0"/>
          <w:numId w:val="45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459(c) tas-CEEAG, f’każ li l-iskema ta’ għajnuna bħalissa ma tkunx soġġetta għal evalwazzjoni </w:t>
      </w:r>
      <w:r>
        <w:rPr>
          <w:i/>
        </w:rPr>
        <w:t xml:space="preserve">ex post</w:t>
      </w:r>
      <w:r>
        <w:t xml:space="preserve">, hawn taħt ipprovdi impenn li l-Istat Membru se jinnotifika abbozz ta’ pjan ta’ evalwazzjoni fi żmien 30 jum tax-xogħol wara r-reġistrazzjoni fil-kontijiet uffiċjali ta’ aktar minn EUR 150 miljun fis-sena preċedenti.</w:t>
      </w:r>
      <w:r>
        <w:t xml:space="preserve"> </w:t>
      </w:r>
    </w:p>
    <w:p w14:paraId="4EA1C17E" w14:textId="77777777" w:rsidR="005B1125" w:rsidRPr="0051324D" w:rsidRDefault="005B1125" w:rsidP="005B112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E88D40B" w14:textId="77777777" w:rsidR="005B1125" w:rsidRPr="0051324D" w:rsidRDefault="005B1125" w:rsidP="005D3A8D">
      <w:pPr>
        <w:pStyle w:val="ListParagraph"/>
        <w:numPr>
          <w:ilvl w:val="0"/>
          <w:numId w:val="45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</w:t>
      </w:r>
    </w:p>
    <w:p w14:paraId="523B7898" w14:textId="4DB1F92C" w:rsidR="005B1125" w:rsidRPr="0051324D" w:rsidRDefault="005B1125" w:rsidP="005D3A8D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Iċċara jekk l-espert indipendenti diġà ntgħażilx jew jekk hux se jintgħażel fil-futur.</w:t>
      </w:r>
    </w:p>
    <w:p w14:paraId="4E8E4DD0" w14:textId="77777777" w:rsidR="005B1125" w:rsidRPr="005D3A8D" w:rsidRDefault="005B1125" w:rsidP="005D3A8D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44C024C" w14:textId="77777777" w:rsidR="005B1125" w:rsidRPr="0051324D" w:rsidRDefault="005B1125" w:rsidP="005D3A8D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Ipprovdi informazzjoni dwar il-proċedura tal-għażla tal-espert.</w:t>
      </w:r>
    </w:p>
    <w:p w14:paraId="3301005E" w14:textId="77777777" w:rsidR="005B1125" w:rsidRPr="005D3A8D" w:rsidRDefault="005B1125" w:rsidP="005D3A8D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4877D90F" w14:textId="77777777" w:rsidR="005B1125" w:rsidRPr="0051324D" w:rsidRDefault="005B1125" w:rsidP="005D3A8D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Iġġustifika kif l-espert huwa indipendenti mill-awtorità tal-għoti.</w:t>
      </w:r>
      <w:r>
        <w:t xml:space="preserve"> </w:t>
      </w:r>
    </w:p>
    <w:p w14:paraId="38CEF628" w14:textId="77777777" w:rsidR="005B1125" w:rsidRPr="005D3A8D" w:rsidRDefault="005B1125" w:rsidP="005D3A8D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C51B57F" w14:textId="6B57F3DF" w:rsidR="005B1125" w:rsidRPr="0051324D" w:rsidRDefault="005B1125" w:rsidP="00CC6CA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Ipprovdi l-iskadenzi proposti tiegħek għas-sottomissjoni tar-rapport ta’ evalwazzjoni interim u finali.</w:t>
      </w:r>
      <w:r>
        <w:t xml:space="preserve"> </w:t>
      </w:r>
      <w:r>
        <w:t xml:space="preserve">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</w:t>
      </w:r>
      <w:r>
        <w:t xml:space="preserve"> </w:t>
      </w:r>
      <w:r>
        <w:t xml:space="preserve">Innota li dik l-iskadenza tista’ titnaqqas għal skemi li jiskattaw ir-rekwiżit ta’ evalwazzjoni fl-aħħar sentejn(2) tal-implimentazzjoni tagħhom.</w:t>
      </w:r>
    </w:p>
    <w:p w14:paraId="55AC987C" w14:textId="77777777" w:rsidR="005B1125" w:rsidRPr="0051324D" w:rsidRDefault="005B1125" w:rsidP="002A6F78">
      <w:pPr>
        <w:tabs>
          <w:tab w:val="left" w:leader="dot" w:pos="9072"/>
        </w:tabs>
        <w:spacing w:before="120" w:after="120"/>
        <w:ind w:left="1080"/>
        <w:jc w:val="both"/>
      </w:pPr>
      <w:r>
        <w:t xml:space="preserve"> </w:t>
      </w:r>
      <w:r>
        <w:rPr>
          <w:color w:val="000000"/>
        </w:rPr>
        <w:tab/>
      </w:r>
    </w:p>
    <w:p w14:paraId="5962B499" w14:textId="77777777" w:rsidR="005B1125" w:rsidRPr="0051324D" w:rsidRDefault="005B1125" w:rsidP="00CC6CA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Ikkonferma li r-rapport ta’ evalwazzjoni interim u finali se jsir pubbliku.</w:t>
      </w:r>
      <w:r>
        <w:t xml:space="preserve"> </w:t>
      </w:r>
      <w:r>
        <w:t xml:space="preserve">Ipprovdi d-data u l-link tal-internet fejn dawk ir-rapporti se jkunu disponibbli għall-pubbliku.</w:t>
      </w:r>
      <w:r>
        <w:t xml:space="preserve"> </w:t>
      </w:r>
    </w:p>
    <w:p w14:paraId="10FA3DB0" w14:textId="5FDB90EB" w:rsidR="00627715" w:rsidRDefault="005B1125" w:rsidP="002A6F78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1941552E" w14:textId="77777777" w:rsidR="00681731" w:rsidRPr="002A6F78" w:rsidRDefault="00681731" w:rsidP="00681731">
      <w:pPr>
        <w:tabs>
          <w:tab w:val="left" w:leader="dot" w:pos="9072"/>
        </w:tabs>
        <w:spacing w:before="120" w:after="120"/>
        <w:jc w:val="both"/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5AFCC7AE" w14:textId="77777777" w:rsidTr="001C4D88">
        <w:tc>
          <w:tcPr>
            <w:tcW w:w="9322" w:type="dxa"/>
            <w:shd w:val="pct15" w:color="auto" w:fill="auto"/>
          </w:tcPr>
          <w:p w14:paraId="6B1D3811" w14:textId="1E5C9A6D" w:rsidR="00627715" w:rsidRPr="0051324D" w:rsidRDefault="003C6D6A" w:rsidP="002A6F78">
            <w:pPr>
              <w:pStyle w:val="Heading1"/>
              <w:ind w:left="788" w:right="-28" w:hanging="357"/>
              <w:rPr>
                <w:b w:val="0"/>
                <w:i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Taqsima D: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Ir-rapportar u l-monitoraġġ</w:t>
            </w:r>
          </w:p>
        </w:tc>
      </w:tr>
    </w:tbl>
    <w:p w14:paraId="3310B87F" w14:textId="3F3A3FF8" w:rsidR="003C6D6A" w:rsidRPr="0051324D" w:rsidRDefault="003C6D6A" w:rsidP="002A6F78">
      <w:pPr>
        <w:tabs>
          <w:tab w:val="left" w:leader="dot" w:pos="9072"/>
        </w:tabs>
        <w:spacing w:before="120" w:after="120"/>
        <w:jc w:val="both"/>
      </w:pPr>
      <w:bookmarkStart w:id="16" w:name="_Hlk166084968"/>
      <w:r>
        <w:rPr>
          <w:i/>
        </w:rPr>
        <w:t xml:space="preserve">Biex tipprovdi l-informazzjoni f'din it-taqsima, irreferi għat-taqsima 6 (punti 464 u 465) tas-CEEAG.</w:t>
      </w:r>
    </w:p>
    <w:bookmarkEnd w:id="16"/>
    <w:p w14:paraId="2382A61F" w14:textId="37622A62" w:rsidR="003C6D6A" w:rsidRDefault="003C6D6A" w:rsidP="002A6F78">
      <w:pPr>
        <w:pStyle w:val="ListParagraph"/>
        <w:numPr>
          <w:ilvl w:val="0"/>
          <w:numId w:val="45"/>
        </w:numPr>
        <w:spacing w:before="120" w:after="120"/>
        <w:ind w:left="567" w:hanging="567"/>
        <w:contextualSpacing w:val="0"/>
        <w:jc w:val="both"/>
      </w:pPr>
      <w:r>
        <w:t xml:space="preserve">Jekk jogħġbok ikkonferma li l-Istat Membru se jikkonforma mar-rekwiżiti għar-rappurtar u l-monitoraġġ stipulati fit-Taqsima 6, il-punti 464 u 465 tas-CEEAG.</w:t>
      </w:r>
    </w:p>
    <w:p w14:paraId="6B996AF9" w14:textId="094D0464" w:rsidR="00697188" w:rsidRPr="00711243" w:rsidRDefault="002A6F78" w:rsidP="002A6F7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AFC3" w14:textId="77777777" w:rsidR="007E0593" w:rsidRDefault="007E0593" w:rsidP="000442F5">
      <w:r>
        <w:separator/>
      </w:r>
    </w:p>
  </w:endnote>
  <w:endnote w:type="continuationSeparator" w:id="0">
    <w:p w14:paraId="16386907" w14:textId="77777777" w:rsidR="007E0593" w:rsidRDefault="007E0593" w:rsidP="000442F5">
      <w:r>
        <w:continuationSeparator/>
      </w:r>
    </w:p>
  </w:endnote>
  <w:endnote w:type="continuationNotice" w:id="1">
    <w:p w14:paraId="67B509FD" w14:textId="77777777" w:rsidR="007E0593" w:rsidRDefault="007E05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1BDB5225" w:rsidR="00770302" w:rsidRDefault="0077030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107D">
      <w:t>8</w:t>
    </w:r>
    <w:r>
      <w:fldChar w:fldCharType="end"/>
    </w:r>
  </w:p>
  <w:p w14:paraId="75E356FD" w14:textId="77777777" w:rsidR="00770302" w:rsidRDefault="00770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D798" w14:textId="77777777" w:rsidR="007E0593" w:rsidRDefault="007E0593" w:rsidP="000442F5">
      <w:r>
        <w:separator/>
      </w:r>
    </w:p>
  </w:footnote>
  <w:footnote w:type="continuationSeparator" w:id="0">
    <w:p w14:paraId="0B11616F" w14:textId="77777777" w:rsidR="007E0593" w:rsidRDefault="007E0593" w:rsidP="000442F5">
      <w:r>
        <w:continuationSeparator/>
      </w:r>
    </w:p>
  </w:footnote>
  <w:footnote w:type="continuationNotice" w:id="1">
    <w:p w14:paraId="32B69F87" w14:textId="77777777" w:rsidR="007E0593" w:rsidRDefault="007E0593"/>
  </w:footnote>
  <w:footnote w:id="2">
    <w:p w14:paraId="2E1DAC13" w14:textId="6C7CF231" w:rsidR="00770302" w:rsidRPr="0067348B" w:rsidRDefault="00770302" w:rsidP="007B485D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ĠU C 80, 18.2.2022, p. 1.</w:t>
      </w:r>
    </w:p>
  </w:footnote>
  <w:footnote w:id="3">
    <w:p w14:paraId="2A08361A" w14:textId="77777777" w:rsidR="00111EDE" w:rsidRDefault="00111EDE" w:rsidP="00111E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Innota li għal skema ta’ għajnuna, it-tul huwa l-perjodu li matulu tista’ tiġi applikata u deċiża l-għajnuna (b’hekk jinkludi wkoll iż-żmien meħtieġ għall-awtoritajiet biex japprovaw l-applikazzjonijiet għall-għajnuna).</w:t>
      </w:r>
      <w:r>
        <w:t xml:space="preserve"> </w:t>
      </w:r>
      <w:r>
        <w:t xml:space="preserve">It-tul ta’ żmien imsemmi f’din id-domanda ma jirrigwardax it-tul tal-kuntratti konklużi taħt l-iskema ta’ għajnuna, li jistgħu jkomplu lil hinn mit-tul ta’ żmien tal-miżura.</w:t>
      </w:r>
      <w:r>
        <w:t xml:space="preserve"> </w:t>
      </w:r>
    </w:p>
  </w:footnote>
  <w:footnote w:id="4">
    <w:p w14:paraId="18104C0E" w14:textId="77777777" w:rsidR="00111EDE" w:rsidRPr="0067348B" w:rsidRDefault="00111EDE" w:rsidP="00111EDE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Innota li bidla fil-baġit attwali jew stmat tista’ tkun bidla fl-għajnuna, li teħtieġ notifika ġdida.</w:t>
      </w:r>
    </w:p>
  </w:footnote>
  <w:footnote w:id="5">
    <w:p w14:paraId="619B015F" w14:textId="77777777" w:rsidR="00B35947" w:rsidRPr="00CC03BD" w:rsidRDefault="00B35947" w:rsidP="00B359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In-nota 74 f’qiegħ il-paġna tipprevedi li l-investimenti għal tip wieħed ta’ element tal-bini jistgħu pereżempju jkollhom l-għan li jissostitwixxu t-twieqi jew il-bojlers fil-bini jew jiffukaw fuq l-iżolament tal-ħajt.</w:t>
      </w:r>
    </w:p>
  </w:footnote>
  <w:footnote w:id="6">
    <w:p w14:paraId="2024B5EE" w14:textId="0A95B5DE" w:rsidR="006C5D8B" w:rsidRPr="00CF158B" w:rsidRDefault="006C5D8B" w:rsidP="006C5D8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Innota li l-punti 38 u 52, kif ukoll in-noti 39 u 45 f’qiegħ il-paġna tas-CEEAG jipprovdu gwida ulterjuri dwar kif għandu jiġi żviluppat ix-xenarju kontrofattwali probabbli.</w:t>
      </w:r>
    </w:p>
  </w:footnote>
  <w:footnote w:id="7">
    <w:p w14:paraId="593783A2" w14:textId="77777777" w:rsidR="005B7459" w:rsidRPr="00114695" w:rsidRDefault="005B7459" w:rsidP="005B74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“Proġett ta’ referenza” huwa definit fil-punt 19 (63) tas-CEEAG.</w:t>
      </w:r>
    </w:p>
  </w:footnote>
  <w:footnote w:id="8">
    <w:p w14:paraId="0BFAE3BE" w14:textId="77777777" w:rsidR="006C5D8B" w:rsidRDefault="006C5D8B" w:rsidP="006C5D8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Jekk tiddependi fuq proċess kompetittiv reċenti, spjega kif dak il-proċess tal-offerti jista’ jitqies bħala kompetittiv, inkluż kif il-profitti mhux mistennija ġew evitati għal teknoloġiji differenti inklużi fil-proċess kompetittiv tal-offerti fejn applikabbli, u kif huwa komparabbli, pereżempju:</w:t>
      </w:r>
    </w:p>
    <w:p w14:paraId="32FF99E9" w14:textId="09CF0337" w:rsidR="006C5D8B" w:rsidRDefault="006C5D8B" w:rsidP="00BC0346">
      <w:pPr>
        <w:pStyle w:val="FootnoteText"/>
        <w:numPr>
          <w:ilvl w:val="0"/>
          <w:numId w:val="29"/>
        </w:numPr>
      </w:pPr>
      <w:r>
        <w:t xml:space="preserve">Il-kundizzjonijiet (eż. it-termini kuntrattwali u t-tul ta’ żmien, l-iskadenzi tal-investiment, jekk il-pagamenti ta’ appoġġ kinux indiċjati mal-inflazzjoni jew le) kienu simili għal dawk proposti fil-miżura/i notifikata/i?</w:t>
      </w:r>
    </w:p>
    <w:p w14:paraId="12C047BB" w14:textId="77777777" w:rsidR="006C5D8B" w:rsidRDefault="006C5D8B" w:rsidP="00BC0346">
      <w:pPr>
        <w:pStyle w:val="FootnoteText"/>
        <w:numPr>
          <w:ilvl w:val="0"/>
          <w:numId w:val="29"/>
        </w:numPr>
      </w:pPr>
      <w:r>
        <w:t xml:space="preserve">Il-proċess kompetittiv twettaq taħt kundizzjonijiet makroekonomiċi simili?</w:t>
      </w:r>
    </w:p>
    <w:p w14:paraId="758C7A5E" w14:textId="77777777" w:rsidR="006C5D8B" w:rsidRDefault="006C5D8B" w:rsidP="00BC0346">
      <w:pPr>
        <w:pStyle w:val="FootnoteText"/>
        <w:numPr>
          <w:ilvl w:val="0"/>
          <w:numId w:val="29"/>
        </w:numPr>
      </w:pPr>
      <w:r>
        <w:t xml:space="preserve">It-teknoloġiji/it-tipi ta’ proġetti kienu simili?</w:t>
      </w:r>
    </w:p>
  </w:footnote>
  <w:footnote w:id="9">
    <w:p w14:paraId="590F3FC7" w14:textId="30CB4935" w:rsidR="00770302" w:rsidRPr="003D1C23" w:rsidRDefault="00770302" w:rsidP="00821F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Skont il-punt 19 (89) tas-CEEAG, “standard tal-Unjoni” tfisser:</w:t>
      </w:r>
    </w:p>
    <w:p w14:paraId="340A0B20" w14:textId="77777777" w:rsidR="00770302" w:rsidRPr="003D1C23" w:rsidRDefault="00770302" w:rsidP="00BC0346">
      <w:pPr>
        <w:pStyle w:val="FootnoteText"/>
        <w:numPr>
          <w:ilvl w:val="0"/>
          <w:numId w:val="26"/>
        </w:numPr>
      </w:pPr>
      <w:r>
        <w:t xml:space="preserve"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02AC4E0B" w14:textId="609C0B25" w:rsidR="00770302" w:rsidRPr="003D1C23" w:rsidRDefault="00770302" w:rsidP="00BC0346">
      <w:pPr>
        <w:pStyle w:val="FootnoteText"/>
        <w:numPr>
          <w:ilvl w:val="0"/>
          <w:numId w:val="26"/>
        </w:numPr>
      </w:pPr>
      <w:r>
        <w:t xml:space="preserve">l-obbligu li jintużaw l-aqwa tekniki disponibbli (BAT, best available techniques), kif definit fid-Direttiva 2010/75/UE, u li jiġi żgurat li l-livelli ta’ emissjonijiet ma jkunux ogħla minn dawk li kienu jintlaħqu bl-applikazzjoni tal-BAT;</w:t>
      </w:r>
      <w:r>
        <w:t xml:space="preserve"> </w:t>
      </w:r>
      <w:r>
        <w:t xml:space="preserve">fejn il-livelli ta’ emissjonijiet assoċjati mal-BAT ikunu ġew definiti f’atti ta’ implimentazzjoni adottati skont id-Direttiva 2010/75/UE jew taħt direttivi applikabbli oħra, dawk il-livelli jkunu applikabbli għall-fini ta’ dawn il-linji gwida;</w:t>
      </w:r>
      <w:r>
        <w:t xml:space="preserve"> </w:t>
      </w:r>
      <w:r>
        <w:t xml:space="preserve">jekk dawn il-livelli jkunu espressi bħala firxa, ikun applikabbli l-limitu fejn il-BAT jintlaħqu l-ewwel għall-impriża kkonċernata;</w:t>
      </w:r>
    </w:p>
  </w:footnote>
  <w:footnote w:id="10">
    <w:p w14:paraId="6853F00F" w14:textId="1EBBBF50" w:rsidR="00770302" w:rsidRPr="007E4A3E" w:rsidRDefault="007703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Il-perjodu ta’ rkupru tal-kost huwa l-ammont ta’ żmien biex tiġi rkuprata l-ispiża ta’ investiment (mingħajr għajnuna).</w:t>
      </w:r>
    </w:p>
  </w:footnote>
  <w:footnote w:id="11">
    <w:p w14:paraId="2937680B" w14:textId="77777777" w:rsidR="006C2F85" w:rsidRPr="0095488F" w:rsidRDefault="006C2F85" w:rsidP="006C2F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Irreferi wkoll għall-informazzjoni ulterjuri fil-punti 51-53 kif ukoll in-noti 45 u 46 f’qiegħ il-paġna tas-CEEAG.</w:t>
      </w:r>
    </w:p>
  </w:footnote>
  <w:footnote w:id="12">
    <w:p w14:paraId="739A8028" w14:textId="082B93E2" w:rsidR="009A7FA6" w:rsidRPr="007D07E2" w:rsidRDefault="009A7FA6" w:rsidP="009A7F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Innota li l-punti 38, 52, 165, 166 u 167 kif ukoll in-noti 39 u 45 f’qiegħ il-paġna tas-CEEAG jipprovdu gwida ulterjuri dwar kif għandu jiġi żviluppat ix-xenarju kontrofattwali probabbli.</w:t>
      </w:r>
    </w:p>
  </w:footnote>
  <w:footnote w:id="13">
    <w:p w14:paraId="68255F0B" w14:textId="33EEB9D6" w:rsidR="005679B2" w:rsidRDefault="005679B2" w:rsidP="005679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Innota li n-nota 44 f’qiegħ il-paġna tas-CEEAG tipprevedi li:</w:t>
      </w:r>
      <w:r>
        <w:t xml:space="preserve"> </w:t>
      </w:r>
      <w:r>
        <w:rPr>
          <w:i/>
          <w:color w:val="000000"/>
          <w:shd w:val="clear" w:color="auto" w:fill="FFFFFF"/>
        </w:rPr>
        <w:t xml:space="preserve">Meta jivvalutaw l-unitajiet tal-ħarsien tal-ambjent, l-Istati Membri jistgħu, pereżempju, jiżviluppaw metodoloġija li tqis l-emissjonijiet jew tniġġis ieħor fi stadji differenti tal-attività ekonomika appoġġata, iż-żmien tar-realizzazzjoni tal-proġett jew il-kostijiet tal-integrazzjoni tas-sistema.</w:t>
      </w:r>
      <w:r>
        <w:rPr>
          <w:i/>
          <w:color w:val="000000"/>
          <w:shd w:val="clear" w:color="auto" w:fill="FFFFFF"/>
        </w:rPr>
        <w:t xml:space="preserve"> </w:t>
      </w:r>
      <w:r>
        <w:rPr>
          <w:i/>
          <w:color w:val="000000"/>
          <w:shd w:val="clear" w:color="auto" w:fill="FFFFFF"/>
        </w:rPr>
        <w:t xml:space="preserve">Meta jqiegħdu l-kontribuzzjoni għall-objettivi ewlenin fil-konfront tal-ammont tal-għajnuna mitluba, l-Istati Membri jistgħu, pereżempju, iqisu l-kriterji oġġettivi varji u jagħżlu abbażi tal-ammont tal-għajnuna għal kull unità tal-medja ponderata tal-kriterji oġġettivi, jew jagħżlu fost firxa limitata ta’ offerti bl-aktar ammont baxx għal kull unità tal-kriterji oġġettivi dawk bl-ogħla punteġġi fil-kriterji oġġettivi.</w:t>
      </w:r>
      <w:r>
        <w:rPr>
          <w:i/>
          <w:color w:val="000000"/>
          <w:shd w:val="clear" w:color="auto" w:fill="FFFFFF"/>
        </w:rPr>
        <w:t xml:space="preserve"> </w:t>
      </w:r>
      <w:r>
        <w:rPr>
          <w:i/>
          <w:color w:val="000000"/>
          <w:shd w:val="clear" w:color="auto" w:fill="FFFFFF"/>
        </w:rPr>
        <w:t xml:space="preserve">Il-parametri ta’ approċċ bħal dan iridu jiġu kkalibrati biex jiżguraw li l-proċess ta’ offerti jibqa’ mhux diskriminatorju, effettivament kompetittiv u jirrifletti valur ekonomiku.</w:t>
      </w:r>
    </w:p>
  </w:footnote>
  <w:footnote w:id="14">
    <w:p w14:paraId="7C525AD8" w14:textId="7D6CBC42" w:rsidR="004345D1" w:rsidRDefault="004345D1" w:rsidP="004345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Il-finanzjament tal-Unjoni ġestit ċentralment huwa l-finanzjament tal-Unjoni ġestit ċentralment mill-istituzzjonijiet, l-aġenziji, l-impriżi konġunti jew korpi oħrajn tal-Unjoni Ewropea u li mhuwiex direttament jew indirettament taħt il-kontroll tal-Istat Membru.</w:t>
      </w:r>
    </w:p>
  </w:footnote>
  <w:footnote w:id="15">
    <w:p w14:paraId="67F58827" w14:textId="11D260F2" w:rsidR="001A0689" w:rsidRPr="008772CC" w:rsidRDefault="001A0689" w:rsidP="001A06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Ir-Regolament (UE) 2020/852 tal-Parlament Ewropew u tal-Kunsill tat-18 ta’ Ġunju 2020 dwar l-istabbiliment ta’ qafas biex jiġi ffaċilitat l-investiment sostenibbli, u li jemenda r-Regolament (UE) 2019/2088 (ĠU L 198, 22.6.2020, p. 13).</w:t>
      </w:r>
    </w:p>
  </w:footnote>
  <w:footnote w:id="16">
    <w:p w14:paraId="2031DE19" w14:textId="508259E6" w:rsidR="005B1125" w:rsidRDefault="005B1125" w:rsidP="005B11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Il-mudell għall-formola ta’ informazzjoni supplimentari għan-notifika ta’ pjan ta’ evalwazzjoni (Parti III.8) huwa aċċessibbli hawnhekk:</w:t>
      </w:r>
      <w:r>
        <w:t xml:space="preserve"> </w:t>
      </w:r>
      <w:hyperlink w:anchor="evaluation-plan" w:history="1">
        <w:r>
          <w:rPr>
            <w:rStyle w:val="Hyperlink"/>
            <w:color w:val="auto"/>
          </w:rPr>
          <w:t xml:space="preserve"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770302" w:rsidRDefault="00770302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7EBA"/>
    <w:multiLevelType w:val="hybridMultilevel"/>
    <w:tmpl w:val="C9A8BE38"/>
    <w:lvl w:ilvl="0" w:tplc="7564FC10">
      <w:start w:val="5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Roman"/>
      <w:lvlText w:val="%2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4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C21297"/>
    <w:multiLevelType w:val="hybridMultilevel"/>
    <w:tmpl w:val="C436C6C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88574B9"/>
    <w:multiLevelType w:val="hybridMultilevel"/>
    <w:tmpl w:val="C6EE3B4C"/>
    <w:lvl w:ilvl="0" w:tplc="E29C20F2">
      <w:start w:val="5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Roman"/>
      <w:lvlText w:val="%2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9" w15:restartNumberingAfterBreak="0">
    <w:nsid w:val="1377033D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1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FFC50CE"/>
    <w:multiLevelType w:val="hybridMultilevel"/>
    <w:tmpl w:val="177A10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4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2E60F42"/>
    <w:multiLevelType w:val="hybridMultilevel"/>
    <w:tmpl w:val="85081898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D3445272">
      <w:start w:val="1"/>
      <w:numFmt w:val="upperLetter"/>
      <w:lvlText w:val="%3)"/>
      <w:lvlJc w:val="left"/>
      <w:pPr>
        <w:ind w:left="2907" w:hanging="360"/>
      </w:pPr>
      <w:rPr>
        <w:rFonts w:hint="default"/>
      </w:rPr>
    </w:lvl>
    <w:lvl w:ilvl="3" w:tplc="BD60C2F4">
      <w:start w:val="1"/>
      <w:numFmt w:val="lowerRoman"/>
      <w:lvlText w:val="%4)"/>
      <w:lvlJc w:val="left"/>
      <w:pPr>
        <w:ind w:left="3807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8271C36"/>
    <w:multiLevelType w:val="hybridMultilevel"/>
    <w:tmpl w:val="34CE4186"/>
    <w:lvl w:ilvl="0" w:tplc="4A0E8710">
      <w:start w:val="1"/>
      <w:numFmt w:val="upperLetter"/>
      <w:lvlText w:val="%1."/>
      <w:lvlJc w:val="left"/>
      <w:pPr>
        <w:ind w:left="1077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1797" w:hanging="360"/>
      </w:pPr>
    </w:lvl>
    <w:lvl w:ilvl="2" w:tplc="1809001B" w:tentative="1">
      <w:start w:val="1"/>
      <w:numFmt w:val="lowerRoman"/>
      <w:lvlText w:val="%3."/>
      <w:lvlJc w:val="right"/>
      <w:pPr>
        <w:ind w:left="2517" w:hanging="180"/>
      </w:pPr>
    </w:lvl>
    <w:lvl w:ilvl="3" w:tplc="1809000F" w:tentative="1">
      <w:start w:val="1"/>
      <w:numFmt w:val="decimal"/>
      <w:lvlText w:val="%4."/>
      <w:lvlJc w:val="left"/>
      <w:pPr>
        <w:ind w:left="3237" w:hanging="360"/>
      </w:pPr>
    </w:lvl>
    <w:lvl w:ilvl="4" w:tplc="18090019" w:tentative="1">
      <w:start w:val="1"/>
      <w:numFmt w:val="lowerLetter"/>
      <w:lvlText w:val="%5."/>
      <w:lvlJc w:val="left"/>
      <w:pPr>
        <w:ind w:left="3957" w:hanging="360"/>
      </w:pPr>
    </w:lvl>
    <w:lvl w:ilvl="5" w:tplc="1809001B" w:tentative="1">
      <w:start w:val="1"/>
      <w:numFmt w:val="lowerRoman"/>
      <w:lvlText w:val="%6."/>
      <w:lvlJc w:val="right"/>
      <w:pPr>
        <w:ind w:left="4677" w:hanging="180"/>
      </w:pPr>
    </w:lvl>
    <w:lvl w:ilvl="6" w:tplc="1809000F" w:tentative="1">
      <w:start w:val="1"/>
      <w:numFmt w:val="decimal"/>
      <w:lvlText w:val="%7."/>
      <w:lvlJc w:val="left"/>
      <w:pPr>
        <w:ind w:left="5397" w:hanging="360"/>
      </w:pPr>
    </w:lvl>
    <w:lvl w:ilvl="7" w:tplc="18090019" w:tentative="1">
      <w:start w:val="1"/>
      <w:numFmt w:val="lowerLetter"/>
      <w:lvlText w:val="%8."/>
      <w:lvlJc w:val="left"/>
      <w:pPr>
        <w:ind w:left="6117" w:hanging="360"/>
      </w:pPr>
    </w:lvl>
    <w:lvl w:ilvl="8" w:tplc="1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83C4A6D"/>
    <w:multiLevelType w:val="multilevel"/>
    <w:tmpl w:val="F9D4CD7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2BDD00CF"/>
    <w:multiLevelType w:val="hybridMultilevel"/>
    <w:tmpl w:val="4A1CA042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1" w15:restartNumberingAfterBreak="0">
    <w:nsid w:val="2EC46380"/>
    <w:multiLevelType w:val="hybridMultilevel"/>
    <w:tmpl w:val="177A10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2" w15:restartNumberingAfterBreak="0">
    <w:nsid w:val="312B69AE"/>
    <w:multiLevelType w:val="multilevel"/>
    <w:tmpl w:val="B756D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3C56BA"/>
    <w:multiLevelType w:val="hybridMultilevel"/>
    <w:tmpl w:val="1682C7F6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74FB2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E5C7C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8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956659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3D12B8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4ABD0892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618DC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6" w15:restartNumberingAfterBreak="0">
    <w:nsid w:val="56B65B12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A06EE"/>
    <w:multiLevelType w:val="hybridMultilevel"/>
    <w:tmpl w:val="90DA8B2E"/>
    <w:lvl w:ilvl="0" w:tplc="0708207C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A7A552C"/>
    <w:multiLevelType w:val="hybridMultilevel"/>
    <w:tmpl w:val="9F7E30C8"/>
    <w:lvl w:ilvl="0" w:tplc="E1DC3154">
      <w:start w:val="50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0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1" w15:restartNumberingAfterBreak="0">
    <w:nsid w:val="66A63355"/>
    <w:multiLevelType w:val="hybridMultilevel"/>
    <w:tmpl w:val="CF0EE4B2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 w15:restartNumberingAfterBreak="0">
    <w:nsid w:val="6A823CC6"/>
    <w:multiLevelType w:val="hybridMultilevel"/>
    <w:tmpl w:val="6F00B8B4"/>
    <w:lvl w:ilvl="0" w:tplc="CBB2EC0A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5" w15:restartNumberingAfterBreak="0">
    <w:nsid w:val="70D44B2D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20F4C"/>
    <w:multiLevelType w:val="hybridMultilevel"/>
    <w:tmpl w:val="6F00B8B4"/>
    <w:lvl w:ilvl="0" w:tplc="FFFFFFFF">
      <w:start w:val="1"/>
      <w:numFmt w:val="lowerRoman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814EC"/>
    <w:multiLevelType w:val="hybridMultilevel"/>
    <w:tmpl w:val="4782C3C2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50752698">
    <w:abstractNumId w:val="11"/>
  </w:num>
  <w:num w:numId="2" w16cid:durableId="1330985214">
    <w:abstractNumId w:val="14"/>
  </w:num>
  <w:num w:numId="3" w16cid:durableId="15517242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8152722">
    <w:abstractNumId w:val="41"/>
  </w:num>
  <w:num w:numId="5" w16cid:durableId="9960290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159366">
    <w:abstractNumId w:val="27"/>
  </w:num>
  <w:num w:numId="7" w16cid:durableId="2031102397">
    <w:abstractNumId w:val="20"/>
  </w:num>
  <w:num w:numId="8" w16cid:durableId="1662810777">
    <w:abstractNumId w:val="10"/>
  </w:num>
  <w:num w:numId="9" w16cid:durableId="1016926466">
    <w:abstractNumId w:val="8"/>
  </w:num>
  <w:num w:numId="10" w16cid:durableId="1096444927">
    <w:abstractNumId w:val="39"/>
  </w:num>
  <w:num w:numId="11" w16cid:durableId="240263598">
    <w:abstractNumId w:val="42"/>
  </w:num>
  <w:num w:numId="12" w16cid:durableId="1068190420">
    <w:abstractNumId w:val="40"/>
  </w:num>
  <w:num w:numId="13" w16cid:durableId="1641612965">
    <w:abstractNumId w:val="44"/>
  </w:num>
  <w:num w:numId="14" w16cid:durableId="340202270">
    <w:abstractNumId w:val="16"/>
  </w:num>
  <w:num w:numId="15" w16cid:durableId="232132564">
    <w:abstractNumId w:val="31"/>
  </w:num>
  <w:num w:numId="16" w16cid:durableId="172426664">
    <w:abstractNumId w:val="4"/>
  </w:num>
  <w:num w:numId="17" w16cid:durableId="1575506200">
    <w:abstractNumId w:val="33"/>
  </w:num>
  <w:num w:numId="18" w16cid:durableId="1380981910">
    <w:abstractNumId w:val="1"/>
  </w:num>
  <w:num w:numId="19" w16cid:durableId="342711477">
    <w:abstractNumId w:val="0"/>
  </w:num>
  <w:num w:numId="20" w16cid:durableId="503252526">
    <w:abstractNumId w:val="3"/>
  </w:num>
  <w:num w:numId="21" w16cid:durableId="1069810368">
    <w:abstractNumId w:val="7"/>
  </w:num>
  <w:num w:numId="22" w16cid:durableId="1502427094">
    <w:abstractNumId w:val="15"/>
  </w:num>
  <w:num w:numId="23" w16cid:durableId="1892114411">
    <w:abstractNumId w:val="22"/>
  </w:num>
  <w:num w:numId="24" w16cid:durableId="1573617101">
    <w:abstractNumId w:val="12"/>
  </w:num>
  <w:num w:numId="25" w16cid:durableId="691415656">
    <w:abstractNumId w:val="19"/>
  </w:num>
  <w:num w:numId="26" w16cid:durableId="2047639237">
    <w:abstractNumId w:val="23"/>
  </w:num>
  <w:num w:numId="27" w16cid:durableId="1492255928">
    <w:abstractNumId w:val="43"/>
  </w:num>
  <w:num w:numId="28" w16cid:durableId="1553690374">
    <w:abstractNumId w:val="5"/>
  </w:num>
  <w:num w:numId="29" w16cid:durableId="1443843654">
    <w:abstractNumId w:val="37"/>
  </w:num>
  <w:num w:numId="30" w16cid:durableId="1132213113">
    <w:abstractNumId w:val="35"/>
  </w:num>
  <w:num w:numId="31" w16cid:durableId="217669527">
    <w:abstractNumId w:val="17"/>
  </w:num>
  <w:num w:numId="32" w16cid:durableId="1530292225">
    <w:abstractNumId w:val="47"/>
  </w:num>
  <w:num w:numId="33" w16cid:durableId="942612414">
    <w:abstractNumId w:val="13"/>
  </w:num>
  <w:num w:numId="34" w16cid:durableId="1940336618">
    <w:abstractNumId w:val="21"/>
  </w:num>
  <w:num w:numId="35" w16cid:durableId="65036042">
    <w:abstractNumId w:val="34"/>
  </w:num>
  <w:num w:numId="36" w16cid:durableId="1130325992">
    <w:abstractNumId w:val="18"/>
  </w:num>
  <w:num w:numId="37" w16cid:durableId="97870637">
    <w:abstractNumId w:val="46"/>
  </w:num>
  <w:num w:numId="38" w16cid:durableId="429592558">
    <w:abstractNumId w:val="36"/>
  </w:num>
  <w:num w:numId="39" w16cid:durableId="524052887">
    <w:abstractNumId w:val="29"/>
  </w:num>
  <w:num w:numId="40" w16cid:durableId="313341597">
    <w:abstractNumId w:val="25"/>
  </w:num>
  <w:num w:numId="41" w16cid:durableId="1422288012">
    <w:abstractNumId w:val="26"/>
  </w:num>
  <w:num w:numId="42" w16cid:durableId="1760835185">
    <w:abstractNumId w:val="38"/>
  </w:num>
  <w:num w:numId="43" w16cid:durableId="1630357023">
    <w:abstractNumId w:val="9"/>
  </w:num>
  <w:num w:numId="44" w16cid:durableId="1962956030">
    <w:abstractNumId w:val="2"/>
  </w:num>
  <w:num w:numId="45" w16cid:durableId="951395425">
    <w:abstractNumId w:val="6"/>
  </w:num>
  <w:num w:numId="46" w16cid:durableId="1593123412">
    <w:abstractNumId w:val="30"/>
  </w:num>
  <w:num w:numId="47" w16cid:durableId="1421103700">
    <w:abstractNumId w:val="24"/>
  </w:num>
  <w:num w:numId="48" w16cid:durableId="1199202945">
    <w:abstractNumId w:val="45"/>
  </w:num>
  <w:num w:numId="49" w16cid:durableId="1646618063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dirty" w:grammar="dirty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0E45"/>
    <w:rsid w:val="00001A9C"/>
    <w:rsid w:val="0000461B"/>
    <w:rsid w:val="00004DA7"/>
    <w:rsid w:val="000063AC"/>
    <w:rsid w:val="000068D8"/>
    <w:rsid w:val="0000705E"/>
    <w:rsid w:val="00011908"/>
    <w:rsid w:val="0001211F"/>
    <w:rsid w:val="00012F14"/>
    <w:rsid w:val="00015204"/>
    <w:rsid w:val="00015E2B"/>
    <w:rsid w:val="00016884"/>
    <w:rsid w:val="00016924"/>
    <w:rsid w:val="00020ECB"/>
    <w:rsid w:val="00021A11"/>
    <w:rsid w:val="0002251B"/>
    <w:rsid w:val="000236B2"/>
    <w:rsid w:val="00026DCF"/>
    <w:rsid w:val="00030283"/>
    <w:rsid w:val="000314D8"/>
    <w:rsid w:val="00031910"/>
    <w:rsid w:val="00033005"/>
    <w:rsid w:val="00034704"/>
    <w:rsid w:val="00035144"/>
    <w:rsid w:val="000369C2"/>
    <w:rsid w:val="00041455"/>
    <w:rsid w:val="00042BE2"/>
    <w:rsid w:val="00042D7B"/>
    <w:rsid w:val="0004325C"/>
    <w:rsid w:val="000442F5"/>
    <w:rsid w:val="0004464A"/>
    <w:rsid w:val="0004513C"/>
    <w:rsid w:val="000456D8"/>
    <w:rsid w:val="00046D40"/>
    <w:rsid w:val="00047E14"/>
    <w:rsid w:val="00047E5E"/>
    <w:rsid w:val="00047F95"/>
    <w:rsid w:val="00050E23"/>
    <w:rsid w:val="00050EB9"/>
    <w:rsid w:val="00051090"/>
    <w:rsid w:val="000515B8"/>
    <w:rsid w:val="0005297A"/>
    <w:rsid w:val="00052A5A"/>
    <w:rsid w:val="000531F9"/>
    <w:rsid w:val="00054C3D"/>
    <w:rsid w:val="00054C7D"/>
    <w:rsid w:val="000575C3"/>
    <w:rsid w:val="00062054"/>
    <w:rsid w:val="00062608"/>
    <w:rsid w:val="00066E4F"/>
    <w:rsid w:val="0006798B"/>
    <w:rsid w:val="00070CBC"/>
    <w:rsid w:val="00074701"/>
    <w:rsid w:val="00075057"/>
    <w:rsid w:val="0007525A"/>
    <w:rsid w:val="00075555"/>
    <w:rsid w:val="00076394"/>
    <w:rsid w:val="0008221F"/>
    <w:rsid w:val="00082E97"/>
    <w:rsid w:val="00091693"/>
    <w:rsid w:val="000A055E"/>
    <w:rsid w:val="000A1161"/>
    <w:rsid w:val="000A276B"/>
    <w:rsid w:val="000A4409"/>
    <w:rsid w:val="000A5825"/>
    <w:rsid w:val="000A5C13"/>
    <w:rsid w:val="000A7ADB"/>
    <w:rsid w:val="000B0AAF"/>
    <w:rsid w:val="000B1BDB"/>
    <w:rsid w:val="000B260D"/>
    <w:rsid w:val="000B4557"/>
    <w:rsid w:val="000B46CA"/>
    <w:rsid w:val="000B5389"/>
    <w:rsid w:val="000B64EA"/>
    <w:rsid w:val="000C3517"/>
    <w:rsid w:val="000C4785"/>
    <w:rsid w:val="000C4E6E"/>
    <w:rsid w:val="000C614B"/>
    <w:rsid w:val="000C64AD"/>
    <w:rsid w:val="000C7076"/>
    <w:rsid w:val="000D05BA"/>
    <w:rsid w:val="000D16FA"/>
    <w:rsid w:val="000D23DD"/>
    <w:rsid w:val="000D3144"/>
    <w:rsid w:val="000D3C54"/>
    <w:rsid w:val="000D7371"/>
    <w:rsid w:val="000D77DA"/>
    <w:rsid w:val="000D7A32"/>
    <w:rsid w:val="000E136C"/>
    <w:rsid w:val="000E1B03"/>
    <w:rsid w:val="000E1B4C"/>
    <w:rsid w:val="000E25F5"/>
    <w:rsid w:val="000E33A7"/>
    <w:rsid w:val="000E6B11"/>
    <w:rsid w:val="000E7DFF"/>
    <w:rsid w:val="000F14C1"/>
    <w:rsid w:val="000F176E"/>
    <w:rsid w:val="000F2D50"/>
    <w:rsid w:val="000F62F3"/>
    <w:rsid w:val="000F766C"/>
    <w:rsid w:val="000F7BBB"/>
    <w:rsid w:val="00100464"/>
    <w:rsid w:val="001009A5"/>
    <w:rsid w:val="00102684"/>
    <w:rsid w:val="0010280C"/>
    <w:rsid w:val="0010296F"/>
    <w:rsid w:val="00102E32"/>
    <w:rsid w:val="00105CC5"/>
    <w:rsid w:val="00105F00"/>
    <w:rsid w:val="00106A86"/>
    <w:rsid w:val="00106FA2"/>
    <w:rsid w:val="00111EDE"/>
    <w:rsid w:val="00115C85"/>
    <w:rsid w:val="001169CB"/>
    <w:rsid w:val="00116A56"/>
    <w:rsid w:val="00117CBD"/>
    <w:rsid w:val="00120336"/>
    <w:rsid w:val="0012340C"/>
    <w:rsid w:val="00124329"/>
    <w:rsid w:val="00124B6F"/>
    <w:rsid w:val="00125122"/>
    <w:rsid w:val="00126334"/>
    <w:rsid w:val="0013252D"/>
    <w:rsid w:val="0013532A"/>
    <w:rsid w:val="00135DD2"/>
    <w:rsid w:val="00136657"/>
    <w:rsid w:val="001368AC"/>
    <w:rsid w:val="00137177"/>
    <w:rsid w:val="0013791D"/>
    <w:rsid w:val="00137967"/>
    <w:rsid w:val="00137C03"/>
    <w:rsid w:val="00140522"/>
    <w:rsid w:val="00142B91"/>
    <w:rsid w:val="001430D9"/>
    <w:rsid w:val="00143ABF"/>
    <w:rsid w:val="00143AD2"/>
    <w:rsid w:val="00144C96"/>
    <w:rsid w:val="0014626D"/>
    <w:rsid w:val="00146F89"/>
    <w:rsid w:val="001474B5"/>
    <w:rsid w:val="00153262"/>
    <w:rsid w:val="0015340B"/>
    <w:rsid w:val="00153A89"/>
    <w:rsid w:val="001548B6"/>
    <w:rsid w:val="001555F0"/>
    <w:rsid w:val="00156BD1"/>
    <w:rsid w:val="00156EBE"/>
    <w:rsid w:val="00160B43"/>
    <w:rsid w:val="001620DB"/>
    <w:rsid w:val="001622D8"/>
    <w:rsid w:val="00164ADE"/>
    <w:rsid w:val="0016750C"/>
    <w:rsid w:val="00170FBF"/>
    <w:rsid w:val="001715B6"/>
    <w:rsid w:val="0017251B"/>
    <w:rsid w:val="00173E14"/>
    <w:rsid w:val="001746AF"/>
    <w:rsid w:val="00174F20"/>
    <w:rsid w:val="001759B4"/>
    <w:rsid w:val="00175C89"/>
    <w:rsid w:val="0017744F"/>
    <w:rsid w:val="00181BB0"/>
    <w:rsid w:val="0018341B"/>
    <w:rsid w:val="0018463C"/>
    <w:rsid w:val="001874A6"/>
    <w:rsid w:val="00187CD1"/>
    <w:rsid w:val="00190179"/>
    <w:rsid w:val="00191564"/>
    <w:rsid w:val="00193E48"/>
    <w:rsid w:val="00196847"/>
    <w:rsid w:val="00197CE8"/>
    <w:rsid w:val="00197F52"/>
    <w:rsid w:val="001A0085"/>
    <w:rsid w:val="001A02C8"/>
    <w:rsid w:val="001A0689"/>
    <w:rsid w:val="001A21E9"/>
    <w:rsid w:val="001A27D8"/>
    <w:rsid w:val="001A35EF"/>
    <w:rsid w:val="001A3EAF"/>
    <w:rsid w:val="001A7BBF"/>
    <w:rsid w:val="001A7CAC"/>
    <w:rsid w:val="001A7F7F"/>
    <w:rsid w:val="001B0D9B"/>
    <w:rsid w:val="001B645C"/>
    <w:rsid w:val="001B6590"/>
    <w:rsid w:val="001B6DD1"/>
    <w:rsid w:val="001C27EF"/>
    <w:rsid w:val="001C4353"/>
    <w:rsid w:val="001C4D88"/>
    <w:rsid w:val="001C5A50"/>
    <w:rsid w:val="001C5C04"/>
    <w:rsid w:val="001C6AF0"/>
    <w:rsid w:val="001C7129"/>
    <w:rsid w:val="001D3382"/>
    <w:rsid w:val="001D366B"/>
    <w:rsid w:val="001D69A5"/>
    <w:rsid w:val="001D7EE4"/>
    <w:rsid w:val="001E6859"/>
    <w:rsid w:val="001F17A4"/>
    <w:rsid w:val="001F56DC"/>
    <w:rsid w:val="001F57E5"/>
    <w:rsid w:val="001F680C"/>
    <w:rsid w:val="001F7806"/>
    <w:rsid w:val="00200D53"/>
    <w:rsid w:val="0020109B"/>
    <w:rsid w:val="002047B5"/>
    <w:rsid w:val="0020481D"/>
    <w:rsid w:val="00205C69"/>
    <w:rsid w:val="0020702F"/>
    <w:rsid w:val="0020770B"/>
    <w:rsid w:val="00207CD2"/>
    <w:rsid w:val="00207D52"/>
    <w:rsid w:val="00210409"/>
    <w:rsid w:val="002105E5"/>
    <w:rsid w:val="00210BE0"/>
    <w:rsid w:val="00211A92"/>
    <w:rsid w:val="00211CE3"/>
    <w:rsid w:val="00211E13"/>
    <w:rsid w:val="00213233"/>
    <w:rsid w:val="002155A9"/>
    <w:rsid w:val="00217F4D"/>
    <w:rsid w:val="00222274"/>
    <w:rsid w:val="002225A0"/>
    <w:rsid w:val="00223237"/>
    <w:rsid w:val="00223BA2"/>
    <w:rsid w:val="0022598D"/>
    <w:rsid w:val="00225B62"/>
    <w:rsid w:val="00225FCA"/>
    <w:rsid w:val="00226704"/>
    <w:rsid w:val="00230614"/>
    <w:rsid w:val="0023543E"/>
    <w:rsid w:val="00235A26"/>
    <w:rsid w:val="0024051A"/>
    <w:rsid w:val="00242A27"/>
    <w:rsid w:val="002449E1"/>
    <w:rsid w:val="002464D3"/>
    <w:rsid w:val="00250081"/>
    <w:rsid w:val="00250481"/>
    <w:rsid w:val="0025063B"/>
    <w:rsid w:val="00250D98"/>
    <w:rsid w:val="00251F10"/>
    <w:rsid w:val="0025374D"/>
    <w:rsid w:val="002565B7"/>
    <w:rsid w:val="00256F72"/>
    <w:rsid w:val="002571CE"/>
    <w:rsid w:val="00260BD3"/>
    <w:rsid w:val="00262A24"/>
    <w:rsid w:val="00263A65"/>
    <w:rsid w:val="0026498C"/>
    <w:rsid w:val="00264A0C"/>
    <w:rsid w:val="00264B62"/>
    <w:rsid w:val="00264FE6"/>
    <w:rsid w:val="00265702"/>
    <w:rsid w:val="002710BA"/>
    <w:rsid w:val="002727F7"/>
    <w:rsid w:val="00274EBD"/>
    <w:rsid w:val="002756CD"/>
    <w:rsid w:val="00275EC1"/>
    <w:rsid w:val="00276812"/>
    <w:rsid w:val="00276F1C"/>
    <w:rsid w:val="00277604"/>
    <w:rsid w:val="00277BC0"/>
    <w:rsid w:val="00280369"/>
    <w:rsid w:val="002808CF"/>
    <w:rsid w:val="00280C47"/>
    <w:rsid w:val="00280D61"/>
    <w:rsid w:val="00284ADA"/>
    <w:rsid w:val="0029002E"/>
    <w:rsid w:val="0029110A"/>
    <w:rsid w:val="00291ACC"/>
    <w:rsid w:val="002928CD"/>
    <w:rsid w:val="00293076"/>
    <w:rsid w:val="00293355"/>
    <w:rsid w:val="002933E1"/>
    <w:rsid w:val="00293B29"/>
    <w:rsid w:val="002945BF"/>
    <w:rsid w:val="00294BAC"/>
    <w:rsid w:val="00295028"/>
    <w:rsid w:val="00295065"/>
    <w:rsid w:val="00295C90"/>
    <w:rsid w:val="0029714D"/>
    <w:rsid w:val="002A0DB8"/>
    <w:rsid w:val="002A11D4"/>
    <w:rsid w:val="002A2303"/>
    <w:rsid w:val="002A23A4"/>
    <w:rsid w:val="002A23B7"/>
    <w:rsid w:val="002A303D"/>
    <w:rsid w:val="002A35FD"/>
    <w:rsid w:val="002A3B51"/>
    <w:rsid w:val="002A6F78"/>
    <w:rsid w:val="002B0498"/>
    <w:rsid w:val="002B0E37"/>
    <w:rsid w:val="002B0F24"/>
    <w:rsid w:val="002B2BAA"/>
    <w:rsid w:val="002B4028"/>
    <w:rsid w:val="002B4509"/>
    <w:rsid w:val="002B52B3"/>
    <w:rsid w:val="002B6207"/>
    <w:rsid w:val="002B6955"/>
    <w:rsid w:val="002B6EC3"/>
    <w:rsid w:val="002B70C6"/>
    <w:rsid w:val="002C0264"/>
    <w:rsid w:val="002C06B8"/>
    <w:rsid w:val="002C1559"/>
    <w:rsid w:val="002C4A0F"/>
    <w:rsid w:val="002C4CEE"/>
    <w:rsid w:val="002C6636"/>
    <w:rsid w:val="002C6BE5"/>
    <w:rsid w:val="002D014F"/>
    <w:rsid w:val="002D0776"/>
    <w:rsid w:val="002D3277"/>
    <w:rsid w:val="002D4A61"/>
    <w:rsid w:val="002D67D0"/>
    <w:rsid w:val="002D6F97"/>
    <w:rsid w:val="002E10AC"/>
    <w:rsid w:val="002E1B91"/>
    <w:rsid w:val="002E4B71"/>
    <w:rsid w:val="002F03EC"/>
    <w:rsid w:val="002F0E5F"/>
    <w:rsid w:val="002F16BD"/>
    <w:rsid w:val="002F344E"/>
    <w:rsid w:val="002F4845"/>
    <w:rsid w:val="002F4F73"/>
    <w:rsid w:val="002F635D"/>
    <w:rsid w:val="002F7977"/>
    <w:rsid w:val="0030040A"/>
    <w:rsid w:val="0030415C"/>
    <w:rsid w:val="00304535"/>
    <w:rsid w:val="00305DC0"/>
    <w:rsid w:val="00306461"/>
    <w:rsid w:val="0030792B"/>
    <w:rsid w:val="00307FC7"/>
    <w:rsid w:val="00310D1A"/>
    <w:rsid w:val="003113DB"/>
    <w:rsid w:val="00312A8F"/>
    <w:rsid w:val="00313947"/>
    <w:rsid w:val="003151F7"/>
    <w:rsid w:val="00317101"/>
    <w:rsid w:val="00317C41"/>
    <w:rsid w:val="00321483"/>
    <w:rsid w:val="00321874"/>
    <w:rsid w:val="00321A13"/>
    <w:rsid w:val="00323C66"/>
    <w:rsid w:val="00324224"/>
    <w:rsid w:val="00325713"/>
    <w:rsid w:val="00326166"/>
    <w:rsid w:val="00326F40"/>
    <w:rsid w:val="00327439"/>
    <w:rsid w:val="0033207B"/>
    <w:rsid w:val="00333D51"/>
    <w:rsid w:val="003342BE"/>
    <w:rsid w:val="0033512A"/>
    <w:rsid w:val="003358B3"/>
    <w:rsid w:val="00336A87"/>
    <w:rsid w:val="003374EE"/>
    <w:rsid w:val="0033782F"/>
    <w:rsid w:val="00341A29"/>
    <w:rsid w:val="00341C6B"/>
    <w:rsid w:val="00343948"/>
    <w:rsid w:val="00343B45"/>
    <w:rsid w:val="00344211"/>
    <w:rsid w:val="00345523"/>
    <w:rsid w:val="003458AA"/>
    <w:rsid w:val="00346146"/>
    <w:rsid w:val="003469DB"/>
    <w:rsid w:val="00351C3D"/>
    <w:rsid w:val="00353341"/>
    <w:rsid w:val="0035469D"/>
    <w:rsid w:val="00355ECB"/>
    <w:rsid w:val="0036238A"/>
    <w:rsid w:val="0036428C"/>
    <w:rsid w:val="0036446B"/>
    <w:rsid w:val="00364FC0"/>
    <w:rsid w:val="003664A8"/>
    <w:rsid w:val="00372914"/>
    <w:rsid w:val="00373272"/>
    <w:rsid w:val="00374DC2"/>
    <w:rsid w:val="00374F76"/>
    <w:rsid w:val="003764EE"/>
    <w:rsid w:val="003765A5"/>
    <w:rsid w:val="0038016C"/>
    <w:rsid w:val="00380F3B"/>
    <w:rsid w:val="00381C09"/>
    <w:rsid w:val="00382339"/>
    <w:rsid w:val="0038254B"/>
    <w:rsid w:val="00382CE5"/>
    <w:rsid w:val="00382DE7"/>
    <w:rsid w:val="0038414B"/>
    <w:rsid w:val="00384B34"/>
    <w:rsid w:val="00384C75"/>
    <w:rsid w:val="00387331"/>
    <w:rsid w:val="00387A82"/>
    <w:rsid w:val="0039008E"/>
    <w:rsid w:val="00391015"/>
    <w:rsid w:val="00392A3E"/>
    <w:rsid w:val="00393A93"/>
    <w:rsid w:val="00393F76"/>
    <w:rsid w:val="00394CF5"/>
    <w:rsid w:val="0039646D"/>
    <w:rsid w:val="00396BCE"/>
    <w:rsid w:val="003A56C9"/>
    <w:rsid w:val="003A66DE"/>
    <w:rsid w:val="003B216F"/>
    <w:rsid w:val="003B58FE"/>
    <w:rsid w:val="003B60E8"/>
    <w:rsid w:val="003C11E1"/>
    <w:rsid w:val="003C1D16"/>
    <w:rsid w:val="003C1D18"/>
    <w:rsid w:val="003C33B1"/>
    <w:rsid w:val="003C4F59"/>
    <w:rsid w:val="003C668A"/>
    <w:rsid w:val="003C6D6A"/>
    <w:rsid w:val="003C6E98"/>
    <w:rsid w:val="003C7E11"/>
    <w:rsid w:val="003D0AAE"/>
    <w:rsid w:val="003D1C23"/>
    <w:rsid w:val="003D1F20"/>
    <w:rsid w:val="003D4160"/>
    <w:rsid w:val="003D433B"/>
    <w:rsid w:val="003D4D77"/>
    <w:rsid w:val="003D5A75"/>
    <w:rsid w:val="003D5BF4"/>
    <w:rsid w:val="003E013B"/>
    <w:rsid w:val="003E14F9"/>
    <w:rsid w:val="003E2897"/>
    <w:rsid w:val="003E3BCF"/>
    <w:rsid w:val="003E4266"/>
    <w:rsid w:val="003E52C3"/>
    <w:rsid w:val="003E621E"/>
    <w:rsid w:val="003E6E6B"/>
    <w:rsid w:val="003E7E57"/>
    <w:rsid w:val="003F0334"/>
    <w:rsid w:val="003F11EA"/>
    <w:rsid w:val="003F17D8"/>
    <w:rsid w:val="003F1B1C"/>
    <w:rsid w:val="003F25B3"/>
    <w:rsid w:val="003F4FF5"/>
    <w:rsid w:val="003F5046"/>
    <w:rsid w:val="003F5EDD"/>
    <w:rsid w:val="003F629D"/>
    <w:rsid w:val="003F7F73"/>
    <w:rsid w:val="00403BCE"/>
    <w:rsid w:val="0040438F"/>
    <w:rsid w:val="00405463"/>
    <w:rsid w:val="004058A0"/>
    <w:rsid w:val="004065A8"/>
    <w:rsid w:val="00406CDE"/>
    <w:rsid w:val="00407C0A"/>
    <w:rsid w:val="00410D64"/>
    <w:rsid w:val="00411A2F"/>
    <w:rsid w:val="004133BD"/>
    <w:rsid w:val="004138AA"/>
    <w:rsid w:val="004152C3"/>
    <w:rsid w:val="00415614"/>
    <w:rsid w:val="004165E0"/>
    <w:rsid w:val="00416D76"/>
    <w:rsid w:val="0042168A"/>
    <w:rsid w:val="00421E18"/>
    <w:rsid w:val="00421F63"/>
    <w:rsid w:val="00422410"/>
    <w:rsid w:val="004229EC"/>
    <w:rsid w:val="00423016"/>
    <w:rsid w:val="00423A4C"/>
    <w:rsid w:val="004261E0"/>
    <w:rsid w:val="00427762"/>
    <w:rsid w:val="00427823"/>
    <w:rsid w:val="00431D32"/>
    <w:rsid w:val="00432413"/>
    <w:rsid w:val="00432738"/>
    <w:rsid w:val="00433E0F"/>
    <w:rsid w:val="0043413B"/>
    <w:rsid w:val="004345D1"/>
    <w:rsid w:val="00435C49"/>
    <w:rsid w:val="00435FBA"/>
    <w:rsid w:val="00435FF0"/>
    <w:rsid w:val="00436F14"/>
    <w:rsid w:val="004371AE"/>
    <w:rsid w:val="00437878"/>
    <w:rsid w:val="00441F0B"/>
    <w:rsid w:val="00445A3E"/>
    <w:rsid w:val="00445F48"/>
    <w:rsid w:val="004473F5"/>
    <w:rsid w:val="00447E20"/>
    <w:rsid w:val="004525DA"/>
    <w:rsid w:val="00452F5A"/>
    <w:rsid w:val="004553F1"/>
    <w:rsid w:val="004556D2"/>
    <w:rsid w:val="004655B6"/>
    <w:rsid w:val="00471978"/>
    <w:rsid w:val="00471B74"/>
    <w:rsid w:val="004755F4"/>
    <w:rsid w:val="004776A4"/>
    <w:rsid w:val="0048026D"/>
    <w:rsid w:val="004810CA"/>
    <w:rsid w:val="004811A3"/>
    <w:rsid w:val="00482398"/>
    <w:rsid w:val="00483882"/>
    <w:rsid w:val="00484374"/>
    <w:rsid w:val="00493B47"/>
    <w:rsid w:val="00494441"/>
    <w:rsid w:val="00496E86"/>
    <w:rsid w:val="00497548"/>
    <w:rsid w:val="00497669"/>
    <w:rsid w:val="004976C6"/>
    <w:rsid w:val="004A1394"/>
    <w:rsid w:val="004A2701"/>
    <w:rsid w:val="004A4D2D"/>
    <w:rsid w:val="004A5FB0"/>
    <w:rsid w:val="004B0C34"/>
    <w:rsid w:val="004B10B5"/>
    <w:rsid w:val="004B1B6D"/>
    <w:rsid w:val="004B24A3"/>
    <w:rsid w:val="004B2EF3"/>
    <w:rsid w:val="004B5C2A"/>
    <w:rsid w:val="004B74BC"/>
    <w:rsid w:val="004C0064"/>
    <w:rsid w:val="004C1EA1"/>
    <w:rsid w:val="004C6417"/>
    <w:rsid w:val="004C67CC"/>
    <w:rsid w:val="004D061A"/>
    <w:rsid w:val="004D0699"/>
    <w:rsid w:val="004D1161"/>
    <w:rsid w:val="004D14A6"/>
    <w:rsid w:val="004D257D"/>
    <w:rsid w:val="004D34AD"/>
    <w:rsid w:val="004D5CD6"/>
    <w:rsid w:val="004D6830"/>
    <w:rsid w:val="004D6B12"/>
    <w:rsid w:val="004E0438"/>
    <w:rsid w:val="004E0647"/>
    <w:rsid w:val="004E1226"/>
    <w:rsid w:val="004E1CCE"/>
    <w:rsid w:val="004E2995"/>
    <w:rsid w:val="004E2DBE"/>
    <w:rsid w:val="004E3EBC"/>
    <w:rsid w:val="004E5098"/>
    <w:rsid w:val="004E71DB"/>
    <w:rsid w:val="004F0999"/>
    <w:rsid w:val="004F0D5D"/>
    <w:rsid w:val="004F0D62"/>
    <w:rsid w:val="004F192A"/>
    <w:rsid w:val="004F1FC4"/>
    <w:rsid w:val="004F277F"/>
    <w:rsid w:val="004F668D"/>
    <w:rsid w:val="004F7321"/>
    <w:rsid w:val="005003AE"/>
    <w:rsid w:val="00501DBF"/>
    <w:rsid w:val="0050219C"/>
    <w:rsid w:val="005021BB"/>
    <w:rsid w:val="005021C4"/>
    <w:rsid w:val="00502FC2"/>
    <w:rsid w:val="00503739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23E17"/>
    <w:rsid w:val="00524E52"/>
    <w:rsid w:val="00526607"/>
    <w:rsid w:val="00526AC6"/>
    <w:rsid w:val="00526ADF"/>
    <w:rsid w:val="00526C7E"/>
    <w:rsid w:val="00526E16"/>
    <w:rsid w:val="0053006D"/>
    <w:rsid w:val="00532BFD"/>
    <w:rsid w:val="005333AD"/>
    <w:rsid w:val="00533AE4"/>
    <w:rsid w:val="005440AC"/>
    <w:rsid w:val="0054472A"/>
    <w:rsid w:val="00544B04"/>
    <w:rsid w:val="005450FE"/>
    <w:rsid w:val="00545B2F"/>
    <w:rsid w:val="00546CDE"/>
    <w:rsid w:val="00547417"/>
    <w:rsid w:val="0054789D"/>
    <w:rsid w:val="005536DD"/>
    <w:rsid w:val="00553DC1"/>
    <w:rsid w:val="00554E1F"/>
    <w:rsid w:val="00557323"/>
    <w:rsid w:val="00557962"/>
    <w:rsid w:val="00562354"/>
    <w:rsid w:val="00562801"/>
    <w:rsid w:val="00564D5B"/>
    <w:rsid w:val="005658F3"/>
    <w:rsid w:val="00566315"/>
    <w:rsid w:val="005679B2"/>
    <w:rsid w:val="00571910"/>
    <w:rsid w:val="0057276B"/>
    <w:rsid w:val="00573A4B"/>
    <w:rsid w:val="0057408B"/>
    <w:rsid w:val="00574327"/>
    <w:rsid w:val="00574B2E"/>
    <w:rsid w:val="00576C43"/>
    <w:rsid w:val="00577AF5"/>
    <w:rsid w:val="005832CC"/>
    <w:rsid w:val="0058489E"/>
    <w:rsid w:val="00584C15"/>
    <w:rsid w:val="00587CF7"/>
    <w:rsid w:val="00592A5F"/>
    <w:rsid w:val="00595B10"/>
    <w:rsid w:val="00596C8D"/>
    <w:rsid w:val="005A02AB"/>
    <w:rsid w:val="005A370E"/>
    <w:rsid w:val="005A3899"/>
    <w:rsid w:val="005A3CE7"/>
    <w:rsid w:val="005A3FE1"/>
    <w:rsid w:val="005A412F"/>
    <w:rsid w:val="005A4D83"/>
    <w:rsid w:val="005A5817"/>
    <w:rsid w:val="005A736F"/>
    <w:rsid w:val="005B0913"/>
    <w:rsid w:val="005B0BB7"/>
    <w:rsid w:val="005B0FA8"/>
    <w:rsid w:val="005B1125"/>
    <w:rsid w:val="005B1A69"/>
    <w:rsid w:val="005B2DB0"/>
    <w:rsid w:val="005B2FED"/>
    <w:rsid w:val="005B40D5"/>
    <w:rsid w:val="005B7459"/>
    <w:rsid w:val="005B7DF0"/>
    <w:rsid w:val="005B7EC4"/>
    <w:rsid w:val="005C0DBD"/>
    <w:rsid w:val="005C2ABA"/>
    <w:rsid w:val="005C385B"/>
    <w:rsid w:val="005C3D0B"/>
    <w:rsid w:val="005C5481"/>
    <w:rsid w:val="005C6138"/>
    <w:rsid w:val="005C6594"/>
    <w:rsid w:val="005C68A3"/>
    <w:rsid w:val="005C6996"/>
    <w:rsid w:val="005C7B32"/>
    <w:rsid w:val="005C7F0C"/>
    <w:rsid w:val="005D3A8D"/>
    <w:rsid w:val="005D3C30"/>
    <w:rsid w:val="005D6200"/>
    <w:rsid w:val="005D6DC2"/>
    <w:rsid w:val="005E0688"/>
    <w:rsid w:val="005E3625"/>
    <w:rsid w:val="005E45B5"/>
    <w:rsid w:val="005F0397"/>
    <w:rsid w:val="005F0E0A"/>
    <w:rsid w:val="005F4A56"/>
    <w:rsid w:val="005F5257"/>
    <w:rsid w:val="005F646C"/>
    <w:rsid w:val="005F6E6B"/>
    <w:rsid w:val="005F78D1"/>
    <w:rsid w:val="00602C10"/>
    <w:rsid w:val="00606D3F"/>
    <w:rsid w:val="00607AC8"/>
    <w:rsid w:val="006104F3"/>
    <w:rsid w:val="00611562"/>
    <w:rsid w:val="006116CB"/>
    <w:rsid w:val="00612710"/>
    <w:rsid w:val="00613560"/>
    <w:rsid w:val="0061499B"/>
    <w:rsid w:val="00615130"/>
    <w:rsid w:val="006209FA"/>
    <w:rsid w:val="00622E98"/>
    <w:rsid w:val="00627715"/>
    <w:rsid w:val="00631FF8"/>
    <w:rsid w:val="00633726"/>
    <w:rsid w:val="00633A78"/>
    <w:rsid w:val="00635434"/>
    <w:rsid w:val="00635924"/>
    <w:rsid w:val="0063655D"/>
    <w:rsid w:val="00637C18"/>
    <w:rsid w:val="0064149F"/>
    <w:rsid w:val="00643C9C"/>
    <w:rsid w:val="006445C3"/>
    <w:rsid w:val="0064533D"/>
    <w:rsid w:val="006460F8"/>
    <w:rsid w:val="006461A6"/>
    <w:rsid w:val="00651F2E"/>
    <w:rsid w:val="00653273"/>
    <w:rsid w:val="00653F5A"/>
    <w:rsid w:val="0065617D"/>
    <w:rsid w:val="00657402"/>
    <w:rsid w:val="00660F14"/>
    <w:rsid w:val="00663008"/>
    <w:rsid w:val="00663C54"/>
    <w:rsid w:val="00663F9A"/>
    <w:rsid w:val="00664585"/>
    <w:rsid w:val="00665B4F"/>
    <w:rsid w:val="006668D8"/>
    <w:rsid w:val="00671053"/>
    <w:rsid w:val="0067348B"/>
    <w:rsid w:val="00673E24"/>
    <w:rsid w:val="006773CE"/>
    <w:rsid w:val="00677805"/>
    <w:rsid w:val="00677E67"/>
    <w:rsid w:val="00680D00"/>
    <w:rsid w:val="00681731"/>
    <w:rsid w:val="006858BD"/>
    <w:rsid w:val="006870E4"/>
    <w:rsid w:val="006906AE"/>
    <w:rsid w:val="00690E92"/>
    <w:rsid w:val="006928E6"/>
    <w:rsid w:val="0069336F"/>
    <w:rsid w:val="00696978"/>
    <w:rsid w:val="00697188"/>
    <w:rsid w:val="00697BDC"/>
    <w:rsid w:val="006A10B6"/>
    <w:rsid w:val="006A4BD4"/>
    <w:rsid w:val="006A62D0"/>
    <w:rsid w:val="006B0930"/>
    <w:rsid w:val="006B14A4"/>
    <w:rsid w:val="006B1712"/>
    <w:rsid w:val="006B1971"/>
    <w:rsid w:val="006B2D40"/>
    <w:rsid w:val="006B59A2"/>
    <w:rsid w:val="006B5BE8"/>
    <w:rsid w:val="006B612F"/>
    <w:rsid w:val="006B6657"/>
    <w:rsid w:val="006B7161"/>
    <w:rsid w:val="006B77B9"/>
    <w:rsid w:val="006B7B52"/>
    <w:rsid w:val="006C2F85"/>
    <w:rsid w:val="006C3BF1"/>
    <w:rsid w:val="006C5D8B"/>
    <w:rsid w:val="006C6BA9"/>
    <w:rsid w:val="006D07F6"/>
    <w:rsid w:val="006D10E1"/>
    <w:rsid w:val="006D2EB6"/>
    <w:rsid w:val="006D386D"/>
    <w:rsid w:val="006D38D6"/>
    <w:rsid w:val="006D3979"/>
    <w:rsid w:val="006D6281"/>
    <w:rsid w:val="006D73FB"/>
    <w:rsid w:val="006E0A9D"/>
    <w:rsid w:val="006E34F7"/>
    <w:rsid w:val="006E3921"/>
    <w:rsid w:val="006E39D2"/>
    <w:rsid w:val="006E59A1"/>
    <w:rsid w:val="006F1553"/>
    <w:rsid w:val="006F256F"/>
    <w:rsid w:val="006F2898"/>
    <w:rsid w:val="006F4FA4"/>
    <w:rsid w:val="006F55B6"/>
    <w:rsid w:val="006F666A"/>
    <w:rsid w:val="006F6861"/>
    <w:rsid w:val="007019E7"/>
    <w:rsid w:val="00702BA1"/>
    <w:rsid w:val="0070309A"/>
    <w:rsid w:val="00703DBC"/>
    <w:rsid w:val="0070514E"/>
    <w:rsid w:val="00706970"/>
    <w:rsid w:val="00707E7C"/>
    <w:rsid w:val="00710029"/>
    <w:rsid w:val="00710EED"/>
    <w:rsid w:val="00711243"/>
    <w:rsid w:val="00711D80"/>
    <w:rsid w:val="007123ED"/>
    <w:rsid w:val="00712AFD"/>
    <w:rsid w:val="00713498"/>
    <w:rsid w:val="007159A8"/>
    <w:rsid w:val="00717049"/>
    <w:rsid w:val="0071799C"/>
    <w:rsid w:val="00720766"/>
    <w:rsid w:val="00720951"/>
    <w:rsid w:val="007210F3"/>
    <w:rsid w:val="0072121D"/>
    <w:rsid w:val="00722DE1"/>
    <w:rsid w:val="007237B8"/>
    <w:rsid w:val="0072538B"/>
    <w:rsid w:val="007257F0"/>
    <w:rsid w:val="007257F6"/>
    <w:rsid w:val="0072623D"/>
    <w:rsid w:val="00726FB4"/>
    <w:rsid w:val="007302C9"/>
    <w:rsid w:val="007315B8"/>
    <w:rsid w:val="0073279D"/>
    <w:rsid w:val="00734FD0"/>
    <w:rsid w:val="007402E9"/>
    <w:rsid w:val="00741A7A"/>
    <w:rsid w:val="00741C93"/>
    <w:rsid w:val="00743BE5"/>
    <w:rsid w:val="00745B62"/>
    <w:rsid w:val="0074772E"/>
    <w:rsid w:val="00750C29"/>
    <w:rsid w:val="00752606"/>
    <w:rsid w:val="00752850"/>
    <w:rsid w:val="00753463"/>
    <w:rsid w:val="00753B93"/>
    <w:rsid w:val="00754C35"/>
    <w:rsid w:val="0075622E"/>
    <w:rsid w:val="007577BC"/>
    <w:rsid w:val="0076025D"/>
    <w:rsid w:val="007629B8"/>
    <w:rsid w:val="00763003"/>
    <w:rsid w:val="0076437C"/>
    <w:rsid w:val="00764CD2"/>
    <w:rsid w:val="00764ED5"/>
    <w:rsid w:val="0076601B"/>
    <w:rsid w:val="007701BB"/>
    <w:rsid w:val="00770302"/>
    <w:rsid w:val="0077075F"/>
    <w:rsid w:val="00770BD4"/>
    <w:rsid w:val="00772418"/>
    <w:rsid w:val="007746DD"/>
    <w:rsid w:val="007754A5"/>
    <w:rsid w:val="00775A33"/>
    <w:rsid w:val="00775A7E"/>
    <w:rsid w:val="0077615A"/>
    <w:rsid w:val="0078387C"/>
    <w:rsid w:val="007838D9"/>
    <w:rsid w:val="00785769"/>
    <w:rsid w:val="00785906"/>
    <w:rsid w:val="00790CB7"/>
    <w:rsid w:val="00796871"/>
    <w:rsid w:val="00796BA9"/>
    <w:rsid w:val="007979CA"/>
    <w:rsid w:val="007A002C"/>
    <w:rsid w:val="007A0B64"/>
    <w:rsid w:val="007A1615"/>
    <w:rsid w:val="007A3039"/>
    <w:rsid w:val="007A3434"/>
    <w:rsid w:val="007A43F7"/>
    <w:rsid w:val="007A4DBB"/>
    <w:rsid w:val="007A56A1"/>
    <w:rsid w:val="007A5DD1"/>
    <w:rsid w:val="007A5F19"/>
    <w:rsid w:val="007A704E"/>
    <w:rsid w:val="007A7340"/>
    <w:rsid w:val="007B1CF1"/>
    <w:rsid w:val="007B485D"/>
    <w:rsid w:val="007B5D63"/>
    <w:rsid w:val="007B706A"/>
    <w:rsid w:val="007B7B48"/>
    <w:rsid w:val="007C0A44"/>
    <w:rsid w:val="007C0C88"/>
    <w:rsid w:val="007C1213"/>
    <w:rsid w:val="007C462C"/>
    <w:rsid w:val="007C4E0C"/>
    <w:rsid w:val="007C6D6C"/>
    <w:rsid w:val="007C72F6"/>
    <w:rsid w:val="007D07E2"/>
    <w:rsid w:val="007D1E08"/>
    <w:rsid w:val="007D3544"/>
    <w:rsid w:val="007D40C6"/>
    <w:rsid w:val="007E0593"/>
    <w:rsid w:val="007E21C9"/>
    <w:rsid w:val="007E3B25"/>
    <w:rsid w:val="007E3BA1"/>
    <w:rsid w:val="007E434C"/>
    <w:rsid w:val="007E4583"/>
    <w:rsid w:val="007E4A3E"/>
    <w:rsid w:val="007F0A5C"/>
    <w:rsid w:val="007F2769"/>
    <w:rsid w:val="007F2D9B"/>
    <w:rsid w:val="007F34CA"/>
    <w:rsid w:val="007F3F1D"/>
    <w:rsid w:val="007F5375"/>
    <w:rsid w:val="007F7B2E"/>
    <w:rsid w:val="00800187"/>
    <w:rsid w:val="00803223"/>
    <w:rsid w:val="00805640"/>
    <w:rsid w:val="0080609B"/>
    <w:rsid w:val="00807298"/>
    <w:rsid w:val="0080741F"/>
    <w:rsid w:val="00807B04"/>
    <w:rsid w:val="00807B85"/>
    <w:rsid w:val="00807C9E"/>
    <w:rsid w:val="00812A88"/>
    <w:rsid w:val="008132E2"/>
    <w:rsid w:val="008142AC"/>
    <w:rsid w:val="00815E69"/>
    <w:rsid w:val="00816A2B"/>
    <w:rsid w:val="00816E96"/>
    <w:rsid w:val="008172E2"/>
    <w:rsid w:val="00820411"/>
    <w:rsid w:val="00820985"/>
    <w:rsid w:val="00820C48"/>
    <w:rsid w:val="00821DBE"/>
    <w:rsid w:val="00821F07"/>
    <w:rsid w:val="008249D3"/>
    <w:rsid w:val="00825B94"/>
    <w:rsid w:val="00825F70"/>
    <w:rsid w:val="0082799F"/>
    <w:rsid w:val="008309FC"/>
    <w:rsid w:val="008317D4"/>
    <w:rsid w:val="00831BC8"/>
    <w:rsid w:val="008334E3"/>
    <w:rsid w:val="00833705"/>
    <w:rsid w:val="00834E62"/>
    <w:rsid w:val="00836324"/>
    <w:rsid w:val="00836816"/>
    <w:rsid w:val="00840284"/>
    <w:rsid w:val="00840ADC"/>
    <w:rsid w:val="00843D95"/>
    <w:rsid w:val="008440FB"/>
    <w:rsid w:val="00844F06"/>
    <w:rsid w:val="00846B27"/>
    <w:rsid w:val="00846CE7"/>
    <w:rsid w:val="008515FB"/>
    <w:rsid w:val="0085208E"/>
    <w:rsid w:val="00853AC4"/>
    <w:rsid w:val="00854037"/>
    <w:rsid w:val="00854A04"/>
    <w:rsid w:val="00856731"/>
    <w:rsid w:val="008618B1"/>
    <w:rsid w:val="00861D9F"/>
    <w:rsid w:val="00863406"/>
    <w:rsid w:val="00863626"/>
    <w:rsid w:val="00864DCD"/>
    <w:rsid w:val="00865A9D"/>
    <w:rsid w:val="00865CD6"/>
    <w:rsid w:val="00866C66"/>
    <w:rsid w:val="008674C0"/>
    <w:rsid w:val="00867C03"/>
    <w:rsid w:val="008700CA"/>
    <w:rsid w:val="00870C6A"/>
    <w:rsid w:val="00870CF2"/>
    <w:rsid w:val="00874506"/>
    <w:rsid w:val="008761EC"/>
    <w:rsid w:val="008764EF"/>
    <w:rsid w:val="008806FA"/>
    <w:rsid w:val="008828D4"/>
    <w:rsid w:val="008848B5"/>
    <w:rsid w:val="008848DD"/>
    <w:rsid w:val="00885F39"/>
    <w:rsid w:val="008861D9"/>
    <w:rsid w:val="008905F6"/>
    <w:rsid w:val="00890F0D"/>
    <w:rsid w:val="00890FEA"/>
    <w:rsid w:val="00891D6A"/>
    <w:rsid w:val="00893E60"/>
    <w:rsid w:val="008948A5"/>
    <w:rsid w:val="008955B2"/>
    <w:rsid w:val="00897919"/>
    <w:rsid w:val="008A18BC"/>
    <w:rsid w:val="008A1DAB"/>
    <w:rsid w:val="008A2803"/>
    <w:rsid w:val="008A3CB7"/>
    <w:rsid w:val="008A559D"/>
    <w:rsid w:val="008A5B68"/>
    <w:rsid w:val="008A7E93"/>
    <w:rsid w:val="008B0F04"/>
    <w:rsid w:val="008B16AB"/>
    <w:rsid w:val="008B1CA3"/>
    <w:rsid w:val="008B1E43"/>
    <w:rsid w:val="008B284A"/>
    <w:rsid w:val="008B5789"/>
    <w:rsid w:val="008C3068"/>
    <w:rsid w:val="008C3AB2"/>
    <w:rsid w:val="008C5759"/>
    <w:rsid w:val="008C6800"/>
    <w:rsid w:val="008D1DCC"/>
    <w:rsid w:val="008D2AB4"/>
    <w:rsid w:val="008D37F9"/>
    <w:rsid w:val="008D5301"/>
    <w:rsid w:val="008D5571"/>
    <w:rsid w:val="008D5ADF"/>
    <w:rsid w:val="008D6F9C"/>
    <w:rsid w:val="008D71EF"/>
    <w:rsid w:val="008E0275"/>
    <w:rsid w:val="008E0726"/>
    <w:rsid w:val="008E0FA9"/>
    <w:rsid w:val="008E4062"/>
    <w:rsid w:val="008E4E94"/>
    <w:rsid w:val="008E4F8A"/>
    <w:rsid w:val="008E6AAF"/>
    <w:rsid w:val="008F0AF2"/>
    <w:rsid w:val="008F12AC"/>
    <w:rsid w:val="008F26C5"/>
    <w:rsid w:val="008F2CDE"/>
    <w:rsid w:val="008F2E42"/>
    <w:rsid w:val="008F5A1E"/>
    <w:rsid w:val="009000F0"/>
    <w:rsid w:val="00900825"/>
    <w:rsid w:val="0090138C"/>
    <w:rsid w:val="00902B64"/>
    <w:rsid w:val="00904729"/>
    <w:rsid w:val="00904979"/>
    <w:rsid w:val="00904DED"/>
    <w:rsid w:val="009100F1"/>
    <w:rsid w:val="009110C8"/>
    <w:rsid w:val="00914AB6"/>
    <w:rsid w:val="0091517F"/>
    <w:rsid w:val="00915742"/>
    <w:rsid w:val="009159A7"/>
    <w:rsid w:val="009162D0"/>
    <w:rsid w:val="00916AEA"/>
    <w:rsid w:val="00917449"/>
    <w:rsid w:val="00921247"/>
    <w:rsid w:val="009212E9"/>
    <w:rsid w:val="0092172E"/>
    <w:rsid w:val="0092276B"/>
    <w:rsid w:val="00923A12"/>
    <w:rsid w:val="00924F52"/>
    <w:rsid w:val="00925EF8"/>
    <w:rsid w:val="0093046D"/>
    <w:rsid w:val="00931530"/>
    <w:rsid w:val="009329F1"/>
    <w:rsid w:val="00932D56"/>
    <w:rsid w:val="00936573"/>
    <w:rsid w:val="009368F1"/>
    <w:rsid w:val="00940375"/>
    <w:rsid w:val="009412D3"/>
    <w:rsid w:val="0094429F"/>
    <w:rsid w:val="00945368"/>
    <w:rsid w:val="00947BCE"/>
    <w:rsid w:val="00951FBA"/>
    <w:rsid w:val="00952AFA"/>
    <w:rsid w:val="00955C05"/>
    <w:rsid w:val="00957172"/>
    <w:rsid w:val="00957D47"/>
    <w:rsid w:val="00960E2E"/>
    <w:rsid w:val="00961876"/>
    <w:rsid w:val="0096215D"/>
    <w:rsid w:val="0096537D"/>
    <w:rsid w:val="0096752D"/>
    <w:rsid w:val="00967CD5"/>
    <w:rsid w:val="0097051A"/>
    <w:rsid w:val="00970B78"/>
    <w:rsid w:val="00970EF3"/>
    <w:rsid w:val="009713B1"/>
    <w:rsid w:val="00976A75"/>
    <w:rsid w:val="00980D9E"/>
    <w:rsid w:val="009813AF"/>
    <w:rsid w:val="00981863"/>
    <w:rsid w:val="00982D4D"/>
    <w:rsid w:val="00984FE8"/>
    <w:rsid w:val="00985C76"/>
    <w:rsid w:val="009861F5"/>
    <w:rsid w:val="00986C48"/>
    <w:rsid w:val="00986C5B"/>
    <w:rsid w:val="0098722B"/>
    <w:rsid w:val="00991037"/>
    <w:rsid w:val="00991122"/>
    <w:rsid w:val="009916D5"/>
    <w:rsid w:val="00993F74"/>
    <w:rsid w:val="009965BA"/>
    <w:rsid w:val="00996699"/>
    <w:rsid w:val="009A595D"/>
    <w:rsid w:val="009A606D"/>
    <w:rsid w:val="009A7FA6"/>
    <w:rsid w:val="009B23EB"/>
    <w:rsid w:val="009B2A4B"/>
    <w:rsid w:val="009B2F61"/>
    <w:rsid w:val="009B6EA8"/>
    <w:rsid w:val="009C275F"/>
    <w:rsid w:val="009C5B78"/>
    <w:rsid w:val="009D0772"/>
    <w:rsid w:val="009D15AC"/>
    <w:rsid w:val="009D22F2"/>
    <w:rsid w:val="009D2EFE"/>
    <w:rsid w:val="009D3BC5"/>
    <w:rsid w:val="009D41E0"/>
    <w:rsid w:val="009D5B2D"/>
    <w:rsid w:val="009D65D3"/>
    <w:rsid w:val="009D6AD7"/>
    <w:rsid w:val="009E2C04"/>
    <w:rsid w:val="009E2EA1"/>
    <w:rsid w:val="009E309F"/>
    <w:rsid w:val="009E50E1"/>
    <w:rsid w:val="009E5AE0"/>
    <w:rsid w:val="009E6EAA"/>
    <w:rsid w:val="009F2DB6"/>
    <w:rsid w:val="009F4041"/>
    <w:rsid w:val="009F6182"/>
    <w:rsid w:val="009F72FA"/>
    <w:rsid w:val="00A001A5"/>
    <w:rsid w:val="00A007F9"/>
    <w:rsid w:val="00A018E0"/>
    <w:rsid w:val="00A029BF"/>
    <w:rsid w:val="00A04A0F"/>
    <w:rsid w:val="00A05235"/>
    <w:rsid w:val="00A073C4"/>
    <w:rsid w:val="00A10D87"/>
    <w:rsid w:val="00A132D9"/>
    <w:rsid w:val="00A16EB1"/>
    <w:rsid w:val="00A2108A"/>
    <w:rsid w:val="00A21ADB"/>
    <w:rsid w:val="00A21E40"/>
    <w:rsid w:val="00A22402"/>
    <w:rsid w:val="00A234C1"/>
    <w:rsid w:val="00A23A7E"/>
    <w:rsid w:val="00A255BF"/>
    <w:rsid w:val="00A25D46"/>
    <w:rsid w:val="00A27600"/>
    <w:rsid w:val="00A27E0C"/>
    <w:rsid w:val="00A3008E"/>
    <w:rsid w:val="00A31138"/>
    <w:rsid w:val="00A33BDE"/>
    <w:rsid w:val="00A34F3D"/>
    <w:rsid w:val="00A35E9E"/>
    <w:rsid w:val="00A40CA2"/>
    <w:rsid w:val="00A42834"/>
    <w:rsid w:val="00A45079"/>
    <w:rsid w:val="00A51C4A"/>
    <w:rsid w:val="00A532E3"/>
    <w:rsid w:val="00A542C5"/>
    <w:rsid w:val="00A54EFB"/>
    <w:rsid w:val="00A56FE6"/>
    <w:rsid w:val="00A6007A"/>
    <w:rsid w:val="00A6364D"/>
    <w:rsid w:val="00A66FA2"/>
    <w:rsid w:val="00A70104"/>
    <w:rsid w:val="00A7293F"/>
    <w:rsid w:val="00A75F62"/>
    <w:rsid w:val="00A76E9D"/>
    <w:rsid w:val="00A77677"/>
    <w:rsid w:val="00A77F76"/>
    <w:rsid w:val="00A80C29"/>
    <w:rsid w:val="00A8335C"/>
    <w:rsid w:val="00A8494E"/>
    <w:rsid w:val="00A84D63"/>
    <w:rsid w:val="00A86D0B"/>
    <w:rsid w:val="00A93DA5"/>
    <w:rsid w:val="00A943C8"/>
    <w:rsid w:val="00A94C5F"/>
    <w:rsid w:val="00A94EDD"/>
    <w:rsid w:val="00A958F5"/>
    <w:rsid w:val="00A97A73"/>
    <w:rsid w:val="00AA0C07"/>
    <w:rsid w:val="00AA1CA7"/>
    <w:rsid w:val="00AA222B"/>
    <w:rsid w:val="00AA251D"/>
    <w:rsid w:val="00AA36A9"/>
    <w:rsid w:val="00AA6F85"/>
    <w:rsid w:val="00AA7DB4"/>
    <w:rsid w:val="00AB0298"/>
    <w:rsid w:val="00AB0C51"/>
    <w:rsid w:val="00AB322D"/>
    <w:rsid w:val="00AB47A1"/>
    <w:rsid w:val="00AB7338"/>
    <w:rsid w:val="00AB7374"/>
    <w:rsid w:val="00AB745F"/>
    <w:rsid w:val="00AC16A7"/>
    <w:rsid w:val="00AC5B96"/>
    <w:rsid w:val="00AD0976"/>
    <w:rsid w:val="00AD3A3E"/>
    <w:rsid w:val="00AD5646"/>
    <w:rsid w:val="00AD5C21"/>
    <w:rsid w:val="00AD7A73"/>
    <w:rsid w:val="00AE3790"/>
    <w:rsid w:val="00AE37BD"/>
    <w:rsid w:val="00AE4020"/>
    <w:rsid w:val="00AE66EA"/>
    <w:rsid w:val="00AE72C0"/>
    <w:rsid w:val="00AF1422"/>
    <w:rsid w:val="00AF17C3"/>
    <w:rsid w:val="00AF203B"/>
    <w:rsid w:val="00AF3BAB"/>
    <w:rsid w:val="00AF3E4A"/>
    <w:rsid w:val="00AF42B7"/>
    <w:rsid w:val="00AF520F"/>
    <w:rsid w:val="00AF57D8"/>
    <w:rsid w:val="00AF5CE3"/>
    <w:rsid w:val="00AF6785"/>
    <w:rsid w:val="00B0148F"/>
    <w:rsid w:val="00B01709"/>
    <w:rsid w:val="00B017F3"/>
    <w:rsid w:val="00B0184F"/>
    <w:rsid w:val="00B01D7E"/>
    <w:rsid w:val="00B049F9"/>
    <w:rsid w:val="00B05591"/>
    <w:rsid w:val="00B07DFD"/>
    <w:rsid w:val="00B07E32"/>
    <w:rsid w:val="00B13D02"/>
    <w:rsid w:val="00B13E24"/>
    <w:rsid w:val="00B14993"/>
    <w:rsid w:val="00B15313"/>
    <w:rsid w:val="00B15852"/>
    <w:rsid w:val="00B2002A"/>
    <w:rsid w:val="00B20065"/>
    <w:rsid w:val="00B21377"/>
    <w:rsid w:val="00B214FC"/>
    <w:rsid w:val="00B21D27"/>
    <w:rsid w:val="00B224A8"/>
    <w:rsid w:val="00B23B4D"/>
    <w:rsid w:val="00B246B7"/>
    <w:rsid w:val="00B249F6"/>
    <w:rsid w:val="00B24D9B"/>
    <w:rsid w:val="00B2631C"/>
    <w:rsid w:val="00B26532"/>
    <w:rsid w:val="00B27DBF"/>
    <w:rsid w:val="00B347A9"/>
    <w:rsid w:val="00B35463"/>
    <w:rsid w:val="00B35947"/>
    <w:rsid w:val="00B35B3F"/>
    <w:rsid w:val="00B35F1C"/>
    <w:rsid w:val="00B367BF"/>
    <w:rsid w:val="00B418CC"/>
    <w:rsid w:val="00B420EA"/>
    <w:rsid w:val="00B428D7"/>
    <w:rsid w:val="00B42D95"/>
    <w:rsid w:val="00B45260"/>
    <w:rsid w:val="00B47CDB"/>
    <w:rsid w:val="00B47D6F"/>
    <w:rsid w:val="00B50F99"/>
    <w:rsid w:val="00B536D4"/>
    <w:rsid w:val="00B54884"/>
    <w:rsid w:val="00B568A2"/>
    <w:rsid w:val="00B56D14"/>
    <w:rsid w:val="00B578A9"/>
    <w:rsid w:val="00B60D81"/>
    <w:rsid w:val="00B615B4"/>
    <w:rsid w:val="00B626E3"/>
    <w:rsid w:val="00B62EDD"/>
    <w:rsid w:val="00B64C5B"/>
    <w:rsid w:val="00B658C2"/>
    <w:rsid w:val="00B66909"/>
    <w:rsid w:val="00B66BF4"/>
    <w:rsid w:val="00B70355"/>
    <w:rsid w:val="00B72939"/>
    <w:rsid w:val="00B739DB"/>
    <w:rsid w:val="00B73E30"/>
    <w:rsid w:val="00B7457A"/>
    <w:rsid w:val="00B751E1"/>
    <w:rsid w:val="00B753D4"/>
    <w:rsid w:val="00B75C05"/>
    <w:rsid w:val="00B76185"/>
    <w:rsid w:val="00B76FB9"/>
    <w:rsid w:val="00B8137C"/>
    <w:rsid w:val="00B815E3"/>
    <w:rsid w:val="00B820AB"/>
    <w:rsid w:val="00B82F8D"/>
    <w:rsid w:val="00B8661F"/>
    <w:rsid w:val="00B87223"/>
    <w:rsid w:val="00B91BE0"/>
    <w:rsid w:val="00B91C83"/>
    <w:rsid w:val="00B932EC"/>
    <w:rsid w:val="00B942E0"/>
    <w:rsid w:val="00B95FE9"/>
    <w:rsid w:val="00B97D3C"/>
    <w:rsid w:val="00BA0515"/>
    <w:rsid w:val="00BA12D7"/>
    <w:rsid w:val="00BA42C6"/>
    <w:rsid w:val="00BA5751"/>
    <w:rsid w:val="00BB0FC6"/>
    <w:rsid w:val="00BB1D4A"/>
    <w:rsid w:val="00BB1DF5"/>
    <w:rsid w:val="00BB2068"/>
    <w:rsid w:val="00BB56D1"/>
    <w:rsid w:val="00BB5FEE"/>
    <w:rsid w:val="00BC0346"/>
    <w:rsid w:val="00BC0409"/>
    <w:rsid w:val="00BC1A80"/>
    <w:rsid w:val="00BC250F"/>
    <w:rsid w:val="00BC2DAA"/>
    <w:rsid w:val="00BC503F"/>
    <w:rsid w:val="00BC5335"/>
    <w:rsid w:val="00BC5DDD"/>
    <w:rsid w:val="00BC61CF"/>
    <w:rsid w:val="00BC72E3"/>
    <w:rsid w:val="00BC7F53"/>
    <w:rsid w:val="00BD1EF7"/>
    <w:rsid w:val="00BD259F"/>
    <w:rsid w:val="00BD2DC7"/>
    <w:rsid w:val="00BD33A7"/>
    <w:rsid w:val="00BD4D89"/>
    <w:rsid w:val="00BD5698"/>
    <w:rsid w:val="00BD6637"/>
    <w:rsid w:val="00BD7C58"/>
    <w:rsid w:val="00BD7C9A"/>
    <w:rsid w:val="00BD7DA8"/>
    <w:rsid w:val="00BE09C7"/>
    <w:rsid w:val="00BE4C16"/>
    <w:rsid w:val="00BE6629"/>
    <w:rsid w:val="00BE702A"/>
    <w:rsid w:val="00BF09E3"/>
    <w:rsid w:val="00BF10E0"/>
    <w:rsid w:val="00BF32AF"/>
    <w:rsid w:val="00BF35B2"/>
    <w:rsid w:val="00BF36FE"/>
    <w:rsid w:val="00BF38BD"/>
    <w:rsid w:val="00BF3A35"/>
    <w:rsid w:val="00BF48D8"/>
    <w:rsid w:val="00BF53A3"/>
    <w:rsid w:val="00BF716C"/>
    <w:rsid w:val="00C00999"/>
    <w:rsid w:val="00C0147D"/>
    <w:rsid w:val="00C020A0"/>
    <w:rsid w:val="00C0291D"/>
    <w:rsid w:val="00C03F7A"/>
    <w:rsid w:val="00C041E3"/>
    <w:rsid w:val="00C068D1"/>
    <w:rsid w:val="00C0759E"/>
    <w:rsid w:val="00C07889"/>
    <w:rsid w:val="00C07AEA"/>
    <w:rsid w:val="00C109E2"/>
    <w:rsid w:val="00C10CFC"/>
    <w:rsid w:val="00C11149"/>
    <w:rsid w:val="00C1132F"/>
    <w:rsid w:val="00C11603"/>
    <w:rsid w:val="00C11E1A"/>
    <w:rsid w:val="00C121DE"/>
    <w:rsid w:val="00C127C4"/>
    <w:rsid w:val="00C13B55"/>
    <w:rsid w:val="00C14706"/>
    <w:rsid w:val="00C158CA"/>
    <w:rsid w:val="00C15B5D"/>
    <w:rsid w:val="00C1643D"/>
    <w:rsid w:val="00C17552"/>
    <w:rsid w:val="00C220F5"/>
    <w:rsid w:val="00C24D2F"/>
    <w:rsid w:val="00C25FDB"/>
    <w:rsid w:val="00C26963"/>
    <w:rsid w:val="00C26BB4"/>
    <w:rsid w:val="00C27AD1"/>
    <w:rsid w:val="00C27E1B"/>
    <w:rsid w:val="00C323AA"/>
    <w:rsid w:val="00C33721"/>
    <w:rsid w:val="00C347F6"/>
    <w:rsid w:val="00C34C79"/>
    <w:rsid w:val="00C40309"/>
    <w:rsid w:val="00C408EF"/>
    <w:rsid w:val="00C4105B"/>
    <w:rsid w:val="00C41918"/>
    <w:rsid w:val="00C42FE0"/>
    <w:rsid w:val="00C458F9"/>
    <w:rsid w:val="00C47A32"/>
    <w:rsid w:val="00C506E3"/>
    <w:rsid w:val="00C50CBE"/>
    <w:rsid w:val="00C50F7B"/>
    <w:rsid w:val="00C52389"/>
    <w:rsid w:val="00C52CFD"/>
    <w:rsid w:val="00C537A0"/>
    <w:rsid w:val="00C538F3"/>
    <w:rsid w:val="00C53C43"/>
    <w:rsid w:val="00C55D4C"/>
    <w:rsid w:val="00C61829"/>
    <w:rsid w:val="00C61EE6"/>
    <w:rsid w:val="00C63D7C"/>
    <w:rsid w:val="00C63FA7"/>
    <w:rsid w:val="00C64270"/>
    <w:rsid w:val="00C64777"/>
    <w:rsid w:val="00C66590"/>
    <w:rsid w:val="00C667C0"/>
    <w:rsid w:val="00C67371"/>
    <w:rsid w:val="00C674A8"/>
    <w:rsid w:val="00C707A0"/>
    <w:rsid w:val="00C70CD0"/>
    <w:rsid w:val="00C70D13"/>
    <w:rsid w:val="00C70D68"/>
    <w:rsid w:val="00C713DD"/>
    <w:rsid w:val="00C71494"/>
    <w:rsid w:val="00C76808"/>
    <w:rsid w:val="00C77ABA"/>
    <w:rsid w:val="00C77B64"/>
    <w:rsid w:val="00C80309"/>
    <w:rsid w:val="00C8127F"/>
    <w:rsid w:val="00C83FA6"/>
    <w:rsid w:val="00C842AF"/>
    <w:rsid w:val="00C8481E"/>
    <w:rsid w:val="00C85D35"/>
    <w:rsid w:val="00C86BF8"/>
    <w:rsid w:val="00C86C53"/>
    <w:rsid w:val="00C87C7B"/>
    <w:rsid w:val="00C90797"/>
    <w:rsid w:val="00C90A46"/>
    <w:rsid w:val="00C9191F"/>
    <w:rsid w:val="00C91A09"/>
    <w:rsid w:val="00C91B26"/>
    <w:rsid w:val="00C951E3"/>
    <w:rsid w:val="00CA1921"/>
    <w:rsid w:val="00CA3172"/>
    <w:rsid w:val="00CA483A"/>
    <w:rsid w:val="00CA6ADC"/>
    <w:rsid w:val="00CA7A4A"/>
    <w:rsid w:val="00CA7C51"/>
    <w:rsid w:val="00CB09E0"/>
    <w:rsid w:val="00CB253B"/>
    <w:rsid w:val="00CB43A7"/>
    <w:rsid w:val="00CB6373"/>
    <w:rsid w:val="00CC09AC"/>
    <w:rsid w:val="00CC1756"/>
    <w:rsid w:val="00CC19C4"/>
    <w:rsid w:val="00CC1A2C"/>
    <w:rsid w:val="00CC29A8"/>
    <w:rsid w:val="00CC373C"/>
    <w:rsid w:val="00CC3843"/>
    <w:rsid w:val="00CC421A"/>
    <w:rsid w:val="00CC4B59"/>
    <w:rsid w:val="00CC6CA7"/>
    <w:rsid w:val="00CC7D76"/>
    <w:rsid w:val="00CC7EFA"/>
    <w:rsid w:val="00CD0DA8"/>
    <w:rsid w:val="00CD1FB1"/>
    <w:rsid w:val="00CD498E"/>
    <w:rsid w:val="00CD566E"/>
    <w:rsid w:val="00CD5EEB"/>
    <w:rsid w:val="00CD6B86"/>
    <w:rsid w:val="00CD6ED4"/>
    <w:rsid w:val="00CE05DF"/>
    <w:rsid w:val="00CE1ED6"/>
    <w:rsid w:val="00CE1F3B"/>
    <w:rsid w:val="00CE4B30"/>
    <w:rsid w:val="00CE549F"/>
    <w:rsid w:val="00CF0917"/>
    <w:rsid w:val="00CF0EDA"/>
    <w:rsid w:val="00CF1135"/>
    <w:rsid w:val="00CF412D"/>
    <w:rsid w:val="00CF4C31"/>
    <w:rsid w:val="00CF5A9D"/>
    <w:rsid w:val="00D00AB5"/>
    <w:rsid w:val="00D01C6E"/>
    <w:rsid w:val="00D03E8D"/>
    <w:rsid w:val="00D04FA6"/>
    <w:rsid w:val="00D06B73"/>
    <w:rsid w:val="00D071B5"/>
    <w:rsid w:val="00D073C2"/>
    <w:rsid w:val="00D07969"/>
    <w:rsid w:val="00D10FE7"/>
    <w:rsid w:val="00D12079"/>
    <w:rsid w:val="00D12698"/>
    <w:rsid w:val="00D13239"/>
    <w:rsid w:val="00D13819"/>
    <w:rsid w:val="00D14C49"/>
    <w:rsid w:val="00D1529E"/>
    <w:rsid w:val="00D1588F"/>
    <w:rsid w:val="00D15CD8"/>
    <w:rsid w:val="00D164EE"/>
    <w:rsid w:val="00D2202D"/>
    <w:rsid w:val="00D23A7E"/>
    <w:rsid w:val="00D24240"/>
    <w:rsid w:val="00D2440F"/>
    <w:rsid w:val="00D250E1"/>
    <w:rsid w:val="00D25DD0"/>
    <w:rsid w:val="00D25FB9"/>
    <w:rsid w:val="00D2673A"/>
    <w:rsid w:val="00D275BF"/>
    <w:rsid w:val="00D32425"/>
    <w:rsid w:val="00D34E4D"/>
    <w:rsid w:val="00D353FC"/>
    <w:rsid w:val="00D357DF"/>
    <w:rsid w:val="00D37676"/>
    <w:rsid w:val="00D4107D"/>
    <w:rsid w:val="00D43837"/>
    <w:rsid w:val="00D4383A"/>
    <w:rsid w:val="00D450BA"/>
    <w:rsid w:val="00D46167"/>
    <w:rsid w:val="00D50901"/>
    <w:rsid w:val="00D53859"/>
    <w:rsid w:val="00D54588"/>
    <w:rsid w:val="00D5471A"/>
    <w:rsid w:val="00D54947"/>
    <w:rsid w:val="00D55ACA"/>
    <w:rsid w:val="00D56E44"/>
    <w:rsid w:val="00D605C9"/>
    <w:rsid w:val="00D6096B"/>
    <w:rsid w:val="00D61D41"/>
    <w:rsid w:val="00D62E3F"/>
    <w:rsid w:val="00D6607E"/>
    <w:rsid w:val="00D7055C"/>
    <w:rsid w:val="00D7068A"/>
    <w:rsid w:val="00D70FE9"/>
    <w:rsid w:val="00D7140E"/>
    <w:rsid w:val="00D72D27"/>
    <w:rsid w:val="00D7433B"/>
    <w:rsid w:val="00D7525E"/>
    <w:rsid w:val="00D75B3B"/>
    <w:rsid w:val="00D774C5"/>
    <w:rsid w:val="00D77A43"/>
    <w:rsid w:val="00D81C3B"/>
    <w:rsid w:val="00D83862"/>
    <w:rsid w:val="00D84DA0"/>
    <w:rsid w:val="00D90307"/>
    <w:rsid w:val="00D90AAC"/>
    <w:rsid w:val="00D90BD8"/>
    <w:rsid w:val="00D90EFC"/>
    <w:rsid w:val="00D93836"/>
    <w:rsid w:val="00D95B36"/>
    <w:rsid w:val="00D97817"/>
    <w:rsid w:val="00D97888"/>
    <w:rsid w:val="00D97B3D"/>
    <w:rsid w:val="00DA10C1"/>
    <w:rsid w:val="00DA1CC1"/>
    <w:rsid w:val="00DA74C7"/>
    <w:rsid w:val="00DB09CF"/>
    <w:rsid w:val="00DB32C3"/>
    <w:rsid w:val="00DB40A5"/>
    <w:rsid w:val="00DB4735"/>
    <w:rsid w:val="00DB4C4F"/>
    <w:rsid w:val="00DC11B9"/>
    <w:rsid w:val="00DC25E7"/>
    <w:rsid w:val="00DC2847"/>
    <w:rsid w:val="00DC347A"/>
    <w:rsid w:val="00DD3E6F"/>
    <w:rsid w:val="00DD6F5C"/>
    <w:rsid w:val="00DE063E"/>
    <w:rsid w:val="00DE1D68"/>
    <w:rsid w:val="00DE2433"/>
    <w:rsid w:val="00DE3BED"/>
    <w:rsid w:val="00DE4086"/>
    <w:rsid w:val="00DE525C"/>
    <w:rsid w:val="00DF0130"/>
    <w:rsid w:val="00DF0AED"/>
    <w:rsid w:val="00DF132B"/>
    <w:rsid w:val="00DF1AF3"/>
    <w:rsid w:val="00DF1DD3"/>
    <w:rsid w:val="00DF76BD"/>
    <w:rsid w:val="00DF7875"/>
    <w:rsid w:val="00E0173B"/>
    <w:rsid w:val="00E02B81"/>
    <w:rsid w:val="00E03391"/>
    <w:rsid w:val="00E070AB"/>
    <w:rsid w:val="00E075E3"/>
    <w:rsid w:val="00E142B1"/>
    <w:rsid w:val="00E152E7"/>
    <w:rsid w:val="00E15CCB"/>
    <w:rsid w:val="00E1791B"/>
    <w:rsid w:val="00E21EC7"/>
    <w:rsid w:val="00E22C10"/>
    <w:rsid w:val="00E30A75"/>
    <w:rsid w:val="00E32327"/>
    <w:rsid w:val="00E32AD5"/>
    <w:rsid w:val="00E33385"/>
    <w:rsid w:val="00E338F5"/>
    <w:rsid w:val="00E34D0D"/>
    <w:rsid w:val="00E34D9B"/>
    <w:rsid w:val="00E35BE1"/>
    <w:rsid w:val="00E41869"/>
    <w:rsid w:val="00E4265B"/>
    <w:rsid w:val="00E4424D"/>
    <w:rsid w:val="00E446F2"/>
    <w:rsid w:val="00E47105"/>
    <w:rsid w:val="00E47719"/>
    <w:rsid w:val="00E502B9"/>
    <w:rsid w:val="00E5212A"/>
    <w:rsid w:val="00E528A7"/>
    <w:rsid w:val="00E52B4D"/>
    <w:rsid w:val="00E535D8"/>
    <w:rsid w:val="00E5484B"/>
    <w:rsid w:val="00E55631"/>
    <w:rsid w:val="00E56F07"/>
    <w:rsid w:val="00E573FA"/>
    <w:rsid w:val="00E57872"/>
    <w:rsid w:val="00E62DD7"/>
    <w:rsid w:val="00E651FD"/>
    <w:rsid w:val="00E661B9"/>
    <w:rsid w:val="00E71C59"/>
    <w:rsid w:val="00E72137"/>
    <w:rsid w:val="00E73362"/>
    <w:rsid w:val="00E74034"/>
    <w:rsid w:val="00E747F8"/>
    <w:rsid w:val="00E74CAF"/>
    <w:rsid w:val="00E752D3"/>
    <w:rsid w:val="00E754D1"/>
    <w:rsid w:val="00E77DDE"/>
    <w:rsid w:val="00E80F06"/>
    <w:rsid w:val="00E8390C"/>
    <w:rsid w:val="00E84B1F"/>
    <w:rsid w:val="00E86C23"/>
    <w:rsid w:val="00E9061A"/>
    <w:rsid w:val="00E9145B"/>
    <w:rsid w:val="00E915F2"/>
    <w:rsid w:val="00E92012"/>
    <w:rsid w:val="00E9233A"/>
    <w:rsid w:val="00E966F1"/>
    <w:rsid w:val="00EA08CE"/>
    <w:rsid w:val="00EA272E"/>
    <w:rsid w:val="00EA354A"/>
    <w:rsid w:val="00EA3AF2"/>
    <w:rsid w:val="00EA4860"/>
    <w:rsid w:val="00EA5A4E"/>
    <w:rsid w:val="00EA5AC6"/>
    <w:rsid w:val="00EA5CBC"/>
    <w:rsid w:val="00EA609E"/>
    <w:rsid w:val="00EA6C73"/>
    <w:rsid w:val="00EB0D62"/>
    <w:rsid w:val="00EB1C1A"/>
    <w:rsid w:val="00EB2530"/>
    <w:rsid w:val="00EB2A67"/>
    <w:rsid w:val="00EB2CDE"/>
    <w:rsid w:val="00EB33B1"/>
    <w:rsid w:val="00EB4633"/>
    <w:rsid w:val="00EB4C63"/>
    <w:rsid w:val="00EB4ECE"/>
    <w:rsid w:val="00EB5D7F"/>
    <w:rsid w:val="00EB6440"/>
    <w:rsid w:val="00EB6682"/>
    <w:rsid w:val="00EB729D"/>
    <w:rsid w:val="00EB7E26"/>
    <w:rsid w:val="00EC1048"/>
    <w:rsid w:val="00EC21BD"/>
    <w:rsid w:val="00EC23AA"/>
    <w:rsid w:val="00EC2A7D"/>
    <w:rsid w:val="00EC47CD"/>
    <w:rsid w:val="00EC5DCC"/>
    <w:rsid w:val="00ED2FA7"/>
    <w:rsid w:val="00ED3116"/>
    <w:rsid w:val="00ED5B32"/>
    <w:rsid w:val="00ED64DA"/>
    <w:rsid w:val="00ED71CB"/>
    <w:rsid w:val="00ED7929"/>
    <w:rsid w:val="00EE0083"/>
    <w:rsid w:val="00EE038E"/>
    <w:rsid w:val="00EE2D70"/>
    <w:rsid w:val="00EE2FCC"/>
    <w:rsid w:val="00EE5514"/>
    <w:rsid w:val="00EE6689"/>
    <w:rsid w:val="00EE7B5C"/>
    <w:rsid w:val="00EF04C0"/>
    <w:rsid w:val="00EF0A45"/>
    <w:rsid w:val="00EF1F6E"/>
    <w:rsid w:val="00EF2ACC"/>
    <w:rsid w:val="00EF45EA"/>
    <w:rsid w:val="00EF5DA4"/>
    <w:rsid w:val="00EF5F1A"/>
    <w:rsid w:val="00EF7C3B"/>
    <w:rsid w:val="00EF7F00"/>
    <w:rsid w:val="00F02B0C"/>
    <w:rsid w:val="00F05162"/>
    <w:rsid w:val="00F05DB7"/>
    <w:rsid w:val="00F07227"/>
    <w:rsid w:val="00F1014F"/>
    <w:rsid w:val="00F1260A"/>
    <w:rsid w:val="00F1302A"/>
    <w:rsid w:val="00F1498A"/>
    <w:rsid w:val="00F14A91"/>
    <w:rsid w:val="00F1696B"/>
    <w:rsid w:val="00F20759"/>
    <w:rsid w:val="00F24091"/>
    <w:rsid w:val="00F256F6"/>
    <w:rsid w:val="00F25D42"/>
    <w:rsid w:val="00F30DA7"/>
    <w:rsid w:val="00F30F01"/>
    <w:rsid w:val="00F31A70"/>
    <w:rsid w:val="00F31DF4"/>
    <w:rsid w:val="00F32C74"/>
    <w:rsid w:val="00F33CC0"/>
    <w:rsid w:val="00F34C52"/>
    <w:rsid w:val="00F36456"/>
    <w:rsid w:val="00F41459"/>
    <w:rsid w:val="00F42B97"/>
    <w:rsid w:val="00F474D2"/>
    <w:rsid w:val="00F477B2"/>
    <w:rsid w:val="00F521E8"/>
    <w:rsid w:val="00F52A81"/>
    <w:rsid w:val="00F53A54"/>
    <w:rsid w:val="00F53AFF"/>
    <w:rsid w:val="00F53C66"/>
    <w:rsid w:val="00F5520A"/>
    <w:rsid w:val="00F561B1"/>
    <w:rsid w:val="00F563A2"/>
    <w:rsid w:val="00F60172"/>
    <w:rsid w:val="00F605A7"/>
    <w:rsid w:val="00F626A6"/>
    <w:rsid w:val="00F65835"/>
    <w:rsid w:val="00F65B17"/>
    <w:rsid w:val="00F66CAC"/>
    <w:rsid w:val="00F6756A"/>
    <w:rsid w:val="00F710BE"/>
    <w:rsid w:val="00F7280F"/>
    <w:rsid w:val="00F72F5A"/>
    <w:rsid w:val="00F73CA6"/>
    <w:rsid w:val="00F7569A"/>
    <w:rsid w:val="00F760AD"/>
    <w:rsid w:val="00F76B39"/>
    <w:rsid w:val="00F76EE1"/>
    <w:rsid w:val="00F7705E"/>
    <w:rsid w:val="00F83660"/>
    <w:rsid w:val="00F8597E"/>
    <w:rsid w:val="00F87703"/>
    <w:rsid w:val="00F916D6"/>
    <w:rsid w:val="00F956A6"/>
    <w:rsid w:val="00FA0981"/>
    <w:rsid w:val="00FA195A"/>
    <w:rsid w:val="00FA1F8A"/>
    <w:rsid w:val="00FA43CE"/>
    <w:rsid w:val="00FA4A95"/>
    <w:rsid w:val="00FA4DDC"/>
    <w:rsid w:val="00FA5166"/>
    <w:rsid w:val="00FA5348"/>
    <w:rsid w:val="00FA6322"/>
    <w:rsid w:val="00FA7D01"/>
    <w:rsid w:val="00FB0BC3"/>
    <w:rsid w:val="00FB1406"/>
    <w:rsid w:val="00FB1FC5"/>
    <w:rsid w:val="00FB1FD6"/>
    <w:rsid w:val="00FB2341"/>
    <w:rsid w:val="00FB2CFC"/>
    <w:rsid w:val="00FB2E17"/>
    <w:rsid w:val="00FB4C21"/>
    <w:rsid w:val="00FC002F"/>
    <w:rsid w:val="00FC1454"/>
    <w:rsid w:val="00FC1BCC"/>
    <w:rsid w:val="00FC1FE5"/>
    <w:rsid w:val="00FC3024"/>
    <w:rsid w:val="00FC3C58"/>
    <w:rsid w:val="00FC4A9E"/>
    <w:rsid w:val="00FC5D31"/>
    <w:rsid w:val="00FC6878"/>
    <w:rsid w:val="00FC68CD"/>
    <w:rsid w:val="00FC6BCD"/>
    <w:rsid w:val="00FC7C42"/>
    <w:rsid w:val="00FD1D13"/>
    <w:rsid w:val="00FD2086"/>
    <w:rsid w:val="00FD2212"/>
    <w:rsid w:val="00FD2296"/>
    <w:rsid w:val="00FD43A6"/>
    <w:rsid w:val="00FD5F79"/>
    <w:rsid w:val="00FD65DE"/>
    <w:rsid w:val="00FD7941"/>
    <w:rsid w:val="00FE003B"/>
    <w:rsid w:val="00FE281D"/>
    <w:rsid w:val="00FE3044"/>
    <w:rsid w:val="00FE7025"/>
    <w:rsid w:val="00FE7601"/>
    <w:rsid w:val="00FE7C85"/>
    <w:rsid w:val="00FF0CD0"/>
    <w:rsid w:val="00FF18BF"/>
    <w:rsid w:val="00FF1BF6"/>
    <w:rsid w:val="00FF1DBE"/>
    <w:rsid w:val="00FF2C5D"/>
    <w:rsid w:val="00FF52AA"/>
    <w:rsid w:val="00FF6672"/>
    <w:rsid w:val="0683E46E"/>
    <w:rsid w:val="118DF711"/>
    <w:rsid w:val="1541A55D"/>
    <w:rsid w:val="1AB540F5"/>
    <w:rsid w:val="1CE88902"/>
    <w:rsid w:val="1D5D3D78"/>
    <w:rsid w:val="1E0868BB"/>
    <w:rsid w:val="242AF75B"/>
    <w:rsid w:val="333C1D5B"/>
    <w:rsid w:val="39954446"/>
    <w:rsid w:val="3E12BC97"/>
    <w:rsid w:val="50884E0A"/>
    <w:rsid w:val="608E3C9B"/>
    <w:rsid w:val="68C1A01D"/>
    <w:rsid w:val="6DD63FE1"/>
    <w:rsid w:val="70978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F73F"/>
  <w15:chartTrackingRefBased/>
  <w15:docId w15:val="{D9868F63-625E-41EA-B806-35838E31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C5B"/>
    <w:rPr>
      <w:sz w:val="24"/>
      <w:lang w:val="mt-MT"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mt-MT"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val="mt-MT"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val="mt-MT"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val="mt-MT"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  <w:lang w:val="mt-MT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111EDE"/>
    <w:rPr>
      <w:sz w:val="24"/>
      <w:lang w:val="mt-MT"/>
    </w:rPr>
  </w:style>
  <w:style w:type="paragraph" w:customStyle="1" w:styleId="paragraph">
    <w:name w:val="paragraph"/>
    <w:basedOn w:val="Normal"/>
    <w:rsid w:val="00DD6F5C"/>
    <w:pPr>
      <w:spacing w:before="100" w:beforeAutospacing="1" w:after="100" w:afterAutospacing="1"/>
    </w:pPr>
    <w:rPr>
      <w:rFonts w:eastAsia="Times New Roman"/>
      <w:szCs w:val="24"/>
      <w:lang w:val="mt-MT" w:eastAsia="en-IE"/>
    </w:rPr>
  </w:style>
  <w:style w:type="character" w:customStyle="1" w:styleId="eop">
    <w:name w:val="eop"/>
    <w:basedOn w:val="DefaultParagraphFont"/>
    <w:rsid w:val="00DD6F5C"/>
  </w:style>
  <w:style w:type="character" w:customStyle="1" w:styleId="normaltextrun">
    <w:name w:val="normaltextrun"/>
    <w:basedOn w:val="DefaultParagraphFont"/>
    <w:rsid w:val="00DD6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1DA78-896E-461D-A61E-B93DC91F7A48}">
  <ds:schemaRefs>
    <ds:schemaRef ds:uri="66b6254d-0f40-4716-8f91-c3453959d219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a94e2606-67d3-479b-bb64-e7d9251b8ee1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232D08F4-7656-436A-84C2-A1DAAB94D6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5BAA1-DD32-4F83-AF31-EACB9344D5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33A1B3D-C996-4A0F-B2E5-2333C8221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5589</Words>
  <Characters>29290</Characters>
  <DocSecurity>0</DocSecurity>
  <Lines>665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4.2 Notification form - clean 24.5.2024.docx</vt:lpstr>
    </vt:vector>
  </TitlesOfParts>
  <LinksUpToDate>false</LinksUpToDate>
  <CharactersWithSpaces>34629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2022-04-14T02:59:00Z</cp:lastPrinted>
  <dcterms:created xsi:type="dcterms:W3CDTF">2024-10-28T08:45:00Z</dcterms:created>
  <dcterms:modified xsi:type="dcterms:W3CDTF">2024-10-28T10:41:00Z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0b7d5023-563f-4b98-a126-33ae3cffcf78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2024-04-09T16:55:05Z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093af9b3-754e-469d-a92c-22d628747603</vt:lpwstr>
  </property>
  <property fmtid="{D5CDD505-2E9C-101B-9397-08002B2CF9AE}" pid="14" name="MSIP_Label_6bd9ddd1-4d20-43f6-abfa-fc3c07406f94_ContentBits">
    <vt:lpwstr>0</vt:lpwstr>
  </property>
</Properties>
</file>