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608E3C9B">
        <w:trPr>
          <w:trHeight w:val="1134"/>
        </w:trPr>
        <w:tc>
          <w:tcPr>
            <w:tcW w:w="9214" w:type="dxa"/>
            <w:shd w:val="clear" w:color="auto" w:fill="auto"/>
          </w:tcPr>
          <w:p w14:paraId="7C28D065" w14:textId="0983E240" w:rsidR="000442F5" w:rsidRPr="009916D5" w:rsidRDefault="00FA1F8A" w:rsidP="7097866F">
            <w:pPr>
              <w:pStyle w:val="Heading2"/>
              <w:spacing w:before="240" w:after="240"/>
              <w:jc w:val="center"/>
              <w:rPr>
                <w:sz w:val="32"/>
                <w:szCs w:val="32"/>
              </w:rPr>
            </w:pPr>
            <w:bookmarkStart w:id="0" w:name="_Toc414370364"/>
            <w:bookmarkStart w:id="1" w:name="_Toc416949016"/>
            <w:r>
              <w:rPr>
                <w:sz w:val="32"/>
              </w:rPr>
              <w:t xml:space="preserve">Част III.6 – </w:t>
            </w:r>
          </w:p>
          <w:p w14:paraId="1C239D2C" w14:textId="40222408" w:rsidR="000442F5" w:rsidRPr="009916D5" w:rsidRDefault="1AB540F5" w:rsidP="008D5ADF">
            <w:pPr>
              <w:pStyle w:val="Heading2"/>
              <w:spacing w:before="240" w:after="240"/>
              <w:jc w:val="center"/>
              <w:rPr>
                <w:sz w:val="32"/>
                <w:szCs w:val="32"/>
              </w:rPr>
            </w:pPr>
            <w:r>
              <w:rPr>
                <w:color w:val="000000"/>
                <w:sz w:val="32"/>
              </w:rPr>
              <w:t xml:space="preserve">Актуализиран* </w:t>
            </w:r>
            <w:r>
              <w:rPr>
                <w:sz w:val="32"/>
              </w:rPr>
              <w:t>формуляр за допълнителна информация относно държавна помощ, предоставена съгласно Насоките относно държавната помощ в областта на климата, опазването на околната среда и енергетиката от 2022 г. („CEEAG“)</w:t>
            </w:r>
            <w:r w:rsidR="007B485D" w:rsidRPr="009916D5">
              <w:rPr>
                <w:sz w:val="32"/>
                <w:szCs w:val="32"/>
                <w:vertAlign w:val="superscript"/>
              </w:rPr>
              <w:footnoteReference w:id="2"/>
            </w:r>
            <w:r>
              <w:rPr>
                <w:sz w:val="32"/>
              </w:rPr>
              <w:t xml:space="preserve"> </w:t>
            </w:r>
            <w:bookmarkEnd w:id="0"/>
            <w:bookmarkEnd w:id="1"/>
          </w:p>
          <w:p w14:paraId="543C62B0" w14:textId="77777777" w:rsidR="002B52B3" w:rsidRDefault="002B52B3" w:rsidP="7097866F">
            <w:pPr>
              <w:jc w:val="center"/>
              <w:rPr>
                <w:sz w:val="32"/>
                <w:szCs w:val="32"/>
              </w:rPr>
            </w:pPr>
            <w:r>
              <w:rPr>
                <w:sz w:val="32"/>
              </w:rPr>
              <w:t>Глава 4.2 – помощ за подобряване на енергийните и екологичните характеристики на сградите</w:t>
            </w:r>
          </w:p>
          <w:p w14:paraId="09D41530" w14:textId="77777777" w:rsidR="00DD6F5C" w:rsidRDefault="00DD6F5C" w:rsidP="7097866F">
            <w:pPr>
              <w:jc w:val="center"/>
              <w:rPr>
                <w:sz w:val="32"/>
                <w:szCs w:val="32"/>
              </w:rPr>
            </w:pPr>
          </w:p>
          <w:p w14:paraId="09B2710D" w14:textId="77777777" w:rsidR="00DD6F5C" w:rsidRDefault="00DD6F5C" w:rsidP="00DD6F5C">
            <w:pPr>
              <w:pStyle w:val="paragraph"/>
              <w:spacing w:before="0" w:beforeAutospacing="0" w:after="0" w:afterAutospacing="0"/>
              <w:jc w:val="center"/>
              <w:textAlignment w:val="baseline"/>
              <w:rPr>
                <w:rFonts w:ascii="Segoe UI" w:hAnsi="Segoe UI" w:cs="Segoe UI"/>
                <w:sz w:val="18"/>
                <w:szCs w:val="18"/>
              </w:rPr>
            </w:pPr>
            <w:r>
              <w:rPr>
                <w:rStyle w:val="eop"/>
              </w:rPr>
              <w:t> </w:t>
            </w:r>
          </w:p>
          <w:p w14:paraId="469DC4EF" w14:textId="60FD3289" w:rsidR="00DD6F5C" w:rsidRPr="008D5ADF" w:rsidRDefault="00DD6F5C" w:rsidP="008D5ADF">
            <w:pPr>
              <w:pStyle w:val="paragraph"/>
              <w:spacing w:before="0" w:beforeAutospacing="0" w:after="0" w:afterAutospacing="0"/>
              <w:textAlignment w:val="baseline"/>
              <w:rPr>
                <w:rFonts w:ascii="Segoe UI" w:hAnsi="Segoe UI" w:cs="Segoe UI"/>
                <w:sz w:val="18"/>
                <w:szCs w:val="18"/>
              </w:rPr>
            </w:pPr>
            <w:r>
              <w:rPr>
                <w:rStyle w:val="normaltextrun"/>
              </w:rPr>
              <w:t>* Все още неприет официално.</w:t>
            </w:r>
            <w:r>
              <w:rPr>
                <w:rStyle w:val="eop"/>
              </w:rPr>
              <w:t> </w:t>
            </w:r>
          </w:p>
        </w:tc>
      </w:tr>
    </w:tbl>
    <w:p w14:paraId="44FC34CA" w14:textId="00EFB351" w:rsidR="009E2EA1" w:rsidRPr="00711243" w:rsidRDefault="1D5D3D78" w:rsidP="7097866F">
      <w:pPr>
        <w:spacing w:before="120" w:after="120"/>
        <w:ind w:right="-142"/>
        <w:jc w:val="both"/>
        <w:rPr>
          <w:rFonts w:eastAsia="Times New Roman"/>
          <w:i/>
          <w:iCs/>
          <w:szCs w:val="24"/>
        </w:rPr>
      </w:pPr>
      <w:r>
        <w:rPr>
          <w:i/>
        </w:rPr>
        <w:t>Настоящият формуляр за допълнителна информация трябва да се използва за отправяне на уведомления за помощ, обхваната от Насоките относно държавната помощ в областта на климата, опазването на околната среда и енергетиката от 2022 г. („CEEAG“).</w:t>
      </w:r>
    </w:p>
    <w:p w14:paraId="17CF3DD5" w14:textId="162501A6" w:rsidR="009E2EA1" w:rsidRDefault="1D5D3D78" w:rsidP="118DF711">
      <w:pPr>
        <w:spacing w:before="120" w:after="120"/>
        <w:ind w:right="-142"/>
        <w:jc w:val="both"/>
        <w:rPr>
          <w:rFonts w:eastAsia="Times New Roman"/>
          <w:i/>
          <w:iCs/>
          <w:szCs w:val="24"/>
        </w:rPr>
      </w:pPr>
      <w:r>
        <w:rPr>
          <w:i/>
        </w:rPr>
        <w:t xml:space="preserve">Настоящият формуляр за допълнителна информация се отнася за мерките, обхванати от глава 4.2 от CEEAG. Ако уведомлението включва мерки, които са обхванати от повече от една глава от CEEAG, моля, след като стане наличен, попълнете и съответния формуляр за допълнителна информация, който се отнася до съответната глава от CEEAG. </w:t>
      </w:r>
    </w:p>
    <w:p w14:paraId="3C67E530" w14:textId="776D64C2" w:rsidR="1541A55D" w:rsidRDefault="1541A55D" w:rsidP="00135DD2">
      <w:pPr>
        <w:spacing w:before="120" w:after="120"/>
        <w:ind w:right="-142"/>
        <w:jc w:val="both"/>
        <w:rPr>
          <w:rFonts w:eastAsia="Times New Roman"/>
          <w:i/>
          <w:iCs/>
          <w:szCs w:val="24"/>
        </w:rPr>
      </w:pPr>
      <w:r>
        <w:rPr>
          <w:i/>
        </w:rPr>
        <w:t>Всички документи, предоставени от държавите членки като приложения към настоящия формуляр за допълнителна информация, трябва да се номерират, като номерата на документите трябва да се посочват в съответните раздели на настоящия формуляр за допълнителна информация.</w:t>
      </w:r>
    </w:p>
    <w:p w14:paraId="59668F46" w14:textId="34262F08" w:rsidR="118DF711" w:rsidRDefault="118DF711" w:rsidP="118DF711">
      <w:pPr>
        <w:spacing w:before="120" w:after="120"/>
        <w:ind w:right="-142"/>
        <w:jc w:val="both"/>
        <w:rPr>
          <w:i/>
          <w:iCs/>
        </w:rPr>
      </w:pP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Раздел А: Обобщение на основните характеристики на мярката(мерките), за която(</w:t>
            </w:r>
            <w:proofErr w:type="spellStart"/>
            <w:r>
              <w:rPr>
                <w:b/>
                <w:sz w:val="32"/>
              </w:rPr>
              <w:t>ито</w:t>
            </w:r>
            <w:proofErr w:type="spellEnd"/>
            <w:r>
              <w:rPr>
                <w:b/>
                <w:sz w:val="32"/>
              </w:rPr>
              <w:t>) е отправено уведомление</w:t>
            </w:r>
          </w:p>
        </w:tc>
      </w:tr>
    </w:tbl>
    <w:p w14:paraId="58CA5BA7" w14:textId="77777777" w:rsidR="00564D5B" w:rsidRDefault="00564D5B" w:rsidP="00564D5B">
      <w:pPr>
        <w:pStyle w:val="ListParagraph"/>
        <w:spacing w:before="120" w:after="120"/>
        <w:ind w:left="567"/>
        <w:contextualSpacing w:val="0"/>
        <w:jc w:val="both"/>
        <w:rPr>
          <w:b/>
        </w:rPr>
      </w:pPr>
    </w:p>
    <w:p w14:paraId="7F8C46A4" w14:textId="7D15D44B" w:rsidR="00111EDE" w:rsidRPr="001A02C8" w:rsidRDefault="00111EDE" w:rsidP="001A02C8">
      <w:pPr>
        <w:pStyle w:val="ListParagraph"/>
        <w:numPr>
          <w:ilvl w:val="0"/>
          <w:numId w:val="4"/>
        </w:numPr>
        <w:spacing w:before="120" w:after="120"/>
        <w:ind w:left="567" w:hanging="567"/>
        <w:contextualSpacing w:val="0"/>
        <w:jc w:val="both"/>
        <w:rPr>
          <w:b/>
        </w:rPr>
      </w:pPr>
      <w:r>
        <w:rPr>
          <w:b/>
        </w:rPr>
        <w:t>Контекст и цел(и) на мярката(мерките), за която(</w:t>
      </w:r>
      <w:proofErr w:type="spellStart"/>
      <w:r>
        <w:rPr>
          <w:b/>
        </w:rPr>
        <w:t>ито</w:t>
      </w:r>
      <w:proofErr w:type="spellEnd"/>
      <w:r>
        <w:rPr>
          <w:b/>
        </w:rPr>
        <w:t>) е отправено уведомление</w:t>
      </w:r>
      <w:r>
        <w:t>:</w:t>
      </w:r>
    </w:p>
    <w:p w14:paraId="437F042E" w14:textId="62F95870" w:rsidR="00111EDE" w:rsidRPr="007159A8" w:rsidRDefault="00111EDE" w:rsidP="00BC0346">
      <w:pPr>
        <w:pStyle w:val="ListParagraph"/>
        <w:numPr>
          <w:ilvl w:val="0"/>
          <w:numId w:val="20"/>
        </w:numPr>
        <w:spacing w:after="240"/>
        <w:ind w:left="993" w:hanging="142"/>
        <w:jc w:val="both"/>
      </w:pPr>
      <w:r>
        <w:t>ако все още не са разгледани в раздел 5.2 от формуляра за обща информация (част I), моля, посочете контекста и основната цел, включително всички цели на Съюза за енергийните и екологичните характеристики на сградите, които мярката е предназначена да подкрепи;</w:t>
      </w:r>
    </w:p>
    <w:p w14:paraId="7AD02343" w14:textId="77777777" w:rsidR="00111EDE" w:rsidRDefault="00111EDE" w:rsidP="00FF52AA">
      <w:pPr>
        <w:tabs>
          <w:tab w:val="left" w:leader="dot" w:pos="9072"/>
        </w:tabs>
        <w:spacing w:before="120" w:after="120"/>
        <w:ind w:left="1077"/>
        <w:jc w:val="both"/>
      </w:pPr>
      <w:r>
        <w:tab/>
      </w:r>
    </w:p>
    <w:p w14:paraId="1DE5B748" w14:textId="77777777" w:rsidR="00111EDE" w:rsidRPr="004725A8" w:rsidRDefault="00111EDE" w:rsidP="00111EDE">
      <w:pPr>
        <w:pStyle w:val="ListParagraph"/>
        <w:spacing w:after="240"/>
        <w:ind w:left="993"/>
        <w:jc w:val="both"/>
      </w:pPr>
    </w:p>
    <w:p w14:paraId="10B4F50A" w14:textId="3F7F8F5B" w:rsidR="00111EDE" w:rsidRDefault="00111EDE" w:rsidP="00BC0346">
      <w:pPr>
        <w:pStyle w:val="ListParagraph"/>
        <w:numPr>
          <w:ilvl w:val="0"/>
          <w:numId w:val="20"/>
        </w:numPr>
        <w:spacing w:after="240"/>
        <w:ind w:left="993" w:hanging="142"/>
        <w:jc w:val="both"/>
      </w:pPr>
      <w:r>
        <w:t xml:space="preserve">моля, посочете всички други цели, преследвани с мярката. За всички цели, които не са чисто екологични, моля, обяснете дали те могат да доведат до някакви нарушения на конкуренцията във вътрешния пазар. </w:t>
      </w:r>
    </w:p>
    <w:p w14:paraId="092936BC" w14:textId="77777777" w:rsidR="00111EDE" w:rsidRPr="00711243" w:rsidRDefault="00111EDE" w:rsidP="00FF52AA">
      <w:pPr>
        <w:tabs>
          <w:tab w:val="left" w:leader="dot" w:pos="9072"/>
        </w:tabs>
        <w:spacing w:before="120" w:after="120"/>
        <w:ind w:left="1077"/>
        <w:jc w:val="both"/>
      </w:pPr>
      <w:r>
        <w:tab/>
      </w:r>
    </w:p>
    <w:p w14:paraId="0D258352" w14:textId="4EE47BB9" w:rsidR="00111EDE" w:rsidRPr="00711243" w:rsidRDefault="00435FF0" w:rsidP="00111EDE">
      <w:pPr>
        <w:pStyle w:val="ListParagraph"/>
        <w:numPr>
          <w:ilvl w:val="0"/>
          <w:numId w:val="4"/>
        </w:numPr>
        <w:spacing w:before="120" w:after="120"/>
        <w:ind w:left="567" w:hanging="567"/>
        <w:contextualSpacing w:val="0"/>
        <w:jc w:val="both"/>
      </w:pPr>
      <w:r>
        <w:rPr>
          <w:b/>
        </w:rPr>
        <w:t>Влизане в сила и срок на действие</w:t>
      </w:r>
      <w:r>
        <w:t>:</w:t>
      </w:r>
    </w:p>
    <w:p w14:paraId="732B9D07" w14:textId="224D72C4" w:rsidR="00111EDE" w:rsidRPr="00CF4A34" w:rsidRDefault="00111EDE" w:rsidP="00BC0346">
      <w:pPr>
        <w:pStyle w:val="ListParagraph"/>
        <w:numPr>
          <w:ilvl w:val="0"/>
          <w:numId w:val="28"/>
        </w:numPr>
        <w:spacing w:after="240"/>
        <w:ind w:left="993" w:hanging="142"/>
        <w:jc w:val="both"/>
        <w:rPr>
          <w:szCs w:val="24"/>
        </w:rPr>
      </w:pPr>
      <w:r>
        <w:t>доколкото не е направено в раздел 5.5 от формуляра за обща информация (част I), моля, посочете датата, от която се планира схемата за помощ да влезе в сила;</w:t>
      </w:r>
    </w:p>
    <w:p w14:paraId="6B34173E" w14:textId="77777777" w:rsidR="00111EDE" w:rsidRPr="00564D5B" w:rsidRDefault="00111EDE" w:rsidP="00FF52AA">
      <w:pPr>
        <w:tabs>
          <w:tab w:val="left" w:leader="dot" w:pos="9072"/>
        </w:tabs>
        <w:spacing w:before="120" w:after="120"/>
        <w:ind w:left="1077"/>
        <w:jc w:val="both"/>
      </w:pPr>
      <w:r>
        <w:tab/>
      </w:r>
    </w:p>
    <w:p w14:paraId="486C8F8C" w14:textId="77777777" w:rsidR="00111EDE" w:rsidRPr="00A05822" w:rsidRDefault="00111EDE" w:rsidP="00BC0346">
      <w:pPr>
        <w:pStyle w:val="ListParagraph"/>
        <w:numPr>
          <w:ilvl w:val="0"/>
          <w:numId w:val="28"/>
        </w:numPr>
        <w:spacing w:after="240"/>
        <w:ind w:left="993" w:hanging="142"/>
        <w:jc w:val="both"/>
      </w:pPr>
      <w:r>
        <w:t>моля, посочете срока на действие на схемата</w:t>
      </w:r>
      <w:r w:rsidRPr="0096487F">
        <w:rPr>
          <w:rStyle w:val="FootnoteReference"/>
          <w:rFonts w:cs="Arial Unicode MS"/>
          <w:bCs/>
          <w:lang w:bidi="si-LK"/>
        </w:rPr>
        <w:footnoteReference w:id="3"/>
      </w:r>
      <w:r>
        <w:t>.</w:t>
      </w:r>
    </w:p>
    <w:p w14:paraId="07CBC89A" w14:textId="77777777" w:rsidR="00111EDE" w:rsidRPr="006B1712" w:rsidRDefault="00111EDE" w:rsidP="00FF52AA">
      <w:pPr>
        <w:tabs>
          <w:tab w:val="left" w:leader="dot" w:pos="9072"/>
        </w:tabs>
        <w:spacing w:before="120" w:after="120"/>
        <w:ind w:left="1077"/>
        <w:jc w:val="both"/>
      </w:pPr>
      <w:r>
        <w:tab/>
      </w:r>
    </w:p>
    <w:p w14:paraId="2FDB6E26" w14:textId="497E4558" w:rsidR="00111EDE" w:rsidRPr="006B1712" w:rsidRDefault="00111EDE" w:rsidP="00111EDE">
      <w:pPr>
        <w:pStyle w:val="ListParagraph"/>
        <w:numPr>
          <w:ilvl w:val="0"/>
          <w:numId w:val="4"/>
        </w:numPr>
        <w:spacing w:before="120" w:after="120"/>
        <w:ind w:left="567" w:hanging="567"/>
        <w:contextualSpacing w:val="0"/>
        <w:jc w:val="both"/>
        <w:rPr>
          <w:rFonts w:cs="Arial Unicode MS"/>
          <w:b/>
          <w:bCs/>
        </w:rPr>
      </w:pPr>
      <w:r>
        <w:rPr>
          <w:b/>
        </w:rPr>
        <w:t>Бенефициер(и)</w:t>
      </w:r>
      <w:r>
        <w:t>:</w:t>
      </w:r>
      <w:r>
        <w:rPr>
          <w:b/>
        </w:rPr>
        <w:tab/>
      </w:r>
    </w:p>
    <w:p w14:paraId="101D761C" w14:textId="191E498C" w:rsidR="00111EDE" w:rsidRDefault="00111EDE" w:rsidP="00BC0346">
      <w:pPr>
        <w:pStyle w:val="ListParagraph"/>
        <w:numPr>
          <w:ilvl w:val="0"/>
          <w:numId w:val="21"/>
        </w:numPr>
        <w:spacing w:after="240"/>
        <w:ind w:hanging="229"/>
        <w:jc w:val="both"/>
        <w:rPr>
          <w:szCs w:val="24"/>
        </w:rPr>
      </w:pPr>
      <w:r>
        <w:t>ако все още не сте предоставили информация в раздел 3 от формуляра за обща информация (част I), моля, опишете (потенциалния/потенциалните) бенефициер(и) на мярката(мерките);</w:t>
      </w:r>
    </w:p>
    <w:p w14:paraId="5548BC87" w14:textId="77777777" w:rsidR="00111EDE" w:rsidRPr="00564D5B" w:rsidRDefault="00111EDE" w:rsidP="00FF52AA">
      <w:pPr>
        <w:tabs>
          <w:tab w:val="left" w:leader="dot" w:pos="9072"/>
        </w:tabs>
        <w:spacing w:before="120" w:after="120"/>
        <w:ind w:left="1077"/>
        <w:jc w:val="both"/>
      </w:pPr>
      <w:r>
        <w:tab/>
      </w:r>
    </w:p>
    <w:p w14:paraId="62757543" w14:textId="3E4B29E9" w:rsidR="00111EDE" w:rsidRPr="00C55D4C" w:rsidRDefault="00111EDE" w:rsidP="00BC0346">
      <w:pPr>
        <w:pStyle w:val="ListParagraph"/>
        <w:numPr>
          <w:ilvl w:val="0"/>
          <w:numId w:val="21"/>
        </w:numPr>
        <w:spacing w:after="240"/>
        <w:ind w:hanging="229"/>
        <w:jc w:val="both"/>
        <w:rPr>
          <w:szCs w:val="24"/>
        </w:rPr>
      </w:pPr>
      <w:r>
        <w:t>моля, посочете местоположението на бенефициера(</w:t>
      </w:r>
      <w:proofErr w:type="spellStart"/>
      <w:r>
        <w:t>ите</w:t>
      </w:r>
      <w:proofErr w:type="spellEnd"/>
      <w:r>
        <w:t>) (т.е. дали само стопански субекти, намиращи се в съответната държава членка, или и в други държави членки, имат право да участват в мярката);</w:t>
      </w:r>
    </w:p>
    <w:p w14:paraId="4F206C99" w14:textId="77777777" w:rsidR="00111EDE" w:rsidRDefault="00111EDE" w:rsidP="00FF52AA">
      <w:pPr>
        <w:tabs>
          <w:tab w:val="left" w:leader="dot" w:pos="9072"/>
        </w:tabs>
        <w:spacing w:before="120" w:after="120"/>
        <w:ind w:left="1077"/>
        <w:jc w:val="both"/>
      </w:pPr>
      <w:r>
        <w:tab/>
      </w:r>
    </w:p>
    <w:p w14:paraId="29F2FA95" w14:textId="77777777" w:rsidR="00111EDE" w:rsidRDefault="00111EDE" w:rsidP="00BC0346">
      <w:pPr>
        <w:pStyle w:val="ListParagraph"/>
        <w:numPr>
          <w:ilvl w:val="0"/>
          <w:numId w:val="21"/>
        </w:numPr>
        <w:spacing w:after="240"/>
        <w:ind w:hanging="229"/>
        <w:jc w:val="both"/>
        <w:rPr>
          <w:szCs w:val="24"/>
        </w:rPr>
      </w:pPr>
      <w:r>
        <w:t xml:space="preserve">за да се оцени съответствието с точка 15 от CEEAG, моля, посочете дали помощта по мярката(мерките) се предоставя в полза на предприятие (индивидуално или част от схема), което е обект на неизпълнено разпореждане </w:t>
      </w:r>
      <w:r>
        <w:lastRenderedPageBreak/>
        <w:t xml:space="preserve">за възстановяване в резултат на предишно решение на Комисията, с което помощта се обявява за неправомерна и несъвместима с вътрешния пазар. </w:t>
      </w:r>
    </w:p>
    <w:p w14:paraId="6983E72A" w14:textId="77777777" w:rsidR="00111EDE" w:rsidRDefault="00111EDE" w:rsidP="00111EDE">
      <w:pPr>
        <w:pStyle w:val="ListParagraph"/>
        <w:rPr>
          <w:szCs w:val="24"/>
        </w:rPr>
      </w:pPr>
    </w:p>
    <w:p w14:paraId="04482994" w14:textId="77777777" w:rsidR="00111EDE" w:rsidRPr="00E4424D" w:rsidRDefault="00111EDE" w:rsidP="00111EDE">
      <w:pPr>
        <w:pStyle w:val="ListParagraph"/>
        <w:spacing w:after="240"/>
        <w:ind w:left="1080"/>
        <w:jc w:val="both"/>
        <w:rPr>
          <w:szCs w:val="24"/>
        </w:rPr>
      </w:pPr>
      <w:r>
        <w:t xml:space="preserve">При положителен отговор, моля, представете информация за размера на помощта, която все още не е възстановена, така че Комисията да я вземе предвид при оценката на мярката(мерките) за помощ. </w:t>
      </w:r>
    </w:p>
    <w:p w14:paraId="5F6FB4C8" w14:textId="77777777" w:rsidR="00111EDE" w:rsidRDefault="00111EDE" w:rsidP="00FF52AA">
      <w:pPr>
        <w:tabs>
          <w:tab w:val="left" w:leader="dot" w:pos="9072"/>
        </w:tabs>
        <w:spacing w:before="120" w:after="120"/>
        <w:ind w:left="1077"/>
        <w:jc w:val="both"/>
      </w:pPr>
      <w:r>
        <w:tab/>
      </w:r>
    </w:p>
    <w:p w14:paraId="5B774854" w14:textId="77777777" w:rsidR="00111EDE" w:rsidRPr="00FC4A9E" w:rsidRDefault="00111EDE" w:rsidP="00111EDE">
      <w:pPr>
        <w:pStyle w:val="ListParagraph"/>
        <w:numPr>
          <w:ilvl w:val="0"/>
          <w:numId w:val="4"/>
        </w:numPr>
        <w:spacing w:before="120" w:after="120"/>
        <w:ind w:left="567" w:hanging="567"/>
        <w:contextualSpacing w:val="0"/>
        <w:jc w:val="both"/>
      </w:pPr>
      <w:r>
        <w:t>Моля, потвърдете, че мярката(мерките) не включва(т) помощ за дейности, които не попадат в приложното поле на CEEAG (вж. точка 13 от CEEAG). В противен случай, моля, посочете подробности.</w:t>
      </w:r>
    </w:p>
    <w:p w14:paraId="0A1E9908" w14:textId="77777777" w:rsidR="00111EDE" w:rsidRPr="00C55D4C" w:rsidRDefault="00111EDE" w:rsidP="00111EDE">
      <w:pPr>
        <w:tabs>
          <w:tab w:val="left" w:leader="dot" w:pos="9072"/>
        </w:tabs>
        <w:spacing w:before="120" w:after="120"/>
        <w:ind w:left="567"/>
        <w:jc w:val="both"/>
      </w:pPr>
      <w:r>
        <w:tab/>
      </w:r>
    </w:p>
    <w:p w14:paraId="52E18B91" w14:textId="77777777" w:rsidR="00111EDE" w:rsidRPr="00ED2FA7" w:rsidRDefault="00111EDE" w:rsidP="00111EDE">
      <w:pPr>
        <w:pStyle w:val="ListParagraph"/>
        <w:numPr>
          <w:ilvl w:val="0"/>
          <w:numId w:val="4"/>
        </w:numPr>
        <w:spacing w:before="120" w:after="120"/>
        <w:ind w:left="567" w:hanging="567"/>
        <w:contextualSpacing w:val="0"/>
        <w:jc w:val="both"/>
        <w:rPr>
          <w:rFonts w:cs="Arial Unicode MS"/>
          <w:bCs/>
        </w:rPr>
      </w:pPr>
      <w:bookmarkStart w:id="2" w:name="_Ref126829229"/>
      <w:r>
        <w:rPr>
          <w:b/>
        </w:rPr>
        <w:t>Бюджет и финансиране на мярката(мерките)</w:t>
      </w:r>
      <w:r>
        <w:t>:</w:t>
      </w:r>
      <w:bookmarkEnd w:id="2"/>
    </w:p>
    <w:p w14:paraId="31B41457" w14:textId="63D14525" w:rsidR="00111EDE" w:rsidRPr="00ED2FA7" w:rsidRDefault="00111EDE" w:rsidP="00BC0346">
      <w:pPr>
        <w:pStyle w:val="ListParagraph"/>
        <w:numPr>
          <w:ilvl w:val="0"/>
          <w:numId w:val="22"/>
        </w:numPr>
        <w:spacing w:before="120" w:after="120"/>
        <w:ind w:left="993" w:hanging="284"/>
        <w:contextualSpacing w:val="0"/>
        <w:jc w:val="both"/>
        <w:rPr>
          <w:rFonts w:cs="Arial Unicode MS"/>
          <w:bCs/>
        </w:rPr>
      </w:pPr>
      <w:r>
        <w:t>ако не е посочен в таблицата в раздел 7.1 от формуляра за обща информация (част I), моля, посочете годишния и/или общия бюджет за целия срок на действие на мярката(мерките); ако общият бюджет не е известен (например тъй като зависи от резултатите от търгове), моля, посочете приблизителния бюджет, включително допусканията, използвани за изчисляване на съответния прогнозен бюджет</w:t>
      </w:r>
      <w:r w:rsidRPr="00AC286A">
        <w:rPr>
          <w:rFonts w:cs="Arial Unicode MS"/>
          <w:bCs/>
          <w:vertAlign w:val="superscript"/>
          <w:lang w:bidi="si-LK"/>
        </w:rPr>
        <w:footnoteReference w:id="4"/>
      </w:r>
      <w:r>
        <w:t>;</w:t>
      </w:r>
    </w:p>
    <w:p w14:paraId="647D1F33" w14:textId="77777777" w:rsidR="00111EDE" w:rsidRPr="00ED2FA7" w:rsidRDefault="00111EDE" w:rsidP="00EE5514">
      <w:pPr>
        <w:tabs>
          <w:tab w:val="left" w:leader="dot" w:pos="9072"/>
        </w:tabs>
        <w:spacing w:before="120" w:after="120"/>
        <w:ind w:left="1077"/>
        <w:jc w:val="both"/>
      </w:pPr>
      <w:r>
        <w:tab/>
      </w:r>
    </w:p>
    <w:p w14:paraId="2F22E050" w14:textId="6DB30327" w:rsidR="00111EDE" w:rsidRDefault="001A02C8" w:rsidP="00BC0346">
      <w:pPr>
        <w:pStyle w:val="ListParagraph"/>
        <w:numPr>
          <w:ilvl w:val="0"/>
          <w:numId w:val="22"/>
        </w:numPr>
        <w:spacing w:before="120" w:after="120"/>
        <w:ind w:left="993" w:hanging="284"/>
        <w:contextualSpacing w:val="0"/>
        <w:jc w:val="both"/>
        <w:rPr>
          <w:rFonts w:cs="Arial Unicode MS"/>
          <w:bCs/>
        </w:rPr>
      </w:pPr>
      <w:bookmarkStart w:id="3" w:name="_Ref126829235"/>
      <w:r>
        <w:t>ако мярката(мерките) се финансира(т) чрез налог, моля пояснете дали:</w:t>
      </w:r>
      <w:bookmarkEnd w:id="3"/>
      <w:r>
        <w:t xml:space="preserve"> </w:t>
      </w:r>
    </w:p>
    <w:p w14:paraId="68042F68"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налогът е определен със закон или друг законодателен акт; при положителен отговор, моля, посочете правния акт, номера и датата, на която е приет и влязъл в сила, както и интернет връзка към правния акт;</w:t>
      </w:r>
    </w:p>
    <w:p w14:paraId="039B9A87" w14:textId="77777777" w:rsidR="00111EDE" w:rsidRDefault="00111EDE" w:rsidP="000E6B11">
      <w:pPr>
        <w:tabs>
          <w:tab w:val="left" w:leader="dot" w:pos="9072"/>
        </w:tabs>
        <w:spacing w:before="120" w:after="120"/>
        <w:ind w:left="1701"/>
        <w:jc w:val="both"/>
      </w:pPr>
      <w:r>
        <w:tab/>
      </w:r>
    </w:p>
    <w:p w14:paraId="0383D62F" w14:textId="77777777" w:rsidR="00111EDE" w:rsidRDefault="00111EDE" w:rsidP="000E6B11">
      <w:pPr>
        <w:pStyle w:val="ListParagraph"/>
        <w:numPr>
          <w:ilvl w:val="1"/>
          <w:numId w:val="22"/>
        </w:numPr>
        <w:spacing w:before="120" w:after="120"/>
        <w:ind w:left="1797" w:hanging="357"/>
        <w:contextualSpacing w:val="0"/>
        <w:jc w:val="both"/>
        <w:rPr>
          <w:rFonts w:cs="Arial Unicode MS"/>
          <w:bCs/>
        </w:rPr>
      </w:pPr>
      <w:r>
        <w:t>налогът се прилага еднакво по отношение на местните и вносните продукти;</w:t>
      </w:r>
    </w:p>
    <w:p w14:paraId="1F67F164" w14:textId="4F34E48A" w:rsidR="00111EDE" w:rsidRPr="000E6B11" w:rsidRDefault="00111EDE" w:rsidP="000E6B11">
      <w:pPr>
        <w:tabs>
          <w:tab w:val="left" w:leader="dot" w:pos="9072"/>
        </w:tabs>
        <w:spacing w:before="120" w:after="120"/>
        <w:ind w:left="1701"/>
        <w:jc w:val="both"/>
      </w:pPr>
      <w:r>
        <w:tab/>
      </w:r>
    </w:p>
    <w:p w14:paraId="71A44A4A" w14:textId="6E27BFA0" w:rsidR="00111EDE" w:rsidRDefault="00111EDE" w:rsidP="000E6B11">
      <w:pPr>
        <w:pStyle w:val="ListParagraph"/>
        <w:numPr>
          <w:ilvl w:val="1"/>
          <w:numId w:val="22"/>
        </w:numPr>
        <w:spacing w:before="120" w:after="120"/>
        <w:ind w:left="1797" w:hanging="357"/>
        <w:contextualSpacing w:val="0"/>
        <w:jc w:val="both"/>
        <w:rPr>
          <w:rFonts w:cs="Arial Unicode MS"/>
          <w:bCs/>
        </w:rPr>
      </w:pPr>
      <w:r>
        <w:t>мярката(мерките), за която(</w:t>
      </w:r>
      <w:proofErr w:type="spellStart"/>
      <w:r>
        <w:t>ито</w:t>
      </w:r>
      <w:proofErr w:type="spellEnd"/>
      <w:r>
        <w:t>) е отправено уведомление, ще донесе ползи както за местните, така и за чуждестранните продукти;</w:t>
      </w:r>
    </w:p>
    <w:p w14:paraId="46C2E53B" w14:textId="77777777" w:rsidR="00111EDE" w:rsidRDefault="00111EDE" w:rsidP="000E6B11">
      <w:pPr>
        <w:tabs>
          <w:tab w:val="left" w:leader="dot" w:pos="9072"/>
        </w:tabs>
        <w:spacing w:before="120" w:after="120"/>
        <w:ind w:left="1701"/>
        <w:jc w:val="both"/>
      </w:pPr>
      <w:r>
        <w:tab/>
      </w:r>
    </w:p>
    <w:p w14:paraId="3DE0D516" w14:textId="6D1E055C" w:rsidR="00111EDE" w:rsidRDefault="00111EDE" w:rsidP="000E6B11">
      <w:pPr>
        <w:pStyle w:val="ListParagraph"/>
        <w:numPr>
          <w:ilvl w:val="1"/>
          <w:numId w:val="22"/>
        </w:numPr>
        <w:spacing w:before="120" w:after="120"/>
        <w:ind w:left="1797" w:hanging="357"/>
        <w:contextualSpacing w:val="0"/>
        <w:jc w:val="both"/>
        <w:rPr>
          <w:rFonts w:cs="Arial Unicode MS"/>
          <w:bCs/>
        </w:rPr>
      </w:pPr>
      <w:r>
        <w:t>мярката(мерките) се финансира(т) изцяло или само частично от налога. Ако мярката се финансира само частично от налога, посочете другите източници на финансиране на мярката и техния съответен дял;</w:t>
      </w:r>
    </w:p>
    <w:p w14:paraId="52451714" w14:textId="16900281" w:rsidR="00111EDE" w:rsidRPr="000E6B11" w:rsidRDefault="00111EDE" w:rsidP="000E6B11">
      <w:pPr>
        <w:tabs>
          <w:tab w:val="left" w:leader="dot" w:pos="9072"/>
        </w:tabs>
        <w:spacing w:before="120" w:after="120"/>
        <w:ind w:left="1701"/>
        <w:jc w:val="both"/>
      </w:pPr>
      <w:r>
        <w:tab/>
      </w:r>
    </w:p>
    <w:p w14:paraId="3F93335B" w14:textId="060CAC38" w:rsidR="00111EDE" w:rsidRDefault="00111EDE" w:rsidP="000E6B11">
      <w:pPr>
        <w:pStyle w:val="ListParagraph"/>
        <w:numPr>
          <w:ilvl w:val="1"/>
          <w:numId w:val="22"/>
        </w:numPr>
        <w:spacing w:before="120" w:after="120"/>
        <w:ind w:left="1797" w:hanging="357"/>
        <w:contextualSpacing w:val="0"/>
        <w:jc w:val="both"/>
        <w:rPr>
          <w:rFonts w:cs="Arial Unicode MS"/>
          <w:bCs/>
        </w:rPr>
      </w:pPr>
      <w:r>
        <w:t>от налога, финансиращ мярката(мерките), за която(</w:t>
      </w:r>
      <w:proofErr w:type="spellStart"/>
      <w:r>
        <w:t>ито</w:t>
      </w:r>
      <w:proofErr w:type="spellEnd"/>
      <w:r>
        <w:t>) е отправено уведомление, се финансират и други мерки за помощ. Ако е така, посочете другите мерки за помощ, финансирани със съответния налог.</w:t>
      </w:r>
    </w:p>
    <w:p w14:paraId="0D2602C7" w14:textId="77777777" w:rsidR="00111EDE" w:rsidRDefault="00111EDE" w:rsidP="000E6B11">
      <w:pPr>
        <w:tabs>
          <w:tab w:val="left" w:leader="dot" w:pos="9072"/>
        </w:tabs>
        <w:spacing w:before="120" w:after="120"/>
        <w:ind w:left="1701"/>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Раздел Б: Оценка на съвместимостта на помощта</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4B5C2A" w:rsidRPr="00711243" w14:paraId="4F4ED3F1" w14:textId="77777777">
        <w:tc>
          <w:tcPr>
            <w:tcW w:w="9322" w:type="dxa"/>
            <w:shd w:val="clear" w:color="auto" w:fill="D9D9D9"/>
          </w:tcPr>
          <w:p w14:paraId="4EC3F9B1" w14:textId="4AFDC259" w:rsidR="000442F5" w:rsidRPr="006D38D6" w:rsidRDefault="007D1E08" w:rsidP="00BC0346">
            <w:pPr>
              <w:pStyle w:val="Heading1"/>
              <w:numPr>
                <w:ilvl w:val="0"/>
                <w:numId w:val="23"/>
              </w:numPr>
              <w:rPr>
                <w:i/>
                <w:iCs/>
                <w:sz w:val="28"/>
                <w:szCs w:val="28"/>
              </w:rPr>
            </w:pPr>
            <w:r>
              <w:rPr>
                <w:i/>
                <w:sz w:val="28"/>
              </w:rPr>
              <w:t>Положително условие: помощта трябва да улеснява развитието на икономическа дейност</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C0346">
            <w:pPr>
              <w:pStyle w:val="Heading1"/>
              <w:numPr>
                <w:ilvl w:val="1"/>
                <w:numId w:val="23"/>
              </w:numPr>
              <w:rPr>
                <w:sz w:val="24"/>
                <w:szCs w:val="24"/>
              </w:rPr>
            </w:pPr>
            <w:r>
              <w:rPr>
                <w:sz w:val="24"/>
              </w:rPr>
              <w:t>Принос към развитието на икономическа дейност</w:t>
            </w:r>
          </w:p>
        </w:tc>
      </w:tr>
    </w:tbl>
    <w:p w14:paraId="1E2599D2" w14:textId="67A963FD" w:rsidR="000442F5" w:rsidRPr="00DB40A5" w:rsidRDefault="000442F5" w:rsidP="00A029BF">
      <w:pPr>
        <w:spacing w:before="120" w:after="120"/>
        <w:jc w:val="both"/>
        <w:rPr>
          <w:i/>
        </w:rPr>
      </w:pPr>
      <w:r>
        <w:rPr>
          <w:i/>
        </w:rPr>
        <w:t xml:space="preserve">За да предоставите информацията в настоящия раздел, моля, вижте раздел 3.1.1 (точки 23—25) и </w:t>
      </w:r>
      <w:r>
        <w:rPr>
          <w:i/>
          <w:color w:val="000000"/>
        </w:rPr>
        <w:t>раздели 4.2.1 и 4.2.2 (точки 136—140)</w:t>
      </w:r>
      <w:r>
        <w:rPr>
          <w:i/>
        </w:rPr>
        <w:t xml:space="preserve"> от CEEAG. </w:t>
      </w:r>
    </w:p>
    <w:p w14:paraId="05FCD0A3" w14:textId="1D950BB0" w:rsidR="00864DCD" w:rsidRPr="00DB40A5" w:rsidRDefault="006B6657" w:rsidP="00C52CFD">
      <w:pPr>
        <w:pStyle w:val="ListParagraph"/>
        <w:numPr>
          <w:ilvl w:val="0"/>
          <w:numId w:val="4"/>
        </w:numPr>
        <w:spacing w:before="120" w:after="120"/>
        <w:ind w:left="567" w:hanging="567"/>
        <w:contextualSpacing w:val="0"/>
        <w:jc w:val="both"/>
      </w:pPr>
      <w:r>
        <w:t>Член 107, параграф 3, буква в) от Договора за функционирането на Европейския съюз (ДФЕС) предвижда, че Комисията може да обяви за съвместими „</w:t>
      </w:r>
      <w:r>
        <w:rPr>
          <w:i/>
        </w:rPr>
        <w:t>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w:t>
      </w:r>
      <w:r>
        <w:t xml:space="preserve">“. Следователно съвместимата помощ съгласно тази разпоредба на ДФЕС трябва да допринася за развитието на определена икономическа дейност. </w:t>
      </w:r>
    </w:p>
    <w:p w14:paraId="4422EB0C" w14:textId="77777777" w:rsidR="00EA08CE" w:rsidRDefault="00EA08CE" w:rsidP="00AE72C0">
      <w:pPr>
        <w:pStyle w:val="ListParagraph"/>
        <w:spacing w:before="120" w:after="120"/>
        <w:ind w:left="567"/>
        <w:contextualSpacing w:val="0"/>
        <w:jc w:val="both"/>
      </w:pPr>
      <w:r>
        <w:t xml:space="preserve">За да се оцени съответствието с точка 23 от CEEAG, моля, посочете икономическите дейности, които ще бъдат улеснени в резултат на помощта, и начина, по който се подпомага развитието на тези дейности. </w:t>
      </w:r>
    </w:p>
    <w:p w14:paraId="43E4572F" w14:textId="77777777" w:rsidR="000442F5" w:rsidRPr="00864DCD" w:rsidRDefault="000442F5" w:rsidP="000442F5">
      <w:pPr>
        <w:tabs>
          <w:tab w:val="left" w:leader="dot" w:pos="9072"/>
        </w:tabs>
        <w:spacing w:before="120" w:after="120"/>
        <w:ind w:left="567"/>
        <w:jc w:val="both"/>
      </w:pPr>
      <w:r>
        <w:tab/>
      </w:r>
    </w:p>
    <w:p w14:paraId="420241C3" w14:textId="7F121E09" w:rsidR="00422410" w:rsidRDefault="00422410" w:rsidP="00422410">
      <w:pPr>
        <w:pStyle w:val="ListParagraph"/>
        <w:numPr>
          <w:ilvl w:val="0"/>
          <w:numId w:val="4"/>
        </w:numPr>
        <w:spacing w:before="120" w:after="120"/>
        <w:ind w:left="567" w:hanging="567"/>
        <w:contextualSpacing w:val="0"/>
        <w:jc w:val="both"/>
      </w:pPr>
      <w:r>
        <w:t xml:space="preserve">За да се оцени съответствието с точка 25 от CEEAG, моля, „опишете дали и по какъв начин помощта ще допринесе за постигането на целите на политиките на Съюза в областта на климата, околната среда и енергетиката, и по-специално очакваните ползи от помощта по отношение на нейния съществен принос за опазването на околната среда, включително за смекчаването на последиците от изменението на климата, или за ефективното функциониране на вътрешния енергиен пазар“. </w:t>
      </w:r>
    </w:p>
    <w:p w14:paraId="6BA1AB7B" w14:textId="47A34289" w:rsidR="00422410" w:rsidRDefault="00422410" w:rsidP="00422410">
      <w:pPr>
        <w:pStyle w:val="ListParagraph"/>
        <w:spacing w:before="120" w:after="120"/>
        <w:ind w:left="567"/>
        <w:contextualSpacing w:val="0"/>
        <w:jc w:val="both"/>
      </w:pPr>
      <w:r>
        <w:t xml:space="preserve">Освен това, моля, посочете до каква степен помощта е свързана с политиките, описани в точка 135 от CEEAG. </w:t>
      </w:r>
    </w:p>
    <w:p w14:paraId="343C7F20" w14:textId="77777777" w:rsidR="00422410" w:rsidRDefault="00422410" w:rsidP="00422410">
      <w:pPr>
        <w:tabs>
          <w:tab w:val="left" w:leader="dot" w:pos="9072"/>
        </w:tabs>
        <w:spacing w:before="120" w:after="120"/>
        <w:ind w:left="567"/>
        <w:jc w:val="both"/>
      </w:pPr>
      <w:r>
        <w:tab/>
      </w:r>
    </w:p>
    <w:p w14:paraId="0FE5C8C4" w14:textId="77777777" w:rsidR="00422410" w:rsidRDefault="00422410" w:rsidP="00422410">
      <w:pPr>
        <w:pStyle w:val="ListParagraph"/>
        <w:numPr>
          <w:ilvl w:val="0"/>
          <w:numId w:val="4"/>
        </w:numPr>
        <w:spacing w:before="120" w:after="120"/>
        <w:ind w:left="567" w:hanging="567"/>
        <w:contextualSpacing w:val="0"/>
        <w:jc w:val="both"/>
        <w:rPr>
          <w:szCs w:val="24"/>
        </w:rPr>
      </w:pPr>
      <w:r>
        <w:t>Моля, опишете изискванията за допустимост, приложими към бенефициера(</w:t>
      </w:r>
      <w:proofErr w:type="spellStart"/>
      <w:r>
        <w:t>ите</w:t>
      </w:r>
      <w:proofErr w:type="spellEnd"/>
      <w:r>
        <w:t xml:space="preserve">) (например като включите всички технически, екологични (т.е. разрешения), финансови (т.е. обезпечения) или други изисквания, които </w:t>
      </w:r>
      <w:proofErr w:type="spellStart"/>
      <w:r>
        <w:t>бенефициерът</w:t>
      </w:r>
      <w:proofErr w:type="spellEnd"/>
      <w:r>
        <w:t>(</w:t>
      </w:r>
      <w:proofErr w:type="spellStart"/>
      <w:r>
        <w:t>ите</w:t>
      </w:r>
      <w:proofErr w:type="spellEnd"/>
      <w:r>
        <w:t>) трябва да спазва(т).</w:t>
      </w:r>
    </w:p>
    <w:p w14:paraId="4BA2963C" w14:textId="211C700B" w:rsidR="0018341B" w:rsidRDefault="00F521E8" w:rsidP="00EB1C1A">
      <w:pPr>
        <w:tabs>
          <w:tab w:val="left" w:leader="dot" w:pos="9072"/>
        </w:tabs>
        <w:spacing w:before="120" w:after="120"/>
        <w:ind w:left="567"/>
        <w:jc w:val="both"/>
        <w:rPr>
          <w:szCs w:val="24"/>
        </w:rPr>
      </w:pPr>
      <w:r>
        <w:tab/>
      </w:r>
      <w:r>
        <w:tab/>
      </w:r>
      <w:r>
        <w:tab/>
      </w:r>
    </w:p>
    <w:p w14:paraId="0448C65F" w14:textId="0D86D2DA" w:rsidR="007257F6" w:rsidRPr="00864DCD" w:rsidRDefault="009E5AE0" w:rsidP="00C76808">
      <w:pPr>
        <w:pStyle w:val="ListParagraph"/>
        <w:numPr>
          <w:ilvl w:val="0"/>
          <w:numId w:val="4"/>
        </w:numPr>
        <w:spacing w:before="120" w:after="120"/>
        <w:ind w:left="567" w:hanging="567"/>
        <w:contextualSpacing w:val="0"/>
        <w:jc w:val="both"/>
      </w:pPr>
      <w:r>
        <w:t>Моля, представете информация относно точния обхват и подпомаганите дейности на мярката(мерките) за помощ, както е предвидено в раздел 4.2.2 от CEEAG. По-специално:</w:t>
      </w:r>
    </w:p>
    <w:p w14:paraId="32AFD134" w14:textId="1ED9FBCA" w:rsidR="00B35947" w:rsidRDefault="00B35947" w:rsidP="008D5ADF">
      <w:pPr>
        <w:pStyle w:val="ListParagraph"/>
        <w:numPr>
          <w:ilvl w:val="1"/>
          <w:numId w:val="4"/>
        </w:numPr>
        <w:spacing w:before="120" w:after="120"/>
        <w:contextualSpacing w:val="0"/>
        <w:jc w:val="both"/>
      </w:pPr>
      <w:r>
        <w:t xml:space="preserve">моля, обяснете дали мярката(мерките) за помощ осигурява(т) само помощ за подобряване на енергийната ефективност на сградите или съчетава(т) помощ за подобряване на енергийната ефективност на сградите с помощ за някоя или всички инвестиции, изброени в точка 137 от CEEAG. В последния случай, </w:t>
      </w:r>
      <w:r>
        <w:lastRenderedPageBreak/>
        <w:t xml:space="preserve">моля, пояснете кои от инвестициите са допустими за помощ по мярката(мерките);  </w:t>
      </w:r>
    </w:p>
    <w:p w14:paraId="1DF9800D" w14:textId="77777777" w:rsidR="00B35947" w:rsidRDefault="00B35947" w:rsidP="008D5ADF">
      <w:pPr>
        <w:tabs>
          <w:tab w:val="left" w:leader="dot" w:pos="9072"/>
        </w:tabs>
        <w:spacing w:before="120" w:after="120"/>
        <w:ind w:left="1077"/>
        <w:jc w:val="both"/>
      </w:pPr>
      <w:r>
        <w:tab/>
      </w:r>
    </w:p>
    <w:p w14:paraId="07B22321" w14:textId="41C913FD" w:rsidR="00B35947" w:rsidRDefault="00B35947" w:rsidP="008D5ADF">
      <w:pPr>
        <w:pStyle w:val="ListParagraph"/>
        <w:numPr>
          <w:ilvl w:val="1"/>
          <w:numId w:val="4"/>
        </w:numPr>
        <w:spacing w:before="120" w:after="120"/>
        <w:contextualSpacing w:val="0"/>
        <w:jc w:val="both"/>
      </w:pPr>
      <w:r>
        <w:t>моля, обяснете дали мярката(мерките) за помощ включва(т) и видове помощ, които са изключени от приложното поле на раздел 4.2 от CEEAG по силата на точка 138 от Насоките. При положителен отговор е необходимо да се представи(ят) съответният(</w:t>
      </w:r>
      <w:proofErr w:type="spellStart"/>
      <w:r>
        <w:t>ите</w:t>
      </w:r>
      <w:proofErr w:type="spellEnd"/>
      <w:r>
        <w:t xml:space="preserve">) формуляр(и) за уведомление по отношение на съответната част от мярката(мерките). </w:t>
      </w:r>
    </w:p>
    <w:p w14:paraId="57FA6980" w14:textId="77777777" w:rsidR="00B35947" w:rsidRDefault="00B35947" w:rsidP="008D5ADF">
      <w:pPr>
        <w:tabs>
          <w:tab w:val="left" w:leader="dot" w:pos="9072"/>
        </w:tabs>
        <w:spacing w:before="120" w:after="120"/>
        <w:ind w:left="1077"/>
        <w:jc w:val="both"/>
      </w:pPr>
      <w:r>
        <w:tab/>
      </w:r>
    </w:p>
    <w:p w14:paraId="3CAE3C66" w14:textId="77777777" w:rsidR="00B35947" w:rsidRDefault="00B35947" w:rsidP="00EB1C1A">
      <w:pPr>
        <w:pStyle w:val="ListParagraph"/>
        <w:numPr>
          <w:ilvl w:val="0"/>
          <w:numId w:val="4"/>
        </w:numPr>
        <w:spacing w:before="120" w:after="120"/>
        <w:ind w:left="567" w:hanging="567"/>
        <w:contextualSpacing w:val="0"/>
        <w:jc w:val="both"/>
      </w:pPr>
      <w:r>
        <w:t>Моля, посочете дали помощта, предоставена по мярката(мерките), се отнася за саниране на съществуващи сгради, инсталиране или замяна на само един тип сградни компоненти</w:t>
      </w:r>
      <w:r>
        <w:rPr>
          <w:rStyle w:val="FootnoteReference"/>
        </w:rPr>
        <w:footnoteReference w:id="5"/>
      </w:r>
      <w:r>
        <w:t xml:space="preserve"> и/или за инвестиции в енергийна ефективност в нови сгради, както е определено в точка 139 (букви а)—в) от CEEAG.  </w:t>
      </w:r>
    </w:p>
    <w:p w14:paraId="034FFA49" w14:textId="77777777" w:rsidR="00B35947" w:rsidRDefault="00B35947" w:rsidP="00B35947">
      <w:pPr>
        <w:tabs>
          <w:tab w:val="left" w:leader="dot" w:pos="9072"/>
        </w:tabs>
        <w:spacing w:before="120" w:after="120"/>
        <w:ind w:left="567"/>
        <w:jc w:val="both"/>
      </w:pPr>
      <w:r>
        <w:tab/>
      </w:r>
    </w:p>
    <w:p w14:paraId="2E418535" w14:textId="77777777" w:rsidR="00B35947" w:rsidRDefault="00B35947" w:rsidP="00EB1C1A">
      <w:pPr>
        <w:pStyle w:val="ListParagraph"/>
        <w:numPr>
          <w:ilvl w:val="0"/>
          <w:numId w:val="4"/>
        </w:numPr>
        <w:spacing w:before="120" w:after="120"/>
        <w:ind w:left="567" w:hanging="567"/>
        <w:contextualSpacing w:val="0"/>
        <w:jc w:val="both"/>
      </w:pPr>
      <w:r>
        <w:t xml:space="preserve">Моля, докажете, че помощта, предоставена по мярката(мерките) за помощ, ще доведе до подобренията на енергийните характеристики, изисквани в точка 139 (букви а)—в), в зависимост от случая) от CEEAG. </w:t>
      </w:r>
    </w:p>
    <w:p w14:paraId="22A00F0F" w14:textId="77777777" w:rsidR="00B35947" w:rsidRDefault="00B35947" w:rsidP="00B35947">
      <w:pPr>
        <w:tabs>
          <w:tab w:val="left" w:leader="dot" w:pos="9072"/>
        </w:tabs>
        <w:spacing w:before="120" w:after="120"/>
        <w:ind w:left="567"/>
        <w:jc w:val="both"/>
      </w:pPr>
      <w:r>
        <w:tab/>
      </w:r>
    </w:p>
    <w:p w14:paraId="716E83E5" w14:textId="77777777" w:rsidR="00B35947" w:rsidRDefault="00B35947" w:rsidP="006E39D2">
      <w:pPr>
        <w:pStyle w:val="ListParagraph"/>
        <w:numPr>
          <w:ilvl w:val="0"/>
          <w:numId w:val="4"/>
        </w:numPr>
        <w:spacing w:before="120" w:after="120"/>
        <w:ind w:left="567" w:hanging="567"/>
        <w:contextualSpacing w:val="0"/>
        <w:jc w:val="both"/>
      </w:pPr>
      <w:r>
        <w:t xml:space="preserve">Моля, посочете дали помощта се предоставя по мярка(мерки) за помощ на МСП и малки дружества със средна капитализация, които са доставчици на мерки за подобряване на енергийните характеристики, с цел да се улесни сключването на договори за енергоспестяване с гарантиран резултат, както е предвидено в точка 140 от CEEAG. </w:t>
      </w:r>
    </w:p>
    <w:p w14:paraId="37C6D30A" w14:textId="77777777" w:rsidR="00B35947" w:rsidRDefault="00B35947" w:rsidP="00B35947">
      <w:pPr>
        <w:tabs>
          <w:tab w:val="left" w:leader="dot" w:pos="9072"/>
        </w:tabs>
        <w:spacing w:before="120" w:after="120"/>
        <w:ind w:left="567"/>
        <w:jc w:val="both"/>
      </w:pPr>
      <w:r>
        <w:tab/>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5B1E1371" w:rsidR="00015E2B" w:rsidRPr="00B418CC" w:rsidRDefault="003E621E" w:rsidP="00BC0346">
            <w:pPr>
              <w:pStyle w:val="Heading1"/>
              <w:numPr>
                <w:ilvl w:val="1"/>
                <w:numId w:val="23"/>
              </w:numPr>
              <w:ind w:left="788" w:right="-28" w:hanging="431"/>
              <w:rPr>
                <w:sz w:val="24"/>
                <w:szCs w:val="24"/>
              </w:rPr>
            </w:pPr>
            <w:r>
              <w:rPr>
                <w:sz w:val="24"/>
              </w:rPr>
              <w:t xml:space="preserve"> Стимулиращ ефект</w:t>
            </w:r>
          </w:p>
        </w:tc>
      </w:tr>
    </w:tbl>
    <w:p w14:paraId="20915284" w14:textId="0D70BA96" w:rsidR="00015E2B" w:rsidRPr="00A05235" w:rsidRDefault="00B15313" w:rsidP="00A029BF">
      <w:pPr>
        <w:spacing w:before="120" w:after="120"/>
        <w:jc w:val="both"/>
        <w:rPr>
          <w:i/>
        </w:rPr>
      </w:pPr>
      <w:r>
        <w:rPr>
          <w:i/>
        </w:rPr>
        <w:t xml:space="preserve">За да предоставите информацията в настоящия раздел, моля, вижте раздел 3.1.2 (точки 26—32) и раздел 4.2.3 (точки 141—143) от CEEAG. </w:t>
      </w:r>
    </w:p>
    <w:p w14:paraId="1EB5279D" w14:textId="338D4CA4" w:rsidR="00210BE0" w:rsidRPr="00864DCD" w:rsidRDefault="00874506" w:rsidP="006C6BA9">
      <w:pPr>
        <w:pStyle w:val="ListParagraph"/>
        <w:numPr>
          <w:ilvl w:val="0"/>
          <w:numId w:val="4"/>
        </w:numPr>
        <w:spacing w:before="120" w:after="120"/>
        <w:ind w:left="567" w:hanging="567"/>
        <w:contextualSpacing w:val="0"/>
        <w:jc w:val="both"/>
      </w:pPr>
      <w:r>
        <w:t xml:space="preserve">Помощта може да се смята за улесняваща дадена икономическа дейност само ако има стимулиращ ефект. За да се оцени съответствието с точка 26 от CEEAG, моля, обяснете как мярката(мерките) </w:t>
      </w:r>
      <w:r>
        <w:rPr>
          <w:i/>
        </w:rPr>
        <w:t>„насърчава(т) бенефициера да промени своето поведение, да участва в допълнителна или в по-екологосъобразна икономическа дейност, която без помощта той не би извършвал или би извършвал по ограничен или различен начин“</w:t>
      </w:r>
      <w:r>
        <w:t>. Освен това, за да се оцени съответствието с точка 27 от CEEAG, моля, потвърдете, че с мярката „</w:t>
      </w:r>
      <w:r>
        <w:rPr>
          <w:i/>
        </w:rPr>
        <w:t>не се компенсира обичайният търговски риск за дадена икономическа дейност</w:t>
      </w:r>
      <w:r>
        <w:t>“, и обяснете накратко защо.</w:t>
      </w:r>
    </w:p>
    <w:p w14:paraId="26BD861B" w14:textId="77777777" w:rsidR="00210BE0" w:rsidRPr="00864DCD" w:rsidRDefault="00210BE0" w:rsidP="00210BE0">
      <w:pPr>
        <w:tabs>
          <w:tab w:val="left" w:leader="dot" w:pos="9072"/>
        </w:tabs>
        <w:spacing w:before="120" w:after="120"/>
        <w:ind w:left="567"/>
        <w:jc w:val="both"/>
      </w:pPr>
      <w:r>
        <w:tab/>
      </w:r>
    </w:p>
    <w:p w14:paraId="17E79BC0" w14:textId="62FF06AD" w:rsidR="001A0085" w:rsidRPr="00931530" w:rsidRDefault="006C5D8B" w:rsidP="00931530">
      <w:pPr>
        <w:pStyle w:val="ListParagraph"/>
        <w:numPr>
          <w:ilvl w:val="0"/>
          <w:numId w:val="4"/>
        </w:numPr>
        <w:spacing w:before="120" w:after="120"/>
        <w:ind w:left="567" w:hanging="567"/>
        <w:contextualSpacing w:val="0"/>
        <w:jc w:val="both"/>
      </w:pPr>
      <w:bookmarkStart w:id="4" w:name="_Ref126829801"/>
      <w:r>
        <w:t>В съответствие с точка 28 от CEEAG:</w:t>
      </w:r>
    </w:p>
    <w:p w14:paraId="1D53C270" w14:textId="0862C107" w:rsidR="006C5D8B" w:rsidRPr="00883777" w:rsidRDefault="005B0BB7" w:rsidP="00B0184F">
      <w:pPr>
        <w:pStyle w:val="ListParagraph"/>
        <w:numPr>
          <w:ilvl w:val="2"/>
          <w:numId w:val="22"/>
        </w:numPr>
        <w:spacing w:before="120" w:after="120"/>
        <w:ind w:left="1071" w:hanging="357"/>
        <w:contextualSpacing w:val="0"/>
        <w:jc w:val="both"/>
      </w:pPr>
      <w:r>
        <w:t>представете изчерпателно описание на фактическия сценарий, който се очаква да възникне в резултат на мярката за помощ, и вероятния(</w:t>
      </w:r>
      <w:proofErr w:type="spellStart"/>
      <w:r>
        <w:t>ите</w:t>
      </w:r>
      <w:proofErr w:type="spellEnd"/>
      <w:r>
        <w:t xml:space="preserve">) </w:t>
      </w:r>
      <w:r>
        <w:lastRenderedPageBreak/>
        <w:t>съпоставителен(ни) сценарий(и) при липса на мярка за помощ.</w:t>
      </w:r>
      <w:r w:rsidR="006C5D8B" w:rsidRPr="005C1156">
        <w:rPr>
          <w:rStyle w:val="FootnoteReference"/>
        </w:rPr>
        <w:footnoteReference w:id="6"/>
      </w:r>
      <w:r>
        <w:t xml:space="preserve"> Ако очаквате, че може да бъдат подпомогнати различни категории бенефициери, моля, уверете се, че съпоставителният сценарий е правдоподобен за всяка от тези категории;</w:t>
      </w:r>
      <w:bookmarkEnd w:id="4"/>
    </w:p>
    <w:p w14:paraId="01AAF615" w14:textId="77777777" w:rsidR="006C5D8B" w:rsidRPr="00DD0932" w:rsidRDefault="006C5D8B" w:rsidP="008D5ADF">
      <w:pPr>
        <w:tabs>
          <w:tab w:val="left" w:leader="dot" w:pos="9072"/>
        </w:tabs>
        <w:spacing w:before="120" w:after="120"/>
        <w:ind w:left="1077"/>
        <w:jc w:val="both"/>
      </w:pPr>
      <w:r>
        <w:tab/>
      </w:r>
    </w:p>
    <w:p w14:paraId="16AF2892" w14:textId="0CB1F5D7" w:rsidR="006C5D8B" w:rsidRDefault="006C5D8B" w:rsidP="00B0184F">
      <w:pPr>
        <w:pStyle w:val="ListParagraph"/>
        <w:numPr>
          <w:ilvl w:val="2"/>
          <w:numId w:val="22"/>
        </w:numPr>
        <w:spacing w:before="120" w:after="120"/>
        <w:ind w:left="1071" w:hanging="357"/>
        <w:contextualSpacing w:val="0"/>
        <w:jc w:val="both"/>
      </w:pPr>
      <w:r>
        <w:t>моля, обяснете накратко основанията за избора на вероятния(</w:t>
      </w:r>
      <w:proofErr w:type="spellStart"/>
      <w:r>
        <w:t>ите</w:t>
      </w:r>
      <w:proofErr w:type="spellEnd"/>
      <w:r>
        <w:t>) съпоставителен(ни) сценарий(и) с оглед на предложените различни категории бенефициери, ако е приложимо.</w:t>
      </w:r>
    </w:p>
    <w:p w14:paraId="58B43192" w14:textId="77777777" w:rsidR="006C5D8B" w:rsidRPr="00DD0932" w:rsidRDefault="006C5D8B" w:rsidP="00321A13">
      <w:pPr>
        <w:tabs>
          <w:tab w:val="left" w:leader="dot" w:pos="9072"/>
        </w:tabs>
        <w:spacing w:before="120" w:after="120"/>
        <w:ind w:left="1077"/>
        <w:jc w:val="both"/>
      </w:pPr>
      <w:r>
        <w:tab/>
      </w:r>
    </w:p>
    <w:p w14:paraId="596E3C8F" w14:textId="77777777" w:rsidR="00D54588" w:rsidRPr="007159A8" w:rsidRDefault="00EB6440" w:rsidP="008B0F04">
      <w:pPr>
        <w:pStyle w:val="ListParagraph"/>
        <w:numPr>
          <w:ilvl w:val="2"/>
          <w:numId w:val="22"/>
        </w:numPr>
        <w:spacing w:before="120" w:after="120"/>
        <w:ind w:left="1071" w:hanging="357"/>
        <w:contextualSpacing w:val="0"/>
        <w:jc w:val="both"/>
      </w:pPr>
      <w:r>
        <w:t xml:space="preserve">моля, направете количествена оценка на разходите и приходите на фактическия и съпоставителния сценарий и когато е приложимо обосновете промяната в поведението за всяка категория бенефициери въз основа на: </w:t>
      </w:r>
    </w:p>
    <w:p w14:paraId="3678CF33" w14:textId="39AB6B62" w:rsidR="00D54588" w:rsidRPr="007159A8" w:rsidRDefault="005B7459" w:rsidP="00D54588">
      <w:pPr>
        <w:pStyle w:val="ListParagraph"/>
        <w:numPr>
          <w:ilvl w:val="3"/>
          <w:numId w:val="22"/>
        </w:numPr>
        <w:spacing w:before="120" w:after="120"/>
        <w:ind w:left="1775" w:hanging="357"/>
        <w:contextualSpacing w:val="0"/>
        <w:jc w:val="both"/>
      </w:pPr>
      <w:r>
        <w:t>съответния(</w:t>
      </w:r>
      <w:proofErr w:type="spellStart"/>
      <w:r>
        <w:t>ите</w:t>
      </w:r>
      <w:proofErr w:type="spellEnd"/>
      <w:r>
        <w:t>) референтен(ни) проект(и)</w:t>
      </w:r>
      <w:r w:rsidRPr="007159A8">
        <w:rPr>
          <w:vertAlign w:val="superscript"/>
        </w:rPr>
        <w:footnoteReference w:id="7"/>
      </w:r>
      <w:r>
        <w:t>, съответните съпоставителни сценарии и свързания с тях недостиг на финансиране;</w:t>
      </w:r>
    </w:p>
    <w:p w14:paraId="1E9DD3B8" w14:textId="6B7751F7" w:rsidR="005B7459" w:rsidRPr="007159A8" w:rsidRDefault="005B7459" w:rsidP="005B7459">
      <w:pPr>
        <w:tabs>
          <w:tab w:val="left" w:leader="dot" w:pos="9072"/>
        </w:tabs>
        <w:spacing w:before="120" w:after="120"/>
        <w:ind w:left="1701"/>
        <w:jc w:val="both"/>
      </w:pPr>
      <w:r>
        <w:tab/>
      </w:r>
    </w:p>
    <w:p w14:paraId="11157FE2" w14:textId="6E45C2CA" w:rsidR="005B7459" w:rsidRPr="007159A8" w:rsidRDefault="005B7459" w:rsidP="005B7459">
      <w:pPr>
        <w:pStyle w:val="ListParagraph"/>
        <w:spacing w:before="120" w:after="120"/>
        <w:ind w:left="1775"/>
        <w:contextualSpacing w:val="0"/>
        <w:jc w:val="both"/>
      </w:pPr>
      <w:r>
        <w:t>ИЛИ</w:t>
      </w:r>
    </w:p>
    <w:p w14:paraId="11E50234" w14:textId="5C54C993" w:rsidR="006C5D8B" w:rsidRPr="007159A8" w:rsidRDefault="006A4BD4" w:rsidP="00D54588">
      <w:pPr>
        <w:pStyle w:val="ListParagraph"/>
        <w:numPr>
          <w:ilvl w:val="3"/>
          <w:numId w:val="22"/>
        </w:numPr>
        <w:spacing w:before="120" w:after="120"/>
        <w:ind w:left="1775" w:hanging="357"/>
        <w:contextualSpacing w:val="0"/>
        <w:jc w:val="both"/>
      </w:pPr>
      <w:r>
        <w:t>подходящи количествени доказателства въз основа на пазарни проучвания (по-специално проучвания на очакваните периоди на възвръщаемост), инвеститорски планове, финансови отчети или други количествени доказателства, включително, когато е приложимо, оферти, представени за подобни проекти в неотдавнашни сравними състезателни тръжни процедури.</w:t>
      </w:r>
      <w:r w:rsidR="006C5D8B" w:rsidRPr="007159A8">
        <w:rPr>
          <w:vertAlign w:val="superscript"/>
        </w:rPr>
        <w:footnoteReference w:id="8"/>
      </w:r>
      <w:r>
        <w:t xml:space="preserve"> </w:t>
      </w:r>
    </w:p>
    <w:p w14:paraId="199238F8" w14:textId="77777777" w:rsidR="006C5D8B" w:rsidRPr="00471B74" w:rsidRDefault="006C5D8B" w:rsidP="00D54588">
      <w:pPr>
        <w:tabs>
          <w:tab w:val="left" w:leader="dot" w:pos="9072"/>
        </w:tabs>
        <w:spacing w:before="120" w:after="120"/>
        <w:ind w:left="1701"/>
        <w:jc w:val="both"/>
      </w:pPr>
      <w:r>
        <w:tab/>
      </w:r>
    </w:p>
    <w:p w14:paraId="19A03ECA" w14:textId="0BE85DE9" w:rsidR="006C5D8B" w:rsidRPr="008D5ADF" w:rsidRDefault="006C5D8B" w:rsidP="00C27E1B">
      <w:pPr>
        <w:pStyle w:val="ListParagraph"/>
        <w:numPr>
          <w:ilvl w:val="0"/>
          <w:numId w:val="4"/>
        </w:numPr>
        <w:spacing w:before="120" w:after="120"/>
        <w:ind w:left="567" w:hanging="567"/>
        <w:contextualSpacing w:val="0"/>
        <w:jc w:val="both"/>
      </w:pPr>
      <w:r>
        <w:t>За да докажете съответствие с точки 29 и 31 от CEEAG:</w:t>
      </w:r>
    </w:p>
    <w:p w14:paraId="339583CE" w14:textId="77777777" w:rsidR="006C5D8B" w:rsidRPr="00471B74" w:rsidRDefault="006C5D8B" w:rsidP="00BC0346">
      <w:pPr>
        <w:pStyle w:val="ListParagraph"/>
        <w:numPr>
          <w:ilvl w:val="0"/>
          <w:numId w:val="24"/>
        </w:numPr>
        <w:spacing w:before="120" w:after="120"/>
        <w:ind w:left="1066" w:hanging="357"/>
        <w:contextualSpacing w:val="0"/>
        <w:jc w:val="both"/>
      </w:pPr>
      <w:r>
        <w:t xml:space="preserve">моля, потвърдете, че започването на работата по проекта или дейността не е настъпило преди </w:t>
      </w:r>
      <w:proofErr w:type="spellStart"/>
      <w:r>
        <w:t>бенефициерът</w:t>
      </w:r>
      <w:proofErr w:type="spellEnd"/>
      <w:r>
        <w:t xml:space="preserve"> да кандидатства за помощ пред националните органи;</w:t>
      </w:r>
    </w:p>
    <w:p w14:paraId="09EE4710" w14:textId="77777777" w:rsidR="006C5D8B" w:rsidRPr="00471B74" w:rsidRDefault="006C5D8B" w:rsidP="008D5301">
      <w:pPr>
        <w:tabs>
          <w:tab w:val="left" w:leader="dot" w:pos="9072"/>
        </w:tabs>
        <w:spacing w:before="120" w:after="120"/>
        <w:ind w:left="1077"/>
        <w:jc w:val="both"/>
      </w:pPr>
      <w:r>
        <w:tab/>
      </w:r>
    </w:p>
    <w:p w14:paraId="1528E065" w14:textId="77777777" w:rsidR="006C5D8B" w:rsidRPr="00471B74" w:rsidRDefault="006C5D8B" w:rsidP="006C5D8B">
      <w:pPr>
        <w:pStyle w:val="ListParagraph"/>
        <w:spacing w:before="120" w:after="120"/>
        <w:ind w:left="993"/>
        <w:contextualSpacing w:val="0"/>
        <w:jc w:val="both"/>
      </w:pPr>
      <w:r>
        <w:t>ИЛИ</w:t>
      </w:r>
    </w:p>
    <w:p w14:paraId="5C354347" w14:textId="593FB73A" w:rsidR="006C5D8B" w:rsidRPr="00471B74" w:rsidRDefault="006B7B52" w:rsidP="00BC0346">
      <w:pPr>
        <w:pStyle w:val="ListParagraph"/>
        <w:numPr>
          <w:ilvl w:val="0"/>
          <w:numId w:val="24"/>
        </w:numPr>
        <w:spacing w:before="120" w:after="120"/>
        <w:ind w:left="1066" w:hanging="357"/>
        <w:contextualSpacing w:val="0"/>
        <w:jc w:val="both"/>
      </w:pPr>
      <w:r>
        <w:lastRenderedPageBreak/>
        <w:t xml:space="preserve">за проекти, започнали преди подаването на заявлението за помощ, моля, докажете, че проектът попада в един от изключителните случаи, предвидени в точка 31 от CEEAG (букви а), б) или в). </w:t>
      </w:r>
    </w:p>
    <w:p w14:paraId="0262EAAA" w14:textId="77777777" w:rsidR="006C5D8B" w:rsidRPr="00864DCD" w:rsidRDefault="006C5D8B" w:rsidP="008D5301">
      <w:pPr>
        <w:tabs>
          <w:tab w:val="left" w:leader="dot" w:pos="9072"/>
        </w:tabs>
        <w:spacing w:before="120" w:after="120"/>
        <w:ind w:left="1077"/>
        <w:jc w:val="both"/>
      </w:pPr>
      <w:r>
        <w:tab/>
      </w:r>
    </w:p>
    <w:p w14:paraId="106A556A" w14:textId="77777777" w:rsidR="00C220F5" w:rsidRDefault="00C220F5" w:rsidP="00C220F5">
      <w:pPr>
        <w:numPr>
          <w:ilvl w:val="0"/>
          <w:numId w:val="4"/>
        </w:numPr>
        <w:spacing w:before="120" w:after="120"/>
        <w:ind w:left="567" w:hanging="567"/>
        <w:jc w:val="both"/>
      </w:pPr>
      <w:r>
        <w:t>За да докажете, че е спазена точка 30 от CEEAG, моля, потвърдете, че заявлението за помощ включва най-малко името на заявителя, описанието на проекта или дейността, включително неговото/нейното местоположение, и размера на помощта, необходима за изпълнението му/ѝ.</w:t>
      </w:r>
    </w:p>
    <w:p w14:paraId="1E36165B" w14:textId="0A777F03" w:rsidR="00C220F5" w:rsidRPr="00242A27" w:rsidRDefault="00C220F5" w:rsidP="00242A27">
      <w:pPr>
        <w:pStyle w:val="ListParagraph"/>
        <w:tabs>
          <w:tab w:val="left" w:leader="dot" w:pos="9072"/>
        </w:tabs>
        <w:spacing w:before="120" w:after="120"/>
        <w:ind w:left="567"/>
        <w:contextualSpacing w:val="0"/>
        <w:jc w:val="both"/>
      </w:pPr>
      <w:r>
        <w:tab/>
      </w:r>
    </w:p>
    <w:p w14:paraId="0BA9B2F2" w14:textId="679B7764" w:rsidR="0025374D" w:rsidRPr="008D5ADF" w:rsidRDefault="00305DC0" w:rsidP="005E45B5">
      <w:pPr>
        <w:pStyle w:val="ListParagraph"/>
        <w:numPr>
          <w:ilvl w:val="0"/>
          <w:numId w:val="4"/>
        </w:numPr>
        <w:spacing w:before="120" w:after="120"/>
        <w:ind w:left="567" w:hanging="567"/>
        <w:contextualSpacing w:val="0"/>
        <w:jc w:val="both"/>
      </w:pPr>
      <w:r>
        <w:t>За да докажете съответствие с точки 32 и 142 от CEEAG:</w:t>
      </w:r>
    </w:p>
    <w:p w14:paraId="5CE9EEA0" w14:textId="06607FC6" w:rsidR="009B2A4B" w:rsidRPr="009B2A4B" w:rsidRDefault="001C4353" w:rsidP="00BC0346">
      <w:pPr>
        <w:pStyle w:val="ListParagraph"/>
        <w:numPr>
          <w:ilvl w:val="0"/>
          <w:numId w:val="32"/>
        </w:numPr>
        <w:spacing w:before="120" w:after="120"/>
        <w:ind w:left="1066" w:hanging="357"/>
        <w:contextualSpacing w:val="0"/>
        <w:jc w:val="both"/>
      </w:pPr>
      <w:r>
        <w:t>моля, посочете дали има стандарти на Съюза</w:t>
      </w:r>
      <w:r w:rsidR="005B7DF0" w:rsidRPr="00436F14">
        <w:rPr>
          <w:vertAlign w:val="superscript"/>
        </w:rPr>
        <w:footnoteReference w:id="9"/>
      </w:r>
      <w:r>
        <w:t>, приложими към мярката(</w:t>
      </w:r>
      <w:proofErr w:type="spellStart"/>
      <w:r>
        <w:t>ите</w:t>
      </w:r>
      <w:proofErr w:type="spellEnd"/>
      <w:r>
        <w:t>), за която(</w:t>
      </w:r>
      <w:proofErr w:type="spellStart"/>
      <w:r>
        <w:t>ито</w:t>
      </w:r>
      <w:proofErr w:type="spellEnd"/>
      <w:r>
        <w:t xml:space="preserve">) е отправено уведомление, задължителни национални стандарти, които са по-строги или по-амбициозни от съответните стандарти на Съюза, или задължителни национални стандарти, които са приети при липса на стандарти на Съюза; </w:t>
      </w:r>
    </w:p>
    <w:p w14:paraId="0E3763A8" w14:textId="6FCB4900" w:rsidR="0025374D" w:rsidRPr="00471B74" w:rsidRDefault="004152C3" w:rsidP="001C4353">
      <w:pPr>
        <w:tabs>
          <w:tab w:val="left" w:leader="dot" w:pos="9072"/>
        </w:tabs>
        <w:spacing w:before="120" w:after="120"/>
        <w:ind w:left="1077"/>
        <w:jc w:val="both"/>
      </w:pPr>
      <w:r>
        <w:tab/>
      </w:r>
    </w:p>
    <w:p w14:paraId="39ED4203" w14:textId="3B84ED4C" w:rsidR="000F2D50" w:rsidRDefault="007E4A3E" w:rsidP="000F2D50">
      <w:pPr>
        <w:pStyle w:val="ListParagraph"/>
        <w:numPr>
          <w:ilvl w:val="0"/>
          <w:numId w:val="32"/>
        </w:numPr>
        <w:spacing w:before="120" w:after="120"/>
        <w:ind w:left="1066" w:hanging="357"/>
        <w:contextualSpacing w:val="0"/>
        <w:jc w:val="both"/>
      </w:pPr>
      <w:r>
        <w:t>в случай че правото на Съюза налага стандарти на Съюза, моля, потвърдете и докажете, че помощта има стимулиращ ефект, тъй като стимулира инвестицията да бъде осъществена и финализирана поне 18 месеца преди стандартът да влезе в сила;</w:t>
      </w:r>
    </w:p>
    <w:p w14:paraId="06D524B1" w14:textId="40B611ED" w:rsidR="000F2D50" w:rsidRPr="000F2D50" w:rsidRDefault="000F2D50" w:rsidP="000F2D50">
      <w:pPr>
        <w:tabs>
          <w:tab w:val="left" w:leader="dot" w:pos="9072"/>
        </w:tabs>
        <w:spacing w:before="120" w:after="120"/>
        <w:ind w:left="1077"/>
        <w:jc w:val="both"/>
      </w:pPr>
      <w:r>
        <w:tab/>
      </w:r>
    </w:p>
    <w:p w14:paraId="66EBAFF4" w14:textId="00CAF936" w:rsidR="007E4A3E" w:rsidRDefault="007E4A3E" w:rsidP="00BC0346">
      <w:pPr>
        <w:pStyle w:val="ListParagraph"/>
        <w:numPr>
          <w:ilvl w:val="0"/>
          <w:numId w:val="32"/>
        </w:numPr>
        <w:spacing w:before="120" w:after="120"/>
        <w:ind w:left="1066" w:hanging="357"/>
        <w:contextualSpacing w:val="0"/>
        <w:jc w:val="both"/>
      </w:pPr>
      <w:r>
        <w:t>моля, обяснете дали проекти с период на възвръщаемост</w:t>
      </w:r>
      <w:r w:rsidRPr="000F2D50">
        <w:rPr>
          <w:vertAlign w:val="superscript"/>
          <w:lang w:eastAsia="en-GB"/>
        </w:rPr>
        <w:footnoteReference w:id="10"/>
      </w:r>
      <w:r>
        <w:t xml:space="preserve">, по-кратък от пет години, са допустими за помощ по мярката(мерките). При положителен отговор, моля, представете доказателства, че помощта е необходима с цел да се предизвика промяна на поведението, както се изисква в точка 142 от CEEAG. </w:t>
      </w:r>
    </w:p>
    <w:p w14:paraId="540A1729" w14:textId="47D2E85F" w:rsidR="007E4A3E" w:rsidRPr="007E4A3E" w:rsidRDefault="00AE66EA" w:rsidP="0092276B">
      <w:pPr>
        <w:tabs>
          <w:tab w:val="left" w:leader="dot" w:pos="9072"/>
        </w:tabs>
        <w:spacing w:before="120" w:after="120"/>
        <w:ind w:left="1077"/>
        <w:jc w:val="both"/>
      </w:pPr>
      <w:bookmarkStart w:id="5" w:name="_Hlk166514760"/>
      <w:r>
        <w:tab/>
      </w:r>
      <w:bookmarkEnd w:id="5"/>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C0346">
            <w:pPr>
              <w:pStyle w:val="Heading1"/>
              <w:numPr>
                <w:ilvl w:val="1"/>
                <w:numId w:val="23"/>
              </w:numPr>
              <w:rPr>
                <w:sz w:val="24"/>
                <w:szCs w:val="24"/>
              </w:rPr>
            </w:pPr>
            <w:r>
              <w:rPr>
                <w:sz w:val="24"/>
              </w:rPr>
              <w:t>Ненарушаване на приложими разпоредби на правото на Съюза</w:t>
            </w:r>
          </w:p>
        </w:tc>
      </w:tr>
    </w:tbl>
    <w:p w14:paraId="71F2B6DF" w14:textId="01B42D4E" w:rsidR="00382DE7" w:rsidRDefault="00382DE7" w:rsidP="00A029BF">
      <w:pPr>
        <w:spacing w:before="120" w:after="120"/>
        <w:jc w:val="both"/>
        <w:rPr>
          <w:i/>
        </w:rPr>
      </w:pPr>
      <w:r>
        <w:rPr>
          <w:i/>
        </w:rPr>
        <w:t xml:space="preserve">За да предоставите информацията в настоящия раздел, моля, вижте раздел 3.1.3 (точка 33) от CEEAG. </w:t>
      </w:r>
    </w:p>
    <w:p w14:paraId="075E8A7E" w14:textId="77777777" w:rsidR="00382DE7" w:rsidRDefault="00382DE7" w:rsidP="005450FE">
      <w:pPr>
        <w:pStyle w:val="ListParagraph"/>
        <w:numPr>
          <w:ilvl w:val="0"/>
          <w:numId w:val="4"/>
        </w:numPr>
        <w:spacing w:before="120" w:after="120"/>
        <w:ind w:left="567" w:hanging="567"/>
        <w:contextualSpacing w:val="0"/>
        <w:jc w:val="both"/>
      </w:pPr>
      <w:r>
        <w:lastRenderedPageBreak/>
        <w:t>Моля, представете информация, с която да потвърдите спазването на съответните разпоредби на правото на ЕС в съответствие с точка 33 от CEEAG.</w:t>
      </w:r>
    </w:p>
    <w:p w14:paraId="50F3B274" w14:textId="77777777" w:rsidR="00382DE7" w:rsidRDefault="00382DE7" w:rsidP="00382DE7">
      <w:pPr>
        <w:tabs>
          <w:tab w:val="left" w:leader="dot" w:pos="9072"/>
        </w:tabs>
        <w:spacing w:before="120" w:after="120"/>
        <w:ind w:left="567"/>
        <w:jc w:val="both"/>
        <w:rPr>
          <w:color w:val="000000"/>
        </w:rPr>
      </w:pPr>
      <w:bookmarkStart w:id="6" w:name="_Hlk169543689"/>
      <w:r>
        <w:rPr>
          <w:color w:val="000000"/>
        </w:rPr>
        <w:tab/>
      </w:r>
    </w:p>
    <w:bookmarkEnd w:id="6"/>
    <w:p w14:paraId="3011EC33" w14:textId="528719B5" w:rsidR="00382DE7" w:rsidRPr="005450FE" w:rsidRDefault="00382DE7" w:rsidP="005450FE">
      <w:pPr>
        <w:pStyle w:val="ListParagraph"/>
        <w:numPr>
          <w:ilvl w:val="0"/>
          <w:numId w:val="4"/>
        </w:numPr>
        <w:spacing w:before="120" w:after="120"/>
        <w:ind w:left="567" w:hanging="567"/>
        <w:contextualSpacing w:val="0"/>
        <w:jc w:val="both"/>
      </w:pPr>
      <w:r>
        <w:t xml:space="preserve">Ако за финансирането на мярката(мерките) се използва налог, моля, пояснете дали е необходимо да се извърши оценка на съответствието с член 30 и член 110 от ДФЕС. При положителен отговор, моля, покажете как мярката съответства на разпоредбите на член 30 и член 110 от ДФЕС. В този контекст може да се посочи информацията, предоставена в точка </w:t>
      </w:r>
      <w:r w:rsidRPr="005450FE">
        <w:fldChar w:fldCharType="begin"/>
      </w:r>
      <w:r w:rsidRPr="005450FE">
        <w:instrText xml:space="preserve"> REF _Ref126829229 \w \h </w:instrText>
      </w:r>
      <w:r w:rsidR="005450FE">
        <w:instrText xml:space="preserve"> \* MERGEFORMAT </w:instrText>
      </w:r>
      <w:r w:rsidRPr="005450FE">
        <w:fldChar w:fldCharType="separate"/>
      </w:r>
      <w:r w:rsidRPr="005450FE">
        <w:t>5</w:t>
      </w:r>
      <w:r w:rsidRPr="005450FE">
        <w:fldChar w:fldCharType="end"/>
      </w:r>
      <w:r w:rsidRPr="005450FE">
        <w:fldChar w:fldCharType="begin"/>
      </w:r>
      <w:r w:rsidRPr="005450FE">
        <w:instrText xml:space="preserve"> REF _Ref126829235 \w \h </w:instrText>
      </w:r>
      <w:r w:rsidR="005450FE">
        <w:instrText xml:space="preserve"> \* MERGEFORMAT </w:instrText>
      </w:r>
      <w:r w:rsidRPr="005450FE">
        <w:fldChar w:fldCharType="separate"/>
      </w:r>
      <w:r w:rsidRPr="005450FE">
        <w:t>ii</w:t>
      </w:r>
      <w:r w:rsidRPr="005450FE">
        <w:fldChar w:fldCharType="end"/>
      </w:r>
      <w:r>
        <w:t xml:space="preserve"> по-горе, когато мярката(мерките), за която(</w:t>
      </w:r>
      <w:proofErr w:type="spellStart"/>
      <w:r>
        <w:t>ито</w:t>
      </w:r>
      <w:proofErr w:type="spellEnd"/>
      <w:r>
        <w:t>) е отправено уведомление, се финансира(т) чрез налог.</w:t>
      </w:r>
    </w:p>
    <w:p w14:paraId="3A9F351F" w14:textId="77777777" w:rsidR="00382DE7" w:rsidRDefault="00382DE7" w:rsidP="00382DE7">
      <w:pPr>
        <w:tabs>
          <w:tab w:val="left" w:leader="dot" w:pos="9072"/>
        </w:tabs>
        <w:spacing w:before="120" w:after="120"/>
        <w:ind w:left="567"/>
        <w:jc w:val="both"/>
        <w:rPr>
          <w:color w:val="000000"/>
        </w:rPr>
      </w:pPr>
      <w:bookmarkStart w:id="7" w:name="_Hlk165966354"/>
      <w:r>
        <w:rPr>
          <w:color w:val="000000"/>
        </w:rPr>
        <w:tab/>
      </w:r>
    </w:p>
    <w:bookmarkEnd w:id="7"/>
    <w:p w14:paraId="12BBBE61" w14:textId="6B867948" w:rsidR="00663008" w:rsidRPr="00F8366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C0346">
            <w:pPr>
              <w:pStyle w:val="Heading1"/>
              <w:numPr>
                <w:ilvl w:val="0"/>
                <w:numId w:val="23"/>
              </w:numPr>
              <w:rPr>
                <w:i/>
                <w:color w:val="000000"/>
                <w:sz w:val="28"/>
                <w:szCs w:val="28"/>
              </w:rPr>
            </w:pPr>
            <w:r>
              <w:rPr>
                <w:i/>
                <w:color w:val="000000"/>
                <w:sz w:val="28"/>
              </w:rPr>
              <w:lastRenderedPageBreak/>
              <w:t>Отрицателно условие: помощта не може да нарушава неправомерно условията на търговия по начин, който да противоречи на общия интерес</w:t>
            </w:r>
          </w:p>
        </w:tc>
      </w:tr>
    </w:tbl>
    <w:p w14:paraId="567C40B6" w14:textId="77777777" w:rsidR="00164ADE" w:rsidRPr="00164ADE" w:rsidRDefault="00164ADE" w:rsidP="000E136C">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60D81">
        <w:trPr>
          <w:trHeight w:val="300"/>
        </w:trPr>
        <w:tc>
          <w:tcPr>
            <w:tcW w:w="9322" w:type="dxa"/>
            <w:shd w:val="pct15" w:color="auto" w:fill="auto"/>
          </w:tcPr>
          <w:p w14:paraId="77CB675F" w14:textId="5329851C" w:rsidR="00164ADE" w:rsidRPr="00164ADE" w:rsidRDefault="00262A24" w:rsidP="000E136C">
            <w:pPr>
              <w:pStyle w:val="Heading2"/>
              <w:spacing w:before="75" w:after="75"/>
              <w:ind w:left="1729"/>
              <w:rPr>
                <w:i/>
                <w:color w:val="000000"/>
                <w:sz w:val="28"/>
                <w:szCs w:val="28"/>
              </w:rPr>
            </w:pPr>
            <w:r>
              <w:rPr>
                <w:color w:val="000000"/>
              </w:rPr>
              <w:t xml:space="preserve">2.1. </w:t>
            </w:r>
            <w:r>
              <w:t>Свеждане до минимум на нарушаването на конкуренцията и търговията</w:t>
            </w:r>
          </w:p>
        </w:tc>
      </w:tr>
    </w:tbl>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1F1AF8B6" w:rsidR="00663008" w:rsidRPr="00F83660" w:rsidRDefault="00262A24" w:rsidP="006A10B6">
            <w:pPr>
              <w:pStyle w:val="Heading2"/>
              <w:spacing w:before="75" w:after="75"/>
              <w:ind w:left="788" w:right="-28" w:hanging="431"/>
              <w:jc w:val="center"/>
              <w:rPr>
                <w:color w:val="000000"/>
                <w:szCs w:val="24"/>
              </w:rPr>
            </w:pPr>
            <w:r>
              <w:rPr>
                <w:color w:val="000000"/>
              </w:rPr>
              <w:t>2.1.1. Необходимост от помощта</w:t>
            </w:r>
          </w:p>
        </w:tc>
      </w:tr>
    </w:tbl>
    <w:p w14:paraId="3C23674F" w14:textId="13FAD6B4" w:rsidR="00663008" w:rsidRPr="00F83660" w:rsidRDefault="00663008" w:rsidP="00A029BF">
      <w:pPr>
        <w:spacing w:before="120" w:after="120"/>
        <w:jc w:val="both"/>
        <w:rPr>
          <w:i/>
          <w:color w:val="000000"/>
        </w:rPr>
      </w:pPr>
      <w:r>
        <w:rPr>
          <w:i/>
          <w:color w:val="000000"/>
        </w:rPr>
        <w:t>За</w:t>
      </w:r>
      <w:r>
        <w:rPr>
          <w:i/>
        </w:rPr>
        <w:t xml:space="preserve"> да предоставите информацията </w:t>
      </w:r>
      <w:r>
        <w:rPr>
          <w:i/>
          <w:color w:val="000000"/>
        </w:rPr>
        <w:t xml:space="preserve">в настоящия раздел, моля, вижте раздел 3.2.1.1 (точки 34—38) от CEEAG. </w:t>
      </w:r>
    </w:p>
    <w:p w14:paraId="087594C1" w14:textId="77777777" w:rsidR="00B658C2" w:rsidRDefault="00B658C2" w:rsidP="00076394">
      <w:pPr>
        <w:pStyle w:val="ListParagraph"/>
        <w:numPr>
          <w:ilvl w:val="0"/>
          <w:numId w:val="4"/>
        </w:numPr>
        <w:spacing w:before="120" w:after="120"/>
        <w:ind w:left="567" w:hanging="567"/>
        <w:contextualSpacing w:val="0"/>
        <w:jc w:val="both"/>
      </w:pPr>
      <w:r>
        <w:t>Моля, обяснете кои случаи на неефективност на пазара, установени от вашите органи, възпрепятстват постигането на достатъчно равнище на опазване на околната среда. Моля, посочете в коя категория попадат установените случаи на неефективност на пазара, като се позовавате на точка 34, букви а), б), в) или г) от CEEAG.</w:t>
      </w:r>
    </w:p>
    <w:p w14:paraId="735B7CD2" w14:textId="77777777" w:rsidR="00076394" w:rsidRDefault="00076394" w:rsidP="00076394">
      <w:pPr>
        <w:tabs>
          <w:tab w:val="left" w:leader="dot" w:pos="9072"/>
        </w:tabs>
        <w:spacing w:before="120" w:after="120"/>
        <w:ind w:left="567"/>
        <w:jc w:val="both"/>
        <w:rPr>
          <w:color w:val="000000"/>
        </w:rPr>
      </w:pPr>
      <w:r>
        <w:rPr>
          <w:color w:val="000000"/>
        </w:rPr>
        <w:tab/>
      </w:r>
    </w:p>
    <w:p w14:paraId="06B91ACA" w14:textId="76A49390" w:rsidR="00B658C2" w:rsidRPr="008D5ADF" w:rsidRDefault="001F680C" w:rsidP="00076394">
      <w:pPr>
        <w:pStyle w:val="ListParagraph"/>
        <w:numPr>
          <w:ilvl w:val="0"/>
          <w:numId w:val="4"/>
        </w:numPr>
        <w:spacing w:before="120" w:after="120"/>
        <w:ind w:left="567" w:hanging="567"/>
        <w:contextualSpacing w:val="0"/>
        <w:jc w:val="both"/>
      </w:pPr>
      <w:r>
        <w:t>В съответствие с точка 35 от CEEAG, моля, представете информация за всички съществуващи политики и мерки, които вашите органи са определили и които вече са насочени към преодоляване на установените регулаторни пропуски и неефективност на пазара.</w:t>
      </w:r>
    </w:p>
    <w:p w14:paraId="3715A328" w14:textId="77777777" w:rsidR="00076394" w:rsidRDefault="00076394" w:rsidP="00076394">
      <w:pPr>
        <w:tabs>
          <w:tab w:val="left" w:leader="dot" w:pos="9072"/>
        </w:tabs>
        <w:spacing w:before="120" w:after="120"/>
        <w:ind w:left="567"/>
        <w:jc w:val="both"/>
        <w:rPr>
          <w:color w:val="000000"/>
        </w:rPr>
      </w:pPr>
      <w:r>
        <w:rPr>
          <w:color w:val="000000"/>
        </w:rPr>
        <w:tab/>
      </w:r>
    </w:p>
    <w:p w14:paraId="2EA5DCAB" w14:textId="77777777" w:rsidR="00B658C2" w:rsidRPr="008D5ADF" w:rsidRDefault="00B658C2" w:rsidP="00076394">
      <w:pPr>
        <w:pStyle w:val="ListParagraph"/>
        <w:numPr>
          <w:ilvl w:val="0"/>
          <w:numId w:val="4"/>
        </w:numPr>
        <w:spacing w:before="120" w:after="120"/>
        <w:ind w:left="567" w:hanging="567"/>
        <w:contextualSpacing w:val="0"/>
        <w:jc w:val="both"/>
      </w:pPr>
      <w:r>
        <w:t xml:space="preserve">За да докажете съответствие с точка 36 от CEEAG, моля, представете информация, която показва, че въпросната помощ е насочена към ефективното преодоляване на остатъчната неефективност на пазара, като се вземат предвид също всички въведени вече политики и мерки за преодоляване на установената неефективност на пазара. </w:t>
      </w:r>
    </w:p>
    <w:p w14:paraId="2C0F460B" w14:textId="0A8A16D2" w:rsidR="00B658C2" w:rsidRPr="00076394" w:rsidRDefault="00076394" w:rsidP="00076394">
      <w:pPr>
        <w:tabs>
          <w:tab w:val="left" w:leader="dot" w:pos="9072"/>
        </w:tabs>
        <w:spacing w:before="120" w:after="120"/>
        <w:ind w:left="567"/>
        <w:jc w:val="both"/>
        <w:rPr>
          <w:color w:val="000000"/>
        </w:rPr>
      </w:pPr>
      <w:r>
        <w:rPr>
          <w:color w:val="000000"/>
        </w:rPr>
        <w:tab/>
      </w:r>
    </w:p>
    <w:p w14:paraId="60FED721" w14:textId="455D91AB" w:rsidR="00B658C2" w:rsidRPr="008D5ADF" w:rsidRDefault="00B658C2" w:rsidP="00076394">
      <w:pPr>
        <w:pStyle w:val="ListParagraph"/>
        <w:numPr>
          <w:ilvl w:val="0"/>
          <w:numId w:val="4"/>
        </w:numPr>
        <w:spacing w:before="120" w:after="120"/>
        <w:ind w:left="567" w:hanging="567"/>
        <w:contextualSpacing w:val="0"/>
        <w:jc w:val="both"/>
      </w:pPr>
      <w:r>
        <w:t>За да докажете съответствие с точка 37 от CEEAG, моля, обяснете дали — доколкото е известно на вашите органи — проекти или дейности, подобни на тези, обхванати от мярката(мерките), за която(</w:t>
      </w:r>
      <w:proofErr w:type="spellStart"/>
      <w:r>
        <w:t>ито</w:t>
      </w:r>
      <w:proofErr w:type="spellEnd"/>
      <w:r>
        <w:t>) е отправено уведомление, по отношение на тяхното технологично съдържание, ниво на риска и размер, вече са били реализирани в рамките на Съюза при пазарни условия. Ако отговорът е положителен, моля, представете допълнителни данни, за да докажете необходимостта от държавна помощ.</w:t>
      </w:r>
    </w:p>
    <w:p w14:paraId="2B90039A" w14:textId="53CA3019" w:rsidR="00B658C2" w:rsidRPr="00076394" w:rsidRDefault="00076394" w:rsidP="00076394">
      <w:pPr>
        <w:tabs>
          <w:tab w:val="left" w:leader="dot" w:pos="9072"/>
        </w:tabs>
        <w:spacing w:before="120" w:after="120"/>
        <w:ind w:left="567"/>
        <w:jc w:val="both"/>
        <w:rPr>
          <w:color w:val="000000"/>
        </w:rPr>
      </w:pPr>
      <w:r>
        <w:rPr>
          <w:color w:val="000000"/>
        </w:rPr>
        <w:tab/>
      </w:r>
    </w:p>
    <w:p w14:paraId="4EE6F307" w14:textId="63EBD37E" w:rsidR="00B658C2" w:rsidRPr="00C91A09" w:rsidRDefault="00B658C2" w:rsidP="00076394">
      <w:pPr>
        <w:pStyle w:val="ListParagraph"/>
        <w:numPr>
          <w:ilvl w:val="0"/>
          <w:numId w:val="4"/>
        </w:numPr>
        <w:spacing w:before="120" w:after="120"/>
        <w:ind w:left="567" w:hanging="567"/>
        <w:contextualSpacing w:val="0"/>
        <w:jc w:val="both"/>
      </w:pPr>
      <w:r>
        <w:t xml:space="preserve">За да докажете съответствие с точка 38 от CEEAG, моля, направете справка с количествените доказателства, вече предоставени във въпрос 14, буква В) по-горе. </w:t>
      </w:r>
    </w:p>
    <w:p w14:paraId="5E057239" w14:textId="40EE0A91" w:rsidR="00EA354A" w:rsidRDefault="00B658C2" w:rsidP="004152C3">
      <w:pPr>
        <w:tabs>
          <w:tab w:val="left" w:leader="dot" w:pos="9072"/>
        </w:tabs>
        <w:spacing w:before="120" w:after="120"/>
        <w:ind w:left="567"/>
        <w:jc w:val="both"/>
      </w:pPr>
      <w:r>
        <w:tab/>
      </w:r>
      <w:r>
        <w:tab/>
      </w:r>
    </w:p>
    <w:p w14:paraId="139B6409" w14:textId="77777777" w:rsidR="004152C3" w:rsidRPr="004152C3" w:rsidRDefault="004152C3" w:rsidP="004152C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46A23F57" w:rsidR="00EA354A" w:rsidRPr="00F83660" w:rsidRDefault="00FC68CD" w:rsidP="00FC68CD">
            <w:pPr>
              <w:pStyle w:val="Heading1"/>
              <w:ind w:left="788" w:right="-28" w:hanging="431"/>
              <w:rPr>
                <w:color w:val="000000"/>
                <w:sz w:val="24"/>
                <w:szCs w:val="24"/>
              </w:rPr>
            </w:pPr>
            <w:r>
              <w:rPr>
                <w:color w:val="000000"/>
                <w:sz w:val="24"/>
              </w:rPr>
              <w:t>2.1.2. Целесъобразност</w:t>
            </w:r>
          </w:p>
        </w:tc>
      </w:tr>
    </w:tbl>
    <w:p w14:paraId="4C2D927B" w14:textId="547B9884" w:rsidR="00EA354A" w:rsidRPr="00F83660" w:rsidRDefault="00EA354A" w:rsidP="00AF17C3">
      <w:pPr>
        <w:spacing w:before="120" w:after="120"/>
        <w:jc w:val="both"/>
        <w:rPr>
          <w:i/>
          <w:color w:val="000000"/>
        </w:rPr>
      </w:pPr>
      <w:r>
        <w:rPr>
          <w:i/>
          <w:color w:val="000000"/>
        </w:rPr>
        <w:lastRenderedPageBreak/>
        <w:t>За</w:t>
      </w:r>
      <w:r>
        <w:rPr>
          <w:i/>
        </w:rPr>
        <w:t xml:space="preserve"> да предоставите информацията </w:t>
      </w:r>
      <w:r>
        <w:rPr>
          <w:i/>
          <w:color w:val="000000"/>
        </w:rPr>
        <w:t xml:space="preserve">в настоящия раздел, моля, вижте раздел 3.2.1.2 (точки 39—46), раздел 4.2.4.1 (точки 144—145) и точки 153 и 157 от CEEAG. </w:t>
      </w:r>
    </w:p>
    <w:p w14:paraId="7DD683CE" w14:textId="6541DB7D" w:rsidR="00EA354A" w:rsidRPr="00210409" w:rsidRDefault="003D433B" w:rsidP="00210409">
      <w:pPr>
        <w:pStyle w:val="ListParagraph"/>
        <w:numPr>
          <w:ilvl w:val="0"/>
          <w:numId w:val="4"/>
        </w:numPr>
        <w:spacing w:before="120" w:after="120"/>
        <w:ind w:left="567" w:hanging="567"/>
        <w:contextualSpacing w:val="0"/>
        <w:jc w:val="both"/>
      </w:pPr>
      <w:r>
        <w:t xml:space="preserve">За да се провери съответствието с точка 40 от CEEAG, моля, докажете, че няма налични инструменти, които да нарушават конкуренцията в по-малка степен и да са по-подходящи от държавната помощ. </w:t>
      </w:r>
    </w:p>
    <w:p w14:paraId="298B657B" w14:textId="77777777" w:rsidR="00EA354A" w:rsidRPr="00900825" w:rsidRDefault="00EA354A" w:rsidP="00EA354A">
      <w:pPr>
        <w:tabs>
          <w:tab w:val="left" w:leader="dot" w:pos="9072"/>
        </w:tabs>
        <w:spacing w:before="120" w:after="120"/>
        <w:ind w:left="567"/>
        <w:jc w:val="both"/>
      </w:pPr>
      <w:r>
        <w:tab/>
      </w:r>
    </w:p>
    <w:p w14:paraId="0E14B995" w14:textId="77777777" w:rsidR="003A56C9" w:rsidRPr="00210409" w:rsidRDefault="003A56C9" w:rsidP="00210409">
      <w:pPr>
        <w:pStyle w:val="ListParagraph"/>
        <w:numPr>
          <w:ilvl w:val="0"/>
          <w:numId w:val="4"/>
        </w:numPr>
        <w:spacing w:before="120" w:after="120"/>
        <w:ind w:left="567" w:hanging="567"/>
        <w:contextualSpacing w:val="0"/>
        <w:jc w:val="both"/>
      </w:pPr>
      <w:r>
        <w:t xml:space="preserve">За да се провери съответствието с точка 41 от CEEAG, моля, докажете, че мярката за помощ е замислена по такъв начин, че да не подкопава ефективността на други мерки за преодоляване на същата неефективност на пазара, като например пазарните механизми (например СТЕ на ЕС). </w:t>
      </w:r>
    </w:p>
    <w:p w14:paraId="4C2045D2" w14:textId="77777777" w:rsidR="003A56C9" w:rsidRPr="00900825" w:rsidRDefault="003A56C9" w:rsidP="003A56C9">
      <w:pPr>
        <w:tabs>
          <w:tab w:val="left" w:leader="dot" w:pos="9072"/>
        </w:tabs>
        <w:spacing w:before="120" w:after="120"/>
        <w:ind w:left="567"/>
        <w:jc w:val="both"/>
      </w:pPr>
      <w:r>
        <w:tab/>
      </w:r>
    </w:p>
    <w:p w14:paraId="0D236814" w14:textId="77777777" w:rsidR="003A56C9" w:rsidRPr="00210409" w:rsidRDefault="003A56C9" w:rsidP="00210409">
      <w:pPr>
        <w:pStyle w:val="ListParagraph"/>
        <w:numPr>
          <w:ilvl w:val="0"/>
          <w:numId w:val="4"/>
        </w:numPr>
        <w:spacing w:before="120" w:after="120"/>
        <w:ind w:left="567" w:hanging="567"/>
        <w:contextualSpacing w:val="0"/>
        <w:jc w:val="both"/>
      </w:pPr>
      <w:r>
        <w:t>За да се докаже съответствието с точка 42 от CEEAG, моля, потвърдете, че на никой от бенефициерите на мярката(мерките) за помощ не може да бъде вменена отговорност за замърсяването съгласно съществуващото право на Съюза или националното законодателство (</w:t>
      </w:r>
      <w:r>
        <w:rPr>
          <w:i/>
        </w:rPr>
        <w:t>принцип „замърсителят плаща“</w:t>
      </w:r>
      <w:r>
        <w:t xml:space="preserve">). </w:t>
      </w:r>
    </w:p>
    <w:p w14:paraId="225C7220" w14:textId="77777777" w:rsidR="003A56C9" w:rsidRPr="00E80F06" w:rsidRDefault="003A56C9" w:rsidP="003A56C9">
      <w:pPr>
        <w:tabs>
          <w:tab w:val="left" w:leader="dot" w:pos="9072"/>
        </w:tabs>
        <w:spacing w:before="120" w:after="120"/>
        <w:ind w:left="567"/>
        <w:jc w:val="both"/>
      </w:pPr>
      <w:r>
        <w:tab/>
      </w:r>
    </w:p>
    <w:p w14:paraId="4F930B91" w14:textId="617E6DC6" w:rsidR="003A56C9" w:rsidRPr="00BD5698" w:rsidRDefault="001D366B" w:rsidP="00BD5698">
      <w:pPr>
        <w:pStyle w:val="ListParagraph"/>
        <w:numPr>
          <w:ilvl w:val="0"/>
          <w:numId w:val="4"/>
        </w:numPr>
        <w:spacing w:before="120" w:after="120"/>
        <w:ind w:left="567" w:hanging="567"/>
        <w:contextualSpacing w:val="0"/>
        <w:jc w:val="both"/>
      </w:pPr>
      <w:r>
        <w:t xml:space="preserve">За да се провери съответствието с точки 43—46 от CEEAG, с цел да се докаже целесъобразността на помощта сред различните инструменти за помощ, моля, представете следната информация: </w:t>
      </w:r>
    </w:p>
    <w:p w14:paraId="572FA0A0" w14:textId="4CEDF9A8" w:rsidR="003A56C9" w:rsidRPr="00ED71CB" w:rsidRDefault="003A56C9" w:rsidP="00BC0346">
      <w:pPr>
        <w:pStyle w:val="ListParagraph"/>
        <w:numPr>
          <w:ilvl w:val="0"/>
          <w:numId w:val="30"/>
        </w:numPr>
        <w:spacing w:before="120" w:after="120"/>
        <w:ind w:left="1066" w:hanging="357"/>
        <w:contextualSpacing w:val="0"/>
        <w:jc w:val="both"/>
      </w:pPr>
      <w:r>
        <w:t xml:space="preserve">моля, обяснете защо не е толкова подходящо да бъдат предоставени други форми на помощ, които евентуално биха нарушили конкуренцията в по-малка степен, както се изисква в точка 44 от CEEAG. Други форми на помощ, които биха нарушили конкуренцията в по-малка степен, могат да бъдат: </w:t>
      </w:r>
      <w:proofErr w:type="spellStart"/>
      <w:r>
        <w:t>възстановяеми</w:t>
      </w:r>
      <w:proofErr w:type="spellEnd"/>
      <w:r>
        <w:t xml:space="preserve"> аванси вместо преки безвъзмездни средства; данъчни кредити вместо данъчни облекчения; или форми на помощ, основани на финансови инструменти, например дългови вместо капиталови инструменти, в това число нисколихвени заеми или лихвени отстъпки, държавни гаранции или алтернативно предоставяне на финансиране при благоприятни условия;</w:t>
      </w:r>
    </w:p>
    <w:p w14:paraId="593209FE" w14:textId="77777777" w:rsidR="003A56C9" w:rsidRPr="00ED71CB" w:rsidRDefault="003A56C9" w:rsidP="00BD5698">
      <w:pPr>
        <w:tabs>
          <w:tab w:val="left" w:leader="dot" w:pos="9072"/>
        </w:tabs>
        <w:spacing w:before="120" w:after="120"/>
        <w:ind w:left="1077"/>
        <w:jc w:val="both"/>
      </w:pPr>
      <w:r>
        <w:tab/>
      </w:r>
    </w:p>
    <w:p w14:paraId="6FB63661" w14:textId="2E815B9E" w:rsidR="003A56C9" w:rsidRPr="00ED71CB" w:rsidRDefault="003A56C9" w:rsidP="00BC0346">
      <w:pPr>
        <w:pStyle w:val="ListParagraph"/>
        <w:numPr>
          <w:ilvl w:val="0"/>
          <w:numId w:val="30"/>
        </w:numPr>
        <w:spacing w:before="120" w:after="120"/>
        <w:ind w:left="1066" w:hanging="357"/>
        <w:contextualSpacing w:val="0"/>
        <w:jc w:val="both"/>
      </w:pPr>
      <w:r>
        <w:t>моля, докажете, че изборът на инструмент за помощ съответства на неефективността на пазара, която мярката(мерките) за помощ има(т) за цел да отстрани(ят), както се изисква в точка 45 от CEEAG;</w:t>
      </w:r>
    </w:p>
    <w:p w14:paraId="3C5110AA" w14:textId="77777777" w:rsidR="003A56C9" w:rsidRPr="00ED71CB" w:rsidRDefault="003A56C9" w:rsidP="00BD5698">
      <w:pPr>
        <w:tabs>
          <w:tab w:val="left" w:leader="dot" w:pos="9072"/>
        </w:tabs>
        <w:spacing w:before="120" w:after="120"/>
        <w:ind w:left="1077"/>
        <w:jc w:val="both"/>
      </w:pPr>
      <w:r>
        <w:tab/>
      </w:r>
    </w:p>
    <w:p w14:paraId="0CF9131E" w14:textId="78D0466B" w:rsidR="003A56C9" w:rsidRPr="00ED71CB" w:rsidRDefault="003A56C9" w:rsidP="00BC0346">
      <w:pPr>
        <w:pStyle w:val="ListParagraph"/>
        <w:numPr>
          <w:ilvl w:val="0"/>
          <w:numId w:val="30"/>
        </w:numPr>
        <w:spacing w:before="120" w:after="120"/>
        <w:ind w:left="1066" w:hanging="357"/>
        <w:contextualSpacing w:val="0"/>
        <w:jc w:val="both"/>
      </w:pPr>
      <w:r>
        <w:t>моля, обяснете как</w:t>
      </w:r>
      <w:r>
        <w:rPr>
          <w:color w:val="000000"/>
          <w:shd w:val="clear" w:color="auto" w:fill="FFFFFF"/>
        </w:rPr>
        <w:t xml:space="preserve"> мярката за помощ и нейните условия са подходящи за постигането на целта на мярката, към която е насочена помощта,</w:t>
      </w:r>
      <w:r>
        <w:t xml:space="preserve"> както се изисква в точка 46 от CEEAG.</w:t>
      </w:r>
    </w:p>
    <w:p w14:paraId="4A5F12B5" w14:textId="77777777" w:rsidR="003A56C9" w:rsidRDefault="003A56C9" w:rsidP="00BD5698">
      <w:pPr>
        <w:tabs>
          <w:tab w:val="left" w:leader="dot" w:pos="9072"/>
        </w:tabs>
        <w:spacing w:before="120" w:after="120"/>
        <w:ind w:left="1077"/>
        <w:jc w:val="both"/>
      </w:pPr>
      <w:bookmarkStart w:id="8" w:name="_Hlk165967164"/>
      <w:r>
        <w:tab/>
      </w:r>
    </w:p>
    <w:bookmarkEnd w:id="8"/>
    <w:p w14:paraId="039FC206" w14:textId="52D96A6B" w:rsidR="001C6AF0" w:rsidRPr="00BD5698" w:rsidRDefault="000F62F3" w:rsidP="00BD5698">
      <w:pPr>
        <w:pStyle w:val="ListParagraph"/>
        <w:numPr>
          <w:ilvl w:val="0"/>
          <w:numId w:val="4"/>
        </w:numPr>
        <w:spacing w:before="120" w:after="120"/>
        <w:ind w:left="567" w:hanging="567"/>
        <w:contextualSpacing w:val="0"/>
        <w:jc w:val="both"/>
      </w:pPr>
      <w:r>
        <w:t>Ако по мярката(мерките) се предоставя помощ на МСП и дружества със средна капитализация, които са доставчици на мерки за подобряване на енергийните характеристики по договори за енергоспестяване с гарантиран резултат, моля, потвърдете, че съгласно изискванията на точка 145 от CEEAG помощта е под формата на заем или гаранция за доставчика или се състои от финансов продукт, предназначен за финансиране на доставчика (например факторинг или форфетиране).</w:t>
      </w:r>
    </w:p>
    <w:p w14:paraId="6F29A04D" w14:textId="4E107D4D" w:rsidR="000F62F3" w:rsidRDefault="000F62F3" w:rsidP="000F62F3">
      <w:pPr>
        <w:tabs>
          <w:tab w:val="left" w:leader="dot" w:pos="9072"/>
        </w:tabs>
        <w:spacing w:before="120" w:after="120"/>
        <w:ind w:left="567"/>
        <w:jc w:val="both"/>
      </w:pPr>
      <w:r>
        <w:lastRenderedPageBreak/>
        <w:tab/>
      </w:r>
    </w:p>
    <w:p w14:paraId="0858A4EF" w14:textId="32EBC18D" w:rsidR="003F5046" w:rsidRPr="00BD5698" w:rsidRDefault="003F5046" w:rsidP="00BD5698">
      <w:pPr>
        <w:pStyle w:val="ListParagraph"/>
        <w:numPr>
          <w:ilvl w:val="0"/>
          <w:numId w:val="4"/>
        </w:numPr>
        <w:spacing w:before="120" w:after="120"/>
        <w:ind w:left="567" w:hanging="567"/>
        <w:contextualSpacing w:val="0"/>
        <w:jc w:val="both"/>
      </w:pPr>
      <w:r>
        <w:t>Ако по мярката(мерките) се предоставя помощ под формата на финансови инструменти, моля, потвърдете, че:</w:t>
      </w:r>
    </w:p>
    <w:p w14:paraId="407E4217" w14:textId="02AA56C3" w:rsidR="00A8494E" w:rsidRDefault="00A8494E" w:rsidP="00BC0346">
      <w:pPr>
        <w:pStyle w:val="ListParagraph"/>
        <w:numPr>
          <w:ilvl w:val="0"/>
          <w:numId w:val="33"/>
        </w:numPr>
        <w:spacing w:before="120" w:after="120"/>
        <w:contextualSpacing w:val="0"/>
        <w:jc w:val="both"/>
      </w:pPr>
      <w:r>
        <w:t>помощта за собственика или наемателя на сградата е под формата на гаранция или заем в съответствие с точка 153 от CEEAG; и</w:t>
      </w:r>
    </w:p>
    <w:p w14:paraId="45DFDBF9" w14:textId="77777777" w:rsidR="004E0438" w:rsidRDefault="004E0438" w:rsidP="004E0438">
      <w:pPr>
        <w:tabs>
          <w:tab w:val="left" w:leader="dot" w:pos="9072"/>
        </w:tabs>
        <w:spacing w:before="120" w:after="120"/>
        <w:ind w:left="1077"/>
        <w:jc w:val="both"/>
      </w:pPr>
      <w:r>
        <w:tab/>
      </w:r>
    </w:p>
    <w:p w14:paraId="7DD44F85" w14:textId="36B753B3" w:rsidR="003F5046" w:rsidRDefault="003F5046" w:rsidP="00BC0346">
      <w:pPr>
        <w:pStyle w:val="ListParagraph"/>
        <w:numPr>
          <w:ilvl w:val="0"/>
          <w:numId w:val="33"/>
        </w:numPr>
        <w:spacing w:before="120" w:after="120"/>
        <w:ind w:left="1066" w:hanging="357"/>
        <w:contextualSpacing w:val="0"/>
        <w:jc w:val="both"/>
      </w:pPr>
      <w:r>
        <w:t>помощта за финансовия посредник (например фонд за енергийна ефективност) е под формата на обезпечение, капитал, гаранция или заем в съответствие с точка 157 от CEEAG.</w:t>
      </w:r>
    </w:p>
    <w:p w14:paraId="3F4272F4" w14:textId="402C8EE7" w:rsidR="003F5046" w:rsidRDefault="003F5046" w:rsidP="00BD5698">
      <w:pPr>
        <w:tabs>
          <w:tab w:val="left" w:leader="dot" w:pos="9072"/>
        </w:tabs>
        <w:spacing w:before="120" w:after="120"/>
        <w:ind w:left="1077"/>
        <w:jc w:val="both"/>
      </w:pPr>
      <w:bookmarkStart w:id="9" w:name="_Hlk165967128"/>
      <w:r>
        <w:tab/>
      </w:r>
      <w:bookmarkEnd w:id="9"/>
    </w:p>
    <w:p w14:paraId="7589B387" w14:textId="77777777" w:rsidR="00863406" w:rsidRPr="00863406"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2ACDE5BC" w:rsidR="00863406" w:rsidRPr="00FC6878" w:rsidRDefault="00333D51" w:rsidP="00D46167">
            <w:pPr>
              <w:pStyle w:val="Heading1"/>
              <w:ind w:left="788" w:right="-28" w:hanging="431"/>
              <w:rPr>
                <w:sz w:val="24"/>
                <w:szCs w:val="24"/>
              </w:rPr>
            </w:pPr>
            <w:r>
              <w:rPr>
                <w:sz w:val="24"/>
              </w:rPr>
              <w:t xml:space="preserve">2.1.3. Пропорционалност </w:t>
            </w:r>
          </w:p>
        </w:tc>
      </w:tr>
    </w:tbl>
    <w:p w14:paraId="201592AD" w14:textId="1A723365" w:rsidR="00E47105" w:rsidRDefault="00DC2847" w:rsidP="00BD1EF7">
      <w:pPr>
        <w:spacing w:before="360" w:after="120"/>
        <w:jc w:val="both"/>
        <w:rPr>
          <w:i/>
        </w:rPr>
      </w:pPr>
      <w:r>
        <w:rPr>
          <w:i/>
        </w:rPr>
        <w:t xml:space="preserve">За да предоставите информацията в настоящия раздел, моля, вижте раздел 4.2.4.2 (точки 146—153) от CEEAG. </w:t>
      </w:r>
    </w:p>
    <w:p w14:paraId="46E1A5AF" w14:textId="4388075F" w:rsidR="00BD1EF7" w:rsidRPr="00BD1EF7" w:rsidRDefault="00DC2847" w:rsidP="00E47105">
      <w:pPr>
        <w:spacing w:before="120" w:after="120"/>
        <w:jc w:val="both"/>
        <w:rPr>
          <w:i/>
        </w:rPr>
      </w:pPr>
      <w:r>
        <w:rPr>
          <w:i/>
        </w:rPr>
        <w:t xml:space="preserve">Моля, обърнете внимание, че </w:t>
      </w:r>
      <w:r>
        <w:rPr>
          <w:i/>
          <w:u w:val="single"/>
        </w:rPr>
        <w:t>следните три раздела 2.1.3.1., 2.1.3.2. и 2.1.3.3. са алтернативни възможности.</w:t>
      </w:r>
      <w:r>
        <w:rPr>
          <w:i/>
        </w:rPr>
        <w:t xml:space="preserve"> Моля, представете отговори само на приложимия раздел в зависимост от структурата на предложената мярка.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C58A840" w:rsidR="001620DB" w:rsidRPr="00FC6878" w:rsidRDefault="00D46167" w:rsidP="001A21E9">
            <w:pPr>
              <w:pStyle w:val="Heading1"/>
              <w:ind w:left="788" w:right="-28" w:hanging="357"/>
              <w:jc w:val="left"/>
              <w:rPr>
                <w:sz w:val="24"/>
                <w:szCs w:val="24"/>
              </w:rPr>
            </w:pPr>
            <w:r>
              <w:rPr>
                <w:sz w:val="24"/>
              </w:rPr>
              <w:t xml:space="preserve">2.1.3.1. Пропорционалност на помощта, когато помощта </w:t>
            </w:r>
            <w:r>
              <w:rPr>
                <w:sz w:val="24"/>
                <w:u w:val="single"/>
              </w:rPr>
              <w:t>не</w:t>
            </w:r>
            <w:r>
              <w:rPr>
                <w:sz w:val="24"/>
              </w:rPr>
              <w:t xml:space="preserve"> се предоставя чрез състезателни тръжни процедури и </w:t>
            </w:r>
            <w:r>
              <w:rPr>
                <w:sz w:val="24"/>
                <w:u w:val="single"/>
              </w:rPr>
              <w:t>не</w:t>
            </w:r>
            <w:r>
              <w:rPr>
                <w:sz w:val="24"/>
              </w:rPr>
              <w:t xml:space="preserve"> се предоставя под формата на финансови инструменти</w:t>
            </w:r>
          </w:p>
        </w:tc>
      </w:tr>
    </w:tbl>
    <w:p w14:paraId="38D650DB" w14:textId="658040C6" w:rsidR="00D32425" w:rsidRDefault="001620DB" w:rsidP="00BD1EF7">
      <w:pPr>
        <w:pStyle w:val="ListParagraph"/>
        <w:spacing w:before="120" w:after="120"/>
        <w:ind w:left="0"/>
        <w:contextualSpacing w:val="0"/>
        <w:jc w:val="both"/>
      </w:pPr>
      <w:r>
        <w:rPr>
          <w:i/>
        </w:rPr>
        <w:t>За да предоставите информацията в настоящия раздел, моля, вижте точки 146—151 и точка 153 от CEEAG</w:t>
      </w:r>
      <w:r>
        <w:t xml:space="preserve">. </w:t>
      </w:r>
    </w:p>
    <w:p w14:paraId="46EBC2FA" w14:textId="3876B956" w:rsidR="00825F70" w:rsidRPr="00BD1EF7" w:rsidRDefault="00825F70" w:rsidP="00BD1EF7">
      <w:pPr>
        <w:pStyle w:val="ListParagraph"/>
        <w:numPr>
          <w:ilvl w:val="0"/>
          <w:numId w:val="4"/>
        </w:numPr>
        <w:spacing w:before="120" w:after="120"/>
        <w:ind w:left="567" w:hanging="567"/>
        <w:contextualSpacing w:val="0"/>
        <w:jc w:val="both"/>
      </w:pPr>
      <w:bookmarkStart w:id="10" w:name="_Hlk166072571"/>
      <w:r>
        <w:t>За да се провери съответствието с точка 146 от CEEAG, моля, обяснете кои са допустимите разходи по мярката(мерките) и как те са ограничени до инвестиционните разходи, пряко свързани с постигането на по-високо ниво на енергийни или екологични характеристики.</w:t>
      </w:r>
    </w:p>
    <w:p w14:paraId="6BC1581D" w14:textId="39F7B22E" w:rsidR="00B64C5B" w:rsidRDefault="00B64C5B" w:rsidP="00D75B3B">
      <w:pPr>
        <w:tabs>
          <w:tab w:val="left" w:leader="dot" w:pos="9072"/>
        </w:tabs>
        <w:spacing w:before="120" w:after="120"/>
        <w:ind w:left="567"/>
        <w:jc w:val="both"/>
      </w:pPr>
      <w:r>
        <w:tab/>
      </w:r>
    </w:p>
    <w:bookmarkEnd w:id="10"/>
    <w:p w14:paraId="5164472A" w14:textId="5C4A1B7A" w:rsidR="004F277F" w:rsidRPr="00BD1EF7" w:rsidRDefault="004F277F" w:rsidP="00BD1EF7">
      <w:pPr>
        <w:pStyle w:val="ListParagraph"/>
        <w:numPr>
          <w:ilvl w:val="0"/>
          <w:numId w:val="4"/>
        </w:numPr>
        <w:spacing w:before="120" w:after="120"/>
        <w:ind w:left="567" w:hanging="567"/>
        <w:contextualSpacing w:val="0"/>
        <w:jc w:val="both"/>
      </w:pPr>
      <w:r>
        <w:t xml:space="preserve">Моля, посочете максималните интензитети на помощта, приложими по мярката, и посочете дали се прилагат някакви бонуси (както е описано в точки 147—150 от CEEAG). </w:t>
      </w:r>
    </w:p>
    <w:p w14:paraId="0F0AEB01" w14:textId="77777777" w:rsidR="004F277F" w:rsidRPr="00142B91" w:rsidRDefault="004F277F" w:rsidP="004F277F">
      <w:pPr>
        <w:tabs>
          <w:tab w:val="left" w:leader="dot" w:pos="9072"/>
        </w:tabs>
        <w:spacing w:before="120" w:after="120"/>
        <w:ind w:left="567"/>
        <w:jc w:val="both"/>
      </w:pPr>
      <w:r>
        <w:tab/>
      </w:r>
    </w:p>
    <w:p w14:paraId="425C8E34" w14:textId="0BAE267E" w:rsidR="00435FBA" w:rsidRPr="00BD1EF7" w:rsidRDefault="00E9061A" w:rsidP="00BD1EF7">
      <w:pPr>
        <w:pStyle w:val="ListParagraph"/>
        <w:numPr>
          <w:ilvl w:val="0"/>
          <w:numId w:val="4"/>
        </w:numPr>
        <w:spacing w:before="120" w:after="120"/>
        <w:ind w:left="567" w:hanging="567"/>
        <w:contextualSpacing w:val="0"/>
        <w:jc w:val="both"/>
      </w:pPr>
      <w:r>
        <w:t>Ако е приложимо, моля, обосновете прилагането на бонус по отношение на интензитета на помощта за подобрения, водещи до намаляване на потреблението на първична енергия с поне 40 %, в съответствие с точка 148 от CEEAG.</w:t>
      </w:r>
    </w:p>
    <w:p w14:paraId="73C8497D" w14:textId="77777777" w:rsidR="00435FBA" w:rsidRDefault="00435FBA" w:rsidP="00435FBA">
      <w:pPr>
        <w:tabs>
          <w:tab w:val="left" w:leader="dot" w:pos="9072"/>
        </w:tabs>
        <w:spacing w:before="120" w:after="120"/>
        <w:ind w:left="567"/>
        <w:jc w:val="both"/>
      </w:pPr>
      <w:bookmarkStart w:id="11" w:name="_Hlk165967370"/>
      <w:r>
        <w:tab/>
      </w:r>
    </w:p>
    <w:bookmarkEnd w:id="11"/>
    <w:p w14:paraId="0398EA76" w14:textId="17BACBC5" w:rsidR="00260BD3" w:rsidRPr="00F256F6" w:rsidRDefault="006C2F85" w:rsidP="002F344E">
      <w:pPr>
        <w:pStyle w:val="ListParagraph"/>
        <w:numPr>
          <w:ilvl w:val="0"/>
          <w:numId w:val="4"/>
        </w:numPr>
        <w:spacing w:before="120" w:after="120"/>
        <w:ind w:left="567" w:hanging="567"/>
        <w:contextualSpacing w:val="0"/>
        <w:jc w:val="both"/>
      </w:pPr>
      <w:r>
        <w:t>Ако чрез дерогация от точки 147—150 от CEEAG е счетено, че е необходима помощ, надвишаваща максималните интензитети на помощта, определени в тези точки, моля, посочете размера на помощта, който се счита за необходим, и го обосновете въз основа на анализ на недостига на финансиране в съответствие с точки 51—52 от CEEAG.</w:t>
      </w:r>
    </w:p>
    <w:p w14:paraId="7FF7142F" w14:textId="0EBC2073" w:rsidR="006C2F85" w:rsidRPr="00A23A7E" w:rsidRDefault="006C2F85" w:rsidP="002F344E">
      <w:pPr>
        <w:pStyle w:val="ListParagraph"/>
        <w:spacing w:before="120" w:after="120"/>
        <w:ind w:left="567"/>
        <w:contextualSpacing w:val="0"/>
        <w:jc w:val="both"/>
      </w:pPr>
      <w:r>
        <w:lastRenderedPageBreak/>
        <w:t>Моля, по отношение на този анализ на недостига на финансиране, да представите — за фактическия(те) сценарий(и) и за реалистичен(ни) съпоставителен(ни) сценарий(и)</w:t>
      </w:r>
      <w:r w:rsidRPr="00F256F6">
        <w:rPr>
          <w:vertAlign w:val="superscript"/>
          <w:lang w:val="en-IE" w:eastAsia="hr-HR" w:bidi="hr-HR"/>
        </w:rPr>
        <w:footnoteReference w:id="11"/>
      </w:r>
      <w:r>
        <w:t xml:space="preserve">, посочен в отговора на въпрос 14, буква В) по-горе — количествена оценка на всички основни разходи и приходи, оценената средна претеглена цена на капитала на бенефициерите с цел </w:t>
      </w:r>
      <w:proofErr w:type="spellStart"/>
      <w:r>
        <w:t>дисконтиране</w:t>
      </w:r>
      <w:proofErr w:type="spellEnd"/>
      <w:r>
        <w:t xml:space="preserve"> на бъдещите парични потоци, както и нетната настояща стойност (ННС) при фактическия и при съпоставителния сценарий, за жизнения цикъл на проекта/референтния проект. </w:t>
      </w:r>
    </w:p>
    <w:p w14:paraId="61E45611" w14:textId="0BF9FEF6" w:rsidR="00960E2E" w:rsidRPr="008D5ADF" w:rsidRDefault="00960E2E" w:rsidP="00C70D13">
      <w:pPr>
        <w:pStyle w:val="ListParagraph"/>
        <w:spacing w:before="120" w:after="120"/>
        <w:ind w:left="567"/>
        <w:contextualSpacing w:val="0"/>
        <w:jc w:val="both"/>
        <w:rPr>
          <w:shd w:val="clear" w:color="auto" w:fill="FFFFFF"/>
        </w:rPr>
      </w:pPr>
      <w:r>
        <w:rPr>
          <w:shd w:val="clear" w:color="auto" w:fill="FFFFFF"/>
        </w:rPr>
        <w:t>Моля, обърнете внимание, че в случаите на индивидуална помощ и схеми в полза на особено ограничен брой бенефициери, държавата членка трябва да представи подкрепящите доказателства на равнището на подробния бизнес план на проекта, а в случаите на схеми за помощ държавата членка трябва да представи подкрепящите доказателства въз основа на един или повече референтни проекта.</w:t>
      </w:r>
    </w:p>
    <w:p w14:paraId="44CE43AA" w14:textId="77777777" w:rsidR="006C2F85" w:rsidRPr="008E430F" w:rsidRDefault="006C2F85" w:rsidP="00BC0346">
      <w:pPr>
        <w:pStyle w:val="ListParagraph"/>
        <w:numPr>
          <w:ilvl w:val="0"/>
          <w:numId w:val="34"/>
        </w:numPr>
        <w:spacing w:before="120" w:after="120"/>
        <w:contextualSpacing w:val="0"/>
        <w:jc w:val="both"/>
      </w:pPr>
      <w:r>
        <w:t xml:space="preserve">моля, представете необходимата информация в приложение към настоящия формуляр за уведомление (като използвате файл във формат Excel, в който всички формули са видими); </w:t>
      </w:r>
    </w:p>
    <w:p w14:paraId="38069C83" w14:textId="77777777" w:rsidR="006C2F85" w:rsidRPr="00AC286A" w:rsidRDefault="006C2F85" w:rsidP="006C2F85">
      <w:pPr>
        <w:pStyle w:val="ListParagraph"/>
        <w:tabs>
          <w:tab w:val="left" w:leader="dot" w:pos="9072"/>
        </w:tabs>
        <w:spacing w:before="120" w:after="120"/>
        <w:ind w:left="1080"/>
        <w:jc w:val="both"/>
      </w:pPr>
      <w:r>
        <w:tab/>
      </w:r>
    </w:p>
    <w:p w14:paraId="70AF1991" w14:textId="77777777" w:rsidR="006C2F85" w:rsidRPr="00443E1F" w:rsidRDefault="006C2F85" w:rsidP="00BC0346">
      <w:pPr>
        <w:pStyle w:val="ListParagraph"/>
        <w:numPr>
          <w:ilvl w:val="0"/>
          <w:numId w:val="34"/>
        </w:numPr>
        <w:spacing w:before="120" w:after="120"/>
        <w:contextualSpacing w:val="0"/>
        <w:jc w:val="both"/>
      </w:pPr>
      <w:r>
        <w:t>моля, включете подробна информация за допусканията, методиките, обосновката и основните източници за тях, използвани за всеки аспект от количествената оценка на разходите и приходите във фактическия сценарий и вероятния съпоставителен сценарий (моля, например, включете допусканията, използвани за разработването на тези сценарии, и източника/обосновката на тези допускания);</w:t>
      </w:r>
    </w:p>
    <w:p w14:paraId="0874B090" w14:textId="77777777" w:rsidR="006C2F85" w:rsidRPr="00AC286A" w:rsidRDefault="006C2F85" w:rsidP="006C2F85">
      <w:pPr>
        <w:tabs>
          <w:tab w:val="left" w:leader="dot" w:pos="9072"/>
        </w:tabs>
        <w:spacing w:before="120" w:after="120"/>
        <w:ind w:left="1080"/>
        <w:jc w:val="both"/>
      </w:pPr>
      <w:bookmarkStart w:id="12" w:name="_Hlk169542255"/>
      <w:r>
        <w:tab/>
      </w:r>
    </w:p>
    <w:bookmarkEnd w:id="12"/>
    <w:p w14:paraId="3CA2345A" w14:textId="628DE7EF" w:rsidR="006C2F85" w:rsidRPr="00AC286A" w:rsidRDefault="006C2F85" w:rsidP="00BC0346">
      <w:pPr>
        <w:pStyle w:val="ListParagraph"/>
        <w:numPr>
          <w:ilvl w:val="0"/>
          <w:numId w:val="34"/>
        </w:numPr>
        <w:spacing w:before="120" w:after="120"/>
        <w:contextualSpacing w:val="0"/>
        <w:jc w:val="both"/>
      </w:pPr>
      <w:r>
        <w:t>към настоящия формуляр за уведомление можете да приложите и документите, посочени в бележка под линия 39 от CEEAG. Документите на управителните органи могат да бъдат особено полезни за мерки за индивидуална помощ или за схеми в полза на особено ограничен брой бенефициери. Ако към формуляра за уведомление са приложени такива документи, моля, по-долу представете списък с тези документи, като посочите автора, датата, на която са изготвени, и контекста, в който са използвани.</w:t>
      </w:r>
    </w:p>
    <w:p w14:paraId="35BF3CC8" w14:textId="77777777" w:rsidR="006C2F85" w:rsidRPr="00E766C0" w:rsidRDefault="006C2F85" w:rsidP="006C2F85">
      <w:pPr>
        <w:tabs>
          <w:tab w:val="left" w:leader="dot" w:pos="9072"/>
        </w:tabs>
        <w:spacing w:before="120" w:after="120"/>
        <w:ind w:left="1080"/>
        <w:jc w:val="both"/>
        <w:rPr>
          <w:color w:val="000000"/>
        </w:rPr>
      </w:pPr>
      <w:r>
        <w:rPr>
          <w:color w:val="000000"/>
        </w:rPr>
        <w:tab/>
      </w:r>
    </w:p>
    <w:p w14:paraId="715D9173" w14:textId="7A703FEF" w:rsidR="00CF5A9D" w:rsidRPr="00EA5A4E" w:rsidRDefault="00CF5A9D" w:rsidP="00CF5A9D">
      <w:pPr>
        <w:pStyle w:val="ListParagraph"/>
        <w:numPr>
          <w:ilvl w:val="0"/>
          <w:numId w:val="4"/>
        </w:numPr>
        <w:spacing w:before="120" w:after="120"/>
        <w:ind w:left="567" w:hanging="567"/>
        <w:contextualSpacing w:val="0"/>
        <w:jc w:val="both"/>
      </w:pPr>
      <w:r>
        <w:t xml:space="preserve">Моля, докажете, че прилагането на помощ с по-висок интензитет, определен, както е посочено във въпрос 34, не би довело до помощ, надвишаваща недостига на финансиране. </w:t>
      </w:r>
    </w:p>
    <w:p w14:paraId="4D9BE9B2" w14:textId="5ECBA837" w:rsidR="00CF5A9D" w:rsidRPr="00CF5A9D" w:rsidRDefault="00CF5A9D" w:rsidP="00CF5A9D">
      <w:pPr>
        <w:tabs>
          <w:tab w:val="left" w:leader="dot" w:pos="9072"/>
        </w:tabs>
        <w:spacing w:before="120" w:after="120"/>
        <w:ind w:left="567"/>
        <w:jc w:val="both"/>
      </w:pPr>
      <w:r>
        <w:tab/>
      </w:r>
    </w:p>
    <w:p w14:paraId="22B2B3DA" w14:textId="18B4F667" w:rsidR="009A7FA6" w:rsidRDefault="009A7FA6" w:rsidP="009A7FA6">
      <w:pPr>
        <w:pStyle w:val="ListParagraph"/>
        <w:numPr>
          <w:ilvl w:val="0"/>
          <w:numId w:val="4"/>
        </w:numPr>
        <w:spacing w:before="120" w:after="120"/>
        <w:ind w:left="567" w:hanging="567"/>
        <w:contextualSpacing w:val="0"/>
        <w:jc w:val="both"/>
      </w:pPr>
      <w:r>
        <w:t xml:space="preserve">В случай че е приложима точка 52 от CEEAG, т.е. най-вероятният съпоставителен сценарий се състои в това </w:t>
      </w:r>
      <w:proofErr w:type="spellStart"/>
      <w:r>
        <w:t>бенефициерът</w:t>
      </w:r>
      <w:proofErr w:type="spellEnd"/>
      <w:r>
        <w:t xml:space="preserve"> да не осъществи дадена дейност или инвестиция или да продължи стопанската си дейност без промени, моля, представете доказателства в подкрепа на това предположение.</w:t>
      </w:r>
      <w:r>
        <w:rPr>
          <w:rStyle w:val="FootnoteReference"/>
          <w:lang w:val="en-IE" w:eastAsia="hr-HR" w:bidi="hr-HR"/>
        </w:rPr>
        <w:footnoteReference w:id="12"/>
      </w:r>
      <w:r>
        <w:t xml:space="preserve"> </w:t>
      </w:r>
    </w:p>
    <w:p w14:paraId="3CAA7D6D" w14:textId="77777777" w:rsidR="009A7FA6" w:rsidRDefault="009A7FA6" w:rsidP="009A7FA6">
      <w:pPr>
        <w:tabs>
          <w:tab w:val="left" w:leader="dot" w:pos="9072"/>
        </w:tabs>
        <w:spacing w:before="120" w:after="120"/>
        <w:ind w:left="567"/>
        <w:jc w:val="both"/>
      </w:pPr>
      <w:bookmarkStart w:id="13" w:name="_Hlk169542394"/>
      <w:r>
        <w:tab/>
      </w:r>
    </w:p>
    <w:bookmarkEnd w:id="13"/>
    <w:p w14:paraId="5F5E911B" w14:textId="77777777" w:rsidR="00B73E30" w:rsidRPr="00BD6637" w:rsidRDefault="00B73E30" w:rsidP="00BD6637">
      <w:pPr>
        <w:pStyle w:val="ListParagraph"/>
        <w:spacing w:before="120" w:after="120"/>
        <w:ind w:left="0"/>
        <w:contextualSpacing w:val="0"/>
        <w:jc w:val="both"/>
        <w:rPr>
          <w:lang w:val="en-IE" w:eastAsia="hr-HR" w:bidi="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A595D" w:rsidRPr="00FC6878" w14:paraId="1488F97D" w14:textId="77777777" w:rsidTr="00AB0298">
        <w:tc>
          <w:tcPr>
            <w:tcW w:w="9322" w:type="dxa"/>
            <w:shd w:val="pct15" w:color="auto" w:fill="auto"/>
          </w:tcPr>
          <w:p w14:paraId="4D60C596" w14:textId="1011703D" w:rsidR="009A595D" w:rsidRPr="00FC6878" w:rsidRDefault="000D77DA" w:rsidP="000D77DA">
            <w:pPr>
              <w:pStyle w:val="Heading1"/>
              <w:ind w:left="788" w:right="-28" w:hanging="357"/>
              <w:rPr>
                <w:sz w:val="24"/>
                <w:szCs w:val="24"/>
              </w:rPr>
            </w:pPr>
            <w:r>
              <w:rPr>
                <w:sz w:val="24"/>
              </w:rPr>
              <w:t>2.1.3.2. Пропорционалност на помощта, когато помощта се предоставя под формата на финансови инструменти</w:t>
            </w:r>
          </w:p>
        </w:tc>
      </w:tr>
    </w:tbl>
    <w:p w14:paraId="24BE5936" w14:textId="12CB228A" w:rsidR="00B536D4" w:rsidRPr="00EA5A4E" w:rsidRDefault="00B536D4" w:rsidP="00986C5B">
      <w:pPr>
        <w:pStyle w:val="ListParagraph"/>
        <w:spacing w:before="120" w:after="120"/>
        <w:ind w:left="0"/>
        <w:contextualSpacing w:val="0"/>
        <w:jc w:val="both"/>
      </w:pPr>
      <w:r>
        <w:rPr>
          <w:i/>
        </w:rPr>
        <w:t>За да предоставите информацията в настоящия раздел, моля, вижте точки 146 и 153 от CEEAG</w:t>
      </w:r>
      <w:r>
        <w:t>.</w:t>
      </w:r>
    </w:p>
    <w:p w14:paraId="7FEFA203" w14:textId="77777777" w:rsidR="00986C5B" w:rsidRPr="00EA5A4E" w:rsidRDefault="00986C5B" w:rsidP="00986C5B">
      <w:pPr>
        <w:pStyle w:val="ListParagraph"/>
        <w:numPr>
          <w:ilvl w:val="0"/>
          <w:numId w:val="4"/>
        </w:numPr>
        <w:spacing w:before="120" w:after="120"/>
        <w:ind w:left="567" w:hanging="567"/>
        <w:contextualSpacing w:val="0"/>
        <w:jc w:val="both"/>
      </w:pPr>
      <w:r>
        <w:t>За да се провери съответствието с точка 146 от CEEAG, моля, обяснете кои са допустимите разходи по мярката(мерките) и как те са ограничени до инвестиционните разходи, пряко свързани с постигането на по-високо ниво на енергийни или екологични характеристики.</w:t>
      </w:r>
    </w:p>
    <w:p w14:paraId="0C22A1AB" w14:textId="49A2AD6B" w:rsidR="00986C5B" w:rsidRPr="00EA5A4E" w:rsidRDefault="00986C5B" w:rsidP="00986C5B">
      <w:pPr>
        <w:tabs>
          <w:tab w:val="left" w:leader="dot" w:pos="9072"/>
        </w:tabs>
        <w:spacing w:before="120" w:after="120"/>
        <w:ind w:left="567"/>
        <w:jc w:val="both"/>
      </w:pPr>
      <w:r>
        <w:tab/>
      </w:r>
    </w:p>
    <w:p w14:paraId="4B90B309" w14:textId="5182939A" w:rsidR="00CB6373" w:rsidRPr="00EA5A4E" w:rsidRDefault="00711D80" w:rsidP="000D3144">
      <w:pPr>
        <w:pStyle w:val="ListParagraph"/>
        <w:numPr>
          <w:ilvl w:val="0"/>
          <w:numId w:val="4"/>
        </w:numPr>
        <w:spacing w:before="120" w:after="120"/>
        <w:ind w:left="567" w:hanging="567"/>
        <w:contextualSpacing w:val="0"/>
        <w:jc w:val="both"/>
      </w:pPr>
      <w:r>
        <w:t>Моля, представете следната информация, за да се провери съответствието с точка 153 от CEEAG:</w:t>
      </w:r>
    </w:p>
    <w:p w14:paraId="237638A6" w14:textId="73DDDADD" w:rsidR="00CB6373" w:rsidRPr="00EA5A4E" w:rsidRDefault="00CB6373" w:rsidP="00BC0346">
      <w:pPr>
        <w:pStyle w:val="ListParagraph"/>
        <w:numPr>
          <w:ilvl w:val="0"/>
          <w:numId w:val="27"/>
        </w:numPr>
        <w:spacing w:before="120" w:after="120"/>
        <w:contextualSpacing w:val="0"/>
        <w:jc w:val="both"/>
      </w:pPr>
      <w:r>
        <w:t>ако помощта се предоставя под формата на гаранция, моля, потвърдете, че гаранцията няма да надвишава 80 % от съответния заем, и обяснете по какъв начин ще бъде гарантирано спазването на това изискване;</w:t>
      </w:r>
    </w:p>
    <w:p w14:paraId="45974E6C" w14:textId="4CA51FE7" w:rsidR="00914AB6" w:rsidRPr="00EA5A4E" w:rsidRDefault="000D3144" w:rsidP="000D3144">
      <w:pPr>
        <w:tabs>
          <w:tab w:val="left" w:leader="dot" w:pos="9072"/>
        </w:tabs>
        <w:spacing w:before="120" w:after="120"/>
        <w:ind w:left="1080"/>
        <w:jc w:val="both"/>
      </w:pPr>
      <w:r>
        <w:rPr>
          <w:color w:val="000000"/>
        </w:rPr>
        <w:tab/>
      </w:r>
      <w:r>
        <w:tab/>
      </w:r>
    </w:p>
    <w:p w14:paraId="417CC449" w14:textId="7ED38702" w:rsidR="00914AB6" w:rsidRPr="00EA5A4E" w:rsidRDefault="00914AB6" w:rsidP="00BC0346">
      <w:pPr>
        <w:pStyle w:val="ListParagraph"/>
        <w:numPr>
          <w:ilvl w:val="0"/>
          <w:numId w:val="27"/>
        </w:numPr>
        <w:spacing w:before="120" w:after="120"/>
        <w:ind w:left="1066" w:hanging="357"/>
        <w:contextualSpacing w:val="0"/>
        <w:jc w:val="both"/>
      </w:pPr>
      <w:r>
        <w:t>ако помощта се предоставя под формата на заем, моля, потвърдете, че размерът на погасяването от страна на собствениците на сградата към фонда за енергийна ефективност или за енергия от възобновяеми източници или към друг финансов посредник ще бъде поне равен на номиналния размер на заема, и обяснете по какъв начин ще бъде гарантирано спазването на това изискване.</w:t>
      </w:r>
    </w:p>
    <w:p w14:paraId="4CB69839" w14:textId="77777777" w:rsidR="00914AB6" w:rsidRPr="000D3144" w:rsidRDefault="00914AB6" w:rsidP="000D3144">
      <w:pPr>
        <w:tabs>
          <w:tab w:val="left" w:leader="dot" w:pos="9072"/>
        </w:tabs>
        <w:spacing w:before="120" w:after="120"/>
        <w:ind w:left="1080"/>
        <w:jc w:val="both"/>
        <w:rPr>
          <w:color w:val="000000"/>
        </w:rPr>
      </w:pPr>
      <w:r>
        <w:rPr>
          <w:color w:val="000000"/>
        </w:rPr>
        <w:tab/>
      </w:r>
    </w:p>
    <w:p w14:paraId="573DE6F4" w14:textId="4FF284B3" w:rsidR="005679B2" w:rsidRPr="00863406" w:rsidRDefault="005679B2" w:rsidP="005679B2">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5679B2" w:rsidRPr="00FC6878" w14:paraId="20D13A5B" w14:textId="77777777">
        <w:tc>
          <w:tcPr>
            <w:tcW w:w="9322" w:type="dxa"/>
            <w:shd w:val="pct15" w:color="auto" w:fill="auto"/>
          </w:tcPr>
          <w:p w14:paraId="7CD209DC" w14:textId="5B0DB032" w:rsidR="005679B2" w:rsidRPr="00FC6878" w:rsidRDefault="005679B2" w:rsidP="0064533D">
            <w:pPr>
              <w:pStyle w:val="Heading1"/>
              <w:ind w:left="788" w:right="-28" w:hanging="357"/>
              <w:rPr>
                <w:sz w:val="24"/>
                <w:szCs w:val="24"/>
              </w:rPr>
            </w:pPr>
            <w:r>
              <w:rPr>
                <w:sz w:val="24"/>
              </w:rPr>
              <w:t xml:space="preserve">2.1.3.3. Пропорционалност на помощта, предоставена чрез състезателна тръжна процедура </w:t>
            </w:r>
          </w:p>
        </w:tc>
      </w:tr>
    </w:tbl>
    <w:p w14:paraId="5EF69CC9" w14:textId="34CFB392" w:rsidR="005679B2" w:rsidRPr="00441F0B" w:rsidRDefault="005679B2" w:rsidP="000D77DA">
      <w:pPr>
        <w:pStyle w:val="ListParagraph"/>
        <w:spacing w:before="120" w:after="120"/>
        <w:ind w:left="0"/>
        <w:contextualSpacing w:val="0"/>
        <w:jc w:val="both"/>
      </w:pPr>
      <w:r>
        <w:rPr>
          <w:i/>
        </w:rPr>
        <w:t>За да предоставите информацията в настоящия раздел, моля, вижте точки 49 и 50 от CEEAG</w:t>
      </w:r>
      <w:r>
        <w:t>.</w:t>
      </w:r>
    </w:p>
    <w:p w14:paraId="35E9A981" w14:textId="77777777" w:rsidR="005679B2" w:rsidRPr="000D77DA" w:rsidRDefault="005679B2" w:rsidP="000D77DA">
      <w:pPr>
        <w:pStyle w:val="ListParagraph"/>
        <w:numPr>
          <w:ilvl w:val="0"/>
          <w:numId w:val="4"/>
        </w:numPr>
        <w:spacing w:before="120" w:after="120"/>
        <w:ind w:left="567" w:hanging="567"/>
        <w:contextualSpacing w:val="0"/>
        <w:jc w:val="both"/>
      </w:pPr>
      <w:r>
        <w:t>За да се провери съответствието с точки 49 и 50 от CEEAG, моля, представете следната информация:</w:t>
      </w:r>
    </w:p>
    <w:p w14:paraId="60189593" w14:textId="77777777" w:rsidR="005679B2" w:rsidRPr="00441F0B" w:rsidRDefault="005679B2" w:rsidP="00BC0346">
      <w:pPr>
        <w:pStyle w:val="ListParagraph"/>
        <w:numPr>
          <w:ilvl w:val="0"/>
          <w:numId w:val="35"/>
        </w:numPr>
        <w:spacing w:before="120" w:after="120"/>
        <w:contextualSpacing w:val="0"/>
        <w:jc w:val="both"/>
      </w:pPr>
      <w:r>
        <w:t>моля, обяснете по какъв начин органите гарантират, че тръжната процедура е открита, ясна, прозрачна и недискриминационна, основана е на обективни критерии, които са определени предварително в съответствие с целта на помощта и свеждат до минимум риска от стратегическо офериране (точка 49, буква а) от CEEAG);</w:t>
      </w:r>
    </w:p>
    <w:p w14:paraId="2A2F0ED5" w14:textId="77777777" w:rsidR="005679B2" w:rsidRPr="000D77DA" w:rsidRDefault="005679B2" w:rsidP="000D77DA">
      <w:pPr>
        <w:tabs>
          <w:tab w:val="left" w:leader="dot" w:pos="9072"/>
        </w:tabs>
        <w:spacing w:before="120" w:after="120"/>
        <w:ind w:left="1080"/>
        <w:jc w:val="both"/>
        <w:rPr>
          <w:color w:val="000000"/>
        </w:rPr>
      </w:pPr>
      <w:r>
        <w:rPr>
          <w:color w:val="000000"/>
        </w:rPr>
        <w:tab/>
      </w:r>
    </w:p>
    <w:p w14:paraId="6A58C077" w14:textId="268B20CC" w:rsidR="005679B2" w:rsidRPr="00050EB9" w:rsidRDefault="00653273" w:rsidP="00BC0346">
      <w:pPr>
        <w:pStyle w:val="ListParagraph"/>
        <w:numPr>
          <w:ilvl w:val="0"/>
          <w:numId w:val="35"/>
        </w:numPr>
        <w:spacing w:before="120" w:after="120"/>
        <w:contextualSpacing w:val="0"/>
        <w:jc w:val="both"/>
      </w:pPr>
      <w:r>
        <w:t xml:space="preserve">критериите за подбор, използвани за класиране на офертите и в крайна сметка за определяне на размера на помощта в състезателната тръжна процедура. По-специално: </w:t>
      </w:r>
    </w:p>
    <w:p w14:paraId="69DC932F" w14:textId="77777777" w:rsidR="005679B2" w:rsidRPr="00050EB9" w:rsidRDefault="005679B2" w:rsidP="00BC0346">
      <w:pPr>
        <w:pStyle w:val="ListParagraph"/>
        <w:numPr>
          <w:ilvl w:val="1"/>
          <w:numId w:val="25"/>
        </w:numPr>
        <w:spacing w:before="120" w:after="120"/>
        <w:contextualSpacing w:val="0"/>
        <w:jc w:val="both"/>
      </w:pPr>
      <w:r>
        <w:t>моля, представете списък с критериите за подбор и посочете кои от тях са пряко или непряко свързани с основните цели на мярката(мерките). Моля, посочете тяхната тежест;</w:t>
      </w:r>
    </w:p>
    <w:p w14:paraId="4E0758E0" w14:textId="3A5B0A4E" w:rsidR="005679B2" w:rsidRPr="00050EB9" w:rsidRDefault="00387331" w:rsidP="00387331">
      <w:pPr>
        <w:tabs>
          <w:tab w:val="left" w:leader="dot" w:pos="9072"/>
        </w:tabs>
        <w:spacing w:before="120" w:after="120"/>
        <w:ind w:left="1701"/>
        <w:jc w:val="both"/>
      </w:pPr>
      <w:r>
        <w:lastRenderedPageBreak/>
        <w:tab/>
      </w:r>
      <w:r>
        <w:tab/>
      </w:r>
    </w:p>
    <w:p w14:paraId="0AE96B4F" w14:textId="77777777" w:rsidR="005679B2" w:rsidRPr="00050EB9" w:rsidRDefault="005679B2" w:rsidP="00BC0346">
      <w:pPr>
        <w:pStyle w:val="ListParagraph"/>
        <w:numPr>
          <w:ilvl w:val="1"/>
          <w:numId w:val="25"/>
        </w:numPr>
        <w:spacing w:before="120" w:after="120"/>
        <w:contextualSpacing w:val="0"/>
        <w:jc w:val="both"/>
      </w:pPr>
      <w:r>
        <w:t>моля, обяснете как критериите за подбор поставят приноса към основните цели на мярката в пряка или косвена връзка с размера на помощта, поискана от заявителя. Това може да бъде изразено например като помощ за единица опазване на околната среда</w:t>
      </w:r>
      <w:r w:rsidRPr="00050EB9">
        <w:rPr>
          <w:rStyle w:val="FootnoteReference"/>
          <w:lang w:eastAsia="en-GB"/>
        </w:rPr>
        <w:footnoteReference w:id="13"/>
      </w:r>
      <w:r>
        <w:t xml:space="preserve"> (точка 50 и бележка под линия 44 от CEEAG);</w:t>
      </w:r>
    </w:p>
    <w:p w14:paraId="37C678B0" w14:textId="77777777" w:rsidR="005679B2" w:rsidRPr="00050EB9" w:rsidRDefault="005679B2" w:rsidP="00387331">
      <w:pPr>
        <w:tabs>
          <w:tab w:val="left" w:leader="dot" w:pos="9072"/>
        </w:tabs>
        <w:spacing w:before="120" w:after="120"/>
        <w:ind w:left="1701"/>
        <w:jc w:val="both"/>
      </w:pPr>
      <w:r>
        <w:tab/>
      </w:r>
    </w:p>
    <w:p w14:paraId="5410BA40" w14:textId="2EA5197B" w:rsidR="005679B2" w:rsidRPr="00050EB9" w:rsidRDefault="005679B2" w:rsidP="00BC0346">
      <w:pPr>
        <w:pStyle w:val="ListParagraph"/>
        <w:numPr>
          <w:ilvl w:val="1"/>
          <w:numId w:val="25"/>
        </w:numPr>
        <w:spacing w:before="120" w:after="120"/>
        <w:contextualSpacing w:val="0"/>
        <w:jc w:val="both"/>
      </w:pPr>
      <w:r>
        <w:t>в случай че има други критерии за подбор, които не са пряко или непряко свързани с основните цели на мярката(мерките), моля, представете обосновка на предложения подход и обяснете как той е подходящ за целите, преследвани от мярката(мерките). Моля, потвърдете също така, че тези критерии представляват не повече от 30 % от тежестта на всички критерии за подбор (точка 50 от CEEAG);</w:t>
      </w:r>
    </w:p>
    <w:p w14:paraId="20C5F993" w14:textId="77777777" w:rsidR="005679B2" w:rsidRPr="00050EB9" w:rsidRDefault="005679B2" w:rsidP="00387331">
      <w:pPr>
        <w:tabs>
          <w:tab w:val="left" w:leader="dot" w:pos="9072"/>
        </w:tabs>
        <w:spacing w:before="120" w:after="120"/>
        <w:ind w:left="1701"/>
        <w:jc w:val="both"/>
      </w:pPr>
      <w:r>
        <w:tab/>
      </w:r>
    </w:p>
    <w:p w14:paraId="66044B73" w14:textId="28D21843" w:rsidR="005679B2" w:rsidRPr="00B35F1C" w:rsidRDefault="005679B2" w:rsidP="00BC0346">
      <w:pPr>
        <w:pStyle w:val="ListParagraph"/>
        <w:numPr>
          <w:ilvl w:val="1"/>
          <w:numId w:val="25"/>
        </w:numPr>
        <w:spacing w:before="120" w:after="120"/>
        <w:contextualSpacing w:val="0"/>
        <w:jc w:val="both"/>
      </w:pPr>
      <w:r>
        <w:rPr>
          <w:color w:val="000000"/>
        </w:rPr>
        <w:t xml:space="preserve">моля, обяснете колко време преди всяка състезателна тръжна процедура </w:t>
      </w:r>
      <w:r>
        <w:rPr>
          <w:color w:val="000000"/>
          <w:shd w:val="clear" w:color="auto" w:fill="FFFFFF"/>
        </w:rPr>
        <w:t xml:space="preserve">ще бъдат публикувани критериите за подбор </w:t>
      </w:r>
      <w:r>
        <w:t>(точка 49, буква б) и бележка под линия 43 от CEEAG)</w:t>
      </w:r>
      <w:r>
        <w:rPr>
          <w:shd w:val="clear" w:color="auto" w:fill="FFFFFF"/>
        </w:rPr>
        <w:t>;</w:t>
      </w:r>
    </w:p>
    <w:p w14:paraId="4DCF6CD1" w14:textId="77777777" w:rsidR="005679B2" w:rsidRPr="00B35F1C" w:rsidRDefault="005679B2" w:rsidP="00B751E1">
      <w:pPr>
        <w:tabs>
          <w:tab w:val="left" w:leader="dot" w:pos="9072"/>
        </w:tabs>
        <w:spacing w:before="120" w:after="120"/>
        <w:ind w:left="1701"/>
        <w:jc w:val="both"/>
      </w:pPr>
      <w:r>
        <w:tab/>
      </w:r>
    </w:p>
    <w:p w14:paraId="298E794D" w14:textId="3063F715" w:rsidR="005679B2" w:rsidRPr="005B7EC4" w:rsidRDefault="005679B2" w:rsidP="00BC0346">
      <w:pPr>
        <w:pStyle w:val="ListParagraph"/>
        <w:numPr>
          <w:ilvl w:val="0"/>
          <w:numId w:val="35"/>
        </w:numPr>
        <w:spacing w:before="120" w:after="120"/>
        <w:contextualSpacing w:val="0"/>
        <w:jc w:val="both"/>
      </w:pPr>
      <w:r>
        <w:t>моля, обяснете елементите, на които основавате предположението, че тръжната процедура ще бъде открита и с достатъчно участие, т.е. че може да се очаква, че не всички оференти ще получат помощ и че очакваният брой оференти е достатъчен, за да се гарантира ефективна конкуренция, докато се прилага схемата (точка 49, буква в) от CEEAG). Моля, в обяснението си вземете предвид бюджета или обема на схемата. Моля, когато е целесъобразно, направете справка с доказателствата, предоставени в отговорите на въпрос 14;</w:t>
      </w:r>
    </w:p>
    <w:p w14:paraId="59D03D9D"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4D8842E" w14:textId="77777777" w:rsidR="005679B2" w:rsidRPr="00B35F1C" w:rsidRDefault="005679B2" w:rsidP="00BC0346">
      <w:pPr>
        <w:pStyle w:val="ListParagraph"/>
        <w:numPr>
          <w:ilvl w:val="0"/>
          <w:numId w:val="35"/>
        </w:numPr>
        <w:spacing w:before="120" w:after="120"/>
        <w:contextualSpacing w:val="0"/>
        <w:jc w:val="both"/>
      </w:pPr>
      <w:r>
        <w:t>моля, представете информация за броя на предвидените кръгове на търга и очаквания брой оференти в първия кръг и във времето;</w:t>
      </w:r>
    </w:p>
    <w:p w14:paraId="2153B1E1"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2DBBE0F" w14:textId="372CE55F" w:rsidR="005679B2" w:rsidRPr="00B35F1C" w:rsidRDefault="005679B2" w:rsidP="00BC0346">
      <w:pPr>
        <w:pStyle w:val="ListParagraph"/>
        <w:numPr>
          <w:ilvl w:val="0"/>
          <w:numId w:val="35"/>
        </w:numPr>
        <w:spacing w:before="120" w:after="120"/>
        <w:contextualSpacing w:val="0"/>
        <w:jc w:val="both"/>
      </w:pPr>
      <w:r>
        <w:t xml:space="preserve">в случай на една или повече тръжни процедури с недостатъчно участие, моля, обяснете как ще бъде коригирана структурата на тръжните процедури, докато </w:t>
      </w:r>
      <w:r>
        <w:lastRenderedPageBreak/>
        <w:t xml:space="preserve">се прилага схемата, за да се възстанови ефективната конкуренция, и кога (точка 49, буква в) от CEEAG); </w:t>
      </w:r>
    </w:p>
    <w:p w14:paraId="63171D90" w14:textId="77777777" w:rsidR="005679B2" w:rsidRPr="00B35F1C" w:rsidRDefault="005679B2" w:rsidP="00B751E1">
      <w:pPr>
        <w:tabs>
          <w:tab w:val="left" w:leader="dot" w:pos="9072"/>
        </w:tabs>
        <w:spacing w:before="120" w:after="120"/>
        <w:ind w:left="1080"/>
        <w:jc w:val="both"/>
      </w:pPr>
      <w:r>
        <w:rPr>
          <w:color w:val="000000"/>
        </w:rPr>
        <w:tab/>
      </w:r>
    </w:p>
    <w:p w14:paraId="08D60E88" w14:textId="77777777" w:rsidR="005679B2" w:rsidRPr="009D65D3" w:rsidRDefault="005679B2" w:rsidP="00BC0346">
      <w:pPr>
        <w:pStyle w:val="ListParagraph"/>
        <w:numPr>
          <w:ilvl w:val="0"/>
          <w:numId w:val="35"/>
        </w:numPr>
        <w:spacing w:before="120" w:after="120"/>
        <w:contextualSpacing w:val="0"/>
        <w:jc w:val="both"/>
      </w:pPr>
      <w:r>
        <w:t>моля, потвърдете, че не се допускат последващи корекции на резултатите от тръжната процедура (като например последващи преговори по резултатите от кандидатстването или въвеждане на квоти) (точка 49, буква г) от CEEAG);</w:t>
      </w:r>
    </w:p>
    <w:p w14:paraId="16F83C7E"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357362" w14:textId="0A1DD5B0" w:rsidR="005679B2" w:rsidRDefault="005679B2" w:rsidP="00BC0346">
      <w:pPr>
        <w:pStyle w:val="ListParagraph"/>
        <w:numPr>
          <w:ilvl w:val="0"/>
          <w:numId w:val="35"/>
        </w:numPr>
        <w:spacing w:before="120" w:after="120"/>
        <w:contextualSpacing w:val="0"/>
        <w:jc w:val="both"/>
      </w:pPr>
      <w:r>
        <w:t>в случай че има възможност за „</w:t>
      </w:r>
      <w:r>
        <w:rPr>
          <w:i/>
        </w:rPr>
        <w:t>оферти за нулева субсидия</w:t>
      </w:r>
      <w:r>
        <w:t xml:space="preserve">“, моля, обяснете как ще се гарантира пропорционалността (вж. точка 49, бележка под линия 42 от CEEAG); </w:t>
      </w:r>
    </w:p>
    <w:p w14:paraId="399846A0"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21DA41AB" w14:textId="77777777" w:rsidR="005679B2" w:rsidRPr="009D65D3" w:rsidRDefault="005679B2" w:rsidP="00BC0346">
      <w:pPr>
        <w:pStyle w:val="ListParagraph"/>
        <w:numPr>
          <w:ilvl w:val="0"/>
          <w:numId w:val="35"/>
        </w:numPr>
        <w:spacing w:before="120" w:after="120"/>
        <w:contextualSpacing w:val="0"/>
        <w:jc w:val="both"/>
      </w:pPr>
      <w:r>
        <w:t xml:space="preserve">моля пояснете дали органите предвиждат използването на ценови прагове или тавани в състезателната тръжна процедура. При положителен отговор, моля, обосновете тяхното използване и обяснете по какъв начин те не ограничават състезателната тръжна процедура (точка 49 и бележка под линия 42 от CEEAG). </w:t>
      </w:r>
    </w:p>
    <w:p w14:paraId="4D15F2EB" w14:textId="77777777" w:rsidR="005679B2" w:rsidRPr="00B751E1" w:rsidRDefault="005679B2" w:rsidP="00B751E1">
      <w:pPr>
        <w:tabs>
          <w:tab w:val="left" w:leader="dot" w:pos="9072"/>
        </w:tabs>
        <w:spacing w:before="120" w:after="120"/>
        <w:ind w:left="1080"/>
        <w:jc w:val="both"/>
        <w:rPr>
          <w:color w:val="000000"/>
        </w:rPr>
      </w:pPr>
      <w:r>
        <w:rPr>
          <w:color w:val="000000"/>
        </w:rP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77B01380" w:rsidR="00B21377" w:rsidRPr="00FC6878" w:rsidRDefault="00B21377" w:rsidP="00BC0346">
            <w:pPr>
              <w:pStyle w:val="Heading1"/>
              <w:numPr>
                <w:ilvl w:val="2"/>
                <w:numId w:val="36"/>
              </w:numPr>
              <w:ind w:left="788" w:right="-28" w:hanging="357"/>
              <w:rPr>
                <w:sz w:val="24"/>
                <w:szCs w:val="24"/>
              </w:rPr>
            </w:pPr>
            <w:r>
              <w:rPr>
                <w:sz w:val="24"/>
              </w:rPr>
              <w:t>Кумулиране</w:t>
            </w:r>
          </w:p>
        </w:tc>
      </w:tr>
    </w:tbl>
    <w:p w14:paraId="2346A85D" w14:textId="3D60C926" w:rsidR="00B21377" w:rsidRPr="002A3B51" w:rsidRDefault="00B21377" w:rsidP="00211CE3">
      <w:pPr>
        <w:pStyle w:val="ListParagraph"/>
        <w:spacing w:before="120" w:after="120"/>
        <w:ind w:left="0"/>
        <w:contextualSpacing w:val="0"/>
        <w:jc w:val="both"/>
      </w:pPr>
      <w:r>
        <w:rPr>
          <w:i/>
        </w:rPr>
        <w:t>За да предоставите информацията в настоящия раздел, моля, вижте точки 56—57 от CEEAG</w:t>
      </w:r>
      <w:r>
        <w:t>.</w:t>
      </w:r>
    </w:p>
    <w:p w14:paraId="4BD90E1E" w14:textId="77777777" w:rsidR="004345D1" w:rsidRPr="002A3B51" w:rsidRDefault="004345D1" w:rsidP="00211CE3">
      <w:pPr>
        <w:pStyle w:val="ListParagraph"/>
        <w:numPr>
          <w:ilvl w:val="0"/>
          <w:numId w:val="4"/>
        </w:numPr>
        <w:spacing w:before="120" w:after="120"/>
        <w:ind w:left="567" w:hanging="567"/>
        <w:contextualSpacing w:val="0"/>
        <w:jc w:val="both"/>
      </w:pPr>
      <w:r>
        <w:t>Доколкото все още не е предвидено в част I от общия формуляр за уведомление и с цел да се провери съответствието с точка 56 от CEEAG, моля, пояснете дали помощта по мярката(мерките), за която(</w:t>
      </w:r>
      <w:proofErr w:type="spellStart"/>
      <w:r>
        <w:t>ито</w:t>
      </w:r>
      <w:proofErr w:type="spellEnd"/>
      <w:r>
        <w:t xml:space="preserve">) е отправено уведомление, може да бъде предоставена едновременно по няколко схеми за помощ или да се </w:t>
      </w:r>
      <w:proofErr w:type="spellStart"/>
      <w:r>
        <w:t>кумулира</w:t>
      </w:r>
      <w:proofErr w:type="spellEnd"/>
      <w:r>
        <w:t xml:space="preserve"> с помощ </w:t>
      </w:r>
      <w:proofErr w:type="spellStart"/>
      <w:r w:rsidRPr="009B3430">
        <w:rPr>
          <w:i/>
          <w:iCs/>
        </w:rPr>
        <w:t>ad</w:t>
      </w:r>
      <w:proofErr w:type="spellEnd"/>
      <w:r w:rsidRPr="009B3430">
        <w:rPr>
          <w:i/>
          <w:iCs/>
        </w:rPr>
        <w:t xml:space="preserve"> </w:t>
      </w:r>
      <w:proofErr w:type="spellStart"/>
      <w:r w:rsidRPr="009B3430">
        <w:rPr>
          <w:i/>
          <w:iCs/>
        </w:rPr>
        <w:t>hoc</w:t>
      </w:r>
      <w:proofErr w:type="spellEnd"/>
      <w:r>
        <w:t xml:space="preserve"> или помощ </w:t>
      </w:r>
      <w:proofErr w:type="spellStart"/>
      <w:r>
        <w:rPr>
          <w:i/>
        </w:rPr>
        <w:t>de</w:t>
      </w:r>
      <w:proofErr w:type="spellEnd"/>
      <w:r>
        <w:rPr>
          <w:i/>
        </w:rPr>
        <w:t xml:space="preserve"> </w:t>
      </w:r>
      <w:proofErr w:type="spellStart"/>
      <w:r>
        <w:rPr>
          <w:i/>
        </w:rPr>
        <w:t>minimis</w:t>
      </w:r>
      <w:proofErr w:type="spellEnd"/>
      <w:r>
        <w:t xml:space="preserve"> за едни и същи допустими разходи. Ако случаят е такъв, моля, представете подробна информация за тези схеми за помощ, помощ </w:t>
      </w:r>
      <w:proofErr w:type="spellStart"/>
      <w:r w:rsidRPr="009B3430">
        <w:rPr>
          <w:i/>
          <w:iCs/>
        </w:rPr>
        <w:t>ad</w:t>
      </w:r>
      <w:proofErr w:type="spellEnd"/>
      <w:r w:rsidRPr="009B3430">
        <w:rPr>
          <w:i/>
          <w:iCs/>
        </w:rPr>
        <w:t xml:space="preserve"> </w:t>
      </w:r>
      <w:proofErr w:type="spellStart"/>
      <w:r w:rsidRPr="009B3430">
        <w:rPr>
          <w:i/>
          <w:iCs/>
        </w:rPr>
        <w:t>hoc</w:t>
      </w:r>
      <w:proofErr w:type="spellEnd"/>
      <w:r>
        <w:t xml:space="preserve"> или помощ </w:t>
      </w:r>
      <w:proofErr w:type="spellStart"/>
      <w:r>
        <w:rPr>
          <w:i/>
        </w:rPr>
        <w:t>de</w:t>
      </w:r>
      <w:proofErr w:type="spellEnd"/>
      <w:r>
        <w:rPr>
          <w:i/>
        </w:rPr>
        <w:t xml:space="preserve"> </w:t>
      </w:r>
      <w:proofErr w:type="spellStart"/>
      <w:r>
        <w:rPr>
          <w:i/>
        </w:rPr>
        <w:t>minimis</w:t>
      </w:r>
      <w:proofErr w:type="spellEnd"/>
      <w:r>
        <w:t xml:space="preserve"> и как ще се </w:t>
      </w:r>
      <w:proofErr w:type="spellStart"/>
      <w:r>
        <w:t>кумулира</w:t>
      </w:r>
      <w:proofErr w:type="spellEnd"/>
      <w:r>
        <w:t xml:space="preserve"> помощта. </w:t>
      </w:r>
    </w:p>
    <w:p w14:paraId="60FF606D" w14:textId="77777777" w:rsidR="004345D1" w:rsidRPr="002A3B51" w:rsidRDefault="004345D1" w:rsidP="004345D1">
      <w:pPr>
        <w:tabs>
          <w:tab w:val="left" w:leader="dot" w:pos="9072"/>
        </w:tabs>
        <w:spacing w:before="120" w:after="120"/>
        <w:ind w:left="567"/>
        <w:jc w:val="both"/>
      </w:pPr>
      <w:r>
        <w:tab/>
      </w:r>
    </w:p>
    <w:p w14:paraId="40231309" w14:textId="0E087B8C" w:rsidR="004345D1" w:rsidRPr="00EE2D70" w:rsidRDefault="004345D1" w:rsidP="00211CE3">
      <w:pPr>
        <w:pStyle w:val="ListParagraph"/>
        <w:numPr>
          <w:ilvl w:val="0"/>
          <w:numId w:val="4"/>
        </w:numPr>
        <w:spacing w:before="120" w:after="120"/>
        <w:ind w:left="567" w:hanging="567"/>
        <w:contextualSpacing w:val="0"/>
        <w:jc w:val="both"/>
      </w:pPr>
      <w:r>
        <w:t>Ако е приложима точка 56 от CEEAG, моля, обосновете по какъв начин общият размер на помощта, отпусната по мярката(мерките), за която(</w:t>
      </w:r>
      <w:proofErr w:type="spellStart"/>
      <w:r>
        <w:t>ито</w:t>
      </w:r>
      <w:proofErr w:type="spellEnd"/>
      <w:r>
        <w:t xml:space="preserve">) е отправено уведомление, за даден проект или дейност не води до свръхкомпенсация или не надвишава максималния разрешен размер на помощта съгласно раздел 4.2.4.2 от CEEAG. За всяка мярка, по която може да се </w:t>
      </w:r>
      <w:proofErr w:type="spellStart"/>
      <w:r>
        <w:t>кумулира</w:t>
      </w:r>
      <w:proofErr w:type="spellEnd"/>
      <w:r>
        <w:t xml:space="preserve"> помощ, отпусната по мярката(мерките) за помощ, за която(които) е отправено уведомление, моля, посочете метода, който е използван, за да се гарантира спазването на условията, определени в точка 56 от CEEAG.</w:t>
      </w:r>
    </w:p>
    <w:p w14:paraId="1C9E0727" w14:textId="77777777" w:rsidR="004345D1" w:rsidRPr="00EE2D70" w:rsidRDefault="004345D1" w:rsidP="004345D1">
      <w:pPr>
        <w:tabs>
          <w:tab w:val="left" w:leader="dot" w:pos="9072"/>
        </w:tabs>
        <w:spacing w:before="120" w:after="120"/>
        <w:ind w:left="567"/>
        <w:jc w:val="both"/>
      </w:pPr>
      <w:r>
        <w:tab/>
      </w:r>
    </w:p>
    <w:p w14:paraId="7585368F" w14:textId="77777777" w:rsidR="004345D1" w:rsidRPr="00EE2D70" w:rsidRDefault="004345D1" w:rsidP="00211CE3">
      <w:pPr>
        <w:pStyle w:val="ListParagraph"/>
        <w:numPr>
          <w:ilvl w:val="0"/>
          <w:numId w:val="4"/>
        </w:numPr>
        <w:spacing w:before="120" w:after="120"/>
        <w:ind w:left="567" w:hanging="567"/>
        <w:contextualSpacing w:val="0"/>
        <w:jc w:val="both"/>
      </w:pPr>
      <w:r>
        <w:t>В случай че е приложима точка 57 от CEEAG, т.е. помощта, предоставена по мярката(мерките), за която(</w:t>
      </w:r>
      <w:proofErr w:type="spellStart"/>
      <w:r>
        <w:t>ито</w:t>
      </w:r>
      <w:proofErr w:type="spellEnd"/>
      <w:r>
        <w:t xml:space="preserve">) е отправено уведомление, е съчетана с </w:t>
      </w:r>
      <w:r>
        <w:lastRenderedPageBreak/>
        <w:t>финансиране от Съюза, което се управлява централизирано</w:t>
      </w:r>
      <w:r>
        <w:rPr>
          <w:rStyle w:val="FootnoteReference"/>
          <w:lang w:eastAsia="en-GB"/>
        </w:rPr>
        <w:footnoteReference w:id="14"/>
      </w:r>
      <w:r>
        <w:t xml:space="preserve"> (което не представлява държавна помощ), моля, обосновете по какъв начин </w:t>
      </w:r>
      <w:r>
        <w:rPr>
          <w:shd w:val="clear" w:color="auto" w:fill="FFFFFF"/>
        </w:rPr>
        <w:t>общият размер на публичното финансиране, предоставено във връзка със същите допустими разходи, не води до свръхкомпенсация.</w:t>
      </w:r>
      <w:r>
        <w:t xml:space="preserve"> </w:t>
      </w:r>
    </w:p>
    <w:p w14:paraId="1739D1B0" w14:textId="3ED99BC6" w:rsidR="0001211F" w:rsidRDefault="004345D1" w:rsidP="0078387C">
      <w:pPr>
        <w:tabs>
          <w:tab w:val="left" w:leader="dot" w:pos="9072"/>
        </w:tabs>
        <w:spacing w:before="120" w:after="120"/>
        <w:ind w:left="567"/>
        <w:jc w:val="both"/>
      </w:pPr>
      <w:r>
        <w:tab/>
        <w:t xml:space="preserve"> </w:t>
      </w:r>
    </w:p>
    <w:p w14:paraId="0530B14F" w14:textId="77777777" w:rsidR="00A8335C" w:rsidRPr="00EE2D70" w:rsidRDefault="00A8335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070D3230" w:rsidR="006773CE" w:rsidRPr="00863406" w:rsidRDefault="000B64EA" w:rsidP="0030792B">
            <w:pPr>
              <w:pStyle w:val="Heading1"/>
              <w:ind w:left="788" w:right="-28" w:hanging="357"/>
              <w:rPr>
                <w:color w:val="000000"/>
                <w:sz w:val="24"/>
                <w:szCs w:val="24"/>
              </w:rPr>
            </w:pPr>
            <w:r>
              <w:rPr>
                <w:sz w:val="24"/>
              </w:rPr>
              <w:t>2.1.5. Прозрачност</w:t>
            </w:r>
          </w:p>
        </w:tc>
      </w:tr>
    </w:tbl>
    <w:p w14:paraId="07229A8F" w14:textId="028CA7B4" w:rsidR="006773CE" w:rsidRPr="007C0A44" w:rsidRDefault="006773CE" w:rsidP="00707E7C">
      <w:pPr>
        <w:spacing w:before="120" w:after="120"/>
        <w:jc w:val="both"/>
        <w:rPr>
          <w:i/>
        </w:rPr>
      </w:pPr>
      <w:r>
        <w:rPr>
          <w:i/>
          <w:color w:val="000000"/>
        </w:rPr>
        <w:t>За</w:t>
      </w:r>
      <w:r>
        <w:rPr>
          <w:i/>
        </w:rPr>
        <w:t xml:space="preserve"> да предоставите информацията </w:t>
      </w:r>
      <w:r>
        <w:rPr>
          <w:i/>
          <w:color w:val="000000"/>
        </w:rPr>
        <w:t xml:space="preserve">в настоящия раздел, моля, </w:t>
      </w:r>
      <w:r>
        <w:rPr>
          <w:i/>
        </w:rPr>
        <w:t xml:space="preserve">вижте раздел 3.2.1.4 (точки 58—62) от CEEAG. </w:t>
      </w:r>
    </w:p>
    <w:p w14:paraId="5BEF3648" w14:textId="77777777" w:rsidR="00573A4B" w:rsidRPr="0000648C" w:rsidRDefault="00573A4B" w:rsidP="0038016C">
      <w:pPr>
        <w:pStyle w:val="ListParagraph"/>
        <w:numPr>
          <w:ilvl w:val="0"/>
          <w:numId w:val="4"/>
        </w:numPr>
        <w:spacing w:before="120" w:after="120"/>
        <w:ind w:left="567" w:hanging="567"/>
        <w:contextualSpacing w:val="0"/>
        <w:jc w:val="both"/>
        <w:rPr>
          <w:rFonts w:eastAsia="Times New Roman"/>
          <w:szCs w:val="24"/>
        </w:rPr>
      </w:pPr>
      <w:r>
        <w:t xml:space="preserve">Моля, потвърдете, че държавата членка ще спазва изискванията за прозрачност, предвидени в точки 58—61 от CEEAG. </w:t>
      </w:r>
    </w:p>
    <w:p w14:paraId="0302618B" w14:textId="77777777" w:rsidR="00573A4B" w:rsidRPr="00AB745F" w:rsidRDefault="00573A4B" w:rsidP="00573A4B">
      <w:pPr>
        <w:tabs>
          <w:tab w:val="left" w:leader="dot" w:pos="9072"/>
        </w:tabs>
        <w:spacing w:before="120" w:after="120"/>
        <w:ind w:left="567"/>
        <w:jc w:val="both"/>
      </w:pPr>
      <w:r>
        <w:tab/>
      </w:r>
    </w:p>
    <w:p w14:paraId="0D64CEDE" w14:textId="03627102" w:rsidR="00573A4B" w:rsidRPr="00AB745F" w:rsidRDefault="00573A4B" w:rsidP="0038016C">
      <w:pPr>
        <w:pStyle w:val="ListParagraph"/>
        <w:numPr>
          <w:ilvl w:val="0"/>
          <w:numId w:val="4"/>
        </w:numPr>
        <w:spacing w:before="120" w:after="120"/>
        <w:ind w:left="567" w:hanging="567"/>
        <w:contextualSpacing w:val="0"/>
        <w:jc w:val="both"/>
      </w:pPr>
      <w:r>
        <w:t xml:space="preserve">Моля, посочете интернет връзката, на която ще бъде публикуван пълният текст на решението за предоставяне на одобрената схема за помощ или индивидуалната помощ и разпоредбите за прилагането му, и информация за всяка индивидуална помощ, отпусната </w:t>
      </w:r>
      <w:proofErr w:type="spellStart"/>
      <w:r w:rsidRPr="009B3430">
        <w:rPr>
          <w:i/>
          <w:iCs/>
        </w:rPr>
        <w:t>ad</w:t>
      </w:r>
      <w:proofErr w:type="spellEnd"/>
      <w:r w:rsidRPr="009B3430">
        <w:rPr>
          <w:i/>
          <w:iCs/>
        </w:rPr>
        <w:t xml:space="preserve"> </w:t>
      </w:r>
      <w:proofErr w:type="spellStart"/>
      <w:r w:rsidRPr="009B3430">
        <w:rPr>
          <w:i/>
          <w:iCs/>
        </w:rPr>
        <w:t>hoc</w:t>
      </w:r>
      <w:proofErr w:type="spellEnd"/>
      <w:r>
        <w:t xml:space="preserve"> или по схема за помощ, одобрена въз основа на CEEAG, чийто размер надхвърля 100 000 EUR. </w:t>
      </w:r>
    </w:p>
    <w:p w14:paraId="14FE0B14" w14:textId="232D975F" w:rsidR="007C0A44" w:rsidRDefault="00573A4B" w:rsidP="0038016C">
      <w:pPr>
        <w:tabs>
          <w:tab w:val="left" w:leader="dot" w:pos="9072"/>
        </w:tabs>
        <w:spacing w:before="120" w:after="120"/>
        <w:ind w:left="567"/>
        <w:jc w:val="both"/>
      </w:pPr>
      <w:r>
        <w:tab/>
      </w:r>
    </w:p>
    <w:p w14:paraId="641AF950" w14:textId="77777777" w:rsidR="0038016C" w:rsidRPr="0038016C" w:rsidRDefault="0038016C" w:rsidP="0038016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22"/>
      </w:tblGrid>
      <w:tr w:rsidR="008D37F9" w:rsidRPr="00164ADE" w14:paraId="3CD6496D" w14:textId="77777777">
        <w:tc>
          <w:tcPr>
            <w:tcW w:w="9322" w:type="dxa"/>
            <w:shd w:val="clear" w:color="auto" w:fill="D9D9D9"/>
          </w:tcPr>
          <w:p w14:paraId="6D3C4956" w14:textId="443DDD78" w:rsidR="008D37F9" w:rsidRPr="00164ADE" w:rsidRDefault="000B64EA" w:rsidP="0038016C">
            <w:pPr>
              <w:pStyle w:val="Heading1"/>
              <w:ind w:left="788" w:right="-28" w:hanging="357"/>
              <w:rPr>
                <w:i/>
                <w:iCs/>
                <w:color w:val="000000"/>
                <w:sz w:val="28"/>
                <w:szCs w:val="28"/>
              </w:rPr>
            </w:pPr>
            <w:r>
              <w:rPr>
                <w:i/>
                <w:color w:val="000000"/>
                <w:sz w:val="28"/>
              </w:rPr>
              <w:t>2.2. Избягване на неоправдани отрицателни последици от помощта за конкуренцията и търговията и балансиране</w:t>
            </w:r>
          </w:p>
        </w:tc>
      </w:tr>
    </w:tbl>
    <w:p w14:paraId="6CD3884F" w14:textId="56A9CDD5" w:rsidR="00F83660" w:rsidRPr="00B215FD" w:rsidRDefault="00F83660" w:rsidP="0038016C">
      <w:pPr>
        <w:spacing w:before="120" w:after="120"/>
        <w:jc w:val="both"/>
        <w:rPr>
          <w:i/>
        </w:rPr>
      </w:pPr>
      <w:r>
        <w:rPr>
          <w:i/>
          <w:color w:val="000000"/>
        </w:rPr>
        <w:t>За</w:t>
      </w:r>
      <w:r>
        <w:rPr>
          <w:i/>
        </w:rPr>
        <w:t xml:space="preserve"> да предоставите информацията в настоящия раздел, моля, вижте раздел 3.2.2 (точки 63—70) и раздел 4.2.4.3 (точки 154—157) от CEEAG. </w:t>
      </w:r>
    </w:p>
    <w:p w14:paraId="0A211E3D" w14:textId="3FE6DAAA" w:rsidR="00F83660" w:rsidRPr="00B215FD" w:rsidRDefault="00F83660" w:rsidP="0038016C">
      <w:pPr>
        <w:pStyle w:val="ListParagraph"/>
        <w:numPr>
          <w:ilvl w:val="0"/>
          <w:numId w:val="4"/>
        </w:numPr>
        <w:spacing w:before="120" w:after="120"/>
        <w:ind w:left="567" w:hanging="567"/>
        <w:contextualSpacing w:val="0"/>
        <w:jc w:val="both"/>
      </w:pPr>
      <w:r>
        <w:t>За да се провери съответствието с точка 67 от CEEAG, моля, представете информация за възможните краткосрочни и дългосрочни отрицателни ефекти върху конкуренцията и търговията от мярката(мерките), за която(</w:t>
      </w:r>
      <w:proofErr w:type="spellStart"/>
      <w:r>
        <w:t>ито</w:t>
      </w:r>
      <w:proofErr w:type="spellEnd"/>
      <w:r>
        <w:t xml:space="preserve">) е отправено уведомление. </w:t>
      </w:r>
    </w:p>
    <w:p w14:paraId="3391AE0D" w14:textId="77777777" w:rsidR="00F83660" w:rsidRPr="00B215FD" w:rsidRDefault="00F83660" w:rsidP="00F83660">
      <w:pPr>
        <w:tabs>
          <w:tab w:val="left" w:leader="dot" w:pos="9072"/>
        </w:tabs>
        <w:spacing w:before="120" w:after="120"/>
        <w:ind w:left="567"/>
        <w:jc w:val="both"/>
      </w:pPr>
      <w:r>
        <w:tab/>
      </w:r>
    </w:p>
    <w:p w14:paraId="562AD860" w14:textId="77777777" w:rsidR="00BC72E3" w:rsidRPr="00E752D3" w:rsidRDefault="00BC72E3" w:rsidP="00FF0CD0">
      <w:pPr>
        <w:pStyle w:val="ListParagraph"/>
        <w:numPr>
          <w:ilvl w:val="0"/>
          <w:numId w:val="4"/>
        </w:numPr>
        <w:spacing w:before="120" w:after="120"/>
        <w:ind w:left="567" w:hanging="567"/>
        <w:contextualSpacing w:val="0"/>
        <w:jc w:val="both"/>
      </w:pPr>
      <w:r>
        <w:t xml:space="preserve">Моля, обяснете дали мярката попада в някоя от следните ситуации: </w:t>
      </w:r>
    </w:p>
    <w:p w14:paraId="44BBD0E3" w14:textId="77777777" w:rsidR="00BC72E3" w:rsidRPr="00E752D3" w:rsidRDefault="00BC72E3" w:rsidP="00BC0346">
      <w:pPr>
        <w:pStyle w:val="ListParagraph"/>
        <w:numPr>
          <w:ilvl w:val="0"/>
          <w:numId w:val="37"/>
        </w:numPr>
        <w:spacing w:before="120" w:after="120"/>
        <w:contextualSpacing w:val="0"/>
        <w:jc w:val="both"/>
      </w:pPr>
      <w:r>
        <w:t>тя се отнася до пазар (или пазари), на който завареният оператор е придобил пазарна мощ преди либерализацията на пазара;</w:t>
      </w:r>
    </w:p>
    <w:p w14:paraId="74497186"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40951272" w14:textId="4BD2AAF2" w:rsidR="00BC72E3" w:rsidRPr="00E752D3" w:rsidRDefault="00BC72E3" w:rsidP="00BC0346">
      <w:pPr>
        <w:pStyle w:val="ListParagraph"/>
        <w:numPr>
          <w:ilvl w:val="0"/>
          <w:numId w:val="37"/>
        </w:numPr>
        <w:spacing w:before="120" w:after="120"/>
        <w:contextualSpacing w:val="0"/>
        <w:jc w:val="both"/>
      </w:pPr>
      <w:r>
        <w:t>тя включва състезателни тръжни процедури, провеждани на пазари, намиращи се в началните етапи на своето развитие, където съществува участник със силна позиция на пазара;</w:t>
      </w:r>
    </w:p>
    <w:p w14:paraId="31F1877E" w14:textId="77777777" w:rsidR="00BC72E3" w:rsidRPr="00E752D3" w:rsidRDefault="00BC72E3" w:rsidP="00722DE1">
      <w:pPr>
        <w:tabs>
          <w:tab w:val="left" w:leader="dot" w:pos="9072"/>
        </w:tabs>
        <w:spacing w:before="120" w:after="120"/>
        <w:ind w:left="1080"/>
        <w:jc w:val="both"/>
        <w:rPr>
          <w:color w:val="000000"/>
        </w:rPr>
      </w:pPr>
      <w:r>
        <w:rPr>
          <w:color w:val="000000"/>
        </w:rPr>
        <w:tab/>
      </w:r>
    </w:p>
    <w:p w14:paraId="19E7ABB7" w14:textId="77777777" w:rsidR="00BC72E3" w:rsidRPr="00E752D3" w:rsidRDefault="00BC72E3" w:rsidP="00BC0346">
      <w:pPr>
        <w:pStyle w:val="ListParagraph"/>
        <w:numPr>
          <w:ilvl w:val="0"/>
          <w:numId w:val="37"/>
        </w:numPr>
        <w:spacing w:before="120" w:after="120"/>
        <w:contextualSpacing w:val="0"/>
        <w:jc w:val="both"/>
      </w:pPr>
      <w:r>
        <w:lastRenderedPageBreak/>
        <w:t>тя ще бъде в полза само на един или на особено ограничен брой бенефициери.</w:t>
      </w:r>
    </w:p>
    <w:p w14:paraId="43B690C3" w14:textId="08AA7AC9" w:rsidR="009212E9" w:rsidRDefault="00BC72E3" w:rsidP="009212E9">
      <w:pPr>
        <w:pStyle w:val="ListParagraph"/>
        <w:numPr>
          <w:ilvl w:val="0"/>
          <w:numId w:val="4"/>
        </w:numPr>
        <w:spacing w:before="120" w:after="120"/>
        <w:ind w:left="567" w:hanging="567"/>
        <w:contextualSpacing w:val="0"/>
        <w:jc w:val="both"/>
      </w:pPr>
      <w:r>
        <w:t xml:space="preserve">Ако мярката за помощ е насочена към конкретен технологичен избор/път, моля, обосновете причината за технологичния избор и това, че тя няма да възпрепятства внедряването на по-чисти технологии. </w:t>
      </w:r>
    </w:p>
    <w:p w14:paraId="425A096A" w14:textId="0168E344" w:rsidR="009212E9" w:rsidRPr="00E752D3" w:rsidRDefault="009212E9" w:rsidP="009212E9">
      <w:pPr>
        <w:tabs>
          <w:tab w:val="left" w:leader="dot" w:pos="9072"/>
        </w:tabs>
        <w:spacing w:before="120" w:after="120"/>
        <w:ind w:left="567"/>
        <w:jc w:val="both"/>
      </w:pPr>
      <w:r>
        <w:tab/>
      </w:r>
    </w:p>
    <w:p w14:paraId="76CF02C9" w14:textId="5403695C" w:rsidR="00F83660" w:rsidRPr="00B215FD" w:rsidRDefault="00BD4D89" w:rsidP="00722DE1">
      <w:pPr>
        <w:pStyle w:val="ListParagraph"/>
        <w:numPr>
          <w:ilvl w:val="0"/>
          <w:numId w:val="4"/>
        </w:numPr>
        <w:spacing w:before="120" w:after="120"/>
        <w:ind w:left="567" w:hanging="567"/>
        <w:contextualSpacing w:val="0"/>
        <w:jc w:val="both"/>
      </w:pPr>
      <w:r>
        <w:t>Ако мярката(мерките), за която(</w:t>
      </w:r>
      <w:proofErr w:type="spellStart"/>
      <w:r>
        <w:t>ито</w:t>
      </w:r>
      <w:proofErr w:type="spellEnd"/>
      <w:r>
        <w:t>) е отправено уведомление, е(са) в полза само на един или на особено ограничен брой бенефициери, с цел да се провери съответствието с точка 68 от CEEAG:</w:t>
      </w:r>
    </w:p>
    <w:p w14:paraId="4E1C5F60" w14:textId="2612C1BB" w:rsidR="006B1971" w:rsidRPr="00722DE1" w:rsidRDefault="00722DE1" w:rsidP="00BC0346">
      <w:pPr>
        <w:pStyle w:val="ListParagraph"/>
        <w:numPr>
          <w:ilvl w:val="0"/>
          <w:numId w:val="38"/>
        </w:numPr>
        <w:spacing w:before="120" w:after="120"/>
        <w:contextualSpacing w:val="0"/>
        <w:jc w:val="both"/>
      </w:pPr>
      <w:r>
        <w:t>моля, обяснете дали мярката(мерките), за която(</w:t>
      </w:r>
      <w:proofErr w:type="spellStart"/>
      <w:r>
        <w:t>ито</w:t>
      </w:r>
      <w:proofErr w:type="spellEnd"/>
      <w:r>
        <w:t>) е отправено уведомление, увеличава(т) или запазва(т) пазарната мощ на бенефициера(</w:t>
      </w:r>
      <w:proofErr w:type="spellStart"/>
      <w:r>
        <w:t>ите</w:t>
      </w:r>
      <w:proofErr w:type="spellEnd"/>
      <w:r>
        <w:t>) или възпира(т) разрастването на съществуващи конкуренти, предизвиква(т) тяхното напускане на пазара или възпира(т) навлизането на нови конкуренти. Във връзка с това обяснете също така дали мярката за помощ ще доведе до увеличаване на производствения капацитет на бенефициера;</w:t>
      </w:r>
    </w:p>
    <w:p w14:paraId="3183C9D5"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27E2AFB2" w14:textId="77777777" w:rsidR="006B1971" w:rsidRPr="00B215FD" w:rsidRDefault="006B1971" w:rsidP="00BC0346">
      <w:pPr>
        <w:pStyle w:val="ListParagraph"/>
        <w:numPr>
          <w:ilvl w:val="0"/>
          <w:numId w:val="38"/>
        </w:numPr>
        <w:spacing w:before="120" w:after="120"/>
        <w:contextualSpacing w:val="0"/>
        <w:jc w:val="both"/>
      </w:pPr>
      <w:r>
        <w:t>опишете мярката(мерките), въведена(и) за ограничаване на потенциалното нарушаване на конкуренцията, причинено от предоставянето на помощта на бенефициера(</w:t>
      </w:r>
      <w:proofErr w:type="spellStart"/>
      <w:r>
        <w:t>ите</w:t>
      </w:r>
      <w:proofErr w:type="spellEnd"/>
      <w:r>
        <w:t xml:space="preserve">). </w:t>
      </w:r>
    </w:p>
    <w:p w14:paraId="3E7B05CC" w14:textId="77777777" w:rsidR="006B1971" w:rsidRPr="00722DE1" w:rsidRDefault="006B1971" w:rsidP="00722DE1">
      <w:pPr>
        <w:tabs>
          <w:tab w:val="left" w:leader="dot" w:pos="9072"/>
        </w:tabs>
        <w:spacing w:before="120" w:after="120"/>
        <w:ind w:left="1080"/>
        <w:jc w:val="both"/>
        <w:rPr>
          <w:color w:val="000000"/>
        </w:rPr>
      </w:pPr>
      <w:r>
        <w:rPr>
          <w:color w:val="000000"/>
        </w:rPr>
        <w:tab/>
      </w:r>
    </w:p>
    <w:p w14:paraId="7EA03E9A" w14:textId="76EB4487" w:rsidR="00F83660" w:rsidRPr="009E0FCA" w:rsidRDefault="00F83660" w:rsidP="00722DE1">
      <w:pPr>
        <w:pStyle w:val="ListParagraph"/>
        <w:numPr>
          <w:ilvl w:val="0"/>
          <w:numId w:val="4"/>
        </w:numPr>
        <w:spacing w:before="120" w:after="120"/>
        <w:ind w:left="567" w:hanging="567"/>
        <w:contextualSpacing w:val="0"/>
        <w:jc w:val="both"/>
      </w:pPr>
      <w:r>
        <w:t>За да се провери съответствието с точка 69 от CEEAG, моля, обяснете:</w:t>
      </w:r>
    </w:p>
    <w:p w14:paraId="55298360" w14:textId="77777777" w:rsidR="00E62DD7" w:rsidRDefault="00E62DD7" w:rsidP="00BC0346">
      <w:pPr>
        <w:pStyle w:val="ListParagraph"/>
        <w:numPr>
          <w:ilvl w:val="0"/>
          <w:numId w:val="39"/>
        </w:numPr>
        <w:spacing w:before="120" w:after="120"/>
        <w:contextualSpacing w:val="0"/>
        <w:jc w:val="both"/>
      </w:pPr>
      <w:r>
        <w:t>дали помощта, предоставена по мярката(мерките), за която(</w:t>
      </w:r>
      <w:proofErr w:type="spellStart"/>
      <w:r>
        <w:t>ито</w:t>
      </w:r>
      <w:proofErr w:type="spellEnd"/>
      <w:r>
        <w:t xml:space="preserve">) е отправено уведомление, е предназначена за запазване на икономическа дейност в даден регион или привличането ѝ в този регион за сметка на други региони в рамките на вътрешния пазар; </w:t>
      </w:r>
    </w:p>
    <w:p w14:paraId="34A1D43D"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3F58043F" w14:textId="6F5F5D14" w:rsidR="00E62DD7" w:rsidRPr="009E0FCA" w:rsidRDefault="00E62DD7" w:rsidP="00BC0346">
      <w:pPr>
        <w:pStyle w:val="ListParagraph"/>
        <w:numPr>
          <w:ilvl w:val="0"/>
          <w:numId w:val="39"/>
        </w:numPr>
        <w:spacing w:before="120" w:after="120"/>
        <w:contextualSpacing w:val="0"/>
        <w:jc w:val="both"/>
      </w:pPr>
      <w:r>
        <w:t>при положителен отговор, моля, посочете какво е нетното въздействие върху околната среда на мярката(мерките), за която(</w:t>
      </w:r>
      <w:proofErr w:type="spellStart"/>
      <w:r>
        <w:t>ито</w:t>
      </w:r>
      <w:proofErr w:type="spellEnd"/>
      <w:r>
        <w:t>) е отправено уведомление, и как мярката(мерките), за която(</w:t>
      </w:r>
      <w:proofErr w:type="spellStart"/>
      <w:r>
        <w:t>ито</w:t>
      </w:r>
      <w:proofErr w:type="spellEnd"/>
      <w:r>
        <w:t>) е отправено уведомление, подобрява съществуващото равнище на опазване на околната среда;</w:t>
      </w:r>
    </w:p>
    <w:p w14:paraId="2EA7C7CB"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75A88797" w14:textId="77777777" w:rsidR="00E62DD7" w:rsidRPr="001D7B55" w:rsidRDefault="00E62DD7" w:rsidP="00BC0346">
      <w:pPr>
        <w:pStyle w:val="ListParagraph"/>
        <w:numPr>
          <w:ilvl w:val="0"/>
          <w:numId w:val="39"/>
        </w:numPr>
        <w:spacing w:before="120" w:after="120"/>
        <w:contextualSpacing w:val="0"/>
        <w:jc w:val="both"/>
      </w:pPr>
      <w:r>
        <w:t>по какъв начин помощта, предоставена по мярката(мерките), за която(</w:t>
      </w:r>
      <w:proofErr w:type="spellStart"/>
      <w:r>
        <w:t>ито</w:t>
      </w:r>
      <w:proofErr w:type="spellEnd"/>
      <w:r>
        <w:t xml:space="preserve">) е отправено уведомление, не поражда явни отрицателни последици за конкуренцията и търговията; </w:t>
      </w:r>
    </w:p>
    <w:p w14:paraId="5D66ABAF" w14:textId="77777777" w:rsidR="00E62DD7" w:rsidRPr="00722DE1" w:rsidRDefault="00E62DD7" w:rsidP="00722DE1">
      <w:pPr>
        <w:tabs>
          <w:tab w:val="left" w:leader="dot" w:pos="9072"/>
        </w:tabs>
        <w:spacing w:before="120" w:after="120"/>
        <w:ind w:left="1080"/>
        <w:jc w:val="both"/>
        <w:rPr>
          <w:color w:val="000000"/>
        </w:rPr>
      </w:pPr>
      <w:r>
        <w:rPr>
          <w:color w:val="000000"/>
        </w:rPr>
        <w:tab/>
      </w:r>
    </w:p>
    <w:p w14:paraId="46D52DEB" w14:textId="77777777" w:rsidR="00E62DD7" w:rsidRPr="00E752D3" w:rsidRDefault="00E62DD7" w:rsidP="00BC0346">
      <w:pPr>
        <w:pStyle w:val="ListParagraph"/>
        <w:numPr>
          <w:ilvl w:val="0"/>
          <w:numId w:val="39"/>
        </w:numPr>
        <w:spacing w:before="120" w:after="120"/>
        <w:contextualSpacing w:val="0"/>
        <w:jc w:val="both"/>
      </w:pPr>
      <w:r>
        <w:t>в случай на индивидуална помощ, основните фактори, които са довели до избора на мястото за осъществяване на инвестициите от страна на бенефициера.</w:t>
      </w:r>
    </w:p>
    <w:p w14:paraId="2310FA4D"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5D5F17EA" w14:textId="77777777" w:rsidR="00F83660" w:rsidRPr="001D7B55" w:rsidRDefault="00F83660" w:rsidP="00722DE1">
      <w:pPr>
        <w:pStyle w:val="ListParagraph"/>
        <w:numPr>
          <w:ilvl w:val="0"/>
          <w:numId w:val="4"/>
        </w:numPr>
        <w:spacing w:before="120" w:after="120"/>
        <w:ind w:left="567" w:hanging="567"/>
        <w:contextualSpacing w:val="0"/>
        <w:jc w:val="both"/>
      </w:pPr>
      <w:r>
        <w:t>За да се провери съответствието с точка 70 от CEEAG:</w:t>
      </w:r>
    </w:p>
    <w:p w14:paraId="70793CBE" w14:textId="77777777" w:rsidR="00F563A2" w:rsidRPr="00AC286A" w:rsidRDefault="00F563A2" w:rsidP="00BC0346">
      <w:pPr>
        <w:pStyle w:val="ListParagraph"/>
        <w:numPr>
          <w:ilvl w:val="0"/>
          <w:numId w:val="40"/>
        </w:numPr>
        <w:spacing w:before="120" w:after="120"/>
        <w:contextualSpacing w:val="0"/>
        <w:jc w:val="both"/>
      </w:pPr>
      <w:r>
        <w:t xml:space="preserve">моля, потвърдете, че помощта може да бъде предоставена по схемата, за която е отправено уведомление, в рамките на максимален срок от 10 години, считано </w:t>
      </w:r>
      <w:r>
        <w:lastRenderedPageBreak/>
        <w:t xml:space="preserve">от датата на уведомяване за решението на Комисията, с което помощта се обявява за съвместима;  </w:t>
      </w:r>
    </w:p>
    <w:p w14:paraId="761C2FF1" w14:textId="77777777" w:rsidR="00F563A2" w:rsidRPr="00722DE1" w:rsidRDefault="00F563A2" w:rsidP="00722DE1">
      <w:pPr>
        <w:tabs>
          <w:tab w:val="left" w:leader="dot" w:pos="9072"/>
        </w:tabs>
        <w:spacing w:before="120" w:after="120"/>
        <w:ind w:left="1080"/>
        <w:jc w:val="both"/>
        <w:rPr>
          <w:color w:val="000000"/>
        </w:rPr>
      </w:pPr>
      <w:r>
        <w:rPr>
          <w:color w:val="000000"/>
        </w:rPr>
        <w:tab/>
      </w:r>
    </w:p>
    <w:p w14:paraId="3268388C" w14:textId="77777777" w:rsidR="00F563A2" w:rsidRPr="00AC286A" w:rsidRDefault="00F563A2" w:rsidP="00BC0346">
      <w:pPr>
        <w:pStyle w:val="ListParagraph"/>
        <w:numPr>
          <w:ilvl w:val="0"/>
          <w:numId w:val="40"/>
        </w:numPr>
        <w:spacing w:before="120" w:after="120"/>
        <w:contextualSpacing w:val="0"/>
        <w:jc w:val="both"/>
      </w:pPr>
      <w:r>
        <w:t xml:space="preserve">моля, потвърдете, че ако вашите органи желаят да удължат продължителността на схемата над този максимален срок, те ще изпратят повторно уведомление за мярката. </w:t>
      </w:r>
    </w:p>
    <w:p w14:paraId="77064147" w14:textId="77777777" w:rsidR="00F83660" w:rsidRPr="00722DE1" w:rsidRDefault="00F83660" w:rsidP="00722DE1">
      <w:pPr>
        <w:tabs>
          <w:tab w:val="left" w:leader="dot" w:pos="9072"/>
        </w:tabs>
        <w:spacing w:before="120" w:after="120"/>
        <w:ind w:left="1080"/>
        <w:jc w:val="both"/>
        <w:rPr>
          <w:color w:val="000000"/>
        </w:rPr>
      </w:pPr>
      <w:r>
        <w:rPr>
          <w:color w:val="000000"/>
        </w:rPr>
        <w:tab/>
      </w:r>
    </w:p>
    <w:p w14:paraId="0D3E49C5" w14:textId="0CE37CAC" w:rsidR="00F83660" w:rsidRPr="00722DE1" w:rsidRDefault="00344211" w:rsidP="00722DE1">
      <w:pPr>
        <w:pStyle w:val="ListParagraph"/>
        <w:numPr>
          <w:ilvl w:val="0"/>
          <w:numId w:val="4"/>
        </w:numPr>
        <w:spacing w:before="120" w:after="120"/>
        <w:ind w:left="567" w:hanging="567"/>
        <w:contextualSpacing w:val="0"/>
        <w:jc w:val="both"/>
      </w:pPr>
      <w:r>
        <w:t>Ако помощта се предоставя под формата на обезпечение, собствен капитал, гаранция или заем за фонд за енергийна ефективност, фонд за енергия от възобновяеми източници или друг финансов посредник, за да се провери спазването на точка 157 от CEEAG:</w:t>
      </w:r>
    </w:p>
    <w:p w14:paraId="04EC5970" w14:textId="36680F60" w:rsidR="00344211" w:rsidRPr="009E0FCA" w:rsidRDefault="00344211" w:rsidP="00BC0346">
      <w:pPr>
        <w:pStyle w:val="ListParagraph"/>
        <w:numPr>
          <w:ilvl w:val="0"/>
          <w:numId w:val="41"/>
        </w:numPr>
        <w:spacing w:before="120" w:after="120"/>
        <w:contextualSpacing w:val="0"/>
        <w:jc w:val="both"/>
      </w:pPr>
      <w:r>
        <w:t>моля, докажете, че изборът на финансови посредници или управители на фондове ще се осъществява чрез отворена, прозрачна и недискриминационна процедура, изготвена в съответствие с приложимото законодателство на Съюза и на държавата членка;</w:t>
      </w:r>
    </w:p>
    <w:p w14:paraId="7A2FDB46" w14:textId="25262C08" w:rsidR="00344211" w:rsidRPr="00722DE1" w:rsidRDefault="00344211" w:rsidP="00722DE1">
      <w:pPr>
        <w:tabs>
          <w:tab w:val="left" w:leader="dot" w:pos="9072"/>
        </w:tabs>
        <w:spacing w:before="120" w:after="120"/>
        <w:ind w:left="1080"/>
        <w:jc w:val="both"/>
        <w:rPr>
          <w:color w:val="000000"/>
        </w:rPr>
      </w:pPr>
      <w:r>
        <w:rPr>
          <w:color w:val="000000"/>
        </w:rPr>
        <w:tab/>
      </w:r>
    </w:p>
    <w:p w14:paraId="00340101" w14:textId="4E3CA68D" w:rsidR="00344211" w:rsidRPr="00AD5646" w:rsidRDefault="00344211" w:rsidP="00BC0346">
      <w:pPr>
        <w:pStyle w:val="ListParagraph"/>
        <w:numPr>
          <w:ilvl w:val="0"/>
          <w:numId w:val="41"/>
        </w:numPr>
        <w:spacing w:before="120" w:after="120"/>
        <w:contextualSpacing w:val="0"/>
        <w:jc w:val="both"/>
      </w:pPr>
      <w:r>
        <w:t xml:space="preserve">моля, докажете, че са въведени условия, с които се гарантира, че финансовите посредници, включително фондовете за енергийна ефективност или за енергия от възобновяеми източници, се управляват въз основа на търговски принципи и техните решения за финансиране са насочени към реализирането на печалба; </w:t>
      </w:r>
    </w:p>
    <w:p w14:paraId="6619FD31" w14:textId="77777777" w:rsidR="00344211" w:rsidRPr="00AD5646" w:rsidRDefault="00344211" w:rsidP="00AD5646">
      <w:pPr>
        <w:tabs>
          <w:tab w:val="left" w:leader="dot" w:pos="9072"/>
        </w:tabs>
        <w:spacing w:before="120" w:after="120"/>
        <w:ind w:left="1080"/>
        <w:jc w:val="both"/>
        <w:rPr>
          <w:color w:val="000000"/>
        </w:rPr>
      </w:pPr>
      <w:r>
        <w:rPr>
          <w:color w:val="000000"/>
        </w:rPr>
        <w:tab/>
      </w:r>
    </w:p>
    <w:p w14:paraId="28F922F0" w14:textId="4965C592" w:rsidR="00344211" w:rsidRPr="00AD5646" w:rsidRDefault="00B753D4" w:rsidP="00BC0346">
      <w:pPr>
        <w:pStyle w:val="ListParagraph"/>
        <w:numPr>
          <w:ilvl w:val="0"/>
          <w:numId w:val="41"/>
        </w:numPr>
        <w:spacing w:before="120" w:after="120"/>
        <w:contextualSpacing w:val="0"/>
        <w:jc w:val="both"/>
      </w:pPr>
      <w:r>
        <w:t xml:space="preserve">моля, докажете, че от управителите на фонда за енергийна ефективност или за енергия от възобновяеми източници или други финансови посредници се изисква да прехвърлят предимството във възможно най-висока степен на крайните бенефициери (собствениците или наемателите на сгради) под формата на по-висок размер на финансирането, по-облекчени изисквания за обезпечение, по-ниски премии по гаранциите или по-ниски лихвени ставки. </w:t>
      </w:r>
    </w:p>
    <w:p w14:paraId="68D96680" w14:textId="77777777" w:rsidR="00344211" w:rsidRDefault="00344211" w:rsidP="00AD5646">
      <w:pPr>
        <w:tabs>
          <w:tab w:val="left" w:leader="dot" w:pos="9072"/>
        </w:tabs>
        <w:spacing w:before="120" w:after="120"/>
        <w:ind w:left="1080"/>
        <w:jc w:val="both"/>
        <w:rPr>
          <w:color w:val="000000"/>
        </w:rPr>
      </w:pPr>
      <w:r>
        <w:rPr>
          <w:color w:val="000000"/>
        </w:rPr>
        <w:tab/>
      </w:r>
    </w:p>
    <w:p w14:paraId="6E0940DA" w14:textId="77777777" w:rsidR="00B15852" w:rsidRPr="00AD5646" w:rsidRDefault="00B15852" w:rsidP="00AD5646">
      <w:pPr>
        <w:tabs>
          <w:tab w:val="left" w:leader="dot" w:pos="9072"/>
        </w:tabs>
        <w:spacing w:before="120" w:after="120"/>
        <w:ind w:left="108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359FFA22" w:rsidR="0096537D" w:rsidRPr="00AA7DB4" w:rsidRDefault="00904DED" w:rsidP="00AD5646">
            <w:pPr>
              <w:pStyle w:val="Heading1"/>
              <w:ind w:left="788" w:right="-28" w:hanging="357"/>
              <w:rPr>
                <w:i/>
                <w:color w:val="000000"/>
                <w:sz w:val="28"/>
                <w:szCs w:val="28"/>
              </w:rPr>
            </w:pPr>
            <w:r>
              <w:rPr>
                <w:i/>
                <w:color w:val="000000"/>
                <w:sz w:val="28"/>
              </w:rPr>
              <w:t>3. Съпоставяне на положителните ефекти от помощта с отрицателните ефекти върху конкуренцията и търговията</w:t>
            </w:r>
          </w:p>
        </w:tc>
      </w:tr>
    </w:tbl>
    <w:p w14:paraId="2BA426DC" w14:textId="3A9BC05F" w:rsidR="00265702" w:rsidRPr="00863406" w:rsidRDefault="00265702" w:rsidP="00AD5646">
      <w:pPr>
        <w:spacing w:before="120" w:after="120"/>
        <w:jc w:val="both"/>
        <w:rPr>
          <w:i/>
          <w:color w:val="000000"/>
        </w:rPr>
      </w:pPr>
      <w:r>
        <w:rPr>
          <w:i/>
          <w:color w:val="000000"/>
        </w:rPr>
        <w:t>За</w:t>
      </w:r>
      <w:r>
        <w:rPr>
          <w:i/>
        </w:rPr>
        <w:t xml:space="preserve"> да предоставите информацията </w:t>
      </w:r>
      <w:r>
        <w:rPr>
          <w:i/>
          <w:color w:val="000000"/>
        </w:rPr>
        <w:t xml:space="preserve">в настоящия раздел, моля, вижте раздел 3.3 (точки 71—76) от CEEAG. </w:t>
      </w:r>
    </w:p>
    <w:p w14:paraId="6C071D22" w14:textId="12B764BB" w:rsidR="001A0689" w:rsidRPr="00564B1B" w:rsidRDefault="001A0689" w:rsidP="00BC0346">
      <w:pPr>
        <w:pStyle w:val="ListParagraph"/>
        <w:numPr>
          <w:ilvl w:val="0"/>
          <w:numId w:val="42"/>
        </w:numPr>
        <w:spacing w:before="120" w:after="120"/>
        <w:ind w:left="567" w:hanging="567"/>
        <w:contextualSpacing w:val="0"/>
        <w:jc w:val="both"/>
      </w:pPr>
      <w:r>
        <w:t>За да се провери съответствието с точка 72 от CEEAG, моля, обяснете дали дейностите, подпомагани по мярката(мерките), за която(</w:t>
      </w:r>
      <w:proofErr w:type="spellStart"/>
      <w:r>
        <w:t>ито</w:t>
      </w:r>
      <w:proofErr w:type="spellEnd"/>
      <w:r>
        <w:t>) е отправено уведомление, отговарят на критериите за екологично устойчиви икономически дейности,</w:t>
      </w:r>
      <w:r>
        <w:rPr>
          <w:shd w:val="clear" w:color="auto" w:fill="FFFFFF"/>
        </w:rPr>
        <w:t xml:space="preserve"> предвидени в </w:t>
      </w:r>
      <w:r>
        <w:t>член 3 от Регламент (ЕС) 2020/852 на Европейския парламент и на Съвета</w:t>
      </w:r>
      <w:r w:rsidRPr="008772CC">
        <w:rPr>
          <w:rStyle w:val="FootnoteReference"/>
          <w:lang w:eastAsia="en-GB"/>
        </w:rPr>
        <w:footnoteReference w:id="15"/>
      </w:r>
      <w:r>
        <w:t>,</w:t>
      </w:r>
      <w:r>
        <w:rPr>
          <w:shd w:val="clear" w:color="auto" w:fill="FFFFFF"/>
        </w:rPr>
        <w:t xml:space="preserve"> включително принципа за ненанасяне на значителни вреди или други съпоставими методики.</w:t>
      </w:r>
    </w:p>
    <w:p w14:paraId="7A16EB41" w14:textId="77777777" w:rsidR="004B2EF3" w:rsidRPr="00564B1B" w:rsidRDefault="004B2EF3" w:rsidP="004B2EF3">
      <w:pPr>
        <w:tabs>
          <w:tab w:val="left" w:leader="dot" w:pos="9072"/>
        </w:tabs>
        <w:spacing w:before="120" w:after="120"/>
        <w:ind w:left="567"/>
        <w:jc w:val="both"/>
      </w:pPr>
      <w:r>
        <w:lastRenderedPageBreak/>
        <w:tab/>
      </w:r>
    </w:p>
    <w:p w14:paraId="5895DC02" w14:textId="1DB2B304" w:rsidR="000B260D" w:rsidRPr="00AC1973" w:rsidRDefault="004C67CC" w:rsidP="00BC0346">
      <w:pPr>
        <w:pStyle w:val="ListParagraph"/>
        <w:numPr>
          <w:ilvl w:val="0"/>
          <w:numId w:val="42"/>
        </w:numPr>
        <w:spacing w:before="120" w:after="120"/>
        <w:ind w:left="567" w:hanging="567"/>
        <w:contextualSpacing w:val="0"/>
        <w:jc w:val="both"/>
      </w:pPr>
      <w:r>
        <w:t>(В случай на състезателна тръжна процедура) Моля, обяснете дали мярката(мерките), за която(</w:t>
      </w:r>
      <w:proofErr w:type="spellStart"/>
      <w:r>
        <w:t>ито</w:t>
      </w:r>
      <w:proofErr w:type="spellEnd"/>
      <w:r>
        <w:t>) е отправено уведомление, включва(т) характеристики за улесняване на участието на МСП в състезателни тръжни процедури. Ако отговорът е положителен, моля, представете информация за тези характеристики и обосновете как положителните ефекти от осигуряването на участие на МСП в мярката(мерките), за която(които) е отправено уведомление, надхвърлят възможните нарушаващи ефекти.</w:t>
      </w:r>
    </w:p>
    <w:p w14:paraId="08262B4C" w14:textId="77777777" w:rsidR="000B260D" w:rsidRPr="00AC1973" w:rsidRDefault="000B260D" w:rsidP="000B260D">
      <w:pPr>
        <w:tabs>
          <w:tab w:val="left" w:leader="dot" w:pos="9072"/>
        </w:tabs>
        <w:spacing w:before="120" w:after="120"/>
        <w:ind w:left="567"/>
        <w:jc w:val="both"/>
      </w:pPr>
      <w:bookmarkStart w:id="14" w:name="_Hlk165969741"/>
      <w:r>
        <w:tab/>
      </w:r>
    </w:p>
    <w:bookmarkEnd w:id="14"/>
    <w:p w14:paraId="14E6F4A2" w14:textId="4914705C" w:rsidR="00976A75" w:rsidRDefault="004B2EF3" w:rsidP="00BC0346">
      <w:pPr>
        <w:pStyle w:val="ListParagraph"/>
        <w:numPr>
          <w:ilvl w:val="0"/>
          <w:numId w:val="42"/>
        </w:numPr>
        <w:spacing w:before="120" w:after="120"/>
        <w:ind w:left="567" w:hanging="567"/>
        <w:contextualSpacing w:val="0"/>
        <w:jc w:val="both"/>
      </w:pPr>
      <w:r>
        <w:t>За да се провери съответствието с точка 74 и точки 155—156 от CEEAG:</w:t>
      </w:r>
    </w:p>
    <w:p w14:paraId="63C203A5" w14:textId="5E6F0AA2" w:rsidR="00976A75" w:rsidRDefault="00976A75" w:rsidP="00BC0346">
      <w:pPr>
        <w:pStyle w:val="ListParagraph"/>
        <w:numPr>
          <w:ilvl w:val="0"/>
          <w:numId w:val="43"/>
        </w:numPr>
        <w:spacing w:before="120" w:after="120"/>
        <w:contextualSpacing w:val="0"/>
        <w:jc w:val="both"/>
      </w:pPr>
      <w:r>
        <w:t>моля, пояснете дали инвестициите в оборудване, работещо с природен газ, са допустими за помощ по мярката(мерките), за която(</w:t>
      </w:r>
      <w:proofErr w:type="spellStart"/>
      <w:r>
        <w:t>ито</w:t>
      </w:r>
      <w:proofErr w:type="spellEnd"/>
      <w:r>
        <w:t>) е отправено уведомление. При положителен отговор, моля, докажете, че помощта няма да измести инвестициите в по-екологосъобразни алтернативи, които вече съществуват на пазара, или да създаде зависимост от определени технологии. Моля, обяснете също така дали оборудването, работещо с природен газ, заменя енергийно оборудване, работещо с най-замърсяващите изкопаеми горива, като нефт и въглища;</w:t>
      </w:r>
    </w:p>
    <w:p w14:paraId="56E960B4" w14:textId="77777777" w:rsidR="005C68A3" w:rsidRPr="00AD5646" w:rsidRDefault="005C68A3" w:rsidP="00AD5646">
      <w:pPr>
        <w:tabs>
          <w:tab w:val="left" w:leader="dot" w:pos="9072"/>
        </w:tabs>
        <w:spacing w:before="120" w:after="120"/>
        <w:ind w:left="1080"/>
        <w:jc w:val="both"/>
        <w:rPr>
          <w:color w:val="000000"/>
        </w:rPr>
      </w:pPr>
      <w:r>
        <w:rPr>
          <w:color w:val="000000"/>
        </w:rPr>
        <w:tab/>
      </w:r>
    </w:p>
    <w:p w14:paraId="616E2283" w14:textId="09C211A7" w:rsidR="00976A75" w:rsidRDefault="00976A75" w:rsidP="00BC0346">
      <w:pPr>
        <w:pStyle w:val="ListParagraph"/>
        <w:numPr>
          <w:ilvl w:val="0"/>
          <w:numId w:val="43"/>
        </w:numPr>
        <w:spacing w:before="120" w:after="120"/>
        <w:contextualSpacing w:val="0"/>
        <w:jc w:val="both"/>
      </w:pPr>
      <w:r>
        <w:t>моля, потвърдете, че инвестициите в оборудване за производство на енергия от замърсяващи изкопаеми горива, като нефт и въглища, не са допустими за помощ по мярката(мерките), за която(</w:t>
      </w:r>
      <w:proofErr w:type="spellStart"/>
      <w:r>
        <w:t>ито</w:t>
      </w:r>
      <w:proofErr w:type="spellEnd"/>
      <w:r>
        <w:t xml:space="preserve">) е отправено уведомление. Моля, обърнете внимание, че помощта за инсталиране на оборудване за производство на енергия от изкопаеми горива, като нефт и въглища се счита, че, има отрицателно въздействие върху конкуренцията поради по-големите въглеродни емисии, свързани с използването на изкопаеми горива, значителния риск от създаване на зависимост от технологии, свързани с изкопаеми горива, и от изместване на инвестициите в по-екологосъобразни и иновативни алтернативи, налични на пазара. </w:t>
      </w:r>
    </w:p>
    <w:p w14:paraId="29D8F6FD" w14:textId="77777777" w:rsidR="004B2EF3" w:rsidRPr="00AD5646" w:rsidRDefault="004B2EF3" w:rsidP="00AD5646">
      <w:pPr>
        <w:tabs>
          <w:tab w:val="left" w:leader="dot" w:pos="9072"/>
        </w:tabs>
        <w:spacing w:before="120" w:after="120"/>
        <w:ind w:left="1080"/>
        <w:jc w:val="both"/>
        <w:rPr>
          <w:color w:val="000000"/>
        </w:rPr>
      </w:pPr>
      <w:bookmarkStart w:id="15" w:name="_Hlk165969860"/>
      <w:r>
        <w:rPr>
          <w:color w:val="000000"/>
        </w:rPr>
        <w:tab/>
      </w:r>
    </w:p>
    <w:bookmarkEnd w:id="15"/>
    <w:p w14:paraId="10688268" w14:textId="77777777" w:rsidR="00C33721" w:rsidRPr="00681731" w:rsidRDefault="00C33721" w:rsidP="00C33721">
      <w:pPr>
        <w:ind w:left="-567"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2399088F" w:rsidR="00C33721" w:rsidRPr="00265702" w:rsidRDefault="005B0FA8" w:rsidP="00AD5646">
            <w:pPr>
              <w:pStyle w:val="Heading1"/>
              <w:ind w:left="788" w:right="-28" w:hanging="357"/>
              <w:rPr>
                <w:b w:val="0"/>
                <w:i/>
                <w:color w:val="000000"/>
                <w:sz w:val="28"/>
                <w:szCs w:val="28"/>
              </w:rPr>
            </w:pPr>
            <w:r>
              <w:rPr>
                <w:i/>
                <w:color w:val="000000"/>
                <w:sz w:val="28"/>
              </w:rPr>
              <w:t>Раздел В: Оценка</w:t>
            </w:r>
          </w:p>
        </w:tc>
      </w:tr>
    </w:tbl>
    <w:p w14:paraId="0E74647B" w14:textId="4714C7EA" w:rsidR="00E752D3" w:rsidRDefault="00E752D3" w:rsidP="00E752D3">
      <w:pPr>
        <w:tabs>
          <w:tab w:val="left" w:leader="dot" w:pos="9072"/>
        </w:tabs>
        <w:spacing w:before="120" w:after="120"/>
        <w:jc w:val="both"/>
      </w:pPr>
      <w:r>
        <w:rPr>
          <w:i/>
        </w:rPr>
        <w:t>За да предоставите информацията в настоящия раздел, моля, вижте глава 5 (точки 455—463) от CEEAG.</w:t>
      </w:r>
    </w:p>
    <w:p w14:paraId="3B148946" w14:textId="6DA2827A" w:rsidR="005B1125" w:rsidRDefault="005B1125" w:rsidP="00BC0346">
      <w:pPr>
        <w:pStyle w:val="ListParagraph"/>
        <w:numPr>
          <w:ilvl w:val="0"/>
          <w:numId w:val="44"/>
        </w:numPr>
        <w:spacing w:before="120" w:after="120"/>
        <w:ind w:left="567" w:hanging="567"/>
        <w:contextualSpacing w:val="0"/>
        <w:jc w:val="both"/>
      </w:pPr>
      <w:r>
        <w:t>Ако мярката(мерките), за която(</w:t>
      </w:r>
      <w:proofErr w:type="spellStart"/>
      <w:r>
        <w:t>ито</w:t>
      </w:r>
      <w:proofErr w:type="spellEnd"/>
      <w:r>
        <w:t>) е отправено уведомление, надвишава(т) праговете за бюджет/разходи, посочени в точка 456 от CEEAG, моля, обяснете защо според вас следва да се прилага изключението, посочено в точка 457 от CEEAG, или добавете към настоящия формуляр за уведомление приложение, което включва проект на план за оценка, покриващ обхвата, посочен в точка 458 от CEEAG.</w:t>
      </w:r>
      <w:r w:rsidRPr="00AC286A">
        <w:rPr>
          <w:rStyle w:val="FootnoteReference"/>
          <w:lang w:eastAsia="en-GB"/>
        </w:rPr>
        <w:footnoteReference w:id="16"/>
      </w:r>
    </w:p>
    <w:p w14:paraId="7EAD398C" w14:textId="77777777" w:rsidR="00AD5646" w:rsidRPr="00AC1973" w:rsidRDefault="00AD5646" w:rsidP="00AD5646">
      <w:pPr>
        <w:tabs>
          <w:tab w:val="left" w:leader="dot" w:pos="9072"/>
        </w:tabs>
        <w:spacing w:before="120" w:after="120"/>
        <w:ind w:left="567"/>
        <w:jc w:val="both"/>
      </w:pPr>
      <w:r>
        <w:tab/>
      </w:r>
    </w:p>
    <w:p w14:paraId="29A138B1" w14:textId="5018DA1E" w:rsidR="005B1125" w:rsidRDefault="005B1125" w:rsidP="00BC0346">
      <w:pPr>
        <w:pStyle w:val="ListParagraph"/>
        <w:numPr>
          <w:ilvl w:val="0"/>
          <w:numId w:val="45"/>
        </w:numPr>
        <w:spacing w:before="120" w:after="120"/>
        <w:ind w:left="567" w:hanging="567"/>
        <w:contextualSpacing w:val="0"/>
        <w:jc w:val="both"/>
      </w:pPr>
      <w:r>
        <w:lastRenderedPageBreak/>
        <w:t>Ако е представен проект на план за оценка:</w:t>
      </w:r>
    </w:p>
    <w:p w14:paraId="2908B272" w14:textId="6B17EC45" w:rsidR="005B1125" w:rsidRDefault="00BC0346" w:rsidP="00BC0346">
      <w:pPr>
        <w:pStyle w:val="ListParagraph"/>
        <w:numPr>
          <w:ilvl w:val="0"/>
          <w:numId w:val="46"/>
        </w:numPr>
        <w:spacing w:before="120" w:after="120"/>
        <w:contextualSpacing w:val="0"/>
        <w:jc w:val="both"/>
      </w:pPr>
      <w:r>
        <w:t>моля, представете по-долу резюме на този проект на план за оценка, включен в приложението;</w:t>
      </w:r>
    </w:p>
    <w:p w14:paraId="55469442"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57944573" w14:textId="72B8D967" w:rsidR="005B1125" w:rsidRDefault="00BC0346" w:rsidP="00BC0346">
      <w:pPr>
        <w:pStyle w:val="ListParagraph"/>
        <w:numPr>
          <w:ilvl w:val="0"/>
          <w:numId w:val="46"/>
        </w:numPr>
        <w:spacing w:before="120" w:after="120"/>
        <w:contextualSpacing w:val="0"/>
        <w:jc w:val="both"/>
      </w:pPr>
      <w:r>
        <w:t>моля, потвърдете, че ще бъде спазена точка 460 от CEEAG;</w:t>
      </w:r>
    </w:p>
    <w:p w14:paraId="79C8841F"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2149300C" w14:textId="7EA80A87" w:rsidR="005B1125" w:rsidRDefault="00BC0346" w:rsidP="00BC0346">
      <w:pPr>
        <w:pStyle w:val="ListParagraph"/>
        <w:numPr>
          <w:ilvl w:val="0"/>
          <w:numId w:val="46"/>
        </w:numPr>
        <w:spacing w:before="120" w:after="120"/>
        <w:contextualSpacing w:val="0"/>
        <w:jc w:val="both"/>
      </w:pPr>
      <w:r>
        <w:t>моля, посочете датата и интернет връзката, на която планът за оценка ще бъде публично достъпен.</w:t>
      </w:r>
    </w:p>
    <w:p w14:paraId="392B2683" w14:textId="77777777" w:rsidR="00BC0346" w:rsidRPr="00AD5646" w:rsidRDefault="00BC0346" w:rsidP="00BC0346">
      <w:pPr>
        <w:tabs>
          <w:tab w:val="left" w:leader="dot" w:pos="9072"/>
        </w:tabs>
        <w:spacing w:before="120" w:after="120"/>
        <w:ind w:left="1080"/>
        <w:jc w:val="both"/>
        <w:rPr>
          <w:color w:val="000000"/>
        </w:rPr>
      </w:pPr>
      <w:r>
        <w:rPr>
          <w:color w:val="000000"/>
        </w:rPr>
        <w:tab/>
      </w:r>
    </w:p>
    <w:p w14:paraId="13D817E5" w14:textId="6DF200ED" w:rsidR="005B1125" w:rsidRPr="0051324D" w:rsidRDefault="005B1125" w:rsidP="005D3A8D">
      <w:pPr>
        <w:pStyle w:val="ListParagraph"/>
        <w:numPr>
          <w:ilvl w:val="0"/>
          <w:numId w:val="45"/>
        </w:numPr>
        <w:spacing w:before="120" w:after="120"/>
        <w:ind w:left="567" w:hanging="567"/>
        <w:contextualSpacing w:val="0"/>
        <w:jc w:val="both"/>
      </w:pPr>
      <w:r>
        <w:t xml:space="preserve">За да се провери съответствието с точка 459, буква б) от CEEAG, в случай че схемата за помощ понастоящем не подлежи на последваща оценка и нейният срок на действие надхвърля три години, моля, потвърдете, че ще изпратите проект на план за оценка в срок от 30 работни дни след всяка значителна промяна, с която бюджетът на схемата се увеличава до стойност над 150 милиона евро за дадена година или 750 милиона евро за целия срок на действие на схемата. </w:t>
      </w:r>
    </w:p>
    <w:p w14:paraId="64197818" w14:textId="77777777" w:rsidR="005B1125" w:rsidRPr="0051324D" w:rsidRDefault="005B1125" w:rsidP="005B1125">
      <w:pPr>
        <w:tabs>
          <w:tab w:val="left" w:leader="dot" w:pos="9072"/>
        </w:tabs>
        <w:spacing w:before="120" w:after="120"/>
        <w:ind w:left="567"/>
        <w:jc w:val="both"/>
      </w:pPr>
      <w:r>
        <w:tab/>
      </w:r>
    </w:p>
    <w:p w14:paraId="40210AA2" w14:textId="7C1E1E18" w:rsidR="005B1125" w:rsidRPr="0051324D" w:rsidRDefault="005B1125" w:rsidP="005D3A8D">
      <w:pPr>
        <w:pStyle w:val="ListParagraph"/>
        <w:numPr>
          <w:ilvl w:val="0"/>
          <w:numId w:val="45"/>
        </w:numPr>
        <w:spacing w:before="120" w:after="120"/>
        <w:ind w:left="567" w:hanging="567"/>
        <w:contextualSpacing w:val="0"/>
        <w:jc w:val="both"/>
      </w:pPr>
      <w:r>
        <w:t xml:space="preserve">За да се провери съответствието с точка 459, буква в) от CEEAG, в случай че схемата за помощ понастоящем не подлежи на последваща оценка, моля, представете по-долу ангажимент, че държавата членка ще изпрати проект на план за оценка в срок от 30 работни дни след отчитане в официалните сметки на разходи, които надвишават 150 милиона евро за предходната година. </w:t>
      </w:r>
    </w:p>
    <w:p w14:paraId="4EA1C17E" w14:textId="77777777" w:rsidR="005B1125" w:rsidRPr="0051324D" w:rsidRDefault="005B1125" w:rsidP="005B1125">
      <w:pPr>
        <w:tabs>
          <w:tab w:val="left" w:leader="dot" w:pos="9072"/>
        </w:tabs>
        <w:spacing w:before="120" w:after="120"/>
        <w:ind w:left="567"/>
        <w:jc w:val="both"/>
      </w:pPr>
      <w:r>
        <w:tab/>
      </w:r>
    </w:p>
    <w:p w14:paraId="2E88D40B" w14:textId="77777777" w:rsidR="005B1125" w:rsidRPr="0051324D" w:rsidRDefault="005B1125" w:rsidP="005D3A8D">
      <w:pPr>
        <w:pStyle w:val="ListParagraph"/>
        <w:numPr>
          <w:ilvl w:val="0"/>
          <w:numId w:val="45"/>
        </w:numPr>
        <w:spacing w:before="120" w:after="120"/>
        <w:ind w:left="567" w:hanging="567"/>
        <w:contextualSpacing w:val="0"/>
        <w:jc w:val="both"/>
      </w:pPr>
      <w:r>
        <w:t>За да се провери съответствието с точка 461 от CEEAG:</w:t>
      </w:r>
    </w:p>
    <w:p w14:paraId="523B7898" w14:textId="4DB1F92C" w:rsidR="005B1125" w:rsidRPr="0051324D" w:rsidRDefault="005B1125" w:rsidP="005D3A8D">
      <w:pPr>
        <w:pStyle w:val="ListParagraph"/>
        <w:numPr>
          <w:ilvl w:val="0"/>
          <w:numId w:val="47"/>
        </w:numPr>
        <w:spacing w:before="120" w:after="120"/>
        <w:contextualSpacing w:val="0"/>
        <w:jc w:val="both"/>
      </w:pPr>
      <w:r>
        <w:t>моля, пояснете дали независимият експерт вече е избран или ще бъде избран в бъдеще;</w:t>
      </w:r>
    </w:p>
    <w:p w14:paraId="4E8E4DD0"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44C024C" w14:textId="77777777" w:rsidR="005B1125" w:rsidRPr="0051324D" w:rsidRDefault="005B1125" w:rsidP="005D3A8D">
      <w:pPr>
        <w:pStyle w:val="ListParagraph"/>
        <w:numPr>
          <w:ilvl w:val="0"/>
          <w:numId w:val="47"/>
        </w:numPr>
        <w:spacing w:before="120" w:after="120"/>
        <w:contextualSpacing w:val="0"/>
        <w:jc w:val="both"/>
      </w:pPr>
      <w:r>
        <w:t>моля, представете информация относно процедурата за избор на експерт;</w:t>
      </w:r>
    </w:p>
    <w:p w14:paraId="3301005E"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4877D90F" w14:textId="77777777" w:rsidR="005B1125" w:rsidRPr="0051324D" w:rsidRDefault="005B1125" w:rsidP="005D3A8D">
      <w:pPr>
        <w:pStyle w:val="ListParagraph"/>
        <w:numPr>
          <w:ilvl w:val="0"/>
          <w:numId w:val="47"/>
        </w:numPr>
        <w:spacing w:before="120" w:after="120"/>
        <w:contextualSpacing w:val="0"/>
        <w:jc w:val="both"/>
      </w:pPr>
      <w:r>
        <w:t xml:space="preserve">моля, обосновете по какъв начин експертът е независим от органа, предоставящ държавната помощ; </w:t>
      </w:r>
    </w:p>
    <w:p w14:paraId="38CEF628" w14:textId="77777777" w:rsidR="005B1125" w:rsidRPr="005D3A8D" w:rsidRDefault="005B1125" w:rsidP="005D3A8D">
      <w:pPr>
        <w:tabs>
          <w:tab w:val="left" w:leader="dot" w:pos="9072"/>
        </w:tabs>
        <w:spacing w:before="120" w:after="120"/>
        <w:ind w:left="1080"/>
        <w:jc w:val="both"/>
        <w:rPr>
          <w:color w:val="000000"/>
        </w:rPr>
      </w:pPr>
      <w:r>
        <w:rPr>
          <w:color w:val="000000"/>
        </w:rPr>
        <w:tab/>
      </w:r>
    </w:p>
    <w:p w14:paraId="2C51B57F" w14:textId="6B57F3DF" w:rsidR="005B1125" w:rsidRPr="0051324D" w:rsidRDefault="005B1125" w:rsidP="00CC6CA7">
      <w:pPr>
        <w:pStyle w:val="ListParagraph"/>
        <w:numPr>
          <w:ilvl w:val="0"/>
          <w:numId w:val="47"/>
        </w:numPr>
        <w:spacing w:before="120" w:after="120"/>
        <w:contextualSpacing w:val="0"/>
        <w:jc w:val="both"/>
      </w:pPr>
      <w:r>
        <w:t>моля, посочете предложените от вас срокове за представяне на междинния и окончателния доклад за оценка. Моля, обърнете внимание, че окончателният доклад за оценка трябва да бъде представен на Комисията своевременно, за да може тя да оцени възможното удължаване на схемата за помощ, и най-късно девет месеца преди да изтече срокът на действие на схемата, в съответствие с точка 463 от CEEAG. Моля, имайте предвид, че този срок може да бъде съкратен за схеми, при които изискването за оценка се задейства през последните две години от тяхното изпълнение;</w:t>
      </w:r>
    </w:p>
    <w:p w14:paraId="55AC987C" w14:textId="77777777" w:rsidR="005B1125" w:rsidRPr="0051324D" w:rsidRDefault="005B1125" w:rsidP="002A6F78">
      <w:pPr>
        <w:tabs>
          <w:tab w:val="left" w:leader="dot" w:pos="9072"/>
        </w:tabs>
        <w:spacing w:before="120" w:after="120"/>
        <w:ind w:left="1080"/>
        <w:jc w:val="both"/>
      </w:pPr>
      <w:r>
        <w:t xml:space="preserve"> </w:t>
      </w:r>
      <w:r>
        <w:rPr>
          <w:color w:val="000000"/>
        </w:rPr>
        <w:tab/>
      </w:r>
    </w:p>
    <w:p w14:paraId="5962B499" w14:textId="77777777" w:rsidR="005B1125" w:rsidRPr="0051324D" w:rsidRDefault="005B1125" w:rsidP="00CC6CA7">
      <w:pPr>
        <w:pStyle w:val="ListParagraph"/>
        <w:numPr>
          <w:ilvl w:val="0"/>
          <w:numId w:val="47"/>
        </w:numPr>
        <w:spacing w:before="120" w:after="120"/>
        <w:contextualSpacing w:val="0"/>
        <w:jc w:val="both"/>
      </w:pPr>
      <w:r>
        <w:lastRenderedPageBreak/>
        <w:t xml:space="preserve">моля, потвърдете, че междинният и окончателният доклад за оценка ще бъдат оповестени публично. Моля, посочете датата и интернет връзката, на която тези доклади ще бъдат публично достъпни. </w:t>
      </w:r>
    </w:p>
    <w:p w14:paraId="10FA3DB0" w14:textId="5FDB90EB" w:rsidR="00627715" w:rsidRDefault="005B1125" w:rsidP="002A6F78">
      <w:pPr>
        <w:tabs>
          <w:tab w:val="left" w:leader="dot" w:pos="9072"/>
        </w:tabs>
        <w:spacing w:before="120" w:after="120"/>
        <w:ind w:left="1080"/>
        <w:jc w:val="both"/>
        <w:rPr>
          <w:color w:val="000000"/>
        </w:rPr>
      </w:pPr>
      <w:r>
        <w:rPr>
          <w:color w:val="000000"/>
        </w:rPr>
        <w:tab/>
      </w:r>
    </w:p>
    <w:p w14:paraId="1941552E" w14:textId="77777777" w:rsidR="00681731" w:rsidRPr="002A6F78" w:rsidRDefault="00681731" w:rsidP="00681731">
      <w:pPr>
        <w:tabs>
          <w:tab w:val="left" w:leader="dot" w:pos="9072"/>
        </w:tabs>
        <w:spacing w:before="120" w:after="120"/>
        <w:jc w:val="both"/>
        <w:rPr>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1E5C9A6D" w:rsidR="00627715" w:rsidRPr="0051324D" w:rsidRDefault="003C6D6A" w:rsidP="002A6F78">
            <w:pPr>
              <w:pStyle w:val="Heading1"/>
              <w:ind w:left="788" w:right="-28" w:hanging="357"/>
              <w:rPr>
                <w:b w:val="0"/>
                <w:i/>
                <w:sz w:val="28"/>
                <w:szCs w:val="28"/>
              </w:rPr>
            </w:pPr>
            <w:r>
              <w:rPr>
                <w:i/>
                <w:color w:val="000000"/>
                <w:sz w:val="28"/>
              </w:rPr>
              <w:t>Раздел Г: Докладване и мониторинг</w:t>
            </w:r>
          </w:p>
        </w:tc>
      </w:tr>
    </w:tbl>
    <w:p w14:paraId="3310B87F" w14:textId="3F3A3FF8" w:rsidR="003C6D6A" w:rsidRPr="0051324D" w:rsidRDefault="003C6D6A" w:rsidP="002A6F78">
      <w:pPr>
        <w:tabs>
          <w:tab w:val="left" w:leader="dot" w:pos="9072"/>
        </w:tabs>
        <w:spacing w:before="120" w:after="120"/>
        <w:jc w:val="both"/>
      </w:pPr>
      <w:bookmarkStart w:id="16" w:name="_Hlk166084968"/>
      <w:r>
        <w:rPr>
          <w:i/>
        </w:rPr>
        <w:t>За да предоставите информацията в настоящия раздел, моля, вижте раздел 6 (точки 464 и 465) от CEEAG.</w:t>
      </w:r>
    </w:p>
    <w:bookmarkEnd w:id="16"/>
    <w:p w14:paraId="2382A61F" w14:textId="37622A62" w:rsidR="003C6D6A" w:rsidRDefault="003C6D6A" w:rsidP="002A6F78">
      <w:pPr>
        <w:pStyle w:val="ListParagraph"/>
        <w:numPr>
          <w:ilvl w:val="0"/>
          <w:numId w:val="45"/>
        </w:numPr>
        <w:spacing w:before="120" w:after="120"/>
        <w:ind w:left="567" w:hanging="567"/>
        <w:contextualSpacing w:val="0"/>
        <w:jc w:val="both"/>
      </w:pPr>
      <w:r>
        <w:t>Моля, потвърдете, че държавата членка ще спазва изискванията за докладване и мониторинг, посочени в раздел 6, точки 464 и 465 от CEEAG.</w:t>
      </w:r>
    </w:p>
    <w:p w14:paraId="6B996AF9" w14:textId="094D0464" w:rsidR="00697188" w:rsidRPr="00711243" w:rsidRDefault="002A6F78" w:rsidP="002A6F78">
      <w:pPr>
        <w:tabs>
          <w:tab w:val="left" w:leader="dot" w:pos="9072"/>
        </w:tabs>
        <w:spacing w:before="120" w:after="120"/>
        <w:ind w:left="567"/>
        <w:jc w:val="both"/>
      </w:pPr>
      <w:r>
        <w:tab/>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AFC3" w14:textId="77777777" w:rsidR="007E0593" w:rsidRDefault="007E0593" w:rsidP="000442F5">
      <w:r>
        <w:separator/>
      </w:r>
    </w:p>
  </w:endnote>
  <w:endnote w:type="continuationSeparator" w:id="0">
    <w:p w14:paraId="16386907" w14:textId="77777777" w:rsidR="007E0593" w:rsidRDefault="007E0593" w:rsidP="000442F5">
      <w:r>
        <w:continuationSeparator/>
      </w:r>
    </w:p>
  </w:endnote>
  <w:endnote w:type="continuationNotice" w:id="1">
    <w:p w14:paraId="67B509FD" w14:textId="77777777" w:rsidR="007E0593" w:rsidRDefault="007E0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1BDB5225" w:rsidR="00770302" w:rsidRDefault="00770302">
    <w:pPr>
      <w:pStyle w:val="Footer"/>
      <w:jc w:val="center"/>
    </w:pPr>
    <w:r>
      <w:fldChar w:fldCharType="begin"/>
    </w:r>
    <w:r>
      <w:instrText xml:space="preserve"> PAGE   \* MERGEFORMAT </w:instrText>
    </w:r>
    <w:r>
      <w:fldChar w:fldCharType="separate"/>
    </w:r>
    <w:r w:rsidR="00D4107D">
      <w:t>8</w:t>
    </w:r>
    <w:r>
      <w:fldChar w:fldCharType="end"/>
    </w:r>
  </w:p>
  <w:p w14:paraId="75E356FD" w14:textId="77777777" w:rsidR="00770302" w:rsidRDefault="00770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D798" w14:textId="77777777" w:rsidR="007E0593" w:rsidRDefault="007E0593" w:rsidP="000442F5">
      <w:r>
        <w:separator/>
      </w:r>
    </w:p>
  </w:footnote>
  <w:footnote w:type="continuationSeparator" w:id="0">
    <w:p w14:paraId="0B11616F" w14:textId="77777777" w:rsidR="007E0593" w:rsidRDefault="007E0593" w:rsidP="000442F5">
      <w:r>
        <w:continuationSeparator/>
      </w:r>
    </w:p>
  </w:footnote>
  <w:footnote w:type="continuationNotice" w:id="1">
    <w:p w14:paraId="32B69F87" w14:textId="77777777" w:rsidR="007E0593" w:rsidRDefault="007E0593"/>
  </w:footnote>
  <w:footnote w:id="2">
    <w:p w14:paraId="2E1DAC13" w14:textId="6C7CF231" w:rsidR="00770302" w:rsidRPr="0067348B" w:rsidRDefault="00770302" w:rsidP="007B485D">
      <w:pPr>
        <w:pStyle w:val="FootnoteText"/>
      </w:pPr>
      <w:r>
        <w:rPr>
          <w:rStyle w:val="FootnoteReference"/>
        </w:rPr>
        <w:footnoteRef/>
      </w:r>
      <w:r>
        <w:tab/>
        <w:t>ОВ C 80, 18.2.2022 г., стр. 1.</w:t>
      </w:r>
    </w:p>
  </w:footnote>
  <w:footnote w:id="3">
    <w:p w14:paraId="2A08361A" w14:textId="77777777" w:rsidR="00111EDE" w:rsidRDefault="00111EDE" w:rsidP="00111EDE">
      <w:pPr>
        <w:pStyle w:val="FootnoteText"/>
      </w:pPr>
      <w:r>
        <w:rPr>
          <w:rStyle w:val="FootnoteReference"/>
        </w:rPr>
        <w:footnoteRef/>
      </w:r>
      <w:r>
        <w:tab/>
      </w:r>
      <w:r>
        <w:t xml:space="preserve">Моля, обърнете внимание, че за дадена схема за помощ продължителността е периодът, през който може да се кандидатства за помощ и да се вземе решение за отпускането ѝ (следователно това включва и времето, необходимо на органите да одобрят заявленията за помощ). Продължителността, посочена в настоящия въпрос, не се отнася до продължителността на договорите, сключени в рамките на схемата за помощ, която може да продължи и след изтичането на срока на мярката. </w:t>
      </w:r>
    </w:p>
  </w:footnote>
  <w:footnote w:id="4">
    <w:p w14:paraId="18104C0E" w14:textId="77777777" w:rsidR="00111EDE" w:rsidRPr="0067348B" w:rsidRDefault="00111EDE" w:rsidP="00111EDE">
      <w:pPr>
        <w:pStyle w:val="FootnoteText"/>
      </w:pPr>
      <w:r>
        <w:rPr>
          <w:rStyle w:val="FootnoteReference"/>
        </w:rPr>
        <w:footnoteRef/>
      </w:r>
      <w:r>
        <w:tab/>
      </w:r>
      <w:r>
        <w:t>Моля, имайте предвид, че промяна в действителния или прогнозния бюджет може да представлява изменение на помощта, за което се изисква ново уведомление.</w:t>
      </w:r>
    </w:p>
  </w:footnote>
  <w:footnote w:id="5">
    <w:p w14:paraId="619B015F" w14:textId="77777777" w:rsidR="00B35947" w:rsidRPr="00CC03BD" w:rsidRDefault="00B35947" w:rsidP="00B35947">
      <w:pPr>
        <w:pStyle w:val="FootnoteText"/>
      </w:pPr>
      <w:r>
        <w:rPr>
          <w:rStyle w:val="FootnoteReference"/>
        </w:rPr>
        <w:footnoteRef/>
      </w:r>
      <w:r>
        <w:t xml:space="preserve"> </w:t>
      </w:r>
      <w:r>
        <w:tab/>
      </w:r>
      <w:r>
        <w:t>В бележка под линия 74 се посочва, че инвестициите за един тип сградни компоненти биха могли например да имат за цел подмяна на прозорци или котли в сградата или съсредоточаване върху изолацията на стените.</w:t>
      </w:r>
    </w:p>
  </w:footnote>
  <w:footnote w:id="6">
    <w:p w14:paraId="2024B5EE" w14:textId="0A95B5DE" w:rsidR="006C5D8B" w:rsidRPr="00CF158B" w:rsidRDefault="006C5D8B" w:rsidP="006C5D8B">
      <w:pPr>
        <w:pStyle w:val="FootnoteText"/>
      </w:pPr>
      <w:r>
        <w:rPr>
          <w:rStyle w:val="FootnoteReference"/>
        </w:rPr>
        <w:footnoteRef/>
      </w:r>
      <w:r>
        <w:t xml:space="preserve"> </w:t>
      </w:r>
      <w:r>
        <w:tab/>
      </w:r>
      <w:r>
        <w:t>Моля, обърнете внимание, че в точки 38 и 52, както и в бележки под линия 39 и 45 от CEEAG се предоставят допълнителни насоки за това как следва да се разработи вероятният съпоставителен сценарий.</w:t>
      </w:r>
    </w:p>
  </w:footnote>
  <w:footnote w:id="7">
    <w:p w14:paraId="593783A2" w14:textId="77777777" w:rsidR="005B7459" w:rsidRPr="00114695" w:rsidRDefault="005B7459" w:rsidP="005B7459">
      <w:pPr>
        <w:pStyle w:val="FootnoteText"/>
      </w:pPr>
      <w:r>
        <w:rPr>
          <w:rStyle w:val="FootnoteReference"/>
        </w:rPr>
        <w:footnoteRef/>
      </w:r>
      <w:r>
        <w:t xml:space="preserve"> </w:t>
      </w:r>
      <w:r>
        <w:tab/>
      </w:r>
      <w:r>
        <w:t>Определение за „референтен проект“ се съдържа в точка 19, подточка 63 от CEEAG.</w:t>
      </w:r>
    </w:p>
  </w:footnote>
  <w:footnote w:id="8">
    <w:p w14:paraId="0BFAE3BE" w14:textId="77777777" w:rsidR="006C5D8B" w:rsidRDefault="006C5D8B" w:rsidP="006C5D8B">
      <w:pPr>
        <w:pStyle w:val="FootnoteText"/>
      </w:pPr>
      <w:r>
        <w:rPr>
          <w:rStyle w:val="FootnoteReference"/>
        </w:rPr>
        <w:footnoteRef/>
      </w:r>
      <w:r>
        <w:t xml:space="preserve"> </w:t>
      </w:r>
      <w:r>
        <w:tab/>
      </w:r>
      <w:r>
        <w:t>Ако разчитате на неотдавнашна състезателна процедура, моля, обяснете как тази тръжна процедура може да се счита за състезателна, включително как са избегнати извънредни печалби за различните технологии, включени в състезателната тръжна процедура, когато е приложимо, и как тя е сравнима, например:</w:t>
      </w:r>
    </w:p>
    <w:p w14:paraId="32FF99E9" w14:textId="09CF0337" w:rsidR="006C5D8B" w:rsidRDefault="006C5D8B" w:rsidP="00BC0346">
      <w:pPr>
        <w:pStyle w:val="FootnoteText"/>
        <w:numPr>
          <w:ilvl w:val="0"/>
          <w:numId w:val="29"/>
        </w:numPr>
      </w:pPr>
      <w:r>
        <w:t>условията (например условията и продължителността на договора, крайните срокове за инвестиране, дали плащанията за подпомагане са били индексирани спрямо инфлацията или не) сходни ли са били с предложените в мярката(мерките), за която(</w:t>
      </w:r>
      <w:proofErr w:type="spellStart"/>
      <w:r>
        <w:t>ито</w:t>
      </w:r>
      <w:proofErr w:type="spellEnd"/>
      <w:r>
        <w:t>) е отправено уведомление?</w:t>
      </w:r>
    </w:p>
    <w:p w14:paraId="12C047BB" w14:textId="77777777" w:rsidR="006C5D8B" w:rsidRDefault="006C5D8B" w:rsidP="00BC0346">
      <w:pPr>
        <w:pStyle w:val="FootnoteText"/>
        <w:numPr>
          <w:ilvl w:val="0"/>
          <w:numId w:val="29"/>
        </w:numPr>
      </w:pPr>
      <w:r>
        <w:t>състезателната процедура проведена ли е при сходни макроикономически условия?</w:t>
      </w:r>
    </w:p>
    <w:p w14:paraId="758C7A5E" w14:textId="77777777" w:rsidR="006C5D8B" w:rsidRDefault="006C5D8B" w:rsidP="00BC0346">
      <w:pPr>
        <w:pStyle w:val="FootnoteText"/>
        <w:numPr>
          <w:ilvl w:val="0"/>
          <w:numId w:val="29"/>
        </w:numPr>
      </w:pPr>
      <w:r>
        <w:t>технологиите/видовете проекти сходни ли са били?</w:t>
      </w:r>
    </w:p>
  </w:footnote>
  <w:footnote w:id="9">
    <w:p w14:paraId="590F3FC7" w14:textId="30CB4935" w:rsidR="00770302" w:rsidRPr="003D1C23" w:rsidRDefault="00770302" w:rsidP="00821F07">
      <w:pPr>
        <w:pStyle w:val="FootnoteText"/>
      </w:pPr>
      <w:r>
        <w:rPr>
          <w:rStyle w:val="FootnoteReference"/>
        </w:rPr>
        <w:footnoteRef/>
      </w:r>
      <w:r>
        <w:t xml:space="preserve"> </w:t>
      </w:r>
      <w:r>
        <w:tab/>
      </w:r>
      <w:r>
        <w:t>Съгласно точка 19, подточка 89 от CEEAG „стандарт на Съюза“ означава:</w:t>
      </w:r>
    </w:p>
    <w:p w14:paraId="340A0B20" w14:textId="77777777" w:rsidR="00770302" w:rsidRPr="003D1C23" w:rsidRDefault="00770302" w:rsidP="00BC0346">
      <w:pPr>
        <w:pStyle w:val="FootnoteText"/>
        <w:numPr>
          <w:ilvl w:val="0"/>
          <w:numId w:val="26"/>
        </w:numPr>
      </w:pPr>
      <w:r>
        <w:t>задължителен стандарт на Съюза, въз основа на който се определят равнищата, които отделните предприятия трябва да постигнат в екологично отношение, с изключение на стандартите или целите, определени на равнището на Съюза, задължителни за държавите членки, но не и за отделните предприятия;</w:t>
      </w:r>
    </w:p>
    <w:p w14:paraId="02AC4E0B" w14:textId="609C0B25" w:rsidR="00770302" w:rsidRPr="003D1C23" w:rsidRDefault="00770302" w:rsidP="00BC0346">
      <w:pPr>
        <w:pStyle w:val="FootnoteText"/>
        <w:numPr>
          <w:ilvl w:val="0"/>
          <w:numId w:val="26"/>
        </w:numPr>
      </w:pPr>
      <w:r>
        <w:t>задължението да се използват най-добрите налични техники (НДНТ), определени в Директива 2010/75/ЕС, и да се гарантира, че нивата на емисиите не надвишават нивата, които биха били постигнати при прилагане на НДНТ; когато равнищата на емисиите при използване на НДНТ са определени в актовете за изпълнение, приети по Директива 2010/75/ЕС или по други приложими директиви, тези равнища ще бъдат приложими за целите на настоящите насоки; когато тези равнища са изразени като диапазон, ще се прилага пределната стойност, постигната за първи път с НДНТ за съответното предприятие.</w:t>
      </w:r>
    </w:p>
  </w:footnote>
  <w:footnote w:id="10">
    <w:p w14:paraId="6853F00F" w14:textId="1EBBBF50" w:rsidR="00770302" w:rsidRPr="007E4A3E" w:rsidRDefault="00770302">
      <w:pPr>
        <w:pStyle w:val="FootnoteText"/>
      </w:pPr>
      <w:r>
        <w:rPr>
          <w:rStyle w:val="FootnoteReference"/>
        </w:rPr>
        <w:footnoteRef/>
      </w:r>
      <w:r>
        <w:t xml:space="preserve"> </w:t>
      </w:r>
      <w:r>
        <w:tab/>
      </w:r>
      <w:r>
        <w:t>Периодът на възвръщаемост е времето, необходимо за възстановяване на разходите за дадена инвестиция (без помощ).</w:t>
      </w:r>
    </w:p>
  </w:footnote>
  <w:footnote w:id="11">
    <w:p w14:paraId="2937680B" w14:textId="77777777" w:rsidR="006C2F85" w:rsidRPr="0095488F" w:rsidRDefault="006C2F85" w:rsidP="006C2F85">
      <w:pPr>
        <w:pStyle w:val="FootnoteText"/>
      </w:pPr>
      <w:r>
        <w:rPr>
          <w:rStyle w:val="FootnoteReference"/>
        </w:rPr>
        <w:footnoteRef/>
      </w:r>
      <w:r>
        <w:t xml:space="preserve"> </w:t>
      </w:r>
      <w:r>
        <w:tab/>
      </w:r>
      <w:r>
        <w:t>Моля, направете справка и с допълнителната информация в точки 51—53, както и в бележки под линия 45 и 46 от CEEAG.</w:t>
      </w:r>
    </w:p>
  </w:footnote>
  <w:footnote w:id="12">
    <w:p w14:paraId="739A8028" w14:textId="082B93E2" w:rsidR="009A7FA6" w:rsidRPr="007D07E2" w:rsidRDefault="009A7FA6" w:rsidP="009A7FA6">
      <w:pPr>
        <w:pStyle w:val="FootnoteText"/>
      </w:pPr>
      <w:r>
        <w:rPr>
          <w:rStyle w:val="FootnoteReference"/>
        </w:rPr>
        <w:footnoteRef/>
      </w:r>
      <w:r>
        <w:t xml:space="preserve"> </w:t>
      </w:r>
      <w:r>
        <w:tab/>
      </w:r>
      <w:r>
        <w:t>Моля, обърнете внимание, че в точки 38, 52, 165, 166 и 167, както и в бележки под линия 39 и 45 от CEEAG се предоставят допълнителни насоки за това как следва да се разработи вероятният съпоставителен сценарий.</w:t>
      </w:r>
    </w:p>
  </w:footnote>
  <w:footnote w:id="13">
    <w:p w14:paraId="68255F0B" w14:textId="33EEB9D6" w:rsidR="005679B2" w:rsidRDefault="005679B2" w:rsidP="005679B2">
      <w:pPr>
        <w:pStyle w:val="FootnoteText"/>
      </w:pPr>
      <w:r>
        <w:rPr>
          <w:rStyle w:val="FootnoteReference"/>
        </w:rPr>
        <w:footnoteRef/>
      </w:r>
      <w:r>
        <w:t xml:space="preserve"> </w:t>
      </w:r>
      <w:r>
        <w:tab/>
      </w:r>
      <w:r>
        <w:t>Моля, обърнете внимание, че в бележка под линия 44 от CEEAG се посочва, че: „</w:t>
      </w:r>
      <w:r>
        <w:rPr>
          <w:i/>
          <w:color w:val="000000"/>
          <w:shd w:val="clear" w:color="auto" w:fill="FFFFFF"/>
        </w:rPr>
        <w:t>Когато оценяват единиците опазване на околната среда, държавите членки могат например да разработят методика, която отчита емисиите или друго замърсяване на различни етапи от подпомаганата икономическа дейност, времето за осъществяване на проекта или разходите за интегриране на системата. Когато определят взаимовръзка между приноса към основните цели и размера на исканата помощ, държавите членки могат например да претеглят различните обективни критерии и да изберат въз основа на размера на помощта за единица среднопретеглена стойност на обективните критерии или да изберат измежду ограничен набор от оферти с най-нисък размер на помощта за единица обективни критерии тези с най-високи оценки по обективните критерии. Параметрите на всеки подобен подход трябва да бъдат калибрирани, за да се гарантира, че тръжната процедура остава недискриминационна, ефективно конкурентна и отразява икономическата стойност.“</w:t>
      </w:r>
    </w:p>
  </w:footnote>
  <w:footnote w:id="14">
    <w:p w14:paraId="7C525AD8" w14:textId="7D6CBC42" w:rsidR="004345D1" w:rsidRDefault="004345D1" w:rsidP="004345D1">
      <w:pPr>
        <w:pStyle w:val="FootnoteText"/>
      </w:pPr>
      <w:r>
        <w:rPr>
          <w:rStyle w:val="FootnoteReference"/>
        </w:rPr>
        <w:footnoteRef/>
      </w:r>
      <w:r>
        <w:tab/>
      </w:r>
      <w:r>
        <w:t>Финансиране от Съюза, което се управлява централизирано, представлява финансиране от Съюза, което се управлява централно от институции, агенции, съвместни предприятия или други органи на Европейски съюз и което не се намира пряко или непряко под контрола на държавата членка.</w:t>
      </w:r>
    </w:p>
  </w:footnote>
  <w:footnote w:id="15">
    <w:p w14:paraId="67F58827" w14:textId="11D260F2" w:rsidR="001A0689" w:rsidRPr="008772CC" w:rsidRDefault="001A0689" w:rsidP="001A0689">
      <w:pPr>
        <w:pStyle w:val="FootnoteText"/>
      </w:pPr>
      <w:r>
        <w:rPr>
          <w:rStyle w:val="FootnoteReference"/>
        </w:rPr>
        <w:footnoteRef/>
      </w:r>
      <w:r>
        <w:t xml:space="preserve"> </w:t>
      </w:r>
      <w:r>
        <w:tab/>
      </w:r>
      <w:r>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 (ОВ L 198, 22.6.2020 г., стр. 13).</w:t>
      </w:r>
    </w:p>
  </w:footnote>
  <w:footnote w:id="16">
    <w:p w14:paraId="2031DE19" w14:textId="508259E6" w:rsidR="005B1125" w:rsidRDefault="005B1125" w:rsidP="005B1125">
      <w:pPr>
        <w:pStyle w:val="FootnoteText"/>
      </w:pPr>
      <w:r>
        <w:rPr>
          <w:rStyle w:val="FootnoteReference"/>
        </w:rPr>
        <w:footnoteRef/>
      </w:r>
      <w:r>
        <w:t xml:space="preserve"> </w:t>
      </w:r>
      <w:r>
        <w:tab/>
      </w:r>
      <w:r>
        <w:t xml:space="preserve">Образецът на формуляра за допълнителна информация за отправяне на уведомление за план за оценка (част III.8) е достъпен на следния адрес: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770302" w:rsidRDefault="00770302"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F7EBA"/>
    <w:multiLevelType w:val="hybridMultilevel"/>
    <w:tmpl w:val="C9A8BE38"/>
    <w:lvl w:ilvl="0" w:tplc="7564FC10">
      <w:start w:val="53"/>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88574B9"/>
    <w:multiLevelType w:val="hybridMultilevel"/>
    <w:tmpl w:val="C6EE3B4C"/>
    <w:lvl w:ilvl="0" w:tplc="E29C20F2">
      <w:start w:val="54"/>
      <w:numFmt w:val="decimal"/>
      <w:lvlText w:val="%1."/>
      <w:lvlJc w:val="left"/>
      <w:pPr>
        <w:ind w:left="720" w:hanging="360"/>
      </w:pPr>
      <w:rPr>
        <w:rFonts w:hint="default"/>
        <w:b/>
        <w:i w:val="0"/>
      </w:rPr>
    </w:lvl>
    <w:lvl w:ilvl="1" w:tplc="FFFFFFFF">
      <w:start w:val="1"/>
      <w:numFmt w:val="lowerRoman"/>
      <w:lvlText w:val="%2."/>
      <w:lvlJc w:val="left"/>
      <w:pPr>
        <w:ind w:left="107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377033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FFC50CE"/>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2D603B32"/>
    <w:lvl w:ilvl="0" w:tplc="0EEE22A0">
      <w:start w:val="1"/>
      <w:numFmt w:val="lowerRoman"/>
      <w:lvlText w:val="%1."/>
      <w:lvlJc w:val="left"/>
      <w:pPr>
        <w:ind w:left="1287" w:hanging="360"/>
      </w:pPr>
      <w:rPr>
        <w:rFonts w:ascii="Times New Roman" w:hAnsi="Times New Roman" w:hint="default"/>
        <w:b w:val="0"/>
        <w:i w:val="0"/>
        <w:sz w:val="24"/>
      </w:rPr>
    </w:lvl>
    <w:lvl w:ilvl="1" w:tplc="691608E0">
      <w:start w:val="1"/>
      <mc:AlternateContent>
        <mc:Choice Requires="w14">
          <w:numFmt w:val="custom" w:format="а, й, к, ..."/>
        </mc:Choice>
        <mc:Fallback>
          <w:numFmt w:val="decimal"/>
        </mc:Fallback>
      </mc:AlternateContent>
      <w:lvlText w:val="%2."/>
      <w:lvlJc w:val="left"/>
      <w:pPr>
        <w:ind w:left="2007" w:hanging="360"/>
      </w:pPr>
      <w:rPr>
        <w:rFonts w:hint="default"/>
      </w:rPr>
    </w:lvl>
    <w:lvl w:ilvl="2" w:tplc="69BCCC38">
      <w:start w:val="1"/>
      <mc:AlternateContent>
        <mc:Choice Requires="w14">
          <w:numFmt w:val="custom" w:format="А, Й, К, ..."/>
        </mc:Choice>
        <mc:Fallback>
          <w:numFmt w:val="decimal"/>
        </mc:Fallback>
      </mc:AlternateContent>
      <w:lvlText w:val="%3)"/>
      <w:lvlJc w:val="left"/>
      <w:pPr>
        <w:ind w:left="2907" w:hanging="360"/>
      </w:pPr>
      <w:rPr>
        <w:rFonts w:hint="default"/>
      </w:rPr>
    </w:lvl>
    <w:lvl w:ilvl="3" w:tplc="BD60C2F4">
      <w:start w:val="1"/>
      <w:numFmt w:val="lowerRoman"/>
      <w:lvlText w:val="%4)"/>
      <w:lvlJc w:val="left"/>
      <w:pPr>
        <w:ind w:left="3807" w:hanging="720"/>
      </w:pPr>
      <w:rPr>
        <w:rFonts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271C36"/>
    <w:multiLevelType w:val="hybridMultilevel"/>
    <w:tmpl w:val="34CE4186"/>
    <w:lvl w:ilvl="0" w:tplc="4A0E8710">
      <w:start w:val="1"/>
      <w:numFmt w:val="upperLetter"/>
      <w:lvlText w:val="%1."/>
      <w:lvlJc w:val="left"/>
      <w:pPr>
        <w:ind w:left="1077" w:hanging="360"/>
      </w:pPr>
      <w:rPr>
        <w:rFonts w:hint="default"/>
        <w:b/>
        <w:i w:val="0"/>
      </w:rPr>
    </w:lvl>
    <w:lvl w:ilvl="1" w:tplc="18090019">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8" w15:restartNumberingAfterBreak="0">
    <w:nsid w:val="283C4A6D"/>
    <w:multiLevelType w:val="multilevel"/>
    <w:tmpl w:val="F9D4CD7C"/>
    <w:lvl w:ilvl="0">
      <w:start w:val="2"/>
      <w:numFmt w:val="decimal"/>
      <w:lvlText w:val="%1."/>
      <w:lvlJc w:val="left"/>
      <w:pPr>
        <w:ind w:left="540" w:hanging="540"/>
      </w:pPr>
      <w:rPr>
        <w:rFonts w:hint="default"/>
      </w:rPr>
    </w:lvl>
    <w:lvl w:ilvl="1">
      <w:start w:val="1"/>
      <w:numFmt w:val="decimal"/>
      <w:lvlText w:val="%1.%2."/>
      <w:lvlJc w:val="left"/>
      <w:pPr>
        <w:ind w:left="934" w:hanging="540"/>
      </w:pPr>
      <w:rPr>
        <w:rFonts w:hint="default"/>
      </w:rPr>
    </w:lvl>
    <w:lvl w:ilvl="2">
      <w:start w:val="4"/>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9" w15:restartNumberingAfterBreak="0">
    <w:nsid w:val="2BDD00CF"/>
    <w:multiLevelType w:val="hybridMultilevel"/>
    <w:tmpl w:val="1F2064DE"/>
    <w:lvl w:ilvl="0" w:tplc="C99CEE36">
      <w:start w:val="1"/>
      <w:numFmt w:val="lowerRoman"/>
      <w:lvlText w:val="%1."/>
      <w:lvlJc w:val="left"/>
      <w:pPr>
        <w:ind w:left="1080" w:hanging="360"/>
      </w:pPr>
      <w:rPr>
        <w:rFonts w:ascii="Times New Roman" w:hAnsi="Times New Roman" w:hint="default"/>
        <w:b w:val="0"/>
        <w:i w:val="0"/>
        <w:sz w:val="24"/>
      </w:rPr>
    </w:lvl>
    <w:lvl w:ilvl="1" w:tplc="691608E0">
      <w:start w:val="1"/>
      <mc:AlternateContent>
        <mc:Choice Requires="w14">
          <w:numFmt w:val="custom" w:format="а, й, к, ..."/>
        </mc:Choice>
        <mc:Fallback>
          <w:numFmt w:val="decimal"/>
        </mc:Fallback>
      </mc:AlternateContent>
      <w:lvlText w:val="%2."/>
      <w:lvlJc w:val="left"/>
      <w:pPr>
        <w:ind w:left="2007" w:hanging="360"/>
      </w:pPr>
      <w:rPr>
        <w:rFonts w:hint="default"/>
      </w:r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EC46380"/>
    <w:multiLevelType w:val="hybridMultilevel"/>
    <w:tmpl w:val="177A10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2" w15:restartNumberingAfterBreak="0">
    <w:nsid w:val="312B69AE"/>
    <w:multiLevelType w:val="multilevel"/>
    <w:tmpl w:val="B756DD8C"/>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955151"/>
    <w:multiLevelType w:val="hybridMultilevel"/>
    <w:tmpl w:val="D8C22F36"/>
    <w:lvl w:ilvl="0" w:tplc="351E406A">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23C56BA"/>
    <w:multiLevelType w:val="hybridMultilevel"/>
    <w:tmpl w:val="1682C7F6"/>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74FB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2E5C7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956659"/>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3D12B8"/>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D089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6" w15:restartNumberingAfterBreak="0">
    <w:nsid w:val="56B65B12"/>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2A06EE"/>
    <w:multiLevelType w:val="hybridMultilevel"/>
    <w:tmpl w:val="90DA8B2E"/>
    <w:lvl w:ilvl="0" w:tplc="0708207C">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A7A552C"/>
    <w:multiLevelType w:val="hybridMultilevel"/>
    <w:tmpl w:val="9F7E30C8"/>
    <w:lvl w:ilvl="0" w:tplc="E1DC3154">
      <w:start w:val="50"/>
      <w:numFmt w:val="decimal"/>
      <w:lvlText w:val="%1."/>
      <w:lvlJc w:val="left"/>
      <w:pPr>
        <w:ind w:left="1070" w:hanging="360"/>
      </w:pPr>
      <w:rPr>
        <w:rFonts w:hint="default"/>
        <w:b/>
        <w:i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6A63355"/>
    <w:multiLevelType w:val="hybridMultilevel"/>
    <w:tmpl w:val="CF0EE4B2"/>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07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A823CC6"/>
    <w:multiLevelType w:val="hybridMultilevel"/>
    <w:tmpl w:val="6F00B8B4"/>
    <w:lvl w:ilvl="0" w:tplc="CBB2EC0A">
      <w:start w:val="1"/>
      <w:numFmt w:val="lowerRoman"/>
      <w:lvlText w:val="%1."/>
      <w:lvlJc w:val="left"/>
      <w:pPr>
        <w:ind w:left="1070" w:hanging="360"/>
      </w:pPr>
      <w:rPr>
        <w:rFonts w:ascii="Times New Roman" w:hAnsi="Times New Roman"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0D44B2D"/>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20F4C"/>
    <w:multiLevelType w:val="hybridMultilevel"/>
    <w:tmpl w:val="6F00B8B4"/>
    <w:lvl w:ilvl="0" w:tplc="FFFFFFFF">
      <w:start w:val="1"/>
      <w:numFmt w:val="lowerRoman"/>
      <w:lvlText w:val="%1."/>
      <w:lvlJc w:val="left"/>
      <w:pPr>
        <w:ind w:left="107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50752698">
    <w:abstractNumId w:val="11"/>
  </w:num>
  <w:num w:numId="2" w16cid:durableId="1330985214">
    <w:abstractNumId w:val="14"/>
  </w:num>
  <w:num w:numId="3" w16cid:durableId="1551724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8152722">
    <w:abstractNumId w:val="41"/>
  </w:num>
  <w:num w:numId="5" w16cid:durableId="9960290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4159366">
    <w:abstractNumId w:val="27"/>
  </w:num>
  <w:num w:numId="7" w16cid:durableId="2031102397">
    <w:abstractNumId w:val="20"/>
  </w:num>
  <w:num w:numId="8" w16cid:durableId="1662810777">
    <w:abstractNumId w:val="10"/>
  </w:num>
  <w:num w:numId="9" w16cid:durableId="1016926466">
    <w:abstractNumId w:val="8"/>
  </w:num>
  <w:num w:numId="10" w16cid:durableId="1096444927">
    <w:abstractNumId w:val="39"/>
  </w:num>
  <w:num w:numId="11" w16cid:durableId="240263598">
    <w:abstractNumId w:val="42"/>
  </w:num>
  <w:num w:numId="12" w16cid:durableId="1068190420">
    <w:abstractNumId w:val="40"/>
  </w:num>
  <w:num w:numId="13" w16cid:durableId="1641612965">
    <w:abstractNumId w:val="44"/>
  </w:num>
  <w:num w:numId="14" w16cid:durableId="340202270">
    <w:abstractNumId w:val="16"/>
  </w:num>
  <w:num w:numId="15" w16cid:durableId="232132564">
    <w:abstractNumId w:val="31"/>
  </w:num>
  <w:num w:numId="16" w16cid:durableId="172426664">
    <w:abstractNumId w:val="4"/>
  </w:num>
  <w:num w:numId="17" w16cid:durableId="1575506200">
    <w:abstractNumId w:val="33"/>
  </w:num>
  <w:num w:numId="18" w16cid:durableId="1380981910">
    <w:abstractNumId w:val="1"/>
  </w:num>
  <w:num w:numId="19" w16cid:durableId="342711477">
    <w:abstractNumId w:val="0"/>
  </w:num>
  <w:num w:numId="20" w16cid:durableId="503252526">
    <w:abstractNumId w:val="3"/>
  </w:num>
  <w:num w:numId="21" w16cid:durableId="1069810368">
    <w:abstractNumId w:val="7"/>
  </w:num>
  <w:num w:numId="22" w16cid:durableId="1502427094">
    <w:abstractNumId w:val="15"/>
  </w:num>
  <w:num w:numId="23" w16cid:durableId="1892114411">
    <w:abstractNumId w:val="22"/>
  </w:num>
  <w:num w:numId="24" w16cid:durableId="1573617101">
    <w:abstractNumId w:val="12"/>
  </w:num>
  <w:num w:numId="25" w16cid:durableId="691415656">
    <w:abstractNumId w:val="19"/>
  </w:num>
  <w:num w:numId="26" w16cid:durableId="2047639237">
    <w:abstractNumId w:val="23"/>
  </w:num>
  <w:num w:numId="27" w16cid:durableId="1492255928">
    <w:abstractNumId w:val="43"/>
  </w:num>
  <w:num w:numId="28" w16cid:durableId="1553690374">
    <w:abstractNumId w:val="5"/>
  </w:num>
  <w:num w:numId="29" w16cid:durableId="1443843654">
    <w:abstractNumId w:val="37"/>
  </w:num>
  <w:num w:numId="30" w16cid:durableId="1132213113">
    <w:abstractNumId w:val="35"/>
  </w:num>
  <w:num w:numId="31" w16cid:durableId="217669527">
    <w:abstractNumId w:val="17"/>
  </w:num>
  <w:num w:numId="32" w16cid:durableId="1530292225">
    <w:abstractNumId w:val="47"/>
  </w:num>
  <w:num w:numId="33" w16cid:durableId="942612414">
    <w:abstractNumId w:val="13"/>
  </w:num>
  <w:num w:numId="34" w16cid:durableId="1940336618">
    <w:abstractNumId w:val="21"/>
  </w:num>
  <w:num w:numId="35" w16cid:durableId="65036042">
    <w:abstractNumId w:val="34"/>
  </w:num>
  <w:num w:numId="36" w16cid:durableId="1130325992">
    <w:abstractNumId w:val="18"/>
  </w:num>
  <w:num w:numId="37" w16cid:durableId="97870637">
    <w:abstractNumId w:val="46"/>
  </w:num>
  <w:num w:numId="38" w16cid:durableId="429592558">
    <w:abstractNumId w:val="36"/>
  </w:num>
  <w:num w:numId="39" w16cid:durableId="524052887">
    <w:abstractNumId w:val="29"/>
  </w:num>
  <w:num w:numId="40" w16cid:durableId="313341597">
    <w:abstractNumId w:val="25"/>
  </w:num>
  <w:num w:numId="41" w16cid:durableId="1422288012">
    <w:abstractNumId w:val="26"/>
  </w:num>
  <w:num w:numId="42" w16cid:durableId="1760835185">
    <w:abstractNumId w:val="38"/>
  </w:num>
  <w:num w:numId="43" w16cid:durableId="1630357023">
    <w:abstractNumId w:val="9"/>
  </w:num>
  <w:num w:numId="44" w16cid:durableId="1962956030">
    <w:abstractNumId w:val="2"/>
  </w:num>
  <w:num w:numId="45" w16cid:durableId="951395425">
    <w:abstractNumId w:val="6"/>
  </w:num>
  <w:num w:numId="46" w16cid:durableId="1593123412">
    <w:abstractNumId w:val="30"/>
  </w:num>
  <w:num w:numId="47" w16cid:durableId="1421103700">
    <w:abstractNumId w:val="24"/>
  </w:num>
  <w:num w:numId="48" w16cid:durableId="1199202945">
    <w:abstractNumId w:val="45"/>
  </w:num>
  <w:num w:numId="49" w16cid:durableId="1646618063">
    <w:abstractNumId w:val="4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0E45"/>
    <w:rsid w:val="00001A9C"/>
    <w:rsid w:val="0000461B"/>
    <w:rsid w:val="00004DA7"/>
    <w:rsid w:val="000063AC"/>
    <w:rsid w:val="000068D8"/>
    <w:rsid w:val="0000705E"/>
    <w:rsid w:val="00011908"/>
    <w:rsid w:val="0001211F"/>
    <w:rsid w:val="00012F14"/>
    <w:rsid w:val="00015204"/>
    <w:rsid w:val="00015E2B"/>
    <w:rsid w:val="00016884"/>
    <w:rsid w:val="00016924"/>
    <w:rsid w:val="00020ECB"/>
    <w:rsid w:val="00021A11"/>
    <w:rsid w:val="0002251B"/>
    <w:rsid w:val="000236B2"/>
    <w:rsid w:val="00026DCF"/>
    <w:rsid w:val="00030283"/>
    <w:rsid w:val="000314D8"/>
    <w:rsid w:val="00031910"/>
    <w:rsid w:val="00033005"/>
    <w:rsid w:val="00034704"/>
    <w:rsid w:val="00035144"/>
    <w:rsid w:val="000369C2"/>
    <w:rsid w:val="00041455"/>
    <w:rsid w:val="00042BE2"/>
    <w:rsid w:val="00042D7B"/>
    <w:rsid w:val="0004325C"/>
    <w:rsid w:val="000442F5"/>
    <w:rsid w:val="0004464A"/>
    <w:rsid w:val="0004513C"/>
    <w:rsid w:val="000456D8"/>
    <w:rsid w:val="00046D40"/>
    <w:rsid w:val="00047E14"/>
    <w:rsid w:val="00047E5E"/>
    <w:rsid w:val="00047F95"/>
    <w:rsid w:val="00050E23"/>
    <w:rsid w:val="00050EB9"/>
    <w:rsid w:val="00051090"/>
    <w:rsid w:val="000515B8"/>
    <w:rsid w:val="0005297A"/>
    <w:rsid w:val="00052A5A"/>
    <w:rsid w:val="000531F9"/>
    <w:rsid w:val="00054C3D"/>
    <w:rsid w:val="00054C7D"/>
    <w:rsid w:val="000575C3"/>
    <w:rsid w:val="00062054"/>
    <w:rsid w:val="00062608"/>
    <w:rsid w:val="000658AA"/>
    <w:rsid w:val="00066E4F"/>
    <w:rsid w:val="0006798B"/>
    <w:rsid w:val="00070CBC"/>
    <w:rsid w:val="00074701"/>
    <w:rsid w:val="00075057"/>
    <w:rsid w:val="0007525A"/>
    <w:rsid w:val="00075555"/>
    <w:rsid w:val="00076394"/>
    <w:rsid w:val="0008221F"/>
    <w:rsid w:val="00082E97"/>
    <w:rsid w:val="00091693"/>
    <w:rsid w:val="000A055E"/>
    <w:rsid w:val="000A1161"/>
    <w:rsid w:val="000A276B"/>
    <w:rsid w:val="000A4409"/>
    <w:rsid w:val="000A5825"/>
    <w:rsid w:val="000A5C13"/>
    <w:rsid w:val="000A7ADB"/>
    <w:rsid w:val="000B0AAF"/>
    <w:rsid w:val="000B1BDB"/>
    <w:rsid w:val="000B260D"/>
    <w:rsid w:val="000B4557"/>
    <w:rsid w:val="000B46CA"/>
    <w:rsid w:val="000B5389"/>
    <w:rsid w:val="000B64EA"/>
    <w:rsid w:val="000C3517"/>
    <w:rsid w:val="000C4785"/>
    <w:rsid w:val="000C4E6E"/>
    <w:rsid w:val="000C614B"/>
    <w:rsid w:val="000C64AD"/>
    <w:rsid w:val="000C7076"/>
    <w:rsid w:val="000D05BA"/>
    <w:rsid w:val="000D16FA"/>
    <w:rsid w:val="000D23DD"/>
    <w:rsid w:val="000D3144"/>
    <w:rsid w:val="000D3C54"/>
    <w:rsid w:val="000D7371"/>
    <w:rsid w:val="000D77DA"/>
    <w:rsid w:val="000D7A32"/>
    <w:rsid w:val="000E136C"/>
    <w:rsid w:val="000E1B03"/>
    <w:rsid w:val="000E1B4C"/>
    <w:rsid w:val="000E25F5"/>
    <w:rsid w:val="000E33A7"/>
    <w:rsid w:val="000E6B11"/>
    <w:rsid w:val="000E7DFF"/>
    <w:rsid w:val="000F14C1"/>
    <w:rsid w:val="000F176E"/>
    <w:rsid w:val="000F2D50"/>
    <w:rsid w:val="000F62F3"/>
    <w:rsid w:val="000F766C"/>
    <w:rsid w:val="000F7BBB"/>
    <w:rsid w:val="00100464"/>
    <w:rsid w:val="001009A5"/>
    <w:rsid w:val="00102684"/>
    <w:rsid w:val="0010280C"/>
    <w:rsid w:val="0010296F"/>
    <w:rsid w:val="00102E32"/>
    <w:rsid w:val="00105CC5"/>
    <w:rsid w:val="00105F00"/>
    <w:rsid w:val="00106A86"/>
    <w:rsid w:val="00106FA2"/>
    <w:rsid w:val="00111EDE"/>
    <w:rsid w:val="00115C85"/>
    <w:rsid w:val="001169CB"/>
    <w:rsid w:val="00116A56"/>
    <w:rsid w:val="00117CBD"/>
    <w:rsid w:val="00120336"/>
    <w:rsid w:val="0012340C"/>
    <w:rsid w:val="00124329"/>
    <w:rsid w:val="00124B6F"/>
    <w:rsid w:val="00125122"/>
    <w:rsid w:val="00126334"/>
    <w:rsid w:val="0013252D"/>
    <w:rsid w:val="0013532A"/>
    <w:rsid w:val="00135DD2"/>
    <w:rsid w:val="00136657"/>
    <w:rsid w:val="001368AC"/>
    <w:rsid w:val="00137177"/>
    <w:rsid w:val="0013791D"/>
    <w:rsid w:val="00137967"/>
    <w:rsid w:val="00137C03"/>
    <w:rsid w:val="00140522"/>
    <w:rsid w:val="00142B91"/>
    <w:rsid w:val="001430D9"/>
    <w:rsid w:val="00143ABF"/>
    <w:rsid w:val="00143AD2"/>
    <w:rsid w:val="00144C96"/>
    <w:rsid w:val="0014626D"/>
    <w:rsid w:val="00146F89"/>
    <w:rsid w:val="001474B5"/>
    <w:rsid w:val="00153262"/>
    <w:rsid w:val="0015340B"/>
    <w:rsid w:val="00153A89"/>
    <w:rsid w:val="001548B6"/>
    <w:rsid w:val="001555F0"/>
    <w:rsid w:val="00156BD1"/>
    <w:rsid w:val="00156EBE"/>
    <w:rsid w:val="00160B43"/>
    <w:rsid w:val="001620DB"/>
    <w:rsid w:val="001622D8"/>
    <w:rsid w:val="00164ADE"/>
    <w:rsid w:val="0016750C"/>
    <w:rsid w:val="00170FBF"/>
    <w:rsid w:val="001715B6"/>
    <w:rsid w:val="0017251B"/>
    <w:rsid w:val="00173E14"/>
    <w:rsid w:val="001746AF"/>
    <w:rsid w:val="00174F20"/>
    <w:rsid w:val="001759B4"/>
    <w:rsid w:val="00175C89"/>
    <w:rsid w:val="0017744F"/>
    <w:rsid w:val="00181BB0"/>
    <w:rsid w:val="0018341B"/>
    <w:rsid w:val="0018463C"/>
    <w:rsid w:val="001874A6"/>
    <w:rsid w:val="00187CD1"/>
    <w:rsid w:val="00190179"/>
    <w:rsid w:val="00191564"/>
    <w:rsid w:val="00193E48"/>
    <w:rsid w:val="00196847"/>
    <w:rsid w:val="00197CE8"/>
    <w:rsid w:val="00197F52"/>
    <w:rsid w:val="001A0085"/>
    <w:rsid w:val="001A02C8"/>
    <w:rsid w:val="001A0689"/>
    <w:rsid w:val="001A21E9"/>
    <w:rsid w:val="001A27D8"/>
    <w:rsid w:val="001A35EF"/>
    <w:rsid w:val="001A3EAF"/>
    <w:rsid w:val="001A7BBF"/>
    <w:rsid w:val="001A7CAC"/>
    <w:rsid w:val="001A7F7F"/>
    <w:rsid w:val="001B0D9B"/>
    <w:rsid w:val="001B645C"/>
    <w:rsid w:val="001B6590"/>
    <w:rsid w:val="001B6DD1"/>
    <w:rsid w:val="001C27EF"/>
    <w:rsid w:val="001C4353"/>
    <w:rsid w:val="001C4D88"/>
    <w:rsid w:val="001C5A50"/>
    <w:rsid w:val="001C5C04"/>
    <w:rsid w:val="001C6AF0"/>
    <w:rsid w:val="001C7129"/>
    <w:rsid w:val="001D3382"/>
    <w:rsid w:val="001D366B"/>
    <w:rsid w:val="001D69A5"/>
    <w:rsid w:val="001D7EE4"/>
    <w:rsid w:val="001E6859"/>
    <w:rsid w:val="001F17A4"/>
    <w:rsid w:val="001F56DC"/>
    <w:rsid w:val="001F57E5"/>
    <w:rsid w:val="001F680C"/>
    <w:rsid w:val="001F7806"/>
    <w:rsid w:val="00200D53"/>
    <w:rsid w:val="0020109B"/>
    <w:rsid w:val="002047B5"/>
    <w:rsid w:val="0020481D"/>
    <w:rsid w:val="00205C69"/>
    <w:rsid w:val="0020702F"/>
    <w:rsid w:val="0020770B"/>
    <w:rsid w:val="00207CD2"/>
    <w:rsid w:val="00207D52"/>
    <w:rsid w:val="00210409"/>
    <w:rsid w:val="002105E5"/>
    <w:rsid w:val="00210BE0"/>
    <w:rsid w:val="00211A92"/>
    <w:rsid w:val="00211CE3"/>
    <w:rsid w:val="00211E13"/>
    <w:rsid w:val="00213233"/>
    <w:rsid w:val="002155A9"/>
    <w:rsid w:val="00217F4D"/>
    <w:rsid w:val="00222274"/>
    <w:rsid w:val="002225A0"/>
    <w:rsid w:val="00223237"/>
    <w:rsid w:val="00223BA2"/>
    <w:rsid w:val="0022598D"/>
    <w:rsid w:val="00225B62"/>
    <w:rsid w:val="00225FCA"/>
    <w:rsid w:val="00226704"/>
    <w:rsid w:val="00230614"/>
    <w:rsid w:val="0023543E"/>
    <w:rsid w:val="00235A26"/>
    <w:rsid w:val="0024051A"/>
    <w:rsid w:val="00242A27"/>
    <w:rsid w:val="002449E1"/>
    <w:rsid w:val="002464D3"/>
    <w:rsid w:val="00250081"/>
    <w:rsid w:val="00250481"/>
    <w:rsid w:val="0025063B"/>
    <w:rsid w:val="00250D98"/>
    <w:rsid w:val="00251F10"/>
    <w:rsid w:val="0025374D"/>
    <w:rsid w:val="002565B7"/>
    <w:rsid w:val="00256F72"/>
    <w:rsid w:val="002571CE"/>
    <w:rsid w:val="00260BD3"/>
    <w:rsid w:val="00262A24"/>
    <w:rsid w:val="00263A65"/>
    <w:rsid w:val="0026498C"/>
    <w:rsid w:val="00264A0C"/>
    <w:rsid w:val="00264B62"/>
    <w:rsid w:val="00264FE6"/>
    <w:rsid w:val="00265702"/>
    <w:rsid w:val="002710BA"/>
    <w:rsid w:val="002727F7"/>
    <w:rsid w:val="00274EBD"/>
    <w:rsid w:val="002756CD"/>
    <w:rsid w:val="00275EC1"/>
    <w:rsid w:val="00276812"/>
    <w:rsid w:val="00276F1C"/>
    <w:rsid w:val="00277604"/>
    <w:rsid w:val="00277BC0"/>
    <w:rsid w:val="00280369"/>
    <w:rsid w:val="002808CF"/>
    <w:rsid w:val="00280C47"/>
    <w:rsid w:val="00280D61"/>
    <w:rsid w:val="00284ADA"/>
    <w:rsid w:val="0029002E"/>
    <w:rsid w:val="0029110A"/>
    <w:rsid w:val="00291ACC"/>
    <w:rsid w:val="002928CD"/>
    <w:rsid w:val="00293076"/>
    <w:rsid w:val="00293355"/>
    <w:rsid w:val="002933E1"/>
    <w:rsid w:val="00293B29"/>
    <w:rsid w:val="002945BF"/>
    <w:rsid w:val="00294BAC"/>
    <w:rsid w:val="00295028"/>
    <w:rsid w:val="00295065"/>
    <w:rsid w:val="00295C90"/>
    <w:rsid w:val="0029714D"/>
    <w:rsid w:val="002A0DB8"/>
    <w:rsid w:val="002A11D4"/>
    <w:rsid w:val="002A2303"/>
    <w:rsid w:val="002A23A4"/>
    <w:rsid w:val="002A23B7"/>
    <w:rsid w:val="002A303D"/>
    <w:rsid w:val="002A35FD"/>
    <w:rsid w:val="002A3B51"/>
    <w:rsid w:val="002A6F78"/>
    <w:rsid w:val="002B0498"/>
    <w:rsid w:val="002B0E37"/>
    <w:rsid w:val="002B0F24"/>
    <w:rsid w:val="002B2BAA"/>
    <w:rsid w:val="002B4028"/>
    <w:rsid w:val="002B4509"/>
    <w:rsid w:val="002B52B3"/>
    <w:rsid w:val="002B6207"/>
    <w:rsid w:val="002B6955"/>
    <w:rsid w:val="002B6EC3"/>
    <w:rsid w:val="002B70C6"/>
    <w:rsid w:val="002C0264"/>
    <w:rsid w:val="002C06B8"/>
    <w:rsid w:val="002C1559"/>
    <w:rsid w:val="002C4A0F"/>
    <w:rsid w:val="002C4CEE"/>
    <w:rsid w:val="002C6636"/>
    <w:rsid w:val="002C6BE5"/>
    <w:rsid w:val="002D014F"/>
    <w:rsid w:val="002D0776"/>
    <w:rsid w:val="002D3277"/>
    <w:rsid w:val="002D4A61"/>
    <w:rsid w:val="002D67D0"/>
    <w:rsid w:val="002D6F97"/>
    <w:rsid w:val="002E10AC"/>
    <w:rsid w:val="002E1B91"/>
    <w:rsid w:val="002E4B71"/>
    <w:rsid w:val="002F03EC"/>
    <w:rsid w:val="002F0E5F"/>
    <w:rsid w:val="002F16BD"/>
    <w:rsid w:val="002F344E"/>
    <w:rsid w:val="002F4845"/>
    <w:rsid w:val="002F4F73"/>
    <w:rsid w:val="002F635D"/>
    <w:rsid w:val="002F7977"/>
    <w:rsid w:val="0030040A"/>
    <w:rsid w:val="0030415C"/>
    <w:rsid w:val="00304535"/>
    <w:rsid w:val="00305DC0"/>
    <w:rsid w:val="00306461"/>
    <w:rsid w:val="0030792B"/>
    <w:rsid w:val="00307FC7"/>
    <w:rsid w:val="00310D1A"/>
    <w:rsid w:val="003113DB"/>
    <w:rsid w:val="00312A8F"/>
    <w:rsid w:val="00313947"/>
    <w:rsid w:val="003151F7"/>
    <w:rsid w:val="00317101"/>
    <w:rsid w:val="00317C41"/>
    <w:rsid w:val="00321483"/>
    <w:rsid w:val="00321874"/>
    <w:rsid w:val="00321A13"/>
    <w:rsid w:val="00323C66"/>
    <w:rsid w:val="00324224"/>
    <w:rsid w:val="00325713"/>
    <w:rsid w:val="00326166"/>
    <w:rsid w:val="00326F40"/>
    <w:rsid w:val="00327439"/>
    <w:rsid w:val="0033207B"/>
    <w:rsid w:val="00333D51"/>
    <w:rsid w:val="003342BE"/>
    <w:rsid w:val="0033512A"/>
    <w:rsid w:val="003358B3"/>
    <w:rsid w:val="00336A87"/>
    <w:rsid w:val="003374EE"/>
    <w:rsid w:val="0033782F"/>
    <w:rsid w:val="00341A29"/>
    <w:rsid w:val="00341C6B"/>
    <w:rsid w:val="00343948"/>
    <w:rsid w:val="00343B45"/>
    <w:rsid w:val="00344211"/>
    <w:rsid w:val="00345523"/>
    <w:rsid w:val="003458AA"/>
    <w:rsid w:val="00346146"/>
    <w:rsid w:val="003469DB"/>
    <w:rsid w:val="00351C3D"/>
    <w:rsid w:val="00353341"/>
    <w:rsid w:val="0035469D"/>
    <w:rsid w:val="00355ECB"/>
    <w:rsid w:val="0036238A"/>
    <w:rsid w:val="0036428C"/>
    <w:rsid w:val="0036446B"/>
    <w:rsid w:val="00364FC0"/>
    <w:rsid w:val="003664A8"/>
    <w:rsid w:val="00372914"/>
    <w:rsid w:val="00373272"/>
    <w:rsid w:val="00374DC2"/>
    <w:rsid w:val="00374F76"/>
    <w:rsid w:val="003764EE"/>
    <w:rsid w:val="003765A5"/>
    <w:rsid w:val="0038016C"/>
    <w:rsid w:val="00380F3B"/>
    <w:rsid w:val="00381C09"/>
    <w:rsid w:val="00382339"/>
    <w:rsid w:val="0038254B"/>
    <w:rsid w:val="00382CE5"/>
    <w:rsid w:val="00382DE7"/>
    <w:rsid w:val="0038414B"/>
    <w:rsid w:val="00384B34"/>
    <w:rsid w:val="00384C75"/>
    <w:rsid w:val="00387331"/>
    <w:rsid w:val="00387A82"/>
    <w:rsid w:val="0039008E"/>
    <w:rsid w:val="00391015"/>
    <w:rsid w:val="00392A3E"/>
    <w:rsid w:val="00393A93"/>
    <w:rsid w:val="00393F76"/>
    <w:rsid w:val="00394CF5"/>
    <w:rsid w:val="0039646D"/>
    <w:rsid w:val="00396BCE"/>
    <w:rsid w:val="003A56C9"/>
    <w:rsid w:val="003A66DE"/>
    <w:rsid w:val="003B216F"/>
    <w:rsid w:val="003B58FE"/>
    <w:rsid w:val="003B60E8"/>
    <w:rsid w:val="003C11E1"/>
    <w:rsid w:val="003C1D16"/>
    <w:rsid w:val="003C1D18"/>
    <w:rsid w:val="003C33B1"/>
    <w:rsid w:val="003C4F59"/>
    <w:rsid w:val="003C668A"/>
    <w:rsid w:val="003C6D6A"/>
    <w:rsid w:val="003C6E98"/>
    <w:rsid w:val="003C7E11"/>
    <w:rsid w:val="003D0AAE"/>
    <w:rsid w:val="003D1C23"/>
    <w:rsid w:val="003D1F20"/>
    <w:rsid w:val="003D4160"/>
    <w:rsid w:val="003D433B"/>
    <w:rsid w:val="003D4D77"/>
    <w:rsid w:val="003D5A75"/>
    <w:rsid w:val="003D5BF4"/>
    <w:rsid w:val="003E013B"/>
    <w:rsid w:val="003E14F9"/>
    <w:rsid w:val="003E2897"/>
    <w:rsid w:val="003E3BCF"/>
    <w:rsid w:val="003E4266"/>
    <w:rsid w:val="003E52C3"/>
    <w:rsid w:val="003E621E"/>
    <w:rsid w:val="003E6E6B"/>
    <w:rsid w:val="003E7E57"/>
    <w:rsid w:val="003F0334"/>
    <w:rsid w:val="003F11EA"/>
    <w:rsid w:val="003F17D8"/>
    <w:rsid w:val="003F1B1C"/>
    <w:rsid w:val="003F25B3"/>
    <w:rsid w:val="003F4FF5"/>
    <w:rsid w:val="003F5046"/>
    <w:rsid w:val="003F5EDD"/>
    <w:rsid w:val="003F629D"/>
    <w:rsid w:val="003F7F73"/>
    <w:rsid w:val="00403BCE"/>
    <w:rsid w:val="0040438F"/>
    <w:rsid w:val="00405463"/>
    <w:rsid w:val="004058A0"/>
    <w:rsid w:val="004065A8"/>
    <w:rsid w:val="00406CDE"/>
    <w:rsid w:val="00407C0A"/>
    <w:rsid w:val="00410D64"/>
    <w:rsid w:val="00411A2F"/>
    <w:rsid w:val="004133BD"/>
    <w:rsid w:val="004138AA"/>
    <w:rsid w:val="004152C3"/>
    <w:rsid w:val="00415614"/>
    <w:rsid w:val="004165E0"/>
    <w:rsid w:val="00416D76"/>
    <w:rsid w:val="0042168A"/>
    <w:rsid w:val="00421E18"/>
    <w:rsid w:val="00421F63"/>
    <w:rsid w:val="00422410"/>
    <w:rsid w:val="004229EC"/>
    <w:rsid w:val="00423016"/>
    <w:rsid w:val="00423A4C"/>
    <w:rsid w:val="004261E0"/>
    <w:rsid w:val="00427762"/>
    <w:rsid w:val="00427823"/>
    <w:rsid w:val="00431D32"/>
    <w:rsid w:val="00432413"/>
    <w:rsid w:val="00432738"/>
    <w:rsid w:val="00433E0F"/>
    <w:rsid w:val="0043413B"/>
    <w:rsid w:val="004345D1"/>
    <w:rsid w:val="00435C49"/>
    <w:rsid w:val="00435FBA"/>
    <w:rsid w:val="00435FF0"/>
    <w:rsid w:val="00436F14"/>
    <w:rsid w:val="004371AE"/>
    <w:rsid w:val="00437878"/>
    <w:rsid w:val="00441F0B"/>
    <w:rsid w:val="00445A3E"/>
    <w:rsid w:val="00445F48"/>
    <w:rsid w:val="004473F5"/>
    <w:rsid w:val="00447E20"/>
    <w:rsid w:val="004525DA"/>
    <w:rsid w:val="00452F5A"/>
    <w:rsid w:val="004553F1"/>
    <w:rsid w:val="004556D2"/>
    <w:rsid w:val="004655B6"/>
    <w:rsid w:val="00471978"/>
    <w:rsid w:val="00471B74"/>
    <w:rsid w:val="004755F4"/>
    <w:rsid w:val="004776A4"/>
    <w:rsid w:val="0048026D"/>
    <w:rsid w:val="004810CA"/>
    <w:rsid w:val="004811A3"/>
    <w:rsid w:val="00482398"/>
    <w:rsid w:val="00483882"/>
    <w:rsid w:val="00484374"/>
    <w:rsid w:val="00493B47"/>
    <w:rsid w:val="00494441"/>
    <w:rsid w:val="00496E86"/>
    <w:rsid w:val="00497548"/>
    <w:rsid w:val="00497669"/>
    <w:rsid w:val="004976C6"/>
    <w:rsid w:val="004A1394"/>
    <w:rsid w:val="004A2701"/>
    <w:rsid w:val="004A4D2D"/>
    <w:rsid w:val="004A5FB0"/>
    <w:rsid w:val="004B0C34"/>
    <w:rsid w:val="004B10B5"/>
    <w:rsid w:val="004B1B6D"/>
    <w:rsid w:val="004B24A3"/>
    <w:rsid w:val="004B2EF3"/>
    <w:rsid w:val="004B5C2A"/>
    <w:rsid w:val="004B74BC"/>
    <w:rsid w:val="004C0064"/>
    <w:rsid w:val="004C1EA1"/>
    <w:rsid w:val="004C6417"/>
    <w:rsid w:val="004C67CC"/>
    <w:rsid w:val="004D061A"/>
    <w:rsid w:val="004D0699"/>
    <w:rsid w:val="004D1161"/>
    <w:rsid w:val="004D14A6"/>
    <w:rsid w:val="004D257D"/>
    <w:rsid w:val="004D34AD"/>
    <w:rsid w:val="004D5CD6"/>
    <w:rsid w:val="004D6830"/>
    <w:rsid w:val="004D6B12"/>
    <w:rsid w:val="004E0438"/>
    <w:rsid w:val="004E0647"/>
    <w:rsid w:val="004E1226"/>
    <w:rsid w:val="004E1CCE"/>
    <w:rsid w:val="004E2995"/>
    <w:rsid w:val="004E2DBE"/>
    <w:rsid w:val="004E3EBC"/>
    <w:rsid w:val="004E5098"/>
    <w:rsid w:val="004E71DB"/>
    <w:rsid w:val="004E7694"/>
    <w:rsid w:val="004F0999"/>
    <w:rsid w:val="004F0D5D"/>
    <w:rsid w:val="004F0D62"/>
    <w:rsid w:val="004F192A"/>
    <w:rsid w:val="004F1FC4"/>
    <w:rsid w:val="004F277F"/>
    <w:rsid w:val="004F668D"/>
    <w:rsid w:val="004F7321"/>
    <w:rsid w:val="005003AE"/>
    <w:rsid w:val="00501DBF"/>
    <w:rsid w:val="0050219C"/>
    <w:rsid w:val="005021BB"/>
    <w:rsid w:val="005021C4"/>
    <w:rsid w:val="00502FC2"/>
    <w:rsid w:val="00503739"/>
    <w:rsid w:val="005039EF"/>
    <w:rsid w:val="00503FD6"/>
    <w:rsid w:val="00504F2E"/>
    <w:rsid w:val="00507D75"/>
    <w:rsid w:val="005105A1"/>
    <w:rsid w:val="0051165C"/>
    <w:rsid w:val="00512A31"/>
    <w:rsid w:val="0051324D"/>
    <w:rsid w:val="00514375"/>
    <w:rsid w:val="00523E17"/>
    <w:rsid w:val="00524E52"/>
    <w:rsid w:val="00526607"/>
    <w:rsid w:val="00526AC6"/>
    <w:rsid w:val="00526ADF"/>
    <w:rsid w:val="00526C7E"/>
    <w:rsid w:val="00526E16"/>
    <w:rsid w:val="0053006D"/>
    <w:rsid w:val="00532BFD"/>
    <w:rsid w:val="005333AD"/>
    <w:rsid w:val="00533AE4"/>
    <w:rsid w:val="005440AC"/>
    <w:rsid w:val="0054472A"/>
    <w:rsid w:val="00544B04"/>
    <w:rsid w:val="005450FE"/>
    <w:rsid w:val="00545B2F"/>
    <w:rsid w:val="00546CDE"/>
    <w:rsid w:val="00547417"/>
    <w:rsid w:val="0054789D"/>
    <w:rsid w:val="005536DD"/>
    <w:rsid w:val="00553DC1"/>
    <w:rsid w:val="00554E1F"/>
    <w:rsid w:val="00557323"/>
    <w:rsid w:val="00557962"/>
    <w:rsid w:val="00562354"/>
    <w:rsid w:val="00562801"/>
    <w:rsid w:val="00564D5B"/>
    <w:rsid w:val="005658F3"/>
    <w:rsid w:val="00566315"/>
    <w:rsid w:val="005679B2"/>
    <w:rsid w:val="00571910"/>
    <w:rsid w:val="0057276B"/>
    <w:rsid w:val="00573A4B"/>
    <w:rsid w:val="0057408B"/>
    <w:rsid w:val="00574327"/>
    <w:rsid w:val="00574B2E"/>
    <w:rsid w:val="00576C43"/>
    <w:rsid w:val="00577AF5"/>
    <w:rsid w:val="005832CC"/>
    <w:rsid w:val="0058489E"/>
    <w:rsid w:val="00584C15"/>
    <w:rsid w:val="00587CF7"/>
    <w:rsid w:val="00592A5F"/>
    <w:rsid w:val="00595B10"/>
    <w:rsid w:val="00596C8D"/>
    <w:rsid w:val="005A02AB"/>
    <w:rsid w:val="005A370E"/>
    <w:rsid w:val="005A3899"/>
    <w:rsid w:val="005A3CE7"/>
    <w:rsid w:val="005A3FE1"/>
    <w:rsid w:val="005A412F"/>
    <w:rsid w:val="005A4D83"/>
    <w:rsid w:val="005A5817"/>
    <w:rsid w:val="005A736F"/>
    <w:rsid w:val="005B0913"/>
    <w:rsid w:val="005B0BB7"/>
    <w:rsid w:val="005B0FA8"/>
    <w:rsid w:val="005B1125"/>
    <w:rsid w:val="005B1A69"/>
    <w:rsid w:val="005B2DB0"/>
    <w:rsid w:val="005B2FED"/>
    <w:rsid w:val="005B40D5"/>
    <w:rsid w:val="005B7459"/>
    <w:rsid w:val="005B7DF0"/>
    <w:rsid w:val="005B7EC4"/>
    <w:rsid w:val="005C0DBD"/>
    <w:rsid w:val="005C2ABA"/>
    <w:rsid w:val="005C385B"/>
    <w:rsid w:val="005C3D0B"/>
    <w:rsid w:val="005C5481"/>
    <w:rsid w:val="005C6138"/>
    <w:rsid w:val="005C6594"/>
    <w:rsid w:val="005C68A3"/>
    <w:rsid w:val="005C6996"/>
    <w:rsid w:val="005C7B32"/>
    <w:rsid w:val="005C7F0C"/>
    <w:rsid w:val="005D3A8D"/>
    <w:rsid w:val="005D3C30"/>
    <w:rsid w:val="005D6200"/>
    <w:rsid w:val="005D6DC2"/>
    <w:rsid w:val="005E0688"/>
    <w:rsid w:val="005E3625"/>
    <w:rsid w:val="005E45B5"/>
    <w:rsid w:val="005F0397"/>
    <w:rsid w:val="005F0E0A"/>
    <w:rsid w:val="005F4A56"/>
    <w:rsid w:val="005F5257"/>
    <w:rsid w:val="005F646C"/>
    <w:rsid w:val="005F6E6B"/>
    <w:rsid w:val="005F78D1"/>
    <w:rsid w:val="00602C10"/>
    <w:rsid w:val="00606D3F"/>
    <w:rsid w:val="00607AC8"/>
    <w:rsid w:val="006104F3"/>
    <w:rsid w:val="00611562"/>
    <w:rsid w:val="006116CB"/>
    <w:rsid w:val="00612710"/>
    <w:rsid w:val="00613560"/>
    <w:rsid w:val="0061499B"/>
    <w:rsid w:val="00615130"/>
    <w:rsid w:val="006209FA"/>
    <w:rsid w:val="00622E98"/>
    <w:rsid w:val="00627715"/>
    <w:rsid w:val="00631FF8"/>
    <w:rsid w:val="00633726"/>
    <w:rsid w:val="00633A78"/>
    <w:rsid w:val="00635434"/>
    <w:rsid w:val="00635924"/>
    <w:rsid w:val="0063655D"/>
    <w:rsid w:val="00637C18"/>
    <w:rsid w:val="0064149F"/>
    <w:rsid w:val="00643C9C"/>
    <w:rsid w:val="006445C3"/>
    <w:rsid w:val="0064533D"/>
    <w:rsid w:val="006460F8"/>
    <w:rsid w:val="006461A6"/>
    <w:rsid w:val="00651F2E"/>
    <w:rsid w:val="00653273"/>
    <w:rsid w:val="00653F5A"/>
    <w:rsid w:val="0065617D"/>
    <w:rsid w:val="00657402"/>
    <w:rsid w:val="00660F14"/>
    <w:rsid w:val="00663008"/>
    <w:rsid w:val="00663C54"/>
    <w:rsid w:val="00663F9A"/>
    <w:rsid w:val="00664585"/>
    <w:rsid w:val="00665B4F"/>
    <w:rsid w:val="006668D8"/>
    <w:rsid w:val="00671053"/>
    <w:rsid w:val="0067348B"/>
    <w:rsid w:val="00673E24"/>
    <w:rsid w:val="006773CE"/>
    <w:rsid w:val="00677805"/>
    <w:rsid w:val="00677E67"/>
    <w:rsid w:val="00680D00"/>
    <w:rsid w:val="00681731"/>
    <w:rsid w:val="006858BD"/>
    <w:rsid w:val="006870E4"/>
    <w:rsid w:val="006906AE"/>
    <w:rsid w:val="00690E92"/>
    <w:rsid w:val="006928E6"/>
    <w:rsid w:val="0069336F"/>
    <w:rsid w:val="00696978"/>
    <w:rsid w:val="00697188"/>
    <w:rsid w:val="00697BDC"/>
    <w:rsid w:val="006A10B6"/>
    <w:rsid w:val="006A4BD4"/>
    <w:rsid w:val="006A62D0"/>
    <w:rsid w:val="006B0930"/>
    <w:rsid w:val="006B14A4"/>
    <w:rsid w:val="006B1712"/>
    <w:rsid w:val="006B1971"/>
    <w:rsid w:val="006B2D40"/>
    <w:rsid w:val="006B59A2"/>
    <w:rsid w:val="006B5BE8"/>
    <w:rsid w:val="006B612F"/>
    <w:rsid w:val="006B6657"/>
    <w:rsid w:val="006B7161"/>
    <w:rsid w:val="006B77B9"/>
    <w:rsid w:val="006B7B52"/>
    <w:rsid w:val="006C2F85"/>
    <w:rsid w:val="006C3BF1"/>
    <w:rsid w:val="006C5D8B"/>
    <w:rsid w:val="006C6BA9"/>
    <w:rsid w:val="006D07F6"/>
    <w:rsid w:val="006D10E1"/>
    <w:rsid w:val="006D2EB6"/>
    <w:rsid w:val="006D386D"/>
    <w:rsid w:val="006D38D6"/>
    <w:rsid w:val="006D3979"/>
    <w:rsid w:val="006D6281"/>
    <w:rsid w:val="006D73FB"/>
    <w:rsid w:val="006E0A9D"/>
    <w:rsid w:val="006E34F7"/>
    <w:rsid w:val="006E3921"/>
    <w:rsid w:val="006E39D2"/>
    <w:rsid w:val="006E59A1"/>
    <w:rsid w:val="006F1553"/>
    <w:rsid w:val="006F256F"/>
    <w:rsid w:val="006F2898"/>
    <w:rsid w:val="006F4FA4"/>
    <w:rsid w:val="006F55B6"/>
    <w:rsid w:val="006F666A"/>
    <w:rsid w:val="006F6861"/>
    <w:rsid w:val="007019E7"/>
    <w:rsid w:val="00702BA1"/>
    <w:rsid w:val="0070309A"/>
    <w:rsid w:val="00703DBC"/>
    <w:rsid w:val="0070514E"/>
    <w:rsid w:val="00706970"/>
    <w:rsid w:val="00707E7C"/>
    <w:rsid w:val="00710029"/>
    <w:rsid w:val="00710EED"/>
    <w:rsid w:val="00711243"/>
    <w:rsid w:val="00711D80"/>
    <w:rsid w:val="007123ED"/>
    <w:rsid w:val="00712AFD"/>
    <w:rsid w:val="00713498"/>
    <w:rsid w:val="007159A8"/>
    <w:rsid w:val="00717049"/>
    <w:rsid w:val="0071799C"/>
    <w:rsid w:val="00720766"/>
    <w:rsid w:val="00720951"/>
    <w:rsid w:val="007210F3"/>
    <w:rsid w:val="0072121D"/>
    <w:rsid w:val="00722DE1"/>
    <w:rsid w:val="007237B8"/>
    <w:rsid w:val="0072538B"/>
    <w:rsid w:val="007257F0"/>
    <w:rsid w:val="007257F6"/>
    <w:rsid w:val="0072623D"/>
    <w:rsid w:val="00726FB4"/>
    <w:rsid w:val="007302C9"/>
    <w:rsid w:val="007315B8"/>
    <w:rsid w:val="0073279D"/>
    <w:rsid w:val="00734FD0"/>
    <w:rsid w:val="007402E9"/>
    <w:rsid w:val="00741A7A"/>
    <w:rsid w:val="00741C93"/>
    <w:rsid w:val="00743BE5"/>
    <w:rsid w:val="00745B62"/>
    <w:rsid w:val="0074772E"/>
    <w:rsid w:val="00750C29"/>
    <w:rsid w:val="00752606"/>
    <w:rsid w:val="00752850"/>
    <w:rsid w:val="00753463"/>
    <w:rsid w:val="00753B93"/>
    <w:rsid w:val="00754C35"/>
    <w:rsid w:val="0075622E"/>
    <w:rsid w:val="007577BC"/>
    <w:rsid w:val="0076025D"/>
    <w:rsid w:val="007629B8"/>
    <w:rsid w:val="00763003"/>
    <w:rsid w:val="0076437C"/>
    <w:rsid w:val="00764CD2"/>
    <w:rsid w:val="00764ED5"/>
    <w:rsid w:val="0076601B"/>
    <w:rsid w:val="007701BB"/>
    <w:rsid w:val="00770302"/>
    <w:rsid w:val="0077075F"/>
    <w:rsid w:val="00770BD4"/>
    <w:rsid w:val="00772418"/>
    <w:rsid w:val="007746DD"/>
    <w:rsid w:val="007754A5"/>
    <w:rsid w:val="00775A33"/>
    <w:rsid w:val="00775A7E"/>
    <w:rsid w:val="0077615A"/>
    <w:rsid w:val="0078387C"/>
    <w:rsid w:val="007838D9"/>
    <w:rsid w:val="00785769"/>
    <w:rsid w:val="00785906"/>
    <w:rsid w:val="00790CB7"/>
    <w:rsid w:val="00796871"/>
    <w:rsid w:val="00796BA9"/>
    <w:rsid w:val="007979CA"/>
    <w:rsid w:val="007A002C"/>
    <w:rsid w:val="007A0B64"/>
    <w:rsid w:val="007A1615"/>
    <w:rsid w:val="007A3039"/>
    <w:rsid w:val="007A3434"/>
    <w:rsid w:val="007A43F7"/>
    <w:rsid w:val="007A4DBB"/>
    <w:rsid w:val="007A56A1"/>
    <w:rsid w:val="007A5DD1"/>
    <w:rsid w:val="007A5F19"/>
    <w:rsid w:val="007A704E"/>
    <w:rsid w:val="007A7340"/>
    <w:rsid w:val="007B1CF1"/>
    <w:rsid w:val="007B485D"/>
    <w:rsid w:val="007B5D63"/>
    <w:rsid w:val="007B706A"/>
    <w:rsid w:val="007B7B48"/>
    <w:rsid w:val="007C0A44"/>
    <w:rsid w:val="007C0C88"/>
    <w:rsid w:val="007C1213"/>
    <w:rsid w:val="007C462C"/>
    <w:rsid w:val="007C4E0C"/>
    <w:rsid w:val="007C6D6C"/>
    <w:rsid w:val="007C72F6"/>
    <w:rsid w:val="007D07E2"/>
    <w:rsid w:val="007D1E08"/>
    <w:rsid w:val="007D3544"/>
    <w:rsid w:val="007D40C6"/>
    <w:rsid w:val="007E0593"/>
    <w:rsid w:val="007E21C9"/>
    <w:rsid w:val="007E3B25"/>
    <w:rsid w:val="007E3BA1"/>
    <w:rsid w:val="007E434C"/>
    <w:rsid w:val="007E4583"/>
    <w:rsid w:val="007E4A3E"/>
    <w:rsid w:val="007F0A5C"/>
    <w:rsid w:val="007F2769"/>
    <w:rsid w:val="007F2D9B"/>
    <w:rsid w:val="007F34CA"/>
    <w:rsid w:val="007F3F1D"/>
    <w:rsid w:val="007F5375"/>
    <w:rsid w:val="007F7B2E"/>
    <w:rsid w:val="00800187"/>
    <w:rsid w:val="00803223"/>
    <w:rsid w:val="00805640"/>
    <w:rsid w:val="0080609B"/>
    <w:rsid w:val="00807298"/>
    <w:rsid w:val="0080741F"/>
    <w:rsid w:val="00807B04"/>
    <w:rsid w:val="00807B85"/>
    <w:rsid w:val="00807C9E"/>
    <w:rsid w:val="00812A88"/>
    <w:rsid w:val="008132E2"/>
    <w:rsid w:val="008142AC"/>
    <w:rsid w:val="00815E69"/>
    <w:rsid w:val="00816A2B"/>
    <w:rsid w:val="00816E96"/>
    <w:rsid w:val="008172E2"/>
    <w:rsid w:val="00820411"/>
    <w:rsid w:val="00820985"/>
    <w:rsid w:val="00820C48"/>
    <w:rsid w:val="00821DBE"/>
    <w:rsid w:val="00821F07"/>
    <w:rsid w:val="008249D3"/>
    <w:rsid w:val="00825B94"/>
    <w:rsid w:val="00825F70"/>
    <w:rsid w:val="0082799F"/>
    <w:rsid w:val="008309FC"/>
    <w:rsid w:val="008317D4"/>
    <w:rsid w:val="00831BC8"/>
    <w:rsid w:val="008334E3"/>
    <w:rsid w:val="00833705"/>
    <w:rsid w:val="00834E62"/>
    <w:rsid w:val="00836324"/>
    <w:rsid w:val="00836816"/>
    <w:rsid w:val="00840284"/>
    <w:rsid w:val="00840ADC"/>
    <w:rsid w:val="00843D95"/>
    <w:rsid w:val="008440FB"/>
    <w:rsid w:val="00844F06"/>
    <w:rsid w:val="00846B27"/>
    <w:rsid w:val="00846CE7"/>
    <w:rsid w:val="008515FB"/>
    <w:rsid w:val="0085208E"/>
    <w:rsid w:val="00853AC4"/>
    <w:rsid w:val="00854037"/>
    <w:rsid w:val="00854A04"/>
    <w:rsid w:val="00856731"/>
    <w:rsid w:val="008618B1"/>
    <w:rsid w:val="00861D9F"/>
    <w:rsid w:val="00863406"/>
    <w:rsid w:val="00863626"/>
    <w:rsid w:val="00864DCD"/>
    <w:rsid w:val="00865A9D"/>
    <w:rsid w:val="00865CD6"/>
    <w:rsid w:val="00866C66"/>
    <w:rsid w:val="008674C0"/>
    <w:rsid w:val="00867C03"/>
    <w:rsid w:val="008700CA"/>
    <w:rsid w:val="00870C6A"/>
    <w:rsid w:val="00870CF2"/>
    <w:rsid w:val="00874506"/>
    <w:rsid w:val="008761EC"/>
    <w:rsid w:val="008764EF"/>
    <w:rsid w:val="008806FA"/>
    <w:rsid w:val="008828D4"/>
    <w:rsid w:val="008848B5"/>
    <w:rsid w:val="008848DD"/>
    <w:rsid w:val="00885F39"/>
    <w:rsid w:val="008861D9"/>
    <w:rsid w:val="008905F6"/>
    <w:rsid w:val="00890F0D"/>
    <w:rsid w:val="00890FEA"/>
    <w:rsid w:val="00891D6A"/>
    <w:rsid w:val="00893E60"/>
    <w:rsid w:val="008948A5"/>
    <w:rsid w:val="008955B2"/>
    <w:rsid w:val="00897919"/>
    <w:rsid w:val="008A18BC"/>
    <w:rsid w:val="008A1DAB"/>
    <w:rsid w:val="008A2803"/>
    <w:rsid w:val="008A3CB7"/>
    <w:rsid w:val="008A559D"/>
    <w:rsid w:val="008A5B68"/>
    <w:rsid w:val="008A7E93"/>
    <w:rsid w:val="008B0F04"/>
    <w:rsid w:val="008B16AB"/>
    <w:rsid w:val="008B1CA3"/>
    <w:rsid w:val="008B1E43"/>
    <w:rsid w:val="008B284A"/>
    <w:rsid w:val="008B5789"/>
    <w:rsid w:val="008C3068"/>
    <w:rsid w:val="008C3AB2"/>
    <w:rsid w:val="008C5759"/>
    <w:rsid w:val="008C6800"/>
    <w:rsid w:val="008D1DCC"/>
    <w:rsid w:val="008D2AB4"/>
    <w:rsid w:val="008D37F9"/>
    <w:rsid w:val="008D5301"/>
    <w:rsid w:val="008D5571"/>
    <w:rsid w:val="008D5ADF"/>
    <w:rsid w:val="008D6F9C"/>
    <w:rsid w:val="008D71EF"/>
    <w:rsid w:val="008E0275"/>
    <w:rsid w:val="008E0726"/>
    <w:rsid w:val="008E0FA9"/>
    <w:rsid w:val="008E4062"/>
    <w:rsid w:val="008E4E94"/>
    <w:rsid w:val="008E4F8A"/>
    <w:rsid w:val="008E6AAF"/>
    <w:rsid w:val="008F0AF2"/>
    <w:rsid w:val="008F12AC"/>
    <w:rsid w:val="008F26C5"/>
    <w:rsid w:val="008F2CDE"/>
    <w:rsid w:val="008F2E42"/>
    <w:rsid w:val="008F5A1E"/>
    <w:rsid w:val="009000F0"/>
    <w:rsid w:val="00900825"/>
    <w:rsid w:val="0090138C"/>
    <w:rsid w:val="00902B64"/>
    <w:rsid w:val="00904729"/>
    <w:rsid w:val="00904979"/>
    <w:rsid w:val="00904DED"/>
    <w:rsid w:val="009100F1"/>
    <w:rsid w:val="009110C8"/>
    <w:rsid w:val="00914AB6"/>
    <w:rsid w:val="0091517F"/>
    <w:rsid w:val="00915742"/>
    <w:rsid w:val="009159A7"/>
    <w:rsid w:val="009162D0"/>
    <w:rsid w:val="00916AEA"/>
    <w:rsid w:val="00917449"/>
    <w:rsid w:val="00921247"/>
    <w:rsid w:val="009212E9"/>
    <w:rsid w:val="0092172E"/>
    <w:rsid w:val="0092276B"/>
    <w:rsid w:val="00923A12"/>
    <w:rsid w:val="00924F52"/>
    <w:rsid w:val="00925EF8"/>
    <w:rsid w:val="0093046D"/>
    <w:rsid w:val="00931530"/>
    <w:rsid w:val="009329F1"/>
    <w:rsid w:val="00932D56"/>
    <w:rsid w:val="00936573"/>
    <w:rsid w:val="009368F1"/>
    <w:rsid w:val="00940375"/>
    <w:rsid w:val="009412D3"/>
    <w:rsid w:val="0094429F"/>
    <w:rsid w:val="00945368"/>
    <w:rsid w:val="00947BCE"/>
    <w:rsid w:val="00951FBA"/>
    <w:rsid w:val="00952AFA"/>
    <w:rsid w:val="00955C05"/>
    <w:rsid w:val="00957172"/>
    <w:rsid w:val="00957D47"/>
    <w:rsid w:val="00960E2E"/>
    <w:rsid w:val="00961876"/>
    <w:rsid w:val="0096215D"/>
    <w:rsid w:val="0096537D"/>
    <w:rsid w:val="0096752D"/>
    <w:rsid w:val="00967CD5"/>
    <w:rsid w:val="0097051A"/>
    <w:rsid w:val="00970B78"/>
    <w:rsid w:val="00970EF3"/>
    <w:rsid w:val="009713B1"/>
    <w:rsid w:val="00976A75"/>
    <w:rsid w:val="00980D9E"/>
    <w:rsid w:val="009813AF"/>
    <w:rsid w:val="00981863"/>
    <w:rsid w:val="00982D4D"/>
    <w:rsid w:val="00984FE8"/>
    <w:rsid w:val="00985C76"/>
    <w:rsid w:val="009861F5"/>
    <w:rsid w:val="00986C48"/>
    <w:rsid w:val="00986C5B"/>
    <w:rsid w:val="0098722B"/>
    <w:rsid w:val="00991037"/>
    <w:rsid w:val="00991122"/>
    <w:rsid w:val="009916D5"/>
    <w:rsid w:val="00993F74"/>
    <w:rsid w:val="009965BA"/>
    <w:rsid w:val="00996699"/>
    <w:rsid w:val="009A595D"/>
    <w:rsid w:val="009A606D"/>
    <w:rsid w:val="009A7FA6"/>
    <w:rsid w:val="009B23EB"/>
    <w:rsid w:val="009B2A4B"/>
    <w:rsid w:val="009B2F61"/>
    <w:rsid w:val="009B3430"/>
    <w:rsid w:val="009B6EA8"/>
    <w:rsid w:val="009C275F"/>
    <w:rsid w:val="009C5B78"/>
    <w:rsid w:val="009D0772"/>
    <w:rsid w:val="009D15AC"/>
    <w:rsid w:val="009D22F2"/>
    <w:rsid w:val="009D2EFE"/>
    <w:rsid w:val="009D3BC5"/>
    <w:rsid w:val="009D41E0"/>
    <w:rsid w:val="009D5B2D"/>
    <w:rsid w:val="009D65D3"/>
    <w:rsid w:val="009D6AD7"/>
    <w:rsid w:val="009E2C04"/>
    <w:rsid w:val="009E2EA1"/>
    <w:rsid w:val="009E309F"/>
    <w:rsid w:val="009E50E1"/>
    <w:rsid w:val="009E5AE0"/>
    <w:rsid w:val="009E6EAA"/>
    <w:rsid w:val="009F2DB6"/>
    <w:rsid w:val="009F4041"/>
    <w:rsid w:val="009F6182"/>
    <w:rsid w:val="009F72FA"/>
    <w:rsid w:val="00A001A5"/>
    <w:rsid w:val="00A007F9"/>
    <w:rsid w:val="00A018E0"/>
    <w:rsid w:val="00A029BF"/>
    <w:rsid w:val="00A04A0F"/>
    <w:rsid w:val="00A05235"/>
    <w:rsid w:val="00A073C4"/>
    <w:rsid w:val="00A10D87"/>
    <w:rsid w:val="00A132D9"/>
    <w:rsid w:val="00A16EB1"/>
    <w:rsid w:val="00A2108A"/>
    <w:rsid w:val="00A21ADB"/>
    <w:rsid w:val="00A21E40"/>
    <w:rsid w:val="00A22402"/>
    <w:rsid w:val="00A234C1"/>
    <w:rsid w:val="00A23A7E"/>
    <w:rsid w:val="00A255BF"/>
    <w:rsid w:val="00A25D46"/>
    <w:rsid w:val="00A27600"/>
    <w:rsid w:val="00A27E0C"/>
    <w:rsid w:val="00A3008E"/>
    <w:rsid w:val="00A31138"/>
    <w:rsid w:val="00A33BDE"/>
    <w:rsid w:val="00A34F3D"/>
    <w:rsid w:val="00A35E9E"/>
    <w:rsid w:val="00A40CA2"/>
    <w:rsid w:val="00A42834"/>
    <w:rsid w:val="00A45079"/>
    <w:rsid w:val="00A51C4A"/>
    <w:rsid w:val="00A532E3"/>
    <w:rsid w:val="00A542C5"/>
    <w:rsid w:val="00A54EFB"/>
    <w:rsid w:val="00A56FE6"/>
    <w:rsid w:val="00A6007A"/>
    <w:rsid w:val="00A6364D"/>
    <w:rsid w:val="00A66FA2"/>
    <w:rsid w:val="00A70104"/>
    <w:rsid w:val="00A7293F"/>
    <w:rsid w:val="00A75F62"/>
    <w:rsid w:val="00A76E9D"/>
    <w:rsid w:val="00A77677"/>
    <w:rsid w:val="00A77F76"/>
    <w:rsid w:val="00A80C29"/>
    <w:rsid w:val="00A8335C"/>
    <w:rsid w:val="00A8494E"/>
    <w:rsid w:val="00A84D63"/>
    <w:rsid w:val="00A86D0B"/>
    <w:rsid w:val="00A93DA5"/>
    <w:rsid w:val="00A943C8"/>
    <w:rsid w:val="00A94C5F"/>
    <w:rsid w:val="00A94EDD"/>
    <w:rsid w:val="00A958F5"/>
    <w:rsid w:val="00A97A73"/>
    <w:rsid w:val="00AA0C07"/>
    <w:rsid w:val="00AA1CA7"/>
    <w:rsid w:val="00AA222B"/>
    <w:rsid w:val="00AA251D"/>
    <w:rsid w:val="00AA36A9"/>
    <w:rsid w:val="00AA6F85"/>
    <w:rsid w:val="00AA7DB4"/>
    <w:rsid w:val="00AB0298"/>
    <w:rsid w:val="00AB0C51"/>
    <w:rsid w:val="00AB322D"/>
    <w:rsid w:val="00AB47A1"/>
    <w:rsid w:val="00AB7338"/>
    <w:rsid w:val="00AB7374"/>
    <w:rsid w:val="00AB745F"/>
    <w:rsid w:val="00AC16A7"/>
    <w:rsid w:val="00AC5B96"/>
    <w:rsid w:val="00AD0976"/>
    <w:rsid w:val="00AD3A3E"/>
    <w:rsid w:val="00AD5646"/>
    <w:rsid w:val="00AD5C21"/>
    <w:rsid w:val="00AD7A73"/>
    <w:rsid w:val="00AE3790"/>
    <w:rsid w:val="00AE37BD"/>
    <w:rsid w:val="00AE4020"/>
    <w:rsid w:val="00AE66EA"/>
    <w:rsid w:val="00AE72C0"/>
    <w:rsid w:val="00AF1422"/>
    <w:rsid w:val="00AF17C3"/>
    <w:rsid w:val="00AF203B"/>
    <w:rsid w:val="00AF3BAB"/>
    <w:rsid w:val="00AF3E4A"/>
    <w:rsid w:val="00AF42B7"/>
    <w:rsid w:val="00AF520F"/>
    <w:rsid w:val="00AF57D8"/>
    <w:rsid w:val="00AF5CE3"/>
    <w:rsid w:val="00AF6785"/>
    <w:rsid w:val="00B0148F"/>
    <w:rsid w:val="00B01709"/>
    <w:rsid w:val="00B017F3"/>
    <w:rsid w:val="00B0184F"/>
    <w:rsid w:val="00B01D7E"/>
    <w:rsid w:val="00B049F9"/>
    <w:rsid w:val="00B05591"/>
    <w:rsid w:val="00B07DFD"/>
    <w:rsid w:val="00B07E32"/>
    <w:rsid w:val="00B13D02"/>
    <w:rsid w:val="00B13E24"/>
    <w:rsid w:val="00B14993"/>
    <w:rsid w:val="00B15313"/>
    <w:rsid w:val="00B15852"/>
    <w:rsid w:val="00B2002A"/>
    <w:rsid w:val="00B20065"/>
    <w:rsid w:val="00B21377"/>
    <w:rsid w:val="00B214FC"/>
    <w:rsid w:val="00B21D27"/>
    <w:rsid w:val="00B224A8"/>
    <w:rsid w:val="00B23B4D"/>
    <w:rsid w:val="00B246B7"/>
    <w:rsid w:val="00B249F6"/>
    <w:rsid w:val="00B24D9B"/>
    <w:rsid w:val="00B2631C"/>
    <w:rsid w:val="00B26532"/>
    <w:rsid w:val="00B27DBF"/>
    <w:rsid w:val="00B347A9"/>
    <w:rsid w:val="00B35463"/>
    <w:rsid w:val="00B35947"/>
    <w:rsid w:val="00B35B3F"/>
    <w:rsid w:val="00B35F1C"/>
    <w:rsid w:val="00B367BF"/>
    <w:rsid w:val="00B418CC"/>
    <w:rsid w:val="00B420EA"/>
    <w:rsid w:val="00B428D7"/>
    <w:rsid w:val="00B42D95"/>
    <w:rsid w:val="00B45260"/>
    <w:rsid w:val="00B47CDB"/>
    <w:rsid w:val="00B47D6F"/>
    <w:rsid w:val="00B50F99"/>
    <w:rsid w:val="00B536D4"/>
    <w:rsid w:val="00B54884"/>
    <w:rsid w:val="00B568A2"/>
    <w:rsid w:val="00B56D14"/>
    <w:rsid w:val="00B578A9"/>
    <w:rsid w:val="00B60D81"/>
    <w:rsid w:val="00B615B4"/>
    <w:rsid w:val="00B626E3"/>
    <w:rsid w:val="00B62EDD"/>
    <w:rsid w:val="00B64C5B"/>
    <w:rsid w:val="00B658C2"/>
    <w:rsid w:val="00B66909"/>
    <w:rsid w:val="00B66BF4"/>
    <w:rsid w:val="00B70355"/>
    <w:rsid w:val="00B72939"/>
    <w:rsid w:val="00B739DB"/>
    <w:rsid w:val="00B73E30"/>
    <w:rsid w:val="00B7457A"/>
    <w:rsid w:val="00B751E1"/>
    <w:rsid w:val="00B753D4"/>
    <w:rsid w:val="00B75C05"/>
    <w:rsid w:val="00B76185"/>
    <w:rsid w:val="00B76FB9"/>
    <w:rsid w:val="00B8137C"/>
    <w:rsid w:val="00B815E3"/>
    <w:rsid w:val="00B820AB"/>
    <w:rsid w:val="00B82F8D"/>
    <w:rsid w:val="00B8661F"/>
    <w:rsid w:val="00B87223"/>
    <w:rsid w:val="00B91BE0"/>
    <w:rsid w:val="00B91C83"/>
    <w:rsid w:val="00B932EC"/>
    <w:rsid w:val="00B942E0"/>
    <w:rsid w:val="00B95FE9"/>
    <w:rsid w:val="00B97D3C"/>
    <w:rsid w:val="00BA0515"/>
    <w:rsid w:val="00BA12D7"/>
    <w:rsid w:val="00BA42C6"/>
    <w:rsid w:val="00BA5751"/>
    <w:rsid w:val="00BB0FC6"/>
    <w:rsid w:val="00BB1D4A"/>
    <w:rsid w:val="00BB1DF5"/>
    <w:rsid w:val="00BB2068"/>
    <w:rsid w:val="00BB56D1"/>
    <w:rsid w:val="00BB5FEE"/>
    <w:rsid w:val="00BC0346"/>
    <w:rsid w:val="00BC0409"/>
    <w:rsid w:val="00BC1A80"/>
    <w:rsid w:val="00BC250F"/>
    <w:rsid w:val="00BC2DAA"/>
    <w:rsid w:val="00BC503F"/>
    <w:rsid w:val="00BC5335"/>
    <w:rsid w:val="00BC5DDD"/>
    <w:rsid w:val="00BC61CF"/>
    <w:rsid w:val="00BC72E3"/>
    <w:rsid w:val="00BC7F53"/>
    <w:rsid w:val="00BD1EF7"/>
    <w:rsid w:val="00BD259F"/>
    <w:rsid w:val="00BD2DC7"/>
    <w:rsid w:val="00BD33A7"/>
    <w:rsid w:val="00BD4D89"/>
    <w:rsid w:val="00BD5698"/>
    <w:rsid w:val="00BD6637"/>
    <w:rsid w:val="00BD7C58"/>
    <w:rsid w:val="00BD7C9A"/>
    <w:rsid w:val="00BD7DA8"/>
    <w:rsid w:val="00BE09C7"/>
    <w:rsid w:val="00BE4C16"/>
    <w:rsid w:val="00BE6629"/>
    <w:rsid w:val="00BE702A"/>
    <w:rsid w:val="00BF09E3"/>
    <w:rsid w:val="00BF10E0"/>
    <w:rsid w:val="00BF32AF"/>
    <w:rsid w:val="00BF35B2"/>
    <w:rsid w:val="00BF36FE"/>
    <w:rsid w:val="00BF38BD"/>
    <w:rsid w:val="00BF3A35"/>
    <w:rsid w:val="00BF48D8"/>
    <w:rsid w:val="00BF53A3"/>
    <w:rsid w:val="00BF716C"/>
    <w:rsid w:val="00C00999"/>
    <w:rsid w:val="00C0147D"/>
    <w:rsid w:val="00C020A0"/>
    <w:rsid w:val="00C0291D"/>
    <w:rsid w:val="00C03F7A"/>
    <w:rsid w:val="00C041E3"/>
    <w:rsid w:val="00C068D1"/>
    <w:rsid w:val="00C0759E"/>
    <w:rsid w:val="00C07889"/>
    <w:rsid w:val="00C07AEA"/>
    <w:rsid w:val="00C109E2"/>
    <w:rsid w:val="00C10CFC"/>
    <w:rsid w:val="00C11149"/>
    <w:rsid w:val="00C1132F"/>
    <w:rsid w:val="00C11603"/>
    <w:rsid w:val="00C11E1A"/>
    <w:rsid w:val="00C121DE"/>
    <w:rsid w:val="00C127C4"/>
    <w:rsid w:val="00C13B55"/>
    <w:rsid w:val="00C14706"/>
    <w:rsid w:val="00C158CA"/>
    <w:rsid w:val="00C15B5D"/>
    <w:rsid w:val="00C1643D"/>
    <w:rsid w:val="00C17552"/>
    <w:rsid w:val="00C220F5"/>
    <w:rsid w:val="00C24D2F"/>
    <w:rsid w:val="00C25FDB"/>
    <w:rsid w:val="00C26963"/>
    <w:rsid w:val="00C26BB4"/>
    <w:rsid w:val="00C27AD1"/>
    <w:rsid w:val="00C27E1B"/>
    <w:rsid w:val="00C323AA"/>
    <w:rsid w:val="00C33721"/>
    <w:rsid w:val="00C347F6"/>
    <w:rsid w:val="00C34C79"/>
    <w:rsid w:val="00C40309"/>
    <w:rsid w:val="00C408EF"/>
    <w:rsid w:val="00C4105B"/>
    <w:rsid w:val="00C41918"/>
    <w:rsid w:val="00C42FE0"/>
    <w:rsid w:val="00C458F9"/>
    <w:rsid w:val="00C47A32"/>
    <w:rsid w:val="00C506E3"/>
    <w:rsid w:val="00C50CBE"/>
    <w:rsid w:val="00C50F7B"/>
    <w:rsid w:val="00C52389"/>
    <w:rsid w:val="00C52CFD"/>
    <w:rsid w:val="00C537A0"/>
    <w:rsid w:val="00C538F3"/>
    <w:rsid w:val="00C53C43"/>
    <w:rsid w:val="00C55D4C"/>
    <w:rsid w:val="00C61829"/>
    <w:rsid w:val="00C61EE6"/>
    <w:rsid w:val="00C63D7C"/>
    <w:rsid w:val="00C63FA7"/>
    <w:rsid w:val="00C64270"/>
    <w:rsid w:val="00C64777"/>
    <w:rsid w:val="00C66590"/>
    <w:rsid w:val="00C667C0"/>
    <w:rsid w:val="00C67371"/>
    <w:rsid w:val="00C674A8"/>
    <w:rsid w:val="00C707A0"/>
    <w:rsid w:val="00C70CD0"/>
    <w:rsid w:val="00C70D13"/>
    <w:rsid w:val="00C70D68"/>
    <w:rsid w:val="00C713DD"/>
    <w:rsid w:val="00C71494"/>
    <w:rsid w:val="00C76808"/>
    <w:rsid w:val="00C77ABA"/>
    <w:rsid w:val="00C77B64"/>
    <w:rsid w:val="00C80309"/>
    <w:rsid w:val="00C8127F"/>
    <w:rsid w:val="00C83FA6"/>
    <w:rsid w:val="00C842AF"/>
    <w:rsid w:val="00C8481E"/>
    <w:rsid w:val="00C85D35"/>
    <w:rsid w:val="00C86BF8"/>
    <w:rsid w:val="00C86C53"/>
    <w:rsid w:val="00C87C7B"/>
    <w:rsid w:val="00C90797"/>
    <w:rsid w:val="00C90A46"/>
    <w:rsid w:val="00C9191F"/>
    <w:rsid w:val="00C91A09"/>
    <w:rsid w:val="00C91B26"/>
    <w:rsid w:val="00C951E3"/>
    <w:rsid w:val="00CA1921"/>
    <w:rsid w:val="00CA3172"/>
    <w:rsid w:val="00CA483A"/>
    <w:rsid w:val="00CA6ADC"/>
    <w:rsid w:val="00CA7A4A"/>
    <w:rsid w:val="00CA7C51"/>
    <w:rsid w:val="00CB09E0"/>
    <w:rsid w:val="00CB253B"/>
    <w:rsid w:val="00CB43A7"/>
    <w:rsid w:val="00CB6373"/>
    <w:rsid w:val="00CC09AC"/>
    <w:rsid w:val="00CC1756"/>
    <w:rsid w:val="00CC19C4"/>
    <w:rsid w:val="00CC1A2C"/>
    <w:rsid w:val="00CC29A8"/>
    <w:rsid w:val="00CC373C"/>
    <w:rsid w:val="00CC3843"/>
    <w:rsid w:val="00CC421A"/>
    <w:rsid w:val="00CC4B59"/>
    <w:rsid w:val="00CC6CA7"/>
    <w:rsid w:val="00CC7D76"/>
    <w:rsid w:val="00CC7EFA"/>
    <w:rsid w:val="00CD0DA8"/>
    <w:rsid w:val="00CD1FB1"/>
    <w:rsid w:val="00CD498E"/>
    <w:rsid w:val="00CD566E"/>
    <w:rsid w:val="00CD5EEB"/>
    <w:rsid w:val="00CD6B86"/>
    <w:rsid w:val="00CD6ED4"/>
    <w:rsid w:val="00CE05DF"/>
    <w:rsid w:val="00CE1ED6"/>
    <w:rsid w:val="00CE1F3B"/>
    <w:rsid w:val="00CE4B30"/>
    <w:rsid w:val="00CE549F"/>
    <w:rsid w:val="00CF0917"/>
    <w:rsid w:val="00CF0EDA"/>
    <w:rsid w:val="00CF1135"/>
    <w:rsid w:val="00CF412D"/>
    <w:rsid w:val="00CF4C31"/>
    <w:rsid w:val="00CF5A9D"/>
    <w:rsid w:val="00D00AB5"/>
    <w:rsid w:val="00D01C6E"/>
    <w:rsid w:val="00D03E8D"/>
    <w:rsid w:val="00D04FA6"/>
    <w:rsid w:val="00D06B73"/>
    <w:rsid w:val="00D071B5"/>
    <w:rsid w:val="00D073C2"/>
    <w:rsid w:val="00D07969"/>
    <w:rsid w:val="00D10FE7"/>
    <w:rsid w:val="00D12079"/>
    <w:rsid w:val="00D12698"/>
    <w:rsid w:val="00D13239"/>
    <w:rsid w:val="00D13819"/>
    <w:rsid w:val="00D14C49"/>
    <w:rsid w:val="00D1529E"/>
    <w:rsid w:val="00D1588F"/>
    <w:rsid w:val="00D15CD8"/>
    <w:rsid w:val="00D164EE"/>
    <w:rsid w:val="00D2202D"/>
    <w:rsid w:val="00D23A7E"/>
    <w:rsid w:val="00D24240"/>
    <w:rsid w:val="00D2440F"/>
    <w:rsid w:val="00D250E1"/>
    <w:rsid w:val="00D25DD0"/>
    <w:rsid w:val="00D25FB9"/>
    <w:rsid w:val="00D2673A"/>
    <w:rsid w:val="00D275BF"/>
    <w:rsid w:val="00D32425"/>
    <w:rsid w:val="00D34E4D"/>
    <w:rsid w:val="00D353FC"/>
    <w:rsid w:val="00D357DF"/>
    <w:rsid w:val="00D37676"/>
    <w:rsid w:val="00D4107D"/>
    <w:rsid w:val="00D43837"/>
    <w:rsid w:val="00D4383A"/>
    <w:rsid w:val="00D450BA"/>
    <w:rsid w:val="00D46167"/>
    <w:rsid w:val="00D50901"/>
    <w:rsid w:val="00D53859"/>
    <w:rsid w:val="00D54588"/>
    <w:rsid w:val="00D5471A"/>
    <w:rsid w:val="00D54947"/>
    <w:rsid w:val="00D55ACA"/>
    <w:rsid w:val="00D56E44"/>
    <w:rsid w:val="00D605C9"/>
    <w:rsid w:val="00D6096B"/>
    <w:rsid w:val="00D61D41"/>
    <w:rsid w:val="00D62E3F"/>
    <w:rsid w:val="00D6607E"/>
    <w:rsid w:val="00D7055C"/>
    <w:rsid w:val="00D7068A"/>
    <w:rsid w:val="00D70FE9"/>
    <w:rsid w:val="00D7140E"/>
    <w:rsid w:val="00D72D27"/>
    <w:rsid w:val="00D7433B"/>
    <w:rsid w:val="00D7525E"/>
    <w:rsid w:val="00D75B3B"/>
    <w:rsid w:val="00D774C5"/>
    <w:rsid w:val="00D77A43"/>
    <w:rsid w:val="00D81C3B"/>
    <w:rsid w:val="00D83862"/>
    <w:rsid w:val="00D84DA0"/>
    <w:rsid w:val="00D90307"/>
    <w:rsid w:val="00D90AAC"/>
    <w:rsid w:val="00D90BD8"/>
    <w:rsid w:val="00D90EFC"/>
    <w:rsid w:val="00D93836"/>
    <w:rsid w:val="00D95B36"/>
    <w:rsid w:val="00D97817"/>
    <w:rsid w:val="00D97888"/>
    <w:rsid w:val="00D97B3D"/>
    <w:rsid w:val="00DA10C1"/>
    <w:rsid w:val="00DA1CC1"/>
    <w:rsid w:val="00DA74C7"/>
    <w:rsid w:val="00DB09CF"/>
    <w:rsid w:val="00DB32C3"/>
    <w:rsid w:val="00DB40A5"/>
    <w:rsid w:val="00DB4735"/>
    <w:rsid w:val="00DB4C4F"/>
    <w:rsid w:val="00DC11B9"/>
    <w:rsid w:val="00DC25E7"/>
    <w:rsid w:val="00DC2847"/>
    <w:rsid w:val="00DC347A"/>
    <w:rsid w:val="00DD3E6F"/>
    <w:rsid w:val="00DD6F5C"/>
    <w:rsid w:val="00DE063E"/>
    <w:rsid w:val="00DE1D68"/>
    <w:rsid w:val="00DE2433"/>
    <w:rsid w:val="00DE3BED"/>
    <w:rsid w:val="00DE4086"/>
    <w:rsid w:val="00DE525C"/>
    <w:rsid w:val="00DF0130"/>
    <w:rsid w:val="00DF0AED"/>
    <w:rsid w:val="00DF132B"/>
    <w:rsid w:val="00DF1AF3"/>
    <w:rsid w:val="00DF1DD3"/>
    <w:rsid w:val="00DF76BD"/>
    <w:rsid w:val="00DF7875"/>
    <w:rsid w:val="00E0173B"/>
    <w:rsid w:val="00E02B81"/>
    <w:rsid w:val="00E03391"/>
    <w:rsid w:val="00E070AB"/>
    <w:rsid w:val="00E075E3"/>
    <w:rsid w:val="00E142B1"/>
    <w:rsid w:val="00E152E7"/>
    <w:rsid w:val="00E15CCB"/>
    <w:rsid w:val="00E1791B"/>
    <w:rsid w:val="00E21EC7"/>
    <w:rsid w:val="00E22C10"/>
    <w:rsid w:val="00E30A75"/>
    <w:rsid w:val="00E32327"/>
    <w:rsid w:val="00E32AD5"/>
    <w:rsid w:val="00E33385"/>
    <w:rsid w:val="00E338F5"/>
    <w:rsid w:val="00E34D0D"/>
    <w:rsid w:val="00E34D9B"/>
    <w:rsid w:val="00E35BE1"/>
    <w:rsid w:val="00E41869"/>
    <w:rsid w:val="00E4265B"/>
    <w:rsid w:val="00E4424D"/>
    <w:rsid w:val="00E446F2"/>
    <w:rsid w:val="00E47105"/>
    <w:rsid w:val="00E47719"/>
    <w:rsid w:val="00E502B9"/>
    <w:rsid w:val="00E5212A"/>
    <w:rsid w:val="00E528A7"/>
    <w:rsid w:val="00E52B4D"/>
    <w:rsid w:val="00E535D8"/>
    <w:rsid w:val="00E5484B"/>
    <w:rsid w:val="00E55631"/>
    <w:rsid w:val="00E56F07"/>
    <w:rsid w:val="00E573FA"/>
    <w:rsid w:val="00E57872"/>
    <w:rsid w:val="00E62DD7"/>
    <w:rsid w:val="00E651FD"/>
    <w:rsid w:val="00E661B9"/>
    <w:rsid w:val="00E71C59"/>
    <w:rsid w:val="00E72137"/>
    <w:rsid w:val="00E73362"/>
    <w:rsid w:val="00E74034"/>
    <w:rsid w:val="00E747F8"/>
    <w:rsid w:val="00E74CAF"/>
    <w:rsid w:val="00E752D3"/>
    <w:rsid w:val="00E754D1"/>
    <w:rsid w:val="00E77DDE"/>
    <w:rsid w:val="00E80F06"/>
    <w:rsid w:val="00E8390C"/>
    <w:rsid w:val="00E84B1F"/>
    <w:rsid w:val="00E86C23"/>
    <w:rsid w:val="00E9061A"/>
    <w:rsid w:val="00E9145B"/>
    <w:rsid w:val="00E915F2"/>
    <w:rsid w:val="00E92012"/>
    <w:rsid w:val="00E9233A"/>
    <w:rsid w:val="00E966F1"/>
    <w:rsid w:val="00EA08CE"/>
    <w:rsid w:val="00EA272E"/>
    <w:rsid w:val="00EA354A"/>
    <w:rsid w:val="00EA3AF2"/>
    <w:rsid w:val="00EA4860"/>
    <w:rsid w:val="00EA5A4E"/>
    <w:rsid w:val="00EA5AC6"/>
    <w:rsid w:val="00EA5CBC"/>
    <w:rsid w:val="00EA609E"/>
    <w:rsid w:val="00EA6C73"/>
    <w:rsid w:val="00EB0D62"/>
    <w:rsid w:val="00EB1C1A"/>
    <w:rsid w:val="00EB2530"/>
    <w:rsid w:val="00EB2A67"/>
    <w:rsid w:val="00EB2CDE"/>
    <w:rsid w:val="00EB33B1"/>
    <w:rsid w:val="00EB4633"/>
    <w:rsid w:val="00EB4C63"/>
    <w:rsid w:val="00EB4ECE"/>
    <w:rsid w:val="00EB5D7F"/>
    <w:rsid w:val="00EB6440"/>
    <w:rsid w:val="00EB6682"/>
    <w:rsid w:val="00EB729D"/>
    <w:rsid w:val="00EB7E26"/>
    <w:rsid w:val="00EC1048"/>
    <w:rsid w:val="00EC21BD"/>
    <w:rsid w:val="00EC23AA"/>
    <w:rsid w:val="00EC2A7D"/>
    <w:rsid w:val="00EC47CD"/>
    <w:rsid w:val="00EC5DCC"/>
    <w:rsid w:val="00ED2FA7"/>
    <w:rsid w:val="00ED3116"/>
    <w:rsid w:val="00ED5B32"/>
    <w:rsid w:val="00ED64DA"/>
    <w:rsid w:val="00ED71CB"/>
    <w:rsid w:val="00ED7929"/>
    <w:rsid w:val="00EE0083"/>
    <w:rsid w:val="00EE038E"/>
    <w:rsid w:val="00EE2D70"/>
    <w:rsid w:val="00EE2FCC"/>
    <w:rsid w:val="00EE5514"/>
    <w:rsid w:val="00EE6689"/>
    <w:rsid w:val="00EE7B5C"/>
    <w:rsid w:val="00EF04C0"/>
    <w:rsid w:val="00EF0A45"/>
    <w:rsid w:val="00EF1F6E"/>
    <w:rsid w:val="00EF2ACC"/>
    <w:rsid w:val="00EF45EA"/>
    <w:rsid w:val="00EF5DA4"/>
    <w:rsid w:val="00EF5F1A"/>
    <w:rsid w:val="00EF7C3B"/>
    <w:rsid w:val="00EF7F00"/>
    <w:rsid w:val="00F02B0C"/>
    <w:rsid w:val="00F05162"/>
    <w:rsid w:val="00F05DB7"/>
    <w:rsid w:val="00F07227"/>
    <w:rsid w:val="00F1014F"/>
    <w:rsid w:val="00F1260A"/>
    <w:rsid w:val="00F1302A"/>
    <w:rsid w:val="00F1498A"/>
    <w:rsid w:val="00F14A91"/>
    <w:rsid w:val="00F1696B"/>
    <w:rsid w:val="00F20759"/>
    <w:rsid w:val="00F24091"/>
    <w:rsid w:val="00F256F6"/>
    <w:rsid w:val="00F25D42"/>
    <w:rsid w:val="00F30DA7"/>
    <w:rsid w:val="00F30F01"/>
    <w:rsid w:val="00F31A70"/>
    <w:rsid w:val="00F31DF4"/>
    <w:rsid w:val="00F32C74"/>
    <w:rsid w:val="00F33CC0"/>
    <w:rsid w:val="00F34C52"/>
    <w:rsid w:val="00F36456"/>
    <w:rsid w:val="00F41459"/>
    <w:rsid w:val="00F42B97"/>
    <w:rsid w:val="00F474D2"/>
    <w:rsid w:val="00F477B2"/>
    <w:rsid w:val="00F521E8"/>
    <w:rsid w:val="00F52A81"/>
    <w:rsid w:val="00F53A54"/>
    <w:rsid w:val="00F53AFF"/>
    <w:rsid w:val="00F53C66"/>
    <w:rsid w:val="00F5520A"/>
    <w:rsid w:val="00F561B1"/>
    <w:rsid w:val="00F563A2"/>
    <w:rsid w:val="00F60172"/>
    <w:rsid w:val="00F605A7"/>
    <w:rsid w:val="00F626A6"/>
    <w:rsid w:val="00F65835"/>
    <w:rsid w:val="00F65B17"/>
    <w:rsid w:val="00F66CAC"/>
    <w:rsid w:val="00F6756A"/>
    <w:rsid w:val="00F710BE"/>
    <w:rsid w:val="00F7280F"/>
    <w:rsid w:val="00F72F5A"/>
    <w:rsid w:val="00F73CA6"/>
    <w:rsid w:val="00F7569A"/>
    <w:rsid w:val="00F760AD"/>
    <w:rsid w:val="00F76B39"/>
    <w:rsid w:val="00F76EE1"/>
    <w:rsid w:val="00F7705E"/>
    <w:rsid w:val="00F83660"/>
    <w:rsid w:val="00F8597E"/>
    <w:rsid w:val="00F87703"/>
    <w:rsid w:val="00F916D6"/>
    <w:rsid w:val="00F956A6"/>
    <w:rsid w:val="00FA0981"/>
    <w:rsid w:val="00FA195A"/>
    <w:rsid w:val="00FA1F8A"/>
    <w:rsid w:val="00FA43CE"/>
    <w:rsid w:val="00FA4A95"/>
    <w:rsid w:val="00FA4DDC"/>
    <w:rsid w:val="00FA5166"/>
    <w:rsid w:val="00FA5348"/>
    <w:rsid w:val="00FA6322"/>
    <w:rsid w:val="00FA7D01"/>
    <w:rsid w:val="00FB0BC3"/>
    <w:rsid w:val="00FB1406"/>
    <w:rsid w:val="00FB1FC5"/>
    <w:rsid w:val="00FB1FD6"/>
    <w:rsid w:val="00FB2341"/>
    <w:rsid w:val="00FB2CFC"/>
    <w:rsid w:val="00FB2E17"/>
    <w:rsid w:val="00FB4C21"/>
    <w:rsid w:val="00FC002F"/>
    <w:rsid w:val="00FC1454"/>
    <w:rsid w:val="00FC1BCC"/>
    <w:rsid w:val="00FC1FE5"/>
    <w:rsid w:val="00FC3024"/>
    <w:rsid w:val="00FC3C58"/>
    <w:rsid w:val="00FC4A9E"/>
    <w:rsid w:val="00FC5D31"/>
    <w:rsid w:val="00FC6878"/>
    <w:rsid w:val="00FC68CD"/>
    <w:rsid w:val="00FC6BCD"/>
    <w:rsid w:val="00FC7C42"/>
    <w:rsid w:val="00FD1D13"/>
    <w:rsid w:val="00FD2086"/>
    <w:rsid w:val="00FD2212"/>
    <w:rsid w:val="00FD2296"/>
    <w:rsid w:val="00FD43A6"/>
    <w:rsid w:val="00FD5F79"/>
    <w:rsid w:val="00FD65DE"/>
    <w:rsid w:val="00FD7941"/>
    <w:rsid w:val="00FE003B"/>
    <w:rsid w:val="00FE281D"/>
    <w:rsid w:val="00FE3044"/>
    <w:rsid w:val="00FE7025"/>
    <w:rsid w:val="00FE7601"/>
    <w:rsid w:val="00FE7C85"/>
    <w:rsid w:val="00FF0CD0"/>
    <w:rsid w:val="00FF18BF"/>
    <w:rsid w:val="00FF1BF6"/>
    <w:rsid w:val="00FF1DBE"/>
    <w:rsid w:val="00FF2C5D"/>
    <w:rsid w:val="00FF52AA"/>
    <w:rsid w:val="00FF6672"/>
    <w:rsid w:val="0683E46E"/>
    <w:rsid w:val="118DF711"/>
    <w:rsid w:val="1541A55D"/>
    <w:rsid w:val="1AB540F5"/>
    <w:rsid w:val="1CE88902"/>
    <w:rsid w:val="1D5D3D78"/>
    <w:rsid w:val="1E0868BB"/>
    <w:rsid w:val="242AF75B"/>
    <w:rsid w:val="333C1D5B"/>
    <w:rsid w:val="39954446"/>
    <w:rsid w:val="3E12BC97"/>
    <w:rsid w:val="50884E0A"/>
    <w:rsid w:val="608E3C9B"/>
    <w:rsid w:val="68C1A01D"/>
    <w:rsid w:val="6DD63FE1"/>
    <w:rsid w:val="70978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D9868F63-625E-41EA-B806-35838E31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bg-BG"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C5B"/>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bg-BG"/>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bg-BG"/>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11EDE"/>
    <w:rPr>
      <w:sz w:val="24"/>
      <w:lang w:val="bg-BG"/>
    </w:rPr>
  </w:style>
  <w:style w:type="paragraph" w:customStyle="1" w:styleId="paragraph">
    <w:name w:val="paragraph"/>
    <w:basedOn w:val="Normal"/>
    <w:rsid w:val="00DD6F5C"/>
    <w:pPr>
      <w:spacing w:before="100" w:beforeAutospacing="1" w:after="100" w:afterAutospacing="1"/>
    </w:pPr>
    <w:rPr>
      <w:rFonts w:eastAsia="Times New Roman"/>
      <w:szCs w:val="24"/>
      <w:lang w:eastAsia="en-IE"/>
    </w:rPr>
  </w:style>
  <w:style w:type="character" w:customStyle="1" w:styleId="eop">
    <w:name w:val="eop"/>
    <w:basedOn w:val="DefaultParagraphFont"/>
    <w:rsid w:val="00DD6F5C"/>
  </w:style>
  <w:style w:type="character" w:customStyle="1" w:styleId="normaltextrun">
    <w:name w:val="normaltextrun"/>
    <w:basedOn w:val="DefaultParagraphFont"/>
    <w:rsid w:val="00D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177">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834375400">
      <w:bodyDiv w:val="1"/>
      <w:marLeft w:val="0"/>
      <w:marRight w:val="0"/>
      <w:marTop w:val="0"/>
      <w:marBottom w:val="0"/>
      <w:divBdr>
        <w:top w:val="none" w:sz="0" w:space="0" w:color="auto"/>
        <w:left w:val="none" w:sz="0" w:space="0" w:color="auto"/>
        <w:bottom w:val="none" w:sz="0" w:space="0" w:color="auto"/>
        <w:right w:val="none" w:sz="0" w:space="0" w:color="auto"/>
      </w:divBdr>
      <w:divsChild>
        <w:div w:id="1338574514">
          <w:marLeft w:val="0"/>
          <w:marRight w:val="0"/>
          <w:marTop w:val="0"/>
          <w:marBottom w:val="0"/>
          <w:divBdr>
            <w:top w:val="none" w:sz="0" w:space="0" w:color="auto"/>
            <w:left w:val="none" w:sz="0" w:space="0" w:color="auto"/>
            <w:bottom w:val="none" w:sz="0" w:space="0" w:color="auto"/>
            <w:right w:val="none" w:sz="0" w:space="0" w:color="auto"/>
          </w:divBdr>
        </w:div>
        <w:div w:id="1667320235">
          <w:marLeft w:val="0"/>
          <w:marRight w:val="0"/>
          <w:marTop w:val="0"/>
          <w:marBottom w:val="0"/>
          <w:divBdr>
            <w:top w:val="none" w:sz="0" w:space="0" w:color="auto"/>
            <w:left w:val="none" w:sz="0" w:space="0" w:color="auto"/>
            <w:bottom w:val="none" w:sz="0" w:space="0" w:color="auto"/>
            <w:right w:val="none" w:sz="0" w:space="0" w:color="auto"/>
          </w:divBdr>
        </w:div>
      </w:divsChild>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EA05BAA1-DD32-4F83-AF31-EACB9344D551}">
  <ds:schemaRefs>
    <ds:schemaRef ds:uri="http://schemas.openxmlformats.org/officeDocument/2006/bibliography"/>
  </ds:schemaRefs>
</ds:datastoreItem>
</file>

<file path=customXml/itemProps3.xml><?xml version="1.0" encoding="utf-8"?>
<ds:datastoreItem xmlns:ds="http://schemas.openxmlformats.org/officeDocument/2006/customXml" ds:itemID="{232D08F4-7656-436A-84C2-A1DAAB94D6AA}">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schemas.microsoft.com/office/infopath/2007/PartnerControls"/>
    <ds:schemaRef ds:uri="http://www.w3.org/XML/1998/namespace"/>
    <ds:schemaRef ds:uri="http://schemas.openxmlformats.org/package/2006/metadata/core-properties"/>
    <ds:schemaRef ds:uri="a94e2606-67d3-479b-bb64-e7d9251b8ee1"/>
    <ds:schemaRef ds:uri="http://purl.org/dc/terms/"/>
    <ds:schemaRef ds:uri="http://purl.org/dc/dcmitype/"/>
    <ds:schemaRef ds:uri="http://schemas.microsoft.com/office/2006/metadata/properties"/>
    <ds:schemaRef ds:uri="http://schemas.microsoft.com/office/2006/documentManagement/types"/>
    <ds:schemaRef ds:uri="http://purl.org/dc/elements/1.1/"/>
    <ds:schemaRef ds:uri="66b6254d-0f40-4716-8f91-c3453959d219"/>
  </ds:schemaRefs>
</ds:datastoreItem>
</file>

<file path=customXml/itemProps5.xml><?xml version="1.0" encoding="utf-8"?>
<ds:datastoreItem xmlns:ds="http://schemas.openxmlformats.org/officeDocument/2006/customXml" ds:itemID="{933A1B3D-C996-4A0F-B2E5-2333C8221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5614</Words>
  <Characters>32059</Characters>
  <DocSecurity>0</DocSecurity>
  <Lines>763</Lines>
  <Paragraphs>212</Paragraphs>
  <ScaleCrop>false</ScaleCrop>
  <HeadingPairs>
    <vt:vector size="2" baseType="variant">
      <vt:variant>
        <vt:lpstr>Title</vt:lpstr>
      </vt:variant>
      <vt:variant>
        <vt:i4>1</vt:i4>
      </vt:variant>
    </vt:vector>
  </HeadingPairs>
  <TitlesOfParts>
    <vt:vector size="1" baseType="lpstr">
      <vt:lpstr>4.2 Notification form - clean 24.5.2024.docx</vt:lpstr>
    </vt:vector>
  </TitlesOfParts>
  <LinksUpToDate>false</LinksUpToDate>
  <CharactersWithSpaces>37461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2022-04-14T02:59:00Z</cp:lastPrinted>
  <dcterms:created xsi:type="dcterms:W3CDTF">2024-10-28T08:45:00Z</dcterms:created>
  <dcterms:modified xsi:type="dcterms:W3CDTF">2024-11-26T10:56:00Z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0b7d5023-563f-4b98-a126-33ae3cffcf78</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2024-04-09T16:55:05Z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093af9b3-754e-469d-a92c-22d628747603</vt:lpwstr>
  </property>
  <property fmtid="{D5CDD505-2E9C-101B-9397-08002B2CF9AE}" pid="14" name="MSIP_Label_6bd9ddd1-4d20-43f6-abfa-fc3c07406f94_ContentBits">
    <vt:lpwstr>0</vt:lpwstr>
  </property>
</Properties>
</file>