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III.6. rész - </w:t>
            </w:r>
          </w:p>
          <w:p w14:paraId="1C239D2C" w14:textId="40222408" w:rsidR="000442F5" w:rsidRPr="009916D5" w:rsidRDefault="1AB540F5" w:rsidP="008D5ADF">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9916D5">
              <w:rPr>
                <w:sz w:val="32"/>
                <w:szCs w:val="32"/>
                <w:vertAlign w:val="superscript"/>
              </w:rPr>
              <w:footnoteReference w:id="2"/>
            </w:r>
            <w:r>
              <w:rPr>
                <w:sz w:val="32"/>
              </w:rPr>
              <w:t xml:space="preserve"> alapján nyújtott állami támogatáshoz – </w:t>
            </w:r>
            <w:r>
              <w:rPr>
                <w:color w:val="000000"/>
                <w:sz w:val="32"/>
              </w:rPr>
              <w:t>*Frissített változat</w:t>
            </w:r>
            <w:r>
              <w:rPr>
                <w:sz w:val="32"/>
              </w:rPr>
              <w:t xml:space="preserve"> </w:t>
            </w:r>
            <w:bookmarkEnd w:id="0"/>
            <w:bookmarkEnd w:id="1"/>
          </w:p>
          <w:p w14:paraId="543C62B0" w14:textId="77777777" w:rsidR="002B52B3" w:rsidRDefault="002B52B3" w:rsidP="7097866F">
            <w:pPr>
              <w:jc w:val="center"/>
              <w:rPr>
                <w:sz w:val="32"/>
                <w:szCs w:val="32"/>
              </w:rPr>
            </w:pPr>
            <w:r>
              <w:rPr>
                <w:sz w:val="32"/>
              </w:rPr>
              <w:t>4.2. szakasz – Támogatás az épületek energetikai és környezeti teljesítményének javításához</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Hivatalosan még nem fogadták el</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17CF3DD5" w14:textId="162501A6" w:rsidR="009E2EA1" w:rsidRDefault="1D5D3D78" w:rsidP="118DF711">
      <w:pPr>
        <w:spacing w:before="120" w:after="120"/>
        <w:ind w:right="-142"/>
        <w:jc w:val="both"/>
        <w:rPr>
          <w:rFonts w:eastAsia="Times New Roman"/>
          <w:i/>
          <w:iCs/>
          <w:szCs w:val="24"/>
        </w:rPr>
      </w:pPr>
      <w:r>
        <w:rPr>
          <w:i/>
        </w:rPr>
        <w:t xml:space="preserve">Ez a kiegészítő adatlap az iránymutatás 4.2. szakaszának hatálya alá tartozó intézkedésekre vonatkozik. Ha a bejelentésben olyan intézkedések szerepelnek, amelyekre az iránymutatás több szakasza is vonatkozik, kérjük, töltse ki az iránymutatás megfelelő szakaszához kapcsolódó kiegészítő adatlapot is, amint az rendelkezésre áll. </w:t>
      </w:r>
    </w:p>
    <w:p w14:paraId="3C67E530" w14:textId="776D64C2" w:rsidR="1541A55D" w:rsidRDefault="1541A55D" w:rsidP="00135DD2">
      <w:pPr>
        <w:spacing w:before="120" w:after="120"/>
        <w:ind w:right="-142"/>
        <w:jc w:val="both"/>
        <w:rPr>
          <w:rFonts w:eastAsia="Times New Roman"/>
          <w:i/>
          <w:iCs/>
          <w:szCs w:val="24"/>
        </w:rPr>
      </w:pPr>
      <w:r>
        <w:rPr>
          <w:i/>
        </w:rPr>
        <w:t>Az e kiegészítő adatlap mellékleteként a tagállamok által benyújtott valamennyi dokumentumot meg kell számozni, és a dokumentumok számát fel kell tüntetni e kiegészítő adatlap vonatkozó szakaszában.</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szakasz: A bejelentett intézkedés(ek) fő jellemzőinek összefoglalása</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A bejelentett intézkedés(ek) háttere és célkitűzése(i)</w:t>
      </w:r>
      <w:r>
        <w:t>:</w:t>
      </w:r>
    </w:p>
    <w:p w14:paraId="437F042E" w14:textId="62F95870" w:rsidR="00111EDE" w:rsidRPr="007159A8" w:rsidRDefault="00111EDE" w:rsidP="00BC0346">
      <w:pPr>
        <w:pStyle w:val="ListParagraph"/>
        <w:numPr>
          <w:ilvl w:val="0"/>
          <w:numId w:val="20"/>
        </w:numPr>
        <w:spacing w:after="240"/>
        <w:ind w:left="993" w:hanging="142"/>
        <w:jc w:val="both"/>
      </w:pPr>
      <w:r>
        <w:t>Ha az általános adatlap (I. rész) 5.2. szakaszában még nem szerepel, kérjük, ismertesse a hátteret és a fő célokat, kitérve az épületek energetikai és környezeti teljesítményének javítására vonatkozó esetleges uniós célokra, amelyek előmozdítására az intézkedés irányul.</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Kérjük, tüntesse fel az intézkedés bármilyen egyéb célkitűzését. A nem kizárólag környezetvédelmi jellegű célkitűzések esetében, kérjük, fejtse ki, hogy eredményezhetnek-e versenytorzulást a belső piacon.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Hatálybalépés és időtartam</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Amennyiben az általános adatlap (I. rész) 5.5. szakaszában még nem szerepel, kérjük, jelölje meg a támogatási program tervezett hatálybalépésének időpontját.</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Kérjük, tüntesse fel a program időtartamát</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Kedvezményezett(ek)</w:t>
      </w:r>
      <w:r>
        <w:t>:</w:t>
      </w:r>
      <w:r>
        <w:rPr>
          <w:b/>
        </w:rPr>
        <w:tab/>
      </w:r>
    </w:p>
    <w:p w14:paraId="101D761C" w14:textId="191E498C" w:rsidR="00111EDE" w:rsidRDefault="00111EDE" w:rsidP="00BC0346">
      <w:pPr>
        <w:pStyle w:val="ListParagraph"/>
        <w:numPr>
          <w:ilvl w:val="0"/>
          <w:numId w:val="21"/>
        </w:numPr>
        <w:spacing w:after="240"/>
        <w:ind w:hanging="229"/>
        <w:jc w:val="both"/>
        <w:rPr>
          <w:szCs w:val="24"/>
        </w:rPr>
      </w:pPr>
      <w:r>
        <w:t>Ha az általános adatlap (I. rész) 3. szakaszában még nem szerepel, kérjük, jelölje meg az intézkedés(ek) (potenciális) kedvezményezettjét/kedvezményezettjeit.</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Kérjük, tüntesse fel a kedvezményezett(ek) elhelyezkedését (vagyis csak az adott tagállamban található vagy másik tagállambeli gazdálkodó szervezetek is jogosultak-e részt venni az intézkedésben).</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Az iránymutatás 15. pontjának való megfelelés értékelése céljából kérjük, adja meg, hogy az intézkedés(ek) keretében részesül-e (egyedi vagy program részét képező) támogatásban olyan vállalkozás, amellyel szemben valamely még nem </w:t>
      </w:r>
      <w:r>
        <w:lastRenderedPageBreak/>
        <w:t xml:space="preserve">teljesített, támogatást jogellenesnek és a belső piaccal összeegyeztethetetlennek nyilvánító korábbi bizottsági határozaton alapuló visszafizetési felszólítás van érvényben.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Ha igen, kérjük, adjon tájékoztatást a visszafizetendő támogatási összegről, hogy a Bizottság figyelembe vehesse a támogatási intézkedés(ek) értékelésében.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Kérjük, erősítse meg, hogy az intézkedés(ek) nem tartalmaz(nak) az éghajlatvédelmi, a környezetvédelmi és energetikai állami támogatásokról szóló iránymutatás hatályán kívüli tevékenységekhez nyújtott támogatást (az iránymutatás 13. pontja). Ellenkező esetben adjon részletes magyarázatot.</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Költségvetés és az intézkedés(ek) finanszírozása</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Az intézkedés(ek) adójellegű díjból történő finanszírozása esetén kérjük, tisztázza az alábbiakat:</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az adójellegű díjat egyformán szabják-e ki hazai és importált termékekre;</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a bejelentett intézkedés(ek) hazai és importált termékek számára egyformán előnyös(ek)-e;</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az adójellegű díj teljes egészében vagy csak részben finanszírozza-e az intézkedés(eke)t. Ha az adójellegű díj csak részben finanszírozza az intézkedést, tüntesse fel az intézkedés finanszírozásához igénybe vett egyéb forrásokat és azok arányát;</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a bejelentett intézkedés(eke)t finanszírozó adójellegű díj egyúttal más támogatási intézkedéseket is finanszíroz-e. Ha igen, adja meg az adott adójellegű díjjal finanszírozott többi támogatási intézkedést is.</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szakasz: A támogatás összeegyeztethetőségének értékelése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Pozitív feltétel: a támogatásnak elő kell segítenie egy gazdasági tevékenység fejlődését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Valamely gazdasági tevékenység fejlődésének előmozdítása</w:t>
            </w:r>
          </w:p>
        </w:tc>
      </w:tr>
    </w:tbl>
    <w:p w14:paraId="1E2599D2" w14:textId="67A963FD" w:rsidR="000442F5" w:rsidRPr="00DB40A5" w:rsidRDefault="000442F5" w:rsidP="00A029BF">
      <w:pPr>
        <w:spacing w:before="120" w:after="120"/>
        <w:jc w:val="both"/>
        <w:rPr>
          <w:i/>
        </w:rPr>
      </w:pPr>
      <w:r>
        <w:rPr>
          <w:i/>
        </w:rPr>
        <w:t xml:space="preserve">Az e szakaszban kért információk közlését illetően lásd az iránymutatás 3.1.1. szakaszát (23–25. pont), </w:t>
      </w:r>
      <w:r>
        <w:rPr>
          <w:i/>
          <w:color w:val="000000"/>
        </w:rPr>
        <w:t>4.2.1. és 4.2.2. szakaszát (136–140. pont)</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Az Európai Unió működéséről szóló szerződés (EUMSZ) 107. cikke (3) bekezdésének c) pontja kimondja, hogy a Bizottság a belső piaccal összeegyeztethetőnek tekintheti azt a támogatást, amely „</w:t>
      </w:r>
      <w:r>
        <w:rPr>
          <w:i/>
        </w:rPr>
        <w:t>egyes gazdasági tevékenységek vagy gazdasági területek fejlődését előmozdító támogatás, amennyiben az ilyen támogatás nem befolyásolja hátrányosan a kereskedelmi feltételeket a közös érdekkel ellentétes mértékben</w:t>
      </w:r>
      <w:r>
        <w:t xml:space="preserve">”. Ezért azoknak a támogatásoknak, amelyek az EUMSZ e rendelkezése szerint összeegyeztethetőnek minősülnek, hozzá kell járulniuk egyes gazdasági tevékenységek fejlődéséhez. </w:t>
      </w:r>
    </w:p>
    <w:p w14:paraId="4422EB0C" w14:textId="77777777" w:rsidR="00EA08CE" w:rsidRDefault="00EA08CE" w:rsidP="00AE72C0">
      <w:pPr>
        <w:pStyle w:val="ListParagraph"/>
        <w:spacing w:before="120" w:after="120"/>
        <w:ind w:left="567"/>
        <w:contextualSpacing w:val="0"/>
        <w:jc w:val="both"/>
      </w:pPr>
      <w:r>
        <w:t xml:space="preserve">Az iránymutatás 23. pontjának való megfelelés értékelése céljából kérjük, jelölje meg azokat a gazdasági tevékenységeket, amelyeket a támogatás eredményeként elősegítenek, és azt, hogy ezzel miként támogatják e tevékenységek fejlesztését.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Az iránymutatás 25. pontjának való megfelelés értékelése céljából kérjük, írja le,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 </w:t>
      </w:r>
    </w:p>
    <w:p w14:paraId="6BA1AB7B" w14:textId="47A34289" w:rsidR="00422410" w:rsidRDefault="00422410" w:rsidP="00422410">
      <w:pPr>
        <w:pStyle w:val="ListParagraph"/>
        <w:spacing w:before="120" w:after="120"/>
        <w:ind w:left="567"/>
        <w:contextualSpacing w:val="0"/>
        <w:jc w:val="both"/>
      </w:pPr>
      <w:r>
        <w:t xml:space="preserve">Ezenkívül kérjük, emelje ki, milyen mértékben kapcsolódik a támogatás az iránymutatás 135. pontjában ismertetett szakpolitikákhoz.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Kérjük, ismertesse a kedvezményezett(ek)re vonatkozó támogathatósági követelményeket (például megadva bármilyen műszaki, környezetvédelmi [vagyis engedélyek], pénzügyi [vagyis biztosítékok] vagy egyéb követelményt, amelyet a kedvezményezett/kedvezményezettek köteles/kötelesek teljesíteni).</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Kérjük, hogy az iránymutatás 4.2.2. szakasza szerint adjon tájékoztatást a támogatási intézkedés(ek) hatályáról és az általuk támogatott pontos tevékenységekről. Konkrétan:</w:t>
      </w:r>
    </w:p>
    <w:p w14:paraId="32AFD134" w14:textId="1ED9FBCA" w:rsidR="00B35947" w:rsidRDefault="00B35947" w:rsidP="008D5ADF">
      <w:pPr>
        <w:pStyle w:val="ListParagraph"/>
        <w:numPr>
          <w:ilvl w:val="1"/>
          <w:numId w:val="4"/>
        </w:numPr>
        <w:spacing w:before="120" w:after="120"/>
        <w:contextualSpacing w:val="0"/>
        <w:jc w:val="both"/>
      </w:pPr>
      <w:r>
        <w:t xml:space="preserve">Kérjük, fejtse ki, hogy a támogatási intézkedés(ek) kizárólag az épületek energiahatékonyságának javításához nyújtanak-e támogatást, vagy kombinálják az épületek energiahatékonyságának javítására irányuló támogatást az iránymutatás 137. pontjában felsorolt beruházások bármelyikéhez vagy mindegyikéhez nyújtott támogatással. Ez utóbbi esetben kérjük, pontosítsa, hogy mely beruházások jogosultak támogatásra az intézkedés(ek) keretében.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Kérjük, fejtse ki, hogy a támogatási intézkedés(ek) tartalmaz(nak)-e olyan támogatástípusokat is, amelyek az iránymutatás 138. pontja értelmében nem tartoznak az iránymutatás 4.2. szakaszának hatálya alá. Amennyiben igen, be kell nyújtani a megfelelő bejelentési formanyomtatványo(ka)t az intézkedés(ek) vonatkozó része(i) tekintetében.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Kérjük, tüntesse fel, hogy az intézkedés(ek) keretében nyújtott támogatás meglévő épületek felújítására, csak egy típusú épületelem telepítésére vagy cseréjére</w:t>
      </w:r>
      <w:r>
        <w:rPr>
          <w:rStyle w:val="FootnoteReference"/>
        </w:rPr>
        <w:footnoteReference w:id="5"/>
      </w:r>
      <w:r>
        <w:t xml:space="preserve"> és/vagy új épületekbe történő energiahatékonysági beruházásokra vonatkozik-e az iránymutatás 139. pontjának a)–c) alpontjában meghatározottak szerint.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Kérjük, bizonyítsa, hogy a támogatási intézkedés(ek) keretében nyújtott támogatás az iránymutatás 139. pontjában (adott esetben a)–c) pontja) előírt energiahatékonyság-javulást eredményezi.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Az iránymutatás 140. pontjának megfelelően kérjük, tüntesse fel, hogy a támogatást a támogatási intézkedés(ek) keretében nyújtják-e olyan kkv-knak és kisebb közepes piaci tőkeértékű vállalatoknak, amelyek az energiahatékonyság-alapú szerződések elősegítésére szolgáló energetikai teljesítményt javító intézkedéseket nyújtanak.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Ösztönző hatás</w:t>
            </w:r>
          </w:p>
        </w:tc>
      </w:tr>
    </w:tbl>
    <w:p w14:paraId="20915284" w14:textId="0D70BA96" w:rsidR="00015E2B" w:rsidRPr="00A05235" w:rsidRDefault="00B15313" w:rsidP="00A029BF">
      <w:pPr>
        <w:spacing w:before="120" w:after="120"/>
        <w:jc w:val="both"/>
        <w:rPr>
          <w:i/>
        </w:rPr>
      </w:pPr>
      <w:r>
        <w:rPr>
          <w:i/>
        </w:rPr>
        <w:t xml:space="preserve">Az e szakaszban kért információk közlését illetően lásd az iránymutatás 3.1.2. szakaszát (26–32. pont) és 4.2.3. szakaszát (141–143. pont).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A támogatás csak akkor minősül gazdasági tevékenységet elősegítőnek, ha ösztönző hatása van. Az iránymutatás 26. pontjának való megfelelés értékelése céljából kérjük, ismertesse, hogy az intézkedés(ek) hogyan sarkallja/sarkallják arra „</w:t>
      </w:r>
      <w:r>
        <w:rPr>
          <w:i/>
        </w:rPr>
        <w:t>a kedvezményezettet, hogy változtassa meg magatartását, folytasson olyan további vagy környezetbarátabb gazdasági tevékenységet, amelyet támogatás nélkül nem vagy korlátozottan vagy más módon végezne</w:t>
      </w:r>
      <w:r>
        <w:t>”. Ezen túlmenően az iránymutatás 27. pontjának való megfelelés értékelése érdekében kérjük, erősítse meg, hogy az intézkedés „</w:t>
      </w:r>
      <w:r>
        <w:rPr>
          <w:i/>
        </w:rPr>
        <w:t>nem kompenzálja egy gazdasági tevékenység szokásos üzleti kockázatát</w:t>
      </w:r>
      <w:r>
        <w:t>”, és röviden fejtse ki ennek okát.</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Az iránymutatás 28. pontja alapján:</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Kérjük, átfogóan ismertesse a támogatási intézkedés eredményeként várt tényleges helyzetet és a támogatás hiányában valószínűsíthető kontrafaktuális forgatókönyv(ek)et</w:t>
      </w:r>
      <w:r w:rsidR="006C5D8B" w:rsidRPr="005C1156">
        <w:rPr>
          <w:rStyle w:val="FootnoteReference"/>
        </w:rPr>
        <w:footnoteReference w:id="6"/>
      </w:r>
      <w:r>
        <w:t>. Ha várhatóan különböző kategóriákba tartozó kedvezményezettek lesznek támogathatók, kérjük, ügyeljen arra, hogy a kontrafaktuális forgatókönyv mindegyik ilyen kategória esetében hihető legyen.</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Kérjük, röviden ismertesse a valószínűsíthető kontrafaktuális forgatókönyv(ek) kiválasztásának indokoltságát, adott esetben figyelembe véve a javasolt különböző kedvezményezetti kategóriákat.</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Kérjük, számszerűsítse a tényleges és a kontrafaktuális forgatókönyvek tekintetében a költségeket és a bevételeket, valamint adott esetben a kedvezményezettek minden egyes kategóriája esetében indokolja a magatartásváltozást az alábbiak alapján: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az adott referenciaprojekt</w:t>
      </w:r>
      <w:r w:rsidRPr="007159A8">
        <w:rPr>
          <w:vertAlign w:val="superscript"/>
        </w:rPr>
        <w:footnoteReference w:id="7"/>
      </w:r>
      <w:r>
        <w:t>, a vonatkozó kontrafaktuális forgatókönyvek és az azokból eredő finanszírozási hiány,</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VAGY</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piaci tanulmányokon (különösen a várható megtérülési időszakokra vonatkozó tanulmányokon), befektetői terveken, pénzügyi jelentéseken vagy más mennyiségi bizonyítékokon alapuló releváns kvantitatív bizonyítékok, beleértve adott esetben a hasonló projektekre a közelmúltbeli összehasonlítható versenyeztetéses ajánlattételi eljárások során tett ajánlatokat.</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Az iránymutatás 29. és 31. pontjának való megfelelés igazolása céljából:</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Kérjük, erősítse meg, hogy a projekttel vagy a tevékenységgel kapcsolatos munkálatok nem kezdődtek meg már azt megelőzően, hogy a kedvezményezett a nemzeti hatóságokhoz a támogatás iránti írásbeli kérelmet nyújtott be;</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VAGY</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A támogatás iránti kérelem benyújtása előtt elindult projektek esetében kérjük, bizonyítsa, hogy a projektre az iránymutatás 31. pontjában meghatározott kivételes esetek egyike, az a), b) vagy c) alpont) vonatkozik.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Az iránymutatás 30. pontjának való megfelelés igazolása érdekében kérjük, erősítse meg, hogy a támogatási kérelem tartalmazza legalább a pályázó nevét, a projekt vagy tevékenység leírását, beleértve annak helyét és a megvalósításához szükséges támogatás összegét.</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Az iránymutatás 32. és 142. pontjának való megfelelés igazolása céljából:</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Kérjük, tüntesse fel, ha vannak a bejelentett intézkedés(ek)re vonatkozó uniós szabványok</w:t>
      </w:r>
      <w:r w:rsidR="005B7DF0" w:rsidRPr="00436F14">
        <w:rPr>
          <w:vertAlign w:val="superscript"/>
        </w:rPr>
        <w:footnoteReference w:id="9"/>
      </w:r>
      <w:r>
        <w:t xml:space="preserve">, a megfelelő uniós szabványoknál szigorúbb vagy ambiciózusabb, kötelező nemzeti szabványok, illetve uniós szabványok hiányában elfogadott kötelező nemzeti szabványok.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Azokban az esetekben, amikor az uniós jog uniós szabványt ír elő, kérjük, erősítse meg és bizonyítsa, hogy a támogatásnak ösztönző hatása van, mert ösztönzi a beruházásnak a szabvány hatálybalépése előtt legalább 18 hónappal történő megvalósítását.</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Kérjük, fejtse ki, hogy az öt évnél rövidebb megtérülési idejű projektek</w:t>
      </w:r>
      <w:r w:rsidRPr="000F2D50">
        <w:rPr>
          <w:vertAlign w:val="superscript"/>
          <w:lang w:eastAsia="en-GB"/>
        </w:rPr>
        <w:footnoteReference w:id="10"/>
      </w:r>
      <w:r>
        <w:t xml:space="preserve"> jogosultak-e támogatásra az intézkedés(ek) keretében. Igen válasz esetén, kérjük, szolgáltasson bizonyítékot annak igazolására, hogy a magatartás megváltozásához támogatásra van szükség, amint azt az iránymutatás 142. pontja előírja.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Nem sértheti az uniós jog vonatkozó rendelkezéseit</w:t>
            </w:r>
          </w:p>
        </w:tc>
      </w:tr>
    </w:tbl>
    <w:p w14:paraId="71F2B6DF" w14:textId="01B42D4E" w:rsidR="00382DE7" w:rsidRDefault="00382DE7" w:rsidP="00A029BF">
      <w:pPr>
        <w:spacing w:before="120" w:after="120"/>
        <w:jc w:val="both"/>
        <w:rPr>
          <w:i/>
        </w:rPr>
      </w:pPr>
      <w:r>
        <w:rPr>
          <w:i/>
        </w:rPr>
        <w:t xml:space="preserve">Az e szakaszban kért tájékoztatás közlésével kapcsolatban lásd az iránymutatás 3.1.3. szakaszát (33. pont). </w:t>
      </w:r>
    </w:p>
    <w:p w14:paraId="075E8A7E" w14:textId="77777777" w:rsidR="00382DE7" w:rsidRDefault="00382DE7" w:rsidP="005450FE">
      <w:pPr>
        <w:pStyle w:val="ListParagraph"/>
        <w:numPr>
          <w:ilvl w:val="0"/>
          <w:numId w:val="4"/>
        </w:numPr>
        <w:spacing w:before="120" w:after="120"/>
        <w:ind w:left="567" w:hanging="567"/>
        <w:contextualSpacing w:val="0"/>
        <w:jc w:val="both"/>
      </w:pPr>
      <w:r>
        <w:t>Kérjük, hogy az iránymutatás 33. pontjával összhangban adjon tájékoztatást annak megerősítéséhez, hogy az uniós jog vonatkozó rendelkezései teljesülnek.</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Az intézkedés(ek) adójellegű díjból történő finanszírozása esetén kérjük, tisztázza, hogy el kell-e végezni az EUMSZ 30. és 110. cikkének való megfelelés értékelését. Ha igen, kérjük, bizonyítsa, miért felel meg az intézkedés az EUMSZ 30. és 110. cikke rendelkezéseinek. Ezzel összefüggésben hivatkozni lehet a fenti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t xml:space="preserve">. kérdés </w:t>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alpontjában adott információkra, amennyiben a bejelentett intézkedés(eke)t adójellegű díjból finanszírozzák.</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A verseny és a kereskedelem torzulásának minimálisra csökkentése</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A támogatás szükségessége</w:t>
            </w:r>
          </w:p>
        </w:tc>
      </w:tr>
    </w:tbl>
    <w:p w14:paraId="3C23674F" w14:textId="13FAD6B4" w:rsidR="00663008" w:rsidRPr="00F83660" w:rsidRDefault="00663008" w:rsidP="00A029BF">
      <w:pPr>
        <w:spacing w:before="120" w:after="120"/>
        <w:jc w:val="both"/>
        <w:rPr>
          <w:i/>
          <w:color w:val="000000"/>
        </w:rPr>
      </w:pPr>
      <w:r>
        <w:rPr>
          <w:i/>
          <w:color w:val="000000"/>
        </w:rPr>
        <w:t xml:space="preserve">Az </w:t>
      </w:r>
      <w:r>
        <w:rPr>
          <w:i/>
        </w:rPr>
        <w:t xml:space="preserve">e szakaszban kért </w:t>
      </w:r>
      <w:r>
        <w:rPr>
          <w:i/>
          <w:color w:val="000000"/>
        </w:rPr>
        <w:t xml:space="preserve">tájékoztatás közlésével kapcsolatban lásd az iránymutatás 3.2.1.1. szakaszát (34–38. pont). </w:t>
      </w:r>
    </w:p>
    <w:p w14:paraId="087594C1" w14:textId="77777777" w:rsidR="00B658C2" w:rsidRDefault="00B658C2" w:rsidP="00076394">
      <w:pPr>
        <w:pStyle w:val="ListParagraph"/>
        <w:numPr>
          <w:ilvl w:val="0"/>
          <w:numId w:val="4"/>
        </w:numPr>
        <w:spacing w:before="120" w:after="120"/>
        <w:ind w:left="567" w:hanging="567"/>
        <w:contextualSpacing w:val="0"/>
        <w:jc w:val="both"/>
      </w:pPr>
      <w:r>
        <w:t>Kérjük, fejtse ki, hogy a magyar hatóságok mely piaci hiányosságo(ka)t tártak fel, amely(ek) akadályozza/akadályozzák a megfelelő szintű környezetvédelem elérését. Kérjük, adja meg, hogy az azonosított piaci hiányosságok melyik kategóriába esnek, hivatkozva az iránymutatás 34. pontjának a), b), c) vagy d) alpontjára.</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Az iránymutatás 35. pontjával összhangban kérjük, az alábbiakban adjon tájékoztatást azokról a meglévő szakpolitikákról és intézkedésekről, amelyeket a magyar hatóságok azonosítottak, és amelyek már az azonosított szabályozási vagy piaci hiányosságok ellen irányulnak.</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Az iránymutatás 36. pontjának való megfelelés igazolása érdekében kérjük, szolgáltasson olyan információkat, amelyek igazolják, hogy a támogatás hatékonyan kezeli a fennmaradó piaci hiányosságokat, figyelembe véve az azonosított piaci hiányosságok némelyikének kezelésére már alkalmazott egyéb szakpolitikákat és intézkedéseket is.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Az iránymutatás 37. pontjának való megfelelés igazolása érdekében kérjük, fejtse ki, hogy a magyar hatóságok tudomása szerint hajtottak-e már végre a bejelentett intézkedés(ek) által lefedettekhez – a technológiai tartalom, a kockázati szint és a méret tekintetében – hasonló projekteket vagy tevékenységeket az Unióban piaci feltételek mellett. Ha igen, kérjük, támassza alá további bizonyítékokkal az állami támogatás szükségességét.</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Az iránymutatás 38. pontjának való megfelelés igazolása céljából kérjük, hivatkozzon a fenti 14. C) kérdésnél már közölt számszerű bizonyítékokra.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Megfelelőség</w:t>
            </w:r>
          </w:p>
        </w:tc>
      </w:tr>
    </w:tbl>
    <w:p w14:paraId="4C2D927B" w14:textId="547B9884" w:rsidR="00EA354A" w:rsidRPr="00F83660" w:rsidRDefault="00EA354A" w:rsidP="00AF17C3">
      <w:pPr>
        <w:spacing w:before="120" w:after="120"/>
        <w:jc w:val="both"/>
        <w:rPr>
          <w:i/>
          <w:color w:val="000000"/>
        </w:rPr>
      </w:pPr>
      <w:r>
        <w:rPr>
          <w:i/>
        </w:rPr>
        <w:t xml:space="preserve">Az e szakaszban kért információk közlését illetően lásd az iránymutatás 3.2.1.2. szakaszát (39–46. pont), valamint </w:t>
      </w:r>
      <w:r>
        <w:rPr>
          <w:i/>
          <w:color w:val="000000"/>
        </w:rPr>
        <w:t>4.2.4.1. szakaszát (144. és 145. pont) és 153. és 157. pontját</w:t>
      </w:r>
      <w:r>
        <w:rPr>
          <w:i/>
        </w:rPr>
        <w:t>.</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Az iránymutatás 40. pontjának való megfelelés ellenőrzése érdekében kérjük, bizonyítsa, hogy nem állnak rendelkezésre az állami támogatásnál megfelelőbb, kevésbé torzító eszközök.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Az iránymutatás 41. pontjának való megfelelés ellenőrzése céljából kérjük, bizonyítsa, hogy a támogatási intézkedést úgy tervezték meg, hogy ne veszélyeztessen az ugyanazon piaci hiányosság orvoslására irányuló egyéb intézkedések – például olyan piaci alapú mechanizmus(ok), mint az EU ETS – hatékonyságát.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Az iránymutatás 42. pontjának való megfelelés bizonyítása céljából kérjük, erősítse meg, hogy a támogatási intézkedés(ek) egyik kedvezményezettje sem vonható felelősségre szennyezésért a hatályos uniós vagy nemzeti jog értelmében (</w:t>
      </w:r>
      <w:r>
        <w:rPr>
          <w:i/>
        </w:rPr>
        <w:t>„a szennyező fizet” elv</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Az iránymutatás (43)–(46) bekezdésének való megfelelés ellenőrzése és annak bizonyítása érdekében, hogy a különböző támogatási eszközök közül a legmegfelelőbbet választották ki, kérjük, adja meg a következő információkat: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Amint azt az iránymutatás 44. pontja előírja, kérjük fejtse ki, hogy miért kevésbé megfelelőek más, potenciálisan kevésbé torzító támogatási formák.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kamatkedvezményeket, állami garanciákat, vagy kedvező feltételekkel történő alternatív finanszírozást.</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Kérjük, bizonyítsa, hogy a támogatási eszközt az iránymutatás 45. pontjában előírtak szerint azon piaci hiányosságnak megfelelően választották ki, amelynek kezelésére a támogatási intézkedés(ek) irányul/irányulnak.</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Kérjük, ismertesse, hogy </w:t>
      </w:r>
      <w:r>
        <w:rPr>
          <w:color w:val="000000"/>
          <w:shd w:val="clear" w:color="auto" w:fill="FFFFFF"/>
        </w:rPr>
        <w:t>a</w:t>
      </w:r>
      <w:r>
        <w:t xml:space="preserve"> </w:t>
      </w:r>
      <w:r>
        <w:rPr>
          <w:color w:val="000000"/>
          <w:shd w:val="clear" w:color="auto" w:fill="FFFFFF"/>
        </w:rPr>
        <w:t>támogatási intézkedés és annak kialakítása hogyan felel meg a támogatással megcélzott intézkedés célkitűzésének eléréséhez</w:t>
      </w:r>
      <w:r>
        <w:t xml:space="preserve"> (az iránymutatás 46. pontjának előírása szerint).</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Ha az intézkedés(ek) keretében olyan kkv-knak és kis méretű, közepes piaci tőkeértékű vállalatoknak nyújtják a támogatást, amelyek energiahatékonysági szerződések keretében energiahatékonyság-javító intézkedéseket nyújtanak, kérjük, erősítse meg, hogy az iránymutatás 145. pontjában előírtaknak megfelelően a támogatást a szolgáltatónak adott kölcsön vagy garancia formájában nyújtják, vagy olyan pénzügyi termékből áll, amelynek célja a szolgáltató finanszírozása (például faktoring vagy forfetírozás).</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Ha az intézkedés(ek) keretében pénzügyi eszközök formájában nyújtanak támogatást, kérjük, erősítse meg, hogy:</w:t>
      </w:r>
    </w:p>
    <w:p w14:paraId="407E4217" w14:textId="02AA56C3" w:rsidR="00A8494E" w:rsidRDefault="00A8494E" w:rsidP="00BC0346">
      <w:pPr>
        <w:pStyle w:val="ListParagraph"/>
        <w:numPr>
          <w:ilvl w:val="0"/>
          <w:numId w:val="33"/>
        </w:numPr>
        <w:spacing w:before="120" w:after="120"/>
        <w:contextualSpacing w:val="0"/>
        <w:jc w:val="both"/>
      </w:pPr>
      <w:r>
        <w:t>Az épület tulajdonosának vagy bérlőjének nyújtott támogatás garancia vagy kölcsön formájában valósul meg az iránymutatás 153. pontjával összhangban; valamint</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A pénzügyi közvetítőnek (pl. az energiahatékonysági alapnak) nyújtott támogatás az iránymutatás 157. pontjával összhangban dotáció, tőke, garancia vagy kölcsön formájában valósul meg.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Arányosság </w:t>
            </w:r>
          </w:p>
        </w:tc>
      </w:tr>
    </w:tbl>
    <w:p w14:paraId="201592AD" w14:textId="1A723365" w:rsidR="00E47105" w:rsidRDefault="00DC2847" w:rsidP="00BD1EF7">
      <w:pPr>
        <w:spacing w:before="360" w:after="120"/>
        <w:jc w:val="both"/>
        <w:rPr>
          <w:i/>
        </w:rPr>
      </w:pPr>
      <w:r>
        <w:rPr>
          <w:i/>
        </w:rPr>
        <w:t xml:space="preserve">Az e szakaszban kért tájékoztatás közlésével kapcsolatban lásd az iránymutatás 4.2.4.2. szakaszát (146–153. pont). </w:t>
      </w:r>
    </w:p>
    <w:p w14:paraId="46E1A5AF" w14:textId="4388075F" w:rsidR="00BD1EF7" w:rsidRPr="00BD1EF7" w:rsidRDefault="00DC2847" w:rsidP="00E47105">
      <w:pPr>
        <w:spacing w:before="120" w:after="120"/>
        <w:jc w:val="both"/>
        <w:rPr>
          <w:i/>
        </w:rPr>
      </w:pPr>
      <w:r>
        <w:rPr>
          <w:i/>
        </w:rPr>
        <w:t xml:space="preserve">Felhívjuk a figyelmet arra, hogy </w:t>
      </w:r>
      <w:r>
        <w:rPr>
          <w:i/>
          <w:u w:val="single"/>
        </w:rPr>
        <w:t>az alábbi három, 2.1.3.1., 2.1.3.2 és 2.1.3.3. szakasz egymás alternatívája</w:t>
      </w:r>
      <w:r>
        <w:rPr>
          <w:i/>
        </w:rPr>
        <w:t xml:space="preserve">. Kérjük, hogy a javasolt intézkedés kialakításától függően csak a vonatkozó szakaszban válaszoljon.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A támogatás arányossága abban az esetben, ha a támogatást </w:t>
            </w:r>
            <w:r>
              <w:rPr>
                <w:sz w:val="24"/>
                <w:u w:val="single"/>
              </w:rPr>
              <w:t>nem</w:t>
            </w:r>
            <w:r>
              <w:rPr>
                <w:sz w:val="24"/>
              </w:rPr>
              <w:t xml:space="preserve"> versenyeztetéses ajánlattételi eljárás keretében, és nem pénzügyi eszközök formájában nyújtják</w:t>
            </w:r>
          </w:p>
        </w:tc>
      </w:tr>
    </w:tbl>
    <w:p w14:paraId="38D650DB" w14:textId="658040C6" w:rsidR="00D32425" w:rsidRDefault="001620DB" w:rsidP="00BD1EF7">
      <w:pPr>
        <w:pStyle w:val="ListParagraph"/>
        <w:spacing w:before="120" w:after="120"/>
        <w:ind w:left="0"/>
        <w:contextualSpacing w:val="0"/>
        <w:jc w:val="both"/>
      </w:pPr>
      <w:r>
        <w:rPr>
          <w:i/>
        </w:rPr>
        <w:t>Az e szakaszban kért tájékoztatás közlésével kapcsolatban lásd az iránymutatás 146–151. és 153. pontját</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Az iránymutatás 146. pontjának való megfelelés ellenőrzése érdekében kérjük, fejtse ki, hogy melyek az intézkedés(ek) keretében elszámolható költségek, és hogy ezek hogyan korlátozódnak az energetikai vagy a környezeti teljesítmény magasabb szintjének eléréséhez közvetlenül kapcsolódó beruházási költségekre.</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Kérjük, adja meg az intézkedés keretében alkalmazandó maximális támogatási intenzitásokat, és jelezze, hogy vonatkoznak-e rájuk bónuszok (az iránymutatás 147–150. pontjában leírtak szerint).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Adott esetben kérjük, indokolja meg a támogatásintenzitási bónusz alkalmazását olyan fejlesztések esetében, amelyek a primerenergia-kereslet legalább 40 %-os csökkenését eredményezik, összhangban az iránymutatás 148. pontjával.</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Ha az iránymutatás 147–150. pontjától eltérően úgy ítélik meg, hogy az ezekben a pontokban megállapított maximális támogatási intenzitásokat meghaladó támogatásra van szükség, kérjük, tüntesse fel a szükségesnek ítélt támogatás mértékét, amelyet az iránymutatás 51–52. pontjával összhangban megindokol a finanszírozásihiány-elemzés alapján.</w:t>
      </w:r>
    </w:p>
    <w:p w14:paraId="7FF7142F" w14:textId="0EBC2073" w:rsidR="006C2F85" w:rsidRPr="00A23A7E" w:rsidRDefault="006C2F85" w:rsidP="002F344E">
      <w:pPr>
        <w:pStyle w:val="ListParagraph"/>
        <w:spacing w:before="120" w:after="120"/>
        <w:ind w:left="567"/>
        <w:contextualSpacing w:val="0"/>
        <w:jc w:val="both"/>
      </w:pPr>
      <w:r>
        <w:t>Kérjük, hogy e finanszírozásihiány-elemzéshez nyújtsa be a tényleges helyzet és a fenti 14. C) kérdésre adott válaszban azonosított, támogatás nélküli, reális kontrafaktuális forgatókönyv(ek)</w:t>
      </w:r>
      <w:r w:rsidRPr="00F256F6">
        <w:rPr>
          <w:vertAlign w:val="superscript"/>
          <w:lang w:val="en-IE" w:eastAsia="hr-HR" w:bidi="hr-HR"/>
        </w:rPr>
        <w:footnoteReference w:id="11"/>
      </w:r>
      <w:r>
        <w:t xml:space="preserve"> tekintetében az összes fő költség és bevétel számszerűsítését, a kedvezményezettek (vagy a referenciaprojektek) becsült súlyozott átlagos tőkeköltségéről (WACC) a jövőbeni készpénzáramok diszkontálásához, valamint a projekt/referenciaprojekt élettartama alatt a tényleges és a kontrafaktuális forgatókönyv nettó jelenértékéről.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Kérjük, vegye figyelembe, hogy az egyedi támogatások és a különösen korlátozott számú kedvezményezettet támogató programok esetében a tagállamnak a projekt részletes üzleti tervének szintjén kell bemutatnia az alátámasztó bizonyítékokat, míg a támogatási programok esetében a tagállamnak egy vagy több referenciaprojekt alapján kell bemutatnia az alátámasztó bizonyítékokat.</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Kérjük, hogy mindezt az e bejelentési formanyomtatványhoz csatolt mellékletben közölje (olyan Excel-fájl használatával, amelyben az összes képlet látható).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Kérjük, adjon részletes tájékoztatást a tényleges helyzetben és a valószínűsíthető kontrafaktuális forgatókönyvben a költségek és a bevételek számszerűsítésének egyes szempontjaihoz használt feltételezéseket, módszereket, indokolást és alapul vett forrásokat (kérjük, hogy térjen ki például az említett forgatókönyvek kidolgozásához használt feltételezésekre és az e feltételezésekhez kapcsolódó forrásokra/indokolásra).</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E bejelentési formanyomtatványhoz az iránymutatás 39. lábjegyzetében említett dokumentumokat is csatolhatja. Az igazgatótanácsi dokumentumok különösen hasznosak lehetnek az egyedi támogatási intézkedések vagy a különösen korlátozott számú kedvezményezettnek szóló programok esetében. Ha ilyen dokumentumokat csatol a bejelentési formanyomtatványhoz, kérjük, alább sorolja fel e dokumentumokat, feltüntetve a szerzőjüket, a készítésük időpontját és a felhasználásuk összefüggéseit.</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Kérjük, bizonyítsa, hogy a 34. kérdésben megjelölt módon megállapított magasabb támogatási intenzitás alkalmazása nem eredményez a finanszírozási hiányt meghaladó támogatást.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Ha az iránymutatás 52. pontja alkalmazandó, tehát a legvalószínűbb kontrafaktuális forgatókönyv szerint a kedvezményezett nem folytatja a tevékenységet vagy beruházást, vagy üzleti tevékenységét változások nélkül végzi, kérjük, támassza alá bizonyítékokkal ezt a feltételezést</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677A62"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A támogatás arányossága abban az esetben, ha a támogatást pénzügyi eszközök formájában nyújtják</w:t>
            </w:r>
          </w:p>
        </w:tc>
      </w:tr>
    </w:tbl>
    <w:p w14:paraId="24BE5936" w14:textId="12CB228A" w:rsidR="00B536D4" w:rsidRPr="00EA5A4E" w:rsidRDefault="00B536D4" w:rsidP="00986C5B">
      <w:pPr>
        <w:pStyle w:val="ListParagraph"/>
        <w:spacing w:before="120" w:after="120"/>
        <w:ind w:left="0"/>
        <w:contextualSpacing w:val="0"/>
        <w:jc w:val="both"/>
      </w:pPr>
      <w:r>
        <w:rPr>
          <w:i/>
        </w:rPr>
        <w:t>Az e szakaszban kért tájékoztatás közlésével kapcsolatban lásd az iránymutatás 146. és 153. pontját</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Az iránymutatás 146. pontjának való megfelelés ellenőrzése érdekében kérjük, fejtse ki, hogy melyek az intézkedés(ek) keretében elszámolható költségek, és hogy ezek hogyan korlátozódnak az energetikai vagy a környezeti teljesítmény magasabb szintjének eléréséhez közvetlenül kapcsolódó beruházási költségekre.</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Kérjük, az iránymutatás 153. pontjának való megfelelés ellenőrzése érdekében adja meg a következő információkat:</w:t>
      </w:r>
    </w:p>
    <w:p w14:paraId="237638A6" w14:textId="73DDDADD" w:rsidR="00CB6373" w:rsidRPr="00EA5A4E" w:rsidRDefault="00CB6373" w:rsidP="00BC0346">
      <w:pPr>
        <w:pStyle w:val="ListParagraph"/>
        <w:numPr>
          <w:ilvl w:val="0"/>
          <w:numId w:val="27"/>
        </w:numPr>
        <w:spacing w:before="120" w:after="120"/>
        <w:contextualSpacing w:val="0"/>
        <w:jc w:val="both"/>
      </w:pPr>
      <w:r>
        <w:t>Amennyiben a támogatást garancia formájában nyújtják, kérjük, erősítse meg, hogy a garancia nem haladja meg az alapul szolgáló hitel 80 %-át, és fejtse ki, hogyan biztosítják az e követelménynek való megfelelést.</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Ha a támogatást kölcsön formájában nyújtják, kérjük erősítse meg, hogy az épülettulajdonos(ok) által az energiahatékonysági vagy megújulóenergia-alap vagy más pénzügyi közvetítő számára visszafizetendő összegnek el kell érnie legalább a kölcsön névértékét.</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A versenyeztetéses ajánlattételi eljárás keretében odaítélt támogatás arányossága </w:t>
            </w:r>
          </w:p>
        </w:tc>
      </w:tr>
    </w:tbl>
    <w:p w14:paraId="5EF69CC9" w14:textId="34CFB392" w:rsidR="005679B2" w:rsidRPr="00441F0B" w:rsidRDefault="005679B2" w:rsidP="000D77DA">
      <w:pPr>
        <w:pStyle w:val="ListParagraph"/>
        <w:spacing w:before="120" w:after="120"/>
        <w:ind w:left="0"/>
        <w:contextualSpacing w:val="0"/>
        <w:jc w:val="both"/>
      </w:pPr>
      <w:r>
        <w:rPr>
          <w:i/>
        </w:rPr>
        <w:t>Az e szakaszban kért tájékoztatás közlésével kapcsolatban lásd az iránymutatás 49. és 50. pontját</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Az iránymutatás 49. és 50. pontjának való megfelelés ellenőrzése céljából kérjük, közölje az alábbi információkat:</w:t>
      </w:r>
    </w:p>
    <w:p w14:paraId="60189593" w14:textId="77777777" w:rsidR="005679B2" w:rsidRPr="00441F0B" w:rsidRDefault="005679B2" w:rsidP="00BC0346">
      <w:pPr>
        <w:pStyle w:val="ListParagraph"/>
        <w:numPr>
          <w:ilvl w:val="0"/>
          <w:numId w:val="35"/>
        </w:numPr>
        <w:spacing w:before="120" w:after="120"/>
        <w:contextualSpacing w:val="0"/>
        <w:jc w:val="both"/>
      </w:pPr>
      <w:r>
        <w:t>Kérjük, ismertesse hogyan gondoskodik a hatóság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Az ajánlatok rangsorolásához és végső soron a versenyeztetéses ajánlattételi eljárás keretében odaítélt támogatás mértékének megállapításához használt kritériumok. Konkrétabban: </w:t>
      </w:r>
    </w:p>
    <w:p w14:paraId="69DC932F" w14:textId="77777777" w:rsidR="005679B2" w:rsidRPr="00050EB9" w:rsidRDefault="005679B2" w:rsidP="00BC0346">
      <w:pPr>
        <w:pStyle w:val="ListParagraph"/>
        <w:numPr>
          <w:ilvl w:val="1"/>
          <w:numId w:val="25"/>
        </w:numPr>
        <w:spacing w:before="120" w:after="120"/>
        <w:contextualSpacing w:val="0"/>
        <w:jc w:val="both"/>
      </w:pPr>
      <w:r>
        <w:t>Kérjük, sorolja fel a kiválasztási kritériumokat, és jelölje meg, hogy közülük melyek kapcsolódnak közvetlenül vagy közvetve az intézkedés(ek) fő célkitűzéseihez, illetve melyek nem. Kérjük, hogy a súlyozott értéküket is tüntesse fel.</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Kérjük, ismertesse, hogyan helyezik a kiválasztási kritériumok az intézkedés(ek) fő célkitűzéseihez való hozzájárulást közvetlen vagy közvetett viszonyba a pályázó által igényelt támogatási összeggel. Ez kifejezhető például az egy környezetvédelmi vagy energiaegységre jutó támogatásban</w:t>
      </w:r>
      <w:r w:rsidRPr="00050EB9">
        <w:rPr>
          <w:rStyle w:val="FootnoteReference"/>
          <w:lang w:eastAsia="en-GB"/>
        </w:rPr>
        <w:footnoteReference w:id="13"/>
      </w:r>
      <w:r>
        <w:t xml:space="preserve"> (az iránymutatás 50. pontja és 44. lábjegyzete).</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Amennyiben vannak más kiválasztási kritériumok, amelyek közvetlenül vagy közvetve nem kapcsolódnak az intézkedés(ek) fő célkitűzéseihez, kérjük, indokolja a javasolt megközelítést, és fejtse ki, miért felel meg az intézkedések) célkitűzéseinek. Kérjük, erősítse meg azt is, hogy e kritériumok nem haladják meg az összes kiválasztási szempont súlyozott értékének 30 %-át (az iránymutatás 50. pontja).</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Kérjük, adja meg, hogy az egyes versenyeztetéses ajánlattételi eljárásban a pályázatok előtt mennyi idővel </w:t>
      </w:r>
      <w:r>
        <w:rPr>
          <w:color w:val="000000"/>
          <w:shd w:val="clear" w:color="auto" w:fill="FFFFFF"/>
        </w:rPr>
        <w:t xml:space="preserve">teszik közzé a kiválasztási kritériumokat </w:t>
      </w:r>
      <w:r>
        <w:t>(az iránymutatás 49. pontjának b) alpontja, valamint 43. lábjegyzete)</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Kérjük, ismertesse,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hogy az ismertetés során vegye figyelembe a program költségvetését vagy volumenét. Adott esetben kérjük, hivatkozzon a 14. pontban szereplő kérdésekre adott válaszaiban közölt bizonyítékokra.</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Kérjük, közölje az ajánlattételi fordulók tervezett számát, valamint az ajánlattevők első fordulóban és idővel várható számát.</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Ha egy vagy több ajánlattételi eljárást túl kevés ajánlattevőre terveztek, kérjük, ismertesse, hogyan és mikor igazítják ki az ajánlattételi eljárások kialakítását a program végrehajtása során, hogy helyreálljon a tényleges verseny (az iránymutatás 49. pontjának c) alpontja).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Kérjük, erősítse meg, hogy kerülik az ajánlattételi eljárás kimenetelének utólagos kiigazítását (például az ajánlattétel eredményéről folytatott utólagos tárgyalásokat vagy az arányosítást) (az iránymutatás 49. pontjának d) alpontja).</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 xml:space="preserve">Abban az esetben, ha fennáll a „támogatás igénybevétele nélküli ajánlatok” lehetősége, kérjük, ismertesse, hogyan biztosítják az arányosságot (lásd az iránymutatás 49. pontját és (42) lábjegyzetét).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Kérjük, tisztázzák, hogy a hatóságok előirányozzák-e minimálárak vagy árplafonok használatát a versenyeztetéses ajánlattételi eljárásban. Ha igen, kérjük, indokolja azok használatát, és fejtse ki, miért nem korlátozzák a versenyeztetéses ajánlattételi eljárást (az iránymutatás 49. pontja és 42. lábjegyzete).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Támogatáshalmozódás</w:t>
            </w:r>
          </w:p>
        </w:tc>
      </w:tr>
    </w:tbl>
    <w:p w14:paraId="2346A85D" w14:textId="3D60C926" w:rsidR="00B21377" w:rsidRPr="002A3B51" w:rsidRDefault="00B21377" w:rsidP="00211CE3">
      <w:pPr>
        <w:pStyle w:val="ListParagraph"/>
        <w:spacing w:before="120" w:after="120"/>
        <w:ind w:left="0"/>
        <w:contextualSpacing w:val="0"/>
        <w:jc w:val="both"/>
      </w:pPr>
      <w:r>
        <w:rPr>
          <w:i/>
        </w:rPr>
        <w:t>Az e szakaszban kért tájékoztatás közlésével kapcsolatban lásd az iránymutatás 56–57. pontját</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Amennyiben az általános bejelentési formanyomtatvány I. részében még nem szerepel, és az iránymutatás 56. pontjának való megfelelés ellenőrzése céljából kérjük, tisztázza, hogy a bejelentett intézkedés(ek) keretében nyújtott támogatás egyidejűleg több támogatási program keretében is odaítélhető, vagy ad hoc, illetve csekély összegű támogatással halmozható-e. Ebben az esetben kérjük, részletesen ismertesse e támogatási programokat, ad hoc, illetve csekély összegű támogatást, és a támogatás halmozódásának módját.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Ha az iránymutatás 56. pontja alkalmazandó, kérjük, indokolja, hogy a bejelentett intézkedés(ek) keretében projekthez vagy tevékenységhez nyújtott támogatás teljes összege miért nem eredményez túlkompenzációt, illetve nem lépi túl az iránymutatás 4.2.4.2. szakaszában megengedett maximális támogatási összeget. Az iránymutatás 56. pontjában meghatározott feltételeknek való megfelelés biztosítására alkalmazott módszert mindegyik olyan intézkedésre vonatkozóan határozza meg, amellyel a bejelentett támogatási intézkedés(ek) keretében nyújtott támogatás halmozható.</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Ha az iránymutatás 57. pontja alkalmazandó, tehát a bejelentett intézkedés(ek) keretében nyújtott támogatást központilag kezelt (állami támogatásnak nem minősülő) uniós finanszírozással</w:t>
      </w:r>
      <w:r>
        <w:rPr>
          <w:rStyle w:val="FootnoteReference"/>
          <w:lang w:eastAsia="en-GB"/>
        </w:rPr>
        <w:footnoteReference w:id="14"/>
      </w:r>
      <w:r>
        <w:t xml:space="preserve"> kombinálják, kérjük, indokolja, miért </w:t>
      </w:r>
      <w:r>
        <w:rPr>
          <w:shd w:val="clear" w:color="auto" w:fill="FFFFFF"/>
        </w:rPr>
        <w:t>nem eredményez az ugyanazon elszámolható költségek vonatkozásában nyújtott állami finanszírozás teljes összege túlkompenzációt.</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Átláthatóság</w:t>
            </w:r>
          </w:p>
        </w:tc>
      </w:tr>
    </w:tbl>
    <w:p w14:paraId="07229A8F" w14:textId="028CA7B4" w:rsidR="006773CE" w:rsidRPr="007C0A44" w:rsidRDefault="006773CE" w:rsidP="00707E7C">
      <w:pPr>
        <w:spacing w:before="120" w:after="120"/>
        <w:jc w:val="both"/>
        <w:rPr>
          <w:i/>
        </w:rPr>
      </w:pPr>
      <w:r>
        <w:rPr>
          <w:i/>
          <w:color w:val="000000"/>
        </w:rPr>
        <w:t xml:space="preserve">Az </w:t>
      </w:r>
      <w:r>
        <w:rPr>
          <w:i/>
        </w:rPr>
        <w:t xml:space="preserve">e szakaszban kért </w:t>
      </w:r>
      <w:r>
        <w:rPr>
          <w:i/>
          <w:color w:val="000000"/>
        </w:rPr>
        <w:t xml:space="preserve">tájékoztatás közlésével kapcsolatban </w:t>
      </w:r>
      <w:r>
        <w:rPr>
          <w:i/>
        </w:rPr>
        <w:t xml:space="preserve">lásd az iránymutatás 3.2.1.4. szakaszát (58–62. pont).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Kérjük, erősítse meg, hogy a tagállam teljesíti az iránymutatás 58–61. pontjában meghatározott átláthatósági követelményeket.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A támogatás versenyre és a kereskedelemre gyakorolt indokolatlan negatív hatásainak elkerülése, valamint kiegyenlítés</w:t>
            </w:r>
          </w:p>
        </w:tc>
      </w:tr>
    </w:tbl>
    <w:p w14:paraId="6CD3884F" w14:textId="56A9CDD5" w:rsidR="00F83660" w:rsidRPr="00B215FD" w:rsidRDefault="00F83660" w:rsidP="0038016C">
      <w:pPr>
        <w:spacing w:before="120" w:after="120"/>
        <w:jc w:val="both"/>
        <w:rPr>
          <w:i/>
        </w:rPr>
      </w:pPr>
      <w:r>
        <w:rPr>
          <w:i/>
        </w:rPr>
        <w:t xml:space="preserve">Az e szakaszban kért információk közlését illetően lásd az iránymutatás 3.2.2. szakaszát (63–70. pont) és 4.2.4.3. szakaszát (154–157. pont).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Az iránymutatás 67. pontjának való megfelelés ellenőrzése céljából kérjük, adjon tájékoztatást a bejelentett intézkedés(ek) versenyre és kereskedelemre gyakorolt lehetséges rövid és hosszú távú negatív hatásairól.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Kérjük, fejtse ki, hogy az intézkedésre vonatkozik-e bármely alábbi helyzet: </w:t>
      </w:r>
    </w:p>
    <w:p w14:paraId="44BBD0E3" w14:textId="77777777" w:rsidR="00BC72E3" w:rsidRPr="00E752D3" w:rsidRDefault="00BC72E3" w:rsidP="00BC0346">
      <w:pPr>
        <w:pStyle w:val="ListParagraph"/>
        <w:numPr>
          <w:ilvl w:val="0"/>
          <w:numId w:val="37"/>
        </w:numPr>
        <w:spacing w:before="120" w:after="120"/>
        <w:contextualSpacing w:val="0"/>
        <w:jc w:val="both"/>
      </w:pPr>
      <w:r>
        <w:t>Olyan piacot (vagy piacokat) érint, ahol a hagyományos piaci szereplők a piac liberalizációja előtt szereztek piaci erőt.</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Versenyeztetéses ajánlattételi eljárásokat von maga után kialakulóban lévő piacon/piacokon, amikor valamely piaci szereplő erős piaci pozícióval rendelkezik.</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Csak egy vagy különösen korlátozott számú kedvezményezettnek szól.</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Amennyiben a támogatási intézkedés meghatározott technológiai választásra/útvonalra összpontosít, kérjük, indokolja a technológiai választást és azt, miért nem gátolja majd tisztább technológiák bevezetését.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Ha a bejelentett intézkedés(ek) csak egy vagy különösen korlátozott számú kedvezményezettnek szól(nak), az iránymutatás 68. pontjának való megfelelés ellenőrzése céljából:</w:t>
      </w:r>
    </w:p>
    <w:p w14:paraId="4E1C5F60" w14:textId="2612C1BB" w:rsidR="006B1971" w:rsidRPr="00722DE1" w:rsidRDefault="00722DE1" w:rsidP="00BC0346">
      <w:pPr>
        <w:pStyle w:val="ListParagraph"/>
        <w:numPr>
          <w:ilvl w:val="0"/>
          <w:numId w:val="38"/>
        </w:numPr>
        <w:spacing w:before="120" w:after="120"/>
        <w:contextualSpacing w:val="0"/>
        <w:jc w:val="both"/>
      </w:pPr>
      <w:r>
        <w:t>Kérjük 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 az új versenytársakat a piacra lépéstől. E tekintetben azt is fejtse ki, hogy a támogatási intézkedés a kedvezményezett termelési kapacitásának növekedését eredményezi-e.</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Ismertesse a kedvezményezett(ek) támogatásban részesítése által esetlegesen előidőzett versenytorzulás korlátozására hozott intézkedés(eke)t.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Az iránymutatás 69. pontjának való megfelelés ellenőrzése céljából kérjük, fejtse ki az alábbiakat:</w:t>
      </w:r>
    </w:p>
    <w:p w14:paraId="55298360" w14:textId="77777777" w:rsidR="00E62DD7" w:rsidRDefault="00E62DD7" w:rsidP="00BC0346">
      <w:pPr>
        <w:pStyle w:val="ListParagraph"/>
        <w:numPr>
          <w:ilvl w:val="0"/>
          <w:numId w:val="39"/>
        </w:numPr>
        <w:spacing w:before="120" w:after="120"/>
        <w:contextualSpacing w:val="0"/>
        <w:jc w:val="both"/>
      </w:pPr>
      <w:r>
        <w:t xml:space="preserve">A bejelentett intézkedés(ek) keretében nyújtott támogatás gazdasági tevékenységnek a belső piac egy adott régióján belüli megőrzésére vagy más régiókból való áthelyezésére irányul-e.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Ha igen, kérjük, adja meg, mi a bejelentett intézkedés(ek) nettó környezeti hatása, és hogyan javítja/javítják a bejelentett intézkedés(ek) a környezetvédelem meglévő szintjét a tagállamokban.</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Miért nem gyakorol a bejelentett intézkedés(ek) keretében nyújtott támogatás nyilvánvalóan negatív hatást a versenyre és a kereskedelemre.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Egyedi támogatás esetén a kedvezményezett által végrehajtandó beruházások helyszínének kiválasztását meghatározó fő tényezők.</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Az iránymutatás 70. pontjának való megfelelés ellenőrzése céljából:</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Kérjük, erősítse meg, hogy a bejelentett program keretében a támogatást összeegyeztethetőnek nyilvánító bizottsági határozatról szóló értesítés napjától számított legfeljebb tíz éven belül nyújtható támogatás.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Kérjük, erősítse meg, hogy ha a magyar hatóságok a program időtartamát a maximális időtartamon túl kívánják meghosszabbítani, akkor újra bejelentik az intézkedést.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Ha a támogatást egy energiahatékonysági alapnak, megújulóenergia-alapnak vagy más pénzügyi közvetítőnek nyújtott dotáció, tőke, garancia vagy kölcsön formájában nyújtják, az iránymutatás 157. pontjának való megfelelés ellenőrzése céljából:</w:t>
      </w:r>
    </w:p>
    <w:p w14:paraId="04EC5970" w14:textId="36680F60" w:rsidR="00344211" w:rsidRPr="009E0FCA" w:rsidRDefault="00344211" w:rsidP="00BC0346">
      <w:pPr>
        <w:pStyle w:val="ListParagraph"/>
        <w:numPr>
          <w:ilvl w:val="0"/>
          <w:numId w:val="41"/>
        </w:numPr>
        <w:spacing w:before="120" w:after="120"/>
        <w:contextualSpacing w:val="0"/>
        <w:jc w:val="both"/>
      </w:pPr>
      <w:r>
        <w:t>Kérjük, bizonyítsa, hogy a pénzügyi közvetítőket vagy alapkezelőket nyílt, átlátható és megkülönböztetéstől mentes eljárással kell kiválasztani, amelyet az alkalmazandó uniós és nemzeti jogszabályokkal összhangban folytatnak le;</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Kérjük bizonyítsa, fennállnak az annak biztosítását szolgáló feltételek, hogy a pénzügyi közvetítők – beleértve az energiahatékonysági alapokat vagy megújulóenergia-alapokat – irányítása üzleti alapon történik, és biztosítani fogják a nyereségorientált finanszírozási döntéseket;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Kérjük bizonyítsa, hogy az energiahatékonysági alap vagy megújulóenergia-alap vagy más pénzügyi közvetítők vezetőivel szembeni követelmény, hogy az előnyt a lehető legnagyobb mértékben továbbadják a végső kedvezményezetteknek (az épület egy vagy több tulajdonosának vagy bérlőjének), nagyobb finanszírozási volumen, alacsonyabb fedezeti követelmények, alacsonyabb garanciadíjak vagy alacsonyabb kamatlábak formájában.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 támogatás pozitív hatásainak és a versenyre és a kereskedelemre gyakorolt negatív hatásoknak az összevetése</w:t>
            </w:r>
          </w:p>
        </w:tc>
      </w:tr>
    </w:tbl>
    <w:p w14:paraId="2BA426DC" w14:textId="3A9BC05F" w:rsidR="00265702" w:rsidRPr="00863406" w:rsidRDefault="00265702" w:rsidP="00AD5646">
      <w:pPr>
        <w:spacing w:before="120" w:after="120"/>
        <w:jc w:val="both"/>
        <w:rPr>
          <w:i/>
          <w:color w:val="000000"/>
        </w:rPr>
      </w:pPr>
      <w:r>
        <w:rPr>
          <w:i/>
          <w:color w:val="000000"/>
        </w:rPr>
        <w:t xml:space="preserve">Az </w:t>
      </w:r>
      <w:r>
        <w:rPr>
          <w:i/>
        </w:rPr>
        <w:t>e szakaszban kért tájékoztatás közlésével kapcsolatban lásd az iránymutatás 3.3. szakaszát (71–76. pont).</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Az iránymutatás 72. pontjának való megfelelés ellenőrzése érdekében kérjük, fejtse ki, hogy a bejelentett intézkedés(ek) keretében támogatott tevékenységek megfelelnek-e az (EU) 2020/852 európai parlamenti és tanácsi rendelet</w:t>
      </w:r>
      <w:r w:rsidRPr="008772CC">
        <w:rPr>
          <w:rStyle w:val="FootnoteReference"/>
          <w:lang w:eastAsia="en-GB"/>
        </w:rPr>
        <w:footnoteReference w:id="15"/>
      </w:r>
      <w:r>
        <w:t xml:space="preserve"> 3. cikkében a környezeti szempontból fenntartható gazdasági tevékenységekre vonatkozóan </w:t>
      </w:r>
      <w:r>
        <w:rPr>
          <w:shd w:val="clear" w:color="auto" w:fill="FFFFFF"/>
        </w:rPr>
        <w:t>előírt</w:t>
      </w:r>
      <w:r>
        <w:t xml:space="preserve"> kritériumoknak, </w:t>
      </w:r>
      <w:r>
        <w:rPr>
          <w:shd w:val="clear" w:color="auto" w:fill="FFFFFF"/>
        </w:rPr>
        <w:t>beleértve a jelentős károkozás elkerülését célzó elvet vagy más hasonló módszertant</w:t>
      </w:r>
      <w:r>
        <w:t>.</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(Versenyeztetéses ajánlattételi eljárás esetén) Kérjük, fejtse ki, hogy a bejelentett intézkedés(ek) tartalmaz(nak)-e olyan jellemzőket,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Az iránymutatás 74. és 155–156. pontjának való megfelelés igazolása céljából:</w:t>
      </w:r>
    </w:p>
    <w:p w14:paraId="63C203A5" w14:textId="5E6F0AA2" w:rsidR="00976A75" w:rsidRDefault="00976A75" w:rsidP="00BC0346">
      <w:pPr>
        <w:pStyle w:val="ListParagraph"/>
        <w:numPr>
          <w:ilvl w:val="0"/>
          <w:numId w:val="43"/>
        </w:numPr>
        <w:spacing w:before="120" w:after="120"/>
        <w:contextualSpacing w:val="0"/>
        <w:jc w:val="both"/>
      </w:pPr>
      <w:r>
        <w:t>Kérjük, tisztázzák, hogy a földgázüzemű berendezésekbe történő beruházások támogathatók-e a bejelentett intézkedés(ek) alapján. Amennyiben igen, kérjük, bizonyítsa, hogy a támogatás nem fogja eredményezni a piacon már elérhető tisztább alternatívákba irányuló beruházások kiszorítását vagy bizonyos technológiákba való bezáródást. Kérjük, fejtse ki azt is, hogy a földgázüzemű berendezések helyettesítik-e a legszennyezőbb fosszilis tüzelőanyagokat, például olajat és szenet használó energetikai berendezéseket.</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Kérjük, erősítse meg, hogy a szennyező fosszilis tüzelőanyagokat, például olajat és szenet használó berendezésekbe történő beruházások a bejelentett intézkedés(ek) alapján nem jogosultak támogatásra. Kérjük, vegye figyelembe, hogy a fosszilis tüzelőanyagokat, például olajat és szenet használó berendezések telepítéséhez nyújtott támogatás kedvezőtlen hatást gyakorol a versenyre a fosszilis tüzelőanyagok használatához kapcsolódó nagyobb szén-dioxid-kibocsátás, a fosszilis tüzelőanyagok technológiáiba való bezáródás jelentős kockázata, valamint a beruházások tisztább és innovatívabb, a piacon elérhető alternatívákból való kiszorítása miatt.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C. szakasz: Értékelés</w:t>
            </w:r>
          </w:p>
        </w:tc>
      </w:tr>
    </w:tbl>
    <w:p w14:paraId="0E74647B" w14:textId="4714C7EA" w:rsidR="00E752D3" w:rsidRDefault="00E752D3" w:rsidP="00E752D3">
      <w:pPr>
        <w:tabs>
          <w:tab w:val="left" w:leader="dot" w:pos="9072"/>
        </w:tabs>
        <w:spacing w:before="120" w:after="120"/>
        <w:jc w:val="both"/>
      </w:pPr>
      <w:r>
        <w:rPr>
          <w:i/>
        </w:rPr>
        <w:t>Az e szakaszban kért tájékoztatás közlésével kapcsolatban lásd az iránymutatás 5. szakaszát (455–463. pont).</w:t>
      </w:r>
    </w:p>
    <w:p w14:paraId="3B148946" w14:textId="6DA2827A" w:rsidR="005B1125" w:rsidRDefault="005B1125" w:rsidP="00BC0346">
      <w:pPr>
        <w:pStyle w:val="ListParagraph"/>
        <w:numPr>
          <w:ilvl w:val="0"/>
          <w:numId w:val="44"/>
        </w:numPr>
        <w:spacing w:before="120" w:after="120"/>
        <w:ind w:left="567" w:hanging="567"/>
        <w:contextualSpacing w:val="0"/>
        <w:jc w:val="both"/>
      </w:pPr>
      <w:r>
        <w:t>Ha a bejelentett intézkedés(ek) túllépik az iránymutatás 456. pontjában foglalt költségvetést/kiadásokat, kérjük, fejtse ki, hogy álláspontjuk szerint miért alkalmazandó az iránymutatás 457. pontjában meghatározott kivétel, vagy mellékletben csatolja ehhez a bejelentési formanyomtatványhoz az iránymutatás 458. pontjában előírt terjedelmű értékelési terv tervezetét</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Értékelési terv tervezetének benyújtása esetén:</w:t>
      </w:r>
    </w:p>
    <w:p w14:paraId="2908B272" w14:textId="6B17EC45" w:rsidR="005B1125" w:rsidRDefault="00BC0346" w:rsidP="00BC0346">
      <w:pPr>
        <w:pStyle w:val="ListParagraph"/>
        <w:numPr>
          <w:ilvl w:val="0"/>
          <w:numId w:val="46"/>
        </w:numPr>
        <w:spacing w:before="120" w:after="120"/>
        <w:contextualSpacing w:val="0"/>
        <w:jc w:val="both"/>
      </w:pPr>
      <w:r>
        <w:t>Kérjük, az alábbiakban foglalja össze az értékelési terv mellékletben csatolt tervezetét.</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Kérjük erősítse meg, hogy az iránymutatás 460. pontját betartják.</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Kérjük adja meg az értékelési terv közzétételének időpontját és az internetes hivatkozást, ahol nyilvánosan hozzáférhető lesz.</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Az iránymutatás 459. pontja b) alpontjának való megfelelés ellenőrzése céljából, amennyiben a támogatási program jelenleg nem képezi utólagos értékelés tárgyát, és időtartama meghaladja a három évet, kérjük, erősítse meg, hogy az értékelési terv tervezetét 30 munkanapon belül bejelentik az olyan jelentős módosítást követően, amely a program költségvetését bármely évben 150 millió EUR vagy a program teljes időtartama alatt 750 millió EUR fölé növeli.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az értékelési terv tervezetét a tagállam 30 munkanapon belül bejelenti azt követően, hogy az előző évre vonatkozóan 150 millió EUR-t meghaladó kiadások kerülnek be a hivatalos elszámolásba.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Az iránymutatás 461. pontjának való megfelelés ellenőrzése céljából:</w:t>
      </w:r>
    </w:p>
    <w:p w14:paraId="523B7898" w14:textId="4DB1F92C" w:rsidR="005B1125" w:rsidRPr="0051324D" w:rsidRDefault="005B1125" w:rsidP="005D3A8D">
      <w:pPr>
        <w:pStyle w:val="ListParagraph"/>
        <w:numPr>
          <w:ilvl w:val="0"/>
          <w:numId w:val="47"/>
        </w:numPr>
        <w:spacing w:before="120" w:after="120"/>
        <w:contextualSpacing w:val="0"/>
        <w:jc w:val="both"/>
      </w:pPr>
      <w:r>
        <w:t>Kérjük, tisztázza, hogy már kiválasztották-e vagy a későbbiekben fogják kiválasztani a független szakértőt.</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Kérjük, adjon tájékoztatást az a szakértő kiválasztására vonatkozó eljárásról.</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Kérjük, indokolja a szakértő engedélyező hatóságtól való függetlenségét.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Kérjük, erősítse meg, hogy az időközi és a végső értékelési jelentést közzéteszik. Kérjük, adja meg e jelentések közzétételének időpontját és az internetes hivatkozást, ahol nyilvánosan hozzáférhetők lesznek.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D. szakasz: Jelentéstétel és nyomon követés</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Az e szakaszban kért tájékoztatás közlésével kapcsolatban lásd az iránymutatás 6. szakaszát (464. és 465. pont).</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Kérjük, erősítse meg, hogy a tagállam teljesíti az iránymutatás 6. szakaszának 464. és 465. pontjában meghatározott jelentéstételi és nyomonkövetési követelményeket.</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(HL C 80., 2022.2.18., 1. o.).</w:t>
      </w:r>
    </w:p>
  </w:footnote>
  <w:footnote w:id="3">
    <w:p w14:paraId="2A08361A" w14:textId="77777777" w:rsidR="00111EDE" w:rsidRDefault="00111EDE" w:rsidP="00111EDE">
      <w:pPr>
        <w:pStyle w:val="FootnoteText"/>
      </w:pPr>
      <w:r>
        <w:rPr>
          <w:rStyle w:val="FootnoteReference"/>
        </w:rPr>
        <w:footnoteRef/>
      </w:r>
      <w:r>
        <w:tab/>
        <w:t xml:space="preserve">Felhívjuk a figyelmet arra, hogy támogatási program esetében az időtartam annak az időszaknak felel meg, amelyben támogatási kérelmet lehet benyújtani, illetve támogatásról lehet dönteni (tehát ideértve a hatóságok számára a támogatási kérelmek jóváhagyásához szükséges időt is). Az e kérdésben említett időtartam nincs összefüggésben a támogatási program keretében kötött szerződések időtartamával, amely meghaladhatja az intézkedés időtartamát. </w:t>
      </w:r>
    </w:p>
  </w:footnote>
  <w:footnote w:id="4">
    <w:p w14:paraId="18104C0E" w14:textId="77777777" w:rsidR="00111EDE" w:rsidRPr="0067348B" w:rsidRDefault="00111EDE" w:rsidP="00111EDE">
      <w:pPr>
        <w:pStyle w:val="FootnoteText"/>
      </w:pPr>
      <w:r>
        <w:rPr>
          <w:rStyle w:val="FootnoteReference"/>
        </w:rPr>
        <w:footnoteRef/>
      </w:r>
      <w:r>
        <w:tab/>
        <w:t>Felhívjuk a figyelmet arra, hogy a tényleges vagy a becsült költségvetés megváltoztatása a támogatás módosításának minősülhet, amely esetben új bejelentésre lesz szükség.</w:t>
      </w:r>
    </w:p>
  </w:footnote>
  <w:footnote w:id="5">
    <w:p w14:paraId="619B015F" w14:textId="77777777" w:rsidR="00B35947" w:rsidRPr="00CC03BD" w:rsidRDefault="00B35947" w:rsidP="00B35947">
      <w:pPr>
        <w:pStyle w:val="FootnoteText"/>
      </w:pPr>
      <w:r>
        <w:rPr>
          <w:rStyle w:val="FootnoteReference"/>
        </w:rPr>
        <w:footnoteRef/>
      </w:r>
      <w:r>
        <w:t xml:space="preserve"> </w:t>
      </w:r>
      <w:r>
        <w:tab/>
        <w:t>A 74. lábjegyzet előírja, hogy az egy épületelemtípusba történő beruházások célja lehet például az épület ablakainak vagy kazánjainak cseréje, vagy összpontosíthatnak a falszigetelésre.</w:t>
      </w:r>
    </w:p>
  </w:footnote>
  <w:footnote w:id="6">
    <w:p w14:paraId="2024B5EE" w14:textId="0A95B5DE" w:rsidR="006C5D8B" w:rsidRPr="00CF158B" w:rsidRDefault="006C5D8B" w:rsidP="006C5D8B">
      <w:pPr>
        <w:pStyle w:val="FootnoteText"/>
      </w:pPr>
      <w:r>
        <w:rPr>
          <w:rStyle w:val="FootnoteReference"/>
        </w:rPr>
        <w:footnoteRef/>
      </w:r>
      <w:r>
        <w:t xml:space="preserve"> </w:t>
      </w:r>
      <w:r>
        <w:tab/>
        <w:t>Felhívjuk a figyelmet arra, hogy az iránymutatás 38. és 52. pontja, valamint 39. és 45. lábjegyzete további iránymutatást nyújt a valószínűsíthető kontrafaktuális forgatókönyv kidolgozásához.</w:t>
      </w:r>
    </w:p>
  </w:footnote>
  <w:footnote w:id="7">
    <w:p w14:paraId="593783A2" w14:textId="77777777" w:rsidR="005B7459" w:rsidRPr="00114695" w:rsidRDefault="005B7459" w:rsidP="005B7459">
      <w:pPr>
        <w:pStyle w:val="FootnoteText"/>
      </w:pPr>
      <w:r>
        <w:rPr>
          <w:rStyle w:val="FootnoteReference"/>
        </w:rPr>
        <w:footnoteRef/>
      </w:r>
      <w:r>
        <w:t xml:space="preserve"> </w:t>
      </w:r>
      <w:r>
        <w:tab/>
        <w:t>A „referenciaprojekt” fogalmának meghatározása az iránymutatás 19. pontjának 63. alpontjában található.</w:t>
      </w:r>
    </w:p>
  </w:footnote>
  <w:footnote w:id="8">
    <w:p w14:paraId="0BFAE3BE" w14:textId="77777777" w:rsidR="006C5D8B" w:rsidRDefault="006C5D8B" w:rsidP="006C5D8B">
      <w:pPr>
        <w:pStyle w:val="FootnoteText"/>
      </w:pPr>
      <w:r>
        <w:rPr>
          <w:rStyle w:val="FootnoteReference"/>
        </w:rPr>
        <w:footnoteRef/>
      </w:r>
      <w:r>
        <w:t xml:space="preserve"> </w:t>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hasonló, például:</w:t>
      </w:r>
    </w:p>
    <w:p w14:paraId="32FF99E9" w14:textId="09CF0337" w:rsidR="006C5D8B" w:rsidRDefault="006C5D8B" w:rsidP="00BC0346">
      <w:pPr>
        <w:pStyle w:val="FootnoteText"/>
        <w:numPr>
          <w:ilvl w:val="0"/>
          <w:numId w:val="29"/>
        </w:numPr>
      </w:pPr>
      <w:r>
        <w:t>A feltételek (például szerződési feltételek és időtartam, beruházási határidők, a támogatási kifizetések inflációhoz indexáltsága vagy annak hiánya) hasonlók a bejelentett intézkedés(ek)ben javasoltakhoz?</w:t>
      </w:r>
    </w:p>
    <w:p w14:paraId="12C047BB" w14:textId="77777777" w:rsidR="006C5D8B" w:rsidRDefault="006C5D8B" w:rsidP="00BC0346">
      <w:pPr>
        <w:pStyle w:val="FootnoteText"/>
        <w:numPr>
          <w:ilvl w:val="0"/>
          <w:numId w:val="29"/>
        </w:numPr>
      </w:pPr>
      <w:r>
        <w:t>A versenyeztetéses eljárást hasonló makrogazdasági környezetben folytatták le?</w:t>
      </w:r>
    </w:p>
    <w:p w14:paraId="758C7A5E" w14:textId="77777777" w:rsidR="006C5D8B" w:rsidRDefault="006C5D8B" w:rsidP="00BC0346">
      <w:pPr>
        <w:pStyle w:val="FootnoteText"/>
        <w:numPr>
          <w:ilvl w:val="0"/>
          <w:numId w:val="29"/>
        </w:numPr>
      </w:pPr>
      <w:r>
        <w:t>Hasonlók voltak a technológiák/projekttípusok?</w:t>
      </w:r>
    </w:p>
  </w:footnote>
  <w:footnote w:id="9">
    <w:p w14:paraId="590F3FC7" w14:textId="30CB4935" w:rsidR="00770302" w:rsidRPr="003D1C23" w:rsidRDefault="00770302" w:rsidP="00821F07">
      <w:pPr>
        <w:pStyle w:val="FootnoteText"/>
      </w:pPr>
      <w:r>
        <w:rPr>
          <w:rStyle w:val="FootnoteReference"/>
        </w:rPr>
        <w:footnoteRef/>
      </w:r>
      <w:r>
        <w:t xml:space="preserve"> </w:t>
      </w:r>
      <w:r>
        <w:tab/>
        <w:t>Az iránymutatás 19. pontjának 89. alpontja szerint az „uniós szabvány”:</w:t>
      </w:r>
    </w:p>
    <w:p w14:paraId="340A0B20" w14:textId="77777777" w:rsidR="00770302" w:rsidRPr="003D1C23" w:rsidRDefault="00770302" w:rsidP="00BC0346">
      <w:pPr>
        <w:pStyle w:val="FootnoteText"/>
        <w:numPr>
          <w:ilvl w:val="0"/>
          <w:numId w:val="26"/>
        </w:numPr>
      </w:pPr>
      <w: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2AC4E0B" w14:textId="609C0B25" w:rsidR="00770302" w:rsidRPr="003D1C23" w:rsidRDefault="00770302" w:rsidP="00BC0346">
      <w:pPr>
        <w:pStyle w:val="FootnoteText"/>
        <w:numPr>
          <w:ilvl w:val="0"/>
          <w:numId w:val="26"/>
        </w:numPr>
      </w:pPr>
      <w: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10">
    <w:p w14:paraId="6853F00F" w14:textId="1EBBBF50" w:rsidR="00770302" w:rsidRPr="007E4A3E" w:rsidRDefault="00770302">
      <w:pPr>
        <w:pStyle w:val="FootnoteText"/>
      </w:pPr>
      <w:r>
        <w:rPr>
          <w:rStyle w:val="FootnoteReference"/>
        </w:rPr>
        <w:footnoteRef/>
      </w:r>
      <w:r>
        <w:t xml:space="preserve"> </w:t>
      </w:r>
      <w:r>
        <w:tab/>
        <w:t>A megtérülési idő a befektetés költségének (támogatás nélküli) megtérüléséhez szükséges idő.</w:t>
      </w:r>
    </w:p>
  </w:footnote>
  <w:footnote w:id="11">
    <w:p w14:paraId="2937680B" w14:textId="77777777" w:rsidR="006C2F85" w:rsidRPr="0095488F" w:rsidRDefault="006C2F85" w:rsidP="006C2F85">
      <w:pPr>
        <w:pStyle w:val="FootnoteText"/>
      </w:pPr>
      <w:r>
        <w:rPr>
          <w:rStyle w:val="FootnoteReference"/>
        </w:rPr>
        <w:footnoteRef/>
      </w:r>
      <w:r>
        <w:t xml:space="preserve"> </w:t>
      </w:r>
      <w:r>
        <w:tab/>
        <w:t>Lásd még az iránymutatás 51–53. pontjában, valamint 45. és 46. lábjegyzetében foglalt további tájékoztatást.</w:t>
      </w:r>
    </w:p>
  </w:footnote>
  <w:footnote w:id="12">
    <w:p w14:paraId="739A8028" w14:textId="082B93E2" w:rsidR="009A7FA6" w:rsidRPr="007D07E2" w:rsidRDefault="009A7FA6" w:rsidP="009A7FA6">
      <w:pPr>
        <w:pStyle w:val="FootnoteText"/>
      </w:pPr>
      <w:r>
        <w:rPr>
          <w:rStyle w:val="FootnoteReference"/>
        </w:rPr>
        <w:footnoteRef/>
      </w:r>
      <w:r>
        <w:t xml:space="preserve"> </w:t>
      </w:r>
      <w:r>
        <w:tab/>
        <w:t>Felhívjuk a figyelmet arra, hogy az iránymutatás 38., 52., 165., 166. és 167. pontja, valamint 39. és 45. lábjegyzete további iránymutatást nyújt a valószínűsíthető kontrafaktuális forgatókönyv kidolgozásához.</w:t>
      </w:r>
    </w:p>
  </w:footnote>
  <w:footnote w:id="13">
    <w:p w14:paraId="68255F0B" w14:textId="33EEB9D6" w:rsidR="005679B2" w:rsidRDefault="005679B2" w:rsidP="005679B2">
      <w:pPr>
        <w:pStyle w:val="FootnoteText"/>
      </w:pPr>
      <w:r>
        <w:rPr>
          <w:rStyle w:val="FootnoteReference"/>
        </w:rPr>
        <w:footnoteRef/>
      </w:r>
      <w:r>
        <w:t xml:space="preserve"> </w:t>
      </w:r>
      <w:r>
        <w:tab/>
        <w:t>Kérjük, vegye figyelembe, hogy az iránymutatás 44. lábjegyzete a következőképpen rendelkezik: „</w:t>
      </w:r>
      <w:r>
        <w:rPr>
          <w:i/>
          <w:color w:val="000000"/>
          <w:shd w:val="clear" w:color="auto" w:fill="FFFFFF"/>
        </w:rPr>
        <w:t>A környezetvédelmi egységek értékelésekor a tagállamok például olyan módszertant dolgozhatnak ki, amely figyelembe veszi a támogatott gazdasági tevékenység különböző szakaszaiban előforduló kibocsátásokat vagy egyéb szennyezéseket, a projekt megvalósításához szükséges időt vagy a rendszerintegrációs költségeket. Amikor a tagállamok az igényelt támogatási összeget a fő célkitűzésekhez való hozzájáruláshoz viszonyítják, például súlyozhatják a különböző objektív kritériumokat, és az objektív kritériumok súlyozott átlagának egységenkénti összege alapján választhatnak, vagy az objektív kritériumok közül a legalacsonyabb egységnyi támogatási összeggel rendelkező ajánlatok közül választhatják ki azokat, amelyek az objektív kritériumok alapján a legmagasabb pontszámot kapják. Az ilyen megközelítés paramétereit úgy kell kalibrálni, hogy az ajánlattételi eljárás megkülönböztetéstől mentes legyen, tényleges versenyt eredményezzen és a gazdasági értéket tükrözze.”</w:t>
      </w:r>
    </w:p>
  </w:footnote>
  <w:footnote w:id="14">
    <w:p w14:paraId="7C525AD8" w14:textId="7D6CBC42" w:rsidR="004345D1" w:rsidRDefault="004345D1" w:rsidP="004345D1">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5">
    <w:p w14:paraId="67F58827" w14:textId="11D260F2" w:rsidR="001A0689" w:rsidRPr="008772CC" w:rsidRDefault="001A0689" w:rsidP="001A0689">
      <w:pPr>
        <w:pStyle w:val="FootnoteText"/>
      </w:pPr>
      <w:r>
        <w:rPr>
          <w:rStyle w:val="FootnoteReference"/>
        </w:rPr>
        <w:footnoteRef/>
      </w:r>
      <w:r>
        <w:t xml:space="preserve"> </w:t>
      </w:r>
      <w:r>
        <w:tab/>
        <w:t>Az Európai Parlament és a Tanács (EU) 2020/852 rendelete (2020. június 18.) a fenntartható befektetések előmozdítását célzó keret létrehozásáról, valamint az (EU) 2019/2088 rendelet módosításáról (HL L 198., 2020.6.22., 13. o.).</w:t>
      </w:r>
    </w:p>
  </w:footnote>
  <w:footnote w:id="16">
    <w:p w14:paraId="2031DE19" w14:textId="508259E6" w:rsidR="005B1125" w:rsidRDefault="005B1125" w:rsidP="005B1125">
      <w:pPr>
        <w:pStyle w:val="FootnoteText"/>
      </w:pPr>
      <w:r>
        <w:rPr>
          <w:rStyle w:val="FootnoteReference"/>
        </w:rPr>
        <w:footnoteRef/>
      </w:r>
      <w:r>
        <w:t xml:space="preserve"> </w:t>
      </w:r>
      <w:r>
        <w:tab/>
        <w:t xml:space="preserve">Az értékelési terv bejelentésére szolgáló kiegészítő adatlap (III.8. rész) sablonja a következő internetcímen érhető el: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multilevel"/>
    <w:tmpl w:val="A8845F6E"/>
    <w:lvl w:ilvl="0">
      <w:start w:val="1"/>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5655"/>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A62"/>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hu-HU"/>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4755</Words>
  <Characters>34284</Characters>
  <DocSecurity>0</DocSecurity>
  <Lines>714</Lines>
  <Paragraphs>206</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