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Časť III.6 – </w:t>
            </w:r>
          </w:p>
          <w:p w14:paraId="1C239D2C" w14:textId="40222408" w:rsidR="000442F5" w:rsidRPr="009916D5" w:rsidRDefault="1AB540F5" w:rsidP="008D5ADF">
            <w:pPr>
              <w:pStyle w:val="Heading2"/>
              <w:spacing w:before="240" w:after="240"/>
              <w:jc w:val="center"/>
              <w:rPr>
                <w:sz w:val="32"/>
                <w:szCs w:val="32"/>
              </w:rPr>
            </w:pPr>
            <w:r>
              <w:rPr>
                <w:color w:val="000000"/>
                <w:sz w:val="32"/>
              </w:rPr>
              <w:t xml:space="preserve">Aktualizovaný* </w:t>
            </w:r>
            <w:r>
              <w:rPr>
                <w:sz w:val="32"/>
              </w:rPr>
              <w:t>formulár doplňujúcich informácií v prípade štátnej pomoci, na ktorej poskytovanie sa vzťahujú usmernenia o štátnej pomoci v oblasti klímy, ochrany životného prostredia a energetiky na rok 2022 (ďalej len „CEEAG“)</w:t>
            </w:r>
            <w:r>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Kapitola 4.2. – Pomoc v oblasti zvyšovania energetickej hospodárnosti a environmentálnych vlastností budov</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zatiaľ formálne neprijatý</w:t>
            </w:r>
            <w:r>
              <w:rPr>
                <w:rStyle w:val="eop"/>
              </w:rPr>
              <w:t xml:space="preserve">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Tento formulár doplňujúcich informácií musí byť použitý na oznámenie každej pomoci, na ktorú sa vzťahujú usmernenia o štátnej pomoci v oblasti klímy, ochrany životného prostredia a energetiky na rok 2022 (ďalej len „CEEAG“).</w:t>
      </w:r>
    </w:p>
    <w:p w14:paraId="17CF3DD5" w14:textId="162501A6" w:rsidR="009E2EA1" w:rsidRDefault="1D5D3D78" w:rsidP="118DF711">
      <w:pPr>
        <w:spacing w:before="120" w:after="120"/>
        <w:ind w:right="-142"/>
        <w:jc w:val="both"/>
        <w:rPr>
          <w:rFonts w:eastAsia="Times New Roman"/>
          <w:i/>
          <w:iCs/>
          <w:szCs w:val="24"/>
        </w:rPr>
      </w:pPr>
      <w:r>
        <w:rPr>
          <w:i/>
        </w:rPr>
        <w:t xml:space="preserve">Tento formulár doplňujúcich informácií sa týka opatrení, na ktoré sa vzťahuje kapitola 4.2 CEEAG. Ak oznámenie obsahuje opatrenia, ktoré sú zahrnuté vo viac ako jednej kapitole CEEAG, vyplňte aj príslušný formulár doplňujúcich informácií, ktorý sa týka príslušnej kapitoly CEEAG. </w:t>
      </w:r>
    </w:p>
    <w:p w14:paraId="3C67E530" w14:textId="776D64C2" w:rsidR="1541A55D" w:rsidRDefault="1541A55D" w:rsidP="00135DD2">
      <w:pPr>
        <w:spacing w:before="120" w:after="120"/>
        <w:ind w:right="-142"/>
        <w:jc w:val="both"/>
        <w:rPr>
          <w:rFonts w:eastAsia="Times New Roman"/>
          <w:i/>
          <w:iCs/>
          <w:szCs w:val="24"/>
        </w:rPr>
      </w:pPr>
      <w:r>
        <w:rPr>
          <w:i/>
        </w:rPr>
        <w:t>Všetky doklady poskytnuté členskými štátmi v prílohe k tomuto formuláru doplňujúcich informácií sa musia očíslovať a čísla dokumentov sa musia uviesť v príslušných oddieloch tohto formulára doplňujúcich informácií.</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Oddiel A: Zhrnutie hlavných charakteristík notifikovaného opatrenia (notifikovaných opatrení)</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Kontext a cieľ (ciele) notifikovaného opatrenia (notifikovaných opatrení)</w:t>
      </w:r>
      <w:r>
        <w:t>:</w:t>
      </w:r>
    </w:p>
    <w:p w14:paraId="437F042E" w14:textId="62F95870" w:rsidR="00111EDE" w:rsidRPr="007159A8" w:rsidRDefault="00111EDE" w:rsidP="00BC0346">
      <w:pPr>
        <w:pStyle w:val="ListParagraph"/>
        <w:numPr>
          <w:ilvl w:val="0"/>
          <w:numId w:val="20"/>
        </w:numPr>
        <w:spacing w:after="240"/>
        <w:ind w:left="993" w:hanging="142"/>
        <w:jc w:val="both"/>
      </w:pPr>
      <w:r>
        <w:t>Ak už neboli uvedené v oddiele 5.2 formulára všeobecných informácií (časť I), uveďte kontext a hlavný cieľ vrátane všetkých cieľov Únie, ktoré má opatrenie podporiť v oblasti energetickej hospodárnosti a environmentálnych vlastností budov.</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Uveďte všetky ďalšie ciele sledované opatrením. V prípade všetkých cieľov, ktoré nemajú čisto environmentálny charakter, vysvetlite, či môžu viesť k narušeniu hospodárskej súťaže na vnútornom trhu.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Nadobudnutie účinnosti a trvanie</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V rozsahu, ktorý ešte nebol uvedený v oddiele 5.5 formulára všeobecných informácií (časť I), uveďte dátum, od ktorého sa plánuje nadobudnutie účinnosti schémy pomoci.</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Uveďte trvanie schémy</w:t>
      </w:r>
      <w:r>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Príjemca (príjemcovia)</w:t>
      </w:r>
      <w:r>
        <w:t>:</w:t>
      </w:r>
      <w:r>
        <w:tab/>
      </w:r>
    </w:p>
    <w:p w14:paraId="101D761C" w14:textId="56E0EA95" w:rsidR="00111EDE" w:rsidRDefault="00111EDE" w:rsidP="00BC0346">
      <w:pPr>
        <w:pStyle w:val="ListParagraph"/>
        <w:numPr>
          <w:ilvl w:val="0"/>
          <w:numId w:val="21"/>
        </w:numPr>
        <w:spacing w:after="240"/>
        <w:ind w:hanging="229"/>
        <w:jc w:val="both"/>
        <w:rPr>
          <w:szCs w:val="24"/>
        </w:rPr>
      </w:pPr>
      <w:r>
        <w:t>Ak ste to ešte neuviedli v oddiele 3 formulára všeobecných informácií (časť I), opíšte (potenciálneho) príjemcu, resp. (potenciálnych) príjemcov opatrenia (opatrení)</w:t>
      </w:r>
      <w:r w:rsidR="00186860">
        <w:t>.</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Uveďte sídlo príjemcu (príjemcov) (t. j. či sa na opatrení môžu zúčastniť len hospodárske subjekty so sídlom v príslušnom členskom štáte alebo aj v iných členských štátoch).</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Na posúdenie súladu s bodom 15 CEEAG uveďte, či sa pomoc poskytuje v rámci opatrenia (opatrení) v prospech podniku (jednotlivca alebo časti schémy), voči </w:t>
      </w:r>
      <w:r>
        <w:lastRenderedPageBreak/>
        <w:t xml:space="preserve">ktorému je nárokované vrátenie pomoci na základe predchádzajúceho rozhodnutia Komisie, v ktorom bola táto pomoc označená za neoprávnenú a nezlučiteľnú s vnútorným trhom.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V kladnom prípade uveďte informácie o výške pomoci, ktorá sa ešte má vrátiť, aby ju Komisia mohla zohľadniť pri posúdení opatrenia (opatrení) pomoci.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Potvrďte, že opatrenie nezahŕňa (opatrenia nezahŕňajú) pomoc na činnosti, ktoré nepatria do rozsahu pôsobnosti CEEAG (pozri bod 13 CEEAG). V opačnom prípade uveďte podrobné informácie.</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Rozpočet a financovanie opatrenia (opatrení)</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Ak ešte nie je uvedený v tabuľke v oddiele 7.1 formulára všeobecných informácií (časť I), uveďte ročný a/alebo celkový rozpočet na celé obdobie trvania opatrenia (opatrení); ak celkový rozpočet nie je známy (napríklad preto, že závisí od výsledkov verejných súťaží), uveďte odhadovaný rozpočet vrátane predpokladov použitých pri výpočte príslušného odhadovaného rozpočtu</w:t>
      </w:r>
      <w:r>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Ak sa opatrenie financuje (opatrenia financujú) prostredníctvom poplatku, objasnite, či:</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je poplatok stanovený zákonom alebo iným legislatívnym aktom; v kladnom prípade uveďte právny akt, číslo a dátum jeho prijatia a nadobudnutia účinnosti, internetový odkaz na právny akt;</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sa poplatok ukladá rovnako na domáce aj dovážané výrobky;</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z notifikovaného opatrenia (notifikovaných opatrení) budú rovnako čerpať výhody domáce aj dovážané výrobky;</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poplatok slúži na financovanie opatrenia (opatrení) v plnej výške alebo len čiastočne. Ak sa z poplatku financuje opatrenie len čiastočne, uveďte ostatné zdroje financovania opatrenia a ich príslušný podiel;</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z poplatku, z ktorého sa financuje notifikované opatrenie (financujú notifikované opatrenia), sa financujú aj iné opatrenia pomoci. Ak áno, uveďte ostatné opatrenia pomoci financované z príslušného poplatku.</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520A46A2" w:rsidR="000442F5" w:rsidRPr="009916D5" w:rsidRDefault="009916D5" w:rsidP="00DE2433">
            <w:pPr>
              <w:spacing w:before="120" w:after="120"/>
              <w:jc w:val="center"/>
              <w:rPr>
                <w:b/>
                <w:sz w:val="32"/>
                <w:szCs w:val="32"/>
              </w:rPr>
            </w:pPr>
            <w:r>
              <w:lastRenderedPageBreak/>
              <w:br w:type="page"/>
            </w:r>
            <w:r w:rsidR="000442F5">
              <w:rPr>
                <w:b/>
                <w:sz w:val="32"/>
              </w:rPr>
              <w:t>Oddiel B: Posúdenie zlučiteľnosti pomoci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Pozitívna podmienka: pomoc musí uľahčovať rozvoj určitej hospodárskej činnosti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Prispievanie k rozvoju hospodárskej činnosti</w:t>
            </w:r>
          </w:p>
        </w:tc>
      </w:tr>
    </w:tbl>
    <w:p w14:paraId="1E2599D2" w14:textId="2170AE0B" w:rsidR="000442F5" w:rsidRPr="00DB40A5" w:rsidRDefault="000442F5" w:rsidP="00A029BF">
      <w:pPr>
        <w:spacing w:before="120" w:after="120"/>
        <w:jc w:val="both"/>
        <w:rPr>
          <w:i/>
        </w:rPr>
      </w:pPr>
      <w:r>
        <w:rPr>
          <w:i/>
        </w:rPr>
        <w:t xml:space="preserve">Pri vypĺňaní tohto oddielu postupujte podľa informácií v oddiele 3.1.1 (body 23 – 25) a v </w:t>
      </w:r>
      <w:r>
        <w:rPr>
          <w:i/>
          <w:color w:val="000000"/>
        </w:rPr>
        <w:t>oddieloch 4.2.1 a 4.2.2 (body 136 – 140)</w:t>
      </w:r>
      <w:r>
        <w:rPr>
          <w:i/>
        </w:rPr>
        <w:t xml:space="preserve"> CEEAG.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V článku 107 ods. 3 písm. c) Zmluvy o fungovaní Európskej únie (ZFEÚ) sa stanovuje, že Komisia môže za zlučiteľnú vyhlásiť „</w:t>
      </w:r>
      <w:r>
        <w:rPr>
          <w:i/>
        </w:rPr>
        <w:t>pomoc na uľahčenie rozvoja určitých hospodárskych činností alebo určitých hospodárskych oblastí, za predpokladu, že táto podpora nepriaznivo neovplyvní podmienky obchodu tak, že by to bolo v rozpore so spoločným záujmom</w:t>
      </w:r>
      <w:r>
        <w:t xml:space="preserve">“. Zlučiteľná pomoc podľa uvedeného ustanovenia ZFEÚ preto musí prispievať k rozvoju určitej hospodárskej činnosti. </w:t>
      </w:r>
    </w:p>
    <w:p w14:paraId="4422EB0C" w14:textId="77777777" w:rsidR="00EA08CE" w:rsidRDefault="00EA08CE" w:rsidP="00AE72C0">
      <w:pPr>
        <w:pStyle w:val="ListParagraph"/>
        <w:spacing w:before="120" w:after="120"/>
        <w:ind w:left="567"/>
        <w:contextualSpacing w:val="0"/>
        <w:jc w:val="both"/>
      </w:pPr>
      <w:r>
        <w:t xml:space="preserve">Na posúdenie súladu s bodom 23 CEEAG uveďte, aké hospodárske činnosti sa v dôsledku pomoci uľahčia a ako sa podporí rozvoj týchto činností.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Na posúdenie súladu s bodom 25 CEEAG opíšte, či a ako pomoc prispeje k dosahovaniu cieľov politiky Únie v oblasti klímy, životného prostredia a energetiky, a konkrétnejšie opíšte aj očakávané prínosy pomoci, pokiaľ ide o jej významný prínos k ochrane životného prostredia vrátane zmiernenia zmeny klímy alebo o efektívne fungovanie vnútorného trhu s energiou. </w:t>
      </w:r>
    </w:p>
    <w:p w14:paraId="6BA1AB7B" w14:textId="47A34289" w:rsidR="00422410" w:rsidRDefault="00422410" w:rsidP="00422410">
      <w:pPr>
        <w:pStyle w:val="ListParagraph"/>
        <w:spacing w:before="120" w:after="120"/>
        <w:ind w:left="567"/>
        <w:contextualSpacing w:val="0"/>
        <w:jc w:val="both"/>
      </w:pPr>
      <w:r>
        <w:t xml:space="preserve">Okrem toho zdôraznite, do akej miery sa pomoc týka politík opísaných v bode 135 CEEAG.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Opíšte požiadavky na oprávnenosť príjemcu (príjemcov) [napríklad uvedením všetkých technických, environmentálnych (t. j. povolení), finančných (t. j. zábezpek) alebo iných požiadaviek, ktoré musí príjemca (musia príjemcovia) splniť].</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Uveďte informácie o presnom rozsahu a presných činnostiach, ktoré podporuje opatrenie (podporujú opatrenia) pomoci, ako je uvedené v oddiele 4.2.2 CEEAG. Ide najmä o:</w:t>
      </w:r>
    </w:p>
    <w:p w14:paraId="32AFD134" w14:textId="61E8FF48" w:rsidR="00B35947" w:rsidRDefault="00B35947" w:rsidP="008D5ADF">
      <w:pPr>
        <w:pStyle w:val="ListParagraph"/>
        <w:numPr>
          <w:ilvl w:val="1"/>
          <w:numId w:val="4"/>
        </w:numPr>
        <w:spacing w:before="120" w:after="120"/>
        <w:contextualSpacing w:val="0"/>
        <w:jc w:val="both"/>
      </w:pPr>
      <w:r>
        <w:t>Vysvetlite, či opatrenie (opatrenia) pomoci poskytuje iba pomoc na zvýšenie energetickej hospodárnosti budov alebo kombinuje pomoc na zvýšenie energetickej hospodárnosti budov s pomocou na ktorúkoľvek alebo na všetky investície uvedené v bode 137 CEEAG. V druhom prípade objasnite, ktoré z investícií sú oprávnené na pomoc v rámci opatrenia (opatrení).</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Vysvetlite, či opatrenie (opatrenia) pomoci zahŕňa (zahŕňajú) aj druhy pomoci, ktoré sú vylúčené z rozsahu pôsobnosti oddielu 4.2 CEEAG na základe bodu 138 týchto usmernení. V kladnom prípade je potrebné predložiť príslušné </w:t>
      </w:r>
      <w:r>
        <w:lastRenderedPageBreak/>
        <w:t xml:space="preserve">formuláre oznámenia týkajúce sa príslušnej časti (príslušných častí) opatrenia (opatrení). </w:t>
      </w:r>
    </w:p>
    <w:p w14:paraId="57FA6980" w14:textId="77777777" w:rsidR="00B35947" w:rsidRDefault="00B35947" w:rsidP="008D5ADF">
      <w:pPr>
        <w:tabs>
          <w:tab w:val="left" w:leader="dot" w:pos="9072"/>
        </w:tabs>
        <w:spacing w:before="120" w:after="120"/>
        <w:ind w:left="1077"/>
        <w:jc w:val="both"/>
      </w:pPr>
      <w:r>
        <w:tab/>
      </w:r>
    </w:p>
    <w:p w14:paraId="3CAE3C66" w14:textId="1F58BAD2" w:rsidR="00B35947" w:rsidRDefault="00B35947" w:rsidP="00EB1C1A">
      <w:pPr>
        <w:pStyle w:val="ListParagraph"/>
        <w:numPr>
          <w:ilvl w:val="0"/>
          <w:numId w:val="4"/>
        </w:numPr>
        <w:spacing w:before="120" w:after="120"/>
        <w:ind w:left="567" w:hanging="567"/>
        <w:contextualSpacing w:val="0"/>
        <w:jc w:val="both"/>
      </w:pPr>
      <w:r>
        <w:t>Uveďte, či sa pomoc poskytnutá v rámci opatrenia (opatrení) týka obnovy existujúcich budov, inštalácie alebo výmeny len jedného typu prvku budov</w:t>
      </w:r>
      <w:r>
        <w:rPr>
          <w:rStyle w:val="FootnoteReference"/>
        </w:rPr>
        <w:footnoteReference w:id="5"/>
      </w:r>
      <w:r>
        <w:t xml:space="preserve"> a/alebo investícií do energetickej hospodárnosti nových budov, ako je vymedzené v bode 139 [písm. a) až c)] CEEAG.</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Preukážte, že pomoc poskytnutá v rámci opatrenia (opatrení) pomoci povedie k zvýšeniu energetickej hospodárnosti požadovanému v bode 139 [prípadne písm. a) až c)] CEEAG.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Uveďte, či sa pomoc v rámci opatrenia (opatrení) pomoci poskytuje MSP a malým spoločnostiam so strednou trhovou kapitalizáciou, ktoré sú poskytovateľmi opatrení na zvýšenie energetickej hospodárnosti, a to na uľahčenie uzatvárania zmlúv o energetickej efektívnosti, ako je uvedené v bode 140 CEEAG.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Stimulačný účinok</w:t>
            </w:r>
          </w:p>
        </w:tc>
      </w:tr>
    </w:tbl>
    <w:p w14:paraId="20915284" w14:textId="0D70BA96" w:rsidR="00015E2B" w:rsidRPr="00A05235" w:rsidRDefault="00B15313" w:rsidP="00A029BF">
      <w:pPr>
        <w:spacing w:before="120" w:after="120"/>
        <w:jc w:val="both"/>
        <w:rPr>
          <w:i/>
        </w:rPr>
      </w:pPr>
      <w:r>
        <w:rPr>
          <w:i/>
        </w:rPr>
        <w:t xml:space="preserve">Pri vypĺňaní tohto oddielu postupujte podľa informácií v oddiele 3.1.2 (body 26 – 32) a v oddiele 4.2.3 (body 141 – 143) CEEAG.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Len pomoc, ktorá má stimulačný účinok, sa môže považovať za pomoc uľahčujúcu hospodársku činnosť. Na posúdenie súladu s bodom 26 CEEAG vysvetlite, ako opatrenie (opatrenia) </w:t>
      </w:r>
      <w:r>
        <w:rPr>
          <w:i/>
        </w:rPr>
        <w:t>„motivuje (motivujú) príjemcu k zmene správania, zapojeniu sa do ďalšej hospodárskej činnosti alebo do hospodárskej činnosti šetrnejšej k životnému prostrediu, ktorú by bez pomoci nevykonával alebo ktorú by vykonával v obmedzenej miere či iným spôsobom“</w:t>
      </w:r>
      <w:r>
        <w:t>. Okrem toho s cieľom posúdiť súlad s bodom 27 CEEAG potvrďte, že opatrením sa „</w:t>
      </w:r>
      <w:r>
        <w:rPr>
          <w:i/>
        </w:rPr>
        <w:t>nekompenzuje bežné obchodné riziko hospodárskej činnosti</w:t>
      </w:r>
      <w:r>
        <w:t>“ a stručne vysvetlite prečo.</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Podľa bodu 28 CEEAG:</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Uveďte komplexný opis faktického scenára, ktorý sa očakáva v dôsledku opatrenia pomoci, a pravdepodobného </w:t>
      </w:r>
      <w:proofErr w:type="spellStart"/>
      <w:r>
        <w:t>kontrafaktuálneho</w:t>
      </w:r>
      <w:proofErr w:type="spellEnd"/>
      <w:r>
        <w:t xml:space="preserve"> scenára (pravdepodobných </w:t>
      </w:r>
      <w:proofErr w:type="spellStart"/>
      <w:r>
        <w:t>kontrafaktuálnych</w:t>
      </w:r>
      <w:proofErr w:type="spellEnd"/>
      <w:r>
        <w:t xml:space="preserve"> scenárov) bez opatrenia pomoci</w:t>
      </w:r>
      <w:r>
        <w:rPr>
          <w:rStyle w:val="FootnoteReference"/>
        </w:rPr>
        <w:footnoteReference w:id="6"/>
      </w:r>
      <w:r>
        <w:t xml:space="preserve">. Ak očakávate, že môžu byť podporené rôzne kategórie príjemcov, uistite sa, že </w:t>
      </w:r>
      <w:proofErr w:type="spellStart"/>
      <w:r>
        <w:t>kontrafaktuálny</w:t>
      </w:r>
      <w:proofErr w:type="spellEnd"/>
      <w:r>
        <w:t xml:space="preserve"> scenár je dôveryhodný pre každú z týchto kategórií.</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lastRenderedPageBreak/>
        <w:t xml:space="preserve">V prípade potreby stručne vysvetlite dôvody výberu pravdepodobného </w:t>
      </w:r>
      <w:proofErr w:type="spellStart"/>
      <w:r>
        <w:t>kontrafaktuálneho</w:t>
      </w:r>
      <w:proofErr w:type="spellEnd"/>
      <w:r>
        <w:t xml:space="preserve"> scenára (pravdepodobných </w:t>
      </w:r>
      <w:proofErr w:type="spellStart"/>
      <w:r>
        <w:t>kontrafaktuálnych</w:t>
      </w:r>
      <w:proofErr w:type="spellEnd"/>
      <w:r>
        <w:t xml:space="preserve"> scenárov) vzhľadom na rôzne navrhované kategórie príjemcov.</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Vyčíslite náklady a príjmy v rámci faktických a </w:t>
      </w:r>
      <w:proofErr w:type="spellStart"/>
      <w:r>
        <w:t>kontrafaktuálnych</w:t>
      </w:r>
      <w:proofErr w:type="spellEnd"/>
      <w:r>
        <w:t xml:space="preserve"> scenárov a v prípade potreby zdôvodnite zmenu správania za každú kategóriu príjemcov na základe: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príslušného referenčného projektu (príslušných referenčných projektov)</w:t>
      </w:r>
      <w:r>
        <w:rPr>
          <w:vertAlign w:val="superscript"/>
        </w:rPr>
        <w:footnoteReference w:id="7"/>
      </w:r>
      <w:r>
        <w:t xml:space="preserve">, zodpovedajúcich </w:t>
      </w:r>
      <w:proofErr w:type="spellStart"/>
      <w:r>
        <w:t>kontrafaktuálnych</w:t>
      </w:r>
      <w:proofErr w:type="spellEnd"/>
      <w:r>
        <w:t xml:space="preserve"> scenárov a výslednej likvidnej medzery;</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ALEBO</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relevantných kvantitatívnych dôkazoch založených na prieskumoch trhu (najmä prieskumoch očakávanej doby návratnosti), investorských plánoch, finančných správach alebo iných kvantitatívnych dôkazoch vrátane prípadných ponúk pre podobné projekty v nedávnych porovnateľných súťažných výberových konaniach</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Na preukázanie súladu s bodmi 29 a 31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Potvrďte, že k začatiu prác na projekte alebo činnosti nedošlo pred písomnou žiadosťou o pomoc, ktorú príjemca predložil vnútroštátnym orgánom;</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ALEBO</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V prípade projektov, ktoré sa začali pred podaním žiadosti o pomoc, dokážte, že projekt patrí do jedného z výnimočných prípadov uvedených v bode 31 písm. a), b) alebo c) CEEAG.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Na preukázanie súladu s bodom 30 CEEAG potvrďte, že žiadosť o pomoc obsahuje aspoň meno žiadateľa, opis projektu alebo činnosti vrátane miesta, kde sa uskutočnia, a výšku pomoci potrebnej na ich realizáciu.</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34176E7E" w14:textId="77777777" w:rsidR="00BB0F60" w:rsidRDefault="00BB0F60" w:rsidP="00BB0F60">
      <w:pPr>
        <w:pStyle w:val="ListParagraph"/>
        <w:spacing w:before="120" w:after="120"/>
        <w:ind w:left="0"/>
        <w:contextualSpacing w:val="0"/>
        <w:jc w:val="both"/>
      </w:pPr>
    </w:p>
    <w:p w14:paraId="01F69B70" w14:textId="77777777" w:rsidR="00BB0F60" w:rsidRDefault="00BB0F60" w:rsidP="00BB0F60">
      <w:pPr>
        <w:pStyle w:val="ListParagraph"/>
      </w:pPr>
    </w:p>
    <w:p w14:paraId="0BA9B2F2" w14:textId="6F448E63" w:rsidR="0025374D" w:rsidRPr="008D5ADF" w:rsidRDefault="00305DC0" w:rsidP="005E45B5">
      <w:pPr>
        <w:pStyle w:val="ListParagraph"/>
        <w:numPr>
          <w:ilvl w:val="0"/>
          <w:numId w:val="4"/>
        </w:numPr>
        <w:spacing w:before="120" w:after="120"/>
        <w:ind w:left="567" w:hanging="567"/>
        <w:contextualSpacing w:val="0"/>
        <w:jc w:val="both"/>
      </w:pPr>
      <w:r>
        <w:lastRenderedPageBreak/>
        <w:t>Na preukázanie súladu s bodmi 32 a 142 CEEAG:</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Uveďte, či existujú normy Únie</w:t>
      </w:r>
      <w:r>
        <w:rPr>
          <w:vertAlign w:val="superscript"/>
        </w:rPr>
        <w:footnoteReference w:id="9"/>
      </w:r>
      <w:r>
        <w:t xml:space="preserve"> uplatniteľné na notifikované opatrenie (notifikované opatrenia), povinné vnútroštátne normy, ktoré sú prísnejšie alebo ambicióznejšie ako príslušné normy Únie, alebo povinné vnútroštátne normy prijaté v prípade, že neexistujú normy.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V prípadoch, keď právne predpisy Únie ukladajú normy Únie, potvrďte a dokážte, že pomoc má stimulačný účinok, pretože motivuje na uskutočnenie a dokončenie investície aspoň 18 mesiacov pred nadobudnutím účinnosti normy.</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Vysvetlite, či sú projekty s dobou návratnosti</w:t>
      </w:r>
      <w:r>
        <w:rPr>
          <w:vertAlign w:val="superscript"/>
          <w:lang w:eastAsia="en-GB"/>
        </w:rPr>
        <w:footnoteReference w:id="10"/>
      </w:r>
      <w:r>
        <w:t xml:space="preserve"> kratšou ako päť rokov oprávnené na pomoc v rámci opatrenia (opatrení). V kladnom prípade poskytnite dôkazy o tom, že pomoc je potrebná na vyvolanie zmeny správania, ako sa vyžaduje v bode 142 CEEAG.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Neporušenie žiadneho relevantného ustanovenia právnych predpisov Únie</w:t>
            </w:r>
          </w:p>
        </w:tc>
      </w:tr>
    </w:tbl>
    <w:p w14:paraId="71F2B6DF" w14:textId="746B1DEB" w:rsidR="00382DE7" w:rsidRDefault="00382DE7" w:rsidP="00A029BF">
      <w:pPr>
        <w:spacing w:before="120" w:after="120"/>
        <w:jc w:val="both"/>
        <w:rPr>
          <w:i/>
        </w:rPr>
      </w:pPr>
      <w:r>
        <w:rPr>
          <w:i/>
        </w:rPr>
        <w:t xml:space="preserve">Pri vypĺňaní tohto oddielu postupujte podľa informácií v oddiele 3.1.3 (bod 33) CEEAG. </w:t>
      </w:r>
    </w:p>
    <w:p w14:paraId="075E8A7E" w14:textId="77777777" w:rsidR="00382DE7" w:rsidRDefault="00382DE7" w:rsidP="005450FE">
      <w:pPr>
        <w:pStyle w:val="ListParagraph"/>
        <w:numPr>
          <w:ilvl w:val="0"/>
          <w:numId w:val="4"/>
        </w:numPr>
        <w:spacing w:before="120" w:after="120"/>
        <w:ind w:left="567" w:hanging="567"/>
        <w:contextualSpacing w:val="0"/>
        <w:jc w:val="both"/>
      </w:pPr>
      <w:r>
        <w:t>Uveďte informácie, ktoré potvrdzujú súlad s príslušnými ustanoveniami právnych predpisov EÚ v súlade s bodom 33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Ak sa na financovanie opatrenia (opatrení) používa poplatok, objasnite, či je potrebné vykonať posúdenie súladu s článkami 30 a 110 ZFEÚ. V kladnom prípade uveďte, ako je opatrenie v súlade s ustanoveniami článkov 30 a 110 ZFEÚ. V tejto súvislosti sa možno odvolať na informácie predložené v rámci otázky č. </w:t>
      </w:r>
      <w:r>
        <w:fldChar w:fldCharType="begin"/>
      </w:r>
      <w:r>
        <w:instrText xml:space="preserve"> REF _Ref126829229 \w \h  \* MERGEFORMAT </w:instrText>
      </w:r>
      <w:r>
        <w:fldChar w:fldCharType="separate"/>
      </w:r>
      <w:r>
        <w:t>5</w:t>
      </w:r>
      <w:r>
        <w:fldChar w:fldCharType="end"/>
      </w:r>
      <w:r>
        <w:t xml:space="preserve"> bodu </w:t>
      </w:r>
      <w:r>
        <w:fldChar w:fldCharType="begin"/>
      </w:r>
      <w:r>
        <w:instrText xml:space="preserve"> REF _Ref126829235 \w \h  \* MERGEFORMAT </w:instrText>
      </w:r>
      <w:r>
        <w:fldChar w:fldCharType="separate"/>
      </w:r>
      <w:r>
        <w:t>ii</w:t>
      </w:r>
      <w:r>
        <w:fldChar w:fldCharType="end"/>
      </w:r>
      <w:r>
        <w:t>), ak je notifikované opatrenie (sú notifikované opatrenia) financované prostredníctvom poplatku.</w:t>
      </w:r>
    </w:p>
    <w:p w14:paraId="3A9F351F" w14:textId="77777777" w:rsidR="00382DE7" w:rsidRDefault="00382DE7" w:rsidP="00382DE7">
      <w:pPr>
        <w:tabs>
          <w:tab w:val="left" w:leader="dot" w:pos="9072"/>
        </w:tabs>
        <w:spacing w:before="120" w:after="120"/>
        <w:ind w:left="567"/>
        <w:jc w:val="both"/>
      </w:pPr>
      <w:bookmarkStart w:id="7" w:name="_Hlk165966354"/>
      <w:r>
        <w:tab/>
      </w:r>
    </w:p>
    <w:p w14:paraId="0AEBB6A7" w14:textId="77777777" w:rsidR="00BB0F60" w:rsidRDefault="00BB0F60" w:rsidP="00382DE7">
      <w:pPr>
        <w:tabs>
          <w:tab w:val="left" w:leader="dot" w:pos="9072"/>
        </w:tabs>
        <w:spacing w:before="120" w:after="120"/>
        <w:ind w:left="567"/>
        <w:jc w:val="both"/>
        <w:rPr>
          <w:color w:val="000000"/>
        </w:rPr>
      </w:pPr>
    </w:p>
    <w:p w14:paraId="403E8754" w14:textId="77777777" w:rsidR="00BB0F60" w:rsidRDefault="00BB0F60" w:rsidP="00382DE7">
      <w:pPr>
        <w:tabs>
          <w:tab w:val="left" w:leader="dot" w:pos="9072"/>
        </w:tabs>
        <w:spacing w:before="120" w:after="120"/>
        <w:ind w:left="567"/>
        <w:jc w:val="both"/>
        <w:rPr>
          <w:color w:val="000000"/>
        </w:rPr>
      </w:pPr>
    </w:p>
    <w:p w14:paraId="1098E411" w14:textId="77777777" w:rsidR="00BB0F60" w:rsidRDefault="00BB0F60" w:rsidP="00382DE7">
      <w:pPr>
        <w:tabs>
          <w:tab w:val="left" w:leader="dot" w:pos="9072"/>
        </w:tabs>
        <w:spacing w:before="120" w:after="120"/>
        <w:ind w:left="567"/>
        <w:jc w:val="both"/>
        <w:rPr>
          <w:color w:val="000000"/>
        </w:rPr>
      </w:pPr>
    </w:p>
    <w:bookmarkEnd w:id="7"/>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6CB5CBFC" w:rsidR="00663008" w:rsidRPr="00F83660" w:rsidRDefault="008D37F9" w:rsidP="00BC0346">
            <w:pPr>
              <w:pStyle w:val="Heading1"/>
              <w:numPr>
                <w:ilvl w:val="0"/>
                <w:numId w:val="23"/>
              </w:numPr>
              <w:rPr>
                <w:i/>
                <w:color w:val="000000"/>
                <w:sz w:val="28"/>
                <w:szCs w:val="28"/>
              </w:rPr>
            </w:pPr>
            <w:r>
              <w:lastRenderedPageBreak/>
              <w:br w:type="page"/>
            </w:r>
            <w:r w:rsidR="00663008">
              <w:rPr>
                <w:i/>
                <w:color w:val="000000"/>
                <w:sz w:val="28"/>
              </w:rPr>
              <w:t>Negatívna podmienka: pomoc nemôže nepriaznivo ovplyvňovať podmienky obchodu tak, že by to bolo v rozpore so spoločným záujmom</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Minimalizácia narušení hospodárskej súťaže a obchodu</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Nevyhnutnosť pomoci</w:t>
            </w:r>
          </w:p>
        </w:tc>
      </w:tr>
    </w:tbl>
    <w:p w14:paraId="3C23674F" w14:textId="13FAD6B4" w:rsidR="00663008" w:rsidRPr="00F83660" w:rsidRDefault="00663008" w:rsidP="00A029BF">
      <w:pPr>
        <w:spacing w:before="120" w:after="120"/>
        <w:jc w:val="both"/>
        <w:rPr>
          <w:i/>
          <w:color w:val="000000"/>
        </w:rPr>
      </w:pPr>
      <w:r>
        <w:rPr>
          <w:i/>
          <w:color w:val="000000"/>
        </w:rPr>
        <w:t xml:space="preserve">Pri </w:t>
      </w:r>
      <w:r>
        <w:rPr>
          <w:i/>
        </w:rPr>
        <w:t>vypĺňaní tohto oddielu postupujte podľa informácií v oddiele 3.2.1.1 (body 34 – 38) CEEAG.</w:t>
      </w:r>
      <w:r>
        <w:rPr>
          <w:i/>
          <w:color w:val="000000"/>
        </w:rPr>
        <w:t xml:space="preserve"> </w:t>
      </w:r>
    </w:p>
    <w:p w14:paraId="087594C1" w14:textId="6BFC66EE" w:rsidR="00B658C2" w:rsidRDefault="00B658C2" w:rsidP="00076394">
      <w:pPr>
        <w:pStyle w:val="ListParagraph"/>
        <w:numPr>
          <w:ilvl w:val="0"/>
          <w:numId w:val="4"/>
        </w:numPr>
        <w:spacing w:before="120" w:after="120"/>
        <w:ind w:left="567" w:hanging="567"/>
        <w:contextualSpacing w:val="0"/>
        <w:jc w:val="both"/>
      </w:pPr>
      <w:r>
        <w:t>Vysvetlite, ktoré zlyhanie (zlyhania) trhu, ktoré vaše orgány identifikovali, bránia dosiahnutiu dostatočnej úrovne ochrany životného prostredia. Uveďte, do ktorej kategórie patria zistené zlyhania trhu, s odkazom na písm</w:t>
      </w:r>
      <w:r w:rsidR="00BC3E14">
        <w:t>eno</w:t>
      </w:r>
      <w:r>
        <w:t xml:space="preserve"> a), b), c) alebo d) bodu 34 CEEAG.</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V súlade s bodom 35 CEEAG uveďte informácie o všetkých existujúcich politikách a opatreniach, ktoré identifikovali vaše orgány a ktoré sa už zameriavajú na zistené regulačné zlyhania alebo zlyhania trhu.</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Na preukázanie súladu s bodom 36 CEEAG uveďte informácie, ktoré preukazujú, že pomoc sa účinne zameriava na zvyšné zlyhania trhu, pričom zohľadnite aj všetky ostatné už zavedené politiky a opatrenia na riešenie niektorých zistených zlyhaní trhu.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Na preukázanie súladu s bodom 37 CEEAG vysvetlite, či podľa vedomostí vašich orgánov už v rámci Únie za trhových podmienok boli vykonané projekty alebo činnosti podobné tým, na ktoré sa vzťahuje notifikované opatrenie (opatrenia), pokiaľ ide o ich technologický obsah, úroveň rizika a veľkosť. V kladnom prípade poskytnite ďalšie dôkazy na preukázanie potreby štátnej pomoci.</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Na preukázanie súladu s bodom 38 CEEAG sa odvolajte na kvantitatívne dôkazy, ktoré už boli poskytnuté v rámci otázky 14 C) vyššie.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Vhodnosť</w:t>
            </w:r>
          </w:p>
        </w:tc>
      </w:tr>
    </w:tbl>
    <w:p w14:paraId="4C2D927B" w14:textId="547B9884" w:rsidR="00EA354A" w:rsidRPr="00F83660" w:rsidRDefault="00EA354A" w:rsidP="00AF17C3">
      <w:pPr>
        <w:spacing w:before="120" w:after="120"/>
        <w:jc w:val="both"/>
        <w:rPr>
          <w:i/>
          <w:color w:val="000000"/>
        </w:rPr>
      </w:pPr>
      <w:r>
        <w:rPr>
          <w:i/>
          <w:color w:val="000000"/>
        </w:rPr>
        <w:t xml:space="preserve">Pri </w:t>
      </w:r>
      <w:r>
        <w:rPr>
          <w:i/>
        </w:rPr>
        <w:t xml:space="preserve">vypĺňaní </w:t>
      </w:r>
      <w:r>
        <w:rPr>
          <w:i/>
          <w:color w:val="000000"/>
        </w:rPr>
        <w:t xml:space="preserve">tohto oddielu postupujte podľa informácií v oddiele 3.2.1.2 (body 39 – 46), v oddiele 4.2.4.1 (body 144 – 145) a v bodoch 153 a 157 CEEAG.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Na overenie súladu s bodom 40 CEEAG preukážte, že nie sú k dispozícii menej narušujúce nástroje, ktoré sú vhodnejšie ako štátna pomoc.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Na overenie súladu s bodom 41 CEEAG preukážte, že opatrenie pomoci je navrhnuté tak, aby nenarušilo účinnosť iných opatrení na nápravu toho istého zlyhania trhu, akými sú napríklad trhové mechanizmy (napr. EU ETS). </w:t>
      </w:r>
    </w:p>
    <w:p w14:paraId="4C2045D2" w14:textId="77777777" w:rsidR="003A56C9" w:rsidRPr="00900825" w:rsidRDefault="003A56C9" w:rsidP="003A56C9">
      <w:pPr>
        <w:tabs>
          <w:tab w:val="left" w:leader="dot" w:pos="9072"/>
        </w:tabs>
        <w:spacing w:before="120" w:after="120"/>
        <w:ind w:left="567"/>
        <w:jc w:val="both"/>
      </w:pPr>
      <w:r>
        <w:lastRenderedPageBreak/>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Na preukázanie súladu s bodom 42 CEEAG potvrďte, že žiaden z príjemcov opatrenia (opatrení) pomoci nemôže niesť zodpovednosť za znečistenie podľa platných právnych predpisov Únie alebo vnútroštátnych právnych predpisov (zásada </w:t>
      </w:r>
      <w:r>
        <w:rPr>
          <w:i/>
        </w:rPr>
        <w:t>„znečisťovateľ platí“</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Na overenie súladu s bodmi 43 až 46 CEEAG a na preukázanie vhodnosti pomoci v rámci rôznych nástrojov pomoci uveďte tieto informácie: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Vysvetlite, prečo sú iné, potenciálne menej narušujúce formy pomoci menej vhodné tak, ako sa vyžaduje v bode 44 CEEAG. Menej narušujúce formy pomoci môžu byť návratné zálohy namiesto priamych grantov; daňové úľavy namiesto zníženia daňovej sadzby alebo formy pomoci, ktoré sú založené na finančných nástrojoch, ako sú dlhové nástroje namiesto kapitálových, vrátane napríklad </w:t>
      </w:r>
      <w:proofErr w:type="spellStart"/>
      <w:r>
        <w:t>nízkoúročených</w:t>
      </w:r>
      <w:proofErr w:type="spellEnd"/>
      <w:r>
        <w:t xml:space="preserve"> úverov alebo bonifikácie úrokov, štátnych záruk alebo alternatívneho poskytnutia financovania za výhodných podmienok.</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Preukážte, že výber nástroja pomoci je vhodný v prípade zlyhania trhu, ktoré má opatrenie (majú opatrenia) pomoci riešiť, ako sa vyžaduje v bode 45 CEEAG.</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Vysvetlite, </w:t>
      </w:r>
      <w:r>
        <w:rPr>
          <w:color w:val="000000"/>
          <w:shd w:val="clear" w:color="auto" w:fill="FFFFFF"/>
        </w:rPr>
        <w:t>prečo</w:t>
      </w:r>
      <w:r>
        <w:t xml:space="preserve"> je </w:t>
      </w:r>
      <w:r>
        <w:rPr>
          <w:color w:val="000000"/>
          <w:shd w:val="clear" w:color="auto" w:fill="FFFFFF"/>
        </w:rPr>
        <w:t>opatrenie pomoci a jeho návrh vhodné na dosiahnutie cieľa opatrenia, na ktorý je táto pomoc</w:t>
      </w:r>
      <w:r>
        <w:t xml:space="preserve"> zameraná, ako sa vyžaduje v bode 46 CEEAG.</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Ak sa pomoc v rámci opatrenia (opatrení) pomoci poskytuje MSP a malým spoločnostiam so strednou trhovou kapitalizáciou, ktoré sú poskytovateľmi opatrení na zvýšenie energetickej hospodárnosti, potvrďte, ako sa vyžaduje v bode 145 CEEAG, že ide o pomoc vo forme úveru alebo záruky pre poskytovateľa, alebo že pozostáva z finančného produktu zameraného na financovanie poskytovateľa (napríklad </w:t>
      </w:r>
      <w:proofErr w:type="spellStart"/>
      <w:r>
        <w:t>faktoring</w:t>
      </w:r>
      <w:proofErr w:type="spellEnd"/>
      <w:r>
        <w:t xml:space="preserve"> alebo forfaiting).</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Ak sa pomoc v rámci opatrenia (opatrení) poskytuje vo forme finančných nástrojov, potvrďte, že:</w:t>
      </w:r>
    </w:p>
    <w:p w14:paraId="407E4217" w14:textId="02AA56C3" w:rsidR="00A8494E" w:rsidRDefault="00A8494E" w:rsidP="00BC0346">
      <w:pPr>
        <w:pStyle w:val="ListParagraph"/>
        <w:numPr>
          <w:ilvl w:val="0"/>
          <w:numId w:val="33"/>
        </w:numPr>
        <w:spacing w:before="120" w:after="120"/>
        <w:contextualSpacing w:val="0"/>
        <w:jc w:val="both"/>
      </w:pPr>
      <w:r>
        <w:t>pomoc vlastníkovi alebo nájomníkovi budovy má formu záruky alebo úveru v súlade s bodom 153 CEEAG a</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pomoc finančnému sprostredkovateľovi (napr. fond energetickej hospodárnosti) má formu príspevku, kapitálu, záruky alebo úveru v súlade s bodom 157 CEEAG.</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13B5D44E" w14:textId="77777777" w:rsidR="00AF4BC1" w:rsidRDefault="00AF4BC1" w:rsidP="00BD5698">
      <w:pPr>
        <w:tabs>
          <w:tab w:val="left" w:leader="dot" w:pos="9072"/>
        </w:tabs>
        <w:spacing w:before="120" w:after="120"/>
        <w:ind w:left="1077"/>
        <w:jc w:val="both"/>
      </w:pPr>
    </w:p>
    <w:p w14:paraId="7589B387" w14:textId="77777777" w:rsidR="00863406" w:rsidRDefault="00863406" w:rsidP="00863406">
      <w:pPr>
        <w:ind w:left="-567" w:firstLine="1412"/>
        <w:rPr>
          <w:i/>
          <w:color w:val="000000"/>
        </w:rPr>
      </w:pPr>
    </w:p>
    <w:p w14:paraId="3FEAAF06" w14:textId="77777777" w:rsidR="00BB0F60" w:rsidRDefault="00BB0F60" w:rsidP="00863406">
      <w:pPr>
        <w:ind w:left="-567" w:firstLine="1412"/>
        <w:rPr>
          <w:i/>
          <w:color w:val="000000"/>
        </w:rPr>
      </w:pPr>
    </w:p>
    <w:p w14:paraId="134A7280" w14:textId="77777777" w:rsidR="00BB0F60" w:rsidRDefault="00BB0F60" w:rsidP="00863406">
      <w:pPr>
        <w:ind w:left="-567" w:firstLine="1412"/>
        <w:rPr>
          <w:i/>
          <w:color w:val="000000"/>
        </w:rPr>
      </w:pPr>
    </w:p>
    <w:p w14:paraId="59381999" w14:textId="77777777" w:rsidR="00BB0F60" w:rsidRPr="00863406" w:rsidRDefault="00BB0F60"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lastRenderedPageBreak/>
              <w:t xml:space="preserve">2.1.3. Primeranosť </w:t>
            </w:r>
          </w:p>
        </w:tc>
      </w:tr>
    </w:tbl>
    <w:p w14:paraId="201592AD" w14:textId="1A723365" w:rsidR="00E47105" w:rsidRDefault="00DC2847" w:rsidP="00BD1EF7">
      <w:pPr>
        <w:spacing w:before="360" w:after="120"/>
        <w:jc w:val="both"/>
        <w:rPr>
          <w:i/>
        </w:rPr>
      </w:pPr>
      <w:r>
        <w:rPr>
          <w:i/>
        </w:rPr>
        <w:t xml:space="preserve">Pri vypĺňaní tohto oddielu postupujte podľa informácií v oddiele 4.2.4.2 (body 146 – 153) CEFAG. </w:t>
      </w:r>
    </w:p>
    <w:p w14:paraId="46E1A5AF" w14:textId="247224C0" w:rsidR="00BD1EF7" w:rsidRPr="00BD1EF7" w:rsidRDefault="00DC2847" w:rsidP="00E47105">
      <w:pPr>
        <w:spacing w:before="120" w:after="120"/>
        <w:jc w:val="both"/>
        <w:rPr>
          <w:i/>
        </w:rPr>
      </w:pPr>
      <w:r>
        <w:rPr>
          <w:i/>
        </w:rPr>
        <w:t xml:space="preserve">Upozorňujeme, že </w:t>
      </w:r>
      <w:r>
        <w:rPr>
          <w:i/>
          <w:u w:val="single"/>
        </w:rPr>
        <w:t>nasledujúce tri oddiely 2.1.3.1, 2.1.3.2 a 2.1.3.3 sú alternatívami.</w:t>
      </w:r>
      <w:r>
        <w:rPr>
          <w:i/>
        </w:rPr>
        <w:t xml:space="preserve"> V závislosti od návrhu navrhovaného opatrenia uveďte odpovede len v príslušnom oddiele.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Primeranosť pomoci, ak sa pomoc </w:t>
            </w:r>
            <w:r>
              <w:rPr>
                <w:sz w:val="24"/>
                <w:u w:val="single"/>
              </w:rPr>
              <w:t>neposkytuje</w:t>
            </w:r>
            <w:r>
              <w:rPr>
                <w:sz w:val="24"/>
              </w:rPr>
              <w:t xml:space="preserve"> prostredníctvom súťažného ponukového konania </w:t>
            </w:r>
            <w:r>
              <w:rPr>
                <w:sz w:val="24"/>
                <w:u w:val="single"/>
              </w:rPr>
              <w:t>ani</w:t>
            </w:r>
            <w:r>
              <w:rPr>
                <w:sz w:val="24"/>
              </w:rPr>
              <w:t xml:space="preserve"> vo forme finančných nástrojov</w:t>
            </w:r>
          </w:p>
        </w:tc>
      </w:tr>
    </w:tbl>
    <w:p w14:paraId="38D650DB" w14:textId="658040C6" w:rsidR="00D32425" w:rsidRDefault="001620DB" w:rsidP="00BD1EF7">
      <w:pPr>
        <w:pStyle w:val="ListParagraph"/>
        <w:spacing w:before="120" w:after="120"/>
        <w:ind w:left="0"/>
        <w:contextualSpacing w:val="0"/>
        <w:jc w:val="both"/>
      </w:pPr>
      <w:r>
        <w:rPr>
          <w:i/>
        </w:rPr>
        <w:t>Pri vypĺňaní tohto oddielu postupujte podľa informácií v bodoch 146 – 151 a 153 CEEAG</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Na overenie súladu s bodom 146 CEEAG vysvetlite, ktoré sú oprávnené náklady v rámci opatrenia (opatrení) a ako sú obmedzené na investičné náklady priamo spojené s dosiahnutím vyššej úrovne energetickej hospodárnosti alebo environmentálnej výkonnosti.</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Uveďte maximálnu intenzitu pomoci uplatniteľnú v rámci opatrenia a uveďte, či sa uplatňujú bonusy (ako je opísané v bodoch 147 – 150 CEEAG).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V prípade potreby zdôvodnite uplatnenie bonusu za intenzitu pomoci na zlepšenia vedúce k zníženiu dopytu po primárnej energii aspoň o 40 % v súlade s bodom 148 CEEAG.</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Ak sa odchylne od bodov 147 – 150 CEEAG usúdi, že je potrebná pomoc presahujúca maximálnu intenzitu pomoci stanovenú v týchto bodoch, uveďte úroveň pomoci, ktorá sa považuje za nevyhnutnú, a zdôvodnite ju na základe analýzy likvidnej medzery v súlade s bodmi 51 – 52 CEEAG.</w:t>
      </w:r>
    </w:p>
    <w:p w14:paraId="7FF7142F" w14:textId="0EBC2073" w:rsidR="006C2F85" w:rsidRPr="00A23A7E" w:rsidRDefault="006C2F85" w:rsidP="002F344E">
      <w:pPr>
        <w:pStyle w:val="ListParagraph"/>
        <w:spacing w:before="120" w:after="120"/>
        <w:ind w:left="567"/>
        <w:contextualSpacing w:val="0"/>
        <w:jc w:val="both"/>
      </w:pPr>
      <w:r>
        <w:t xml:space="preserve">Na účely tejto analýzy likvidnej medzery predložte v rámci faktického (faktických) aj dôveryhodného </w:t>
      </w:r>
      <w:proofErr w:type="spellStart"/>
      <w:r>
        <w:t>kontrafaktuálneho</w:t>
      </w:r>
      <w:proofErr w:type="spellEnd"/>
      <w:r>
        <w:t xml:space="preserve"> (dôveryhodných </w:t>
      </w:r>
      <w:proofErr w:type="spellStart"/>
      <w:r>
        <w:t>kontrafaktuálnych</w:t>
      </w:r>
      <w:proofErr w:type="spellEnd"/>
      <w:r>
        <w:t>) scenára (scenárov)</w:t>
      </w:r>
      <w:r>
        <w:rPr>
          <w:vertAlign w:val="superscript"/>
          <w:lang w:val="en-IE" w:eastAsia="hr-HR" w:bidi="hr-HR"/>
        </w:rPr>
        <w:footnoteReference w:id="11"/>
      </w:r>
      <w:r>
        <w:t xml:space="preserve"> uvedeného (uvedených) v odpovedi na otázku 14 C) vyššie kvantifikáciu všetkých hlavných nákladov a príjmov, odhadovaných vážených priemerných kapitálových nákladov príjemcov (alebo referenčných projektov) na diskontovanie hodnoty budúcich peňažných tokov, ako aj čistú súčasnú hodnotu v rámci faktického a </w:t>
      </w:r>
      <w:proofErr w:type="spellStart"/>
      <w:r>
        <w:t>kontrafaktuálnych</w:t>
      </w:r>
      <w:proofErr w:type="spellEnd"/>
      <w:r>
        <w:t xml:space="preserve"> scenárov počas celého času trvania projektu/referenčného projektu.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V prípade individuálnej pomoci a schém, ktoré využíva veľmi malý počet príjemcov, musí členský štát predložiť podporné dôkazy na úrovni podrobného podnikateľského plánu projektu, zatiaľ čo v prípade schém pomoci musí členský štát predložiť podporné dôkazy na základe jedného alebo viacerých referenčných projektov.</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Uveďte to v prílohe k tomuto formuláru oznámenia (pomocou súboru Excel, v ktorom budú viditeľné všetky vzorce).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lastRenderedPageBreak/>
        <w:t xml:space="preserve">Zahrňte podrobné informácie o predpokladoch, metodikách, zdôvodneniach a ich základných zdrojoch použitých pre každý aspekt kvantifikácie nákladov a výnosov v rámci faktického scenára a pravdepodobného </w:t>
      </w:r>
      <w:proofErr w:type="spellStart"/>
      <w:r>
        <w:t>kontrafaktuálneho</w:t>
      </w:r>
      <w:proofErr w:type="spellEnd"/>
      <w:r>
        <w:t xml:space="preserve"> scenára (napríklad uveďte predpoklady použité na vypracovanie týchto scenárov a zdroj/zdôvodnenie týchto predpokladov).</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K tomuto formuláru oznámenia môžete pripojiť aj dokumenty uvedené v poznámke pod čiarou č. 39 CEEAG. Dokumenty rady môžu byť obzvlášť užitočné v prípade opatrení alebo schém individuálnej pomoci, ktoré využíva obzvlášť obmedzený počet príjemcov. Ak sú takéto dokumenty priložené k formuláru oznámenia, nižšie uveďte ich zoznam, v ktorom špecifikujete ich autora, dátum vypracovania a kontext, v ktorom boli použité.</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Preukážte, že uplatnenie vyššej pomoci určenej tak, ako je uvedené v otázke 34, by neviedlo k presiahnutiu likvidnej medzery.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Ak sa uplatňuje bod 52 CEEAG, t. j. najpravdepodobnejší </w:t>
      </w:r>
      <w:proofErr w:type="spellStart"/>
      <w:r>
        <w:t>kontrafaktuálny</w:t>
      </w:r>
      <w:proofErr w:type="spellEnd"/>
      <w:r>
        <w:t xml:space="preserve"> scenár spočíva v tom, že príjemca buď nevykonáva činnosť alebo investíciu, alebo pokračuje vo svojej činnosti bez zmien, poskytnite dôkazy na podporu tohto predpokladu</w:t>
      </w:r>
      <w:r>
        <w:rPr>
          <w:rStyle w:val="FootnoteReference"/>
          <w:lang w:val="en-IE" w:eastAsia="hr-HR" w:bidi="hr-HR"/>
        </w:rPr>
        <w:footnoteReference w:id="12"/>
      </w:r>
      <w:r>
        <w:t xml:space="preserve">. </w:t>
      </w:r>
    </w:p>
    <w:p w14:paraId="5F5E911B" w14:textId="583ADD78" w:rsidR="00B73E30" w:rsidRPr="00BB0F60" w:rsidRDefault="009A7FA6" w:rsidP="00BB0F60">
      <w:pPr>
        <w:tabs>
          <w:tab w:val="left" w:leader="dot" w:pos="9072"/>
        </w:tabs>
        <w:spacing w:before="120" w:after="120"/>
        <w:ind w:left="567"/>
        <w:jc w:val="both"/>
      </w:pPr>
      <w:bookmarkStart w:id="13" w:name="_Hlk169542394"/>
      <w:r>
        <w:tab/>
      </w:r>
      <w:bookmarkEnd w:id="1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Primeranosť pomoci, keď sa pomoc poskytuje vo forme finančných nástrojov</w:t>
            </w:r>
          </w:p>
        </w:tc>
      </w:tr>
    </w:tbl>
    <w:p w14:paraId="24BE5936" w14:textId="12CB228A" w:rsidR="00B536D4" w:rsidRPr="00EA5A4E" w:rsidRDefault="00B536D4" w:rsidP="00986C5B">
      <w:pPr>
        <w:pStyle w:val="ListParagraph"/>
        <w:spacing w:before="120" w:after="120"/>
        <w:ind w:left="0"/>
        <w:contextualSpacing w:val="0"/>
        <w:jc w:val="both"/>
      </w:pPr>
      <w:r>
        <w:rPr>
          <w:i/>
        </w:rPr>
        <w:t>Pri vypĺňaní tohto oddielu postupujte podľa informácií v bodoch 146 a 153 CEEAG</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Na overenie súladu s bodom 146 CEEAG vysvetlite, ktoré sú oprávnené náklady v rámci opatrenia (opatrení) a ako sú obmedzené na investičné náklady priamo spojené s dosiahnutím vyššej úrovne energetickej hospodárnosti alebo environmentálnej výkonnosti.</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Na overenie súladu s bodom 153 CEEAG uveďte nasledujúce informácie:</w:t>
      </w:r>
    </w:p>
    <w:p w14:paraId="237638A6" w14:textId="73DDDADD" w:rsidR="00CB6373" w:rsidRPr="00EA5A4E" w:rsidRDefault="00CB6373" w:rsidP="00BC0346">
      <w:pPr>
        <w:pStyle w:val="ListParagraph"/>
        <w:numPr>
          <w:ilvl w:val="0"/>
          <w:numId w:val="27"/>
        </w:numPr>
        <w:spacing w:before="120" w:after="120"/>
        <w:contextualSpacing w:val="0"/>
        <w:jc w:val="both"/>
      </w:pPr>
      <w:r>
        <w:t>Ak sa pomoc poskytuje vo forme záruky, potvrďte, že záruka nepresiahne 80 % podkladového úveru, a vysvetlite, ako sa zabezpečí dodržiavanie povinností vyplývajúcich z tejto požiadavky.</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Ak sa pomoc poskytuje vo forme úveru, potvrďte, že suma splácaná vlastníkom (vlastníkmi) budovy do fondu energetickej hospodárnosti alebo obnoviteľnej energie alebo inému finančnému sprostredkovateľovi sa bude rovnať aspoň nominálnej hodnote úveru, a vysvetlite, ako sa zabezpečí dodržiavanie povinností vyplývajúcich z tejto požiadavky.</w:t>
      </w:r>
    </w:p>
    <w:p w14:paraId="573DE6F4" w14:textId="76B84C8C" w:rsidR="005679B2" w:rsidRPr="00BB0F60" w:rsidRDefault="00914AB6" w:rsidP="00BB0F60">
      <w:pPr>
        <w:tabs>
          <w:tab w:val="left" w:leader="dot" w:pos="9072"/>
        </w:tabs>
        <w:spacing w:before="120" w:after="120"/>
        <w:ind w:left="1080"/>
        <w:jc w:val="both"/>
        <w:rPr>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lastRenderedPageBreak/>
              <w:t xml:space="preserve">2.1.3.3. Primeranosť pomoci poskytnutej prostredníctvom súťažného ponukového konania </w:t>
            </w:r>
          </w:p>
        </w:tc>
      </w:tr>
    </w:tbl>
    <w:p w14:paraId="5EF69CC9" w14:textId="34CFB392" w:rsidR="005679B2" w:rsidRPr="00441F0B" w:rsidRDefault="005679B2" w:rsidP="000D77DA">
      <w:pPr>
        <w:pStyle w:val="ListParagraph"/>
        <w:spacing w:before="120" w:after="120"/>
        <w:ind w:left="0"/>
        <w:contextualSpacing w:val="0"/>
        <w:jc w:val="both"/>
      </w:pPr>
      <w:r>
        <w:rPr>
          <w:i/>
        </w:rPr>
        <w:t>Pri vypĺňaní tohto oddielu postupujte podľa informácií v bodoch 49 a 50 CEEAG</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Na overenie súladu s bodmi 49 a 50 CEEAG uveďte nasledovné:</w:t>
      </w:r>
    </w:p>
    <w:p w14:paraId="60189593" w14:textId="77777777" w:rsidR="005679B2" w:rsidRPr="00441F0B" w:rsidRDefault="005679B2" w:rsidP="00BB0F60">
      <w:pPr>
        <w:pStyle w:val="ListParagraph"/>
        <w:numPr>
          <w:ilvl w:val="0"/>
          <w:numId w:val="35"/>
        </w:numPr>
        <w:spacing w:before="120" w:after="120"/>
        <w:ind w:left="1134" w:hanging="424"/>
        <w:contextualSpacing w:val="0"/>
        <w:jc w:val="both"/>
      </w:pPr>
      <w:r>
        <w:t xml:space="preserve">Vysvetlite, ako orgány zabezpečujú, aby bolo ponukové konanie otvorené, jednoznačné, transparentné a nediskriminačné, založené na objektívnych kritériách, vymedzené </w:t>
      </w:r>
      <w:r>
        <w:rPr>
          <w:i/>
          <w:iCs/>
        </w:rPr>
        <w:t xml:space="preserve">ex </w:t>
      </w:r>
      <w:proofErr w:type="spellStart"/>
      <w:r>
        <w:rPr>
          <w:i/>
          <w:iCs/>
        </w:rPr>
        <w:t>ante</w:t>
      </w:r>
      <w:proofErr w:type="spellEnd"/>
      <w:r>
        <w:t xml:space="preserve"> v súlade s cieľom opatrenia a ako sa ním minimalizuje riziko strategických ponúk [bod 49 písm. a) CEEAG].</w:t>
      </w:r>
    </w:p>
    <w:p w14:paraId="2A2F0ED5" w14:textId="77777777" w:rsidR="005679B2" w:rsidRPr="000D77DA" w:rsidRDefault="005679B2" w:rsidP="00BB0F60">
      <w:pPr>
        <w:tabs>
          <w:tab w:val="left" w:leader="dot" w:pos="9072"/>
        </w:tabs>
        <w:spacing w:before="120" w:after="120"/>
        <w:ind w:left="1134" w:hanging="424"/>
        <w:jc w:val="both"/>
        <w:rPr>
          <w:color w:val="000000"/>
        </w:rPr>
      </w:pPr>
      <w:r>
        <w:tab/>
      </w:r>
    </w:p>
    <w:p w14:paraId="6A58C077" w14:textId="268B20CC" w:rsidR="005679B2" w:rsidRPr="00050EB9" w:rsidRDefault="00653273" w:rsidP="00BB0F60">
      <w:pPr>
        <w:pStyle w:val="ListParagraph"/>
        <w:numPr>
          <w:ilvl w:val="0"/>
          <w:numId w:val="35"/>
        </w:numPr>
        <w:spacing w:before="120" w:after="120"/>
        <w:ind w:left="1134" w:hanging="424"/>
        <w:contextualSpacing w:val="0"/>
        <w:jc w:val="both"/>
      </w:pPr>
      <w:r>
        <w:t xml:space="preserve">Podmienky účasti uplatnené pri zoradení ponúk a v konečnom dôsledku identifikácii úrovne pomoci v súťažnom ponukovom konaní. Konkrétne: </w:t>
      </w:r>
    </w:p>
    <w:p w14:paraId="69DC932F" w14:textId="77777777" w:rsidR="005679B2" w:rsidRPr="00050EB9" w:rsidRDefault="005679B2" w:rsidP="00BC0346">
      <w:pPr>
        <w:pStyle w:val="ListParagraph"/>
        <w:numPr>
          <w:ilvl w:val="1"/>
          <w:numId w:val="25"/>
        </w:numPr>
        <w:spacing w:before="120" w:after="120"/>
        <w:contextualSpacing w:val="0"/>
        <w:jc w:val="both"/>
      </w:pPr>
      <w:r>
        <w:t>Uveďte zoznam výberových kritérií a špecifikujte, ktoré z nich priamo alebo nepriamo súvisia/nesúvisia s hlavnými cieľmi opatrenia (opatrení). Zahrňte ich váhu.</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Vysvetlite, ako výberové kritériá prispievajú k hlavným cieľom opatrenia (opatrení) v priamom alebo nepriamom vzťahu k výške pomoci, ktorú žiadateľ požaduje. Môže sa to vyjadriť napríklad ako pomoc na jednotku ochrany životného prostredia</w:t>
      </w:r>
      <w:r>
        <w:rPr>
          <w:rStyle w:val="FootnoteReference"/>
          <w:lang w:eastAsia="en-GB"/>
        </w:rPr>
        <w:footnoteReference w:id="13"/>
      </w:r>
      <w:r>
        <w:t xml:space="preserve"> (bod 50 CEEAG a poznámka pod čiarou č. 44 CEEAG).</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V prípade, že existujú iné výberové kritériá, ktoré priamo alebo nepriamo nesúvisia s hlavnými cieľmi opatrenia (opatrení), uveďte dôvody navrhovaného prístupu a vysvetlite, prečo je vhodný vzhľadom na ciele sledované opatrením (opatreniami). Potvrďte tiež, že tieto kritériá nepredstavujú viac ako 30 % váhy všetkých výberových kritérií (bod 50 CEEAG).</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Vysvetlite, v akom časovom predstihu pred každým súťažným ponukovým konaním </w:t>
      </w:r>
      <w:r>
        <w:rPr>
          <w:color w:val="000000"/>
          <w:shd w:val="clear" w:color="auto" w:fill="FFFFFF"/>
        </w:rPr>
        <w:t xml:space="preserve">budú uverejnené výberové kritériá </w:t>
      </w:r>
      <w:r>
        <w:t>[bod 49 písm. b) a poznámka pod čiarou č. 43 CEEAG]</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B0F60">
      <w:pPr>
        <w:pStyle w:val="ListParagraph"/>
        <w:numPr>
          <w:ilvl w:val="0"/>
          <w:numId w:val="35"/>
        </w:numPr>
        <w:spacing w:before="120" w:after="120"/>
        <w:ind w:left="1134" w:hanging="424"/>
        <w:contextualSpacing w:val="0"/>
        <w:jc w:val="both"/>
      </w:pPr>
      <w:r>
        <w:lastRenderedPageBreak/>
        <w:t>Vysvetlite prvky, na ktorých ste založili predpoklad, že súťažné ponukové konanie bude otvorené a s dostatočným počtom uchádzačov, t. j. že možno očakávať, že nie všetkým uchádzačom bude poskytnutá pomoc a že počet očakávaných uchádzačov je dostatočný na zabezpečenie efektívnej hospodárskej súťaže počas trvania schémy [bod 49 písm. c) CEEAG]. Vo svojom vysvetlení zohľadnite rozpočet alebo objem schémy. Ak je to relevantné, odvolajte sa na dôkazy poskytnuté v odpovediach na otázku 14.</w:t>
      </w:r>
    </w:p>
    <w:p w14:paraId="59D03D9D" w14:textId="77777777" w:rsidR="005679B2" w:rsidRPr="00B751E1" w:rsidRDefault="005679B2" w:rsidP="00BB0F60">
      <w:pPr>
        <w:tabs>
          <w:tab w:val="left" w:leader="dot" w:pos="9072"/>
        </w:tabs>
        <w:spacing w:before="120" w:after="120"/>
        <w:ind w:left="1134" w:hanging="424"/>
        <w:jc w:val="both"/>
        <w:rPr>
          <w:color w:val="000000"/>
        </w:rPr>
      </w:pPr>
      <w:r>
        <w:tab/>
      </w:r>
    </w:p>
    <w:p w14:paraId="24D8842E" w14:textId="77777777" w:rsidR="005679B2" w:rsidRPr="00B35F1C" w:rsidRDefault="005679B2" w:rsidP="00BB0F60">
      <w:pPr>
        <w:pStyle w:val="ListParagraph"/>
        <w:numPr>
          <w:ilvl w:val="0"/>
          <w:numId w:val="35"/>
        </w:numPr>
        <w:spacing w:before="120" w:after="120"/>
        <w:ind w:left="1134" w:hanging="424"/>
        <w:contextualSpacing w:val="0"/>
        <w:jc w:val="both"/>
      </w:pPr>
      <w:r>
        <w:t>Uveďte informácie o počte plánovaných kôl ponukového konania a očakávanom počte uchádzačov v prvom kole a v priebehu času.</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B0F60">
      <w:pPr>
        <w:pStyle w:val="ListParagraph"/>
        <w:numPr>
          <w:ilvl w:val="0"/>
          <w:numId w:val="35"/>
        </w:numPr>
        <w:spacing w:before="120" w:after="120"/>
        <w:ind w:left="1134" w:hanging="425"/>
        <w:contextualSpacing w:val="0"/>
        <w:jc w:val="both"/>
      </w:pPr>
      <w:r>
        <w:t xml:space="preserve">V prípade jedného alebo viacerých ponukových konaní s nedostatočným počtom uchádzačov, vysvetlite ako a kedy bude návrh ponukových konaní počas vykonávania schémy skorigovaný tak, aby sa obnovila efektívna hospodárska súťaž [bod 49 písm. c) CEEAG].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B0F60">
      <w:pPr>
        <w:pStyle w:val="ListParagraph"/>
        <w:numPr>
          <w:ilvl w:val="0"/>
          <w:numId w:val="35"/>
        </w:numPr>
        <w:spacing w:before="120" w:after="120"/>
        <w:ind w:left="1134" w:hanging="424"/>
        <w:contextualSpacing w:val="0"/>
        <w:jc w:val="both"/>
      </w:pPr>
      <w:r>
        <w:t xml:space="preserve">Potvrďte, že úpravy </w:t>
      </w:r>
      <w:r>
        <w:rPr>
          <w:i/>
        </w:rPr>
        <w:t>ex post</w:t>
      </w:r>
      <w:r>
        <w:t xml:space="preserve"> výsledku ponukového konania (napríklad následné rokovania o výsledkoch ponuky alebo odôvodňovanie) nie sú povolené [bod 49 písm. d) CEEAG].</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0A1DD5B0" w:rsidR="005679B2" w:rsidRDefault="005679B2" w:rsidP="00BB0F60">
      <w:pPr>
        <w:pStyle w:val="ListParagraph"/>
        <w:numPr>
          <w:ilvl w:val="0"/>
          <w:numId w:val="35"/>
        </w:numPr>
        <w:spacing w:before="120" w:after="120"/>
        <w:ind w:left="1134" w:hanging="424"/>
        <w:contextualSpacing w:val="0"/>
        <w:jc w:val="both"/>
      </w:pPr>
      <w:r>
        <w:t>Ak existuje možnosť „</w:t>
      </w:r>
      <w:r>
        <w:rPr>
          <w:i/>
        </w:rPr>
        <w:t>ponúk bez dotácií</w:t>
      </w:r>
      <w:r>
        <w:t xml:space="preserve">“, vysvetlite, ako sa zaistí primeranosť (pozri bod 49, poznámku pod čiarou č. 42 CEEAG).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B0F60">
      <w:pPr>
        <w:pStyle w:val="ListParagraph"/>
        <w:numPr>
          <w:ilvl w:val="0"/>
          <w:numId w:val="35"/>
        </w:numPr>
        <w:tabs>
          <w:tab w:val="left" w:pos="1134"/>
        </w:tabs>
        <w:spacing w:before="120" w:after="120"/>
        <w:ind w:left="1134" w:hanging="424"/>
        <w:contextualSpacing w:val="0"/>
        <w:jc w:val="both"/>
      </w:pPr>
      <w:r>
        <w:t xml:space="preserve">Objasnite, či orgány predpokladajú použitie minimálnych alebo maximálnych cien v súťažnom ponukovom konaní. V kladnom prípade zdôvodnite ich použitie a vysvetlite, prečo neobmedzujú súťažné ponukové konanie (bod 49 a poznámka pod čiarou č. 42 CEEAG).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Kumulácia</w:t>
            </w:r>
          </w:p>
        </w:tc>
      </w:tr>
    </w:tbl>
    <w:p w14:paraId="2346A85D" w14:textId="3D60C926" w:rsidR="00B21377" w:rsidRPr="002A3B51" w:rsidRDefault="00B21377" w:rsidP="00211CE3">
      <w:pPr>
        <w:pStyle w:val="ListParagraph"/>
        <w:spacing w:before="120" w:after="120"/>
        <w:ind w:left="0"/>
        <w:contextualSpacing w:val="0"/>
        <w:jc w:val="both"/>
      </w:pPr>
      <w:r>
        <w:rPr>
          <w:i/>
        </w:rPr>
        <w:t>Pri vypĺňaní tohto oddielu postupujte podľa informácií v bodoch 56 – 57 CEEAG</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Pokiaľ to ešte nie je uvedené v časti I formulára na oznamovanie všeobecných informácií a na overenie súladu s bodom 56 CEEAG, objasnite, či sa pomoc v rámci notifikovaného opatrenia (notifikovaných opatrení) môže poskytovať súbežne v rámci viacerých schém pomoci alebo kumulovať s pomocou </w:t>
      </w:r>
      <w:r>
        <w:rPr>
          <w:i/>
        </w:rPr>
        <w:t>ad hoc</w:t>
      </w:r>
      <w:r>
        <w:t xml:space="preserve"> alebo </w:t>
      </w:r>
      <w:r>
        <w:rPr>
          <w:i/>
        </w:rPr>
        <w:t xml:space="preserve">de </w:t>
      </w:r>
      <w:proofErr w:type="spellStart"/>
      <w:r>
        <w:rPr>
          <w:i/>
        </w:rPr>
        <w:t>minimis</w:t>
      </w:r>
      <w:proofErr w:type="spellEnd"/>
      <w:r>
        <w:t xml:space="preserve"> v súvislosti s tými istými oprávnenými nákladmi. V takomto prípade uveďte podrobné informácie o týchto schémach pomoci, pomoci </w:t>
      </w:r>
      <w:r>
        <w:rPr>
          <w:i/>
        </w:rPr>
        <w:t>ad hoc</w:t>
      </w:r>
      <w:r>
        <w:t xml:space="preserve"> alebo pomoci </w:t>
      </w:r>
      <w:r>
        <w:rPr>
          <w:i/>
        </w:rPr>
        <w:t xml:space="preserve">de </w:t>
      </w:r>
      <w:proofErr w:type="spellStart"/>
      <w:r>
        <w:rPr>
          <w:i/>
        </w:rPr>
        <w:t>minimis</w:t>
      </w:r>
      <w:proofErr w:type="spellEnd"/>
      <w:r>
        <w:t xml:space="preserve"> a o tom, ako sa bude pomoc kumulovať.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 xml:space="preserve">Ak sa uplatňuje bod 56 CEEAG, zdôvodnite, prečo celková výška pomoci poskytnutej v rámci notifikovaného opatrenia (notifikovaných opatrení) na projekt alebo činnosť nevedie k nadmernej kompenzácii alebo neprekračuje maximálnu výšku pomoci povolenej v rámci oddielu 4.2.4.2. CEEAG. Za každé opatrenie, pri ktorom možno </w:t>
      </w:r>
      <w:r>
        <w:lastRenderedPageBreak/>
        <w:t>pomoc poskytnutú v rámci notifikovaného opatrenia (notifikovaných opatrení) pomoci kumulovať, uveďte metódu použitú na zabezpečenie súladu s podmienkami stanovenými v bode 56 CEEAG.</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V prípade, že sa uplatňuje bod 57 CEEAG, t. j. pomoc poskytnutá v rámci notifikovaného opatrenia (notifikovaných opatrení) sa kombinuje s centrálne riadeným financovaním Únie</w:t>
      </w:r>
      <w:r>
        <w:rPr>
          <w:rStyle w:val="FootnoteReference"/>
          <w:lang w:eastAsia="en-GB"/>
        </w:rPr>
        <w:footnoteReference w:id="14"/>
      </w:r>
      <w:r>
        <w:t xml:space="preserve"> (ktoré nepredstavuje štátnu pomoc), zdôvodnite, prečo </w:t>
      </w:r>
      <w:r>
        <w:rPr>
          <w:shd w:val="clear" w:color="auto" w:fill="FFFFFF"/>
        </w:rPr>
        <w:t>celková výška verejného financovania poskytnutého v súvislosti s rovnakými oprávnenými nákladmi nevedie k nadmernej kompenzácii.</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Transparentnosť</w:t>
            </w:r>
          </w:p>
        </w:tc>
      </w:tr>
    </w:tbl>
    <w:p w14:paraId="07229A8F" w14:textId="028CA7B4" w:rsidR="006773CE" w:rsidRPr="007C0A44" w:rsidRDefault="006773CE" w:rsidP="00707E7C">
      <w:pPr>
        <w:spacing w:before="120" w:after="120"/>
        <w:jc w:val="both"/>
        <w:rPr>
          <w:i/>
        </w:rPr>
      </w:pPr>
      <w:r>
        <w:rPr>
          <w:i/>
          <w:color w:val="000000"/>
        </w:rPr>
        <w:t xml:space="preserve">Pri </w:t>
      </w:r>
      <w:r>
        <w:rPr>
          <w:i/>
        </w:rPr>
        <w:t xml:space="preserve">vypĺňaní </w:t>
      </w:r>
      <w:r>
        <w:rPr>
          <w:i/>
          <w:color w:val="000000"/>
        </w:rPr>
        <w:t xml:space="preserve">tohto oddielu postupujte </w:t>
      </w:r>
      <w:r>
        <w:rPr>
          <w:i/>
        </w:rPr>
        <w:t xml:space="preserve">podľa informácií v oddiele 3.2.1.4 (body 58 – 62) CEEAG.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Potvrďte, že členský štát splní požiadavky na transparentnosť stanovené v bodoch 58 – 61 CEEAG.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Uveďte internetový odkaz, prostredníctvom ktorého bude zverejnené úplné znenie schválenej schémy pomoci alebo rozhodnutia o udelení individuálnej pomoci a jeho vykonávacích ustanovení a informácie o každej individuálnej pomoci poskytnutej ad hoc alebo v rámci schémy pomoci schválenej na základe týchto usmernení a presahujúcej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Zabránenie neprimeraným negatívnym vplyvom pomoci na hospodársku súťaž a obchod a vyrovnávanie</w:t>
            </w:r>
          </w:p>
        </w:tc>
      </w:tr>
    </w:tbl>
    <w:p w14:paraId="6CD3884F" w14:textId="56A9CDD5" w:rsidR="00F83660" w:rsidRPr="00B215FD" w:rsidRDefault="00F83660" w:rsidP="0038016C">
      <w:pPr>
        <w:spacing w:before="120" w:after="120"/>
        <w:jc w:val="both"/>
        <w:rPr>
          <w:i/>
        </w:rPr>
      </w:pPr>
      <w:r>
        <w:rPr>
          <w:i/>
          <w:color w:val="000000"/>
        </w:rPr>
        <w:t xml:space="preserve">Pri </w:t>
      </w:r>
      <w:r>
        <w:rPr>
          <w:i/>
        </w:rPr>
        <w:t xml:space="preserve">vypĺňaní tohto oddielu postupujte podľa informácií v oddiele 3.2.2 (body 63 – 70) a v oddiele 4.2.4.3 (body 154 – 157) CEEAG.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Na overenie súladu s bodom 67 CEEAG uveďte informácie o možných krátkodobých a dlhodobých negatívnych vplyvoch notifikovaného opatrenia (notifikovaných opatrení) na hospodársku súťaž a obchod.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Vysvetlite, či opatrenie patrí do niektorej z nasledujúcich situácií: </w:t>
      </w:r>
    </w:p>
    <w:p w14:paraId="44BBD0E3" w14:textId="77777777" w:rsidR="00BC72E3" w:rsidRPr="00E752D3" w:rsidRDefault="00BC72E3" w:rsidP="00BC0346">
      <w:pPr>
        <w:pStyle w:val="ListParagraph"/>
        <w:numPr>
          <w:ilvl w:val="0"/>
          <w:numId w:val="37"/>
        </w:numPr>
        <w:spacing w:before="120" w:after="120"/>
        <w:contextualSpacing w:val="0"/>
        <w:jc w:val="both"/>
      </w:pPr>
      <w:r>
        <w:t>Týka sa trhu (alebo trhov), na ktorom (alebo na ktorých) etablované spoločnosti nadobudli trhovú silu pred liberalizáciou trhu.</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lastRenderedPageBreak/>
        <w:t>Zahŕňa súťažné ponukové konania na vznikajúcom trhu (vznikajúcich trhoch), na ktorých je prítomný účastník so silnou pozíciou.</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Bude z neho čerpať výhody len jeden alebo obzvlášť obmedzený počet príjemcov.</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Ak sa opatrenie pomoci zameriava na konkrétnu technologickú voľbu/cestu, zdôvodnite túto technologickú voľbu a to, že neodradí od zavádzania ekologickejších technológií.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Ak z notifikovaného opatrenia (notifikovaných opatrení) bude čerpať výhody iba jeden alebo obzvlášť obmedzený počet príjemcov, na overenie súladu s bodom 68 CEEAG:</w:t>
      </w:r>
    </w:p>
    <w:p w14:paraId="4E1C5F60" w14:textId="2612C1BB" w:rsidR="006B1971" w:rsidRPr="00722DE1" w:rsidRDefault="00722DE1" w:rsidP="00BC0346">
      <w:pPr>
        <w:pStyle w:val="ListParagraph"/>
        <w:numPr>
          <w:ilvl w:val="0"/>
          <w:numId w:val="38"/>
        </w:numPr>
        <w:spacing w:before="120" w:after="120"/>
        <w:contextualSpacing w:val="0"/>
        <w:jc w:val="both"/>
      </w:pPr>
      <w:r>
        <w:t>Vysvetlite, či notifikované opatrenie (opatrenia) posilňuje (posilňujú) alebo zachováva (zachovávajú) trhovú silu príjemcu (príjemcov) alebo či odrádza (odrádzajú) existujúcich konkurentov od expanzie alebo ich núti (nútia) k odchodu z trhu, prípadne odrádza (odrádzajú) nových konkurentov od vstupu na trh. V tejto súvislosti tiež vysvetlite, či opatrenie pomoci povedie k zvýšeniu výrobnej kapacity príjemcu.</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Opíšte opatrenie (opatrenia) zavedené na obmedzenie možného narušenia hospodárskej súťaže spôsobeného poskytnutím pomoci príjemcovi (príjemcom).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Na overenie súladu s bodom 69 CEEAG vysvetlite:</w:t>
      </w:r>
    </w:p>
    <w:p w14:paraId="55298360" w14:textId="77777777" w:rsidR="00E62DD7" w:rsidRDefault="00E62DD7" w:rsidP="00BC0346">
      <w:pPr>
        <w:pStyle w:val="ListParagraph"/>
        <w:numPr>
          <w:ilvl w:val="0"/>
          <w:numId w:val="39"/>
        </w:numPr>
        <w:spacing w:before="120" w:after="120"/>
        <w:contextualSpacing w:val="0"/>
        <w:jc w:val="both"/>
      </w:pPr>
      <w:r>
        <w:t xml:space="preserve">Či je pomoc udelená v rámci notifikovaného opatrenia (notifikovaných opatrení) zameraná na zachovanie hospodárskej činnosti v jednom regióne alebo jej odlákanie z iných regiónov v rámci vnútorného trhu.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V kladnom prípade uveďte, aký je čistý environmentálny vplyv notifikovaného opatrenia (notifikovaných opatrení) a ako notifikované opatrenie (opatrenia) zvyšuje (zvyšujú) existujúcu úroveň ochrany životného prostredia v členských štátoch.</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Prečo pomoc udelená v rámci notifikovaného opatrenia (notifikovaných opatrení) nemá za následok žiadne preukázateľne negatívne vplyvy na hospodársku súťaž a obchod.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t>V prípade individuálnej pomoci hlavné faktory výberu miesta pre investície príjemcom.</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Na overenie súladu s bodom 70 CEEAG:</w:t>
      </w:r>
    </w:p>
    <w:p w14:paraId="70793CBE" w14:textId="6FE0F3DA" w:rsidR="00F563A2" w:rsidRPr="00AC286A" w:rsidRDefault="00F563A2" w:rsidP="00BC0346">
      <w:pPr>
        <w:pStyle w:val="ListParagraph"/>
        <w:numPr>
          <w:ilvl w:val="0"/>
          <w:numId w:val="40"/>
        </w:numPr>
        <w:spacing w:before="120" w:after="120"/>
        <w:contextualSpacing w:val="0"/>
        <w:jc w:val="both"/>
      </w:pPr>
      <w:r>
        <w:t>Potvrďte, že pomoc by sa mohla v rámci notifikovanej schémy poskytnúť maximálne na 10 rokov od dátumu oznámenia rozhodnutia Komisie, ktorým sa pomoc vyhlásila za zlučiteľnú.</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lastRenderedPageBreak/>
        <w:t xml:space="preserve">Potvrďte, že ak by vaše orgány chceli predĺžiť trvanie schémy nad rámec uvedeného maximálneho obdobia, opatrenie opäť notifikujú.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Pomoc poskytnutá finančnému sprostredkovateľovi vo forme príspevku, kapitálu, záruky alebo úveru z fondu energetickej hospodárnosti alebo obnoviteľnej energie alebo inému finančnému sprostredkovateľovi, na overenie súladu s bodom 157 CEEAG:</w:t>
      </w:r>
    </w:p>
    <w:p w14:paraId="04EC5970" w14:textId="36680F60" w:rsidR="00344211" w:rsidRPr="009E0FCA" w:rsidRDefault="00344211" w:rsidP="00BC0346">
      <w:pPr>
        <w:pStyle w:val="ListParagraph"/>
        <w:numPr>
          <w:ilvl w:val="0"/>
          <w:numId w:val="41"/>
        </w:numPr>
        <w:spacing w:before="120" w:after="120"/>
        <w:contextualSpacing w:val="0"/>
        <w:jc w:val="both"/>
      </w:pPr>
      <w:r>
        <w:t>Preukážte, že finanční sprostredkovatelia alebo správcovia fondu budú vybratí prostredníctvom otvoreného, transparentného a nediskriminačného konania, ktoré sa uskutoční v súlade s platnými právnymi predpismi Únie a vnútroštátnymi právnymi predpismi.</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Preukážte, že sú zavedené podmienky, ktorými sa zabezpečí komerčná správa finančných sprostredkovateľov vrátane fondov energetickej hospodárnosti alebo fondov obnoviteľnej energie a zabezpečia sa ziskové finančné rozhodnutia.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Preukážte, že od správcov fondu energetickej hospodárnosti alebo fondu obnoviteľnej energie alebo iných finančných sprostredkovateľov sa požaduje, aby presunuli výhodu v čo najväčšej možnej miere na konečných príjemcov (vlastníkov alebo nájomníkov budovy) vo forme vyšších objemov financovania, požiadaviek na nižšiu zábezpeku, nižších poplatkov za záruku alebo nižších úrokových mier.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Vyváženie pozitívnych vplyvov pomoci a negatívnych vplyvov na hospodársku súťaž a obchod</w:t>
            </w:r>
          </w:p>
        </w:tc>
      </w:tr>
    </w:tbl>
    <w:p w14:paraId="2BA426DC" w14:textId="3A9BC05F" w:rsidR="00265702" w:rsidRPr="00863406" w:rsidRDefault="00265702" w:rsidP="00AD5646">
      <w:pPr>
        <w:spacing w:before="120" w:after="120"/>
        <w:jc w:val="both"/>
        <w:rPr>
          <w:i/>
          <w:color w:val="000000"/>
        </w:rPr>
      </w:pPr>
      <w:r>
        <w:rPr>
          <w:i/>
          <w:color w:val="000000"/>
        </w:rPr>
        <w:t xml:space="preserve">Pri </w:t>
      </w:r>
      <w:r>
        <w:rPr>
          <w:i/>
        </w:rPr>
        <w:t xml:space="preserve">vypĺňaní </w:t>
      </w:r>
      <w:r>
        <w:rPr>
          <w:i/>
          <w:color w:val="000000"/>
        </w:rPr>
        <w:t xml:space="preserve">tohto oddielu postupujte podľa informácií v oddiele 3.3 (body 71 – 76) CEEAG.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Na overenie súladu s bodom 72 CEEAG vysvetlite, či činnosti podporované v rámci notifikovaného opatrenia (notifikovaných opatrení) spĺňajú kritériá environmentálne udržateľných hospodárskych činností</w:t>
      </w:r>
      <w:r>
        <w:rPr>
          <w:shd w:val="clear" w:color="auto" w:fill="FFFFFF"/>
        </w:rPr>
        <w:t xml:space="preserve"> stanovené v </w:t>
      </w:r>
      <w:r>
        <w:t>článku 3 nariadenia Európskeho parlamentu a Rady (EÚ) 2020/852</w:t>
      </w:r>
      <w:r>
        <w:rPr>
          <w:rStyle w:val="FootnoteReference"/>
          <w:lang w:eastAsia="en-GB"/>
        </w:rPr>
        <w:footnoteReference w:id="15"/>
      </w:r>
      <w:r>
        <w:rPr>
          <w:shd w:val="clear" w:color="auto" w:fill="FFFFFF"/>
        </w:rPr>
        <w:t xml:space="preserve"> vrátane zásady „nespôsobovať významnú škodu“ alebo iných porovnateľných metodík.</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(V prípade súťažného ponukového konania) Vysvetlite, či notifikované opatrenie (opatrenia) obsahuje (obsahujú) prvky na uľahčenie účasti MSP na súťažných ponukových konaniach. V kladnom prípade uveďte informácie o týchto vlastnostiach a zdôvodnite, ako pozitívne vplyvy zabezpečenia účasti MSP na notifikovaného opatrenia (notifikovaných opatrení) prevažujú nad možnými rušivými vplyvmi.</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lastRenderedPageBreak/>
        <w:t>Na preukázanie súladu s bodmi 74 a 155 – 156 CEEAG:</w:t>
      </w:r>
    </w:p>
    <w:p w14:paraId="63C203A5" w14:textId="5E6F0AA2" w:rsidR="00976A75" w:rsidRDefault="00976A75" w:rsidP="00BC0346">
      <w:pPr>
        <w:pStyle w:val="ListParagraph"/>
        <w:numPr>
          <w:ilvl w:val="0"/>
          <w:numId w:val="43"/>
        </w:numPr>
        <w:spacing w:before="120" w:after="120"/>
        <w:contextualSpacing w:val="0"/>
        <w:jc w:val="both"/>
      </w:pPr>
      <w:r>
        <w:t>Objasnite, či sú investície do zariadení využívajúcich zemný plyn oprávnené na pomoc v rámci notifikovaného opatrenia (notifikovaných opatrení). V kladnom prípade preukážte, že pomoc nevytlačí investície do ekologickejších alternatív, ktoré sú už dostupné na trhu, ani nepovedie k odkázanosti na určité technológie. Vysvetlite aj, či zariadenia na zemný plyn nahrádzajú zariadenia vyrábajúce energiu, ktoré využívajú najviac znečisťujúce fosílne palivá, ako sú ropa a uhlie.</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09C211A7" w:rsidR="00976A75" w:rsidRDefault="00976A75" w:rsidP="00BC0346">
      <w:pPr>
        <w:pStyle w:val="ListParagraph"/>
        <w:numPr>
          <w:ilvl w:val="0"/>
          <w:numId w:val="43"/>
        </w:numPr>
        <w:spacing w:before="120" w:after="120"/>
        <w:contextualSpacing w:val="0"/>
        <w:jc w:val="both"/>
      </w:pPr>
      <w:r>
        <w:t xml:space="preserve">Potvrďte, že investície do zariadení využívajúcich znečisťujúce fosílne palivá, ako je ropa a uhlie, nie sú oprávnené na pomoc v rámci notifikovaného opatrenia (notifikovaných opatrení). Upozorňujeme, že pomoc na inštaláciu zariadení využívajúcich fosílne palivá, ako je ropa a uhlie, sa považuje za pomoc s negatívnym vplyvom na hospodársku súťaž z dôvodu vyšších emisií uhlíka spojených s využívaním fosílnych palív, značného rizika odkázanosti na technológie využívajúce fosílne palivá a vytláčanie investícií do ekologickejších a inovatívnejších alternatív, ktoré sú dostupné na trhu.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Oddiel C: Hodnotenie</w:t>
            </w:r>
          </w:p>
        </w:tc>
      </w:tr>
    </w:tbl>
    <w:p w14:paraId="0E74647B" w14:textId="4714C7EA" w:rsidR="00E752D3" w:rsidRDefault="00E752D3" w:rsidP="00E752D3">
      <w:pPr>
        <w:tabs>
          <w:tab w:val="left" w:leader="dot" w:pos="9072"/>
        </w:tabs>
        <w:spacing w:before="120" w:after="120"/>
        <w:jc w:val="both"/>
      </w:pPr>
      <w:r>
        <w:rPr>
          <w:i/>
        </w:rPr>
        <w:t>Pri vypĺňaní tohto oddielu postupujte podľa informácií v kapitole 5 (body 455 – 463) CEEAG.</w:t>
      </w:r>
    </w:p>
    <w:p w14:paraId="3B148946" w14:textId="6DA2827A" w:rsidR="005B1125" w:rsidRDefault="005B1125" w:rsidP="00BC0346">
      <w:pPr>
        <w:pStyle w:val="ListParagraph"/>
        <w:numPr>
          <w:ilvl w:val="0"/>
          <w:numId w:val="44"/>
        </w:numPr>
        <w:spacing w:before="120" w:after="120"/>
        <w:ind w:left="567" w:hanging="567"/>
        <w:contextualSpacing w:val="0"/>
        <w:jc w:val="both"/>
      </w:pPr>
      <w:r>
        <w:t>Ak notifikované opatrenie (opatrenia) prekračuje (prekračujú) prahové hodnoty rozpočtu/výdavkov v bode 456 CEEAG, buď vysvetlite, prečo by sa podľa vás mala uplatniť výnimka v bode 457 CEEAG, alebo pripojte k tomuto formuláru oznámenia prílohu, ktorá obsahuje návrh plánu hodnotenia pokrývajúci rozsah uvedený v bode 458 CEEAG.</w:t>
      </w:r>
      <w:r>
        <w:rPr>
          <w:rStyle w:val="FootnoteReference"/>
          <w:lang w:eastAsia="en-GB"/>
        </w:rPr>
        <w:footnoteReference w:id="16"/>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Ak je k dispozícii návrh plánu hodnotenia:</w:t>
      </w:r>
    </w:p>
    <w:p w14:paraId="2908B272" w14:textId="4C8C9A91" w:rsidR="005B1125" w:rsidRDefault="005C3E74" w:rsidP="00BC0346">
      <w:pPr>
        <w:pStyle w:val="ListParagraph"/>
        <w:numPr>
          <w:ilvl w:val="0"/>
          <w:numId w:val="46"/>
        </w:numPr>
        <w:spacing w:before="120" w:after="120"/>
        <w:contextualSpacing w:val="0"/>
        <w:jc w:val="both"/>
      </w:pPr>
      <w:r>
        <w:t>N</w:t>
      </w:r>
      <w:r w:rsidR="00BC0346">
        <w:t>ižšie poskytnite zhrnutie návrhu plánu hodnotenia, ktoré je súčasťou prílohy.</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661E4EDD" w:rsidR="005B1125" w:rsidRDefault="005C3E74" w:rsidP="00BC0346">
      <w:pPr>
        <w:pStyle w:val="ListParagraph"/>
        <w:numPr>
          <w:ilvl w:val="0"/>
          <w:numId w:val="46"/>
        </w:numPr>
        <w:spacing w:before="120" w:after="120"/>
        <w:contextualSpacing w:val="0"/>
        <w:jc w:val="both"/>
      </w:pPr>
      <w:r>
        <w:t>P</w:t>
      </w:r>
      <w:r w:rsidR="00BC0346">
        <w:t>otvrďte, že bude dodržaný bod 460 CEEAG.</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12BB70D4" w:rsidR="005B1125" w:rsidRDefault="005C3E74" w:rsidP="00BC0346">
      <w:pPr>
        <w:pStyle w:val="ListParagraph"/>
        <w:numPr>
          <w:ilvl w:val="0"/>
          <w:numId w:val="46"/>
        </w:numPr>
        <w:spacing w:before="120" w:after="120"/>
        <w:contextualSpacing w:val="0"/>
        <w:jc w:val="both"/>
      </w:pPr>
      <w:r>
        <w:t>U</w:t>
      </w:r>
      <w:r w:rsidR="00BC0346">
        <w:t>veďte dátum a internetový odkaz, prostredníctvom ktorého bude plán hodnotenia verejne dostupný.</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Na overenie súladu s bodom 459 písm. b) CEEAG, v prípade, že schéma pomoci v súčasnosti nepodlieha hodnoteniu </w:t>
      </w:r>
      <w:r>
        <w:rPr>
          <w:i/>
        </w:rPr>
        <w:t>ex post</w:t>
      </w:r>
      <w:r>
        <w:t xml:space="preserve"> a jej trvanie presahuje tri roky, potvrďte, že oznámite návrh plánu hodnotenia do 30 pracovných dní po významnej zmene, ktorou sa </w:t>
      </w:r>
      <w:r>
        <w:lastRenderedPageBreak/>
        <w:t xml:space="preserve">zvýši rozpočet schémy na viac ako 150 miliónov EUR v danom roku alebo 750 miliónov EUR počas celého trvania schémy.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Na overenie súladu s bodom 459 písm. c) CEEAG v prípade, že schéma pomoci v súčasnosti nepodlieha hodnoteniu </w:t>
      </w:r>
      <w:r>
        <w:rPr>
          <w:i/>
        </w:rPr>
        <w:t>ex post</w:t>
      </w:r>
      <w:r>
        <w:t xml:space="preserve">, nižšie uveďte záväzok, že členský štát oznámi návrh plánu hodnotenia do 30 pracovných dní po zaznamenaní výdavkov, ktoré v predchádzajúcom roku presiahli 150 miliónov EUR, v oficiálnych účtoch.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Na overenie súladu s bodom 461 CEEAG:</w:t>
      </w:r>
    </w:p>
    <w:p w14:paraId="523B7898" w14:textId="4DB1F92C" w:rsidR="005B1125" w:rsidRPr="0051324D" w:rsidRDefault="005B1125" w:rsidP="005D3A8D">
      <w:pPr>
        <w:pStyle w:val="ListParagraph"/>
        <w:numPr>
          <w:ilvl w:val="0"/>
          <w:numId w:val="47"/>
        </w:numPr>
        <w:spacing w:before="120" w:after="120"/>
        <w:contextualSpacing w:val="0"/>
        <w:jc w:val="both"/>
      </w:pPr>
      <w:r>
        <w:t>Objasnite, či už bol nezávislý znalec vybraný alebo či bude vybraný v budúcnosti.</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Uveďte informácie o výberovom konaní znalca.</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Zdôvodnite, prečo je znalec nezávislý od orgánu poskytujúceho pomoc.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Uveďte navrhované termíny na predloženie priebežnej a záverečnej hodnotiacej správy. Upozorňujeme, že v súlade s bodom 463 CEEAG, sa záverečná hodnotiaca správa musí predložiť Komisii včas, aby sa mohlo posúdiť prípadné predĺženie schémy pomoci, a najneskôr deväť mesiacov pred uplynutím jej platnosti. Upozorňujeme, že uvedenú lehotu možno skrátiť v prípade schém, pri ktorých sa za posledné dva roky vykonávania vyžadovalo hodnotenie.</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Potvrďte, že priebežná a záverečná hodnotiaca správa budú zverejnené. Uveďte dátum a internetový odkaz, prostredníctvom ktorého budú tieto správy verejne dostupné.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Oddiel D: Podávanie správ a monitorovanie</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Pri vypĺňaní tohto oddielu postupujte podľa informácií v oddiele 6 (body 464 a 465) CEEAG.</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Potvrďte, že členský štát splní požiadavky na podávanie správ a monitorovanie stanovené v oddiele 6 bodoch 464 a 465 CEEAG.</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Ú. v. EÚ C 80, 18.2.2022, s. 1.</w:t>
      </w:r>
    </w:p>
  </w:footnote>
  <w:footnote w:id="3">
    <w:p w14:paraId="2A08361A" w14:textId="77777777" w:rsidR="00111EDE" w:rsidRDefault="00111EDE" w:rsidP="00111EDE">
      <w:pPr>
        <w:pStyle w:val="FootnoteText"/>
      </w:pPr>
      <w:r>
        <w:rPr>
          <w:rStyle w:val="FootnoteReference"/>
        </w:rPr>
        <w:footnoteRef/>
      </w:r>
      <w:r>
        <w:tab/>
      </w:r>
      <w:r>
        <w:t xml:space="preserve">Upozorňujeme, že v prípade schémy pomoci trvanie predstavuje obdobie, počas ktorého možno požiadať o pomoc a rozhodnúť o nej (vrátane času potrebného na schválenie žiadostí o pomoc orgánmi). Trvanie uvedené v tejto otázke sa netýka trvania zmlúv uzavretých v rámci schémy pomoci, ktoré môžu trvať aj po skončení trvania opatrenia. </w:t>
      </w:r>
    </w:p>
  </w:footnote>
  <w:footnote w:id="4">
    <w:p w14:paraId="18104C0E" w14:textId="77777777" w:rsidR="00111EDE" w:rsidRPr="0067348B" w:rsidRDefault="00111EDE" w:rsidP="00111EDE">
      <w:pPr>
        <w:pStyle w:val="FootnoteText"/>
      </w:pPr>
      <w:r>
        <w:rPr>
          <w:rStyle w:val="FootnoteReference"/>
        </w:rPr>
        <w:footnoteRef/>
      </w:r>
      <w:r>
        <w:tab/>
      </w:r>
      <w:r>
        <w:t>Upozorňujeme, že zmena skutočného alebo odhadovaného rozpočtu môže predstavovať zmenu pomoci, ktorá si vyžaduje nové oznámenie.</w:t>
      </w:r>
    </w:p>
  </w:footnote>
  <w:footnote w:id="5">
    <w:p w14:paraId="619B015F" w14:textId="77777777" w:rsidR="00B35947" w:rsidRPr="00CC03BD" w:rsidRDefault="00B35947" w:rsidP="00B35947">
      <w:pPr>
        <w:pStyle w:val="FootnoteText"/>
      </w:pPr>
      <w:r>
        <w:rPr>
          <w:rStyle w:val="FootnoteReference"/>
        </w:rPr>
        <w:footnoteRef/>
      </w:r>
      <w:r>
        <w:t xml:space="preserve"> </w:t>
      </w:r>
      <w:r>
        <w:tab/>
      </w:r>
      <w:r>
        <w:t>V poznámke pod čiarou č. 74 je uvedené, že tieto investície by mohli byť napríklad zamerané na výmenu okien alebo kotlov v budove, alebo na zateplenie stien.</w:t>
      </w:r>
    </w:p>
  </w:footnote>
  <w:footnote w:id="6">
    <w:p w14:paraId="2024B5EE" w14:textId="0A95B5DE" w:rsidR="006C5D8B" w:rsidRPr="00CF158B" w:rsidRDefault="006C5D8B" w:rsidP="006C5D8B">
      <w:pPr>
        <w:pStyle w:val="FootnoteText"/>
      </w:pPr>
      <w:r>
        <w:rPr>
          <w:rStyle w:val="FootnoteReference"/>
        </w:rPr>
        <w:footnoteRef/>
      </w:r>
      <w:r>
        <w:t xml:space="preserve"> </w:t>
      </w:r>
      <w:r>
        <w:tab/>
      </w:r>
      <w:r>
        <w:t xml:space="preserve">Upozorňujeme, že body 38 a 52, ako aj poznámky pod čiarou č. 39 a 45 CEEAG poskytujú ďalšie usmernenia k tomu, ako by sa mal vypracovať pravdepodobný </w:t>
      </w:r>
      <w:proofErr w:type="spellStart"/>
      <w:r>
        <w:t>kontrafaktuálny</w:t>
      </w:r>
      <w:proofErr w:type="spellEnd"/>
      <w:r>
        <w:t xml:space="preserve"> scenár.</w:t>
      </w:r>
    </w:p>
  </w:footnote>
  <w:footnote w:id="7">
    <w:p w14:paraId="593783A2" w14:textId="77777777" w:rsidR="005B7459" w:rsidRPr="00114695" w:rsidRDefault="005B7459" w:rsidP="005B7459">
      <w:pPr>
        <w:pStyle w:val="FootnoteText"/>
      </w:pPr>
      <w:r>
        <w:rPr>
          <w:rStyle w:val="FootnoteReference"/>
        </w:rPr>
        <w:footnoteRef/>
      </w:r>
      <w:r>
        <w:t xml:space="preserve"> </w:t>
      </w:r>
      <w:r>
        <w:tab/>
      </w:r>
      <w:r>
        <w:t>Pojem „referenčný projekt“ je definovaný v bode 19 ods. 63 CEEAG.</w:t>
      </w:r>
    </w:p>
  </w:footnote>
  <w:footnote w:id="8">
    <w:p w14:paraId="0BFAE3BE" w14:textId="77777777" w:rsidR="006C5D8B" w:rsidRDefault="006C5D8B" w:rsidP="006C5D8B">
      <w:pPr>
        <w:pStyle w:val="FootnoteText"/>
      </w:pPr>
      <w:r>
        <w:rPr>
          <w:rStyle w:val="FootnoteReference"/>
        </w:rPr>
        <w:footnoteRef/>
      </w:r>
      <w:r>
        <w:t xml:space="preserve"> </w:t>
      </w:r>
      <w:r>
        <w:tab/>
      </w:r>
      <w:r>
        <w:t>Ak vychádzate z nedávneho súťažného konania, vysvetlite, prečo možno toto ponukové konanie považovať za súťažné, vrátane toho, ako sa prípadne zabránilo neočakávaným ziskom v prípade rôznych technológií zahrnutých do súťažného ponukového konania, a ako je to porovnateľné, napríklad:</w:t>
      </w:r>
    </w:p>
    <w:p w14:paraId="32FF99E9" w14:textId="09CF0337" w:rsidR="006C5D8B" w:rsidRDefault="006C5D8B" w:rsidP="00AF4BC1">
      <w:pPr>
        <w:pStyle w:val="FootnoteText"/>
        <w:numPr>
          <w:ilvl w:val="0"/>
          <w:numId w:val="29"/>
        </w:numPr>
        <w:ind w:left="1418"/>
      </w:pPr>
      <w:r>
        <w:t>Boli podmienky (napr. zmluvné podmienky a trvanie, lehoty na investovanie, či boli platby podpory indexovo viazané na infláciu) podobné podmienkam navrhovaným v notifikovanom opatrení (notifikovaných opatreniach)?</w:t>
      </w:r>
    </w:p>
    <w:p w14:paraId="12C047BB" w14:textId="77777777" w:rsidR="006C5D8B" w:rsidRDefault="006C5D8B" w:rsidP="00AF4BC1">
      <w:pPr>
        <w:pStyle w:val="FootnoteText"/>
        <w:numPr>
          <w:ilvl w:val="0"/>
          <w:numId w:val="29"/>
        </w:numPr>
        <w:ind w:left="1418"/>
      </w:pPr>
      <w:r>
        <w:t>Uskutočnilo sa súťažné konanie za podobných makroekonomických podmienok?</w:t>
      </w:r>
    </w:p>
    <w:p w14:paraId="758C7A5E" w14:textId="77777777" w:rsidR="006C5D8B" w:rsidRDefault="006C5D8B" w:rsidP="00AF4BC1">
      <w:pPr>
        <w:pStyle w:val="FootnoteText"/>
        <w:numPr>
          <w:ilvl w:val="0"/>
          <w:numId w:val="29"/>
        </w:numPr>
        <w:ind w:left="1418"/>
      </w:pPr>
      <w:r>
        <w:t>Boli technológie/typy projektov podobné?</w:t>
      </w:r>
    </w:p>
  </w:footnote>
  <w:footnote w:id="9">
    <w:p w14:paraId="590F3FC7" w14:textId="23F7DB9F" w:rsidR="00770302" w:rsidRPr="003D1C23" w:rsidRDefault="00770302" w:rsidP="00821F07">
      <w:pPr>
        <w:pStyle w:val="FootnoteText"/>
      </w:pPr>
      <w:r>
        <w:rPr>
          <w:rStyle w:val="FootnoteReference"/>
        </w:rPr>
        <w:footnoteRef/>
      </w:r>
      <w:r>
        <w:t xml:space="preserve"> </w:t>
      </w:r>
      <w:r>
        <w:tab/>
      </w:r>
      <w:r>
        <w:t>Podľa bodu 19 ods. 89 CEEAG „norma Únie“ je:</w:t>
      </w:r>
    </w:p>
    <w:p w14:paraId="340A0B20" w14:textId="77777777" w:rsidR="00770302" w:rsidRPr="003D1C23" w:rsidRDefault="00770302" w:rsidP="00BC0346">
      <w:pPr>
        <w:pStyle w:val="FootnoteText"/>
        <w:numPr>
          <w:ilvl w:val="0"/>
          <w:numId w:val="26"/>
        </w:numPr>
      </w:pPr>
      <w: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02AC4E0B" w14:textId="609C0B25" w:rsidR="00770302" w:rsidRPr="003D1C23" w:rsidRDefault="00770302" w:rsidP="00BC0346">
      <w:pPr>
        <w:pStyle w:val="FootnoteText"/>
        <w:numPr>
          <w:ilvl w:val="0"/>
          <w:numId w:val="26"/>
        </w:numPr>
      </w:pPr>
      <w: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10">
    <w:p w14:paraId="6853F00F" w14:textId="1EBBBF50" w:rsidR="00770302" w:rsidRPr="007E4A3E" w:rsidRDefault="00770302">
      <w:pPr>
        <w:pStyle w:val="FootnoteText"/>
      </w:pPr>
      <w:r>
        <w:rPr>
          <w:rStyle w:val="FootnoteReference"/>
        </w:rPr>
        <w:footnoteRef/>
      </w:r>
      <w:r>
        <w:t xml:space="preserve"> </w:t>
      </w:r>
      <w:r>
        <w:tab/>
      </w:r>
      <w:r>
        <w:t>Doba návratnosti je množstvo času potrebného na vrátenie nákladov na investície (bez pomoci).</w:t>
      </w:r>
    </w:p>
  </w:footnote>
  <w:footnote w:id="11">
    <w:p w14:paraId="2937680B" w14:textId="77777777" w:rsidR="006C2F85" w:rsidRPr="0095488F" w:rsidRDefault="006C2F85" w:rsidP="006C2F85">
      <w:pPr>
        <w:pStyle w:val="FootnoteText"/>
      </w:pPr>
      <w:r>
        <w:rPr>
          <w:rStyle w:val="FootnoteReference"/>
        </w:rPr>
        <w:footnoteRef/>
      </w:r>
      <w:r>
        <w:t xml:space="preserve"> </w:t>
      </w:r>
      <w:r>
        <w:tab/>
      </w:r>
      <w:r>
        <w:t>Postupujte podľa ďalších informácií v bodoch 51 – 53, ako aj v poznámkach pod čiarou č. 45 a 46 CEEAG.</w:t>
      </w:r>
    </w:p>
  </w:footnote>
  <w:footnote w:id="12">
    <w:p w14:paraId="739A8028" w14:textId="082B93E2" w:rsidR="009A7FA6" w:rsidRPr="007D07E2" w:rsidRDefault="009A7FA6" w:rsidP="009A7FA6">
      <w:pPr>
        <w:pStyle w:val="FootnoteText"/>
      </w:pPr>
      <w:r>
        <w:rPr>
          <w:rStyle w:val="FootnoteReference"/>
        </w:rPr>
        <w:footnoteRef/>
      </w:r>
      <w:r>
        <w:t xml:space="preserve"> </w:t>
      </w:r>
      <w:r>
        <w:tab/>
      </w:r>
      <w:r>
        <w:t xml:space="preserve">Upozorňujeme, že body 38, 52, 165, 166 a 167, ako aj poznámky pod čiarou č. 39 a 45 CEEAG poskytujú ďalšie usmernenia k tomu, ako by sa mal vypracovať pravdepodobný </w:t>
      </w:r>
      <w:proofErr w:type="spellStart"/>
      <w:r>
        <w:t>kontrafaktuálny</w:t>
      </w:r>
      <w:proofErr w:type="spellEnd"/>
      <w:r>
        <w:t xml:space="preserve"> scenár.</w:t>
      </w:r>
    </w:p>
  </w:footnote>
  <w:footnote w:id="13">
    <w:p w14:paraId="68255F0B" w14:textId="33EEB9D6" w:rsidR="005679B2" w:rsidRDefault="005679B2" w:rsidP="005679B2">
      <w:pPr>
        <w:pStyle w:val="FootnoteText"/>
      </w:pPr>
      <w:r>
        <w:rPr>
          <w:rStyle w:val="FootnoteReference"/>
        </w:rPr>
        <w:footnoteRef/>
      </w:r>
      <w:r>
        <w:t xml:space="preserve"> </w:t>
      </w:r>
      <w:r>
        <w:tab/>
      </w:r>
      <w:r>
        <w:t>Upozorňujeme, že poznámka pod čiarou č. 44 CEEAG stanovuje, že: „</w:t>
      </w:r>
      <w:r>
        <w:rPr>
          <w:i/>
          <w:color w:val="000000"/>
          <w:shd w:val="clear" w:color="auto" w:fill="FFFFFF"/>
        </w:rPr>
        <w:t>Pri posudzovaní jednotiek ochrany životného prostredia môžu členské štáty napríklad vypracovať metodiku, v ktorej sa zohľadňujú emisie alebo iné znečisťovanie v rôznych fázach podporenej hospodárskej činnosti, trvanie realizácie projektu alebo náklady na systémovú integráciu. Pri zisťovaní vzťahu medzi príspevkom k hlavným cieľom a požadovanou výškou podpory môžu členské štáty napríklad prideliť váhu rôznym objektívnym kritériám a vyberať na základe výšky podpory na jednotku váženého priemeru objektívnych kritérií alebo môžu vyberať z obmedzenej škály ponúk s najnižšou výškou podpory na jednotku objektívnych kritérií tie ponuky, ktoré majú v súvislosti s objektívnymi kritériami najvyššie hodnoty. Parametre takéhoto prístupu musia byť kalibrované, aby sa zabezpečilo, že proces predkladania ponúk zostane nediskriminačný, zaistí účinnú súťaž a bude odrážať ekonomickú hodnotu.“</w:t>
      </w:r>
    </w:p>
  </w:footnote>
  <w:footnote w:id="14">
    <w:p w14:paraId="7C525AD8" w14:textId="7D6CBC42" w:rsidR="004345D1" w:rsidRDefault="004345D1" w:rsidP="004345D1">
      <w:pPr>
        <w:pStyle w:val="FootnoteText"/>
      </w:pPr>
      <w:r>
        <w:rPr>
          <w:rStyle w:val="FootnoteReference"/>
        </w:rPr>
        <w:footnoteRef/>
      </w:r>
      <w:r>
        <w:tab/>
        <w:t xml:space="preserve"> </w:t>
      </w:r>
      <w:r>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t>Nariadenie Európskeho parlamentu a Rady (EÚ) 2020/852 z 18. júna 2020 o vytvorení rámca na uľahčenie udržateľných investícií a o zmene nariadenia (EÚ) 2019/2088 (Ú. v. EÚ L 198, 22.6.2020, s. 13).</w:t>
      </w:r>
    </w:p>
  </w:footnote>
  <w:footnote w:id="16">
    <w:p w14:paraId="2031DE19" w14:textId="508259E6" w:rsidR="005B1125" w:rsidRDefault="005B1125" w:rsidP="005B1125">
      <w:pPr>
        <w:pStyle w:val="FootnoteText"/>
      </w:pPr>
      <w:r>
        <w:rPr>
          <w:rStyle w:val="FootnoteReference"/>
        </w:rPr>
        <w:footnoteRef/>
      </w:r>
      <w:r>
        <w:t xml:space="preserve"> </w:t>
      </w:r>
      <w:r>
        <w:tab/>
      </w:r>
      <w:r>
        <w:t xml:space="preserve">Vzor formulára doplňujúcich informácií pre oznámenie plánu hodnotenia (časť III.8) je k dispozícii tu: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75495B4"/>
    <w:lvl w:ilvl="0" w:tplc="7346A0F0">
      <w:start w:val="1"/>
      <w:numFmt w:val="lowerRoman"/>
      <w:lvlText w:val="%1)"/>
      <w:lvlJc w:val="right"/>
      <w:pPr>
        <w:ind w:left="1550" w:hanging="360"/>
      </w:pPr>
      <w:rPr>
        <w:rFonts w:hint="default"/>
        <w:b w:val="0"/>
        <w:i w:val="0"/>
        <w:spacing w:val="25"/>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158AB1B0"/>
    <w:lvl w:ilvl="0" w:tplc="7346A0F0">
      <w:start w:val="1"/>
      <w:numFmt w:val="lowerRoman"/>
      <w:lvlText w:val="%1)"/>
      <w:lvlJc w:val="right"/>
      <w:pPr>
        <w:ind w:left="1550" w:hanging="360"/>
      </w:pPr>
      <w:rPr>
        <w:rFonts w:hint="default"/>
        <w:b w:val="0"/>
        <w:i w:val="0"/>
        <w:spacing w:val="25"/>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AF9CA89E"/>
    <w:lvl w:ilvl="0" w:tplc="7346A0F0">
      <w:start w:val="1"/>
      <w:numFmt w:val="lowerRoman"/>
      <w:lvlText w:val="%1)"/>
      <w:lvlJc w:val="right"/>
      <w:pPr>
        <w:ind w:left="1080" w:hanging="360"/>
      </w:pPr>
      <w:rPr>
        <w:rFonts w:hint="default"/>
        <w:b w:val="0"/>
        <w:i w:val="0"/>
        <w:spacing w:val="25"/>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32DEDC24"/>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66289B6E"/>
    <w:lvl w:ilvl="0" w:tplc="BD60C2F4">
      <w:start w:val="1"/>
      <w:numFmt w:val="lowerRoman"/>
      <w:lvlText w:val="%1)"/>
      <w:lvlJc w:val="left"/>
      <w:pPr>
        <w:ind w:left="927" w:hanging="360"/>
      </w:pPr>
      <w:rPr>
        <w:rFonts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9904D766"/>
    <w:lvl w:ilvl="0" w:tplc="BD60C2F4">
      <w:start w:val="1"/>
      <w:numFmt w:val="lowerRoman"/>
      <w:lvlText w:val="%1)"/>
      <w:lvlJc w:val="left"/>
      <w:pPr>
        <w:ind w:left="1080" w:hanging="360"/>
      </w:pPr>
      <w:rPr>
        <w:rFonts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0E86934E"/>
    <w:lvl w:ilvl="0" w:tplc="BD60C2F4">
      <w:start w:val="1"/>
      <w:numFmt w:val="lowerRoman"/>
      <w:lvlText w:val="%1)"/>
      <w:lvlJc w:val="left"/>
      <w:pPr>
        <w:ind w:left="1287" w:hanging="360"/>
      </w:pPr>
      <w:rPr>
        <w:rFonts w:hint="default"/>
        <w:b w:val="0"/>
        <w:i w:val="0"/>
        <w:sz w:val="24"/>
      </w:rPr>
    </w:lvl>
    <w:lvl w:ilvl="1" w:tplc="041B0017">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34CE3638"/>
    <w:lvl w:ilvl="0" w:tplc="C99CEE36">
      <w:start w:val="1"/>
      <w:numFmt w:val="lowerRoman"/>
      <w:lvlText w:val="%1."/>
      <w:lvlJc w:val="left"/>
      <w:pPr>
        <w:ind w:left="1080" w:hanging="360"/>
      </w:pPr>
      <w:rPr>
        <w:rFonts w:ascii="Times New Roman" w:hAnsi="Times New Roman" w:hint="default"/>
        <w:b w:val="0"/>
        <w:i w:val="0"/>
        <w:sz w:val="24"/>
      </w:rPr>
    </w:lvl>
    <w:lvl w:ilvl="1" w:tplc="041B0017">
      <w:start w:val="1"/>
      <w:numFmt w:val="lowerLetter"/>
      <w:lvlText w:val="%2)"/>
      <w:lvlJc w:val="left"/>
      <w:pPr>
        <w:ind w:left="2007"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D0F6E810"/>
    <w:lvl w:ilvl="0" w:tplc="BD60C2F4">
      <w:start w:val="1"/>
      <w:numFmt w:val="lowerRoman"/>
      <w:lvlText w:val="%1)"/>
      <w:lvlJc w:val="left"/>
      <w:pPr>
        <w:ind w:left="1080" w:hanging="360"/>
      </w:pPr>
      <w:rPr>
        <w:rFonts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5CC21046"/>
    <w:lvl w:ilvl="0" w:tplc="041B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C9660096"/>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FDDEDD16"/>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8292B05C"/>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718470B6"/>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7DF82A0A"/>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188E4B2C"/>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DDE66AB0"/>
    <w:lvl w:ilvl="0" w:tplc="BD60C2F4">
      <w:start w:val="1"/>
      <w:numFmt w:val="lowerRoman"/>
      <w:lvlText w:val="%1)"/>
      <w:lvlJc w:val="left"/>
      <w:pPr>
        <w:ind w:left="1080" w:hanging="360"/>
      </w:pPr>
      <w:rPr>
        <w:rFonts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E280DD30"/>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E7C2A4BA"/>
    <w:lvl w:ilvl="0" w:tplc="7346A0F0">
      <w:start w:val="1"/>
      <w:numFmt w:val="lowerRoman"/>
      <w:lvlText w:val="%1)"/>
      <w:lvlJc w:val="right"/>
      <w:pPr>
        <w:ind w:left="1080" w:hanging="360"/>
      </w:pPr>
      <w:rPr>
        <w:rFonts w:hint="default"/>
        <w:b w:val="0"/>
        <w:i w:val="0"/>
        <w:spacing w:val="25"/>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B25E75B6"/>
    <w:lvl w:ilvl="0" w:tplc="82A46EEA">
      <w:start w:val="1"/>
      <w:numFmt w:val="decimal"/>
      <w:lvlText w:val="%1."/>
      <w:lvlJc w:val="left"/>
      <w:pPr>
        <w:ind w:left="720" w:hanging="360"/>
      </w:pPr>
      <w:rPr>
        <w:rFonts w:hint="default"/>
        <w:b/>
        <w:i w:val="0"/>
      </w:rPr>
    </w:lvl>
    <w:lvl w:ilvl="1" w:tplc="BD60C2F4">
      <w:start w:val="1"/>
      <w:numFmt w:val="lowerRoman"/>
      <w:lvlText w:val="%2)"/>
      <w:lvlJc w:val="left"/>
      <w:pPr>
        <w:ind w:left="1287" w:hanging="360"/>
      </w:pPr>
      <w:rPr>
        <w:rFonts w:hint="default"/>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91CCC3B2"/>
    <w:lvl w:ilvl="0" w:tplc="BD60C2F4">
      <w:start w:val="1"/>
      <w:numFmt w:val="lowerRoman"/>
      <w:lvlText w:val="%1)"/>
      <w:lvlJc w:val="left"/>
      <w:pPr>
        <w:ind w:left="1070" w:hanging="360"/>
      </w:pPr>
      <w:rPr>
        <w:rFonts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BB6AAB8"/>
    <w:lvl w:ilvl="0" w:tplc="BD60C2F4">
      <w:start w:val="1"/>
      <w:numFmt w:val="lowerRoman"/>
      <w:lvlText w:val="%1)"/>
      <w:lvlJc w:val="left"/>
      <w:pPr>
        <w:ind w:left="107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8FC03232"/>
    <w:lvl w:ilvl="0" w:tplc="BD60C2F4">
      <w:start w:val="1"/>
      <w:numFmt w:val="lowerRoman"/>
      <w:lvlText w:val="%1)"/>
      <w:lvlJc w:val="left"/>
      <w:pPr>
        <w:ind w:left="927" w:hanging="360"/>
      </w:pPr>
      <w:rPr>
        <w:rFonts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6860"/>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1D4C"/>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3E74"/>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90A"/>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4BC1"/>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60"/>
    <w:rsid w:val="00BB0FC6"/>
    <w:rsid w:val="00BB1D4A"/>
    <w:rsid w:val="00BB1DF5"/>
    <w:rsid w:val="00BB2068"/>
    <w:rsid w:val="00BB56D1"/>
    <w:rsid w:val="00BB5FEE"/>
    <w:rsid w:val="00BC0346"/>
    <w:rsid w:val="00BC0409"/>
    <w:rsid w:val="00BC1A80"/>
    <w:rsid w:val="00BC250F"/>
    <w:rsid w:val="00BC2DAA"/>
    <w:rsid w:val="00BC3E14"/>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1F0A"/>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3DA2"/>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092F"/>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CDA"/>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sk-SK"/>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18</Pages>
  <Words>5443</Words>
  <Characters>28253</Characters>
  <DocSecurity>0</DocSecurity>
  <Lines>627</Lines>
  <Paragraphs>207</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