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608E3C9B">
        <w:trPr>
          <w:trHeight w:val="1134"/>
        </w:trPr>
        <w:tc>
          <w:tcPr>
            <w:tcW w:w="9214" w:type="dxa"/>
            <w:shd w:val="clear" w:color="auto" w:fill="auto"/>
          </w:tcPr>
          <w:p w14:paraId="7C28D065" w14:textId="0983E240" w:rsidR="000442F5" w:rsidRPr="009916D5" w:rsidRDefault="00FA1F8A" w:rsidP="7097866F">
            <w:pPr>
              <w:pStyle w:val="Heading2"/>
              <w:spacing w:before="240" w:after="240"/>
              <w:jc w:val="center"/>
              <w:rPr>
                <w:sz w:val="32"/>
                <w:szCs w:val="32"/>
              </w:rPr>
            </w:pPr>
            <w:bookmarkStart w:id="0" w:name="_Toc414370364"/>
            <w:bookmarkStart w:id="1" w:name="_Toc416949016"/>
            <w:r>
              <w:rPr>
                <w:sz w:val="32"/>
              </w:rPr>
              <w:t xml:space="preserve">Dio III.6.</w:t>
            </w:r>
            <w:r>
              <w:rPr>
                <w:sz w:val="32"/>
              </w:rPr>
              <w:t xml:space="preserve"> </w:t>
            </w:r>
          </w:p>
          <w:p w14:paraId="1C239D2C" w14:textId="40222408" w:rsidR="000442F5" w:rsidRPr="009916D5" w:rsidRDefault="1AB540F5" w:rsidP="008D5ADF">
            <w:pPr>
              <w:pStyle w:val="Heading2"/>
              <w:spacing w:before="240" w:after="240"/>
              <w:jc w:val="center"/>
              <w:rPr>
                <w:sz w:val="32"/>
                <w:szCs w:val="32"/>
              </w:rPr>
            </w:pPr>
            <w:r>
              <w:rPr>
                <w:sz w:val="32"/>
                <w:color w:val="000000"/>
              </w:rPr>
              <w:t xml:space="preserve">Ažurirani* </w:t>
            </w:r>
            <w:r>
              <w:rPr>
                <w:sz w:val="32"/>
              </w:rPr>
              <w:t xml:space="preserve">obrazac o dodatnim podacima za državne potpore dodijeljene na temelju Smjernica o državnim potporama za klimu, zaštitu okoliša i energiju za 2022. (CEEAG)</w:t>
            </w:r>
            <w:r w:rsidR="007B485D" w:rsidRPr="009916D5">
              <w:rPr>
                <w:sz w:val="32"/>
                <w:szCs w:val="32"/>
                <w:vertAlign w:val="superscript"/>
              </w:rPr>
              <w:footnoteReference w:id="2"/>
            </w:r>
            <w:r>
              <w:rPr>
                <w:sz w:val="32"/>
              </w:rPr>
              <w:t xml:space="preserve"> </w:t>
            </w:r>
            <w:bookmarkEnd w:id="0"/>
            <w:bookmarkEnd w:id="1"/>
          </w:p>
          <w:p w14:paraId="543C62B0" w14:textId="77777777" w:rsidR="002B52B3" w:rsidRDefault="002B52B3" w:rsidP="7097866F">
            <w:pPr>
              <w:jc w:val="center"/>
              <w:rPr>
                <w:sz w:val="32"/>
                <w:szCs w:val="32"/>
              </w:rPr>
            </w:pPr>
            <w:r>
              <w:rPr>
                <w:sz w:val="32"/>
              </w:rPr>
              <w:t xml:space="preserve">Poglavlje 4.2. – Potpore za poboljšanje energetskih svojstava zgrada i njihove učinkovitosti u zaštiti okoliša</w:t>
            </w:r>
          </w:p>
          <w:p w14:paraId="09D41530" w14:textId="77777777" w:rsidR="00DD6F5C" w:rsidRDefault="00DD6F5C" w:rsidP="7097866F">
            <w:pPr>
              <w:jc w:val="center"/>
              <w:rPr>
                <w:sz w:val="32"/>
                <w:szCs w:val="32"/>
              </w:rPr>
            </w:pPr>
          </w:p>
          <w:p w14:paraId="09B2710D" w14:textId="77777777" w:rsidR="00DD6F5C" w:rsidRDefault="00DD6F5C" w:rsidP="00DD6F5C">
            <w:pPr>
              <w:pStyle w:val="paragraph"/>
              <w:spacing w:before="0" w:beforeAutospacing="0" w:after="0" w:afterAutospacing="0"/>
              <w:jc w:val="center"/>
              <w:textAlignment w:val="baseline"/>
              <w:rPr>
                <w:sz w:val="18"/>
                <w:szCs w:val="18"/>
                <w:rFonts w:ascii="Segoe UI" w:hAnsi="Segoe UI" w:cs="Segoe UI"/>
              </w:rPr>
            </w:pPr>
            <w:r>
              <w:rPr>
                <w:rStyle w:val="eop"/>
              </w:rPr>
              <w:t xml:space="preserve"> </w:t>
            </w:r>
          </w:p>
          <w:p w14:paraId="469DC4EF" w14:textId="60FD3289" w:rsidR="00DD6F5C" w:rsidRPr="008D5ADF" w:rsidRDefault="00DD6F5C" w:rsidP="008D5ADF">
            <w:pPr>
              <w:pStyle w:val="paragraph"/>
              <w:spacing w:before="0" w:beforeAutospacing="0" w:after="0" w:afterAutospacing="0"/>
              <w:textAlignment w:val="baseline"/>
              <w:rPr>
                <w:sz w:val="18"/>
                <w:szCs w:val="18"/>
                <w:rFonts w:ascii="Segoe UI" w:hAnsi="Segoe UI" w:cs="Segoe UI"/>
              </w:rPr>
            </w:pPr>
            <w:r>
              <w:rPr>
                <w:rStyle w:val="normaltextrun"/>
              </w:rPr>
              <w:t xml:space="preserve">* Još nije službeno donesen.</w:t>
            </w:r>
            <w:r>
              <w:rPr>
                <w:rStyle w:val="eop"/>
              </w:rPr>
              <w:t xml:space="preserve"> </w:t>
            </w:r>
          </w:p>
        </w:tc>
      </w:tr>
    </w:tbl>
    <w:p w14:paraId="44FC34CA" w14:textId="00EFB351" w:rsidR="009E2EA1" w:rsidRPr="00711243" w:rsidRDefault="1D5D3D78" w:rsidP="7097866F">
      <w:pPr>
        <w:spacing w:before="120" w:after="120"/>
        <w:ind w:right="-142"/>
        <w:jc w:val="both"/>
        <w:rPr>
          <w:i/>
          <w:iCs/>
          <w:szCs w:val="24"/>
          <w:rFonts w:eastAsia="Times New Roman"/>
        </w:rPr>
      </w:pPr>
      <w:r>
        <w:rPr>
          <w:i/>
        </w:rPr>
        <w:t xml:space="preserve">Ovaj obrazac o dodatnim podacima mora se upotrebljavati za prijavu potpore obuhvaćene Smjernicama o državnim potporama za klimu, zaštitu okoliša i energiju za 2022. (dalje u tekstu „CEEAG”).</w:t>
      </w:r>
    </w:p>
    <w:p w14:paraId="17CF3DD5" w14:textId="162501A6" w:rsidR="009E2EA1" w:rsidRDefault="1D5D3D78" w:rsidP="118DF711">
      <w:pPr>
        <w:spacing w:before="120" w:after="120"/>
        <w:ind w:right="-142"/>
        <w:jc w:val="both"/>
        <w:rPr>
          <w:i/>
          <w:iCs/>
          <w:szCs w:val="24"/>
          <w:rFonts w:eastAsia="Times New Roman"/>
        </w:rPr>
      </w:pPr>
      <w:r>
        <w:rPr>
          <w:i/>
        </w:rPr>
        <w:t xml:space="preserve">Ovaj obrazac o dodatnim podacima odnosi se na mjere obuhvaćene poglavljem 4.2. CEEAG-a.</w:t>
      </w:r>
      <w:r>
        <w:rPr>
          <w:i/>
        </w:rPr>
        <w:t xml:space="preserve"> </w:t>
      </w:r>
      <w:r>
        <w:rPr>
          <w:i/>
        </w:rPr>
        <w:t xml:space="preserve">Ako prijava uključuje mjere na koje se odnosi više poglavlja CEEAG-a, nakon što postane dostupan ispunite i odgovarajući obrazac o dodatnim podacima koji se odnosi na odgovarajuće poglavlje CEEAG-a.</w:t>
      </w:r>
      <w:r>
        <w:rPr>
          <w:i/>
        </w:rPr>
        <w:t xml:space="preserve"> </w:t>
      </w:r>
    </w:p>
    <w:p w14:paraId="3C67E530" w14:textId="776D64C2" w:rsidR="1541A55D" w:rsidRDefault="1541A55D" w:rsidP="00135DD2">
      <w:pPr>
        <w:spacing w:before="120" w:after="120"/>
        <w:ind w:right="-142"/>
        <w:jc w:val="both"/>
        <w:rPr>
          <w:i/>
          <w:iCs/>
          <w:szCs w:val="24"/>
          <w:rFonts w:eastAsia="Times New Roman"/>
        </w:rPr>
      </w:pPr>
      <w:r>
        <w:rPr>
          <w:i/>
        </w:rPr>
        <w:t xml:space="preserve">Svi dokumenti koje države članice prilažu obrascu o dodatnim podacima moraju biti označeni brojevima, a brojevi dokumenata navode se u odgovarajućim odjeljcima ovog obrasca o dodatnim podacima.</w:t>
      </w:r>
    </w:p>
    <w:p w14:paraId="59668F46" w14:textId="34262F08" w:rsidR="118DF711" w:rsidRDefault="118DF711" w:rsidP="118DF711">
      <w:pPr>
        <w:spacing w:before="120" w:after="120"/>
        <w:ind w:right="-142"/>
        <w:jc w:val="both"/>
        <w:rPr>
          <w:i/>
          <w:iCs/>
        </w:rPr>
      </w:pP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 xml:space="preserve">Odjeljak A:</w:t>
            </w:r>
            <w:r>
              <w:rPr>
                <w:b/>
                <w:sz w:val="32"/>
              </w:rPr>
              <w:t xml:space="preserve"> </w:t>
            </w:r>
            <w:r>
              <w:rPr>
                <w:b/>
                <w:sz w:val="32"/>
              </w:rPr>
              <w:t xml:space="preserve">Sažetak glavnih značajki prijavljenih mjera</w:t>
            </w:r>
          </w:p>
        </w:tc>
      </w:tr>
    </w:tbl>
    <w:p w14:paraId="58CA5BA7" w14:textId="77777777" w:rsidR="00564D5B" w:rsidRDefault="00564D5B" w:rsidP="00564D5B">
      <w:pPr>
        <w:pStyle w:val="ListParagraph"/>
        <w:spacing w:before="120" w:after="120"/>
        <w:ind w:left="567"/>
        <w:contextualSpacing w:val="0"/>
        <w:jc w:val="both"/>
        <w:rPr>
          <w:b/>
        </w:rPr>
      </w:pPr>
    </w:p>
    <w:p w14:paraId="7F8C46A4" w14:textId="7D15D44B" w:rsidR="00111EDE" w:rsidRPr="001A02C8" w:rsidRDefault="00111EDE" w:rsidP="001A02C8">
      <w:pPr>
        <w:pStyle w:val="ListParagraph"/>
        <w:numPr>
          <w:ilvl w:val="0"/>
          <w:numId w:val="4"/>
        </w:numPr>
        <w:spacing w:before="120" w:after="120"/>
        <w:ind w:left="567" w:hanging="567"/>
        <w:contextualSpacing w:val="0"/>
        <w:jc w:val="both"/>
        <w:rPr>
          <w:b/>
        </w:rPr>
      </w:pPr>
      <w:r>
        <w:rPr>
          <w:b/>
        </w:rPr>
        <w:t xml:space="preserve">Kontekst i ciljevi prijavljenih mjera</w:t>
      </w:r>
      <w:r>
        <w:t xml:space="preserve">:</w:t>
      </w:r>
    </w:p>
    <w:p w14:paraId="437F042E" w14:textId="62F95870" w:rsidR="00111EDE" w:rsidRPr="007159A8" w:rsidRDefault="00111EDE" w:rsidP="00BC0346">
      <w:pPr>
        <w:pStyle w:val="ListParagraph"/>
        <w:numPr>
          <w:ilvl w:val="0"/>
          <w:numId w:val="20"/>
        </w:numPr>
        <w:spacing w:after="240"/>
        <w:ind w:left="993" w:hanging="142"/>
        <w:jc w:val="both"/>
      </w:pPr>
      <w:r>
        <w:t xml:space="preserve">Ako se o tome već nije raspravljalo u odjeljku 5.2. obrasca za opće informacije (dio I.), navedite kontekst i glavni cilj, uključujući sve ciljeve Unije za energetsku učinkovitost zgrada i njihovu učinkovitosti u zaštiti okoliša koje se mjerom namjerava poduprijeti.</w:t>
      </w:r>
    </w:p>
    <w:p w14:paraId="7AD02343" w14:textId="77777777" w:rsidR="00111EDE" w:rsidRDefault="00111EDE" w:rsidP="00FF52AA">
      <w:pPr>
        <w:tabs>
          <w:tab w:val="left" w:leader="dot" w:pos="9072"/>
        </w:tabs>
        <w:spacing w:before="120" w:after="120"/>
        <w:ind w:left="1077"/>
        <w:jc w:val="both"/>
      </w:pPr>
      <w:r>
        <w:tab/>
      </w:r>
    </w:p>
    <w:p w14:paraId="1DE5B748" w14:textId="77777777" w:rsidR="00111EDE" w:rsidRPr="004725A8" w:rsidRDefault="00111EDE" w:rsidP="00111EDE">
      <w:pPr>
        <w:pStyle w:val="ListParagraph"/>
        <w:spacing w:after="240"/>
        <w:ind w:left="993"/>
        <w:jc w:val="both"/>
      </w:pPr>
    </w:p>
    <w:p w14:paraId="10B4F50A" w14:textId="3F7F8F5B" w:rsidR="00111EDE" w:rsidRDefault="00111EDE" w:rsidP="00BC0346">
      <w:pPr>
        <w:pStyle w:val="ListParagraph"/>
        <w:numPr>
          <w:ilvl w:val="0"/>
          <w:numId w:val="20"/>
        </w:numPr>
        <w:spacing w:after="240"/>
        <w:ind w:left="993" w:hanging="142"/>
        <w:jc w:val="both"/>
      </w:pPr>
      <w:r>
        <w:t xml:space="preserve">navedite sve druge ciljeve koji se nastoje postići mjerom.</w:t>
      </w:r>
      <w:r>
        <w:t xml:space="preserve"> </w:t>
      </w:r>
      <w:r>
        <w:t xml:space="preserve">Ako je riječ o ciljevima koji nisu isključivo okolišni, objasnite mogu li dovesti do narušavanja tržišnog natjecanja na unutarnjem tržištu.</w:t>
      </w:r>
      <w:r>
        <w:t xml:space="preserve"> </w:t>
      </w:r>
    </w:p>
    <w:p w14:paraId="092936BC" w14:textId="77777777" w:rsidR="00111EDE" w:rsidRPr="00711243" w:rsidRDefault="00111EDE" w:rsidP="00FF52AA">
      <w:pPr>
        <w:tabs>
          <w:tab w:val="left" w:leader="dot" w:pos="9072"/>
        </w:tabs>
        <w:spacing w:before="120" w:after="120"/>
        <w:ind w:left="1077"/>
        <w:jc w:val="both"/>
      </w:pPr>
      <w:r>
        <w:tab/>
      </w:r>
    </w:p>
    <w:p w14:paraId="0D258352" w14:textId="4EE47BB9" w:rsidR="00111EDE" w:rsidRPr="00711243" w:rsidRDefault="00435FF0" w:rsidP="00111EDE">
      <w:pPr>
        <w:pStyle w:val="ListParagraph"/>
        <w:numPr>
          <w:ilvl w:val="0"/>
          <w:numId w:val="4"/>
        </w:numPr>
        <w:spacing w:before="120" w:after="120"/>
        <w:ind w:left="567" w:hanging="567"/>
        <w:contextualSpacing w:val="0"/>
        <w:jc w:val="both"/>
      </w:pPr>
      <w:r>
        <w:rPr>
          <w:b/>
        </w:rPr>
        <w:t xml:space="preserve">Stupanje na snagu i trajanje</w:t>
      </w:r>
      <w:r>
        <w:t xml:space="preserve">:</w:t>
      </w:r>
    </w:p>
    <w:p w14:paraId="732B9D07" w14:textId="224D72C4" w:rsidR="00111EDE" w:rsidRPr="00CF4A34" w:rsidRDefault="00111EDE" w:rsidP="00BC0346">
      <w:pPr>
        <w:pStyle w:val="ListParagraph"/>
        <w:numPr>
          <w:ilvl w:val="0"/>
          <w:numId w:val="28"/>
        </w:numPr>
        <w:spacing w:after="240"/>
        <w:ind w:left="993" w:hanging="142"/>
        <w:jc w:val="both"/>
        <w:rPr>
          <w:szCs w:val="24"/>
        </w:rPr>
      </w:pPr>
      <w:r>
        <w:t xml:space="preserve">ako već nije naveden u odjeljku 5.5. obrasca o općim podacima (dio I.), navedite datum na koji bi program potpore trebao stupiti na snagu;</w:t>
      </w:r>
    </w:p>
    <w:p w14:paraId="6B34173E" w14:textId="77777777" w:rsidR="00111EDE" w:rsidRPr="00564D5B" w:rsidRDefault="00111EDE" w:rsidP="00FF52AA">
      <w:pPr>
        <w:tabs>
          <w:tab w:val="left" w:leader="dot" w:pos="9072"/>
        </w:tabs>
        <w:spacing w:before="120" w:after="120"/>
        <w:ind w:left="1077"/>
        <w:jc w:val="both"/>
      </w:pPr>
      <w:r>
        <w:tab/>
      </w:r>
    </w:p>
    <w:p w14:paraId="486C8F8C" w14:textId="77777777" w:rsidR="00111EDE" w:rsidRPr="00A05822" w:rsidRDefault="00111EDE" w:rsidP="00BC0346">
      <w:pPr>
        <w:pStyle w:val="ListParagraph"/>
        <w:numPr>
          <w:ilvl w:val="0"/>
          <w:numId w:val="28"/>
        </w:numPr>
        <w:spacing w:after="240"/>
        <w:ind w:left="993" w:hanging="142"/>
        <w:jc w:val="both"/>
      </w:pPr>
      <w:r>
        <w:t xml:space="preserve">navedite trajanje programa</w:t>
      </w:r>
      <w:r w:rsidRPr="0096487F">
        <w:rPr>
          <w:rStyle w:val="FootnoteReference"/>
          <w:rFonts w:cs="Arial Unicode MS"/>
          <w:bCs/>
          <w:lang w:bidi="si-LK"/>
        </w:rPr>
        <w:footnoteReference w:id="3"/>
      </w:r>
      <w:r>
        <w:t xml:space="preserve">.</w:t>
      </w:r>
    </w:p>
    <w:p w14:paraId="07CBC89A" w14:textId="77777777" w:rsidR="00111EDE" w:rsidRPr="006B1712" w:rsidRDefault="00111EDE" w:rsidP="00FF52AA">
      <w:pPr>
        <w:tabs>
          <w:tab w:val="left" w:leader="dot" w:pos="9072"/>
        </w:tabs>
        <w:spacing w:before="120" w:after="120"/>
        <w:ind w:left="1077"/>
        <w:jc w:val="both"/>
      </w:pPr>
      <w:r>
        <w:tab/>
      </w:r>
    </w:p>
    <w:p w14:paraId="2FDB6E26" w14:textId="497E4558" w:rsidR="00111EDE" w:rsidRPr="006B1712" w:rsidRDefault="00111EDE" w:rsidP="00111EDE">
      <w:pPr>
        <w:pStyle w:val="ListParagraph"/>
        <w:numPr>
          <w:ilvl w:val="0"/>
          <w:numId w:val="4"/>
        </w:numPr>
        <w:spacing w:before="120" w:after="120"/>
        <w:ind w:left="567" w:hanging="567"/>
        <w:contextualSpacing w:val="0"/>
        <w:jc w:val="both"/>
        <w:rPr>
          <w:b/>
          <w:bCs/>
          <w:rFonts w:cs="Arial Unicode MS"/>
        </w:rPr>
      </w:pPr>
      <w:r>
        <w:rPr>
          <w:b/>
        </w:rPr>
        <w:t xml:space="preserve">Korisnici</w:t>
      </w:r>
      <w:r>
        <w:t xml:space="preserve">:</w:t>
      </w:r>
      <w:r>
        <w:rPr>
          <w:b/>
        </w:rPr>
        <w:tab/>
      </w:r>
    </w:p>
    <w:p w14:paraId="101D761C" w14:textId="191E498C" w:rsidR="00111EDE" w:rsidRDefault="00111EDE" w:rsidP="00BC0346">
      <w:pPr>
        <w:pStyle w:val="ListParagraph"/>
        <w:numPr>
          <w:ilvl w:val="0"/>
          <w:numId w:val="21"/>
        </w:numPr>
        <w:spacing w:after="240"/>
        <w:ind w:hanging="229"/>
        <w:jc w:val="both"/>
        <w:rPr>
          <w:szCs w:val="24"/>
        </w:rPr>
      </w:pPr>
      <w:r>
        <w:t xml:space="preserve">ako već nisu opisani u odjeljku 3. obrasca o općim podacima (dio I.), opišite (potencijalne) korisnike mjera;</w:t>
      </w:r>
    </w:p>
    <w:p w14:paraId="5548BC87" w14:textId="77777777" w:rsidR="00111EDE" w:rsidRPr="00564D5B" w:rsidRDefault="00111EDE" w:rsidP="00FF52AA">
      <w:pPr>
        <w:tabs>
          <w:tab w:val="left" w:leader="dot" w:pos="9072"/>
        </w:tabs>
        <w:spacing w:before="120" w:after="120"/>
        <w:ind w:left="1077"/>
        <w:jc w:val="both"/>
      </w:pPr>
      <w:r>
        <w:tab/>
      </w:r>
    </w:p>
    <w:p w14:paraId="62757543" w14:textId="3E4B29E9" w:rsidR="00111EDE" w:rsidRPr="00C55D4C" w:rsidRDefault="00111EDE" w:rsidP="00BC0346">
      <w:pPr>
        <w:pStyle w:val="ListParagraph"/>
        <w:numPr>
          <w:ilvl w:val="0"/>
          <w:numId w:val="21"/>
        </w:numPr>
        <w:spacing w:after="240"/>
        <w:ind w:hanging="229"/>
        <w:jc w:val="both"/>
        <w:rPr>
          <w:szCs w:val="24"/>
        </w:rPr>
      </w:pPr>
      <w:r>
        <w:t xml:space="preserve">Navedite lokaciju korisnika (tj. jesu li za sudjelovanje u mjeri prihvatljivi samo gospodarski subjekti koji se nalaze u predmetnoj državi članici ili i oni iz drugih država članica).</w:t>
      </w:r>
    </w:p>
    <w:p w14:paraId="4F206C99" w14:textId="77777777" w:rsidR="00111EDE" w:rsidRDefault="00111EDE" w:rsidP="00FF52AA">
      <w:pPr>
        <w:tabs>
          <w:tab w:val="left" w:leader="dot" w:pos="9072"/>
        </w:tabs>
        <w:spacing w:before="120" w:after="120"/>
        <w:ind w:left="1077"/>
        <w:jc w:val="both"/>
      </w:pPr>
      <w:r>
        <w:tab/>
      </w:r>
    </w:p>
    <w:p w14:paraId="29F2FA95" w14:textId="77777777" w:rsidR="00111EDE" w:rsidRDefault="00111EDE" w:rsidP="00BC0346">
      <w:pPr>
        <w:pStyle w:val="ListParagraph"/>
        <w:numPr>
          <w:ilvl w:val="0"/>
          <w:numId w:val="21"/>
        </w:numPr>
        <w:spacing w:after="240"/>
        <w:ind w:hanging="229"/>
        <w:jc w:val="both"/>
        <w:rPr>
          <w:szCs w:val="24"/>
        </w:rPr>
      </w:pPr>
      <w:r>
        <w:t xml:space="preserve">kako bi se ocijenila usklađenost s točkom 15. CEEAG-a, navedite dodjeljuje li se potpora u okviru mjera u korist poduzetnika (pojedinačno ili u okviru programa) koji nije izvršio nalog za povrat sredstava na temelju prethodne odluke Komisije kojom je potpora ocijenjena protuzakonitom i nespojivom s unutarnjim tržištem.</w:t>
      </w:r>
      <w:r>
        <w:t xml:space="preserve"> </w:t>
      </w:r>
    </w:p>
    <w:p w14:paraId="6983E72A" w14:textId="77777777" w:rsidR="00111EDE" w:rsidRDefault="00111EDE" w:rsidP="00111EDE">
      <w:pPr>
        <w:pStyle w:val="ListParagraph"/>
        <w:rPr>
          <w:szCs w:val="24"/>
        </w:rPr>
      </w:pPr>
    </w:p>
    <w:p w14:paraId="04482994" w14:textId="77777777" w:rsidR="00111EDE" w:rsidRPr="00E4424D" w:rsidRDefault="00111EDE" w:rsidP="00111EDE">
      <w:pPr>
        <w:pStyle w:val="ListParagraph"/>
        <w:spacing w:after="240"/>
        <w:ind w:left="1080"/>
        <w:jc w:val="both"/>
        <w:rPr>
          <w:szCs w:val="24"/>
        </w:rPr>
      </w:pPr>
      <w:r>
        <w:t xml:space="preserve">Ako se dodjeljuje, navedite podatke o iznosu potpore koji još nije vraćen kako bi ga Komisija uzela u obzir pri ocjeni mjere potpore.</w:t>
      </w:r>
      <w:r>
        <w:t xml:space="preserve"> </w:t>
      </w:r>
    </w:p>
    <w:p w14:paraId="5F6FB4C8" w14:textId="77777777" w:rsidR="00111EDE" w:rsidRDefault="00111EDE" w:rsidP="00FF52AA">
      <w:pPr>
        <w:tabs>
          <w:tab w:val="left" w:leader="dot" w:pos="9072"/>
        </w:tabs>
        <w:spacing w:before="120" w:after="120"/>
        <w:ind w:left="1077"/>
        <w:jc w:val="both"/>
      </w:pPr>
      <w:r>
        <w:tab/>
      </w:r>
    </w:p>
    <w:p w14:paraId="5B774854" w14:textId="77777777" w:rsidR="00111EDE" w:rsidRPr="00FC4A9E" w:rsidRDefault="00111EDE" w:rsidP="00111EDE">
      <w:pPr>
        <w:pStyle w:val="ListParagraph"/>
        <w:numPr>
          <w:ilvl w:val="0"/>
          <w:numId w:val="4"/>
        </w:numPr>
        <w:spacing w:before="120" w:after="120"/>
        <w:ind w:left="567" w:hanging="567"/>
        <w:contextualSpacing w:val="0"/>
        <w:jc w:val="both"/>
      </w:pPr>
      <w:r>
        <w:t xml:space="preserve">Potvrdite da mjera ne uključuje potporu za djelatnosti koje nisu obuhvaćene područjem primjene CEEAG-a (vidjeti točku 13. CEEAG-a).</w:t>
      </w:r>
      <w:r>
        <w:t xml:space="preserve"> </w:t>
      </w:r>
      <w:r>
        <w:t xml:space="preserve">U protivnom navedite pojedinosti.</w:t>
      </w:r>
    </w:p>
    <w:p w14:paraId="0A1E9908" w14:textId="77777777" w:rsidR="00111EDE" w:rsidRPr="00C55D4C" w:rsidRDefault="00111EDE" w:rsidP="00111EDE">
      <w:pPr>
        <w:tabs>
          <w:tab w:val="left" w:leader="dot" w:pos="9072"/>
        </w:tabs>
        <w:spacing w:before="120" w:after="120"/>
        <w:ind w:left="567"/>
        <w:jc w:val="both"/>
      </w:pPr>
      <w:r>
        <w:tab/>
      </w:r>
    </w:p>
    <w:p w14:paraId="52E18B91" w14:textId="77777777" w:rsidR="00111EDE" w:rsidRPr="00ED2FA7" w:rsidRDefault="00111EDE" w:rsidP="00111EDE">
      <w:pPr>
        <w:pStyle w:val="ListParagraph"/>
        <w:numPr>
          <w:ilvl w:val="0"/>
          <w:numId w:val="4"/>
        </w:numPr>
        <w:spacing w:before="120" w:after="120"/>
        <w:ind w:left="567" w:hanging="567"/>
        <w:contextualSpacing w:val="0"/>
        <w:jc w:val="both"/>
        <w:rPr>
          <w:bCs/>
          <w:rFonts w:cs="Arial Unicode MS"/>
        </w:rPr>
      </w:pPr>
      <w:bookmarkStart w:id="2" w:name="_Ref126829229"/>
      <w:r>
        <w:rPr>
          <w:b/>
        </w:rPr>
        <w:t xml:space="preserve">Proračun i financiranje mjera:</w:t>
      </w:r>
      <w:bookmarkEnd w:id="2"/>
    </w:p>
    <w:p w14:paraId="31B41457" w14:textId="63D14525" w:rsidR="00111EDE" w:rsidRPr="00ED2FA7" w:rsidRDefault="00111EDE" w:rsidP="00BC0346">
      <w:pPr>
        <w:pStyle w:val="ListParagraph"/>
        <w:numPr>
          <w:ilvl w:val="0"/>
          <w:numId w:val="22"/>
        </w:numPr>
        <w:spacing w:before="120" w:after="120"/>
        <w:ind w:left="993" w:hanging="284"/>
        <w:contextualSpacing w:val="0"/>
        <w:jc w:val="both"/>
        <w:rPr>
          <w:bCs/>
          <w:rFonts w:cs="Arial Unicode MS"/>
        </w:rPr>
      </w:pPr>
      <w:r>
        <w:t xml:space="preserve">ako već nije naveden u tablici u odjeljku 7.1. obrasca o općim podacima (dio I.), navedite godišnji i/ili ukupni proračun za cijelo trajanje mjera, ako ukupni proračun nije poznat (npr. jer ovisi o rezultatima natječaja), navedite procijenjeni proračun, uključujući pretpostavke na temelju kojih je izračunan</w:t>
      </w:r>
      <w:r w:rsidRPr="00AC286A">
        <w:rPr>
          <w:rFonts w:cs="Arial Unicode MS"/>
          <w:bCs/>
          <w:vertAlign w:val="superscript"/>
          <w:lang w:bidi="si-LK"/>
        </w:rPr>
        <w:footnoteReference w:id="4"/>
      </w:r>
      <w:r>
        <w:t xml:space="preserve">;</w:t>
      </w:r>
    </w:p>
    <w:p w14:paraId="647D1F33" w14:textId="77777777" w:rsidR="00111EDE" w:rsidRPr="00ED2FA7" w:rsidRDefault="00111EDE" w:rsidP="00EE5514">
      <w:pPr>
        <w:tabs>
          <w:tab w:val="left" w:leader="dot" w:pos="9072"/>
        </w:tabs>
        <w:spacing w:before="120" w:after="120"/>
        <w:ind w:left="1077"/>
        <w:jc w:val="both"/>
      </w:pPr>
      <w:r>
        <w:tab/>
      </w:r>
    </w:p>
    <w:p w14:paraId="2F22E050" w14:textId="6DB30327" w:rsidR="00111EDE" w:rsidRDefault="001A02C8" w:rsidP="00BC0346">
      <w:pPr>
        <w:pStyle w:val="ListParagraph"/>
        <w:numPr>
          <w:ilvl w:val="0"/>
          <w:numId w:val="22"/>
        </w:numPr>
        <w:spacing w:before="120" w:after="120"/>
        <w:ind w:left="993" w:hanging="284"/>
        <w:contextualSpacing w:val="0"/>
        <w:jc w:val="both"/>
        <w:rPr>
          <w:bCs/>
          <w:rFonts w:cs="Arial Unicode MS"/>
        </w:rPr>
      </w:pPr>
      <w:bookmarkStart w:id="3" w:name="_Ref126829235"/>
      <w:r>
        <w:t xml:space="preserve">ako se mjera financira iz davanja, pojasnite:</w:t>
      </w:r>
      <w:bookmarkEnd w:id="3"/>
      <w:r>
        <w:t xml:space="preserve"> </w:t>
      </w:r>
    </w:p>
    <w:p w14:paraId="68042F68" w14:textId="77777777" w:rsidR="00111EDE" w:rsidRDefault="00111EDE" w:rsidP="000E6B11">
      <w:pPr>
        <w:pStyle w:val="ListParagraph"/>
        <w:numPr>
          <w:ilvl w:val="1"/>
          <w:numId w:val="22"/>
        </w:numPr>
        <w:spacing w:before="120" w:after="120"/>
        <w:ind w:left="1797" w:hanging="357"/>
        <w:contextualSpacing w:val="0"/>
        <w:jc w:val="both"/>
        <w:rPr>
          <w:bCs/>
          <w:rFonts w:cs="Arial Unicode MS"/>
        </w:rPr>
      </w:pPr>
      <w:r>
        <w:t xml:space="preserve">je li davanje utvrđeno zakonom ili bilo kojim drugim zakonodavnim aktom; ako jest, navedite relevantan pravni akt, broj i datum donošenja i stupanja na snagu i internetsku poveznicu na njega;</w:t>
      </w:r>
    </w:p>
    <w:p w14:paraId="039B9A87" w14:textId="77777777" w:rsidR="00111EDE" w:rsidRDefault="00111EDE" w:rsidP="000E6B11">
      <w:pPr>
        <w:tabs>
          <w:tab w:val="left" w:leader="dot" w:pos="9072"/>
        </w:tabs>
        <w:spacing w:before="120" w:after="120"/>
        <w:ind w:left="1701"/>
        <w:jc w:val="both"/>
      </w:pPr>
      <w:r>
        <w:tab/>
      </w:r>
    </w:p>
    <w:p w14:paraId="0383D62F" w14:textId="77777777" w:rsidR="00111EDE" w:rsidRDefault="00111EDE" w:rsidP="000E6B11">
      <w:pPr>
        <w:pStyle w:val="ListParagraph"/>
        <w:numPr>
          <w:ilvl w:val="1"/>
          <w:numId w:val="22"/>
        </w:numPr>
        <w:spacing w:before="120" w:after="120"/>
        <w:ind w:left="1797" w:hanging="357"/>
        <w:contextualSpacing w:val="0"/>
        <w:jc w:val="both"/>
        <w:rPr>
          <w:bCs/>
          <w:rFonts w:cs="Arial Unicode MS"/>
        </w:rPr>
      </w:pPr>
      <w:r>
        <w:t xml:space="preserve">naplaćuje li se davanje jednako za domaće i uvezene proizvode;</w:t>
      </w:r>
    </w:p>
    <w:p w14:paraId="1F67F164" w14:textId="4F34E48A" w:rsidR="00111EDE" w:rsidRPr="000E6B11" w:rsidRDefault="00111EDE" w:rsidP="000E6B11">
      <w:pPr>
        <w:tabs>
          <w:tab w:val="left" w:leader="dot" w:pos="9072"/>
        </w:tabs>
        <w:spacing w:before="120" w:after="120"/>
        <w:ind w:left="1701"/>
        <w:jc w:val="both"/>
      </w:pPr>
      <w:r>
        <w:tab/>
      </w:r>
    </w:p>
    <w:p w14:paraId="71A44A4A" w14:textId="6E27BFA0" w:rsidR="00111EDE" w:rsidRDefault="00111EDE" w:rsidP="000E6B11">
      <w:pPr>
        <w:pStyle w:val="ListParagraph"/>
        <w:numPr>
          <w:ilvl w:val="1"/>
          <w:numId w:val="22"/>
        </w:numPr>
        <w:spacing w:before="120" w:after="120"/>
        <w:ind w:left="1797" w:hanging="357"/>
        <w:contextualSpacing w:val="0"/>
        <w:jc w:val="both"/>
        <w:rPr>
          <w:bCs/>
          <w:rFonts w:cs="Arial Unicode MS"/>
        </w:rPr>
      </w:pPr>
      <w:r>
        <w:t xml:space="preserve">hoće li prijavljena mjera koristiti jednako domaćim i uvoznim proizvodima;</w:t>
      </w:r>
    </w:p>
    <w:p w14:paraId="46C2E53B" w14:textId="77777777" w:rsidR="00111EDE" w:rsidRDefault="00111EDE" w:rsidP="000E6B11">
      <w:pPr>
        <w:tabs>
          <w:tab w:val="left" w:leader="dot" w:pos="9072"/>
        </w:tabs>
        <w:spacing w:before="120" w:after="120"/>
        <w:ind w:left="1701"/>
        <w:jc w:val="both"/>
      </w:pPr>
      <w:r>
        <w:tab/>
      </w:r>
    </w:p>
    <w:p w14:paraId="3DE0D516" w14:textId="6D1E055C" w:rsidR="00111EDE" w:rsidRDefault="00111EDE" w:rsidP="000E6B11">
      <w:pPr>
        <w:pStyle w:val="ListParagraph"/>
        <w:numPr>
          <w:ilvl w:val="1"/>
          <w:numId w:val="22"/>
        </w:numPr>
        <w:spacing w:before="120" w:after="120"/>
        <w:ind w:left="1797" w:hanging="357"/>
        <w:contextualSpacing w:val="0"/>
        <w:jc w:val="both"/>
        <w:rPr>
          <w:bCs/>
          <w:rFonts w:cs="Arial Unicode MS"/>
        </w:rPr>
      </w:pPr>
      <w:r>
        <w:t xml:space="preserve">financira li se mjera iz davanja samo djelomično ili u cijelosti.</w:t>
      </w:r>
      <w:r>
        <w:t xml:space="preserve"> </w:t>
      </w:r>
      <w:r>
        <w:t xml:space="preserve">Ako se financira samo djelomično, navedite druge izvore financiranja mjere i njihov odgovarajući udio;</w:t>
      </w:r>
    </w:p>
    <w:p w14:paraId="52451714" w14:textId="16900281" w:rsidR="00111EDE" w:rsidRPr="000E6B11" w:rsidRDefault="00111EDE" w:rsidP="000E6B11">
      <w:pPr>
        <w:tabs>
          <w:tab w:val="left" w:leader="dot" w:pos="9072"/>
        </w:tabs>
        <w:spacing w:before="120" w:after="120"/>
        <w:ind w:left="1701"/>
        <w:jc w:val="both"/>
      </w:pPr>
      <w:r>
        <w:tab/>
      </w:r>
    </w:p>
    <w:p w14:paraId="3F93335B" w14:textId="060CAC38" w:rsidR="00111EDE" w:rsidRDefault="00111EDE" w:rsidP="000E6B11">
      <w:pPr>
        <w:pStyle w:val="ListParagraph"/>
        <w:numPr>
          <w:ilvl w:val="1"/>
          <w:numId w:val="22"/>
        </w:numPr>
        <w:spacing w:before="120" w:after="120"/>
        <w:ind w:left="1797" w:hanging="357"/>
        <w:contextualSpacing w:val="0"/>
        <w:jc w:val="both"/>
        <w:rPr>
          <w:bCs/>
          <w:rFonts w:cs="Arial Unicode MS"/>
        </w:rPr>
      </w:pPr>
      <w:r>
        <w:t xml:space="preserve">financiraju li se davanjem kojim se financira prijavljena mjera i druge mjere potpore.</w:t>
      </w:r>
      <w:r>
        <w:t xml:space="preserve"> </w:t>
      </w:r>
      <w:r>
        <w:t xml:space="preserve">Ako se financiraju, navedite ostale mjere potpore koje se financiraju iz tog davanja.</w:t>
      </w:r>
    </w:p>
    <w:p w14:paraId="0D2602C7" w14:textId="77777777" w:rsidR="00111EDE" w:rsidRDefault="00111EDE" w:rsidP="000E6B11">
      <w:pPr>
        <w:tabs>
          <w:tab w:val="left" w:leader="dot" w:pos="9072"/>
        </w:tabs>
        <w:spacing w:before="120" w:after="120"/>
        <w:ind w:left="1701"/>
        <w:jc w:val="both"/>
      </w:pPr>
      <w:r>
        <w:tab/>
      </w:r>
    </w:p>
    <w:p w14:paraId="0645422C" w14:textId="77777777" w:rsidR="00111EDE" w:rsidRDefault="00111EDE" w:rsidP="00111EDE">
      <w:pPr>
        <w:tabs>
          <w:tab w:val="left" w:leader="dot" w:pos="9072"/>
        </w:tabs>
        <w:spacing w:before="120" w:after="120"/>
        <w:ind w:left="567"/>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 xml:space="preserve">Odjeljak B:</w:t>
            </w:r>
            <w:r>
              <w:rPr>
                <w:b/>
                <w:sz w:val="32"/>
              </w:rPr>
              <w:t xml:space="preserve"> </w:t>
            </w:r>
            <w:r>
              <w:rPr>
                <w:b/>
                <w:sz w:val="32"/>
              </w:rPr>
              <w:t xml:space="preserve">Ocjena spojivosti potpore</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4B5C2A" w:rsidRPr="00711243" w14:paraId="4F4ED3F1" w14:textId="77777777">
        <w:tc>
          <w:tcPr>
            <w:tcW w:w="9322" w:type="dxa"/>
            <w:shd w:val="clear" w:color="auto" w:fill="D9D9D9"/>
          </w:tcPr>
          <w:p w14:paraId="4EC3F9B1" w14:textId="4AFDC259" w:rsidR="000442F5" w:rsidRPr="006D38D6" w:rsidRDefault="007D1E08" w:rsidP="00BC0346">
            <w:pPr>
              <w:pStyle w:val="Heading1"/>
              <w:numPr>
                <w:ilvl w:val="0"/>
                <w:numId w:val="23"/>
              </w:numPr>
              <w:rPr>
                <w:i/>
                <w:iCs/>
                <w:sz w:val="28"/>
                <w:szCs w:val="28"/>
              </w:rPr>
            </w:pPr>
            <w:r>
              <w:rPr>
                <w:i/>
                <w:sz w:val="28"/>
              </w:rPr>
              <w:t xml:space="preserve">Pozitivni uvjet: potpora mora olakšavati razvoj gospodarske djelatnosti</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C0346">
            <w:pPr>
              <w:pStyle w:val="Heading1"/>
              <w:numPr>
                <w:ilvl w:val="1"/>
                <w:numId w:val="23"/>
              </w:numPr>
              <w:rPr>
                <w:sz w:val="24"/>
                <w:szCs w:val="24"/>
              </w:rPr>
            </w:pPr>
            <w:r>
              <w:rPr>
                <w:sz w:val="24"/>
              </w:rPr>
              <w:t xml:space="preserve">Doprinos razvoju gospodarske djelatnosti</w:t>
            </w:r>
          </w:p>
        </w:tc>
      </w:tr>
    </w:tbl>
    <w:p w14:paraId="1E2599D2" w14:textId="67A963FD" w:rsidR="000442F5" w:rsidRPr="00DB40A5" w:rsidRDefault="000442F5" w:rsidP="00A029BF">
      <w:pPr>
        <w:spacing w:before="120" w:after="120"/>
        <w:jc w:val="both"/>
        <w:rPr>
          <w:i/>
        </w:rPr>
      </w:pPr>
      <w:r>
        <w:rPr>
          <w:i/>
        </w:rPr>
        <w:t xml:space="preserve">Za unos podataka u ovom odjeljku vidjeti odjeljak 3.1.1. (točke od 23. do 25.) i </w:t>
      </w:r>
      <w:r>
        <w:rPr>
          <w:i/>
          <w:color w:val="000000"/>
        </w:rPr>
        <w:t xml:space="preserve">odjeljke 4.2.1. i 4.2.2. (točke od 136. do 140.)</w:t>
      </w:r>
      <w:r>
        <w:rPr>
          <w:i/>
        </w:rPr>
        <w:t xml:space="preserve"> CEEAG-a.</w:t>
      </w:r>
      <w:r>
        <w:rPr>
          <w:i/>
        </w:rPr>
        <w:t xml:space="preserve"> </w:t>
      </w:r>
    </w:p>
    <w:p w14:paraId="05FCD0A3" w14:textId="1D950BB0" w:rsidR="00864DCD" w:rsidRPr="00DB40A5" w:rsidRDefault="006B6657" w:rsidP="00C52CFD">
      <w:pPr>
        <w:pStyle w:val="ListParagraph"/>
        <w:numPr>
          <w:ilvl w:val="0"/>
          <w:numId w:val="4"/>
        </w:numPr>
        <w:spacing w:before="120" w:after="120"/>
        <w:ind w:left="567" w:hanging="567"/>
        <w:contextualSpacing w:val="0"/>
        <w:jc w:val="both"/>
      </w:pPr>
      <w:r>
        <w:t xml:space="preserve">U članku 107. stavku 3. točki (c) Ugovora o funkcioniranju Europske unije (UFEU) predviđena je mogućnost da Komisija spojivima može proglasiti „potpore za olakšavanje razvoja određenih gospodarskih djelatnosti ili određenih gospodarskih područja ako takve potpore ne utječu negativno na trgovinske uvjete u mjeri u kojoj bi to bilo suprotno zajedničkom interesu”.</w:t>
      </w:r>
      <w:r>
        <w:t xml:space="preserve"> </w:t>
      </w:r>
      <w:r>
        <w:t xml:space="preserve">Stoga potpora koja je spojiva na temelju te odredbe UFEU-a mora pridonositi razvoju određene gospodarske djelatnosti.</w:t>
      </w:r>
      <w:r>
        <w:t xml:space="preserve"> </w:t>
      </w:r>
    </w:p>
    <w:p w14:paraId="4422EB0C" w14:textId="77777777" w:rsidR="00EA08CE" w:rsidRDefault="00EA08CE" w:rsidP="00AE72C0">
      <w:pPr>
        <w:pStyle w:val="ListParagraph"/>
        <w:spacing w:before="120" w:after="120"/>
        <w:ind w:left="567"/>
        <w:contextualSpacing w:val="0"/>
        <w:jc w:val="both"/>
      </w:pPr>
      <w:r>
        <w:t xml:space="preserve">Kako bi se ocijenila usklađenost s točkom 23. CEEAG-a, navedite gospodarske djelatnosti koje će potpora olakšati i način na koji se podupire razvoj tih djelatnosti.</w:t>
      </w:r>
      <w:r>
        <w:t xml:space="preserve"> </w:t>
      </w:r>
    </w:p>
    <w:p w14:paraId="43E4572F" w14:textId="77777777" w:rsidR="000442F5" w:rsidRPr="00864DCD" w:rsidRDefault="000442F5" w:rsidP="000442F5">
      <w:pPr>
        <w:tabs>
          <w:tab w:val="left" w:leader="dot" w:pos="9072"/>
        </w:tabs>
        <w:spacing w:before="120" w:after="120"/>
        <w:ind w:left="567"/>
        <w:jc w:val="both"/>
      </w:pPr>
      <w:r>
        <w:tab/>
      </w:r>
    </w:p>
    <w:p w14:paraId="420241C3" w14:textId="7F121E09" w:rsidR="00422410" w:rsidRDefault="00422410" w:rsidP="00422410">
      <w:pPr>
        <w:pStyle w:val="ListParagraph"/>
        <w:numPr>
          <w:ilvl w:val="0"/>
          <w:numId w:val="4"/>
        </w:numPr>
        <w:spacing w:before="120" w:after="120"/>
        <w:ind w:left="567" w:hanging="567"/>
        <w:contextualSpacing w:val="0"/>
        <w:jc w:val="both"/>
      </w:pPr>
      <w:r>
        <w:t xml:space="preserve">Kako bi se ocijenila usklađenost s točkom 25. CEEAG-a, opišite i hoće li i kako potpora pridonijeti postizanju ciljeva klimatske politike, politike zaštite okoliša i energetske politike Unije te, konkretnije, očekivane koristi potpore u smislu njezina bitnog doprinosa zaštiti okoliša, uključujući ublažavanje klimatskih promjena, ili učinkovitom funkcioniranju unutarnjeg energetskog tržišta.</w:t>
      </w:r>
      <w:r>
        <w:t xml:space="preserve"> </w:t>
      </w:r>
    </w:p>
    <w:p w14:paraId="6BA1AB7B" w14:textId="47A34289" w:rsidR="00422410" w:rsidRDefault="00422410" w:rsidP="00422410">
      <w:pPr>
        <w:pStyle w:val="ListParagraph"/>
        <w:spacing w:before="120" w:after="120"/>
        <w:ind w:left="567"/>
        <w:contextualSpacing w:val="0"/>
        <w:jc w:val="both"/>
      </w:pPr>
      <w:r>
        <w:t xml:space="preserve">Osim toga, istaknite u kojoj se mjeri potpora odnosi na politike opisane u točki 135. CEEAG-a.</w:t>
      </w:r>
      <w:r>
        <w:t xml:space="preserve"> </w:t>
      </w:r>
    </w:p>
    <w:p w14:paraId="343C7F20" w14:textId="77777777" w:rsidR="00422410" w:rsidRDefault="00422410" w:rsidP="00422410">
      <w:pPr>
        <w:tabs>
          <w:tab w:val="left" w:leader="dot" w:pos="9072"/>
        </w:tabs>
        <w:spacing w:before="120" w:after="120"/>
        <w:ind w:left="567"/>
        <w:jc w:val="both"/>
      </w:pPr>
      <w:r>
        <w:tab/>
      </w:r>
    </w:p>
    <w:p w14:paraId="0FE5C8C4" w14:textId="77777777" w:rsidR="00422410" w:rsidRDefault="00422410" w:rsidP="00422410">
      <w:pPr>
        <w:pStyle w:val="ListParagraph"/>
        <w:numPr>
          <w:ilvl w:val="0"/>
          <w:numId w:val="4"/>
        </w:numPr>
        <w:spacing w:before="120" w:after="120"/>
        <w:ind w:left="567" w:hanging="567"/>
        <w:contextualSpacing w:val="0"/>
        <w:jc w:val="both"/>
        <w:rPr>
          <w:szCs w:val="24"/>
        </w:rPr>
      </w:pPr>
      <w:r>
        <w:t xml:space="preserve">Opišite uvjete prihvatljivosti koji se primjenjuju na korisnike (na primjer navedite sve uvjete u pogledu tehničkih značajki, okoliša (tj. dozvole), financija (tj. dodatna jamstva) ili druge uvjete koje korisnici moraju ispuniti).</w:t>
      </w:r>
    </w:p>
    <w:p w14:paraId="4BA2963C" w14:textId="211C700B" w:rsidR="0018341B" w:rsidRDefault="00F521E8" w:rsidP="00EB1C1A">
      <w:pPr>
        <w:tabs>
          <w:tab w:val="left" w:leader="dot" w:pos="9072"/>
        </w:tabs>
        <w:spacing w:before="120" w:after="120"/>
        <w:ind w:left="567"/>
        <w:jc w:val="both"/>
        <w:rPr>
          <w:szCs w:val="24"/>
        </w:rPr>
      </w:pPr>
      <w:r>
        <w:tab/>
      </w:r>
      <w:r>
        <w:tab/>
      </w:r>
      <w:r>
        <w:tab/>
      </w:r>
    </w:p>
    <w:p w14:paraId="0448C65F" w14:textId="0D86D2DA" w:rsidR="007257F6" w:rsidRPr="00864DCD" w:rsidRDefault="009E5AE0" w:rsidP="00C76808">
      <w:pPr>
        <w:pStyle w:val="ListParagraph"/>
        <w:numPr>
          <w:ilvl w:val="0"/>
          <w:numId w:val="4"/>
        </w:numPr>
        <w:spacing w:before="120" w:after="120"/>
        <w:ind w:left="567" w:hanging="567"/>
        <w:contextualSpacing w:val="0"/>
        <w:jc w:val="both"/>
      </w:pPr>
      <w:r>
        <w:t xml:space="preserve">Navedite podatke o točnom području primjene i djelatnostima koje se podupiru iz mjera potpore, kako je navedeno u odjeljku 4.2.2. CEEAG-a.</w:t>
      </w:r>
      <w:r>
        <w:t xml:space="preserve"> </w:t>
      </w:r>
      <w:r>
        <w:t xml:space="preserve">Konkretno:</w:t>
      </w:r>
    </w:p>
    <w:p w14:paraId="32AFD134" w14:textId="1ED9FBCA" w:rsidR="00B35947" w:rsidRDefault="00B35947" w:rsidP="008D5ADF">
      <w:pPr>
        <w:pStyle w:val="ListParagraph"/>
        <w:numPr>
          <w:ilvl w:val="1"/>
          <w:numId w:val="4"/>
        </w:numPr>
        <w:spacing w:before="120" w:after="120"/>
        <w:contextualSpacing w:val="0"/>
        <w:jc w:val="both"/>
      </w:pPr>
      <w:r>
        <w:t xml:space="preserve">objasnite pruža li se mjerom potpore samo potpora za poboljšanje energetske učinkovitosti zgrada ili kombinira potpora za poboljšanje energetske učinkovitosti zgrada s potporom za bilo koje ili sva ulaganja iz točke 137. CEEAG-a.</w:t>
      </w:r>
      <w:r>
        <w:t xml:space="preserve"> </w:t>
      </w:r>
      <w:r>
        <w:t xml:space="preserve">U potonjem slučaju objasnite koja su ulaganja prihvatljiva za potporu u okviru mjere/mjera;</w:t>
      </w:r>
      <w:r>
        <w:t xml:space="preserve">  </w:t>
      </w:r>
    </w:p>
    <w:p w14:paraId="1DF9800D" w14:textId="77777777" w:rsidR="00B35947" w:rsidRDefault="00B35947" w:rsidP="008D5ADF">
      <w:pPr>
        <w:tabs>
          <w:tab w:val="left" w:leader="dot" w:pos="9072"/>
        </w:tabs>
        <w:spacing w:before="120" w:after="120"/>
        <w:ind w:left="1077"/>
        <w:jc w:val="both"/>
      </w:pPr>
      <w:r>
        <w:tab/>
      </w:r>
    </w:p>
    <w:p w14:paraId="07B22321" w14:textId="41C913FD" w:rsidR="00B35947" w:rsidRDefault="00B35947" w:rsidP="008D5ADF">
      <w:pPr>
        <w:pStyle w:val="ListParagraph"/>
        <w:numPr>
          <w:ilvl w:val="1"/>
          <w:numId w:val="4"/>
        </w:numPr>
        <w:spacing w:before="120" w:after="120"/>
        <w:contextualSpacing w:val="0"/>
        <w:jc w:val="both"/>
      </w:pPr>
      <w:r>
        <w:t xml:space="preserve">objasnite uključuje li mjera potpore i vrste potpora koje su isključene iz područja primjene odjeljka 4.2. CEEAG-a na temelju njegove točke 138.</w:t>
      </w:r>
      <w:r>
        <w:t xml:space="preserve"> </w:t>
      </w:r>
      <w:r>
        <w:t xml:space="preserve">Ako je odgovor potvrdan, potrebno je dostaviti odgovarajući obrazac/obrasce prijave u pogledu relevantnih dijelova mjera.</w:t>
      </w:r>
      <w:r>
        <w:t xml:space="preserve"> </w:t>
      </w:r>
    </w:p>
    <w:p w14:paraId="57FA6980" w14:textId="77777777" w:rsidR="00B35947" w:rsidRDefault="00B35947" w:rsidP="008D5ADF">
      <w:pPr>
        <w:tabs>
          <w:tab w:val="left" w:leader="dot" w:pos="9072"/>
        </w:tabs>
        <w:spacing w:before="120" w:after="120"/>
        <w:ind w:left="1077"/>
        <w:jc w:val="both"/>
      </w:pPr>
      <w:r>
        <w:tab/>
      </w:r>
    </w:p>
    <w:p w14:paraId="3CAE3C66" w14:textId="77777777" w:rsidR="00B35947" w:rsidRDefault="00B35947" w:rsidP="00EB1C1A">
      <w:pPr>
        <w:pStyle w:val="ListParagraph"/>
        <w:numPr>
          <w:ilvl w:val="0"/>
          <w:numId w:val="4"/>
        </w:numPr>
        <w:spacing w:before="120" w:after="120"/>
        <w:ind w:left="567" w:hanging="567"/>
        <w:contextualSpacing w:val="0"/>
        <w:jc w:val="both"/>
      </w:pPr>
      <w:r>
        <w:t xml:space="preserve">Navedite odnosi li se potpora dodijeljena u okviru mjere/mjera na obnovu postojećih zgrada, ugradnju ili zamjenu samo jedne vrste dijelova zgrade</w:t>
      </w:r>
      <w:r>
        <w:rPr>
          <w:rStyle w:val="FootnoteReference"/>
        </w:rPr>
        <w:footnoteReference w:id="5"/>
      </w:r>
      <w:r>
        <w:t xml:space="preserve"> i/ili ulaganja u energetsku učinkovitost novih zgrada, kako je definirano u točki 139. (podtočke od (a) do (c)) CEEAG-a.</w:t>
      </w:r>
      <w:r>
        <w:t xml:space="preserve">  </w:t>
      </w:r>
    </w:p>
    <w:p w14:paraId="034FFA49" w14:textId="77777777" w:rsidR="00B35947" w:rsidRDefault="00B35947" w:rsidP="00B35947">
      <w:pPr>
        <w:tabs>
          <w:tab w:val="left" w:leader="dot" w:pos="9072"/>
        </w:tabs>
        <w:spacing w:before="120" w:after="120"/>
        <w:ind w:left="567"/>
        <w:jc w:val="both"/>
      </w:pPr>
      <w:r>
        <w:tab/>
      </w:r>
    </w:p>
    <w:p w14:paraId="2E418535" w14:textId="77777777" w:rsidR="00B35947" w:rsidRDefault="00B35947" w:rsidP="00EB1C1A">
      <w:pPr>
        <w:pStyle w:val="ListParagraph"/>
        <w:numPr>
          <w:ilvl w:val="0"/>
          <w:numId w:val="4"/>
        </w:numPr>
        <w:spacing w:before="120" w:after="120"/>
        <w:ind w:left="567" w:hanging="567"/>
        <w:contextualSpacing w:val="0"/>
        <w:jc w:val="both"/>
      </w:pPr>
      <w:r>
        <w:t xml:space="preserve">Dokažite da će se potporom dodijeljenom u okviru mjere potpore poboljšati energetska svojstva koja se propisuju točkom 139. (podtočkama od (a) do (c), ovisno o slučaju) CEEAG-a.</w:t>
      </w:r>
      <w:r>
        <w:t xml:space="preserve"> </w:t>
      </w:r>
    </w:p>
    <w:p w14:paraId="22A00F0F" w14:textId="77777777" w:rsidR="00B35947" w:rsidRDefault="00B35947" w:rsidP="00B35947">
      <w:pPr>
        <w:tabs>
          <w:tab w:val="left" w:leader="dot" w:pos="9072"/>
        </w:tabs>
        <w:spacing w:before="120" w:after="120"/>
        <w:ind w:left="567"/>
        <w:jc w:val="both"/>
      </w:pPr>
      <w:r>
        <w:tab/>
      </w:r>
    </w:p>
    <w:p w14:paraId="716E83E5" w14:textId="77777777" w:rsidR="00B35947" w:rsidRDefault="00B35947" w:rsidP="006E39D2">
      <w:pPr>
        <w:pStyle w:val="ListParagraph"/>
        <w:numPr>
          <w:ilvl w:val="0"/>
          <w:numId w:val="4"/>
        </w:numPr>
        <w:spacing w:before="120" w:after="120"/>
        <w:ind w:left="567" w:hanging="567"/>
        <w:contextualSpacing w:val="0"/>
        <w:jc w:val="both"/>
      </w:pPr>
      <w:r>
        <w:t xml:space="preserve">Navedite dodjeljuje li se potpora u okviru mjere potpore MSP-ovima i malim poduzećima srednje tržišne kapitalizacije koji su pružatelji mjera za poboljšanje energetske učinkovitosti radi olakšavanja sklapanja ugovora o energetskog učinku, kako je predviđeno u točki 140. CEEAG-a.</w:t>
      </w:r>
      <w:r>
        <w:t xml:space="preserve"> </w:t>
      </w:r>
    </w:p>
    <w:p w14:paraId="37C6D30A" w14:textId="77777777" w:rsidR="00B35947" w:rsidRDefault="00B35947" w:rsidP="00B35947">
      <w:pPr>
        <w:tabs>
          <w:tab w:val="left" w:leader="dot" w:pos="9072"/>
        </w:tabs>
        <w:spacing w:before="120" w:after="120"/>
        <w:ind w:left="567"/>
        <w:jc w:val="both"/>
      </w:pPr>
      <w:r>
        <w:tab/>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5B1E1371" w:rsidR="00015E2B" w:rsidRPr="00B418CC" w:rsidRDefault="003E621E" w:rsidP="00BC0346">
            <w:pPr>
              <w:pStyle w:val="Heading1"/>
              <w:numPr>
                <w:ilvl w:val="1"/>
                <w:numId w:val="23"/>
              </w:numPr>
              <w:ind w:left="788" w:right="-28" w:hanging="431"/>
              <w:rPr>
                <w:sz w:val="24"/>
                <w:szCs w:val="24"/>
              </w:rPr>
            </w:pPr>
            <w:r>
              <w:rPr>
                <w:sz w:val="24"/>
              </w:rPr>
              <w:t xml:space="preserve"> </w:t>
            </w:r>
            <w:r>
              <w:rPr>
                <w:sz w:val="24"/>
              </w:rPr>
              <w:t xml:space="preserve">Učinak poticaja</w:t>
            </w:r>
          </w:p>
        </w:tc>
      </w:tr>
    </w:tbl>
    <w:p w14:paraId="20915284" w14:textId="0D70BA96" w:rsidR="00015E2B" w:rsidRPr="00A05235" w:rsidRDefault="00B15313" w:rsidP="00A029BF">
      <w:pPr>
        <w:spacing w:before="120" w:after="120"/>
        <w:jc w:val="both"/>
        <w:rPr>
          <w:i/>
        </w:rPr>
      </w:pPr>
      <w:r>
        <w:rPr>
          <w:i/>
        </w:rPr>
        <w:t xml:space="preserve">Za unos podataka u ovom odjeljku vidjeti odjeljke 3.1.2. (točke od 26. do 32.) i 4.2.3. (točke od 141. do 143.) CEEAG-a.</w:t>
      </w:r>
      <w:r>
        <w:rPr>
          <w:i/>
        </w:rPr>
        <w:t xml:space="preserve"> </w:t>
      </w:r>
    </w:p>
    <w:p w14:paraId="1EB5279D" w14:textId="338D4CA4" w:rsidR="00210BE0" w:rsidRPr="00864DCD" w:rsidRDefault="00874506" w:rsidP="006C6BA9">
      <w:pPr>
        <w:pStyle w:val="ListParagraph"/>
        <w:numPr>
          <w:ilvl w:val="0"/>
          <w:numId w:val="4"/>
        </w:numPr>
        <w:spacing w:before="120" w:after="120"/>
        <w:ind w:left="567" w:hanging="567"/>
        <w:contextualSpacing w:val="0"/>
        <w:jc w:val="both"/>
      </w:pPr>
      <w:r>
        <w:t xml:space="preserve">Može se smatrati da potpora olakšava gospodarsku djelatnost samo ako ima učinak poticaja.</w:t>
      </w:r>
      <w:r>
        <w:t xml:space="preserve"> </w:t>
      </w:r>
      <w:r>
        <w:t xml:space="preserve">Kako bi se ocijenila usklađenost s točkom 26. CEEAG-a, objasnite kako se mjerom „[potiče] korisnika da promijeni svoje ponašanje odnosno da se uključi u dodatnu gospodarsku djelatnost ili gospodarsku djelatnost koja je prihvatljivija za okoliš, a koju bez potpore ne bi obavljao ili bi je obavljao na ograničen ili drukčiji način”.</w:t>
      </w:r>
      <w:r>
        <w:t xml:space="preserve"> </w:t>
      </w:r>
      <w:r>
        <w:t xml:space="preserve">Osim toga, kako bi se ocijenila usklađenost s točkom 27. CEEAG-a, potvrdite da se mjerom „</w:t>
      </w:r>
      <w:r>
        <w:rPr>
          <w:i/>
        </w:rPr>
        <w:t xml:space="preserve">ne nadoknađuje uobičajeni poslovni rizik gospodarske djelatnosti</w:t>
      </w:r>
      <w:r>
        <w:t xml:space="preserve">” i ukratko objasnite zašto.</w:t>
      </w:r>
    </w:p>
    <w:p w14:paraId="26BD861B" w14:textId="77777777" w:rsidR="00210BE0" w:rsidRPr="00864DCD" w:rsidRDefault="00210BE0" w:rsidP="00210BE0">
      <w:pPr>
        <w:tabs>
          <w:tab w:val="left" w:leader="dot" w:pos="9072"/>
        </w:tabs>
        <w:spacing w:before="120" w:after="120"/>
        <w:ind w:left="567"/>
        <w:jc w:val="both"/>
      </w:pPr>
      <w:r>
        <w:tab/>
      </w:r>
    </w:p>
    <w:p w14:paraId="17E79BC0" w14:textId="62FF06AD" w:rsidR="001A0085" w:rsidRPr="00931530" w:rsidRDefault="006C5D8B" w:rsidP="00931530">
      <w:pPr>
        <w:pStyle w:val="ListParagraph"/>
        <w:numPr>
          <w:ilvl w:val="0"/>
          <w:numId w:val="4"/>
        </w:numPr>
        <w:spacing w:before="120" w:after="120"/>
        <w:ind w:left="567" w:hanging="567"/>
        <w:contextualSpacing w:val="0"/>
        <w:jc w:val="both"/>
      </w:pPr>
      <w:bookmarkStart w:id="4" w:name="_Ref126829801"/>
      <w:r>
        <w:t xml:space="preserve">U skladu s točkom 28. CEEAG-a:</w:t>
      </w:r>
    </w:p>
    <w:p w14:paraId="1D53C270" w14:textId="0862C107" w:rsidR="006C5D8B" w:rsidRPr="00883777" w:rsidRDefault="005B0BB7" w:rsidP="00B0184F">
      <w:pPr>
        <w:pStyle w:val="ListParagraph"/>
        <w:numPr>
          <w:ilvl w:val="2"/>
          <w:numId w:val="22"/>
        </w:numPr>
        <w:spacing w:before="120" w:after="120"/>
        <w:ind w:left="1071" w:hanging="357"/>
        <w:contextualSpacing w:val="0"/>
        <w:jc w:val="both"/>
      </w:pPr>
      <w:r>
        <w:t xml:space="preserve">opsežno opišite činjenični scenarij za koji se očekuje da će proizaći iz mjere potpore i vjerojatne protučinjenične scenarije bez mjere potpore.</w:t>
      </w:r>
      <w:r w:rsidR="006C5D8B" w:rsidRPr="005C1156">
        <w:rPr>
          <w:rStyle w:val="FootnoteReference"/>
        </w:rPr>
        <w:footnoteReference w:id="6"/>
      </w:r>
      <w:r>
        <w:t xml:space="preserve"> </w:t>
      </w:r>
      <w:r>
        <w:t xml:space="preserve">Ako očekujete da će potporu dobiti različite kategorije korisnika, pobrinite se da je protučinjenični scenarij vjerodostojan za svaku od tih kategorija;</w:t>
      </w:r>
      <w:bookmarkEnd w:id="4"/>
    </w:p>
    <w:p w14:paraId="01AAF615" w14:textId="77777777" w:rsidR="006C5D8B" w:rsidRPr="00DD0932" w:rsidRDefault="006C5D8B" w:rsidP="008D5ADF">
      <w:pPr>
        <w:tabs>
          <w:tab w:val="left" w:leader="dot" w:pos="9072"/>
        </w:tabs>
        <w:spacing w:before="120" w:after="120"/>
        <w:ind w:left="1077"/>
        <w:jc w:val="both"/>
      </w:pPr>
      <w:r>
        <w:tab/>
      </w:r>
    </w:p>
    <w:p w14:paraId="16AF2892" w14:textId="0CB1F5D7" w:rsidR="006C5D8B" w:rsidRDefault="006C5D8B" w:rsidP="00B0184F">
      <w:pPr>
        <w:pStyle w:val="ListParagraph"/>
        <w:numPr>
          <w:ilvl w:val="2"/>
          <w:numId w:val="22"/>
        </w:numPr>
        <w:spacing w:before="120" w:after="120"/>
        <w:ind w:left="1071" w:hanging="357"/>
        <w:contextualSpacing w:val="0"/>
        <w:jc w:val="both"/>
      </w:pPr>
      <w:r>
        <w:t xml:space="preserve">ukratko, prema potrebi, objasnite razloge za odabir vjerojatnog protučinjeničnog scenarija s obzirom na predložene različite kategorije korisnika:</w:t>
      </w:r>
    </w:p>
    <w:p w14:paraId="58B43192" w14:textId="77777777" w:rsidR="006C5D8B" w:rsidRPr="00DD0932" w:rsidRDefault="006C5D8B" w:rsidP="00321A13">
      <w:pPr>
        <w:tabs>
          <w:tab w:val="left" w:leader="dot" w:pos="9072"/>
        </w:tabs>
        <w:spacing w:before="120" w:after="120"/>
        <w:ind w:left="1077"/>
        <w:jc w:val="both"/>
      </w:pPr>
      <w:r>
        <w:tab/>
      </w:r>
    </w:p>
    <w:p w14:paraId="596E3C8F" w14:textId="77777777" w:rsidR="00D54588" w:rsidRPr="007159A8" w:rsidRDefault="00EB6440" w:rsidP="008B0F04">
      <w:pPr>
        <w:pStyle w:val="ListParagraph"/>
        <w:numPr>
          <w:ilvl w:val="2"/>
          <w:numId w:val="22"/>
        </w:numPr>
        <w:spacing w:before="120" w:after="120"/>
        <w:ind w:left="1071" w:hanging="357"/>
        <w:contextualSpacing w:val="0"/>
        <w:jc w:val="both"/>
      </w:pPr>
      <w:r>
        <w:t xml:space="preserve">kvantificirajte troškove i prihode činjeničnog i protučinjeničnog scenarija i prema potrebi obrazložite promjenu ponašanja za svaku kategoriju korisnika, na temelju sljedećeg:</w:t>
      </w:r>
      <w:r>
        <w:t xml:space="preserve"> </w:t>
      </w:r>
    </w:p>
    <w:p w14:paraId="3678CF33" w14:textId="39AB6B62" w:rsidR="00D54588" w:rsidRPr="007159A8" w:rsidRDefault="005B7459" w:rsidP="00D54588">
      <w:pPr>
        <w:pStyle w:val="ListParagraph"/>
        <w:numPr>
          <w:ilvl w:val="3"/>
          <w:numId w:val="22"/>
        </w:numPr>
        <w:spacing w:before="120" w:after="120"/>
        <w:ind w:left="1775" w:hanging="357"/>
        <w:contextualSpacing w:val="0"/>
        <w:jc w:val="both"/>
      </w:pPr>
      <w:r>
        <w:t xml:space="preserve">odgovarajući referentni projekt(i),</w:t>
      </w:r>
      <w:r w:rsidRPr="007159A8">
        <w:rPr>
          <w:vertAlign w:val="superscript"/>
        </w:rPr>
        <w:footnoteReference w:id="7"/>
      </w:r>
      <w:r>
        <w:t xml:space="preserve"> odgovarajući protučinjenični scenariji i nastali manjak financijskih sredstava;</w:t>
      </w:r>
    </w:p>
    <w:p w14:paraId="1E9DD3B8" w14:textId="6B7751F7" w:rsidR="005B7459" w:rsidRPr="007159A8" w:rsidRDefault="005B7459" w:rsidP="005B7459">
      <w:pPr>
        <w:tabs>
          <w:tab w:val="left" w:leader="dot" w:pos="9072"/>
        </w:tabs>
        <w:spacing w:before="120" w:after="120"/>
        <w:ind w:left="1701"/>
        <w:jc w:val="both"/>
      </w:pPr>
      <w:r>
        <w:tab/>
      </w:r>
    </w:p>
    <w:p w14:paraId="11157FE2" w14:textId="6E45C2CA" w:rsidR="005B7459" w:rsidRPr="007159A8" w:rsidRDefault="005B7459" w:rsidP="005B7459">
      <w:pPr>
        <w:pStyle w:val="ListParagraph"/>
        <w:spacing w:before="120" w:after="120"/>
        <w:ind w:left="1775"/>
        <w:contextualSpacing w:val="0"/>
        <w:jc w:val="both"/>
      </w:pPr>
      <w:r>
        <w:t xml:space="preserve">ILI</w:t>
      </w:r>
    </w:p>
    <w:p w14:paraId="11E50234" w14:textId="5C54C993" w:rsidR="006C5D8B" w:rsidRPr="007159A8" w:rsidRDefault="006A4BD4" w:rsidP="00D54588">
      <w:pPr>
        <w:pStyle w:val="ListParagraph"/>
        <w:numPr>
          <w:ilvl w:val="3"/>
          <w:numId w:val="22"/>
        </w:numPr>
        <w:spacing w:before="120" w:after="120"/>
        <w:ind w:left="1775" w:hanging="357"/>
        <w:contextualSpacing w:val="0"/>
        <w:jc w:val="both"/>
      </w:pPr>
      <w:r>
        <w:t xml:space="preserve">relevantni kvantitativni dokazi koji se temelje na studijama tržišta (posebno studijama o očekivanim razdobljima povrata), planovi ulagača, financijskim izvješća ili drugi kvantitativni dokazi, uključujući, ako je primjenjivo, ponude za slične projekte u nedavnim usporedivim natječajnim postupcima.</w:t>
      </w:r>
      <w:r w:rsidR="006C5D8B" w:rsidRPr="007159A8">
        <w:rPr>
          <w:vertAlign w:val="superscript"/>
        </w:rPr>
        <w:footnoteReference w:id="8"/>
      </w:r>
      <w:r>
        <w:t xml:space="preserve"> </w:t>
      </w:r>
    </w:p>
    <w:p w14:paraId="199238F8" w14:textId="77777777" w:rsidR="006C5D8B" w:rsidRPr="00471B74" w:rsidRDefault="006C5D8B" w:rsidP="00D54588">
      <w:pPr>
        <w:tabs>
          <w:tab w:val="left" w:leader="dot" w:pos="9072"/>
        </w:tabs>
        <w:spacing w:before="120" w:after="120"/>
        <w:ind w:left="1701"/>
        <w:jc w:val="both"/>
      </w:pPr>
      <w:r>
        <w:tab/>
      </w:r>
    </w:p>
    <w:p w14:paraId="19A03ECA" w14:textId="0BE85DE9" w:rsidR="006C5D8B" w:rsidRPr="008D5ADF" w:rsidRDefault="006C5D8B" w:rsidP="00C27E1B">
      <w:pPr>
        <w:pStyle w:val="ListParagraph"/>
        <w:numPr>
          <w:ilvl w:val="0"/>
          <w:numId w:val="4"/>
        </w:numPr>
        <w:spacing w:before="120" w:after="120"/>
        <w:ind w:left="567" w:hanging="567"/>
        <w:contextualSpacing w:val="0"/>
        <w:jc w:val="both"/>
      </w:pPr>
      <w:r>
        <w:t xml:space="preserve">Kako bi se dokazala usklađenost s točkama od 29. i 31. CEEAG-a:</w:t>
      </w:r>
    </w:p>
    <w:p w14:paraId="339583CE" w14:textId="77777777" w:rsidR="006C5D8B" w:rsidRPr="00471B74" w:rsidRDefault="006C5D8B" w:rsidP="00BC0346">
      <w:pPr>
        <w:pStyle w:val="ListParagraph"/>
        <w:numPr>
          <w:ilvl w:val="0"/>
          <w:numId w:val="24"/>
        </w:numPr>
        <w:spacing w:before="120" w:after="120"/>
        <w:ind w:left="1066" w:hanging="357"/>
        <w:contextualSpacing w:val="0"/>
        <w:jc w:val="both"/>
      </w:pPr>
      <w:r>
        <w:t xml:space="preserve">potvrdite da radovi na projektu ili djelatnosti nisu započeli prije nego što je korisnik nacionalnim tijelima podnio pisani zahtjev za potporu;</w:t>
      </w:r>
    </w:p>
    <w:p w14:paraId="09EE4710" w14:textId="77777777" w:rsidR="006C5D8B" w:rsidRPr="00471B74" w:rsidRDefault="006C5D8B" w:rsidP="008D5301">
      <w:pPr>
        <w:tabs>
          <w:tab w:val="left" w:leader="dot" w:pos="9072"/>
        </w:tabs>
        <w:spacing w:before="120" w:after="120"/>
        <w:ind w:left="1077"/>
        <w:jc w:val="both"/>
      </w:pPr>
      <w:r>
        <w:tab/>
      </w:r>
    </w:p>
    <w:p w14:paraId="1528E065" w14:textId="77777777" w:rsidR="006C5D8B" w:rsidRPr="00471B74" w:rsidRDefault="006C5D8B" w:rsidP="006C5D8B">
      <w:pPr>
        <w:pStyle w:val="ListParagraph"/>
        <w:spacing w:before="120" w:after="120"/>
        <w:ind w:left="993"/>
        <w:contextualSpacing w:val="0"/>
        <w:jc w:val="both"/>
      </w:pPr>
      <w:r>
        <w:t xml:space="preserve">ILI</w:t>
      </w:r>
    </w:p>
    <w:p w14:paraId="5C354347" w14:textId="593FB73A" w:rsidR="006C5D8B" w:rsidRPr="00471B74" w:rsidRDefault="006B7B52" w:rsidP="00BC0346">
      <w:pPr>
        <w:pStyle w:val="ListParagraph"/>
        <w:numPr>
          <w:ilvl w:val="0"/>
          <w:numId w:val="24"/>
        </w:numPr>
        <w:spacing w:before="120" w:after="120"/>
        <w:ind w:left="1066" w:hanging="357"/>
        <w:contextualSpacing w:val="0"/>
        <w:jc w:val="both"/>
      </w:pPr>
      <w:r>
        <w:t xml:space="preserve">za projekte koji su započeli prije podnošenja zahtjeva za potporu, dokažite da je projekt obuhvaćen jednim od iznimnih slučajeva iz točke 31. podtočki (a), (b) ili (c) CEEAG-a.</w:t>
      </w:r>
      <w:r>
        <w:t xml:space="preserve"> </w:t>
      </w:r>
    </w:p>
    <w:p w14:paraId="0262EAAA" w14:textId="77777777" w:rsidR="006C5D8B" w:rsidRPr="00864DCD" w:rsidRDefault="006C5D8B" w:rsidP="008D5301">
      <w:pPr>
        <w:tabs>
          <w:tab w:val="left" w:leader="dot" w:pos="9072"/>
        </w:tabs>
        <w:spacing w:before="120" w:after="120"/>
        <w:ind w:left="1077"/>
        <w:jc w:val="both"/>
      </w:pPr>
      <w:r>
        <w:tab/>
      </w:r>
    </w:p>
    <w:p w14:paraId="106A556A" w14:textId="77777777" w:rsidR="00C220F5" w:rsidRDefault="00C220F5" w:rsidP="00C220F5">
      <w:pPr>
        <w:numPr>
          <w:ilvl w:val="0"/>
          <w:numId w:val="4"/>
        </w:numPr>
        <w:spacing w:before="120" w:after="120"/>
        <w:ind w:left="567" w:hanging="567"/>
        <w:jc w:val="both"/>
      </w:pPr>
      <w:r>
        <w:t xml:space="preserve">Kako biste dokazali usklađenost s točkom 30. CEEAG-a, potvrdite da zahtjev za potporu sadržava barem ime podnositelja zahtjeva, opis projekta ili djelatnosti, uključujući njihovu lokaciju, i iznos potpore potrebne za njihovu provedbu.</w:t>
      </w:r>
    </w:p>
    <w:p w14:paraId="1E36165B" w14:textId="0A777F03" w:rsidR="00C220F5" w:rsidRPr="00242A27" w:rsidRDefault="00C220F5" w:rsidP="00242A27">
      <w:pPr>
        <w:pStyle w:val="ListParagraph"/>
        <w:tabs>
          <w:tab w:val="left" w:leader="dot" w:pos="9072"/>
        </w:tabs>
        <w:spacing w:before="120" w:after="120"/>
        <w:ind w:left="567"/>
        <w:contextualSpacing w:val="0"/>
        <w:jc w:val="both"/>
      </w:pPr>
      <w:r>
        <w:tab/>
      </w:r>
    </w:p>
    <w:p w14:paraId="0BA9B2F2" w14:textId="679B7764" w:rsidR="0025374D" w:rsidRPr="008D5ADF" w:rsidRDefault="00305DC0" w:rsidP="005E45B5">
      <w:pPr>
        <w:pStyle w:val="ListParagraph"/>
        <w:numPr>
          <w:ilvl w:val="0"/>
          <w:numId w:val="4"/>
        </w:numPr>
        <w:spacing w:before="120" w:after="120"/>
        <w:ind w:left="567" w:hanging="567"/>
        <w:contextualSpacing w:val="0"/>
        <w:jc w:val="both"/>
      </w:pPr>
      <w:r>
        <w:t xml:space="preserve">Kako bi se dokazala usklađenost s točkama od 32. i 142. CEEAG-a:</w:t>
      </w:r>
    </w:p>
    <w:p w14:paraId="5CE9EEA0" w14:textId="06607FC6" w:rsidR="009B2A4B" w:rsidRPr="009B2A4B" w:rsidRDefault="001C4353" w:rsidP="00BC0346">
      <w:pPr>
        <w:pStyle w:val="ListParagraph"/>
        <w:numPr>
          <w:ilvl w:val="0"/>
          <w:numId w:val="32"/>
        </w:numPr>
        <w:spacing w:before="120" w:after="120"/>
        <w:ind w:left="1066" w:hanging="357"/>
        <w:contextualSpacing w:val="0"/>
        <w:jc w:val="both"/>
      </w:pPr>
      <w:r>
        <w:t xml:space="preserve">navedite postoje li norme</w:t>
      </w:r>
      <w:r w:rsidR="005B7DF0" w:rsidRPr="00436F14">
        <w:rPr>
          <w:vertAlign w:val="superscript"/>
        </w:rPr>
        <w:footnoteReference w:id="9"/>
      </w:r>
      <w:r>
        <w:t xml:space="preserve"> Unije primjenjive na prijavljene mjere, obvezne nacionalne norme koje su strože ili ambicioznije od odgovarajućih normi Unije ili obvezne nacionalne norme donesene u nedostatku normi Unije;</w:t>
      </w:r>
      <w:r>
        <w:t xml:space="preserve"> </w:t>
      </w:r>
    </w:p>
    <w:p w14:paraId="0E3763A8" w14:textId="6FCB4900" w:rsidR="0025374D" w:rsidRPr="00471B74" w:rsidRDefault="004152C3" w:rsidP="001C4353">
      <w:pPr>
        <w:tabs>
          <w:tab w:val="left" w:leader="dot" w:pos="9072"/>
        </w:tabs>
        <w:spacing w:before="120" w:after="120"/>
        <w:ind w:left="1077"/>
        <w:jc w:val="both"/>
      </w:pPr>
      <w:r>
        <w:tab/>
      </w:r>
    </w:p>
    <w:p w14:paraId="39ED4203" w14:textId="3B84ED4C" w:rsidR="000F2D50" w:rsidRDefault="007E4A3E" w:rsidP="000F2D50">
      <w:pPr>
        <w:pStyle w:val="ListParagraph"/>
        <w:numPr>
          <w:ilvl w:val="0"/>
          <w:numId w:val="32"/>
        </w:numPr>
        <w:spacing w:before="120" w:after="120"/>
        <w:ind w:left="1066" w:hanging="357"/>
        <w:contextualSpacing w:val="0"/>
        <w:jc w:val="both"/>
      </w:pPr>
      <w:r>
        <w:t xml:space="preserve">ako su pravom Unije propisane norme Unije, potvrdite i dokažite da potpora ima učinak poticaja jer potiče da se ulaganja provedu i dovrše najmanje 18 mjeseci prije stupanja norme na snagu;</w:t>
      </w:r>
    </w:p>
    <w:p w14:paraId="06D524B1" w14:textId="40B611ED" w:rsidR="000F2D50" w:rsidRPr="000F2D50" w:rsidRDefault="000F2D50" w:rsidP="000F2D50">
      <w:pPr>
        <w:tabs>
          <w:tab w:val="left" w:leader="dot" w:pos="9072"/>
        </w:tabs>
        <w:spacing w:before="120" w:after="120"/>
        <w:ind w:left="1077"/>
        <w:jc w:val="both"/>
      </w:pPr>
      <w:r>
        <w:tab/>
      </w:r>
    </w:p>
    <w:p w14:paraId="66EBAFF4" w14:textId="00CAF936" w:rsidR="007E4A3E" w:rsidRDefault="007E4A3E" w:rsidP="00BC0346">
      <w:pPr>
        <w:pStyle w:val="ListParagraph"/>
        <w:numPr>
          <w:ilvl w:val="0"/>
          <w:numId w:val="32"/>
        </w:numPr>
        <w:spacing w:before="120" w:after="120"/>
        <w:ind w:left="1066" w:hanging="357"/>
        <w:contextualSpacing w:val="0"/>
        <w:jc w:val="both"/>
      </w:pPr>
      <w:r>
        <w:t xml:space="preserve">objasnite jesu li projekti s razdobljem povrata</w:t>
      </w:r>
      <w:r w:rsidRPr="000F2D50">
        <w:rPr>
          <w:vertAlign w:val="superscript"/>
          <w:lang w:eastAsia="en-GB"/>
        </w:rPr>
        <w:footnoteReference w:id="10"/>
      </w:r>
      <w:r>
        <w:t xml:space="preserve"> kraćim od pet godina prihvatljivi za potporu u okviru mjera.</w:t>
      </w:r>
      <w:r>
        <w:t xml:space="preserve"> </w:t>
      </w:r>
      <w:r>
        <w:t xml:space="preserve">Ako jesu, dostavite dokaze da je potpora potrebna za poticanje promjene ponašanja kako se zahtijeva točkom 142. CEEAG-a.</w:t>
      </w:r>
      <w:r>
        <w:t xml:space="preserve"> </w:t>
      </w:r>
    </w:p>
    <w:p w14:paraId="540A1729" w14:textId="47D2E85F" w:rsidR="007E4A3E" w:rsidRPr="007E4A3E" w:rsidRDefault="00AE66EA" w:rsidP="0092276B">
      <w:pPr>
        <w:tabs>
          <w:tab w:val="left" w:leader="dot" w:pos="9072"/>
        </w:tabs>
        <w:spacing w:before="120" w:after="120"/>
        <w:ind w:left="1077"/>
        <w:jc w:val="both"/>
      </w:pPr>
      <w:bookmarkStart w:id="5" w:name="_Hlk166514760"/>
      <w:r>
        <w:tab/>
      </w:r>
      <w:bookmarkEnd w:id="5"/>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C0346">
            <w:pPr>
              <w:pStyle w:val="Heading1"/>
              <w:numPr>
                <w:ilvl w:val="1"/>
                <w:numId w:val="23"/>
              </w:numPr>
              <w:rPr>
                <w:sz w:val="24"/>
                <w:szCs w:val="24"/>
              </w:rPr>
            </w:pPr>
            <w:r>
              <w:rPr>
                <w:sz w:val="24"/>
              </w:rPr>
              <w:t xml:space="preserve">Nepostojanje povrede bilo koje relevantne odredbe prava Unije</w:t>
            </w:r>
          </w:p>
        </w:tc>
      </w:tr>
    </w:tbl>
    <w:p w14:paraId="71F2B6DF" w14:textId="01B42D4E" w:rsidR="00382DE7" w:rsidRDefault="00382DE7" w:rsidP="00A029BF">
      <w:pPr>
        <w:spacing w:before="120" w:after="120"/>
        <w:jc w:val="both"/>
        <w:rPr>
          <w:i/>
        </w:rPr>
      </w:pPr>
      <w:r>
        <w:rPr>
          <w:i/>
        </w:rPr>
        <w:t xml:space="preserve">Za unos podataka u ovom odjeljku vidjeti odjeljak 3.1.3. (točka 33.) CEEAG-a.</w:t>
      </w:r>
      <w:r>
        <w:rPr>
          <w:i/>
        </w:rPr>
        <w:t xml:space="preserve"> </w:t>
      </w:r>
    </w:p>
    <w:p w14:paraId="075E8A7E" w14:textId="77777777" w:rsidR="00382DE7" w:rsidRDefault="00382DE7" w:rsidP="005450FE">
      <w:pPr>
        <w:pStyle w:val="ListParagraph"/>
        <w:numPr>
          <w:ilvl w:val="0"/>
          <w:numId w:val="4"/>
        </w:numPr>
        <w:spacing w:before="120" w:after="120"/>
        <w:ind w:left="567" w:hanging="567"/>
        <w:contextualSpacing w:val="0"/>
        <w:jc w:val="both"/>
      </w:pPr>
      <w:r>
        <w:t xml:space="preserve">Dostavite podatke koji potvrđuju usklađenost s relevantnim odredbama prava EU-a u skladu s točkom 33. CEEAG-a.</w:t>
      </w:r>
    </w:p>
    <w:p w14:paraId="50F3B274" w14:textId="77777777" w:rsidR="00382DE7" w:rsidRDefault="00382DE7" w:rsidP="00382DE7">
      <w:pPr>
        <w:tabs>
          <w:tab w:val="left" w:leader="dot" w:pos="9072"/>
        </w:tabs>
        <w:spacing w:before="120" w:after="120"/>
        <w:ind w:left="567"/>
        <w:jc w:val="both"/>
        <w:rPr>
          <w:color w:val="000000"/>
        </w:rPr>
      </w:pPr>
      <w:bookmarkStart w:id="6" w:name="_Hlk169543689"/>
      <w:r>
        <w:rPr>
          <w:color w:val="000000"/>
        </w:rPr>
        <w:tab/>
      </w:r>
    </w:p>
    <w:bookmarkEnd w:id="6"/>
    <w:p w14:paraId="3011EC33" w14:textId="528719B5" w:rsidR="00382DE7" w:rsidRPr="005450FE" w:rsidRDefault="00382DE7" w:rsidP="005450FE">
      <w:pPr>
        <w:pStyle w:val="ListParagraph"/>
        <w:numPr>
          <w:ilvl w:val="0"/>
          <w:numId w:val="4"/>
        </w:numPr>
        <w:spacing w:before="120" w:after="120"/>
        <w:ind w:left="567" w:hanging="567"/>
        <w:contextualSpacing w:val="0"/>
        <w:jc w:val="both"/>
      </w:pPr>
      <w:r>
        <w:t xml:space="preserve">Ako se mjera financira iz davanja, pojasnite je li potrebno provesti procjenu usklađenosti s člancima 30. i 110. UFEU-a.</w:t>
      </w:r>
      <w:r>
        <w:t xml:space="preserve"> </w:t>
      </w:r>
      <w:r>
        <w:t xml:space="preserve">Ako jest, dokažite na koji je način mjera u skladu s odredbama članaka 30. i 110. UFEU-a.</w:t>
      </w:r>
      <w:r>
        <w:t xml:space="preserve"> </w:t>
      </w:r>
      <w:r>
        <w:t xml:space="preserve">U tom kontekstu, ako se prijavljene mjere financiraju iz davanja, može se uputiti na podatke dostavljene u okviru prethodne točke </w:t>
      </w:r>
      <w:r w:rsidRPr="005450FE">
        <w:fldChar w:fldCharType="begin" w:dirty="true"/>
      </w:r>
      <w:r w:rsidRPr="005450FE">
        <w:instrText xml:space="preserve"> REF _Ref126829229 \w \h </w:instrText>
      </w:r>
      <w:r w:rsidR="005450FE">
        <w:instrText xml:space="preserve"> \* MERGEFORMAT </w:instrText>
      </w:r>
      <w:r w:rsidRPr="005450FE"/>
      <w:r w:rsidRPr="005450FE">
        <w:fldChar w:fldCharType="separate"/>
      </w:r>
      <w:r w:rsidRPr="005450FE">
        <w:t>5</w:t>
      </w:r>
      <w:r w:rsidRPr="005450FE">
        <w:fldChar w:fldCharType="end"/>
      </w:r>
      <w:r>
        <w:t xml:space="preserve">. podtočke </w:t>
      </w:r>
      <w:r w:rsidRPr="005450FE">
        <w:fldChar w:fldCharType="begin" w:dirty="true"/>
      </w:r>
      <w:r w:rsidRPr="005450FE">
        <w:instrText xml:space="preserve"> REF _Ref126829235 \w \h </w:instrText>
      </w:r>
      <w:r w:rsidR="005450FE">
        <w:instrText xml:space="preserve"> \* MERGEFORMAT </w:instrText>
      </w:r>
      <w:r w:rsidRPr="005450FE"/>
      <w:r w:rsidRPr="005450FE">
        <w:fldChar w:fldCharType="separate"/>
      </w:r>
      <w:r w:rsidRPr="005450FE">
        <w:t>ii</w:t>
      </w:r>
      <w:r w:rsidRPr="005450FE">
        <w:fldChar w:fldCharType="end"/>
      </w:r>
      <w:r>
        <w:t xml:space="preserve">.</w:t>
      </w:r>
    </w:p>
    <w:p w14:paraId="3A9F351F" w14:textId="77777777" w:rsidR="00382DE7" w:rsidRDefault="00382DE7" w:rsidP="00382DE7">
      <w:pPr>
        <w:tabs>
          <w:tab w:val="left" w:leader="dot" w:pos="9072"/>
        </w:tabs>
        <w:spacing w:before="120" w:after="120"/>
        <w:ind w:left="567"/>
        <w:jc w:val="both"/>
        <w:rPr>
          <w:color w:val="000000"/>
        </w:rPr>
      </w:pPr>
      <w:bookmarkStart w:id="7" w:name="_Hlk165966354"/>
      <w:r>
        <w:rPr>
          <w:color w:val="000000"/>
        </w:rPr>
        <w:tab/>
      </w:r>
    </w:p>
    <w:bookmarkEnd w:id="7"/>
    <w:p w14:paraId="12BBBE61" w14:textId="6B867948" w:rsidR="00663008" w:rsidRPr="00F8366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C0346">
            <w:pPr>
              <w:pStyle w:val="Heading1"/>
              <w:numPr>
                <w:ilvl w:val="0"/>
                <w:numId w:val="23"/>
              </w:numPr>
              <w:rPr>
                <w:i/>
                <w:color w:val="000000"/>
                <w:sz w:val="28"/>
                <w:szCs w:val="28"/>
              </w:rPr>
            </w:pPr>
            <w:r>
              <w:rPr>
                <w:i/>
                <w:color w:val="000000"/>
                <w:sz w:val="28"/>
              </w:rPr>
              <w:t xml:space="preserve">Negativni uvjet: potpora ne smije neopravdano utjecati na trgovinske uvjete u mjeri u kojoj bi to bilo suprotno zajedničkom interesu</w:t>
            </w:r>
          </w:p>
        </w:tc>
      </w:tr>
    </w:tbl>
    <w:p w14:paraId="567C40B6" w14:textId="77777777" w:rsidR="00164ADE" w:rsidRPr="00164ADE" w:rsidRDefault="00164ADE" w:rsidP="000E136C">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60D81">
        <w:trPr>
          <w:trHeight w:val="300"/>
        </w:trPr>
        <w:tc>
          <w:tcPr>
            <w:tcW w:w="9322" w:type="dxa"/>
            <w:shd w:val="pct15" w:color="auto" w:fill="auto"/>
          </w:tcPr>
          <w:p w14:paraId="77CB675F" w14:textId="5329851C" w:rsidR="00164ADE" w:rsidRPr="00164ADE" w:rsidRDefault="00262A24" w:rsidP="000E136C">
            <w:pPr>
              <w:pStyle w:val="Heading2"/>
              <w:spacing w:before="75" w:after="75"/>
              <w:ind w:left="1729"/>
              <w:rPr>
                <w:i/>
                <w:color w:val="000000"/>
                <w:sz w:val="28"/>
                <w:szCs w:val="28"/>
              </w:rPr>
            </w:pPr>
            <w:r>
              <w:rPr>
                <w:color w:val="000000"/>
              </w:rPr>
              <w:t xml:space="preserve">2.1.</w:t>
            </w:r>
            <w:r>
              <w:rPr>
                <w:color w:val="000000"/>
              </w:rPr>
              <w:t xml:space="preserve"> </w:t>
            </w:r>
            <w:r>
              <w:t xml:space="preserve">Svođenje narušavanja tržišnog natjecanja i trgovine na najmanju moguću mjeru</w:t>
            </w:r>
          </w:p>
        </w:tc>
      </w:tr>
    </w:tbl>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1F1AF8B6" w:rsidR="00663008" w:rsidRPr="00F83660" w:rsidRDefault="00262A24" w:rsidP="006A10B6">
            <w:pPr>
              <w:pStyle w:val="Heading2"/>
              <w:spacing w:before="75" w:after="75"/>
              <w:ind w:left="788" w:right="-28" w:hanging="431"/>
              <w:jc w:val="center"/>
              <w:rPr>
                <w:color w:val="000000"/>
                <w:szCs w:val="24"/>
              </w:rPr>
            </w:pPr>
            <w:r>
              <w:t xml:space="preserve">2</w:t>
            </w:r>
            <w:r>
              <w:rPr>
                <w:color w:val="000000"/>
              </w:rPr>
              <w:t xml:space="preserve">.1.1.</w:t>
            </w:r>
            <w:r>
              <w:rPr>
                <w:color w:val="000000"/>
              </w:rPr>
              <w:t xml:space="preserve"> </w:t>
            </w:r>
            <w:r>
              <w:rPr>
                <w:color w:val="000000"/>
              </w:rPr>
              <w:t xml:space="preserve">Nužnost potpore</w:t>
            </w:r>
          </w:p>
        </w:tc>
      </w:tr>
    </w:tbl>
    <w:p w14:paraId="3C23674F" w14:textId="13FAD6B4" w:rsidR="00663008" w:rsidRPr="00F83660" w:rsidRDefault="00663008" w:rsidP="00A029BF">
      <w:pPr>
        <w:spacing w:before="120" w:after="120"/>
        <w:jc w:val="both"/>
        <w:rPr>
          <w:i/>
          <w:color w:val="000000"/>
        </w:rPr>
      </w:pPr>
      <w:r>
        <w:rPr>
          <w:i/>
        </w:rPr>
        <w:t xml:space="preserve">Za unos podataka u ovom odjeljku vidjeti odjeljak 3.2.1.1. (točke od 34. do 38.) CEEAG-a.</w:t>
      </w:r>
      <w:r>
        <w:rPr>
          <w:i/>
          <w:color w:val="000000"/>
        </w:rPr>
        <w:t xml:space="preserve"> </w:t>
      </w:r>
    </w:p>
    <w:p w14:paraId="087594C1" w14:textId="77777777" w:rsidR="00B658C2" w:rsidRDefault="00B658C2" w:rsidP="00076394">
      <w:pPr>
        <w:pStyle w:val="ListParagraph"/>
        <w:numPr>
          <w:ilvl w:val="0"/>
          <w:numId w:val="4"/>
        </w:numPr>
        <w:spacing w:before="120" w:after="120"/>
        <w:ind w:left="567" w:hanging="567"/>
        <w:contextualSpacing w:val="0"/>
        <w:jc w:val="both"/>
      </w:pPr>
      <w:r>
        <w:t xml:space="preserve">Objasnite koje su tržišne nedostatke vaša nadležna tijela utvrdila zbog kojih nije moguće postići dostatnu razinu zaštite okoliša.</w:t>
      </w:r>
      <w:r>
        <w:t xml:space="preserve"> </w:t>
      </w:r>
      <w:r>
        <w:t xml:space="preserve">Navedite kojoj kategoriji pripadaju utvrđeni tržišni nedostaci upućivanjem na podtočke (a), (b), (c) ili (d) točke 34. CEEAG-a.</w:t>
      </w:r>
    </w:p>
    <w:p w14:paraId="735B7CD2" w14:textId="77777777" w:rsidR="00076394" w:rsidRDefault="00076394" w:rsidP="00076394">
      <w:pPr>
        <w:tabs>
          <w:tab w:val="left" w:leader="dot" w:pos="9072"/>
        </w:tabs>
        <w:spacing w:before="120" w:after="120"/>
        <w:ind w:left="567"/>
        <w:jc w:val="both"/>
        <w:rPr>
          <w:color w:val="000000"/>
        </w:rPr>
      </w:pPr>
      <w:r>
        <w:rPr>
          <w:color w:val="000000"/>
        </w:rPr>
        <w:tab/>
      </w:r>
    </w:p>
    <w:p w14:paraId="06B91ACA" w14:textId="76A49390" w:rsidR="00B658C2" w:rsidRPr="008D5ADF" w:rsidRDefault="001F680C" w:rsidP="00076394">
      <w:pPr>
        <w:pStyle w:val="ListParagraph"/>
        <w:numPr>
          <w:ilvl w:val="0"/>
          <w:numId w:val="4"/>
        </w:numPr>
        <w:spacing w:before="120" w:after="120"/>
        <w:ind w:left="567" w:hanging="567"/>
        <w:contextualSpacing w:val="0"/>
        <w:jc w:val="both"/>
      </w:pPr>
      <w:r>
        <w:t xml:space="preserve">U skladu s točkom 35. CEEAG-a navedite podatke o eventualnim postojećim politikama i mjerama koje su vaša tijela utvrdila, a koje su već usmjerene na utvrđene regulatorne ili tržišne nedostatke.</w:t>
      </w:r>
    </w:p>
    <w:p w14:paraId="3715A328" w14:textId="77777777" w:rsidR="00076394" w:rsidRDefault="00076394" w:rsidP="00076394">
      <w:pPr>
        <w:tabs>
          <w:tab w:val="left" w:leader="dot" w:pos="9072"/>
        </w:tabs>
        <w:spacing w:before="120" w:after="120"/>
        <w:ind w:left="567"/>
        <w:jc w:val="both"/>
        <w:rPr>
          <w:color w:val="000000"/>
        </w:rPr>
      </w:pPr>
      <w:r>
        <w:rPr>
          <w:color w:val="000000"/>
        </w:rPr>
        <w:tab/>
      </w:r>
    </w:p>
    <w:p w14:paraId="2EA5DCAB" w14:textId="77777777" w:rsidR="00B658C2" w:rsidRPr="008D5ADF" w:rsidRDefault="00B658C2" w:rsidP="00076394">
      <w:pPr>
        <w:pStyle w:val="ListParagraph"/>
        <w:numPr>
          <w:ilvl w:val="0"/>
          <w:numId w:val="4"/>
        </w:numPr>
        <w:spacing w:before="120" w:after="120"/>
        <w:ind w:left="567" w:hanging="567"/>
        <w:contextualSpacing w:val="0"/>
        <w:jc w:val="both"/>
      </w:pPr>
      <w:r>
        <w:t xml:space="preserve">Kako bi se dokazala usklađenost s točkom 36. CEEAG-a, navedite podatke kojima se dokazuje da se potpora učinkovito primjenjuje na ispravljanje preostalih tržišnih nedostataka, uzimajući u obzir i sve druge politike i mjere koje su već na snazi za ispravljanje nekih od utvrđenih tržišnih nedostataka.</w:t>
      </w:r>
      <w:r>
        <w:t xml:space="preserve"> </w:t>
      </w:r>
    </w:p>
    <w:p w14:paraId="2C0F460B" w14:textId="0A8A16D2" w:rsidR="00B658C2" w:rsidRPr="00076394" w:rsidRDefault="00076394" w:rsidP="00076394">
      <w:pPr>
        <w:tabs>
          <w:tab w:val="left" w:leader="dot" w:pos="9072"/>
        </w:tabs>
        <w:spacing w:before="120" w:after="120"/>
        <w:ind w:left="567"/>
        <w:jc w:val="both"/>
        <w:rPr>
          <w:color w:val="000000"/>
        </w:rPr>
      </w:pPr>
      <w:r>
        <w:rPr>
          <w:color w:val="000000"/>
        </w:rPr>
        <w:tab/>
      </w:r>
    </w:p>
    <w:p w14:paraId="60FED721" w14:textId="455D91AB" w:rsidR="00B658C2" w:rsidRPr="008D5ADF" w:rsidRDefault="00B658C2" w:rsidP="00076394">
      <w:pPr>
        <w:pStyle w:val="ListParagraph"/>
        <w:numPr>
          <w:ilvl w:val="0"/>
          <w:numId w:val="4"/>
        </w:numPr>
        <w:spacing w:before="120" w:after="120"/>
        <w:ind w:left="567" w:hanging="567"/>
        <w:contextualSpacing w:val="0"/>
        <w:jc w:val="both"/>
      </w:pPr>
      <w:r>
        <w:t xml:space="preserve">Kako bi se dokazala usklađenost s točkom 37. CEEAG-a, objasnite jesu li, prema saznanjima vaših nadležnih tijela, projekti ili djelatnosti, koji su s obzirom na tehnološki sadržaj, razine rizika i veličinu slični onima obuhvaćenima prijavljenim mjerama, već provedeni u Uniji po tržišnim uvjetima.</w:t>
      </w:r>
      <w:r>
        <w:t xml:space="preserve"> </w:t>
      </w:r>
      <w:r>
        <w:t xml:space="preserve">Ako je odgovor potvrdan, dostavite dodatne dokaze o potrebi za državnom potporom.</w:t>
      </w:r>
    </w:p>
    <w:p w14:paraId="2B90039A" w14:textId="53CA3019" w:rsidR="00B658C2" w:rsidRPr="00076394" w:rsidRDefault="00076394" w:rsidP="00076394">
      <w:pPr>
        <w:tabs>
          <w:tab w:val="left" w:leader="dot" w:pos="9072"/>
        </w:tabs>
        <w:spacing w:before="120" w:after="120"/>
        <w:ind w:left="567"/>
        <w:jc w:val="both"/>
        <w:rPr>
          <w:color w:val="000000"/>
        </w:rPr>
      </w:pPr>
      <w:r>
        <w:rPr>
          <w:color w:val="000000"/>
        </w:rPr>
        <w:tab/>
      </w:r>
    </w:p>
    <w:p w14:paraId="4EE6F307" w14:textId="63EBD37E" w:rsidR="00B658C2" w:rsidRPr="00C91A09" w:rsidRDefault="00B658C2" w:rsidP="00076394">
      <w:pPr>
        <w:pStyle w:val="ListParagraph"/>
        <w:numPr>
          <w:ilvl w:val="0"/>
          <w:numId w:val="4"/>
        </w:numPr>
        <w:spacing w:before="120" w:after="120"/>
        <w:ind w:left="567" w:hanging="567"/>
        <w:contextualSpacing w:val="0"/>
        <w:jc w:val="both"/>
      </w:pPr>
      <w:r>
        <w:t xml:space="preserve">Kako bi se dokazala usklađenost s točkom 38. CEEAG-a, osvrnite se na kvantitativne dokaze navedene u prethodnom pitanju 14 C).</w:t>
      </w:r>
      <w:r>
        <w:t xml:space="preserve"> </w:t>
      </w:r>
    </w:p>
    <w:p w14:paraId="5E057239" w14:textId="40EE0A91" w:rsidR="00EA354A" w:rsidRDefault="00B658C2" w:rsidP="004152C3">
      <w:pPr>
        <w:tabs>
          <w:tab w:val="left" w:leader="dot" w:pos="9072"/>
        </w:tabs>
        <w:spacing w:before="120" w:after="120"/>
        <w:ind w:left="567"/>
        <w:jc w:val="both"/>
      </w:pPr>
      <w:r>
        <w:tab/>
      </w: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46A23F57" w:rsidR="00EA354A" w:rsidRPr="00F83660" w:rsidRDefault="00FC68CD" w:rsidP="00FC68CD">
            <w:pPr>
              <w:pStyle w:val="Heading1"/>
              <w:ind w:left="788" w:right="-28" w:hanging="431"/>
              <w:rPr>
                <w:color w:val="000000"/>
                <w:sz w:val="24"/>
                <w:szCs w:val="24"/>
              </w:rPr>
            </w:pPr>
            <w:r>
              <w:rPr>
                <w:color w:val="000000"/>
                <w:sz w:val="24"/>
              </w:rPr>
              <w:t xml:space="preserve">2.1.2.</w:t>
            </w:r>
            <w:r>
              <w:rPr>
                <w:color w:val="000000"/>
                <w:sz w:val="24"/>
              </w:rPr>
              <w:t xml:space="preserve"> </w:t>
            </w:r>
            <w:r>
              <w:rPr>
                <w:color w:val="000000"/>
                <w:sz w:val="24"/>
              </w:rPr>
              <w:t xml:space="preserve">Primjerenost</w:t>
            </w:r>
          </w:p>
        </w:tc>
      </w:tr>
    </w:tbl>
    <w:p w14:paraId="4C2D927B" w14:textId="547B9884" w:rsidR="00EA354A" w:rsidRPr="00F83660" w:rsidRDefault="00EA354A" w:rsidP="00AF17C3">
      <w:pPr>
        <w:spacing w:before="120" w:after="120"/>
        <w:jc w:val="both"/>
        <w:rPr>
          <w:i/>
          <w:color w:val="000000"/>
        </w:rPr>
      </w:pPr>
      <w:r>
        <w:rPr>
          <w:i/>
        </w:rPr>
        <w:t xml:space="preserve">Za unos podataka u </w:t>
      </w:r>
      <w:r>
        <w:rPr>
          <w:i/>
          <w:color w:val="000000"/>
        </w:rPr>
        <w:t xml:space="preserve">ovom odjeljku vidjeti odjeljke 3.2.1.2 (točke od 39. do 46.) i 4.2.4.1. (točke 144. i 145.) i točke 153. i 157. CEEAG-a.</w:t>
      </w:r>
      <w:r>
        <w:rPr>
          <w:i/>
          <w:color w:val="000000"/>
        </w:rPr>
        <w:t xml:space="preserve"> </w:t>
      </w:r>
    </w:p>
    <w:p w14:paraId="7DD683CE" w14:textId="6541DB7D" w:rsidR="00EA354A" w:rsidRPr="00210409" w:rsidRDefault="003D433B" w:rsidP="00210409">
      <w:pPr>
        <w:pStyle w:val="ListParagraph"/>
        <w:numPr>
          <w:ilvl w:val="0"/>
          <w:numId w:val="4"/>
        </w:numPr>
        <w:spacing w:before="120" w:after="120"/>
        <w:ind w:left="567" w:hanging="567"/>
        <w:contextualSpacing w:val="0"/>
        <w:jc w:val="both"/>
      </w:pPr>
      <w:r>
        <w:t xml:space="preserve">Kako biste provjerili usklađenost s točkom 40. CEEAG-a, dokažite da ne postoje instrumenti kojima se manje narušava tržišno natjecanje i koji su prikladniji od državnih potpora.</w:t>
      </w:r>
      <w:r>
        <w:t xml:space="preserve"> </w:t>
      </w:r>
    </w:p>
    <w:p w14:paraId="298B657B" w14:textId="77777777" w:rsidR="00EA354A" w:rsidRPr="00900825" w:rsidRDefault="00EA354A" w:rsidP="00EA354A">
      <w:pPr>
        <w:tabs>
          <w:tab w:val="left" w:leader="dot" w:pos="9072"/>
        </w:tabs>
        <w:spacing w:before="120" w:after="120"/>
        <w:ind w:left="567"/>
        <w:jc w:val="both"/>
      </w:pPr>
      <w:r>
        <w:tab/>
      </w:r>
    </w:p>
    <w:p w14:paraId="0E14B995" w14:textId="77777777" w:rsidR="003A56C9" w:rsidRPr="00210409" w:rsidRDefault="003A56C9" w:rsidP="00210409">
      <w:pPr>
        <w:pStyle w:val="ListParagraph"/>
        <w:numPr>
          <w:ilvl w:val="0"/>
          <w:numId w:val="4"/>
        </w:numPr>
        <w:spacing w:before="120" w:after="120"/>
        <w:ind w:left="567" w:hanging="567"/>
        <w:contextualSpacing w:val="0"/>
        <w:jc w:val="both"/>
      </w:pPr>
      <w:r>
        <w:t xml:space="preserve">Kako bi se provjerila usklađenost s točkom 41. CEEAG-a, dokažite da je mjera potpore osmišljena tako da ne ugrožava djelotvornost drugih mjera kojima se ispravlja isti tržišni nedostatak, kao što su mehanizmi koji se temelje na tržištu (npr. ETS EU-a).</w:t>
      </w:r>
      <w:r>
        <w:t xml:space="preserve"> </w:t>
      </w:r>
    </w:p>
    <w:p w14:paraId="4C2045D2" w14:textId="77777777" w:rsidR="003A56C9" w:rsidRPr="00900825" w:rsidRDefault="003A56C9" w:rsidP="003A56C9">
      <w:pPr>
        <w:tabs>
          <w:tab w:val="left" w:leader="dot" w:pos="9072"/>
        </w:tabs>
        <w:spacing w:before="120" w:after="120"/>
        <w:ind w:left="567"/>
        <w:jc w:val="both"/>
      </w:pPr>
      <w:r>
        <w:tab/>
      </w:r>
    </w:p>
    <w:p w14:paraId="0D236814" w14:textId="77777777" w:rsidR="003A56C9" w:rsidRPr="00210409" w:rsidRDefault="003A56C9" w:rsidP="00210409">
      <w:pPr>
        <w:pStyle w:val="ListParagraph"/>
        <w:numPr>
          <w:ilvl w:val="0"/>
          <w:numId w:val="4"/>
        </w:numPr>
        <w:spacing w:before="120" w:after="120"/>
        <w:ind w:left="567" w:hanging="567"/>
        <w:contextualSpacing w:val="0"/>
        <w:jc w:val="both"/>
      </w:pPr>
      <w:r>
        <w:t xml:space="preserve">Kako bi se dokazala usklađenost s točkom 42. CEEAG-a, potvrdite da se nijedan korisnik mjera potpore ne može smatrati odgovornim za onečišćenje u skladu s postojećim pravom Unije ili nacionalnim pravom (</w:t>
      </w:r>
      <w:r>
        <w:rPr>
          <w:i/>
        </w:rPr>
        <w:t xml:space="preserve">načelo „onečišćivač plaća”</w:t>
      </w:r>
      <w:r>
        <w:t xml:space="preserve">).</w:t>
      </w:r>
      <w:r>
        <w:t xml:space="preserve"> </w:t>
      </w:r>
    </w:p>
    <w:p w14:paraId="225C7220" w14:textId="77777777" w:rsidR="003A56C9" w:rsidRPr="00E80F06" w:rsidRDefault="003A56C9" w:rsidP="003A56C9">
      <w:pPr>
        <w:tabs>
          <w:tab w:val="left" w:leader="dot" w:pos="9072"/>
        </w:tabs>
        <w:spacing w:before="120" w:after="120"/>
        <w:ind w:left="567"/>
        <w:jc w:val="both"/>
      </w:pPr>
      <w:r>
        <w:tab/>
      </w:r>
    </w:p>
    <w:p w14:paraId="4F930B91" w14:textId="617E6DC6" w:rsidR="003A56C9" w:rsidRPr="00BD5698" w:rsidRDefault="001D366B" w:rsidP="00BD5698">
      <w:pPr>
        <w:pStyle w:val="ListParagraph"/>
        <w:numPr>
          <w:ilvl w:val="0"/>
          <w:numId w:val="4"/>
        </w:numPr>
        <w:spacing w:before="120" w:after="120"/>
        <w:ind w:left="567" w:hanging="567"/>
        <w:contextualSpacing w:val="0"/>
        <w:jc w:val="both"/>
      </w:pPr>
      <w:r>
        <w:t xml:space="preserve">Kako bi se provjerila usklađenost s točkama od 43. do 46. CEEAG-a i dokazala primjerenost potpore među različitim instrumentima potpore, navedite sljedeće podatke:</w:t>
      </w:r>
      <w:r>
        <w:t xml:space="preserve"> </w:t>
      </w:r>
    </w:p>
    <w:p w14:paraId="572FA0A0" w14:textId="4CEDF9A8" w:rsidR="003A56C9" w:rsidRPr="00ED71CB" w:rsidRDefault="003A56C9" w:rsidP="00BC0346">
      <w:pPr>
        <w:pStyle w:val="ListParagraph"/>
        <w:numPr>
          <w:ilvl w:val="0"/>
          <w:numId w:val="30"/>
        </w:numPr>
        <w:spacing w:before="120" w:after="120"/>
        <w:ind w:left="1066" w:hanging="357"/>
        <w:contextualSpacing w:val="0"/>
        <w:jc w:val="both"/>
      </w:pPr>
      <w:r>
        <w:t xml:space="preserve">objasnite zašto su drugi oblici potpore koji potencijalno manje narušavaju tržišno natjecanje manje primjereni, kako je propisano točkom 44. CEEAG-a.</w:t>
      </w:r>
      <w:r>
        <w:t xml:space="preserve"> </w:t>
      </w:r>
      <w:r>
        <w:t xml:space="preserve">Oblici potpore koji potencijalno manje narušavaju tržišno natjecanja mogu biti povratni predujmovi u usporedbi s izravnim bespovratnim sredstvima; porezne olakšice u usporedbi sa smanjenjem poreza; ili oblici potpore koji se temelje na financijskim instrumentima kao što su dužnički instrumenti u usporedbi s vlasničkim instrumentima, uključujući, na primjer, zajmove s niskim kamatama ili popuste na kamate, državna jamstva ili alternativno financiranje po povoljnim uvjetima;</w:t>
      </w:r>
    </w:p>
    <w:p w14:paraId="593209FE" w14:textId="77777777" w:rsidR="003A56C9" w:rsidRPr="00ED71CB" w:rsidRDefault="003A56C9" w:rsidP="00BD5698">
      <w:pPr>
        <w:tabs>
          <w:tab w:val="left" w:leader="dot" w:pos="9072"/>
        </w:tabs>
        <w:spacing w:before="120" w:after="120"/>
        <w:ind w:left="1077"/>
        <w:jc w:val="both"/>
      </w:pPr>
      <w:r>
        <w:tab/>
      </w:r>
    </w:p>
    <w:p w14:paraId="6FB63661" w14:textId="2E815B9E" w:rsidR="003A56C9" w:rsidRPr="00ED71CB" w:rsidRDefault="003A56C9" w:rsidP="00BC0346">
      <w:pPr>
        <w:pStyle w:val="ListParagraph"/>
        <w:numPr>
          <w:ilvl w:val="0"/>
          <w:numId w:val="30"/>
        </w:numPr>
        <w:spacing w:before="120" w:after="120"/>
        <w:ind w:left="1066" w:hanging="357"/>
        <w:contextualSpacing w:val="0"/>
        <w:jc w:val="both"/>
      </w:pPr>
      <w:r>
        <w:t xml:space="preserve">dokažite da je odabrani instrument potpore primjeren tržišnom nedostatku koji se namjerava ispraviti mjerom potpore, kako se zahtijeva u točki 45. CEEAG-a;</w:t>
      </w:r>
    </w:p>
    <w:p w14:paraId="3C5110AA" w14:textId="77777777" w:rsidR="003A56C9" w:rsidRPr="00ED71CB" w:rsidRDefault="003A56C9" w:rsidP="00BD5698">
      <w:pPr>
        <w:tabs>
          <w:tab w:val="left" w:leader="dot" w:pos="9072"/>
        </w:tabs>
        <w:spacing w:before="120" w:after="120"/>
        <w:ind w:left="1077"/>
        <w:jc w:val="both"/>
      </w:pPr>
      <w:r>
        <w:tab/>
      </w:r>
    </w:p>
    <w:p w14:paraId="0CF9131E" w14:textId="78D0466B" w:rsidR="003A56C9" w:rsidRPr="00ED71CB" w:rsidRDefault="003A56C9" w:rsidP="00BC0346">
      <w:pPr>
        <w:pStyle w:val="ListParagraph"/>
        <w:numPr>
          <w:ilvl w:val="0"/>
          <w:numId w:val="30"/>
        </w:numPr>
        <w:spacing w:before="120" w:after="120"/>
        <w:ind w:left="1066" w:hanging="357"/>
        <w:contextualSpacing w:val="0"/>
        <w:jc w:val="both"/>
      </w:pPr>
      <w:r>
        <w:t xml:space="preserve">objasnite na koji su način </w:t>
      </w:r>
      <w:r>
        <w:rPr>
          <w:color w:val="000000"/>
          <w:shd w:val="clear" w:color="auto" w:fill="FFFFFF"/>
        </w:rPr>
        <w:t xml:space="preserve">mjera potpore i njezin oblik primjereni za postizanje cilja mjere na koju se potpora odnosi, kako je propisano</w:t>
      </w:r>
      <w:r>
        <w:t xml:space="preserve"> točkom 46. CEEAG-a.</w:t>
      </w:r>
    </w:p>
    <w:p w14:paraId="4A5F12B5" w14:textId="77777777" w:rsidR="003A56C9" w:rsidRDefault="003A56C9" w:rsidP="00BD5698">
      <w:pPr>
        <w:tabs>
          <w:tab w:val="left" w:leader="dot" w:pos="9072"/>
        </w:tabs>
        <w:spacing w:before="120" w:after="120"/>
        <w:ind w:left="1077"/>
        <w:jc w:val="both"/>
      </w:pPr>
      <w:bookmarkStart w:id="8" w:name="_Hlk165967164"/>
      <w:r>
        <w:tab/>
      </w:r>
    </w:p>
    <w:bookmarkEnd w:id="8"/>
    <w:p w14:paraId="039FC206" w14:textId="52D96A6B" w:rsidR="001C6AF0" w:rsidRPr="00BD5698" w:rsidRDefault="000F62F3" w:rsidP="00BD5698">
      <w:pPr>
        <w:pStyle w:val="ListParagraph"/>
        <w:numPr>
          <w:ilvl w:val="0"/>
          <w:numId w:val="4"/>
        </w:numPr>
        <w:spacing w:before="120" w:after="120"/>
        <w:ind w:left="567" w:hanging="567"/>
        <w:contextualSpacing w:val="0"/>
        <w:jc w:val="both"/>
      </w:pPr>
      <w:r>
        <w:t xml:space="preserve">Ako se potpora u okviru mjere ili mjera dodjeljuje MSP-ovima i malim poduzećima srednje tržišne kapitalizacije koji pružaju mjere za poboljšanje energetske učinkovitosti u okviru ugovora o energetskom učinku, potvrdite da je, u skladu s točkom 145. CEEAG-a, potpora u obliku zajma ili jamstva pružatelju usluga ili se sastoji od financijskog proizvoda namijenjenog financiranju pružatelja (npr. faktoring ili forfetiranje).</w:t>
      </w:r>
    </w:p>
    <w:p w14:paraId="6F29A04D" w14:textId="4E107D4D" w:rsidR="000F62F3" w:rsidRDefault="000F62F3" w:rsidP="000F62F3">
      <w:pPr>
        <w:tabs>
          <w:tab w:val="left" w:leader="dot" w:pos="9072"/>
        </w:tabs>
        <w:spacing w:before="120" w:after="120"/>
        <w:ind w:left="567"/>
        <w:jc w:val="both"/>
      </w:pPr>
      <w:r>
        <w:tab/>
      </w:r>
    </w:p>
    <w:p w14:paraId="0858A4EF" w14:textId="32EBC18D" w:rsidR="003F5046" w:rsidRPr="00BD5698" w:rsidRDefault="003F5046" w:rsidP="00BD5698">
      <w:pPr>
        <w:pStyle w:val="ListParagraph"/>
        <w:numPr>
          <w:ilvl w:val="0"/>
          <w:numId w:val="4"/>
        </w:numPr>
        <w:spacing w:before="120" w:after="120"/>
        <w:ind w:left="567" w:hanging="567"/>
        <w:contextualSpacing w:val="0"/>
        <w:jc w:val="both"/>
      </w:pPr>
      <w:r>
        <w:t xml:space="preserve">Ako se potpora dodjeljuje u okviru mjera u obliku financijskih instrumenata, potvrdite:</w:t>
      </w:r>
    </w:p>
    <w:p w14:paraId="407E4217" w14:textId="02AA56C3" w:rsidR="00A8494E" w:rsidRDefault="00A8494E" w:rsidP="00BC0346">
      <w:pPr>
        <w:pStyle w:val="ListParagraph"/>
        <w:numPr>
          <w:ilvl w:val="0"/>
          <w:numId w:val="33"/>
        </w:numPr>
        <w:spacing w:before="120" w:after="120"/>
        <w:contextualSpacing w:val="0"/>
        <w:jc w:val="both"/>
      </w:pPr>
      <w:r>
        <w:t xml:space="preserve">da se potpora vlasniku ili stanaru zgrade dodjeljuje u obliku jamstva ili zajma u skladu s točkom 153. CEEAG-a; i</w:t>
      </w:r>
    </w:p>
    <w:p w14:paraId="45DFDBF9" w14:textId="77777777" w:rsidR="004E0438" w:rsidRDefault="004E0438" w:rsidP="004E0438">
      <w:pPr>
        <w:tabs>
          <w:tab w:val="left" w:leader="dot" w:pos="9072"/>
        </w:tabs>
        <w:spacing w:before="120" w:after="120"/>
        <w:ind w:left="1077"/>
        <w:jc w:val="both"/>
      </w:pPr>
      <w:r>
        <w:tab/>
      </w:r>
    </w:p>
    <w:p w14:paraId="7DD44F85" w14:textId="36B753B3" w:rsidR="003F5046" w:rsidRDefault="003F5046" w:rsidP="00BC0346">
      <w:pPr>
        <w:pStyle w:val="ListParagraph"/>
        <w:numPr>
          <w:ilvl w:val="0"/>
          <w:numId w:val="33"/>
        </w:numPr>
        <w:spacing w:before="120" w:after="120"/>
        <w:ind w:left="1066" w:hanging="357"/>
        <w:contextualSpacing w:val="0"/>
        <w:jc w:val="both"/>
      </w:pPr>
      <w:r>
        <w:t xml:space="preserve">da se potpora financijskom posredniku (npr. fondu za energetsku učinkovitost) dodjeljuje u obliku donacije, vlasničkog kapitala, jamstva ili zajma u skladu s točkom 157. CEEAG-a.</w:t>
      </w:r>
    </w:p>
    <w:p w14:paraId="3F4272F4" w14:textId="402C8EE7" w:rsidR="003F5046" w:rsidRDefault="003F5046" w:rsidP="00BD5698">
      <w:pPr>
        <w:tabs>
          <w:tab w:val="left" w:leader="dot" w:pos="9072"/>
        </w:tabs>
        <w:spacing w:before="120" w:after="120"/>
        <w:ind w:left="1077"/>
        <w:jc w:val="both"/>
      </w:pPr>
      <w:bookmarkStart w:id="9" w:name="_Hlk165967128"/>
      <w:r>
        <w:tab/>
      </w:r>
      <w:bookmarkEnd w:id="9"/>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ACDE5BC" w:rsidR="00863406" w:rsidRPr="00FC6878" w:rsidRDefault="00333D51" w:rsidP="00D46167">
            <w:pPr>
              <w:pStyle w:val="Heading1"/>
              <w:ind w:left="788" w:right="-28" w:hanging="431"/>
              <w:rPr>
                <w:sz w:val="24"/>
                <w:szCs w:val="24"/>
              </w:rPr>
            </w:pPr>
            <w:r>
              <w:rPr>
                <w:sz w:val="24"/>
              </w:rPr>
              <w:t xml:space="preserve">2.1.3.</w:t>
            </w:r>
            <w:r>
              <w:rPr>
                <w:sz w:val="24"/>
              </w:rPr>
              <w:t xml:space="preserve"> </w:t>
            </w:r>
            <w:r>
              <w:rPr>
                <w:sz w:val="24"/>
              </w:rPr>
              <w:t xml:space="preserve">Proporcionalnost</w:t>
            </w:r>
            <w:r>
              <w:rPr>
                <w:sz w:val="24"/>
              </w:rPr>
              <w:t xml:space="preserve"> </w:t>
            </w:r>
          </w:p>
        </w:tc>
      </w:tr>
    </w:tbl>
    <w:p w14:paraId="201592AD" w14:textId="1A723365" w:rsidR="00E47105" w:rsidRDefault="00DC2847" w:rsidP="00BD1EF7">
      <w:pPr>
        <w:spacing w:before="360" w:after="120"/>
        <w:jc w:val="both"/>
        <w:rPr>
          <w:i/>
        </w:rPr>
      </w:pPr>
      <w:r>
        <w:rPr>
          <w:i/>
        </w:rPr>
        <w:t xml:space="preserve">Za unos podataka u ovom odjeljku vidjeti odjeljak 4.2.4.2. (točke od 146. do 153.) CEEAG-a.</w:t>
      </w:r>
      <w:r>
        <w:rPr>
          <w:i/>
        </w:rPr>
        <w:t xml:space="preserve"> </w:t>
      </w:r>
    </w:p>
    <w:p w14:paraId="46E1A5AF" w14:textId="4388075F" w:rsidR="00BD1EF7" w:rsidRPr="00BD1EF7" w:rsidRDefault="00DC2847" w:rsidP="00E47105">
      <w:pPr>
        <w:spacing w:before="120" w:after="120"/>
        <w:jc w:val="both"/>
        <w:rPr>
          <w:i/>
        </w:rPr>
      </w:pPr>
      <w:r>
        <w:rPr>
          <w:i/>
        </w:rPr>
        <w:t xml:space="preserve">Napominjemo da se </w:t>
      </w:r>
      <w:r>
        <w:rPr>
          <w:i/>
          <w:u w:val="single"/>
        </w:rPr>
        <w:t xml:space="preserve">odjeljci 2.1.3.1., 2.1.3.2. i 2.1.3.3. međusobno isključuju.</w:t>
      </w:r>
      <w:r>
        <w:rPr>
          <w:i/>
        </w:rPr>
        <w:t xml:space="preserve"> </w:t>
      </w:r>
      <w:r>
        <w:rPr>
          <w:i/>
        </w:rPr>
        <w:t xml:space="preserve">Odgovorite samo na odgovarajući odjeljak, ovisno o obliku predložene mjere.</w:t>
      </w:r>
      <w:r>
        <w:rPr>
          <w:i/>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C58A840" w:rsidR="001620DB" w:rsidRPr="00FC6878" w:rsidRDefault="00D46167" w:rsidP="001A21E9">
            <w:pPr>
              <w:pStyle w:val="Heading1"/>
              <w:ind w:left="788" w:right="-28" w:hanging="357"/>
              <w:jc w:val="left"/>
              <w:rPr>
                <w:sz w:val="24"/>
                <w:szCs w:val="24"/>
              </w:rPr>
            </w:pPr>
            <w:r>
              <w:rPr>
                <w:sz w:val="24"/>
              </w:rPr>
              <w:t xml:space="preserve">2.1.3.1.</w:t>
            </w:r>
            <w:r>
              <w:rPr>
                <w:sz w:val="24"/>
              </w:rPr>
              <w:t xml:space="preserve"> </w:t>
            </w:r>
            <w:r>
              <w:rPr>
                <w:sz w:val="24"/>
              </w:rPr>
              <w:t xml:space="preserve">Proporcionalnost potpore koja se </w:t>
            </w:r>
            <w:r>
              <w:rPr>
                <w:sz w:val="24"/>
                <w:u w:val="single"/>
              </w:rPr>
              <w:t xml:space="preserve">ne</w:t>
            </w:r>
            <w:r>
              <w:rPr>
                <w:sz w:val="24"/>
              </w:rPr>
              <w:t xml:space="preserve"> dodjeljuje u okviru konkurentnog natječajnog postupka i u obliku financijskih instrumenata</w:t>
            </w:r>
          </w:p>
        </w:tc>
      </w:tr>
    </w:tbl>
    <w:p w14:paraId="38D650DB" w14:textId="658040C6" w:rsidR="00D32425" w:rsidRDefault="001620DB" w:rsidP="00BD1EF7">
      <w:pPr>
        <w:pStyle w:val="ListParagraph"/>
        <w:spacing w:before="120" w:after="120"/>
        <w:ind w:left="0"/>
        <w:contextualSpacing w:val="0"/>
        <w:jc w:val="both"/>
      </w:pPr>
      <w:r>
        <w:rPr>
          <w:i/>
        </w:rPr>
        <w:t xml:space="preserve">Za unos podataka u ovom odjeljku vidjeti točke od 146. do 151. i točku 153. CEEAG-a.</w:t>
      </w:r>
      <w:r>
        <w:t xml:space="preserve"> </w:t>
      </w:r>
    </w:p>
    <w:p w14:paraId="46EBC2FA" w14:textId="3876B956" w:rsidR="00825F70" w:rsidRPr="00BD1EF7" w:rsidRDefault="00825F70" w:rsidP="00BD1EF7">
      <w:pPr>
        <w:pStyle w:val="ListParagraph"/>
        <w:numPr>
          <w:ilvl w:val="0"/>
          <w:numId w:val="4"/>
        </w:numPr>
        <w:spacing w:before="120" w:after="120"/>
        <w:ind w:left="567" w:hanging="567"/>
        <w:contextualSpacing w:val="0"/>
        <w:jc w:val="both"/>
      </w:pPr>
      <w:bookmarkStart w:id="10" w:name="_Hlk166072571"/>
      <w:r>
        <w:t xml:space="preserve">Kako bi se potvrdila usklađenost s točkom 146. CEEAG-a, objasnite koji su prihvatljivi troškovi u okviru mjera i kako su ograničeni na troškove ulaganja izravno povezane s postizanjem više razine energetskih svojstava ili učinkovitosti u zaštiti okoliša.</w:t>
      </w:r>
    </w:p>
    <w:p w14:paraId="6BC1581D" w14:textId="39F7B22E" w:rsidR="00B64C5B" w:rsidRDefault="00B64C5B" w:rsidP="00D75B3B">
      <w:pPr>
        <w:tabs>
          <w:tab w:val="left" w:leader="dot" w:pos="9072"/>
        </w:tabs>
        <w:spacing w:before="120" w:after="120"/>
        <w:ind w:left="567"/>
        <w:jc w:val="both"/>
      </w:pPr>
      <w:r>
        <w:tab/>
      </w:r>
    </w:p>
    <w:bookmarkEnd w:id="10"/>
    <w:p w14:paraId="5164472A" w14:textId="5C4A1B7A" w:rsidR="004F277F" w:rsidRPr="00BD1EF7" w:rsidRDefault="004F277F" w:rsidP="00BD1EF7">
      <w:pPr>
        <w:pStyle w:val="ListParagraph"/>
        <w:numPr>
          <w:ilvl w:val="0"/>
          <w:numId w:val="4"/>
        </w:numPr>
        <w:spacing w:before="120" w:after="120"/>
        <w:ind w:left="567" w:hanging="567"/>
        <w:contextualSpacing w:val="0"/>
        <w:jc w:val="both"/>
      </w:pPr>
      <w:r>
        <w:t xml:space="preserve">Navedite maksimalne intenzitete potpore primjenjive u okviru mjere i navedite primjenjuju li se povećanja (kako je opisano u točkama od 147. do 150. CEEAG-a).</w:t>
      </w:r>
      <w:r>
        <w:t xml:space="preserve"> </w:t>
      </w:r>
    </w:p>
    <w:p w14:paraId="0F0AEB01" w14:textId="77777777" w:rsidR="004F277F" w:rsidRPr="00142B91" w:rsidRDefault="004F277F" w:rsidP="004F277F">
      <w:pPr>
        <w:tabs>
          <w:tab w:val="left" w:leader="dot" w:pos="9072"/>
        </w:tabs>
        <w:spacing w:before="120" w:after="120"/>
        <w:ind w:left="567"/>
        <w:jc w:val="both"/>
      </w:pPr>
      <w:r>
        <w:tab/>
      </w:r>
    </w:p>
    <w:p w14:paraId="425C8E34" w14:textId="0BAE267E" w:rsidR="00435FBA" w:rsidRPr="00BD1EF7" w:rsidRDefault="00E9061A" w:rsidP="00BD1EF7">
      <w:pPr>
        <w:pStyle w:val="ListParagraph"/>
        <w:numPr>
          <w:ilvl w:val="0"/>
          <w:numId w:val="4"/>
        </w:numPr>
        <w:spacing w:before="120" w:after="120"/>
        <w:ind w:left="567" w:hanging="567"/>
        <w:contextualSpacing w:val="0"/>
        <w:jc w:val="both"/>
      </w:pPr>
      <w:r>
        <w:t xml:space="preserve">Ako se primjenjuju, obrazložite primjenu povećanja intenziteta potpore za poboljšanja koja dovode do smanjenja potražnje za primarnom energijom za najmanje 40 % u skladu s točkom 148. CEEAG-a.</w:t>
      </w:r>
    </w:p>
    <w:p w14:paraId="73C8497D" w14:textId="77777777" w:rsidR="00435FBA" w:rsidRDefault="00435FBA" w:rsidP="00435FBA">
      <w:pPr>
        <w:tabs>
          <w:tab w:val="left" w:leader="dot" w:pos="9072"/>
        </w:tabs>
        <w:spacing w:before="120" w:after="120"/>
        <w:ind w:left="567"/>
        <w:jc w:val="both"/>
      </w:pPr>
      <w:bookmarkStart w:id="11" w:name="_Hlk165967370"/>
      <w:r>
        <w:tab/>
      </w:r>
    </w:p>
    <w:bookmarkEnd w:id="11"/>
    <w:p w14:paraId="0398EA76" w14:textId="17BACBC5" w:rsidR="00260BD3" w:rsidRPr="00F256F6" w:rsidRDefault="006C2F85" w:rsidP="002F344E">
      <w:pPr>
        <w:pStyle w:val="ListParagraph"/>
        <w:numPr>
          <w:ilvl w:val="0"/>
          <w:numId w:val="4"/>
        </w:numPr>
        <w:spacing w:before="120" w:after="120"/>
        <w:ind w:left="567" w:hanging="567"/>
        <w:contextualSpacing w:val="0"/>
        <w:jc w:val="both"/>
      </w:pPr>
      <w:r>
        <w:t xml:space="preserve">Ako se odstupajući od točaka od 147. do 150. CEEAG-a smatra da je potrebna potpora koja premašuje maksimalne intenzitete potpore utvrđene u tim točkama, navedite razinu potpore koja se smatra potrebnom i obrazložite je na temelju analize manjka financijskih sredstava u skladu s točkama 51. i 52. CEEAG-a.</w:t>
      </w:r>
    </w:p>
    <w:p w14:paraId="7FF7142F" w14:textId="0EBC2073" w:rsidR="006C2F85" w:rsidRPr="00A23A7E" w:rsidRDefault="006C2F85" w:rsidP="002F344E">
      <w:pPr>
        <w:pStyle w:val="ListParagraph"/>
        <w:spacing w:before="120" w:after="120"/>
        <w:ind w:left="567"/>
        <w:contextualSpacing w:val="0"/>
        <w:jc w:val="both"/>
      </w:pPr>
      <w:r>
        <w:t xml:space="preserve">Za potrebe te analize manjka financijskih sredstava dostavite za činjenične scenarije i realne protučinjenične scenarije</w:t>
      </w:r>
      <w:r w:rsidRPr="00F256F6">
        <w:rPr>
          <w:vertAlign w:val="superscript"/>
          <w:lang w:val="en-IE" w:eastAsia="hr-HR" w:bidi="hr-HR"/>
        </w:rPr>
        <w:footnoteReference w:id="11"/>
      </w:r>
      <w:r>
        <w:t xml:space="preserve"> utvrđene u odgovoru na pitanje 14 C), mjerenje svih glavnih troškova i prihoda, procijenjeni ponderirani prosječni trošak kapitala korisnika (ili referentnih projekata) za diskontiranje budućih novčanih tokova te neto sadašnju vrijednost za činjenični i protučinjenični scenarij tijekom provedbe projekta / referentnog projekta.</w:t>
      </w:r>
      <w:r>
        <w:t xml:space="preserve"> </w:t>
      </w:r>
    </w:p>
    <w:p w14:paraId="61E45611" w14:textId="0BF9FEF6" w:rsidR="00960E2E" w:rsidRPr="008D5ADF" w:rsidRDefault="00960E2E" w:rsidP="00C70D13">
      <w:pPr>
        <w:pStyle w:val="ListParagraph"/>
        <w:spacing w:before="120" w:after="120"/>
        <w:ind w:left="567"/>
        <w:contextualSpacing w:val="0"/>
        <w:jc w:val="both"/>
        <w:rPr>
          <w:shd w:val="clear" w:color="auto" w:fill="FFFFFF"/>
        </w:rPr>
      </w:pPr>
      <w:r>
        <w:rPr>
          <w:shd w:val="clear" w:color="auto" w:fill="FFFFFF"/>
        </w:rPr>
        <w:t xml:space="preserve">Napominjemo da za pojedinačne potpore i programe namijenjene vrlo ograničenom broju korisnika, država članica treba dostaviti popratne dokaze na razini detaljnog poslovnog plana projekta, a za programe potpore popratne dokaze na temelju jednog ili više referentnih projekata.</w:t>
      </w:r>
    </w:p>
    <w:p w14:paraId="44CE43AA" w14:textId="77777777" w:rsidR="006C2F85" w:rsidRPr="008E430F" w:rsidRDefault="006C2F85" w:rsidP="00BC0346">
      <w:pPr>
        <w:pStyle w:val="ListParagraph"/>
        <w:numPr>
          <w:ilvl w:val="0"/>
          <w:numId w:val="34"/>
        </w:numPr>
        <w:spacing w:before="120" w:after="120"/>
        <w:contextualSpacing w:val="0"/>
        <w:jc w:val="both"/>
      </w:pPr>
      <w:r>
        <w:t xml:space="preserve">Te podatke dostavite u prilogu ovom obrascu prijave (u datoteci formata Excel u kojoj su vidljive sve formule).</w:t>
      </w:r>
      <w:r>
        <w:t xml:space="preserve"> </w:t>
      </w:r>
    </w:p>
    <w:p w14:paraId="38069C83" w14:textId="77777777" w:rsidR="006C2F85" w:rsidRPr="00AC286A" w:rsidRDefault="006C2F85" w:rsidP="006C2F85">
      <w:pPr>
        <w:pStyle w:val="ListParagraph"/>
        <w:tabs>
          <w:tab w:val="left" w:leader="dot" w:pos="9072"/>
        </w:tabs>
        <w:spacing w:before="120" w:after="120"/>
        <w:ind w:left="1080"/>
        <w:jc w:val="both"/>
      </w:pPr>
      <w:r>
        <w:tab/>
      </w:r>
    </w:p>
    <w:p w14:paraId="70AF1991" w14:textId="77777777" w:rsidR="006C2F85" w:rsidRPr="00443E1F" w:rsidRDefault="006C2F85" w:rsidP="00BC0346">
      <w:pPr>
        <w:pStyle w:val="ListParagraph"/>
        <w:numPr>
          <w:ilvl w:val="0"/>
          <w:numId w:val="34"/>
        </w:numPr>
        <w:spacing w:before="120" w:after="120"/>
        <w:contextualSpacing w:val="0"/>
        <w:jc w:val="both"/>
      </w:pPr>
      <w:r>
        <w:t xml:space="preserve">Navedite detaljne podatke o pretpostavkama, metodologijama, razlozima i temeljnim izvorima koji se upotrebljavaju za svaki aspekt mjerenja troškova i prihoda u činjeničnom scenariju i vjerojatnom protučinjeničnom scenariju (npr. navedite pretpostavke upotrijebljene za utvrđivanje tih scenarija i izvor/razlog za te pretpostavke).</w:t>
      </w:r>
    </w:p>
    <w:p w14:paraId="0874B090" w14:textId="77777777" w:rsidR="006C2F85" w:rsidRPr="00AC286A" w:rsidRDefault="006C2F85" w:rsidP="006C2F85">
      <w:pPr>
        <w:tabs>
          <w:tab w:val="left" w:leader="dot" w:pos="9072"/>
        </w:tabs>
        <w:spacing w:before="120" w:after="120"/>
        <w:ind w:left="1080"/>
        <w:jc w:val="both"/>
      </w:pPr>
      <w:bookmarkStart w:id="12" w:name="_Hlk169542255"/>
      <w:r>
        <w:tab/>
      </w:r>
    </w:p>
    <w:bookmarkEnd w:id="12"/>
    <w:p w14:paraId="3CA2345A" w14:textId="628DE7EF" w:rsidR="006C2F85" w:rsidRPr="00AC286A" w:rsidRDefault="006C2F85" w:rsidP="00BC0346">
      <w:pPr>
        <w:pStyle w:val="ListParagraph"/>
        <w:numPr>
          <w:ilvl w:val="0"/>
          <w:numId w:val="34"/>
        </w:numPr>
        <w:spacing w:before="120" w:after="120"/>
        <w:contextualSpacing w:val="0"/>
        <w:jc w:val="both"/>
      </w:pPr>
      <w:r>
        <w:t xml:space="preserve">Obrascu prijave možete priložiti i dokumente navedene u bilješci 39. CEEAG-a.</w:t>
      </w:r>
      <w:r>
        <w:t xml:space="preserve"> </w:t>
      </w:r>
      <w:r>
        <w:t xml:space="preserve">Dokumenti odbora mogu biti posebno korisni za pojedinačne mjere ili programe potpore namijenjene vrlo ograničenom broju korisnika.</w:t>
      </w:r>
      <w:r>
        <w:t xml:space="preserve"> </w:t>
      </w:r>
      <w:r>
        <w:t xml:space="preserve">Ako obrascu prijave prilažete takve dokumente, u nastavku navedite popis tih dokumenata te navedite autora, datum sastavljanja i kontekst u kojem su upotrijebljeni.</w:t>
      </w:r>
    </w:p>
    <w:p w14:paraId="35BF3CC8" w14:textId="77777777" w:rsidR="006C2F85" w:rsidRPr="00E766C0" w:rsidRDefault="006C2F85" w:rsidP="006C2F85">
      <w:pPr>
        <w:tabs>
          <w:tab w:val="left" w:leader="dot" w:pos="9072"/>
        </w:tabs>
        <w:spacing w:before="120" w:after="120"/>
        <w:ind w:left="1080"/>
        <w:jc w:val="both"/>
        <w:rPr>
          <w:color w:val="000000"/>
        </w:rPr>
      </w:pPr>
      <w:r>
        <w:rPr>
          <w:color w:val="000000"/>
        </w:rPr>
        <w:tab/>
      </w:r>
    </w:p>
    <w:p w14:paraId="715D9173" w14:textId="7A703FEF" w:rsidR="00CF5A9D" w:rsidRPr="00EA5A4E" w:rsidRDefault="00CF5A9D" w:rsidP="00CF5A9D">
      <w:pPr>
        <w:pStyle w:val="ListParagraph"/>
        <w:numPr>
          <w:ilvl w:val="0"/>
          <w:numId w:val="4"/>
        </w:numPr>
        <w:spacing w:before="120" w:after="120"/>
        <w:ind w:left="567" w:hanging="567"/>
        <w:contextualSpacing w:val="0"/>
        <w:jc w:val="both"/>
      </w:pPr>
      <w:r>
        <w:t xml:space="preserve">Dokažite da primjena većeg intenziteta potpore utvrđenog kako je navedeno u pitanju 34. ne bi dovela do toga da potpora premaši manjak financijskih sredstava.</w:t>
      </w:r>
      <w:r>
        <w:t xml:space="preserve"> </w:t>
      </w:r>
    </w:p>
    <w:p w14:paraId="4D9BE9B2" w14:textId="5ECBA837" w:rsidR="00CF5A9D" w:rsidRPr="00CF5A9D" w:rsidRDefault="00CF5A9D" w:rsidP="00CF5A9D">
      <w:pPr>
        <w:tabs>
          <w:tab w:val="left" w:leader="dot" w:pos="9072"/>
        </w:tabs>
        <w:spacing w:before="120" w:after="120"/>
        <w:ind w:left="567"/>
        <w:jc w:val="both"/>
      </w:pPr>
      <w:r>
        <w:tab/>
      </w:r>
    </w:p>
    <w:p w14:paraId="22B2B3DA" w14:textId="18B4F667" w:rsidR="009A7FA6" w:rsidRDefault="009A7FA6" w:rsidP="009A7FA6">
      <w:pPr>
        <w:pStyle w:val="ListParagraph"/>
        <w:numPr>
          <w:ilvl w:val="0"/>
          <w:numId w:val="4"/>
        </w:numPr>
        <w:spacing w:before="120" w:after="120"/>
        <w:ind w:left="567" w:hanging="567"/>
        <w:contextualSpacing w:val="0"/>
        <w:jc w:val="both"/>
      </w:pPr>
      <w:r>
        <w:t xml:space="preserve">Ako se primjenjuje točka 52. CEEAG-a, tj. ako u najvjerojatnijem protučinjeničnom scenariju korisnik ne obavlja djelatnost ili ulaganje ili nastavi s poslovanjem bez promjena, dostavite dokaze u prilog toj pretpostavci</w:t>
      </w:r>
      <w:r>
        <w:rPr>
          <w:rStyle w:val="FootnoteReference"/>
          <w:lang w:val="en-IE" w:eastAsia="hr-HR" w:bidi="hr-HR"/>
        </w:rPr>
        <w:footnoteReference w:id="12"/>
      </w:r>
      <w:r>
        <w:t xml:space="preserve">.</w:t>
      </w:r>
      <w:r>
        <w:t xml:space="preserve"> </w:t>
      </w:r>
    </w:p>
    <w:p w14:paraId="3CAA7D6D" w14:textId="77777777" w:rsidR="009A7FA6" w:rsidRDefault="009A7FA6" w:rsidP="009A7FA6">
      <w:pPr>
        <w:tabs>
          <w:tab w:val="left" w:leader="dot" w:pos="9072"/>
        </w:tabs>
        <w:spacing w:before="120" w:after="120"/>
        <w:ind w:left="567"/>
        <w:jc w:val="both"/>
      </w:pPr>
      <w:bookmarkStart w:id="13" w:name="_Hlk169542394"/>
      <w:r>
        <w:tab/>
      </w:r>
    </w:p>
    <w:bookmarkEnd w:id="13"/>
    <w:p w14:paraId="5F5E911B" w14:textId="77777777" w:rsidR="00B73E30" w:rsidRPr="00BD6637" w:rsidRDefault="00B73E30" w:rsidP="00BD6637">
      <w:pPr>
        <w:pStyle w:val="ListParagraph"/>
        <w:spacing w:before="120" w:after="120"/>
        <w:ind w:left="0"/>
        <w:contextualSpacing w:val="0"/>
        <w:jc w:val="both"/>
        <w:rPr>
          <w:lang w:val="en-IE" w:eastAsia="hr-HR" w:bidi="hr-H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A595D" w:rsidRPr="00FC6878" w14:paraId="1488F97D" w14:textId="77777777" w:rsidTr="00AB0298">
        <w:tc>
          <w:tcPr>
            <w:tcW w:w="9322" w:type="dxa"/>
            <w:shd w:val="pct15" w:color="auto" w:fill="auto"/>
          </w:tcPr>
          <w:p w14:paraId="4D60C596" w14:textId="1011703D" w:rsidR="009A595D" w:rsidRPr="00FC6878" w:rsidRDefault="000D77DA" w:rsidP="000D77DA">
            <w:pPr>
              <w:pStyle w:val="Heading1"/>
              <w:ind w:left="788" w:right="-28" w:hanging="357"/>
              <w:rPr>
                <w:sz w:val="24"/>
                <w:szCs w:val="24"/>
              </w:rPr>
            </w:pPr>
            <w:r>
              <w:rPr>
                <w:sz w:val="24"/>
              </w:rPr>
              <w:t xml:space="preserve">2.1.3.2.</w:t>
            </w:r>
            <w:r>
              <w:rPr>
                <w:sz w:val="24"/>
              </w:rPr>
              <w:t xml:space="preserve"> </w:t>
            </w:r>
            <w:r>
              <w:rPr>
                <w:sz w:val="24"/>
              </w:rPr>
              <w:t xml:space="preserve">Proporcionalnost potpore koja se dodjeljuje u obliku financijskih instrumenata</w:t>
            </w:r>
          </w:p>
        </w:tc>
      </w:tr>
    </w:tbl>
    <w:p w14:paraId="24BE5936" w14:textId="12CB228A" w:rsidR="00B536D4" w:rsidRPr="00EA5A4E" w:rsidRDefault="00B536D4" w:rsidP="00986C5B">
      <w:pPr>
        <w:pStyle w:val="ListParagraph"/>
        <w:spacing w:before="120" w:after="120"/>
        <w:ind w:left="0"/>
        <w:contextualSpacing w:val="0"/>
        <w:jc w:val="both"/>
      </w:pPr>
      <w:r>
        <w:rPr>
          <w:i/>
        </w:rPr>
        <w:t xml:space="preserve">Za unos podataka u ovom odjeljku </w:t>
      </w:r>
      <w:r>
        <w:rPr>
          <w:i/>
        </w:rPr>
        <w:t xml:space="preserve">vidjeti točke 146. i 153. CEEAG-a.</w:t>
      </w:r>
    </w:p>
    <w:p w14:paraId="7FEFA203" w14:textId="77777777" w:rsidR="00986C5B" w:rsidRPr="00EA5A4E" w:rsidRDefault="00986C5B" w:rsidP="00986C5B">
      <w:pPr>
        <w:pStyle w:val="ListParagraph"/>
        <w:numPr>
          <w:ilvl w:val="0"/>
          <w:numId w:val="4"/>
        </w:numPr>
        <w:spacing w:before="120" w:after="120"/>
        <w:ind w:left="567" w:hanging="567"/>
        <w:contextualSpacing w:val="0"/>
        <w:jc w:val="both"/>
      </w:pPr>
      <w:r>
        <w:t xml:space="preserve">Kako bi se potvrdila usklađenost s točkom 146. CEEAG-a, objasnite koji su prihvatljivi troškovi u okviru mjera i kako su ograničeni na troškove ulaganja izravno povezane s postizanjem više razine energetskih svojstava ili učinkovitosti u zaštiti okoliša.</w:t>
      </w:r>
    </w:p>
    <w:p w14:paraId="0C22A1AB" w14:textId="49A2AD6B" w:rsidR="00986C5B" w:rsidRPr="00EA5A4E" w:rsidRDefault="00986C5B" w:rsidP="00986C5B">
      <w:pPr>
        <w:tabs>
          <w:tab w:val="left" w:leader="dot" w:pos="9072"/>
        </w:tabs>
        <w:spacing w:before="120" w:after="120"/>
        <w:ind w:left="567"/>
        <w:jc w:val="both"/>
      </w:pPr>
      <w:r>
        <w:tab/>
      </w:r>
    </w:p>
    <w:p w14:paraId="4B90B309" w14:textId="5182939A" w:rsidR="00CB6373" w:rsidRPr="00EA5A4E" w:rsidRDefault="00711D80" w:rsidP="000D3144">
      <w:pPr>
        <w:pStyle w:val="ListParagraph"/>
        <w:numPr>
          <w:ilvl w:val="0"/>
          <w:numId w:val="4"/>
        </w:numPr>
        <w:spacing w:before="120" w:after="120"/>
        <w:ind w:left="567" w:hanging="567"/>
        <w:contextualSpacing w:val="0"/>
        <w:jc w:val="both"/>
      </w:pPr>
      <w:r>
        <w:t xml:space="preserve">Kako bi se potvrdila usklađenost s točkom 153. CEEAG-a navedite sljedeće informacije:</w:t>
      </w:r>
    </w:p>
    <w:p w14:paraId="237638A6" w14:textId="73DDDADD" w:rsidR="00CB6373" w:rsidRPr="00EA5A4E" w:rsidRDefault="00CB6373" w:rsidP="00BC0346">
      <w:pPr>
        <w:pStyle w:val="ListParagraph"/>
        <w:numPr>
          <w:ilvl w:val="0"/>
          <w:numId w:val="27"/>
        </w:numPr>
        <w:spacing w:before="120" w:after="120"/>
        <w:contextualSpacing w:val="0"/>
        <w:jc w:val="both"/>
      </w:pPr>
      <w:r>
        <w:t xml:space="preserve">ako se potpora dodjeljuje u obliku jamstva, potvrdite da jamstvo neće premašiti 80 % temeljnog zajma i objasnite kako će se osigurati usklađenost s tim zahtjevom;</w:t>
      </w:r>
    </w:p>
    <w:p w14:paraId="45974E6C" w14:textId="4CA51FE7" w:rsidR="00914AB6" w:rsidRPr="00EA5A4E" w:rsidRDefault="000D3144" w:rsidP="000D3144">
      <w:pPr>
        <w:tabs>
          <w:tab w:val="left" w:leader="dot" w:pos="9072"/>
        </w:tabs>
        <w:spacing w:before="120" w:after="120"/>
        <w:ind w:left="1080"/>
        <w:jc w:val="both"/>
      </w:pPr>
      <w:r>
        <w:rPr>
          <w:color w:val="000000"/>
        </w:rPr>
        <w:tab/>
      </w:r>
      <w:r>
        <w:tab/>
      </w:r>
    </w:p>
    <w:p w14:paraId="417CC449" w14:textId="7ED38702" w:rsidR="00914AB6" w:rsidRPr="00EA5A4E" w:rsidRDefault="00914AB6" w:rsidP="00BC0346">
      <w:pPr>
        <w:pStyle w:val="ListParagraph"/>
        <w:numPr>
          <w:ilvl w:val="0"/>
          <w:numId w:val="27"/>
        </w:numPr>
        <w:spacing w:before="120" w:after="120"/>
        <w:ind w:left="1066" w:hanging="357"/>
        <w:contextualSpacing w:val="0"/>
        <w:jc w:val="both"/>
      </w:pPr>
      <w:r>
        <w:t xml:space="preserve">ako se potpore dodjeljuju u obliku zajma, potvrdite da vlasnici zgrade fondu za energetsku učinkovitost ili obnovljivu energiju ili drugom financijskom posredniku otplaćuju iznos koji je barem biti jednak nominalnoj vrijednosti zajma i objasnite kako će se osigurati usklađenost s tim zahtjevom.</w:t>
      </w:r>
    </w:p>
    <w:p w14:paraId="4CB69839" w14:textId="77777777" w:rsidR="00914AB6" w:rsidRPr="000D3144" w:rsidRDefault="00914AB6" w:rsidP="000D3144">
      <w:pPr>
        <w:tabs>
          <w:tab w:val="left" w:leader="dot" w:pos="9072"/>
        </w:tabs>
        <w:spacing w:before="120" w:after="120"/>
        <w:ind w:left="1080"/>
        <w:jc w:val="both"/>
        <w:rPr>
          <w:color w:val="000000"/>
        </w:rPr>
      </w:pPr>
      <w:r>
        <w:rPr>
          <w:color w:val="000000"/>
        </w:rPr>
        <w:tab/>
      </w:r>
    </w:p>
    <w:p w14:paraId="573DE6F4" w14:textId="4FF284B3" w:rsidR="005679B2" w:rsidRPr="00863406" w:rsidRDefault="005679B2" w:rsidP="005679B2">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5679B2" w:rsidRPr="00FC6878" w14:paraId="20D13A5B" w14:textId="77777777">
        <w:tc>
          <w:tcPr>
            <w:tcW w:w="9322" w:type="dxa"/>
            <w:shd w:val="pct15" w:color="auto" w:fill="auto"/>
          </w:tcPr>
          <w:p w14:paraId="7CD209DC" w14:textId="5B0DB032" w:rsidR="005679B2" w:rsidRPr="00FC6878" w:rsidRDefault="005679B2" w:rsidP="0064533D">
            <w:pPr>
              <w:pStyle w:val="Heading1"/>
              <w:ind w:left="788" w:right="-28" w:hanging="357"/>
              <w:rPr>
                <w:sz w:val="24"/>
                <w:szCs w:val="24"/>
              </w:rPr>
            </w:pPr>
            <w:r>
              <w:rPr>
                <w:sz w:val="24"/>
              </w:rPr>
              <w:t xml:space="preserve">2.1.3.3.</w:t>
            </w:r>
            <w:r>
              <w:rPr>
                <w:sz w:val="24"/>
              </w:rPr>
              <w:t xml:space="preserve"> </w:t>
            </w:r>
            <w:r>
              <w:rPr>
                <w:sz w:val="24"/>
              </w:rPr>
              <w:t xml:space="preserve">Proporcionalnost potpora dodijeljenih u okviru konkurentnog natječajnog postupka</w:t>
            </w:r>
            <w:r>
              <w:rPr>
                <w:sz w:val="24"/>
              </w:rPr>
              <w:t xml:space="preserve"> </w:t>
            </w:r>
          </w:p>
        </w:tc>
      </w:tr>
    </w:tbl>
    <w:p w14:paraId="5EF69CC9" w14:textId="34CFB392" w:rsidR="005679B2" w:rsidRPr="00441F0B" w:rsidRDefault="005679B2" w:rsidP="000D77DA">
      <w:pPr>
        <w:pStyle w:val="ListParagraph"/>
        <w:spacing w:before="120" w:after="120"/>
        <w:ind w:left="0"/>
        <w:contextualSpacing w:val="0"/>
        <w:jc w:val="both"/>
      </w:pPr>
      <w:r>
        <w:rPr>
          <w:i/>
        </w:rPr>
        <w:t xml:space="preserve">Za unos podataka u ovom odjeljku vidjeti točke 49. i 50. CEEAG-a</w:t>
      </w:r>
      <w:r>
        <w:t xml:space="preserve">.</w:t>
      </w:r>
    </w:p>
    <w:p w14:paraId="35E9A981" w14:textId="77777777" w:rsidR="005679B2" w:rsidRPr="000D77DA" w:rsidRDefault="005679B2" w:rsidP="000D77DA">
      <w:pPr>
        <w:pStyle w:val="ListParagraph"/>
        <w:numPr>
          <w:ilvl w:val="0"/>
          <w:numId w:val="4"/>
        </w:numPr>
        <w:spacing w:before="120" w:after="120"/>
        <w:ind w:left="567" w:hanging="567"/>
        <w:contextualSpacing w:val="0"/>
        <w:jc w:val="both"/>
      </w:pPr>
      <w:r>
        <w:t xml:space="preserve">Kako bi se potvrdila usklađenost s točkama 49. i 50. CEEAG-a:</w:t>
      </w:r>
    </w:p>
    <w:p w14:paraId="60189593" w14:textId="77777777" w:rsidR="005679B2" w:rsidRPr="00441F0B" w:rsidRDefault="005679B2" w:rsidP="00BC0346">
      <w:pPr>
        <w:pStyle w:val="ListParagraph"/>
        <w:numPr>
          <w:ilvl w:val="0"/>
          <w:numId w:val="35"/>
        </w:numPr>
        <w:spacing w:before="120" w:after="120"/>
        <w:contextualSpacing w:val="0"/>
        <w:jc w:val="both"/>
      </w:pPr>
      <w:r>
        <w:t xml:space="preserve">objasnite kako nadležna tijela osiguravaju da je natječajni postupak otvoren, jasan, transparentan i nediskriminirajući i da se temelji na objektivnim kriterijima definiranima </w:t>
      </w:r>
      <w:r>
        <w:rPr>
          <w:i/>
          <w:iCs/>
        </w:rPr>
        <w:t xml:space="preserve">ex ante</w:t>
      </w:r>
      <w:r>
        <w:t xml:space="preserve"> u skladu s ciljem mjere i svođenjem rizika strateškog dostavljanja ponuda na najmanju moguću mjeru (točka 49. podtočka (a) CEEAG-a);</w:t>
      </w:r>
    </w:p>
    <w:p w14:paraId="2A2F0ED5" w14:textId="77777777" w:rsidR="005679B2" w:rsidRPr="000D77DA" w:rsidRDefault="005679B2" w:rsidP="000D77DA">
      <w:pPr>
        <w:tabs>
          <w:tab w:val="left" w:leader="dot" w:pos="9072"/>
        </w:tabs>
        <w:spacing w:before="120" w:after="120"/>
        <w:ind w:left="1080"/>
        <w:jc w:val="both"/>
        <w:rPr>
          <w:color w:val="000000"/>
        </w:rPr>
      </w:pPr>
      <w:r>
        <w:rPr>
          <w:color w:val="000000"/>
        </w:rPr>
        <w:tab/>
      </w:r>
    </w:p>
    <w:p w14:paraId="6A58C077" w14:textId="268B20CC" w:rsidR="005679B2" w:rsidRPr="00050EB9" w:rsidRDefault="00653273" w:rsidP="00BC0346">
      <w:pPr>
        <w:pStyle w:val="ListParagraph"/>
        <w:numPr>
          <w:ilvl w:val="0"/>
          <w:numId w:val="35"/>
        </w:numPr>
        <w:spacing w:before="120" w:after="120"/>
        <w:contextualSpacing w:val="0"/>
        <w:jc w:val="both"/>
      </w:pPr>
      <w:r>
        <w:t xml:space="preserve">Navedite kriterije odabira koji se upotrebljavaju za rangiranje ponuda i, u konačnici, utvrđivanje razine potpore u konkurentnom natječajnom postupku.</w:t>
      </w:r>
      <w:r>
        <w:t xml:space="preserve"> </w:t>
      </w:r>
      <w:r>
        <w:t xml:space="preserve">Konkretnije:</w:t>
      </w:r>
      <w:r>
        <w:t xml:space="preserve"> </w:t>
      </w:r>
    </w:p>
    <w:p w14:paraId="69DC932F" w14:textId="77777777" w:rsidR="005679B2" w:rsidRPr="00050EB9" w:rsidRDefault="005679B2" w:rsidP="00BC0346">
      <w:pPr>
        <w:pStyle w:val="ListParagraph"/>
        <w:numPr>
          <w:ilvl w:val="1"/>
          <w:numId w:val="25"/>
        </w:numPr>
        <w:spacing w:before="120" w:after="120"/>
        <w:contextualSpacing w:val="0"/>
        <w:jc w:val="both"/>
      </w:pPr>
      <w:r>
        <w:t xml:space="preserve">navedite popis kriterija odabira i navedite koji od njih jesu/nisu izravno ili neizravno povezani s glavnim ciljevima mjera.</w:t>
      </w:r>
      <w:r>
        <w:t xml:space="preserve"> </w:t>
      </w:r>
      <w:r>
        <w:t xml:space="preserve">Navedite njihov ponder:</w:t>
      </w:r>
    </w:p>
    <w:p w14:paraId="4E0758E0" w14:textId="3A5B0A4E" w:rsidR="005679B2" w:rsidRPr="00050EB9" w:rsidRDefault="00387331" w:rsidP="00387331">
      <w:pPr>
        <w:tabs>
          <w:tab w:val="left" w:leader="dot" w:pos="9072"/>
        </w:tabs>
        <w:spacing w:before="120" w:after="120"/>
        <w:ind w:left="1701"/>
        <w:jc w:val="both"/>
      </w:pPr>
      <w:r>
        <w:tab/>
      </w:r>
      <w:r>
        <w:tab/>
      </w:r>
    </w:p>
    <w:p w14:paraId="0AE96B4F" w14:textId="77777777" w:rsidR="005679B2" w:rsidRPr="00050EB9" w:rsidRDefault="005679B2" w:rsidP="00BC0346">
      <w:pPr>
        <w:pStyle w:val="ListParagraph"/>
        <w:numPr>
          <w:ilvl w:val="1"/>
          <w:numId w:val="25"/>
        </w:numPr>
        <w:spacing w:before="120" w:after="120"/>
        <w:contextualSpacing w:val="0"/>
        <w:jc w:val="both"/>
      </w:pPr>
      <w:r>
        <w:t xml:space="preserve">objasnite kako kriteriji odabira stavljaju doprinos glavnim ciljevima mjera u izravan ili neizravan odnos s iznosom potpore koji je zatražio podnositelj zahtjeva.</w:t>
      </w:r>
      <w:r>
        <w:t xml:space="preserve"> </w:t>
      </w:r>
      <w:r>
        <w:t xml:space="preserve">To se može izraziti, na primjer, u obliku potpore po jedinici zaštite okoliša</w:t>
      </w:r>
      <w:r w:rsidRPr="00050EB9">
        <w:rPr>
          <w:rStyle w:val="FootnoteReference"/>
          <w:lang w:eastAsia="en-GB"/>
        </w:rPr>
        <w:footnoteReference w:id="13"/>
      </w:r>
      <w:r>
        <w:t xml:space="preserve"> (točka 50. i bilješka 44. CEEAG-a);</w:t>
      </w:r>
    </w:p>
    <w:p w14:paraId="37C678B0" w14:textId="77777777" w:rsidR="005679B2" w:rsidRPr="00050EB9" w:rsidRDefault="005679B2" w:rsidP="00387331">
      <w:pPr>
        <w:tabs>
          <w:tab w:val="left" w:leader="dot" w:pos="9072"/>
        </w:tabs>
        <w:spacing w:before="120" w:after="120"/>
        <w:ind w:left="1701"/>
        <w:jc w:val="both"/>
      </w:pPr>
      <w:r>
        <w:tab/>
      </w:r>
    </w:p>
    <w:p w14:paraId="5410BA40" w14:textId="2EA5197B" w:rsidR="005679B2" w:rsidRPr="00050EB9" w:rsidRDefault="005679B2" w:rsidP="00BC0346">
      <w:pPr>
        <w:pStyle w:val="ListParagraph"/>
        <w:numPr>
          <w:ilvl w:val="1"/>
          <w:numId w:val="25"/>
        </w:numPr>
        <w:spacing w:before="120" w:after="120"/>
        <w:contextualSpacing w:val="0"/>
        <w:jc w:val="both"/>
      </w:pPr>
      <w:r>
        <w:t xml:space="preserve">ako postoje drugi kriteriji odabira koji nisu izravno ili neizravno povezani s glavnim ciljevima mjera, navedite razloge za predloženi pristup i objasnite što ga čini primjerenim tim ciljevima.</w:t>
      </w:r>
      <w:r>
        <w:t xml:space="preserve"> </w:t>
      </w:r>
      <w:r>
        <w:t xml:space="preserve">Potvrdite i da ti kriteriji ne čine više od 30 % pondera svih kriterija odabira (točka 50. CEEAG-a);</w:t>
      </w:r>
    </w:p>
    <w:p w14:paraId="20C5F993" w14:textId="77777777" w:rsidR="005679B2" w:rsidRPr="00050EB9" w:rsidRDefault="005679B2" w:rsidP="00387331">
      <w:pPr>
        <w:tabs>
          <w:tab w:val="left" w:leader="dot" w:pos="9072"/>
        </w:tabs>
        <w:spacing w:before="120" w:after="120"/>
        <w:ind w:left="1701"/>
        <w:jc w:val="both"/>
      </w:pPr>
      <w:r>
        <w:tab/>
      </w:r>
    </w:p>
    <w:p w14:paraId="66044B73" w14:textId="28D21843" w:rsidR="005679B2" w:rsidRPr="00B35F1C" w:rsidRDefault="005679B2" w:rsidP="00BC0346">
      <w:pPr>
        <w:pStyle w:val="ListParagraph"/>
        <w:numPr>
          <w:ilvl w:val="1"/>
          <w:numId w:val="25"/>
        </w:numPr>
        <w:spacing w:before="120" w:after="120"/>
        <w:contextualSpacing w:val="0"/>
        <w:jc w:val="both"/>
      </w:pPr>
      <w:r>
        <w:t xml:space="preserve">o</w:t>
      </w:r>
      <w:r>
        <w:rPr>
          <w:color w:val="000000"/>
        </w:rPr>
        <w:t xml:space="preserve">bjasnite koliko će unaprijed uoči svakog konkurentnog natječajnog postupka </w:t>
      </w:r>
      <w:r>
        <w:t xml:space="preserve">(točka 49. podtočka (b) i bilješka 43. CEEAG-a) </w:t>
      </w:r>
      <w:r>
        <w:rPr>
          <w:shd w:val="clear" w:color="auto" w:fill="FFFFFF"/>
        </w:rPr>
        <w:t xml:space="preserve">biti objavljeni kriteriji odabira</w:t>
      </w:r>
      <w:r>
        <w:rPr>
          <w:shd w:val="clear" w:color="auto" w:fill="FFFFFF"/>
        </w:rPr>
        <w:t xml:space="preserve">;</w:t>
      </w:r>
    </w:p>
    <w:p w14:paraId="4DCF6CD1" w14:textId="77777777" w:rsidR="005679B2" w:rsidRPr="00B35F1C" w:rsidRDefault="005679B2" w:rsidP="00B751E1">
      <w:pPr>
        <w:tabs>
          <w:tab w:val="left" w:leader="dot" w:pos="9072"/>
        </w:tabs>
        <w:spacing w:before="120" w:after="120"/>
        <w:ind w:left="1701"/>
        <w:jc w:val="both"/>
      </w:pPr>
      <w:r>
        <w:tab/>
      </w:r>
    </w:p>
    <w:p w14:paraId="298E794D" w14:textId="3063F715" w:rsidR="005679B2" w:rsidRPr="005B7EC4" w:rsidRDefault="005679B2" w:rsidP="00BC0346">
      <w:pPr>
        <w:pStyle w:val="ListParagraph"/>
        <w:numPr>
          <w:ilvl w:val="0"/>
          <w:numId w:val="35"/>
        </w:numPr>
        <w:spacing w:before="120" w:after="120"/>
        <w:contextualSpacing w:val="0"/>
        <w:jc w:val="both"/>
      </w:pPr>
      <w:r>
        <w:t xml:space="preserve">objasnite elemente na kojima ste temeljili pretpostavku da će natječajni postupak biti otvoren i da će biti podneseno dovoljno ponuda, tj. da se može očekivati da neće svi ponuditelji primiti potporu i da je očekivani broj ponuditelja dovoljan za osiguravanje učinkovitog tržišnog natjecanja tijekom provedbe programa (točka 49. podtočka (c) CEEAG-a).</w:t>
      </w:r>
      <w:r>
        <w:t xml:space="preserve"> </w:t>
      </w:r>
      <w:r>
        <w:t xml:space="preserve">U objašnjenju uzmite u obzir proračun ili opseg programa i,</w:t>
      </w:r>
      <w:r>
        <w:t xml:space="preserve"> </w:t>
      </w:r>
      <w:r>
        <w:t xml:space="preserve">prema potrebi, navedite dokaze dostavljene kao odgovore na pitanje 14;</w:t>
      </w:r>
    </w:p>
    <w:p w14:paraId="59D03D9D"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24D8842E" w14:textId="77777777" w:rsidR="005679B2" w:rsidRPr="00B35F1C" w:rsidRDefault="005679B2" w:rsidP="00BC0346">
      <w:pPr>
        <w:pStyle w:val="ListParagraph"/>
        <w:numPr>
          <w:ilvl w:val="0"/>
          <w:numId w:val="35"/>
        </w:numPr>
        <w:spacing w:before="120" w:after="120"/>
        <w:contextualSpacing w:val="0"/>
        <w:jc w:val="both"/>
      </w:pPr>
      <w:r>
        <w:t xml:space="preserve">navedite koji je predviđeni broj krugova nadmetanja i očekivani broj ponuditelja u prvom krugu i nakon toga;</w:t>
      </w:r>
    </w:p>
    <w:p w14:paraId="2153B1E1"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22DBBE0F" w14:textId="372CE55F" w:rsidR="005679B2" w:rsidRPr="00B35F1C" w:rsidRDefault="005679B2" w:rsidP="00BC0346">
      <w:pPr>
        <w:pStyle w:val="ListParagraph"/>
        <w:numPr>
          <w:ilvl w:val="0"/>
          <w:numId w:val="35"/>
        </w:numPr>
        <w:spacing w:before="120" w:after="120"/>
        <w:contextualSpacing w:val="0"/>
        <w:jc w:val="both"/>
      </w:pPr>
      <w:r>
        <w:t xml:space="preserve">objasnite kako ćete tijekom provedbe programa ispraviti oblik natječajnih postupaka, ako na jednom ili više natječajnih postupaka bude podnesen premali broj ponuda, kako bi se ponovno uspostavilo učinkovito tržišno natjecanje i rok za to (točka 49. podtočka (c) CEEAG-a);</w:t>
      </w:r>
      <w:r>
        <w:t xml:space="preserve"> </w:t>
      </w:r>
    </w:p>
    <w:p w14:paraId="63171D90" w14:textId="77777777" w:rsidR="005679B2" w:rsidRPr="00B35F1C" w:rsidRDefault="005679B2" w:rsidP="00B751E1">
      <w:pPr>
        <w:tabs>
          <w:tab w:val="left" w:leader="dot" w:pos="9072"/>
        </w:tabs>
        <w:spacing w:before="120" w:after="120"/>
        <w:ind w:left="1080"/>
        <w:jc w:val="both"/>
      </w:pPr>
      <w:r>
        <w:rPr>
          <w:color w:val="000000"/>
        </w:rPr>
        <w:tab/>
      </w:r>
    </w:p>
    <w:p w14:paraId="08D60E88" w14:textId="77777777" w:rsidR="005679B2" w:rsidRPr="009D65D3" w:rsidRDefault="005679B2" w:rsidP="00BC0346">
      <w:pPr>
        <w:pStyle w:val="ListParagraph"/>
        <w:numPr>
          <w:ilvl w:val="0"/>
          <w:numId w:val="35"/>
        </w:numPr>
        <w:spacing w:before="120" w:after="120"/>
        <w:contextualSpacing w:val="0"/>
        <w:jc w:val="both"/>
      </w:pPr>
      <w:r>
        <w:t xml:space="preserve">Potvrdite da se izbjegavaju ex post prilagodbe ishoda natječajnog postupka (kao što su naknadni pregovori o rezultatima ponuda ili racioniranje) (točka 49. podtočka (d) CEEAG-a).</w:t>
      </w:r>
    </w:p>
    <w:p w14:paraId="16F83C7E"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4C357362" w14:textId="0A1DD5B0" w:rsidR="005679B2" w:rsidRDefault="005679B2" w:rsidP="00BC0346">
      <w:pPr>
        <w:pStyle w:val="ListParagraph"/>
        <w:numPr>
          <w:ilvl w:val="0"/>
          <w:numId w:val="35"/>
        </w:numPr>
        <w:spacing w:before="120" w:after="120"/>
        <w:contextualSpacing w:val="0"/>
        <w:jc w:val="both"/>
      </w:pPr>
      <w:r>
        <w:t xml:space="preserve">Ako postoji mogućnost „ponuda s nultim subvencijama”, objasnite kako će se osigurati proporcionalnost (vidjeti točku 49. bilješku 42. CEEAG-a).</w:t>
      </w:r>
      <w:r>
        <w:t xml:space="preserve"> </w:t>
      </w:r>
    </w:p>
    <w:p w14:paraId="399846A0"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21DA41AB" w14:textId="77777777" w:rsidR="005679B2" w:rsidRPr="009D65D3" w:rsidRDefault="005679B2" w:rsidP="00BC0346">
      <w:pPr>
        <w:pStyle w:val="ListParagraph"/>
        <w:numPr>
          <w:ilvl w:val="0"/>
          <w:numId w:val="35"/>
        </w:numPr>
        <w:spacing w:before="120" w:after="120"/>
        <w:contextualSpacing w:val="0"/>
        <w:jc w:val="both"/>
      </w:pPr>
      <w:r>
        <w:t xml:space="preserve">navedite predviđaju li nadležna tijela primjenu najnižih cijena ili gornjih granica u konkurentnom natječajnom postupku.</w:t>
      </w:r>
      <w:r>
        <w:t xml:space="preserve"> </w:t>
      </w:r>
      <w:r>
        <w:t xml:space="preserve">Ako predviđaju, obrazložite njihovu primjenu i objasnite kako se njima ne ograničava konkurentni natječajni postupak (točka 49. i bilješka 42. CEEAG-a).</w:t>
      </w:r>
      <w:r>
        <w:t xml:space="preserve"> </w:t>
      </w:r>
    </w:p>
    <w:p w14:paraId="4D15F2EB"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77B01380" w:rsidR="00B21377" w:rsidRPr="00FC6878" w:rsidRDefault="00B21377" w:rsidP="00BC0346">
            <w:pPr>
              <w:pStyle w:val="Heading1"/>
              <w:numPr>
                <w:ilvl w:val="2"/>
                <w:numId w:val="36"/>
              </w:numPr>
              <w:ind w:left="788" w:right="-28" w:hanging="357"/>
              <w:rPr>
                <w:sz w:val="24"/>
                <w:szCs w:val="24"/>
              </w:rPr>
            </w:pPr>
            <w:r>
              <w:rPr>
                <w:sz w:val="24"/>
              </w:rPr>
              <w:t xml:space="preserve">Zbrajanje</w:t>
            </w:r>
          </w:p>
        </w:tc>
      </w:tr>
    </w:tbl>
    <w:p w14:paraId="2346A85D" w14:textId="3D60C926" w:rsidR="00B21377" w:rsidRPr="002A3B51" w:rsidRDefault="00B21377" w:rsidP="00211CE3">
      <w:pPr>
        <w:pStyle w:val="ListParagraph"/>
        <w:spacing w:before="120" w:after="120"/>
        <w:ind w:left="0"/>
        <w:contextualSpacing w:val="0"/>
        <w:jc w:val="both"/>
      </w:pPr>
      <w:r>
        <w:rPr>
          <w:i/>
        </w:rPr>
        <w:t xml:space="preserve">Za unos podataka u ovom odjeljku vidjeti točke 56. i 57. CEEAG-a</w:t>
      </w:r>
      <w:r>
        <w:t xml:space="preserve">.</w:t>
      </w:r>
    </w:p>
    <w:p w14:paraId="4BD90E1E" w14:textId="77777777" w:rsidR="004345D1" w:rsidRPr="002A3B51" w:rsidRDefault="004345D1" w:rsidP="00211CE3">
      <w:pPr>
        <w:pStyle w:val="ListParagraph"/>
        <w:numPr>
          <w:ilvl w:val="0"/>
          <w:numId w:val="4"/>
        </w:numPr>
        <w:spacing w:before="120" w:after="120"/>
        <w:ind w:left="567" w:hanging="567"/>
        <w:contextualSpacing w:val="0"/>
        <w:jc w:val="both"/>
      </w:pPr>
      <w:r>
        <w:t xml:space="preserve">Ako to već niste naveli u dijelu I. općeg obrasca prijave i kako bi se potvrdila usklađenost s točkom 56. CEEAG-a, objasnite može li se potpora u okviru prijavljenih mjera dodijeliti istodobno u okviru nekoliko programa potpore ili zbrojiti s jednokratnim ili </w:t>
      </w:r>
      <w:r>
        <w:rPr>
          <w:i/>
        </w:rPr>
        <w:t xml:space="preserve">de minimis</w:t>
      </w:r>
      <w:r>
        <w:t xml:space="preserve"> potporama za iste prihvatljive troškove.</w:t>
      </w:r>
      <w:r>
        <w:t xml:space="preserve"> </w:t>
      </w:r>
      <w:r>
        <w:t xml:space="preserve">Ako može, navedite pojedinosti o tim programima potpore, jednokratnim potporama ili </w:t>
      </w:r>
      <w:r>
        <w:rPr>
          <w:i/>
        </w:rPr>
        <w:t xml:space="preserve">de minimis</w:t>
      </w:r>
      <w:r>
        <w:t xml:space="preserve"> potporama i način na koji će se potpore zbrajati.</w:t>
      </w:r>
      <w:r>
        <w:t xml:space="preserve"> </w:t>
      </w:r>
    </w:p>
    <w:p w14:paraId="60FF606D" w14:textId="77777777" w:rsidR="004345D1" w:rsidRPr="002A3B51" w:rsidRDefault="004345D1" w:rsidP="004345D1">
      <w:pPr>
        <w:tabs>
          <w:tab w:val="left" w:leader="dot" w:pos="9072"/>
        </w:tabs>
        <w:spacing w:before="120" w:after="120"/>
        <w:ind w:left="567"/>
        <w:jc w:val="both"/>
      </w:pPr>
      <w:r>
        <w:tab/>
      </w:r>
    </w:p>
    <w:p w14:paraId="40231309" w14:textId="0E087B8C" w:rsidR="004345D1" w:rsidRPr="00EE2D70" w:rsidRDefault="004345D1" w:rsidP="00211CE3">
      <w:pPr>
        <w:pStyle w:val="ListParagraph"/>
        <w:numPr>
          <w:ilvl w:val="0"/>
          <w:numId w:val="4"/>
        </w:numPr>
        <w:spacing w:before="120" w:after="120"/>
        <w:ind w:left="567" w:hanging="567"/>
        <w:contextualSpacing w:val="0"/>
        <w:jc w:val="both"/>
      </w:pPr>
      <w:r>
        <w:t xml:space="preserve">Ako se primjenjuje točka 56. CEEAG-a, obrazložite kako ukupni iznos potpore dodijeljene na temelju prijavljenih mjera za projekt ili djelatnost ne dovodi do prekomjerne naknade ili ne premašuje maksimalni iznos potpore dopušten u skladu s odjeljkom 4.2.4.2. CEEAG-a.</w:t>
      </w:r>
      <w:r>
        <w:t xml:space="preserve"> </w:t>
      </w:r>
      <w:r>
        <w:t xml:space="preserve">Za svaku mjeru s kojom se potpora dodijeljena u okviru prijavljenih mjera potpore može zbrajati, navedite metodu kojom se osigurala usklađenost s uvjetima utvrđenima u točki 56. CEEAG-a.</w:t>
      </w:r>
    </w:p>
    <w:p w14:paraId="1C9E0727" w14:textId="77777777" w:rsidR="004345D1" w:rsidRPr="00EE2D70" w:rsidRDefault="004345D1" w:rsidP="004345D1">
      <w:pPr>
        <w:tabs>
          <w:tab w:val="left" w:leader="dot" w:pos="9072"/>
        </w:tabs>
        <w:spacing w:before="120" w:after="120"/>
        <w:ind w:left="567"/>
        <w:jc w:val="both"/>
      </w:pPr>
      <w:r>
        <w:tab/>
      </w:r>
    </w:p>
    <w:p w14:paraId="7585368F" w14:textId="77777777" w:rsidR="004345D1" w:rsidRPr="00EE2D70" w:rsidRDefault="004345D1" w:rsidP="00211CE3">
      <w:pPr>
        <w:pStyle w:val="ListParagraph"/>
        <w:numPr>
          <w:ilvl w:val="0"/>
          <w:numId w:val="4"/>
        </w:numPr>
        <w:spacing w:before="120" w:after="120"/>
        <w:ind w:left="567" w:hanging="567"/>
        <w:contextualSpacing w:val="0"/>
        <w:jc w:val="both"/>
      </w:pPr>
      <w:r>
        <w:t xml:space="preserve">Ako se primjenjuje točka 57. CEEAG-a, tj. potpora dodijeljena u okviru prijavljenih mjera kombinira se s financijskim sredstvima Unije kojima se centralizirano upravlja</w:t>
      </w:r>
      <w:r>
        <w:rPr>
          <w:rStyle w:val="FootnoteReference"/>
          <w:lang w:eastAsia="en-GB"/>
        </w:rPr>
        <w:footnoteReference w:id="14"/>
      </w:r>
      <w:r>
        <w:t xml:space="preserve"> (koja ne čine državnu potporu), obrazložite kako </w:t>
      </w:r>
      <w:r>
        <w:rPr>
          <w:shd w:val="clear" w:color="auto" w:fill="FFFFFF"/>
        </w:rPr>
        <w:t xml:space="preserve">ukupni iznos dodijeljenih javnih sredstava u odnosu na iste prihvatljive troškove ne dovodi do prekomjerne naknade.</w:t>
      </w:r>
      <w:r>
        <w:t xml:space="preserve"> </w:t>
      </w:r>
    </w:p>
    <w:p w14:paraId="1739D1B0" w14:textId="3ED99BC6" w:rsidR="0001211F" w:rsidRDefault="004345D1" w:rsidP="0078387C">
      <w:pPr>
        <w:tabs>
          <w:tab w:val="left" w:leader="dot" w:pos="9072"/>
        </w:tabs>
        <w:spacing w:before="120" w:after="120"/>
        <w:ind w:left="567"/>
        <w:jc w:val="both"/>
      </w:pPr>
      <w:r>
        <w:tab/>
      </w:r>
      <w:r>
        <w:t xml:space="preserve"> </w:t>
      </w:r>
    </w:p>
    <w:p w14:paraId="0530B14F" w14:textId="77777777" w:rsidR="00A8335C" w:rsidRPr="00EE2D70" w:rsidRDefault="00A8335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070D3230" w:rsidR="006773CE" w:rsidRPr="00863406" w:rsidRDefault="000B64EA" w:rsidP="0030792B">
            <w:pPr>
              <w:pStyle w:val="Heading1"/>
              <w:ind w:left="788" w:right="-28" w:hanging="357"/>
              <w:rPr>
                <w:color w:val="000000"/>
                <w:sz w:val="24"/>
                <w:szCs w:val="24"/>
              </w:rPr>
            </w:pPr>
            <w:r>
              <w:rPr>
                <w:sz w:val="24"/>
              </w:rPr>
              <w:t xml:space="preserve">2.1.5.</w:t>
            </w:r>
            <w:r>
              <w:rPr>
                <w:sz w:val="24"/>
              </w:rPr>
              <w:t xml:space="preserve"> </w:t>
            </w:r>
            <w:r>
              <w:rPr>
                <w:sz w:val="24"/>
              </w:rPr>
              <w:t xml:space="preserve">Transparentnost</w:t>
            </w:r>
          </w:p>
        </w:tc>
      </w:tr>
    </w:tbl>
    <w:p w14:paraId="07229A8F" w14:textId="028CA7B4" w:rsidR="006773CE" w:rsidRPr="007C0A44" w:rsidRDefault="006773CE" w:rsidP="00707E7C">
      <w:pPr>
        <w:spacing w:before="120" w:after="120"/>
        <w:jc w:val="both"/>
        <w:rPr>
          <w:i/>
        </w:rPr>
      </w:pPr>
      <w:r>
        <w:rPr>
          <w:i/>
        </w:rPr>
        <w:t xml:space="preserve">Za unos podataka u ovom odjeljku vidjeti odjeljak 3.2.1.4. (točke od 58. do 62.) CEEAG-a.</w:t>
      </w:r>
      <w:r>
        <w:rPr>
          <w:i/>
        </w:rPr>
        <w:t xml:space="preserve"> </w:t>
      </w:r>
    </w:p>
    <w:p w14:paraId="5BEF3648" w14:textId="77777777" w:rsidR="00573A4B" w:rsidRPr="0000648C" w:rsidRDefault="00573A4B" w:rsidP="0038016C">
      <w:pPr>
        <w:pStyle w:val="ListParagraph"/>
        <w:numPr>
          <w:ilvl w:val="0"/>
          <w:numId w:val="4"/>
        </w:numPr>
        <w:spacing w:before="120" w:after="120"/>
        <w:ind w:left="567" w:hanging="567"/>
        <w:contextualSpacing w:val="0"/>
        <w:jc w:val="both"/>
        <w:rPr>
          <w:szCs w:val="24"/>
          <w:rFonts w:eastAsia="Times New Roman"/>
        </w:rPr>
      </w:pPr>
      <w:r>
        <w:t xml:space="preserve">Potvrdite da će država članica ispuniti zahtjeve transparentnosti iz točaka od 58. do 61. CEEAG-a.</w:t>
      </w:r>
      <w:r>
        <w:t xml:space="preserve"> </w:t>
      </w:r>
    </w:p>
    <w:p w14:paraId="0302618B" w14:textId="77777777" w:rsidR="00573A4B" w:rsidRPr="00AB745F" w:rsidRDefault="00573A4B" w:rsidP="00573A4B">
      <w:pPr>
        <w:tabs>
          <w:tab w:val="left" w:leader="dot" w:pos="9072"/>
        </w:tabs>
        <w:spacing w:before="120" w:after="120"/>
        <w:ind w:left="567"/>
        <w:jc w:val="both"/>
      </w:pPr>
      <w:r>
        <w:tab/>
      </w:r>
    </w:p>
    <w:p w14:paraId="0D64CEDE" w14:textId="03627102" w:rsidR="00573A4B" w:rsidRPr="00AB745F" w:rsidRDefault="00573A4B" w:rsidP="0038016C">
      <w:pPr>
        <w:pStyle w:val="ListParagraph"/>
        <w:numPr>
          <w:ilvl w:val="0"/>
          <w:numId w:val="4"/>
        </w:numPr>
        <w:spacing w:before="120" w:after="120"/>
        <w:ind w:left="567" w:hanging="567"/>
        <w:contextualSpacing w:val="0"/>
        <w:jc w:val="both"/>
      </w:pPr>
      <w:r>
        <w:t xml:space="preserve">Navedite poveznicu na internetske stranice na kojima će biti objavljen cjeloviti tekst odobrenog programa potpore ili odluke o dodjeli pojedinačne potpore i njezinih provedbenih odredbi ili informacije o svakoj pojedinačnoj potpori dodijeljenoj jednokratno ili u okviru programa potpora odobrenog na temelju CEEAG-a i koja premašuje 100 000 EUR.</w:t>
      </w:r>
      <w:r>
        <w:t xml:space="preserve"> </w:t>
      </w:r>
    </w:p>
    <w:p w14:paraId="14FE0B14" w14:textId="232D975F" w:rsidR="007C0A44" w:rsidRDefault="00573A4B" w:rsidP="0038016C">
      <w:pPr>
        <w:tabs>
          <w:tab w:val="left" w:leader="dot" w:pos="9072"/>
        </w:tabs>
        <w:spacing w:before="120" w:after="120"/>
        <w:ind w:left="567"/>
        <w:jc w:val="both"/>
      </w:pPr>
      <w:r>
        <w:tab/>
      </w:r>
    </w:p>
    <w:p w14:paraId="641AF950" w14:textId="77777777" w:rsidR="0038016C" w:rsidRPr="0038016C" w:rsidRDefault="0038016C" w:rsidP="0038016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8D37F9" w:rsidRPr="00164ADE" w14:paraId="3CD6496D" w14:textId="77777777">
        <w:tc>
          <w:tcPr>
            <w:tcW w:w="9322" w:type="dxa"/>
            <w:shd w:val="clear" w:color="auto" w:fill="D9D9D9"/>
          </w:tcPr>
          <w:p w14:paraId="6D3C4956" w14:textId="443DDD78" w:rsidR="008D37F9" w:rsidRPr="00164ADE" w:rsidRDefault="000B64EA" w:rsidP="0038016C">
            <w:pPr>
              <w:pStyle w:val="Heading1"/>
              <w:ind w:left="788" w:right="-28" w:hanging="357"/>
              <w:rPr>
                <w:i/>
                <w:iCs/>
                <w:color w:val="000000"/>
                <w:sz w:val="28"/>
                <w:szCs w:val="28"/>
              </w:rPr>
            </w:pPr>
            <w:r>
              <w:rPr>
                <w:i/>
                <w:color w:val="000000"/>
                <w:sz w:val="28"/>
              </w:rPr>
              <w:t xml:space="preserve">2.2.</w:t>
            </w:r>
            <w:r>
              <w:rPr>
                <w:i/>
                <w:color w:val="000000"/>
                <w:sz w:val="28"/>
              </w:rPr>
              <w:t xml:space="preserve"> </w:t>
            </w:r>
            <w:r>
              <w:rPr>
                <w:i/>
                <w:color w:val="000000"/>
                <w:sz w:val="28"/>
              </w:rPr>
              <w:t xml:space="preserve">Izbjegavanje nepotrebnih negativnih učinaka na tržišno natjecanje i trgovinu te uravnoteženje</w:t>
            </w:r>
          </w:p>
        </w:tc>
      </w:tr>
    </w:tbl>
    <w:p w14:paraId="6CD3884F" w14:textId="56A9CDD5" w:rsidR="00F83660" w:rsidRPr="00B215FD" w:rsidRDefault="00F83660" w:rsidP="0038016C">
      <w:pPr>
        <w:spacing w:before="120" w:after="120"/>
        <w:jc w:val="both"/>
        <w:rPr>
          <w:i/>
        </w:rPr>
      </w:pPr>
      <w:r>
        <w:rPr>
          <w:i/>
        </w:rPr>
        <w:t xml:space="preserve">Za unos podataka u ovom odjeljku vidjeti odjeljak 3.2.2. (točke od 63. do 70.) i odjeljak 4.2.4.3. (točke od 154. do 157.) CEEAG-a.</w:t>
      </w:r>
      <w:r>
        <w:rPr>
          <w:i/>
        </w:rPr>
        <w:t xml:space="preserve"> </w:t>
      </w:r>
    </w:p>
    <w:p w14:paraId="0A211E3D" w14:textId="3FE6DAAA" w:rsidR="00F83660" w:rsidRPr="00B215FD" w:rsidRDefault="00F83660" w:rsidP="0038016C">
      <w:pPr>
        <w:pStyle w:val="ListParagraph"/>
        <w:numPr>
          <w:ilvl w:val="0"/>
          <w:numId w:val="4"/>
        </w:numPr>
        <w:spacing w:before="120" w:after="120"/>
        <w:ind w:left="567" w:hanging="567"/>
        <w:contextualSpacing w:val="0"/>
        <w:jc w:val="both"/>
      </w:pPr>
      <w:r>
        <w:t xml:space="preserve">Kako bi se potvrdila usklađenost s točkom 67. CEEAG-a, dostavite podatke o mogućim kratkoročnim i dugoročnim negativnim učincima prijavljenih mjera na tržišno natjecanje i trgovinu.</w:t>
      </w:r>
      <w:r>
        <w:t xml:space="preserve"> </w:t>
      </w:r>
    </w:p>
    <w:p w14:paraId="3391AE0D" w14:textId="77777777" w:rsidR="00F83660" w:rsidRPr="00B215FD" w:rsidRDefault="00F83660" w:rsidP="00F83660">
      <w:pPr>
        <w:tabs>
          <w:tab w:val="left" w:leader="dot" w:pos="9072"/>
        </w:tabs>
        <w:spacing w:before="120" w:after="120"/>
        <w:ind w:left="567"/>
        <w:jc w:val="both"/>
      </w:pPr>
      <w:r>
        <w:tab/>
      </w:r>
    </w:p>
    <w:p w14:paraId="562AD860" w14:textId="77777777" w:rsidR="00BC72E3" w:rsidRPr="00E752D3" w:rsidRDefault="00BC72E3" w:rsidP="00FF0CD0">
      <w:pPr>
        <w:pStyle w:val="ListParagraph"/>
        <w:numPr>
          <w:ilvl w:val="0"/>
          <w:numId w:val="4"/>
        </w:numPr>
        <w:spacing w:before="120" w:after="120"/>
        <w:ind w:left="567" w:hanging="567"/>
        <w:contextualSpacing w:val="0"/>
        <w:jc w:val="both"/>
      </w:pPr>
      <w:r>
        <w:t xml:space="preserve">Objasnite vrijedi li za mjeru neka od sljedećih situacija:</w:t>
      </w:r>
      <w:r>
        <w:t xml:space="preserve"> </w:t>
      </w:r>
    </w:p>
    <w:p w14:paraId="44BBD0E3" w14:textId="77777777" w:rsidR="00BC72E3" w:rsidRPr="00E752D3" w:rsidRDefault="00BC72E3" w:rsidP="00BC0346">
      <w:pPr>
        <w:pStyle w:val="ListParagraph"/>
        <w:numPr>
          <w:ilvl w:val="0"/>
          <w:numId w:val="37"/>
        </w:numPr>
        <w:spacing w:before="120" w:after="120"/>
        <w:contextualSpacing w:val="0"/>
        <w:jc w:val="both"/>
      </w:pPr>
      <w:r>
        <w:t xml:space="preserve">odnosi se na tržište (ili tržišta) na kojem su pozicionirani poduzetnici stekli tržišnu snagu prije liberalizacije tržišta;</w:t>
      </w:r>
    </w:p>
    <w:p w14:paraId="74497186" w14:textId="77777777" w:rsidR="00BC72E3" w:rsidRPr="00E752D3" w:rsidRDefault="00BC72E3" w:rsidP="00722DE1">
      <w:pPr>
        <w:tabs>
          <w:tab w:val="left" w:leader="dot" w:pos="9072"/>
        </w:tabs>
        <w:spacing w:before="120" w:after="120"/>
        <w:ind w:left="1080"/>
        <w:jc w:val="both"/>
        <w:rPr>
          <w:color w:val="000000"/>
        </w:rPr>
      </w:pPr>
      <w:r>
        <w:rPr>
          <w:color w:val="000000"/>
        </w:rPr>
        <w:tab/>
      </w:r>
    </w:p>
    <w:p w14:paraId="40951272" w14:textId="4BD2AAF2" w:rsidR="00BC72E3" w:rsidRPr="00E752D3" w:rsidRDefault="00BC72E3" w:rsidP="00BC0346">
      <w:pPr>
        <w:pStyle w:val="ListParagraph"/>
        <w:numPr>
          <w:ilvl w:val="0"/>
          <w:numId w:val="37"/>
        </w:numPr>
        <w:spacing w:before="120" w:after="120"/>
        <w:contextualSpacing w:val="0"/>
        <w:jc w:val="both"/>
      </w:pPr>
      <w:r>
        <w:t xml:space="preserve">uključuje konkurentne natječajne postupke na tržištima u nastajanju kad postoji sudionik s čvrstim položajem na tržištu;</w:t>
      </w:r>
    </w:p>
    <w:p w14:paraId="31F1877E" w14:textId="77777777" w:rsidR="00BC72E3" w:rsidRPr="00E752D3" w:rsidRDefault="00BC72E3" w:rsidP="00722DE1">
      <w:pPr>
        <w:tabs>
          <w:tab w:val="left" w:leader="dot" w:pos="9072"/>
        </w:tabs>
        <w:spacing w:before="120" w:after="120"/>
        <w:ind w:left="1080"/>
        <w:jc w:val="both"/>
        <w:rPr>
          <w:color w:val="000000"/>
        </w:rPr>
      </w:pPr>
      <w:r>
        <w:rPr>
          <w:color w:val="000000"/>
        </w:rPr>
        <w:tab/>
      </w:r>
    </w:p>
    <w:p w14:paraId="19E7ABB7" w14:textId="77777777" w:rsidR="00BC72E3" w:rsidRPr="00E752D3" w:rsidRDefault="00BC72E3" w:rsidP="00BC0346">
      <w:pPr>
        <w:pStyle w:val="ListParagraph"/>
        <w:numPr>
          <w:ilvl w:val="0"/>
          <w:numId w:val="37"/>
        </w:numPr>
        <w:spacing w:before="120" w:after="120"/>
        <w:contextualSpacing w:val="0"/>
        <w:jc w:val="both"/>
      </w:pPr>
      <w:r>
        <w:t xml:space="preserve">koristit će je samo jedan korisnik ili vrlo ograničen broj korisnika.</w:t>
      </w:r>
    </w:p>
    <w:p w14:paraId="43B690C3" w14:textId="08AA7AC9" w:rsidR="009212E9" w:rsidRDefault="00BC72E3" w:rsidP="009212E9">
      <w:pPr>
        <w:pStyle w:val="ListParagraph"/>
        <w:numPr>
          <w:ilvl w:val="0"/>
          <w:numId w:val="4"/>
        </w:numPr>
        <w:spacing w:before="120" w:after="120"/>
        <w:ind w:left="567" w:hanging="567"/>
        <w:contextualSpacing w:val="0"/>
        <w:jc w:val="both"/>
      </w:pPr>
      <w:r>
        <w:t xml:space="preserve">Ako se mjerom potpore financira određeni tehnološki odabir/smjer, obrazložite taj tehnološki odabir i dokažite da neće odvratiti od uvođenja čišćih tehnologija.</w:t>
      </w:r>
      <w:r>
        <w:t xml:space="preserve"> </w:t>
      </w:r>
    </w:p>
    <w:p w14:paraId="425A096A" w14:textId="0168E344" w:rsidR="009212E9" w:rsidRPr="00E752D3" w:rsidRDefault="009212E9" w:rsidP="009212E9">
      <w:pPr>
        <w:tabs>
          <w:tab w:val="left" w:leader="dot" w:pos="9072"/>
        </w:tabs>
        <w:spacing w:before="120" w:after="120"/>
        <w:ind w:left="567"/>
        <w:jc w:val="both"/>
      </w:pPr>
      <w:r>
        <w:tab/>
      </w:r>
    </w:p>
    <w:p w14:paraId="76CF02C9" w14:textId="325EEDC9" w:rsidR="00F83660" w:rsidRPr="00B215FD" w:rsidRDefault="00BD4D89" w:rsidP="00722DE1">
      <w:pPr>
        <w:pStyle w:val="ListParagraph"/>
        <w:numPr>
          <w:ilvl w:val="0"/>
          <w:numId w:val="4"/>
        </w:numPr>
        <w:spacing w:before="120" w:after="120"/>
        <w:ind w:left="567" w:hanging="567"/>
        <w:contextualSpacing w:val="0"/>
        <w:jc w:val="both"/>
      </w:pPr>
      <w:r>
        <w:t xml:space="preserve">Ako su prijavljene mjere namijenjene samo jednom korisniku ili vrlo ograničenom broju korisnika, kako bi se provjerila usklađenost s točkom 68. CEEAG-a:</w:t>
      </w:r>
    </w:p>
    <w:p w14:paraId="4E1C5F60" w14:textId="2612C1BB" w:rsidR="006B1971" w:rsidRPr="00722DE1" w:rsidRDefault="00722DE1" w:rsidP="00BC0346">
      <w:pPr>
        <w:pStyle w:val="ListParagraph"/>
        <w:numPr>
          <w:ilvl w:val="0"/>
          <w:numId w:val="38"/>
        </w:numPr>
        <w:spacing w:before="120" w:after="120"/>
        <w:contextualSpacing w:val="0"/>
        <w:jc w:val="both"/>
      </w:pPr>
      <w:r>
        <w:t xml:space="preserve">objasnite jačaju li ili održavaju prijavljene mjere tržišnu snagu korisnika ili odvraćaju postojeće konkurente od širenja ili potiču njihov izlazak s tržišta ili odvraćaju nove konkurente od ulaska na tržište.</w:t>
      </w:r>
      <w:r>
        <w:t xml:space="preserve"> </w:t>
      </w:r>
      <w:r>
        <w:t xml:space="preserve">U tom smislu objasnite i hoće li mjera potpore dovesti do povećanja proizvodnog kapaciteta korisnika;</w:t>
      </w:r>
    </w:p>
    <w:p w14:paraId="3183C9D5" w14:textId="77777777" w:rsidR="006B1971" w:rsidRPr="00722DE1" w:rsidRDefault="006B1971" w:rsidP="00722DE1">
      <w:pPr>
        <w:tabs>
          <w:tab w:val="left" w:leader="dot" w:pos="9072"/>
        </w:tabs>
        <w:spacing w:before="120" w:after="120"/>
        <w:ind w:left="1080"/>
        <w:jc w:val="both"/>
        <w:rPr>
          <w:color w:val="000000"/>
        </w:rPr>
      </w:pPr>
      <w:r>
        <w:rPr>
          <w:color w:val="000000"/>
        </w:rPr>
        <w:tab/>
      </w:r>
    </w:p>
    <w:p w14:paraId="27E2AFB2" w14:textId="77777777" w:rsidR="006B1971" w:rsidRPr="00B215FD" w:rsidRDefault="006B1971" w:rsidP="00BC0346">
      <w:pPr>
        <w:pStyle w:val="ListParagraph"/>
        <w:numPr>
          <w:ilvl w:val="0"/>
          <w:numId w:val="38"/>
        </w:numPr>
        <w:spacing w:before="120" w:after="120"/>
        <w:contextualSpacing w:val="0"/>
        <w:jc w:val="both"/>
      </w:pPr>
      <w:r>
        <w:t xml:space="preserve">opišite mjere uspostavljene kako bi se ograničilo moguće narušavanje tržišnog natjecanja uzrokovano dodjelom potpore korisnicima.</w:t>
      </w:r>
      <w:r>
        <w:t xml:space="preserve"> </w:t>
      </w:r>
    </w:p>
    <w:p w14:paraId="3E7B05CC" w14:textId="77777777" w:rsidR="006B1971" w:rsidRPr="00722DE1" w:rsidRDefault="006B1971" w:rsidP="00722DE1">
      <w:pPr>
        <w:tabs>
          <w:tab w:val="left" w:leader="dot" w:pos="9072"/>
        </w:tabs>
        <w:spacing w:before="120" w:after="120"/>
        <w:ind w:left="1080"/>
        <w:jc w:val="both"/>
        <w:rPr>
          <w:color w:val="000000"/>
        </w:rPr>
      </w:pPr>
      <w:r>
        <w:rPr>
          <w:color w:val="000000"/>
        </w:rPr>
        <w:tab/>
      </w:r>
    </w:p>
    <w:p w14:paraId="7EA03E9A" w14:textId="76EB4487" w:rsidR="00F83660" w:rsidRPr="009E0FCA" w:rsidRDefault="00F83660" w:rsidP="00722DE1">
      <w:pPr>
        <w:pStyle w:val="ListParagraph"/>
        <w:numPr>
          <w:ilvl w:val="0"/>
          <w:numId w:val="4"/>
        </w:numPr>
        <w:spacing w:before="120" w:after="120"/>
        <w:ind w:left="567" w:hanging="567"/>
        <w:contextualSpacing w:val="0"/>
        <w:jc w:val="both"/>
      </w:pPr>
      <w:r>
        <w:t xml:space="preserve">Kako bi se potvrdila usklađenost s točkom 69. CEEAG-a, objasnite:</w:t>
      </w:r>
    </w:p>
    <w:p w14:paraId="55298360" w14:textId="77777777" w:rsidR="00E62DD7" w:rsidRDefault="00E62DD7" w:rsidP="00BC0346">
      <w:pPr>
        <w:pStyle w:val="ListParagraph"/>
        <w:numPr>
          <w:ilvl w:val="0"/>
          <w:numId w:val="39"/>
        </w:numPr>
        <w:spacing w:before="120" w:after="120"/>
        <w:contextualSpacing w:val="0"/>
        <w:jc w:val="both"/>
      </w:pPr>
      <w:r>
        <w:t xml:space="preserve">je li cilj potpore dodijeljene u okviru prijavljenih mjera očuvanje gospodarske djelatnosti u jednoj regiji ili njezino odvlačenje iz drugih regija na unutarnjem tržištu;</w:t>
      </w:r>
      <w:r>
        <w:t xml:space="preserve"> </w:t>
      </w:r>
    </w:p>
    <w:p w14:paraId="34A1D43D" w14:textId="77777777" w:rsidR="00E62DD7" w:rsidRPr="00722DE1" w:rsidRDefault="00E62DD7" w:rsidP="00722DE1">
      <w:pPr>
        <w:tabs>
          <w:tab w:val="left" w:leader="dot" w:pos="9072"/>
        </w:tabs>
        <w:spacing w:before="120" w:after="120"/>
        <w:ind w:left="1080"/>
        <w:jc w:val="both"/>
        <w:rPr>
          <w:color w:val="000000"/>
        </w:rPr>
      </w:pPr>
      <w:r>
        <w:rPr>
          <w:color w:val="000000"/>
        </w:rPr>
        <w:tab/>
      </w:r>
    </w:p>
    <w:p w14:paraId="3F58043F" w14:textId="6F5F5D14" w:rsidR="00E62DD7" w:rsidRPr="009E0FCA" w:rsidRDefault="00E62DD7" w:rsidP="00BC0346">
      <w:pPr>
        <w:pStyle w:val="ListParagraph"/>
        <w:numPr>
          <w:ilvl w:val="0"/>
          <w:numId w:val="39"/>
        </w:numPr>
        <w:spacing w:before="120" w:after="120"/>
        <w:contextualSpacing w:val="0"/>
        <w:jc w:val="both"/>
      </w:pPr>
      <w:r>
        <w:t xml:space="preserve">ako jest, navedite koji je neto učinak na okoliš prijavljenih mjera i kako se prijavljenim mjerama poboljšava postojeća razina zaštite okoliša u državama članicama;</w:t>
      </w:r>
    </w:p>
    <w:p w14:paraId="2EA7C7CB" w14:textId="77777777" w:rsidR="00E62DD7" w:rsidRPr="00722DE1" w:rsidRDefault="00E62DD7" w:rsidP="00722DE1">
      <w:pPr>
        <w:tabs>
          <w:tab w:val="left" w:leader="dot" w:pos="9072"/>
        </w:tabs>
        <w:spacing w:before="120" w:after="120"/>
        <w:ind w:left="1080"/>
        <w:jc w:val="both"/>
        <w:rPr>
          <w:color w:val="000000"/>
        </w:rPr>
      </w:pPr>
      <w:r>
        <w:rPr>
          <w:color w:val="000000"/>
        </w:rPr>
        <w:tab/>
      </w:r>
    </w:p>
    <w:p w14:paraId="75A88797" w14:textId="77777777" w:rsidR="00E62DD7" w:rsidRPr="001D7B55" w:rsidRDefault="00E62DD7" w:rsidP="00BC0346">
      <w:pPr>
        <w:pStyle w:val="ListParagraph"/>
        <w:numPr>
          <w:ilvl w:val="0"/>
          <w:numId w:val="39"/>
        </w:numPr>
        <w:spacing w:before="120" w:after="120"/>
        <w:contextualSpacing w:val="0"/>
        <w:jc w:val="both"/>
      </w:pPr>
      <w:r>
        <w:t xml:space="preserve">zašto potpora dodijeljena u okviru prijavljenih mjera nema očite negativne učinke na tržišno natjecanje i trgovinu;</w:t>
      </w:r>
      <w:r>
        <w:t xml:space="preserve"> </w:t>
      </w:r>
    </w:p>
    <w:p w14:paraId="5D66ABAF" w14:textId="77777777" w:rsidR="00E62DD7" w:rsidRPr="00722DE1" w:rsidRDefault="00E62DD7" w:rsidP="00722DE1">
      <w:pPr>
        <w:tabs>
          <w:tab w:val="left" w:leader="dot" w:pos="9072"/>
        </w:tabs>
        <w:spacing w:before="120" w:after="120"/>
        <w:ind w:left="1080"/>
        <w:jc w:val="both"/>
        <w:rPr>
          <w:color w:val="000000"/>
        </w:rPr>
      </w:pPr>
      <w:r>
        <w:rPr>
          <w:color w:val="000000"/>
        </w:rPr>
        <w:tab/>
      </w:r>
    </w:p>
    <w:p w14:paraId="46D52DEB" w14:textId="77777777" w:rsidR="00E62DD7" w:rsidRPr="00E752D3" w:rsidRDefault="00E62DD7" w:rsidP="00BC0346">
      <w:pPr>
        <w:pStyle w:val="ListParagraph"/>
        <w:numPr>
          <w:ilvl w:val="0"/>
          <w:numId w:val="39"/>
        </w:numPr>
        <w:spacing w:before="120" w:after="120"/>
        <w:contextualSpacing w:val="0"/>
        <w:jc w:val="both"/>
      </w:pPr>
      <w:r>
        <w:t xml:space="preserve">kad je riječ o pojedinačnoj potpori, glavne razloge zbog kojih je korisnik odabrao određenu lokaciju za ulaganja.</w:t>
      </w:r>
    </w:p>
    <w:p w14:paraId="2310FA4D" w14:textId="77777777" w:rsidR="00F83660" w:rsidRPr="00722DE1" w:rsidRDefault="00F83660" w:rsidP="00722DE1">
      <w:pPr>
        <w:tabs>
          <w:tab w:val="left" w:leader="dot" w:pos="9072"/>
        </w:tabs>
        <w:spacing w:before="120" w:after="120"/>
        <w:ind w:left="1080"/>
        <w:jc w:val="both"/>
        <w:rPr>
          <w:color w:val="000000"/>
        </w:rPr>
      </w:pPr>
      <w:r>
        <w:rPr>
          <w:color w:val="000000"/>
        </w:rPr>
        <w:tab/>
      </w:r>
    </w:p>
    <w:p w14:paraId="5D5F17EA" w14:textId="77777777" w:rsidR="00F83660" w:rsidRPr="001D7B55" w:rsidRDefault="00F83660" w:rsidP="00722DE1">
      <w:pPr>
        <w:pStyle w:val="ListParagraph"/>
        <w:numPr>
          <w:ilvl w:val="0"/>
          <w:numId w:val="4"/>
        </w:numPr>
        <w:spacing w:before="120" w:after="120"/>
        <w:ind w:left="567" w:hanging="567"/>
        <w:contextualSpacing w:val="0"/>
        <w:jc w:val="both"/>
      </w:pPr>
      <w:r>
        <w:t xml:space="preserve">Kako bi se potvrdila usklađenost s točkom 70. CEEAG-a:</w:t>
      </w:r>
    </w:p>
    <w:p w14:paraId="70793CBE" w14:textId="77777777" w:rsidR="00F563A2" w:rsidRPr="00AC286A" w:rsidRDefault="00F563A2" w:rsidP="00BC0346">
      <w:pPr>
        <w:pStyle w:val="ListParagraph"/>
        <w:numPr>
          <w:ilvl w:val="0"/>
          <w:numId w:val="40"/>
        </w:numPr>
        <w:spacing w:before="120" w:after="120"/>
        <w:contextualSpacing w:val="0"/>
        <w:jc w:val="both"/>
      </w:pPr>
      <w:r>
        <w:t xml:space="preserve">potvrdite da se potpora može dodijeliti u okviru prijavljenog programa na razdoblje od najviše 10 godina od datuma objave odluke Komisije kojom se državna potpora proglašava spojivom;</w:t>
      </w:r>
      <w:r>
        <w:t xml:space="preserve">  </w:t>
      </w:r>
    </w:p>
    <w:p w14:paraId="761C2FF1" w14:textId="77777777" w:rsidR="00F563A2" w:rsidRPr="00722DE1" w:rsidRDefault="00F563A2" w:rsidP="00722DE1">
      <w:pPr>
        <w:tabs>
          <w:tab w:val="left" w:leader="dot" w:pos="9072"/>
        </w:tabs>
        <w:spacing w:before="120" w:after="120"/>
        <w:ind w:left="1080"/>
        <w:jc w:val="both"/>
        <w:rPr>
          <w:color w:val="000000"/>
        </w:rPr>
      </w:pPr>
      <w:r>
        <w:rPr>
          <w:color w:val="000000"/>
        </w:rPr>
        <w:tab/>
      </w:r>
    </w:p>
    <w:p w14:paraId="3268388C" w14:textId="77777777" w:rsidR="00F563A2" w:rsidRPr="00AC286A" w:rsidRDefault="00F563A2" w:rsidP="00BC0346">
      <w:pPr>
        <w:pStyle w:val="ListParagraph"/>
        <w:numPr>
          <w:ilvl w:val="0"/>
          <w:numId w:val="40"/>
        </w:numPr>
        <w:spacing w:before="120" w:after="120"/>
        <w:contextualSpacing w:val="0"/>
        <w:jc w:val="both"/>
      </w:pPr>
      <w:r>
        <w:t xml:space="preserve">potvrdite da će vaša nadležna tijela, ako žele produljiti trajanje programa nakon isteka tog maksimalnog razdoblja, ponovno prijaviti mjeru.</w:t>
      </w:r>
      <w:r>
        <w:t xml:space="preserve"> </w:t>
      </w:r>
    </w:p>
    <w:p w14:paraId="77064147" w14:textId="77777777" w:rsidR="00F83660" w:rsidRPr="00722DE1" w:rsidRDefault="00F83660" w:rsidP="00722DE1">
      <w:pPr>
        <w:tabs>
          <w:tab w:val="left" w:leader="dot" w:pos="9072"/>
        </w:tabs>
        <w:spacing w:before="120" w:after="120"/>
        <w:ind w:left="1080"/>
        <w:jc w:val="both"/>
        <w:rPr>
          <w:color w:val="000000"/>
        </w:rPr>
      </w:pPr>
      <w:r>
        <w:rPr>
          <w:color w:val="000000"/>
        </w:rPr>
        <w:tab/>
      </w:r>
    </w:p>
    <w:p w14:paraId="0D3E49C5" w14:textId="0CE37CAC" w:rsidR="00F83660" w:rsidRPr="00722DE1" w:rsidRDefault="00344211" w:rsidP="00722DE1">
      <w:pPr>
        <w:pStyle w:val="ListParagraph"/>
        <w:numPr>
          <w:ilvl w:val="0"/>
          <w:numId w:val="4"/>
        </w:numPr>
        <w:spacing w:before="120" w:after="120"/>
        <w:ind w:left="567" w:hanging="567"/>
        <w:contextualSpacing w:val="0"/>
        <w:jc w:val="both"/>
      </w:pPr>
      <w:r>
        <w:t xml:space="preserve">Ako se potpora dodjeljuje u obliku donacije, vlasničkog kapitala, jamstva ili zajma fondu za energetsku učinkovitost ili obnovljivu energiju ili drugom financijskom posredniku radi provjere usklađenosti s točkom 157. CEEAG-a:</w:t>
      </w:r>
    </w:p>
    <w:p w14:paraId="04EC5970" w14:textId="36680F60" w:rsidR="00344211" w:rsidRPr="009E0FCA" w:rsidRDefault="00344211" w:rsidP="00BC0346">
      <w:pPr>
        <w:pStyle w:val="ListParagraph"/>
        <w:numPr>
          <w:ilvl w:val="0"/>
          <w:numId w:val="41"/>
        </w:numPr>
        <w:spacing w:before="120" w:after="120"/>
        <w:contextualSpacing w:val="0"/>
        <w:jc w:val="both"/>
      </w:pPr>
      <w:r>
        <w:t xml:space="preserve">dokažite da će se financijski posrednici ili upravitelji fondova birati u otvorenom, transparentnom i nediskriminirajućem postupku koji se provodi u skladu s primjenjivim pravom Unije i nacionalnim pravom;</w:t>
      </w:r>
    </w:p>
    <w:p w14:paraId="7A2FDB46" w14:textId="25262C08" w:rsidR="00344211" w:rsidRPr="00722DE1" w:rsidRDefault="00344211" w:rsidP="00722DE1">
      <w:pPr>
        <w:tabs>
          <w:tab w:val="left" w:leader="dot" w:pos="9072"/>
        </w:tabs>
        <w:spacing w:before="120" w:after="120"/>
        <w:ind w:left="1080"/>
        <w:jc w:val="both"/>
        <w:rPr>
          <w:color w:val="000000"/>
        </w:rPr>
      </w:pPr>
      <w:r>
        <w:rPr>
          <w:color w:val="000000"/>
        </w:rPr>
        <w:tab/>
      </w:r>
    </w:p>
    <w:p w14:paraId="00340101" w14:textId="4E3CA68D" w:rsidR="00344211" w:rsidRPr="00AD5646" w:rsidRDefault="00344211" w:rsidP="00BC0346">
      <w:pPr>
        <w:pStyle w:val="ListParagraph"/>
        <w:numPr>
          <w:ilvl w:val="0"/>
          <w:numId w:val="41"/>
        </w:numPr>
        <w:spacing w:before="120" w:after="120"/>
        <w:contextualSpacing w:val="0"/>
        <w:jc w:val="both"/>
      </w:pPr>
      <w:r>
        <w:t xml:space="preserve">dokažite da su uspostavljeni uvjeti kojima se osigurava da se financijskim posrednicima, uključujući fondove za energetsku učinkovitost ili obnovljivu energiju, upravlja na komercijalnoj osnovi i da su odluke o financiranju usmjerene na stjecanje dobiti;</w:t>
      </w:r>
      <w:r>
        <w:t xml:space="preserve"> </w:t>
      </w:r>
    </w:p>
    <w:p w14:paraId="6619FD31" w14:textId="77777777" w:rsidR="00344211" w:rsidRPr="00AD5646" w:rsidRDefault="00344211" w:rsidP="00AD5646">
      <w:pPr>
        <w:tabs>
          <w:tab w:val="left" w:leader="dot" w:pos="9072"/>
        </w:tabs>
        <w:spacing w:before="120" w:after="120"/>
        <w:ind w:left="1080"/>
        <w:jc w:val="both"/>
        <w:rPr>
          <w:color w:val="000000"/>
        </w:rPr>
      </w:pPr>
      <w:r>
        <w:rPr>
          <w:color w:val="000000"/>
        </w:rPr>
        <w:tab/>
      </w:r>
    </w:p>
    <w:p w14:paraId="28F922F0" w14:textId="4965C592" w:rsidR="00344211" w:rsidRPr="00AD5646" w:rsidRDefault="00B753D4" w:rsidP="00BC0346">
      <w:pPr>
        <w:pStyle w:val="ListParagraph"/>
        <w:numPr>
          <w:ilvl w:val="0"/>
          <w:numId w:val="41"/>
        </w:numPr>
        <w:spacing w:before="120" w:after="120"/>
        <w:contextualSpacing w:val="0"/>
        <w:jc w:val="both"/>
      </w:pPr>
      <w:r>
        <w:t xml:space="preserve">dokažite da se od upravitelja fonda za energetsku učinkovitost ili obnovljivu energiju ili drugih financijskih posrednika zahtijeva da u najvećoj mogućoj mjeri prednost prenose na krajnje korisnike (vlasnike ili stanare zgrada) u obliku veće količine financiranja, nižih zahtjeva u pogledu dodatnih jamstava, nižih jamstvenih premija ili kamatnih stopa.</w:t>
      </w:r>
      <w:r>
        <w:t xml:space="preserve"> </w:t>
      </w:r>
    </w:p>
    <w:p w14:paraId="68D96680" w14:textId="77777777" w:rsidR="00344211" w:rsidRDefault="00344211" w:rsidP="00AD5646">
      <w:pPr>
        <w:tabs>
          <w:tab w:val="left" w:leader="dot" w:pos="9072"/>
        </w:tabs>
        <w:spacing w:before="120" w:after="120"/>
        <w:ind w:left="1080"/>
        <w:jc w:val="both"/>
        <w:rPr>
          <w:color w:val="000000"/>
        </w:rPr>
      </w:pPr>
      <w:r>
        <w:rPr>
          <w:color w:val="000000"/>
        </w:rPr>
        <w:tab/>
      </w:r>
    </w:p>
    <w:p w14:paraId="6E0940DA" w14:textId="77777777" w:rsidR="00B15852" w:rsidRPr="00AD5646" w:rsidRDefault="00B15852" w:rsidP="00AD5646">
      <w:pPr>
        <w:tabs>
          <w:tab w:val="left" w:leader="dot" w:pos="9072"/>
        </w:tabs>
        <w:spacing w:before="120" w:after="120"/>
        <w:ind w:left="108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359FFA22" w:rsidR="0096537D" w:rsidRPr="00AA7DB4" w:rsidRDefault="00904DED" w:rsidP="00AD5646">
            <w:pPr>
              <w:pStyle w:val="Heading1"/>
              <w:ind w:left="788" w:right="-28" w:hanging="357"/>
              <w:rPr>
                <w:i/>
                <w:color w:val="000000"/>
                <w:sz w:val="28"/>
                <w:szCs w:val="28"/>
              </w:rPr>
            </w:pPr>
            <w:r>
              <w:rPr>
                <w:i/>
                <w:color w:val="000000"/>
                <w:sz w:val="28"/>
              </w:rPr>
              <w:t xml:space="preserve">3.</w:t>
            </w:r>
            <w:r>
              <w:rPr>
                <w:i/>
                <w:color w:val="000000"/>
                <w:sz w:val="28"/>
              </w:rPr>
              <w:t xml:space="preserve"> </w:t>
            </w:r>
            <w:r>
              <w:rPr>
                <w:i/>
                <w:color w:val="000000"/>
                <w:sz w:val="28"/>
              </w:rPr>
              <w:t xml:space="preserve">Razmatranje pozitivnih učinaka potpore u odnosu na negativne učinke na tržišno natjecanje i trgovinu</w:t>
            </w:r>
          </w:p>
        </w:tc>
      </w:tr>
    </w:tbl>
    <w:p w14:paraId="2BA426DC" w14:textId="3A9BC05F" w:rsidR="00265702" w:rsidRPr="00863406" w:rsidRDefault="00265702" w:rsidP="00AD5646">
      <w:pPr>
        <w:spacing w:before="120" w:after="120"/>
        <w:jc w:val="both"/>
        <w:rPr>
          <w:i/>
          <w:color w:val="000000"/>
        </w:rPr>
      </w:pPr>
      <w:r>
        <w:rPr>
          <w:i/>
        </w:rPr>
        <w:t xml:space="preserve">Za unos podataka u ovom odjeljku vidjeti odjeljak 3.3. (točke od 71. do 76.) CEEAG-a.</w:t>
      </w:r>
      <w:r>
        <w:rPr>
          <w:i/>
          <w:color w:val="000000"/>
        </w:rPr>
        <w:t xml:space="preserve"> </w:t>
      </w:r>
    </w:p>
    <w:p w14:paraId="6C071D22" w14:textId="12B764BB" w:rsidR="001A0689" w:rsidRPr="00564B1B" w:rsidRDefault="001A0689" w:rsidP="00BC0346">
      <w:pPr>
        <w:pStyle w:val="ListParagraph"/>
        <w:numPr>
          <w:ilvl w:val="0"/>
          <w:numId w:val="42"/>
        </w:numPr>
        <w:spacing w:before="120" w:after="120"/>
        <w:ind w:left="567" w:hanging="567"/>
        <w:contextualSpacing w:val="0"/>
        <w:jc w:val="both"/>
      </w:pPr>
      <w:r>
        <w:t xml:space="preserve">Kako bi se potvrdila usklađenost s točkom 72. CEEAG-a, objasnite ispunjavaju li djelatnosti koje se podupiru u okviru prijavljenih mjera kriterije za okolišno održive gospodarske djelatnosti</w:t>
      </w:r>
      <w:r>
        <w:rPr>
          <w:shd w:val="clear" w:color="auto" w:fill="FFFFFF"/>
        </w:rPr>
        <w:t xml:space="preserve"> predviđene u </w:t>
      </w:r>
      <w:r>
        <w:t xml:space="preserve">članku 3. Uredbe (EU) 2020/852 Europskog parlamenta i Vijeća</w:t>
      </w:r>
      <w:r w:rsidRPr="008772CC">
        <w:rPr>
          <w:rStyle w:val="FootnoteReference"/>
          <w:lang w:eastAsia="en-GB"/>
        </w:rPr>
        <w:footnoteReference w:id="15"/>
      </w:r>
      <w:r>
        <w:t xml:space="preserve">,</w:t>
      </w:r>
      <w:r>
        <w:rPr>
          <w:shd w:val="clear" w:color="auto" w:fill="FFFFFF"/>
        </w:rPr>
        <w:t xml:space="preserve"> uključujući načelo „ne nanosi bitnu štetu” ili druge usporedive metodologije.</w:t>
      </w:r>
    </w:p>
    <w:p w14:paraId="7A16EB41" w14:textId="77777777" w:rsidR="004B2EF3" w:rsidRPr="00564B1B" w:rsidRDefault="004B2EF3" w:rsidP="004B2EF3">
      <w:pPr>
        <w:tabs>
          <w:tab w:val="left" w:leader="dot" w:pos="9072"/>
        </w:tabs>
        <w:spacing w:before="120" w:after="120"/>
        <w:ind w:left="567"/>
        <w:jc w:val="both"/>
      </w:pPr>
      <w:r>
        <w:tab/>
      </w:r>
    </w:p>
    <w:p w14:paraId="5895DC02" w14:textId="1DB2B304" w:rsidR="000B260D" w:rsidRPr="00AC1973" w:rsidRDefault="004C67CC" w:rsidP="00BC0346">
      <w:pPr>
        <w:pStyle w:val="ListParagraph"/>
        <w:numPr>
          <w:ilvl w:val="0"/>
          <w:numId w:val="42"/>
        </w:numPr>
        <w:spacing w:before="120" w:after="120"/>
        <w:ind w:left="567" w:hanging="567"/>
        <w:contextualSpacing w:val="0"/>
        <w:jc w:val="both"/>
      </w:pPr>
      <w:r>
        <w:t xml:space="preserve">(Za konkurentne natječajne postupke) objasnite jesu li uvjeti prijavljenih mjera takvi da olakšavaju sudjelovanje MSP-ova u konkurentnim natječajnim postupcima.</w:t>
      </w:r>
      <w:r>
        <w:t xml:space="preserve"> </w:t>
      </w:r>
      <w:r>
        <w:t xml:space="preserve">Ako je odgovor potvrdan, navedite podatke o tim značajkama i obrazložite kako pozitivni učinci kojima se osigurava sudjelovanje MSP-ova u prijavljenim mjerama nadmašuju moguće narušavajuće učinke.</w:t>
      </w:r>
    </w:p>
    <w:p w14:paraId="08262B4C" w14:textId="77777777" w:rsidR="000B260D" w:rsidRPr="00AC1973" w:rsidRDefault="000B260D" w:rsidP="000B260D">
      <w:pPr>
        <w:tabs>
          <w:tab w:val="left" w:leader="dot" w:pos="9072"/>
        </w:tabs>
        <w:spacing w:before="120" w:after="120"/>
        <w:ind w:left="567"/>
        <w:jc w:val="both"/>
      </w:pPr>
      <w:bookmarkStart w:id="14" w:name="_Hlk165969741"/>
      <w:r>
        <w:tab/>
      </w:r>
    </w:p>
    <w:bookmarkEnd w:id="14"/>
    <w:p w14:paraId="14E6F4A2" w14:textId="4914705C" w:rsidR="00976A75" w:rsidRDefault="004B2EF3" w:rsidP="00BC0346">
      <w:pPr>
        <w:pStyle w:val="ListParagraph"/>
        <w:numPr>
          <w:ilvl w:val="0"/>
          <w:numId w:val="42"/>
        </w:numPr>
        <w:spacing w:before="120" w:after="120"/>
        <w:ind w:left="567" w:hanging="567"/>
        <w:contextualSpacing w:val="0"/>
        <w:jc w:val="both"/>
      </w:pPr>
      <w:r>
        <w:t xml:space="preserve">Kako bi se potvrdila usklađenost s točkom 74. i točkama 155. i 156. CEEAG-a:</w:t>
      </w:r>
    </w:p>
    <w:p w14:paraId="63C203A5" w14:textId="5E6F0AA2" w:rsidR="00976A75" w:rsidRDefault="00976A75" w:rsidP="00BC0346">
      <w:pPr>
        <w:pStyle w:val="ListParagraph"/>
        <w:numPr>
          <w:ilvl w:val="0"/>
          <w:numId w:val="43"/>
        </w:numPr>
        <w:spacing w:before="120" w:after="120"/>
        <w:contextualSpacing w:val="0"/>
        <w:jc w:val="both"/>
      </w:pPr>
      <w:r>
        <w:t xml:space="preserve">objasnite jesu li ulaganja u opremu na prirodni plin prihvatljiva za potporu u okviru prijavljenih mjera.</w:t>
      </w:r>
      <w:r>
        <w:t xml:space="preserve"> </w:t>
      </w:r>
      <w:r>
        <w:t xml:space="preserve">Ako jesu, dokažite da se potporom neće istisnuti ulaganja u čišća alternativna rješenja koja su već dostupna na tržištu ili stvoriti ovisnosti o određenim tehnologijama.</w:t>
      </w:r>
      <w:r>
        <w:t xml:space="preserve"> </w:t>
      </w:r>
      <w:r>
        <w:t xml:space="preserve">Objasnite i zamjenjuje li oprema na prirodni plin energetsku opremu na fosilna goriva koja najviše onečišćuju, kao što su nafta i ugljen;</w:t>
      </w:r>
    </w:p>
    <w:p w14:paraId="56E960B4" w14:textId="77777777" w:rsidR="005C68A3" w:rsidRPr="00AD5646" w:rsidRDefault="005C68A3" w:rsidP="00AD5646">
      <w:pPr>
        <w:tabs>
          <w:tab w:val="left" w:leader="dot" w:pos="9072"/>
        </w:tabs>
        <w:spacing w:before="120" w:after="120"/>
        <w:ind w:left="1080"/>
        <w:jc w:val="both"/>
        <w:rPr>
          <w:color w:val="000000"/>
        </w:rPr>
      </w:pPr>
      <w:r>
        <w:rPr>
          <w:color w:val="000000"/>
        </w:rPr>
        <w:tab/>
      </w:r>
    </w:p>
    <w:p w14:paraId="616E2283" w14:textId="09C211A7" w:rsidR="00976A75" w:rsidRDefault="00976A75" w:rsidP="00BC0346">
      <w:pPr>
        <w:pStyle w:val="ListParagraph"/>
        <w:numPr>
          <w:ilvl w:val="0"/>
          <w:numId w:val="43"/>
        </w:numPr>
        <w:spacing w:before="120" w:after="120"/>
        <w:contextualSpacing w:val="0"/>
        <w:jc w:val="both"/>
      </w:pPr>
      <w:r>
        <w:t xml:space="preserve">potvrdite da ulaganja u opremu na fosilna goriva koja onečišćuju okoliš, kao što su nafta i ugljen, nisu prihvatljiva za potporu u okviru prijavljenih mjera.</w:t>
      </w:r>
      <w:r>
        <w:t xml:space="preserve"> </w:t>
      </w:r>
      <w:r>
        <w:t xml:space="preserve">Napominjemo da se smatra da potpore za ugradnju opreme na fosilna goriva, kao što su nafta i ugljen, imaju negativne učinke na tržišno natjecanje zbog većih emisija ugljika povezanih s upotrebom fosilnih goriva, znatnog rizika od stvaranja ovisnosti o tehnologijama koje se temelje na fosilnim gorivima i istiskivanja ulaganja u čišća i inovativnija alternativna rješenja dostupna na tržištu.</w:t>
      </w:r>
      <w:r>
        <w:t xml:space="preserve"> </w:t>
      </w:r>
    </w:p>
    <w:p w14:paraId="29D8F6FD" w14:textId="77777777" w:rsidR="004B2EF3" w:rsidRPr="00AD5646" w:rsidRDefault="004B2EF3" w:rsidP="00AD5646">
      <w:pPr>
        <w:tabs>
          <w:tab w:val="left" w:leader="dot" w:pos="9072"/>
        </w:tabs>
        <w:spacing w:before="120" w:after="120"/>
        <w:ind w:left="1080"/>
        <w:jc w:val="both"/>
        <w:rPr>
          <w:color w:val="000000"/>
        </w:rPr>
      </w:pPr>
      <w:bookmarkStart w:id="15" w:name="_Hlk165969860"/>
      <w:r>
        <w:rPr>
          <w:color w:val="000000"/>
        </w:rPr>
        <w:tab/>
      </w:r>
    </w:p>
    <w:bookmarkEnd w:id="15"/>
    <w:p w14:paraId="10688268" w14:textId="77777777" w:rsidR="00C33721" w:rsidRPr="00681731" w:rsidRDefault="00C33721" w:rsidP="00C33721">
      <w:pPr>
        <w:ind w:left="-567"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2399088F" w:rsidR="00C33721" w:rsidRPr="00265702" w:rsidRDefault="005B0FA8" w:rsidP="00AD5646">
            <w:pPr>
              <w:pStyle w:val="Heading1"/>
              <w:ind w:left="788" w:right="-28" w:hanging="357"/>
              <w:rPr>
                <w:b w:val="0"/>
                <w:i/>
                <w:color w:val="000000"/>
                <w:sz w:val="28"/>
                <w:szCs w:val="28"/>
              </w:rPr>
            </w:pPr>
            <w:r>
              <w:rPr>
                <w:i/>
                <w:color w:val="000000"/>
                <w:sz w:val="28"/>
              </w:rPr>
              <w:t xml:space="preserve">Odjeljak C:</w:t>
            </w:r>
            <w:r>
              <w:rPr>
                <w:i/>
                <w:color w:val="000000"/>
                <w:sz w:val="28"/>
              </w:rPr>
              <w:t xml:space="preserve"> </w:t>
            </w:r>
            <w:r>
              <w:rPr>
                <w:i/>
                <w:color w:val="000000"/>
                <w:sz w:val="28"/>
              </w:rPr>
              <w:t xml:space="preserve">Evaluacija</w:t>
            </w:r>
          </w:p>
        </w:tc>
      </w:tr>
    </w:tbl>
    <w:p w14:paraId="0E74647B" w14:textId="4714C7EA" w:rsidR="00E752D3" w:rsidRDefault="00E752D3" w:rsidP="00E752D3">
      <w:pPr>
        <w:tabs>
          <w:tab w:val="left" w:leader="dot" w:pos="9072"/>
        </w:tabs>
        <w:spacing w:before="120" w:after="120"/>
        <w:jc w:val="both"/>
      </w:pPr>
      <w:r>
        <w:rPr>
          <w:i/>
        </w:rPr>
        <w:t xml:space="preserve">Za unos podataka u ovom odjeljku vidjeti poglavlje 5. (točke od 455. do 463.) CEEAG-a.</w:t>
      </w:r>
    </w:p>
    <w:p w14:paraId="3B148946" w14:textId="6DA2827A" w:rsidR="005B1125" w:rsidRDefault="005B1125" w:rsidP="00BC0346">
      <w:pPr>
        <w:pStyle w:val="ListParagraph"/>
        <w:numPr>
          <w:ilvl w:val="0"/>
          <w:numId w:val="44"/>
        </w:numPr>
        <w:spacing w:before="120" w:after="120"/>
        <w:ind w:left="567" w:hanging="567"/>
        <w:contextualSpacing w:val="0"/>
        <w:jc w:val="both"/>
      </w:pPr>
      <w:r>
        <w:t xml:space="preserve">Ako prijavljene mjere premašuju pragove proračuna/rashoda iz točke 456. CEEAG-a, objasnite zašto bi se, prema vašem mišljenju, trebala primjenjivati iznimka iz točke 457. CEEAG-a ili priložite ovom obrascu prijave prilog koji sadržava nacrt plana evaluacije koji obuhvaća područje primjene navedeno u točki 458. CEEAG-a</w:t>
      </w:r>
      <w:r w:rsidRPr="00AC286A">
        <w:rPr>
          <w:rStyle w:val="FootnoteReference"/>
          <w:lang w:eastAsia="en-GB"/>
        </w:rPr>
        <w:footnoteReference w:id="16"/>
      </w:r>
      <w:r>
        <w:t xml:space="preserve">.</w:t>
      </w:r>
    </w:p>
    <w:p w14:paraId="7EAD398C" w14:textId="77777777" w:rsidR="00AD5646" w:rsidRPr="00AC1973" w:rsidRDefault="00AD5646" w:rsidP="00AD5646">
      <w:pPr>
        <w:tabs>
          <w:tab w:val="left" w:leader="dot" w:pos="9072"/>
        </w:tabs>
        <w:spacing w:before="120" w:after="120"/>
        <w:ind w:left="567"/>
        <w:jc w:val="both"/>
      </w:pPr>
      <w:r>
        <w:tab/>
      </w:r>
    </w:p>
    <w:p w14:paraId="29A138B1" w14:textId="5018DA1E" w:rsidR="005B1125" w:rsidRDefault="005B1125" w:rsidP="00BC0346">
      <w:pPr>
        <w:pStyle w:val="ListParagraph"/>
        <w:numPr>
          <w:ilvl w:val="0"/>
          <w:numId w:val="45"/>
        </w:numPr>
        <w:spacing w:before="120" w:after="120"/>
        <w:ind w:left="567" w:hanging="567"/>
        <w:contextualSpacing w:val="0"/>
        <w:jc w:val="both"/>
      </w:pPr>
      <w:r>
        <w:t xml:space="preserve">Ako dostavljate nacrt plana evaluacije:</w:t>
      </w:r>
    </w:p>
    <w:p w14:paraId="2908B272" w14:textId="6B17EC45" w:rsidR="005B1125" w:rsidRDefault="00BC0346" w:rsidP="00BC0346">
      <w:pPr>
        <w:pStyle w:val="ListParagraph"/>
        <w:numPr>
          <w:ilvl w:val="0"/>
          <w:numId w:val="46"/>
        </w:numPr>
        <w:spacing w:before="120" w:after="120"/>
        <w:contextualSpacing w:val="0"/>
        <w:jc w:val="both"/>
      </w:pPr>
      <w:r>
        <w:t xml:space="preserve">sažeto opišite nacrt plana evaluacije iz priloga;</w:t>
      </w:r>
    </w:p>
    <w:p w14:paraId="55469442" w14:textId="77777777" w:rsidR="00BC0346" w:rsidRPr="00AD5646" w:rsidRDefault="00BC0346" w:rsidP="00BC0346">
      <w:pPr>
        <w:tabs>
          <w:tab w:val="left" w:leader="dot" w:pos="9072"/>
        </w:tabs>
        <w:spacing w:before="120" w:after="120"/>
        <w:ind w:left="1080"/>
        <w:jc w:val="both"/>
        <w:rPr>
          <w:color w:val="000000"/>
        </w:rPr>
      </w:pPr>
      <w:r>
        <w:rPr>
          <w:color w:val="000000"/>
        </w:rPr>
        <w:tab/>
      </w:r>
    </w:p>
    <w:p w14:paraId="57944573" w14:textId="72B8D967" w:rsidR="005B1125" w:rsidRDefault="00BC0346" w:rsidP="00BC0346">
      <w:pPr>
        <w:pStyle w:val="ListParagraph"/>
        <w:numPr>
          <w:ilvl w:val="0"/>
          <w:numId w:val="46"/>
        </w:numPr>
        <w:spacing w:before="120" w:after="120"/>
        <w:contextualSpacing w:val="0"/>
        <w:jc w:val="both"/>
      </w:pPr>
      <w:r>
        <w:t xml:space="preserve">potvrdite da će se poštovati točka 460. CEEAG-a;</w:t>
      </w:r>
    </w:p>
    <w:p w14:paraId="79C8841F" w14:textId="77777777" w:rsidR="00BC0346" w:rsidRPr="00AD5646" w:rsidRDefault="00BC0346" w:rsidP="00BC0346">
      <w:pPr>
        <w:tabs>
          <w:tab w:val="left" w:leader="dot" w:pos="9072"/>
        </w:tabs>
        <w:spacing w:before="120" w:after="120"/>
        <w:ind w:left="1080"/>
        <w:jc w:val="both"/>
        <w:rPr>
          <w:color w:val="000000"/>
        </w:rPr>
      </w:pPr>
      <w:r>
        <w:rPr>
          <w:color w:val="000000"/>
        </w:rPr>
        <w:tab/>
      </w:r>
    </w:p>
    <w:p w14:paraId="2149300C" w14:textId="7EA80A87" w:rsidR="005B1125" w:rsidRDefault="00BC0346" w:rsidP="00BC0346">
      <w:pPr>
        <w:pStyle w:val="ListParagraph"/>
        <w:numPr>
          <w:ilvl w:val="0"/>
          <w:numId w:val="46"/>
        </w:numPr>
        <w:spacing w:before="120" w:after="120"/>
        <w:contextualSpacing w:val="0"/>
        <w:jc w:val="both"/>
      </w:pPr>
      <w:r>
        <w:t xml:space="preserve">navedite datum i internetsku poveznicu na kojoj će plan evaluacije biti objavljen.</w:t>
      </w:r>
    </w:p>
    <w:p w14:paraId="392B2683" w14:textId="77777777" w:rsidR="00BC0346" w:rsidRPr="00AD5646" w:rsidRDefault="00BC0346" w:rsidP="00BC0346">
      <w:pPr>
        <w:tabs>
          <w:tab w:val="left" w:leader="dot" w:pos="9072"/>
        </w:tabs>
        <w:spacing w:before="120" w:after="120"/>
        <w:ind w:left="1080"/>
        <w:jc w:val="both"/>
        <w:rPr>
          <w:color w:val="000000"/>
        </w:rPr>
      </w:pPr>
      <w:r>
        <w:rPr>
          <w:color w:val="000000"/>
        </w:rPr>
        <w:tab/>
      </w:r>
    </w:p>
    <w:p w14:paraId="13D817E5" w14:textId="6DF200ED" w:rsidR="005B1125" w:rsidRPr="0051324D" w:rsidRDefault="005B1125" w:rsidP="005D3A8D">
      <w:pPr>
        <w:pStyle w:val="ListParagraph"/>
        <w:numPr>
          <w:ilvl w:val="0"/>
          <w:numId w:val="45"/>
        </w:numPr>
        <w:spacing w:before="120" w:after="120"/>
        <w:ind w:left="567" w:hanging="567"/>
        <w:contextualSpacing w:val="0"/>
        <w:jc w:val="both"/>
      </w:pPr>
      <w:r>
        <w:t xml:space="preserve">Kako bi se potvrdila usklađenost s točkom 459. podtočkom (b) CEEAG-a, ako za program potpore trenutačno nije potrebna </w:t>
      </w:r>
      <w:r>
        <w:rPr>
          <w:i/>
        </w:rPr>
        <w:t xml:space="preserve">ex post</w:t>
      </w:r>
      <w:r>
        <w:t xml:space="preserve"> evaluacija, a traje dulje od tri godine, potvrdite da ćete dostaviti nacrt plana evaluacije u roku od 30 radnih dana nakon znatne izmjene kojom se proračun programa povećava na više od 150 milijuna EUR u bilo kojoj godini ili 750 milijuna EUR tijekom ukupnog trajanja programa.</w:t>
      </w:r>
      <w:r>
        <w:t xml:space="preserve"> </w:t>
      </w:r>
    </w:p>
    <w:p w14:paraId="64197818" w14:textId="77777777" w:rsidR="005B1125" w:rsidRPr="0051324D" w:rsidRDefault="005B1125" w:rsidP="005B1125">
      <w:pPr>
        <w:tabs>
          <w:tab w:val="left" w:leader="dot" w:pos="9072"/>
        </w:tabs>
        <w:spacing w:before="120" w:after="120"/>
        <w:ind w:left="567"/>
        <w:jc w:val="both"/>
      </w:pPr>
      <w:r>
        <w:tab/>
      </w:r>
    </w:p>
    <w:p w14:paraId="40210AA2" w14:textId="7C1E1E18" w:rsidR="005B1125" w:rsidRPr="0051324D" w:rsidRDefault="005B1125" w:rsidP="005D3A8D">
      <w:pPr>
        <w:pStyle w:val="ListParagraph"/>
        <w:numPr>
          <w:ilvl w:val="0"/>
          <w:numId w:val="45"/>
        </w:numPr>
        <w:spacing w:before="120" w:after="120"/>
        <w:ind w:left="567" w:hanging="567"/>
        <w:contextualSpacing w:val="0"/>
        <w:jc w:val="both"/>
      </w:pPr>
      <w:r>
        <w:t xml:space="preserve">Kako bi se potvrdila usklađenost s točkom 459. podtočkom (c) CEEAG-a, ako za program potpore trenutačno nije potrebna </w:t>
      </w:r>
      <w:r>
        <w:rPr>
          <w:i/>
        </w:rPr>
        <w:t xml:space="preserve">ex post</w:t>
      </w:r>
      <w:r>
        <w:t xml:space="preserve"> evaluacija, navedite obvezu da će država članica dostaviti nacrt plana evaluacije u roku od 30 radnih dana nakon što su u službenoj računovodstvenoj dokumentaciji uknjiženi rashodi veći od 150 milijuna EUR u prethodnoj godini.</w:t>
      </w:r>
      <w:r>
        <w:t xml:space="preserve"> </w:t>
      </w:r>
    </w:p>
    <w:p w14:paraId="4EA1C17E" w14:textId="77777777" w:rsidR="005B1125" w:rsidRPr="0051324D" w:rsidRDefault="005B1125" w:rsidP="005B1125">
      <w:pPr>
        <w:tabs>
          <w:tab w:val="left" w:leader="dot" w:pos="9072"/>
        </w:tabs>
        <w:spacing w:before="120" w:after="120"/>
        <w:ind w:left="567"/>
        <w:jc w:val="both"/>
      </w:pPr>
      <w:r>
        <w:tab/>
      </w:r>
    </w:p>
    <w:p w14:paraId="2E88D40B" w14:textId="77777777" w:rsidR="005B1125" w:rsidRPr="0051324D" w:rsidRDefault="005B1125" w:rsidP="005D3A8D">
      <w:pPr>
        <w:pStyle w:val="ListParagraph"/>
        <w:numPr>
          <w:ilvl w:val="0"/>
          <w:numId w:val="45"/>
        </w:numPr>
        <w:spacing w:before="120" w:after="120"/>
        <w:ind w:left="567" w:hanging="567"/>
        <w:contextualSpacing w:val="0"/>
        <w:jc w:val="both"/>
      </w:pPr>
      <w:r>
        <w:t xml:space="preserve">Kako bi se potvrdila usklađenost s točkom 461. CEEAG-a:</w:t>
      </w:r>
    </w:p>
    <w:p w14:paraId="523B7898" w14:textId="4DB1F92C" w:rsidR="005B1125" w:rsidRPr="0051324D" w:rsidRDefault="005B1125" w:rsidP="005D3A8D">
      <w:pPr>
        <w:pStyle w:val="ListParagraph"/>
        <w:numPr>
          <w:ilvl w:val="0"/>
          <w:numId w:val="47"/>
        </w:numPr>
        <w:spacing w:before="120" w:after="120"/>
        <w:contextualSpacing w:val="0"/>
        <w:jc w:val="both"/>
      </w:pPr>
      <w:r>
        <w:t xml:space="preserve">navedite je li neovisni stručnjak već odabran ili će biti odabran u budućnosti;</w:t>
      </w:r>
    </w:p>
    <w:p w14:paraId="4E8E4DD0" w14:textId="77777777" w:rsidR="005B1125" w:rsidRPr="005D3A8D" w:rsidRDefault="005B1125" w:rsidP="005D3A8D">
      <w:pPr>
        <w:tabs>
          <w:tab w:val="left" w:leader="dot" w:pos="9072"/>
        </w:tabs>
        <w:spacing w:before="120" w:after="120"/>
        <w:ind w:left="1080"/>
        <w:jc w:val="both"/>
        <w:rPr>
          <w:color w:val="000000"/>
        </w:rPr>
      </w:pPr>
      <w:r>
        <w:rPr>
          <w:color w:val="000000"/>
        </w:rPr>
        <w:tab/>
      </w:r>
    </w:p>
    <w:p w14:paraId="444C024C" w14:textId="77777777" w:rsidR="005B1125" w:rsidRPr="0051324D" w:rsidRDefault="005B1125" w:rsidP="005D3A8D">
      <w:pPr>
        <w:pStyle w:val="ListParagraph"/>
        <w:numPr>
          <w:ilvl w:val="0"/>
          <w:numId w:val="47"/>
        </w:numPr>
        <w:spacing w:before="120" w:after="120"/>
        <w:contextualSpacing w:val="0"/>
        <w:jc w:val="both"/>
      </w:pPr>
      <w:r>
        <w:t xml:space="preserve">unesite podatke o postupku odabira stručnjaka;</w:t>
      </w:r>
    </w:p>
    <w:p w14:paraId="3301005E" w14:textId="77777777" w:rsidR="005B1125" w:rsidRPr="005D3A8D" w:rsidRDefault="005B1125" w:rsidP="005D3A8D">
      <w:pPr>
        <w:tabs>
          <w:tab w:val="left" w:leader="dot" w:pos="9072"/>
        </w:tabs>
        <w:spacing w:before="120" w:after="120"/>
        <w:ind w:left="1080"/>
        <w:jc w:val="both"/>
        <w:rPr>
          <w:color w:val="000000"/>
        </w:rPr>
      </w:pPr>
      <w:r>
        <w:rPr>
          <w:color w:val="000000"/>
        </w:rPr>
        <w:tab/>
      </w:r>
    </w:p>
    <w:p w14:paraId="4877D90F" w14:textId="77777777" w:rsidR="005B1125" w:rsidRPr="0051324D" w:rsidRDefault="005B1125" w:rsidP="005D3A8D">
      <w:pPr>
        <w:pStyle w:val="ListParagraph"/>
        <w:numPr>
          <w:ilvl w:val="0"/>
          <w:numId w:val="47"/>
        </w:numPr>
        <w:spacing w:before="120" w:after="120"/>
        <w:contextualSpacing w:val="0"/>
        <w:jc w:val="both"/>
      </w:pPr>
      <w:r>
        <w:t xml:space="preserve">obrazložite kako je stručnjak neovisan o davatelju potpore;</w:t>
      </w:r>
      <w:r>
        <w:t xml:space="preserve"> </w:t>
      </w:r>
    </w:p>
    <w:p w14:paraId="38CEF628" w14:textId="77777777" w:rsidR="005B1125" w:rsidRPr="005D3A8D" w:rsidRDefault="005B1125" w:rsidP="005D3A8D">
      <w:pPr>
        <w:tabs>
          <w:tab w:val="left" w:leader="dot" w:pos="9072"/>
        </w:tabs>
        <w:spacing w:before="120" w:after="120"/>
        <w:ind w:left="1080"/>
        <w:jc w:val="both"/>
        <w:rPr>
          <w:color w:val="000000"/>
        </w:rPr>
      </w:pPr>
      <w:r>
        <w:rPr>
          <w:color w:val="000000"/>
        </w:rPr>
        <w:tab/>
      </w:r>
    </w:p>
    <w:p w14:paraId="2C51B57F" w14:textId="6B57F3DF" w:rsidR="005B1125" w:rsidRPr="0051324D" w:rsidRDefault="005B1125" w:rsidP="00CC6CA7">
      <w:pPr>
        <w:pStyle w:val="ListParagraph"/>
        <w:numPr>
          <w:ilvl w:val="0"/>
          <w:numId w:val="47"/>
        </w:numPr>
        <w:spacing w:before="120" w:after="120"/>
        <w:contextualSpacing w:val="0"/>
        <w:jc w:val="both"/>
      </w:pPr>
      <w:r>
        <w:t xml:space="preserve">navedite predložene rokove za podnošenje privremenog i završnog izvješća o evaluaciji.</w:t>
      </w:r>
      <w:r>
        <w:t xml:space="preserve"> </w:t>
      </w:r>
      <w:r>
        <w:t xml:space="preserve">Napominjemo da se završno izvješće o evaluaciji mora pravodobno dostaviti Komisiji kako bi se omogućila ocjena mogućeg produljenja programa potpore, i to najkasnije devet mjeseci prije njegova isteka, u skladu s točkom 463. CEEAG-a.</w:t>
      </w:r>
      <w:r>
        <w:t xml:space="preserve"> </w:t>
      </w:r>
      <w:r>
        <w:t xml:space="preserve">Napominjemo i da bi se taj rok mogao skratiti za programe u čijem se slučaju zahtjev u pogledu evaluacije aktivira u posljednje dvije godine provedbe;</w:t>
      </w:r>
    </w:p>
    <w:p w14:paraId="55AC987C" w14:textId="77777777" w:rsidR="005B1125" w:rsidRPr="0051324D" w:rsidRDefault="005B1125" w:rsidP="002A6F78">
      <w:pPr>
        <w:tabs>
          <w:tab w:val="left" w:leader="dot" w:pos="9072"/>
        </w:tabs>
        <w:spacing w:before="120" w:after="120"/>
        <w:ind w:left="1080"/>
        <w:jc w:val="both"/>
      </w:pPr>
      <w:r>
        <w:t xml:space="preserve"> </w:t>
      </w:r>
      <w:r>
        <w:rPr>
          <w:color w:val="000000"/>
        </w:rPr>
        <w:tab/>
      </w:r>
    </w:p>
    <w:p w14:paraId="5962B499" w14:textId="77777777" w:rsidR="005B1125" w:rsidRPr="0051324D" w:rsidRDefault="005B1125" w:rsidP="00CC6CA7">
      <w:pPr>
        <w:pStyle w:val="ListParagraph"/>
        <w:numPr>
          <w:ilvl w:val="0"/>
          <w:numId w:val="47"/>
        </w:numPr>
        <w:spacing w:before="120" w:after="120"/>
        <w:contextualSpacing w:val="0"/>
        <w:jc w:val="both"/>
      </w:pPr>
      <w:r>
        <w:t xml:space="preserve">potvrdite da će privremeno i završno izvješće o evaluaciji biti objavljeno.</w:t>
      </w:r>
      <w:r>
        <w:t xml:space="preserve"> </w:t>
      </w:r>
      <w:r>
        <w:t xml:space="preserve">Navedite datum i internetsku poveznicu na kojoj će ta izvješća biti dostupna javnosti.</w:t>
      </w:r>
      <w:r>
        <w:t xml:space="preserve"> </w:t>
      </w:r>
    </w:p>
    <w:p w14:paraId="10FA3DB0" w14:textId="5FDB90EB" w:rsidR="00627715" w:rsidRDefault="005B1125" w:rsidP="002A6F78">
      <w:pPr>
        <w:tabs>
          <w:tab w:val="left" w:leader="dot" w:pos="9072"/>
        </w:tabs>
        <w:spacing w:before="120" w:after="120"/>
        <w:ind w:left="1080"/>
        <w:jc w:val="both"/>
        <w:rPr>
          <w:color w:val="000000"/>
        </w:rPr>
      </w:pPr>
      <w:r>
        <w:rPr>
          <w:color w:val="000000"/>
        </w:rPr>
        <w:tab/>
      </w:r>
    </w:p>
    <w:p w14:paraId="1941552E" w14:textId="77777777" w:rsidR="00681731" w:rsidRPr="002A6F78" w:rsidRDefault="00681731" w:rsidP="00681731">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1E5C9A6D" w:rsidR="00627715" w:rsidRPr="0051324D" w:rsidRDefault="003C6D6A" w:rsidP="002A6F78">
            <w:pPr>
              <w:pStyle w:val="Heading1"/>
              <w:ind w:left="788" w:right="-28" w:hanging="357"/>
              <w:rPr>
                <w:b w:val="0"/>
                <w:i/>
                <w:sz w:val="28"/>
                <w:szCs w:val="28"/>
              </w:rPr>
            </w:pPr>
            <w:r>
              <w:rPr>
                <w:i/>
                <w:color w:val="000000"/>
                <w:sz w:val="28"/>
              </w:rPr>
              <w:t xml:space="preserve">Odjeljak D:</w:t>
            </w:r>
            <w:r>
              <w:rPr>
                <w:i/>
                <w:color w:val="000000"/>
                <w:sz w:val="28"/>
              </w:rPr>
              <w:t xml:space="preserve"> </w:t>
            </w:r>
            <w:r>
              <w:rPr>
                <w:i/>
                <w:color w:val="000000"/>
                <w:sz w:val="28"/>
              </w:rPr>
              <w:t xml:space="preserve">Izvješćivanje i praćenje</w:t>
            </w:r>
          </w:p>
        </w:tc>
      </w:tr>
    </w:tbl>
    <w:p w14:paraId="3310B87F" w14:textId="3F3A3FF8" w:rsidR="003C6D6A" w:rsidRPr="0051324D" w:rsidRDefault="003C6D6A" w:rsidP="002A6F78">
      <w:pPr>
        <w:tabs>
          <w:tab w:val="left" w:leader="dot" w:pos="9072"/>
        </w:tabs>
        <w:spacing w:before="120" w:after="120"/>
        <w:jc w:val="both"/>
      </w:pPr>
      <w:bookmarkStart w:id="16" w:name="_Hlk166084968"/>
      <w:r>
        <w:rPr>
          <w:i/>
        </w:rPr>
        <w:t xml:space="preserve">Za unos podataka u ovom odjeljku vidjeti odjeljak 6. (točke 464. i 465.) CEEAG-a.</w:t>
      </w:r>
    </w:p>
    <w:bookmarkEnd w:id="16"/>
    <w:p w14:paraId="2382A61F" w14:textId="37622A62" w:rsidR="003C6D6A" w:rsidRDefault="003C6D6A" w:rsidP="002A6F78">
      <w:pPr>
        <w:pStyle w:val="ListParagraph"/>
        <w:numPr>
          <w:ilvl w:val="0"/>
          <w:numId w:val="45"/>
        </w:numPr>
        <w:spacing w:before="120" w:after="120"/>
        <w:ind w:left="567" w:hanging="567"/>
        <w:contextualSpacing w:val="0"/>
        <w:jc w:val="both"/>
      </w:pPr>
      <w:r>
        <w:t xml:space="preserve">Potvrdite da će država članica ispuniti zahtjeve za izvješćivanje i praćenje iz odjeljka 6. točaka 464. i 465. CEEAG-a.</w:t>
      </w:r>
    </w:p>
    <w:p w14:paraId="6B996AF9" w14:textId="094D0464" w:rsidR="00697188" w:rsidRPr="00711243" w:rsidRDefault="002A6F78" w:rsidP="002A6F78">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AAFC3" w14:textId="77777777" w:rsidR="007E0593" w:rsidRDefault="007E0593" w:rsidP="000442F5">
      <w:r>
        <w:separator/>
      </w:r>
    </w:p>
  </w:endnote>
  <w:endnote w:type="continuationSeparator" w:id="0">
    <w:p w14:paraId="16386907" w14:textId="77777777" w:rsidR="007E0593" w:rsidRDefault="007E0593" w:rsidP="000442F5">
      <w:r>
        <w:continuationSeparator/>
      </w:r>
    </w:p>
  </w:endnote>
  <w:endnote w:type="continuationNotice" w:id="1">
    <w:p w14:paraId="67B509FD" w14:textId="77777777" w:rsidR="007E0593" w:rsidRDefault="007E0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1BDB5225" w:rsidR="00770302" w:rsidRDefault="00770302">
    <w:pPr>
      <w:pStyle w:val="Footer"/>
      <w:jc w:val="center"/>
    </w:pPr>
    <w:r>
      <w:fldChar w:fldCharType="begin"/>
    </w:r>
    <w:r>
      <w:instrText xml:space="preserve"> PAGE   \* MERGEFORMAT </w:instrText>
    </w:r>
    <w:r>
      <w:fldChar w:fldCharType="separate"/>
    </w:r>
    <w:r w:rsidR="00D4107D">
      <w:t>8</w:t>
    </w:r>
    <w:r>
      <w:fldChar w:fldCharType="end"/>
    </w:r>
  </w:p>
  <w:p w14:paraId="75E356FD" w14:textId="77777777" w:rsidR="00770302" w:rsidRDefault="007703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9D798" w14:textId="77777777" w:rsidR="007E0593" w:rsidRDefault="007E0593" w:rsidP="000442F5">
      <w:r>
        <w:separator/>
      </w:r>
    </w:p>
  </w:footnote>
  <w:footnote w:type="continuationSeparator" w:id="0">
    <w:p w14:paraId="0B11616F" w14:textId="77777777" w:rsidR="007E0593" w:rsidRDefault="007E0593" w:rsidP="000442F5">
      <w:r>
        <w:continuationSeparator/>
      </w:r>
    </w:p>
  </w:footnote>
  <w:footnote w:type="continuationNotice" w:id="1">
    <w:p w14:paraId="32B69F87" w14:textId="77777777" w:rsidR="007E0593" w:rsidRDefault="007E0593"/>
  </w:footnote>
  <w:footnote w:id="2">
    <w:p w14:paraId="2E1DAC13" w14:textId="6C7CF231" w:rsidR="00770302" w:rsidRPr="0067348B" w:rsidRDefault="00770302" w:rsidP="007B485D">
      <w:pPr>
        <w:pStyle w:val="FootnoteText"/>
      </w:pPr>
      <w:r>
        <w:rPr>
          <w:rStyle w:val="FootnoteReference"/>
        </w:rPr>
        <w:footnoteRef/>
      </w:r>
      <w:r>
        <w:tab/>
      </w:r>
      <w:r>
        <w:t xml:space="preserve">SL C 80, 18.2.2022., str. 1.</w:t>
      </w:r>
    </w:p>
  </w:footnote>
  <w:footnote w:id="3">
    <w:p w14:paraId="2A08361A" w14:textId="77777777" w:rsidR="00111EDE" w:rsidRDefault="00111EDE" w:rsidP="00111EDE">
      <w:pPr>
        <w:pStyle w:val="FootnoteText"/>
      </w:pPr>
      <w:r>
        <w:rPr>
          <w:rStyle w:val="FootnoteReference"/>
        </w:rPr>
        <w:footnoteRef/>
      </w:r>
      <w:r>
        <w:t xml:space="preserve"> </w:t>
      </w:r>
      <w:r>
        <w:tab/>
      </w:r>
      <w:r>
        <w:t xml:space="preserve">Napominjemo da se za program potpora trajanje odnosi na razdoblje tijekom kojeg se može podnijeti zahtjev za potporu i u kojem se o njemu odlučuje (uključuje i vrijeme koje je vlastima potrebno za odobravanje zahtjeva za potporu).</w:t>
      </w:r>
      <w:r>
        <w:t xml:space="preserve"> </w:t>
      </w:r>
      <w:r>
        <w:t xml:space="preserve">Trajanje navedeno u ovom pitanju ne odnosi se na trajanje ugovora sklopljenih u okviru programa potpore, koje se može nastaviti i nakon isteka mjere.</w:t>
      </w:r>
      <w:r>
        <w:t xml:space="preserve"> </w:t>
      </w:r>
    </w:p>
  </w:footnote>
  <w:footnote w:id="4">
    <w:p w14:paraId="18104C0E" w14:textId="77777777" w:rsidR="00111EDE" w:rsidRPr="0067348B" w:rsidRDefault="00111EDE" w:rsidP="00111EDE">
      <w:pPr>
        <w:pStyle w:val="FootnoteText"/>
      </w:pPr>
      <w:r>
        <w:rPr>
          <w:rStyle w:val="FootnoteReference"/>
        </w:rPr>
        <w:footnoteRef/>
      </w:r>
      <w:r>
        <w:tab/>
      </w:r>
      <w:r>
        <w:t xml:space="preserve">Napominjemo da promjena stvarnog ili procijenjenog proračuna može činiti izmjenu potpore za koju je potrebno podnijeti novu prijavu.</w:t>
      </w:r>
    </w:p>
  </w:footnote>
  <w:footnote w:id="5">
    <w:p w14:paraId="619B015F" w14:textId="77777777" w:rsidR="00B35947" w:rsidRPr="00CC03BD" w:rsidRDefault="00B35947" w:rsidP="00B35947">
      <w:pPr>
        <w:pStyle w:val="FootnoteText"/>
      </w:pPr>
      <w:r>
        <w:rPr>
          <w:rStyle w:val="FootnoteReference"/>
        </w:rPr>
        <w:footnoteRef/>
      </w:r>
      <w:r>
        <w:t xml:space="preserve"> </w:t>
      </w:r>
      <w:r>
        <w:tab/>
      </w:r>
      <w:r>
        <w:t xml:space="preserve">U bilješci 74. navodi se da bi ulaganja u jednu vrstu dijelova zgrade mogla, na primjer, biti usmjerena na zamjenu prozora ili kotlova ili na izolaciju zida.</w:t>
      </w:r>
    </w:p>
  </w:footnote>
  <w:footnote w:id="6">
    <w:p w14:paraId="2024B5EE" w14:textId="0A95B5DE" w:rsidR="006C5D8B" w:rsidRPr="00CF158B" w:rsidRDefault="006C5D8B" w:rsidP="006C5D8B">
      <w:pPr>
        <w:pStyle w:val="FootnoteText"/>
      </w:pPr>
      <w:r>
        <w:rPr>
          <w:rStyle w:val="FootnoteReference"/>
        </w:rPr>
        <w:footnoteRef/>
      </w:r>
      <w:r>
        <w:t xml:space="preserve"> </w:t>
      </w:r>
      <w:r>
        <w:tab/>
      </w:r>
      <w:r>
        <w:t xml:space="preserve">Napominjemo da točke 38. i 52. te bilješke 39. i 45. CEEAG-a sadržavaju dodatne smjernice za utvrđivanje vjerojatnog protučinjeničnog scenarija.</w:t>
      </w:r>
    </w:p>
  </w:footnote>
  <w:footnote w:id="7">
    <w:p w14:paraId="593783A2" w14:textId="77777777" w:rsidR="005B7459" w:rsidRPr="00114695" w:rsidRDefault="005B7459" w:rsidP="005B7459">
      <w:pPr>
        <w:pStyle w:val="FootnoteText"/>
      </w:pPr>
      <w:r>
        <w:rPr>
          <w:rStyle w:val="FootnoteReference"/>
        </w:rPr>
        <w:footnoteRef/>
      </w:r>
      <w:r>
        <w:t xml:space="preserve"> </w:t>
      </w:r>
      <w:r>
        <w:tab/>
      </w:r>
      <w:r>
        <w:t xml:space="preserve">„Referentni projekt” definiran je u točki 19. podtočki 63. CEEAG-a.</w:t>
      </w:r>
    </w:p>
  </w:footnote>
  <w:footnote w:id="8">
    <w:p w14:paraId="0BFAE3BE" w14:textId="77777777" w:rsidR="006C5D8B" w:rsidRDefault="006C5D8B" w:rsidP="006C5D8B">
      <w:pPr>
        <w:pStyle w:val="FootnoteText"/>
      </w:pPr>
      <w:r>
        <w:rPr>
          <w:rStyle w:val="FootnoteReference"/>
        </w:rPr>
        <w:footnoteRef/>
      </w:r>
      <w:r>
        <w:t xml:space="preserve"> </w:t>
      </w:r>
      <w:r>
        <w:tab/>
      </w:r>
      <w:r>
        <w:t xml:space="preserve">Ako procjenu temeljite na nedavnom natječajnom postupku, objasnite kako se taj natječajni postupak može smatrati konkurentnim, uključujući način na koji je izbjegnuta nepredviđena dobit za razne tehnologije obuhvaćene konkurentnim natječajnim postupkom, ako je primjenjivo, i kako je usporediv, na primjer:</w:t>
      </w:r>
    </w:p>
    <w:p w14:paraId="32FF99E9" w14:textId="09CF0337" w:rsidR="006C5D8B" w:rsidRDefault="006C5D8B" w:rsidP="00BC0346">
      <w:pPr>
        <w:pStyle w:val="FootnoteText"/>
        <w:numPr>
          <w:ilvl w:val="0"/>
          <w:numId w:val="29"/>
        </w:numPr>
      </w:pPr>
      <w:r>
        <w:t xml:space="preserve">Jesu li uvjeti (npr. uvjeti i trajanje ugovora, rokovi ulaganja, jesu li plaćanja potpore indeksirana prema inflaciji ili ne) slični onima predloženima u prijavljenoj mjeri?</w:t>
      </w:r>
    </w:p>
    <w:p w14:paraId="12C047BB" w14:textId="77777777" w:rsidR="006C5D8B" w:rsidRDefault="006C5D8B" w:rsidP="00BC0346">
      <w:pPr>
        <w:pStyle w:val="FootnoteText"/>
        <w:numPr>
          <w:ilvl w:val="0"/>
          <w:numId w:val="29"/>
        </w:numPr>
      </w:pPr>
      <w:r>
        <w:t xml:space="preserve">Je li natječajni postupak proveden u sličnim makroekonomskim uvjetima?</w:t>
      </w:r>
    </w:p>
    <w:p w14:paraId="758C7A5E" w14:textId="77777777" w:rsidR="006C5D8B" w:rsidRDefault="006C5D8B" w:rsidP="00BC0346">
      <w:pPr>
        <w:pStyle w:val="FootnoteText"/>
        <w:numPr>
          <w:ilvl w:val="0"/>
          <w:numId w:val="29"/>
        </w:numPr>
      </w:pPr>
      <w:r>
        <w:t xml:space="preserve">Jesu li tehnologije / vrste projekata slične?</w:t>
      </w:r>
    </w:p>
  </w:footnote>
  <w:footnote w:id="9">
    <w:p w14:paraId="590F3FC7" w14:textId="30CB4935" w:rsidR="00770302" w:rsidRPr="003D1C23" w:rsidRDefault="00770302" w:rsidP="00821F07">
      <w:pPr>
        <w:pStyle w:val="FootnoteText"/>
      </w:pPr>
      <w:r>
        <w:rPr>
          <w:rStyle w:val="FootnoteReference"/>
        </w:rPr>
        <w:footnoteRef/>
      </w:r>
      <w:r>
        <w:t xml:space="preserve"> </w:t>
      </w:r>
      <w:r>
        <w:tab/>
      </w:r>
      <w:r>
        <w:t xml:space="preserve">U skladu s točkom 19. podtočkom 89. CEEAG-a „norma Unije” znači:</w:t>
      </w:r>
    </w:p>
    <w:p w14:paraId="340A0B20" w14:textId="77777777" w:rsidR="00770302" w:rsidRPr="003D1C23" w:rsidRDefault="00770302" w:rsidP="00BC0346">
      <w:pPr>
        <w:pStyle w:val="FootnoteText"/>
        <w:numPr>
          <w:ilvl w:val="0"/>
          <w:numId w:val="26"/>
        </w:numPr>
      </w:pPr>
      <w:r>
        <w:t xml:space="preserve">obvezna norma Unije kojom se utvrđuju razine koje pojedini poduzetnici trebaju postići u smislu zaštite okoliša, isključujući norme ili ciljeve utvrđene na razini Unije koji su obvezujući za države članice, ali ne i za pojedinačne poduzetnike;</w:t>
      </w:r>
    </w:p>
    <w:p w14:paraId="02AC4E0B" w14:textId="609C0B25" w:rsidR="00770302" w:rsidRPr="003D1C23" w:rsidRDefault="00770302" w:rsidP="00BC0346">
      <w:pPr>
        <w:pStyle w:val="FootnoteText"/>
        <w:numPr>
          <w:ilvl w:val="0"/>
          <w:numId w:val="26"/>
        </w:numPr>
      </w:pPr>
      <w:r>
        <w:t xml:space="preserve">obveza primjene najboljih raspoloživih tehnika (NRT), kako su definirane u Direktivi 2010/75/EU, i osiguravanja da razine emisija nisu više nego što bi bile uz primjenu NRT-a; ako su razine emisija povezane s NRT-om utvrđene u provedbenim aktima donesenima na temelju Direktive 2010/75/EU ili drugih primjenjivih direktiva, te će razine biti primjenjive za potrebe ovih Smjernica; ako su te razine izražene kao raspon, primjenjivat će se vrijednost prvog postizanja razina u skladu s NRT-om za predmetnog poduzetnika.</w:t>
      </w:r>
    </w:p>
  </w:footnote>
  <w:footnote w:id="10">
    <w:p w14:paraId="6853F00F" w14:textId="1EBBBF50" w:rsidR="00770302" w:rsidRPr="007E4A3E" w:rsidRDefault="00770302">
      <w:pPr>
        <w:pStyle w:val="FootnoteText"/>
      </w:pPr>
      <w:r>
        <w:rPr>
          <w:rStyle w:val="FootnoteReference"/>
        </w:rPr>
        <w:footnoteRef/>
      </w:r>
      <w:r>
        <w:t xml:space="preserve"> </w:t>
      </w:r>
      <w:r>
        <w:tab/>
      </w:r>
      <w:r>
        <w:t xml:space="preserve">Razdoblje povrata odnosi se na vrijeme potrebno da bi se ostvario povrat troškova ulaganja (bez potpore).</w:t>
      </w:r>
    </w:p>
  </w:footnote>
  <w:footnote w:id="11">
    <w:p w14:paraId="2937680B" w14:textId="77777777" w:rsidR="006C2F85" w:rsidRPr="0095488F" w:rsidRDefault="006C2F85" w:rsidP="006C2F85">
      <w:pPr>
        <w:pStyle w:val="FootnoteText"/>
      </w:pPr>
      <w:r>
        <w:rPr>
          <w:rStyle w:val="FootnoteReference"/>
        </w:rPr>
        <w:footnoteRef/>
      </w:r>
      <w:r>
        <w:t xml:space="preserve"> </w:t>
      </w:r>
      <w:r>
        <w:tab/>
      </w:r>
      <w:r>
        <w:t xml:space="preserve">Vidjeti i dodatne informacije u točkama od 51. do 53. te bilješkama 45. i 46. CEEAG-a.</w:t>
      </w:r>
    </w:p>
  </w:footnote>
  <w:footnote w:id="12">
    <w:p w14:paraId="739A8028" w14:textId="082B93E2" w:rsidR="009A7FA6" w:rsidRPr="007D07E2" w:rsidRDefault="009A7FA6" w:rsidP="009A7FA6">
      <w:pPr>
        <w:pStyle w:val="FootnoteText"/>
      </w:pPr>
      <w:r>
        <w:rPr>
          <w:rStyle w:val="FootnoteReference"/>
        </w:rPr>
        <w:footnoteRef/>
      </w:r>
      <w:r>
        <w:t xml:space="preserve"> </w:t>
      </w:r>
      <w:r>
        <w:tab/>
      </w:r>
      <w:r>
        <w:t xml:space="preserve">Napominjemo da točke 38., 52., 165., 166. i 167. te bilješke 39. i 45. CEEAG-a sadržavaju dodatne smjernice za utvrđivanje vjerojatnog protučinjeničnog scenarija.</w:t>
      </w:r>
    </w:p>
  </w:footnote>
  <w:footnote w:id="13">
    <w:p w14:paraId="68255F0B" w14:textId="33EEB9D6" w:rsidR="005679B2" w:rsidRDefault="005679B2" w:rsidP="005679B2">
      <w:pPr>
        <w:pStyle w:val="FootnoteText"/>
      </w:pPr>
      <w:r>
        <w:rPr>
          <w:rStyle w:val="FootnoteReference"/>
        </w:rPr>
        <w:footnoteRef/>
      </w:r>
      <w:r>
        <w:t xml:space="preserve"> </w:t>
      </w:r>
      <w:r>
        <w:tab/>
      </w:r>
      <w:r>
        <w:t xml:space="preserve">Napominjemo da se u bilješci 44. CEEAG-a navodi sljedeće:</w:t>
      </w:r>
      <w:r>
        <w:t xml:space="preserve"> </w:t>
      </w:r>
      <w:r>
        <w:t xml:space="preserve">„</w:t>
      </w:r>
      <w:r>
        <w:rPr>
          <w:i/>
          <w:color w:val="000000"/>
          <w:shd w:val="clear" w:color="auto" w:fill="FFFFFF"/>
        </w:rPr>
        <w:t xml:space="preserve">Pri ocjeni jedinica zaštite okoliša države članice mogu na primjer razviti metodologiju koja uzima u obzir emisije ili druge oblike zagađenja u različitim fazama gospodarske djelatnosti koja se podupire, trajanje ostvarivanja projekta ili troškove integracije sustava.</w:t>
      </w:r>
      <w:r>
        <w:rPr>
          <w:i/>
          <w:color w:val="000000"/>
          <w:shd w:val="clear" w:color="auto" w:fill="FFFFFF"/>
        </w:rPr>
        <w:t xml:space="preserve"> </w:t>
      </w:r>
      <w:r>
        <w:rPr>
          <w:i/>
          <w:color w:val="000000"/>
          <w:shd w:val="clear" w:color="auto" w:fill="FFFFFF"/>
        </w:rPr>
        <w:t xml:space="preserve">Pri analizi doprinosa glavnim ciljevima u odnosu na zatraženi iznos potpore, države članice mogu, na primjer, odvagnuti različite objektivne kriterije te na temelju iznosa potpore po jedinici ponderiranog prosjeka objektivnih kriterija ili među ograničenim rasponom ponuda s najnižim iznosom potpore po jedinici objektivnih kriterija odabrati projekte s najvećim brojem bodova na temelju objektivnih kriterija.</w:t>
      </w:r>
      <w:r>
        <w:rPr>
          <w:i/>
          <w:color w:val="000000"/>
          <w:shd w:val="clear" w:color="auto" w:fill="FFFFFF"/>
        </w:rPr>
        <w:t xml:space="preserve"> </w:t>
      </w:r>
      <w:r>
        <w:rPr>
          <w:i/>
          <w:color w:val="000000"/>
          <w:shd w:val="clear" w:color="auto" w:fill="FFFFFF"/>
          <w:i w:val="false"/>
        </w:rPr>
        <w:t xml:space="preserve">Parametri svakog takvog pristupa moraju se prilagoditi kako bi se osiguralo da natječajni postupak ostane nediskriminirajući i stvarno konkurentan te da odražava ekonomsku vrijednost.”</w:t>
      </w:r>
    </w:p>
  </w:footnote>
  <w:footnote w:id="14">
    <w:p w14:paraId="7C525AD8" w14:textId="7D6CBC42" w:rsidR="004345D1" w:rsidRDefault="004345D1" w:rsidP="004345D1">
      <w:pPr>
        <w:pStyle w:val="FootnoteText"/>
      </w:pPr>
      <w:r>
        <w:rPr>
          <w:rStyle w:val="FootnoteReference"/>
        </w:rPr>
        <w:footnoteRef/>
      </w:r>
      <w:r>
        <w:t xml:space="preserve"> </w:t>
      </w:r>
      <w:r>
        <w:tab/>
      </w:r>
      <w:r>
        <w:t xml:space="preserve">Financijska sredstva Unije kojima se centralizirano upravlja su financijska sredstva Unije kojima centralizirano upravljaju institucije, agencije, zajednička poduzeća ili ostala tijela Europske unije i koja nisu izravno ili neizravno pod kontrolom država članica.</w:t>
      </w:r>
    </w:p>
  </w:footnote>
  <w:footnote w:id="15">
    <w:p w14:paraId="67F58827" w14:textId="11D260F2" w:rsidR="001A0689" w:rsidRPr="008772CC" w:rsidRDefault="001A0689" w:rsidP="001A0689">
      <w:pPr>
        <w:pStyle w:val="FootnoteText"/>
      </w:pPr>
      <w:r>
        <w:rPr>
          <w:rStyle w:val="FootnoteReference"/>
        </w:rPr>
        <w:footnoteRef/>
      </w:r>
      <w:r>
        <w:t xml:space="preserve"> </w:t>
      </w:r>
      <w:r>
        <w:tab/>
      </w:r>
      <w:r>
        <w:t xml:space="preserve">Uredba (EU) 2020/852 Europskog parlamenta i Vijeća od 18. lipnja 2020. o uspostavi okvira za olakšavanje održivih ulaganja i izmjeni Uredbe (EU) 2019/2088 (SL L 198, 22.6.2020., str. 13.).</w:t>
      </w:r>
    </w:p>
  </w:footnote>
  <w:footnote w:id="16">
    <w:p w14:paraId="2031DE19" w14:textId="508259E6" w:rsidR="005B1125" w:rsidRDefault="005B1125" w:rsidP="005B1125">
      <w:pPr>
        <w:pStyle w:val="FootnoteText"/>
      </w:pPr>
      <w:r>
        <w:rPr>
          <w:rStyle w:val="FootnoteReference"/>
        </w:rPr>
        <w:footnoteRef/>
      </w:r>
      <w:r>
        <w:t xml:space="preserve"> </w:t>
      </w:r>
      <w:r>
        <w:tab/>
      </w:r>
      <w:r>
        <w:t xml:space="preserve">Predložak obrasca o dodatnim podacima za obavijest o planu evaluacije (dio III.8.) dostupan je ovdje: </w:t>
      </w:r>
      <w:hyperlink w:anchor="evaluation-plan" w:history="1">
        <w:r>
          <w:rPr>
            <w:rStyle w:val="Hyperlink"/>
            <w:color w:val="auto"/>
          </w:rPr>
          <w:t xml:space="preserve">https://competition-policy.ec.europa.eu/state-aid/legislation/forms-notifications-and-reporting_hr#evaluation-plan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770302" w:rsidRDefault="00770302"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BF7EBA"/>
    <w:multiLevelType w:val="hybridMultilevel"/>
    <w:tmpl w:val="C9A8BE38"/>
    <w:lvl w:ilvl="0" w:tplc="7564FC10">
      <w:start w:val="53"/>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88574B9"/>
    <w:multiLevelType w:val="hybridMultilevel"/>
    <w:tmpl w:val="C6EE3B4C"/>
    <w:lvl w:ilvl="0" w:tplc="E29C20F2">
      <w:start w:val="54"/>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377033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1FFC50CE"/>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85081898"/>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D3445272">
      <w:start w:val="1"/>
      <w:numFmt w:val="upperLetter"/>
      <w:lvlText w:val="%3)"/>
      <w:lvlJc w:val="left"/>
      <w:pPr>
        <w:ind w:left="2907" w:hanging="360"/>
      </w:pPr>
      <w:rPr>
        <w:rFonts w:hint="default"/>
      </w:rPr>
    </w:lvl>
    <w:lvl w:ilvl="3" w:tplc="BD60C2F4">
      <w:start w:val="1"/>
      <w:numFmt w:val="lowerRoman"/>
      <w:lvlText w:val="%4)"/>
      <w:lvlJc w:val="left"/>
      <w:pPr>
        <w:ind w:left="3807" w:hanging="720"/>
      </w:pPr>
      <w:rPr>
        <w:rFonts w:hint="default"/>
      </w:r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271C36"/>
    <w:multiLevelType w:val="hybridMultilevel"/>
    <w:tmpl w:val="34CE4186"/>
    <w:lvl w:ilvl="0" w:tplc="4A0E8710">
      <w:start w:val="1"/>
      <w:numFmt w:val="upperLetter"/>
      <w:lvlText w:val="%1."/>
      <w:lvlJc w:val="left"/>
      <w:pPr>
        <w:ind w:left="1077" w:hanging="360"/>
      </w:pPr>
      <w:rPr>
        <w:rFonts w:hint="default"/>
        <w:b/>
        <w:i w:val="0"/>
      </w:rPr>
    </w:lvl>
    <w:lvl w:ilvl="1" w:tplc="18090019">
      <w:start w:val="1"/>
      <w:numFmt w:val="lowerLetter"/>
      <w:lvlText w:val="%2."/>
      <w:lvlJc w:val="left"/>
      <w:pPr>
        <w:ind w:left="1797" w:hanging="360"/>
      </w:pPr>
    </w:lvl>
    <w:lvl w:ilvl="2" w:tplc="1809001B" w:tentative="1">
      <w:start w:val="1"/>
      <w:numFmt w:val="lowerRoman"/>
      <w:lvlText w:val="%3."/>
      <w:lvlJc w:val="right"/>
      <w:pPr>
        <w:ind w:left="2517" w:hanging="180"/>
      </w:pPr>
    </w:lvl>
    <w:lvl w:ilvl="3" w:tplc="1809000F" w:tentative="1">
      <w:start w:val="1"/>
      <w:numFmt w:val="decimal"/>
      <w:lvlText w:val="%4."/>
      <w:lvlJc w:val="left"/>
      <w:pPr>
        <w:ind w:left="3237" w:hanging="360"/>
      </w:pPr>
    </w:lvl>
    <w:lvl w:ilvl="4" w:tplc="18090019" w:tentative="1">
      <w:start w:val="1"/>
      <w:numFmt w:val="lowerLetter"/>
      <w:lvlText w:val="%5."/>
      <w:lvlJc w:val="left"/>
      <w:pPr>
        <w:ind w:left="3957" w:hanging="360"/>
      </w:pPr>
    </w:lvl>
    <w:lvl w:ilvl="5" w:tplc="1809001B" w:tentative="1">
      <w:start w:val="1"/>
      <w:numFmt w:val="lowerRoman"/>
      <w:lvlText w:val="%6."/>
      <w:lvlJc w:val="right"/>
      <w:pPr>
        <w:ind w:left="4677" w:hanging="180"/>
      </w:pPr>
    </w:lvl>
    <w:lvl w:ilvl="6" w:tplc="1809000F" w:tentative="1">
      <w:start w:val="1"/>
      <w:numFmt w:val="decimal"/>
      <w:lvlText w:val="%7."/>
      <w:lvlJc w:val="left"/>
      <w:pPr>
        <w:ind w:left="5397" w:hanging="360"/>
      </w:pPr>
    </w:lvl>
    <w:lvl w:ilvl="7" w:tplc="18090019" w:tentative="1">
      <w:start w:val="1"/>
      <w:numFmt w:val="lowerLetter"/>
      <w:lvlText w:val="%8."/>
      <w:lvlJc w:val="left"/>
      <w:pPr>
        <w:ind w:left="6117" w:hanging="360"/>
      </w:pPr>
    </w:lvl>
    <w:lvl w:ilvl="8" w:tplc="1809001B" w:tentative="1">
      <w:start w:val="1"/>
      <w:numFmt w:val="lowerRoman"/>
      <w:lvlText w:val="%9."/>
      <w:lvlJc w:val="right"/>
      <w:pPr>
        <w:ind w:left="6837" w:hanging="180"/>
      </w:pPr>
    </w:lvl>
  </w:abstractNum>
  <w:abstractNum w:abstractNumId="18" w15:restartNumberingAfterBreak="0">
    <w:nsid w:val="283C4A6D"/>
    <w:multiLevelType w:val="multilevel"/>
    <w:tmpl w:val="F9D4CD7C"/>
    <w:lvl w:ilvl="0">
      <w:start w:val="2"/>
      <w:numFmt w:val="decimal"/>
      <w:lvlText w:val="%1."/>
      <w:lvlJc w:val="left"/>
      <w:pPr>
        <w:ind w:left="540" w:hanging="540"/>
      </w:pPr>
      <w:rPr>
        <w:rFonts w:hint="default"/>
      </w:rPr>
    </w:lvl>
    <w:lvl w:ilvl="1">
      <w:start w:val="1"/>
      <w:numFmt w:val="decimal"/>
      <w:lvlText w:val="%1.%2."/>
      <w:lvlJc w:val="left"/>
      <w:pPr>
        <w:ind w:left="934" w:hanging="540"/>
      </w:pPr>
      <w:rPr>
        <w:rFonts w:hint="default"/>
      </w:rPr>
    </w:lvl>
    <w:lvl w:ilvl="2">
      <w:start w:val="4"/>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952" w:hanging="1800"/>
      </w:pPr>
      <w:rPr>
        <w:rFonts w:hint="default"/>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2EC46380"/>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2" w15:restartNumberingAfterBreak="0">
    <w:nsid w:val="312B69AE"/>
    <w:multiLevelType w:val="multilevel"/>
    <w:tmpl w:val="B756DD8C"/>
    <w:lvl w:ilvl="0">
      <w:start w:val="1"/>
      <w:numFmt w:val="decimal"/>
      <w:lvlText w:val="%1."/>
      <w:lvlJc w:val="left"/>
      <w:pPr>
        <w:ind w:left="360" w:hanging="360"/>
      </w:pPr>
      <w:rPr>
        <w:rFonts w:hint="default"/>
        <w:b/>
        <w:bCs/>
        <w:i/>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23C56BA"/>
    <w:multiLevelType w:val="hybridMultilevel"/>
    <w:tmpl w:val="1682C7F6"/>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4D74FB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92E5C7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8"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3956659"/>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43D12B8"/>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ABD089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6" w15:restartNumberingAfterBreak="0">
    <w:nsid w:val="56B65B1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82A06EE"/>
    <w:multiLevelType w:val="hybridMultilevel"/>
    <w:tmpl w:val="90DA8B2E"/>
    <w:lvl w:ilvl="0" w:tplc="0708207C">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5A7A552C"/>
    <w:multiLevelType w:val="hybridMultilevel"/>
    <w:tmpl w:val="9F7E30C8"/>
    <w:lvl w:ilvl="0" w:tplc="E1DC3154">
      <w:start w:val="50"/>
      <w:numFmt w:val="decimal"/>
      <w:lvlText w:val="%1."/>
      <w:lvlJc w:val="left"/>
      <w:pPr>
        <w:ind w:left="107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1" w15:restartNumberingAfterBreak="0">
    <w:nsid w:val="66A63355"/>
    <w:multiLevelType w:val="hybridMultilevel"/>
    <w:tmpl w:val="CF0EE4B2"/>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07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A823CC6"/>
    <w:multiLevelType w:val="hybridMultilevel"/>
    <w:tmpl w:val="6F00B8B4"/>
    <w:lvl w:ilvl="0" w:tplc="CBB2EC0A">
      <w:start w:val="1"/>
      <w:numFmt w:val="lowerRoman"/>
      <w:lvlText w:val="%1."/>
      <w:lvlJc w:val="left"/>
      <w:pPr>
        <w:ind w:left="1070" w:hanging="360"/>
      </w:pPr>
      <w:rPr>
        <w:rFonts w:ascii="Times New Roman" w:hAnsi="Times New Roman" w:hint="default"/>
        <w:b w:val="0"/>
        <w:i w:val="0"/>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5" w15:restartNumberingAfterBreak="0">
    <w:nsid w:val="70D44B2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920F4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150752698">
    <w:abstractNumId w:val="11"/>
  </w:num>
  <w:num w:numId="2" w16cid:durableId="1330985214">
    <w:abstractNumId w:val="14"/>
  </w:num>
  <w:num w:numId="3" w16cid:durableId="15517242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8152722">
    <w:abstractNumId w:val="41"/>
  </w:num>
  <w:num w:numId="5" w16cid:durableId="9960290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74159366">
    <w:abstractNumId w:val="27"/>
  </w:num>
  <w:num w:numId="7" w16cid:durableId="2031102397">
    <w:abstractNumId w:val="20"/>
  </w:num>
  <w:num w:numId="8" w16cid:durableId="1662810777">
    <w:abstractNumId w:val="10"/>
  </w:num>
  <w:num w:numId="9" w16cid:durableId="1016926466">
    <w:abstractNumId w:val="8"/>
  </w:num>
  <w:num w:numId="10" w16cid:durableId="1096444927">
    <w:abstractNumId w:val="39"/>
  </w:num>
  <w:num w:numId="11" w16cid:durableId="240263598">
    <w:abstractNumId w:val="42"/>
  </w:num>
  <w:num w:numId="12" w16cid:durableId="1068190420">
    <w:abstractNumId w:val="40"/>
  </w:num>
  <w:num w:numId="13" w16cid:durableId="1641612965">
    <w:abstractNumId w:val="44"/>
  </w:num>
  <w:num w:numId="14" w16cid:durableId="340202270">
    <w:abstractNumId w:val="16"/>
  </w:num>
  <w:num w:numId="15" w16cid:durableId="232132564">
    <w:abstractNumId w:val="31"/>
  </w:num>
  <w:num w:numId="16" w16cid:durableId="172426664">
    <w:abstractNumId w:val="4"/>
  </w:num>
  <w:num w:numId="17" w16cid:durableId="1575506200">
    <w:abstractNumId w:val="33"/>
  </w:num>
  <w:num w:numId="18" w16cid:durableId="1380981910">
    <w:abstractNumId w:val="1"/>
  </w:num>
  <w:num w:numId="19" w16cid:durableId="342711477">
    <w:abstractNumId w:val="0"/>
  </w:num>
  <w:num w:numId="20" w16cid:durableId="503252526">
    <w:abstractNumId w:val="3"/>
  </w:num>
  <w:num w:numId="21" w16cid:durableId="1069810368">
    <w:abstractNumId w:val="7"/>
  </w:num>
  <w:num w:numId="22" w16cid:durableId="1502427094">
    <w:abstractNumId w:val="15"/>
  </w:num>
  <w:num w:numId="23" w16cid:durableId="1892114411">
    <w:abstractNumId w:val="22"/>
  </w:num>
  <w:num w:numId="24" w16cid:durableId="1573617101">
    <w:abstractNumId w:val="12"/>
  </w:num>
  <w:num w:numId="25" w16cid:durableId="691415656">
    <w:abstractNumId w:val="19"/>
  </w:num>
  <w:num w:numId="26" w16cid:durableId="2047639237">
    <w:abstractNumId w:val="23"/>
  </w:num>
  <w:num w:numId="27" w16cid:durableId="1492255928">
    <w:abstractNumId w:val="43"/>
  </w:num>
  <w:num w:numId="28" w16cid:durableId="1553690374">
    <w:abstractNumId w:val="5"/>
  </w:num>
  <w:num w:numId="29" w16cid:durableId="1443843654">
    <w:abstractNumId w:val="37"/>
  </w:num>
  <w:num w:numId="30" w16cid:durableId="1132213113">
    <w:abstractNumId w:val="35"/>
  </w:num>
  <w:num w:numId="31" w16cid:durableId="217669527">
    <w:abstractNumId w:val="17"/>
  </w:num>
  <w:num w:numId="32" w16cid:durableId="1530292225">
    <w:abstractNumId w:val="47"/>
  </w:num>
  <w:num w:numId="33" w16cid:durableId="942612414">
    <w:abstractNumId w:val="13"/>
  </w:num>
  <w:num w:numId="34" w16cid:durableId="1940336618">
    <w:abstractNumId w:val="21"/>
  </w:num>
  <w:num w:numId="35" w16cid:durableId="65036042">
    <w:abstractNumId w:val="34"/>
  </w:num>
  <w:num w:numId="36" w16cid:durableId="1130325992">
    <w:abstractNumId w:val="18"/>
  </w:num>
  <w:num w:numId="37" w16cid:durableId="97870637">
    <w:abstractNumId w:val="46"/>
  </w:num>
  <w:num w:numId="38" w16cid:durableId="429592558">
    <w:abstractNumId w:val="36"/>
  </w:num>
  <w:num w:numId="39" w16cid:durableId="524052887">
    <w:abstractNumId w:val="29"/>
  </w:num>
  <w:num w:numId="40" w16cid:durableId="313341597">
    <w:abstractNumId w:val="25"/>
  </w:num>
  <w:num w:numId="41" w16cid:durableId="1422288012">
    <w:abstractNumId w:val="26"/>
  </w:num>
  <w:num w:numId="42" w16cid:durableId="1760835185">
    <w:abstractNumId w:val="38"/>
  </w:num>
  <w:num w:numId="43" w16cid:durableId="1630357023">
    <w:abstractNumId w:val="9"/>
  </w:num>
  <w:num w:numId="44" w16cid:durableId="1962956030">
    <w:abstractNumId w:val="2"/>
  </w:num>
  <w:num w:numId="45" w16cid:durableId="951395425">
    <w:abstractNumId w:val="6"/>
  </w:num>
  <w:num w:numId="46" w16cid:durableId="1593123412">
    <w:abstractNumId w:val="30"/>
  </w:num>
  <w:num w:numId="47" w16cid:durableId="1421103700">
    <w:abstractNumId w:val="24"/>
  </w:num>
  <w:num w:numId="48" w16cid:durableId="1199202945">
    <w:abstractNumId w:val="45"/>
  </w:num>
  <w:num w:numId="49" w16cid:durableId="1646618063">
    <w:abstractNumId w:val="4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dirty" w:grammar="dirty"/>
  <w:doNotTrackMoves/>
  <w:defaultTabStop w:val="720"/>
  <w:hyphenationZone w:val="425"/>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0E45"/>
    <w:rsid w:val="00001A9C"/>
    <w:rsid w:val="0000461B"/>
    <w:rsid w:val="00004DA7"/>
    <w:rsid w:val="000063AC"/>
    <w:rsid w:val="000068D8"/>
    <w:rsid w:val="0000705E"/>
    <w:rsid w:val="00011908"/>
    <w:rsid w:val="0001211F"/>
    <w:rsid w:val="00012F14"/>
    <w:rsid w:val="00015204"/>
    <w:rsid w:val="00015E2B"/>
    <w:rsid w:val="00016884"/>
    <w:rsid w:val="00016924"/>
    <w:rsid w:val="00020ECB"/>
    <w:rsid w:val="00021A11"/>
    <w:rsid w:val="0002251B"/>
    <w:rsid w:val="000236B2"/>
    <w:rsid w:val="00026DCF"/>
    <w:rsid w:val="00030283"/>
    <w:rsid w:val="000314D8"/>
    <w:rsid w:val="00031910"/>
    <w:rsid w:val="00033005"/>
    <w:rsid w:val="00034704"/>
    <w:rsid w:val="00035144"/>
    <w:rsid w:val="000369C2"/>
    <w:rsid w:val="00041455"/>
    <w:rsid w:val="00042BE2"/>
    <w:rsid w:val="00042D7B"/>
    <w:rsid w:val="0004325C"/>
    <w:rsid w:val="000442F5"/>
    <w:rsid w:val="0004464A"/>
    <w:rsid w:val="0004513C"/>
    <w:rsid w:val="000456D8"/>
    <w:rsid w:val="00046D40"/>
    <w:rsid w:val="00047E14"/>
    <w:rsid w:val="00047E5E"/>
    <w:rsid w:val="00047F95"/>
    <w:rsid w:val="00050E23"/>
    <w:rsid w:val="00050EB9"/>
    <w:rsid w:val="00051090"/>
    <w:rsid w:val="000515B8"/>
    <w:rsid w:val="0005297A"/>
    <w:rsid w:val="00052A5A"/>
    <w:rsid w:val="000531F9"/>
    <w:rsid w:val="00054C3D"/>
    <w:rsid w:val="00054C7D"/>
    <w:rsid w:val="000575C3"/>
    <w:rsid w:val="00062054"/>
    <w:rsid w:val="00062608"/>
    <w:rsid w:val="00066E4F"/>
    <w:rsid w:val="0006798B"/>
    <w:rsid w:val="00070CBC"/>
    <w:rsid w:val="00074701"/>
    <w:rsid w:val="00075057"/>
    <w:rsid w:val="0007525A"/>
    <w:rsid w:val="00075555"/>
    <w:rsid w:val="00076394"/>
    <w:rsid w:val="0008221F"/>
    <w:rsid w:val="00082E97"/>
    <w:rsid w:val="00091693"/>
    <w:rsid w:val="000A055E"/>
    <w:rsid w:val="000A1161"/>
    <w:rsid w:val="000A276B"/>
    <w:rsid w:val="000A4409"/>
    <w:rsid w:val="000A5825"/>
    <w:rsid w:val="000A5C13"/>
    <w:rsid w:val="000A7ADB"/>
    <w:rsid w:val="000B0AAF"/>
    <w:rsid w:val="000B1BDB"/>
    <w:rsid w:val="000B260D"/>
    <w:rsid w:val="000B4557"/>
    <w:rsid w:val="000B46CA"/>
    <w:rsid w:val="000B5389"/>
    <w:rsid w:val="000B64EA"/>
    <w:rsid w:val="000C3517"/>
    <w:rsid w:val="000C4785"/>
    <w:rsid w:val="000C4E6E"/>
    <w:rsid w:val="000C614B"/>
    <w:rsid w:val="000C64AD"/>
    <w:rsid w:val="000C7076"/>
    <w:rsid w:val="000D05BA"/>
    <w:rsid w:val="000D16FA"/>
    <w:rsid w:val="000D23DD"/>
    <w:rsid w:val="000D3144"/>
    <w:rsid w:val="000D3C54"/>
    <w:rsid w:val="000D7371"/>
    <w:rsid w:val="000D77DA"/>
    <w:rsid w:val="000D7A32"/>
    <w:rsid w:val="000E136C"/>
    <w:rsid w:val="000E1B03"/>
    <w:rsid w:val="000E1B4C"/>
    <w:rsid w:val="000E25F5"/>
    <w:rsid w:val="000E33A7"/>
    <w:rsid w:val="000E6B11"/>
    <w:rsid w:val="000E7DFF"/>
    <w:rsid w:val="000F14C1"/>
    <w:rsid w:val="000F176E"/>
    <w:rsid w:val="000F2D50"/>
    <w:rsid w:val="000F62F3"/>
    <w:rsid w:val="000F766C"/>
    <w:rsid w:val="000F7BBB"/>
    <w:rsid w:val="00100464"/>
    <w:rsid w:val="001009A5"/>
    <w:rsid w:val="00102684"/>
    <w:rsid w:val="0010280C"/>
    <w:rsid w:val="0010296F"/>
    <w:rsid w:val="00102E32"/>
    <w:rsid w:val="00105CC5"/>
    <w:rsid w:val="00105F00"/>
    <w:rsid w:val="00106A86"/>
    <w:rsid w:val="00106FA2"/>
    <w:rsid w:val="00111EDE"/>
    <w:rsid w:val="00115C85"/>
    <w:rsid w:val="001169CB"/>
    <w:rsid w:val="00116A56"/>
    <w:rsid w:val="00117CBD"/>
    <w:rsid w:val="00120336"/>
    <w:rsid w:val="0012340C"/>
    <w:rsid w:val="00124329"/>
    <w:rsid w:val="00124B6F"/>
    <w:rsid w:val="00125122"/>
    <w:rsid w:val="00126334"/>
    <w:rsid w:val="0013252D"/>
    <w:rsid w:val="0013532A"/>
    <w:rsid w:val="00135DD2"/>
    <w:rsid w:val="00136657"/>
    <w:rsid w:val="001368AC"/>
    <w:rsid w:val="00137177"/>
    <w:rsid w:val="0013791D"/>
    <w:rsid w:val="00137967"/>
    <w:rsid w:val="00137C03"/>
    <w:rsid w:val="00140522"/>
    <w:rsid w:val="00142B91"/>
    <w:rsid w:val="001430D9"/>
    <w:rsid w:val="00143ABF"/>
    <w:rsid w:val="00143AD2"/>
    <w:rsid w:val="00144C96"/>
    <w:rsid w:val="0014626D"/>
    <w:rsid w:val="00146F89"/>
    <w:rsid w:val="001474B5"/>
    <w:rsid w:val="00153262"/>
    <w:rsid w:val="0015340B"/>
    <w:rsid w:val="00153A89"/>
    <w:rsid w:val="001548B6"/>
    <w:rsid w:val="001555F0"/>
    <w:rsid w:val="00156BD1"/>
    <w:rsid w:val="00156EBE"/>
    <w:rsid w:val="00160B43"/>
    <w:rsid w:val="001620DB"/>
    <w:rsid w:val="001622D8"/>
    <w:rsid w:val="00164ADE"/>
    <w:rsid w:val="0016750C"/>
    <w:rsid w:val="00170FBF"/>
    <w:rsid w:val="001715B6"/>
    <w:rsid w:val="0017251B"/>
    <w:rsid w:val="00173E14"/>
    <w:rsid w:val="001746AF"/>
    <w:rsid w:val="00174F20"/>
    <w:rsid w:val="001759B4"/>
    <w:rsid w:val="00175C89"/>
    <w:rsid w:val="0017744F"/>
    <w:rsid w:val="00181BB0"/>
    <w:rsid w:val="0018341B"/>
    <w:rsid w:val="0018463C"/>
    <w:rsid w:val="001874A6"/>
    <w:rsid w:val="00187CD1"/>
    <w:rsid w:val="00190179"/>
    <w:rsid w:val="00191564"/>
    <w:rsid w:val="00193E48"/>
    <w:rsid w:val="00196847"/>
    <w:rsid w:val="00197CE8"/>
    <w:rsid w:val="00197F52"/>
    <w:rsid w:val="001A0085"/>
    <w:rsid w:val="001A02C8"/>
    <w:rsid w:val="001A0689"/>
    <w:rsid w:val="001A21E9"/>
    <w:rsid w:val="001A27D8"/>
    <w:rsid w:val="001A35EF"/>
    <w:rsid w:val="001A3EAF"/>
    <w:rsid w:val="001A7BBF"/>
    <w:rsid w:val="001A7CAC"/>
    <w:rsid w:val="001A7F7F"/>
    <w:rsid w:val="001B0D9B"/>
    <w:rsid w:val="001B645C"/>
    <w:rsid w:val="001B6590"/>
    <w:rsid w:val="001B6DD1"/>
    <w:rsid w:val="001C27EF"/>
    <w:rsid w:val="001C4353"/>
    <w:rsid w:val="001C4D88"/>
    <w:rsid w:val="001C5A50"/>
    <w:rsid w:val="001C5C04"/>
    <w:rsid w:val="001C6AF0"/>
    <w:rsid w:val="001C7129"/>
    <w:rsid w:val="001D3382"/>
    <w:rsid w:val="001D366B"/>
    <w:rsid w:val="001D69A5"/>
    <w:rsid w:val="001D7EE4"/>
    <w:rsid w:val="001E6859"/>
    <w:rsid w:val="001F17A4"/>
    <w:rsid w:val="001F56DC"/>
    <w:rsid w:val="001F57E5"/>
    <w:rsid w:val="001F680C"/>
    <w:rsid w:val="001F7806"/>
    <w:rsid w:val="00200D53"/>
    <w:rsid w:val="0020109B"/>
    <w:rsid w:val="002047B5"/>
    <w:rsid w:val="0020481D"/>
    <w:rsid w:val="00205C69"/>
    <w:rsid w:val="0020702F"/>
    <w:rsid w:val="0020770B"/>
    <w:rsid w:val="00207CD2"/>
    <w:rsid w:val="00207D52"/>
    <w:rsid w:val="00210409"/>
    <w:rsid w:val="002105E5"/>
    <w:rsid w:val="00210BE0"/>
    <w:rsid w:val="00211A92"/>
    <w:rsid w:val="00211CE3"/>
    <w:rsid w:val="00211E13"/>
    <w:rsid w:val="00213233"/>
    <w:rsid w:val="002155A9"/>
    <w:rsid w:val="00217F4D"/>
    <w:rsid w:val="00222274"/>
    <w:rsid w:val="002225A0"/>
    <w:rsid w:val="00223237"/>
    <w:rsid w:val="00223BA2"/>
    <w:rsid w:val="0022598D"/>
    <w:rsid w:val="00225B62"/>
    <w:rsid w:val="00225FCA"/>
    <w:rsid w:val="00226704"/>
    <w:rsid w:val="00230614"/>
    <w:rsid w:val="0023543E"/>
    <w:rsid w:val="00235A26"/>
    <w:rsid w:val="0024051A"/>
    <w:rsid w:val="00242A27"/>
    <w:rsid w:val="002449E1"/>
    <w:rsid w:val="002464D3"/>
    <w:rsid w:val="00250081"/>
    <w:rsid w:val="00250481"/>
    <w:rsid w:val="0025063B"/>
    <w:rsid w:val="00250D98"/>
    <w:rsid w:val="00251F10"/>
    <w:rsid w:val="0025374D"/>
    <w:rsid w:val="002565B7"/>
    <w:rsid w:val="00256F72"/>
    <w:rsid w:val="002571CE"/>
    <w:rsid w:val="00260BD3"/>
    <w:rsid w:val="00262A24"/>
    <w:rsid w:val="00263A65"/>
    <w:rsid w:val="0026498C"/>
    <w:rsid w:val="00264A0C"/>
    <w:rsid w:val="00264B62"/>
    <w:rsid w:val="00264FE6"/>
    <w:rsid w:val="00265702"/>
    <w:rsid w:val="002710BA"/>
    <w:rsid w:val="002727F7"/>
    <w:rsid w:val="00274EBD"/>
    <w:rsid w:val="002756CD"/>
    <w:rsid w:val="00275EC1"/>
    <w:rsid w:val="00276812"/>
    <w:rsid w:val="00276F1C"/>
    <w:rsid w:val="00277604"/>
    <w:rsid w:val="00277BC0"/>
    <w:rsid w:val="00280369"/>
    <w:rsid w:val="002808CF"/>
    <w:rsid w:val="00280C47"/>
    <w:rsid w:val="00280D61"/>
    <w:rsid w:val="00284ADA"/>
    <w:rsid w:val="0029002E"/>
    <w:rsid w:val="0029110A"/>
    <w:rsid w:val="00291ACC"/>
    <w:rsid w:val="002928CD"/>
    <w:rsid w:val="00293076"/>
    <w:rsid w:val="00293355"/>
    <w:rsid w:val="002933E1"/>
    <w:rsid w:val="00293B29"/>
    <w:rsid w:val="002945BF"/>
    <w:rsid w:val="00294BAC"/>
    <w:rsid w:val="00295028"/>
    <w:rsid w:val="00295065"/>
    <w:rsid w:val="00295C90"/>
    <w:rsid w:val="0029714D"/>
    <w:rsid w:val="002A0DB8"/>
    <w:rsid w:val="002A11D4"/>
    <w:rsid w:val="002A2303"/>
    <w:rsid w:val="002A23A4"/>
    <w:rsid w:val="002A23B7"/>
    <w:rsid w:val="002A303D"/>
    <w:rsid w:val="002A35FD"/>
    <w:rsid w:val="002A3B51"/>
    <w:rsid w:val="002A6F78"/>
    <w:rsid w:val="002B0498"/>
    <w:rsid w:val="002B0E37"/>
    <w:rsid w:val="002B0F24"/>
    <w:rsid w:val="002B2BAA"/>
    <w:rsid w:val="002B4028"/>
    <w:rsid w:val="002B4509"/>
    <w:rsid w:val="002B52B3"/>
    <w:rsid w:val="002B6207"/>
    <w:rsid w:val="002B6955"/>
    <w:rsid w:val="002B6EC3"/>
    <w:rsid w:val="002B70C6"/>
    <w:rsid w:val="002C0264"/>
    <w:rsid w:val="002C06B8"/>
    <w:rsid w:val="002C1559"/>
    <w:rsid w:val="002C4A0F"/>
    <w:rsid w:val="002C4CEE"/>
    <w:rsid w:val="002C6636"/>
    <w:rsid w:val="002C6BE5"/>
    <w:rsid w:val="002D014F"/>
    <w:rsid w:val="002D0776"/>
    <w:rsid w:val="002D3277"/>
    <w:rsid w:val="002D4A61"/>
    <w:rsid w:val="002D67D0"/>
    <w:rsid w:val="002D6F97"/>
    <w:rsid w:val="002E10AC"/>
    <w:rsid w:val="002E1B91"/>
    <w:rsid w:val="002E4B71"/>
    <w:rsid w:val="002F03EC"/>
    <w:rsid w:val="002F0E5F"/>
    <w:rsid w:val="002F16BD"/>
    <w:rsid w:val="002F344E"/>
    <w:rsid w:val="002F4845"/>
    <w:rsid w:val="002F4F73"/>
    <w:rsid w:val="002F635D"/>
    <w:rsid w:val="002F7977"/>
    <w:rsid w:val="0030040A"/>
    <w:rsid w:val="0030415C"/>
    <w:rsid w:val="00304535"/>
    <w:rsid w:val="00305DC0"/>
    <w:rsid w:val="00306461"/>
    <w:rsid w:val="0030792B"/>
    <w:rsid w:val="00307FC7"/>
    <w:rsid w:val="00310D1A"/>
    <w:rsid w:val="003113DB"/>
    <w:rsid w:val="00312A8F"/>
    <w:rsid w:val="00313947"/>
    <w:rsid w:val="003151F7"/>
    <w:rsid w:val="00317101"/>
    <w:rsid w:val="00317C41"/>
    <w:rsid w:val="00321483"/>
    <w:rsid w:val="00321874"/>
    <w:rsid w:val="00321A13"/>
    <w:rsid w:val="00323C66"/>
    <w:rsid w:val="00324224"/>
    <w:rsid w:val="00325713"/>
    <w:rsid w:val="00326166"/>
    <w:rsid w:val="00326F40"/>
    <w:rsid w:val="00327439"/>
    <w:rsid w:val="0033207B"/>
    <w:rsid w:val="00333D51"/>
    <w:rsid w:val="003342BE"/>
    <w:rsid w:val="0033512A"/>
    <w:rsid w:val="003358B3"/>
    <w:rsid w:val="00336A87"/>
    <w:rsid w:val="003374EE"/>
    <w:rsid w:val="0033782F"/>
    <w:rsid w:val="00341A29"/>
    <w:rsid w:val="00341C6B"/>
    <w:rsid w:val="00343948"/>
    <w:rsid w:val="00343B45"/>
    <w:rsid w:val="00344211"/>
    <w:rsid w:val="00345523"/>
    <w:rsid w:val="003458AA"/>
    <w:rsid w:val="00346146"/>
    <w:rsid w:val="003469DB"/>
    <w:rsid w:val="00351C3D"/>
    <w:rsid w:val="00353341"/>
    <w:rsid w:val="0035469D"/>
    <w:rsid w:val="00355ECB"/>
    <w:rsid w:val="0036238A"/>
    <w:rsid w:val="0036428C"/>
    <w:rsid w:val="0036446B"/>
    <w:rsid w:val="00364FC0"/>
    <w:rsid w:val="003664A8"/>
    <w:rsid w:val="00372914"/>
    <w:rsid w:val="00373272"/>
    <w:rsid w:val="00374DC2"/>
    <w:rsid w:val="00374F76"/>
    <w:rsid w:val="003764EE"/>
    <w:rsid w:val="003765A5"/>
    <w:rsid w:val="0038016C"/>
    <w:rsid w:val="00380F3B"/>
    <w:rsid w:val="00381C09"/>
    <w:rsid w:val="00382339"/>
    <w:rsid w:val="0038254B"/>
    <w:rsid w:val="00382CE5"/>
    <w:rsid w:val="00382DE7"/>
    <w:rsid w:val="0038414B"/>
    <w:rsid w:val="00384B34"/>
    <w:rsid w:val="00384C75"/>
    <w:rsid w:val="00387331"/>
    <w:rsid w:val="00387A82"/>
    <w:rsid w:val="0039008E"/>
    <w:rsid w:val="00391015"/>
    <w:rsid w:val="00392A3E"/>
    <w:rsid w:val="00393A93"/>
    <w:rsid w:val="00393F76"/>
    <w:rsid w:val="00394CF5"/>
    <w:rsid w:val="0039646D"/>
    <w:rsid w:val="00396BCE"/>
    <w:rsid w:val="003A56C9"/>
    <w:rsid w:val="003A66DE"/>
    <w:rsid w:val="003B216F"/>
    <w:rsid w:val="003B58FE"/>
    <w:rsid w:val="003B60E8"/>
    <w:rsid w:val="003C11E1"/>
    <w:rsid w:val="003C1D16"/>
    <w:rsid w:val="003C1D18"/>
    <w:rsid w:val="003C33B1"/>
    <w:rsid w:val="003C4F59"/>
    <w:rsid w:val="003C668A"/>
    <w:rsid w:val="003C6D6A"/>
    <w:rsid w:val="003C6E98"/>
    <w:rsid w:val="003C7E11"/>
    <w:rsid w:val="003D0AAE"/>
    <w:rsid w:val="003D1C23"/>
    <w:rsid w:val="003D1F20"/>
    <w:rsid w:val="003D4160"/>
    <w:rsid w:val="003D433B"/>
    <w:rsid w:val="003D4D77"/>
    <w:rsid w:val="003D5A75"/>
    <w:rsid w:val="003D5BF4"/>
    <w:rsid w:val="003E013B"/>
    <w:rsid w:val="003E14F9"/>
    <w:rsid w:val="003E2897"/>
    <w:rsid w:val="003E3BCF"/>
    <w:rsid w:val="003E4266"/>
    <w:rsid w:val="003E52C3"/>
    <w:rsid w:val="003E621E"/>
    <w:rsid w:val="003E6E6B"/>
    <w:rsid w:val="003E7E57"/>
    <w:rsid w:val="003F0334"/>
    <w:rsid w:val="003F11EA"/>
    <w:rsid w:val="003F17D8"/>
    <w:rsid w:val="003F1B1C"/>
    <w:rsid w:val="003F25B3"/>
    <w:rsid w:val="003F4FF5"/>
    <w:rsid w:val="003F5046"/>
    <w:rsid w:val="003F5EDD"/>
    <w:rsid w:val="003F629D"/>
    <w:rsid w:val="003F7F73"/>
    <w:rsid w:val="00403BCE"/>
    <w:rsid w:val="0040438F"/>
    <w:rsid w:val="00405463"/>
    <w:rsid w:val="004058A0"/>
    <w:rsid w:val="004065A8"/>
    <w:rsid w:val="00406CDE"/>
    <w:rsid w:val="00407C0A"/>
    <w:rsid w:val="00410D64"/>
    <w:rsid w:val="00411A2F"/>
    <w:rsid w:val="004133BD"/>
    <w:rsid w:val="004138AA"/>
    <w:rsid w:val="004152C3"/>
    <w:rsid w:val="00415614"/>
    <w:rsid w:val="004165E0"/>
    <w:rsid w:val="00416D76"/>
    <w:rsid w:val="0042168A"/>
    <w:rsid w:val="00421E18"/>
    <w:rsid w:val="00421F63"/>
    <w:rsid w:val="00422410"/>
    <w:rsid w:val="004229EC"/>
    <w:rsid w:val="00423016"/>
    <w:rsid w:val="00423A4C"/>
    <w:rsid w:val="004261E0"/>
    <w:rsid w:val="00427762"/>
    <w:rsid w:val="00427823"/>
    <w:rsid w:val="00431D32"/>
    <w:rsid w:val="00432413"/>
    <w:rsid w:val="00432738"/>
    <w:rsid w:val="00433E0F"/>
    <w:rsid w:val="0043413B"/>
    <w:rsid w:val="004345D1"/>
    <w:rsid w:val="00435C49"/>
    <w:rsid w:val="00435FBA"/>
    <w:rsid w:val="00435FF0"/>
    <w:rsid w:val="00436F14"/>
    <w:rsid w:val="004371AE"/>
    <w:rsid w:val="00437878"/>
    <w:rsid w:val="00441F0B"/>
    <w:rsid w:val="00445A3E"/>
    <w:rsid w:val="00445F48"/>
    <w:rsid w:val="004473F5"/>
    <w:rsid w:val="00447E20"/>
    <w:rsid w:val="004525DA"/>
    <w:rsid w:val="00452F5A"/>
    <w:rsid w:val="004553F1"/>
    <w:rsid w:val="004556D2"/>
    <w:rsid w:val="004655B6"/>
    <w:rsid w:val="00471978"/>
    <w:rsid w:val="00471B74"/>
    <w:rsid w:val="004755F4"/>
    <w:rsid w:val="004776A4"/>
    <w:rsid w:val="0048026D"/>
    <w:rsid w:val="004810CA"/>
    <w:rsid w:val="004811A3"/>
    <w:rsid w:val="00482398"/>
    <w:rsid w:val="00483882"/>
    <w:rsid w:val="00484374"/>
    <w:rsid w:val="00493B47"/>
    <w:rsid w:val="00494441"/>
    <w:rsid w:val="00496E86"/>
    <w:rsid w:val="00497548"/>
    <w:rsid w:val="00497669"/>
    <w:rsid w:val="004976C6"/>
    <w:rsid w:val="004A1394"/>
    <w:rsid w:val="004A2701"/>
    <w:rsid w:val="004A4D2D"/>
    <w:rsid w:val="004A5FB0"/>
    <w:rsid w:val="004B0C34"/>
    <w:rsid w:val="004B10B5"/>
    <w:rsid w:val="004B1B6D"/>
    <w:rsid w:val="004B24A3"/>
    <w:rsid w:val="004B2EF3"/>
    <w:rsid w:val="004B5C2A"/>
    <w:rsid w:val="004B74BC"/>
    <w:rsid w:val="004C0064"/>
    <w:rsid w:val="004C1EA1"/>
    <w:rsid w:val="004C6417"/>
    <w:rsid w:val="004C67CC"/>
    <w:rsid w:val="004D061A"/>
    <w:rsid w:val="004D0699"/>
    <w:rsid w:val="004D1161"/>
    <w:rsid w:val="004D14A6"/>
    <w:rsid w:val="004D257D"/>
    <w:rsid w:val="004D34AD"/>
    <w:rsid w:val="004D5CD6"/>
    <w:rsid w:val="004D6830"/>
    <w:rsid w:val="004D6B12"/>
    <w:rsid w:val="004E0438"/>
    <w:rsid w:val="004E0647"/>
    <w:rsid w:val="004E1226"/>
    <w:rsid w:val="004E1CCE"/>
    <w:rsid w:val="004E2995"/>
    <w:rsid w:val="004E2DBE"/>
    <w:rsid w:val="004E3EBC"/>
    <w:rsid w:val="004E5098"/>
    <w:rsid w:val="004E71DB"/>
    <w:rsid w:val="004F0999"/>
    <w:rsid w:val="004F0D5D"/>
    <w:rsid w:val="004F0D62"/>
    <w:rsid w:val="004F192A"/>
    <w:rsid w:val="004F1FC4"/>
    <w:rsid w:val="004F277F"/>
    <w:rsid w:val="004F668D"/>
    <w:rsid w:val="004F7321"/>
    <w:rsid w:val="005003AE"/>
    <w:rsid w:val="00501DBF"/>
    <w:rsid w:val="0050219C"/>
    <w:rsid w:val="005021BB"/>
    <w:rsid w:val="005021C4"/>
    <w:rsid w:val="00502FC2"/>
    <w:rsid w:val="00503739"/>
    <w:rsid w:val="005039EF"/>
    <w:rsid w:val="00503FD6"/>
    <w:rsid w:val="00504F2E"/>
    <w:rsid w:val="00507D75"/>
    <w:rsid w:val="005105A1"/>
    <w:rsid w:val="0051165C"/>
    <w:rsid w:val="00512A31"/>
    <w:rsid w:val="0051324D"/>
    <w:rsid w:val="00514375"/>
    <w:rsid w:val="00523E17"/>
    <w:rsid w:val="00524E52"/>
    <w:rsid w:val="00526607"/>
    <w:rsid w:val="00526AC6"/>
    <w:rsid w:val="00526ADF"/>
    <w:rsid w:val="00526C7E"/>
    <w:rsid w:val="00526E16"/>
    <w:rsid w:val="0053006D"/>
    <w:rsid w:val="00532BFD"/>
    <w:rsid w:val="005333AD"/>
    <w:rsid w:val="00533AE4"/>
    <w:rsid w:val="005440AC"/>
    <w:rsid w:val="0054472A"/>
    <w:rsid w:val="00544B04"/>
    <w:rsid w:val="005450FE"/>
    <w:rsid w:val="00545B2F"/>
    <w:rsid w:val="00546CDE"/>
    <w:rsid w:val="00547417"/>
    <w:rsid w:val="0054789D"/>
    <w:rsid w:val="005536DD"/>
    <w:rsid w:val="00553DC1"/>
    <w:rsid w:val="00554E1F"/>
    <w:rsid w:val="00557323"/>
    <w:rsid w:val="00557962"/>
    <w:rsid w:val="00562354"/>
    <w:rsid w:val="00562801"/>
    <w:rsid w:val="00564D5B"/>
    <w:rsid w:val="005658F3"/>
    <w:rsid w:val="00566315"/>
    <w:rsid w:val="005679B2"/>
    <w:rsid w:val="00571910"/>
    <w:rsid w:val="0057276B"/>
    <w:rsid w:val="00573A4B"/>
    <w:rsid w:val="0057408B"/>
    <w:rsid w:val="00574327"/>
    <w:rsid w:val="00574B2E"/>
    <w:rsid w:val="00576C43"/>
    <w:rsid w:val="00577AF5"/>
    <w:rsid w:val="005832CC"/>
    <w:rsid w:val="0058489E"/>
    <w:rsid w:val="00584C15"/>
    <w:rsid w:val="00587CF7"/>
    <w:rsid w:val="00592A5F"/>
    <w:rsid w:val="00595B10"/>
    <w:rsid w:val="00596C8D"/>
    <w:rsid w:val="005A02AB"/>
    <w:rsid w:val="005A370E"/>
    <w:rsid w:val="005A3899"/>
    <w:rsid w:val="005A3CE7"/>
    <w:rsid w:val="005A3FE1"/>
    <w:rsid w:val="005A412F"/>
    <w:rsid w:val="005A4D83"/>
    <w:rsid w:val="005A5817"/>
    <w:rsid w:val="005A736F"/>
    <w:rsid w:val="005B0913"/>
    <w:rsid w:val="005B0BB7"/>
    <w:rsid w:val="005B0FA8"/>
    <w:rsid w:val="005B1125"/>
    <w:rsid w:val="005B1A69"/>
    <w:rsid w:val="005B2DB0"/>
    <w:rsid w:val="005B2FED"/>
    <w:rsid w:val="005B40D5"/>
    <w:rsid w:val="005B7459"/>
    <w:rsid w:val="005B7DF0"/>
    <w:rsid w:val="005B7EC4"/>
    <w:rsid w:val="005C0DBD"/>
    <w:rsid w:val="005C2ABA"/>
    <w:rsid w:val="005C385B"/>
    <w:rsid w:val="005C3D0B"/>
    <w:rsid w:val="005C5481"/>
    <w:rsid w:val="005C6138"/>
    <w:rsid w:val="005C6594"/>
    <w:rsid w:val="005C68A3"/>
    <w:rsid w:val="005C6996"/>
    <w:rsid w:val="005C7B32"/>
    <w:rsid w:val="005C7F0C"/>
    <w:rsid w:val="005D3A8D"/>
    <w:rsid w:val="005D3C30"/>
    <w:rsid w:val="005D6200"/>
    <w:rsid w:val="005D6DC2"/>
    <w:rsid w:val="005E0688"/>
    <w:rsid w:val="005E3625"/>
    <w:rsid w:val="005E45B5"/>
    <w:rsid w:val="005F0397"/>
    <w:rsid w:val="005F0E0A"/>
    <w:rsid w:val="005F4A56"/>
    <w:rsid w:val="005F5257"/>
    <w:rsid w:val="005F646C"/>
    <w:rsid w:val="005F6E6B"/>
    <w:rsid w:val="005F78D1"/>
    <w:rsid w:val="00602C10"/>
    <w:rsid w:val="00606D3F"/>
    <w:rsid w:val="00607AC8"/>
    <w:rsid w:val="006104F3"/>
    <w:rsid w:val="00611562"/>
    <w:rsid w:val="006116CB"/>
    <w:rsid w:val="00612710"/>
    <w:rsid w:val="00613560"/>
    <w:rsid w:val="0061499B"/>
    <w:rsid w:val="00615130"/>
    <w:rsid w:val="006209FA"/>
    <w:rsid w:val="00622E98"/>
    <w:rsid w:val="00627715"/>
    <w:rsid w:val="00631FF8"/>
    <w:rsid w:val="00633726"/>
    <w:rsid w:val="00633A78"/>
    <w:rsid w:val="00635434"/>
    <w:rsid w:val="00635924"/>
    <w:rsid w:val="0063655D"/>
    <w:rsid w:val="00637C18"/>
    <w:rsid w:val="0064149F"/>
    <w:rsid w:val="00643C9C"/>
    <w:rsid w:val="006445C3"/>
    <w:rsid w:val="0064533D"/>
    <w:rsid w:val="006460F8"/>
    <w:rsid w:val="006461A6"/>
    <w:rsid w:val="00651F2E"/>
    <w:rsid w:val="00653273"/>
    <w:rsid w:val="00653F5A"/>
    <w:rsid w:val="0065617D"/>
    <w:rsid w:val="00657402"/>
    <w:rsid w:val="00660F14"/>
    <w:rsid w:val="00663008"/>
    <w:rsid w:val="00663C54"/>
    <w:rsid w:val="00663F9A"/>
    <w:rsid w:val="00664585"/>
    <w:rsid w:val="00665B4F"/>
    <w:rsid w:val="006668D8"/>
    <w:rsid w:val="00671053"/>
    <w:rsid w:val="0067348B"/>
    <w:rsid w:val="00673E24"/>
    <w:rsid w:val="006773CE"/>
    <w:rsid w:val="00677805"/>
    <w:rsid w:val="00677E67"/>
    <w:rsid w:val="00680D00"/>
    <w:rsid w:val="00681731"/>
    <w:rsid w:val="006858BD"/>
    <w:rsid w:val="006870E4"/>
    <w:rsid w:val="006906AE"/>
    <w:rsid w:val="00690E92"/>
    <w:rsid w:val="006928E6"/>
    <w:rsid w:val="0069336F"/>
    <w:rsid w:val="00696978"/>
    <w:rsid w:val="00697188"/>
    <w:rsid w:val="00697BDC"/>
    <w:rsid w:val="006A10B6"/>
    <w:rsid w:val="006A4BD4"/>
    <w:rsid w:val="006A62D0"/>
    <w:rsid w:val="006B0930"/>
    <w:rsid w:val="006B14A4"/>
    <w:rsid w:val="006B1712"/>
    <w:rsid w:val="006B1971"/>
    <w:rsid w:val="006B2D40"/>
    <w:rsid w:val="006B59A2"/>
    <w:rsid w:val="006B5BE8"/>
    <w:rsid w:val="006B612F"/>
    <w:rsid w:val="006B6657"/>
    <w:rsid w:val="006B7161"/>
    <w:rsid w:val="006B77B9"/>
    <w:rsid w:val="006B7B52"/>
    <w:rsid w:val="006C2F85"/>
    <w:rsid w:val="006C3BF1"/>
    <w:rsid w:val="006C5D8B"/>
    <w:rsid w:val="006C6BA9"/>
    <w:rsid w:val="006D07F6"/>
    <w:rsid w:val="006D10E1"/>
    <w:rsid w:val="006D2EB6"/>
    <w:rsid w:val="006D386D"/>
    <w:rsid w:val="006D38D6"/>
    <w:rsid w:val="006D3979"/>
    <w:rsid w:val="006D6281"/>
    <w:rsid w:val="006D73FB"/>
    <w:rsid w:val="006E0A9D"/>
    <w:rsid w:val="006E34F7"/>
    <w:rsid w:val="006E3921"/>
    <w:rsid w:val="006E39D2"/>
    <w:rsid w:val="006E59A1"/>
    <w:rsid w:val="006F1553"/>
    <w:rsid w:val="006F256F"/>
    <w:rsid w:val="006F2898"/>
    <w:rsid w:val="006F4FA4"/>
    <w:rsid w:val="006F55B6"/>
    <w:rsid w:val="006F666A"/>
    <w:rsid w:val="006F6861"/>
    <w:rsid w:val="007019E7"/>
    <w:rsid w:val="00702BA1"/>
    <w:rsid w:val="0070309A"/>
    <w:rsid w:val="00703DBC"/>
    <w:rsid w:val="0070514E"/>
    <w:rsid w:val="00706970"/>
    <w:rsid w:val="00707E7C"/>
    <w:rsid w:val="00710029"/>
    <w:rsid w:val="00710EED"/>
    <w:rsid w:val="00711243"/>
    <w:rsid w:val="00711D80"/>
    <w:rsid w:val="007123ED"/>
    <w:rsid w:val="00712AFD"/>
    <w:rsid w:val="00713498"/>
    <w:rsid w:val="007159A8"/>
    <w:rsid w:val="00717049"/>
    <w:rsid w:val="0071799C"/>
    <w:rsid w:val="00720766"/>
    <w:rsid w:val="00720951"/>
    <w:rsid w:val="007210F3"/>
    <w:rsid w:val="0072121D"/>
    <w:rsid w:val="00722DE1"/>
    <w:rsid w:val="007237B8"/>
    <w:rsid w:val="0072538B"/>
    <w:rsid w:val="007257F0"/>
    <w:rsid w:val="007257F6"/>
    <w:rsid w:val="0072623D"/>
    <w:rsid w:val="00726FB4"/>
    <w:rsid w:val="007302C9"/>
    <w:rsid w:val="007315B8"/>
    <w:rsid w:val="0073279D"/>
    <w:rsid w:val="00734FD0"/>
    <w:rsid w:val="007402E9"/>
    <w:rsid w:val="00741A7A"/>
    <w:rsid w:val="00741C93"/>
    <w:rsid w:val="00743BE5"/>
    <w:rsid w:val="00745B62"/>
    <w:rsid w:val="0074772E"/>
    <w:rsid w:val="00750C29"/>
    <w:rsid w:val="00752606"/>
    <w:rsid w:val="00752850"/>
    <w:rsid w:val="00753463"/>
    <w:rsid w:val="00753B93"/>
    <w:rsid w:val="00754C35"/>
    <w:rsid w:val="0075622E"/>
    <w:rsid w:val="007577BC"/>
    <w:rsid w:val="0076025D"/>
    <w:rsid w:val="007629B8"/>
    <w:rsid w:val="00763003"/>
    <w:rsid w:val="0076437C"/>
    <w:rsid w:val="00764CD2"/>
    <w:rsid w:val="00764ED5"/>
    <w:rsid w:val="0076601B"/>
    <w:rsid w:val="007701BB"/>
    <w:rsid w:val="00770302"/>
    <w:rsid w:val="0077075F"/>
    <w:rsid w:val="00770BD4"/>
    <w:rsid w:val="00772418"/>
    <w:rsid w:val="007746DD"/>
    <w:rsid w:val="007754A5"/>
    <w:rsid w:val="00775A33"/>
    <w:rsid w:val="00775A7E"/>
    <w:rsid w:val="0077615A"/>
    <w:rsid w:val="0078387C"/>
    <w:rsid w:val="007838D9"/>
    <w:rsid w:val="00785769"/>
    <w:rsid w:val="00785906"/>
    <w:rsid w:val="00790CB7"/>
    <w:rsid w:val="00796871"/>
    <w:rsid w:val="00796BA9"/>
    <w:rsid w:val="007979CA"/>
    <w:rsid w:val="007A002C"/>
    <w:rsid w:val="007A0B64"/>
    <w:rsid w:val="007A1615"/>
    <w:rsid w:val="007A3039"/>
    <w:rsid w:val="007A3434"/>
    <w:rsid w:val="007A43F7"/>
    <w:rsid w:val="007A4DBB"/>
    <w:rsid w:val="007A56A1"/>
    <w:rsid w:val="007A5DD1"/>
    <w:rsid w:val="007A5F19"/>
    <w:rsid w:val="007A704E"/>
    <w:rsid w:val="007A7340"/>
    <w:rsid w:val="007B1CF1"/>
    <w:rsid w:val="007B485D"/>
    <w:rsid w:val="007B5D63"/>
    <w:rsid w:val="007B706A"/>
    <w:rsid w:val="007B7B48"/>
    <w:rsid w:val="007C0A44"/>
    <w:rsid w:val="007C0C88"/>
    <w:rsid w:val="007C1213"/>
    <w:rsid w:val="007C462C"/>
    <w:rsid w:val="007C4E0C"/>
    <w:rsid w:val="007C6D6C"/>
    <w:rsid w:val="007C72F6"/>
    <w:rsid w:val="007D07E2"/>
    <w:rsid w:val="007D1E08"/>
    <w:rsid w:val="007D3544"/>
    <w:rsid w:val="007D40C6"/>
    <w:rsid w:val="007E0593"/>
    <w:rsid w:val="007E21C9"/>
    <w:rsid w:val="007E3B25"/>
    <w:rsid w:val="007E3BA1"/>
    <w:rsid w:val="007E434C"/>
    <w:rsid w:val="007E4583"/>
    <w:rsid w:val="007E4A3E"/>
    <w:rsid w:val="007F0A5C"/>
    <w:rsid w:val="007F2769"/>
    <w:rsid w:val="007F2D9B"/>
    <w:rsid w:val="007F34CA"/>
    <w:rsid w:val="007F3F1D"/>
    <w:rsid w:val="007F5375"/>
    <w:rsid w:val="007F7B2E"/>
    <w:rsid w:val="00800187"/>
    <w:rsid w:val="00803223"/>
    <w:rsid w:val="00805640"/>
    <w:rsid w:val="0080609B"/>
    <w:rsid w:val="00807298"/>
    <w:rsid w:val="0080741F"/>
    <w:rsid w:val="00807B04"/>
    <w:rsid w:val="00807B85"/>
    <w:rsid w:val="00807C9E"/>
    <w:rsid w:val="00812A88"/>
    <w:rsid w:val="008132E2"/>
    <w:rsid w:val="008142AC"/>
    <w:rsid w:val="00815E69"/>
    <w:rsid w:val="00816A2B"/>
    <w:rsid w:val="00816E96"/>
    <w:rsid w:val="008172E2"/>
    <w:rsid w:val="00820411"/>
    <w:rsid w:val="00820985"/>
    <w:rsid w:val="00820C48"/>
    <w:rsid w:val="00821DBE"/>
    <w:rsid w:val="00821F07"/>
    <w:rsid w:val="008249D3"/>
    <w:rsid w:val="00825B94"/>
    <w:rsid w:val="00825F70"/>
    <w:rsid w:val="0082799F"/>
    <w:rsid w:val="008309FC"/>
    <w:rsid w:val="008317D4"/>
    <w:rsid w:val="00831BC8"/>
    <w:rsid w:val="008334E3"/>
    <w:rsid w:val="00833705"/>
    <w:rsid w:val="00834E62"/>
    <w:rsid w:val="00836324"/>
    <w:rsid w:val="00836816"/>
    <w:rsid w:val="00840284"/>
    <w:rsid w:val="00840ADC"/>
    <w:rsid w:val="00843D95"/>
    <w:rsid w:val="008440FB"/>
    <w:rsid w:val="00844F06"/>
    <w:rsid w:val="00846B27"/>
    <w:rsid w:val="00846CE7"/>
    <w:rsid w:val="008515FB"/>
    <w:rsid w:val="0085208E"/>
    <w:rsid w:val="00853AC4"/>
    <w:rsid w:val="00854037"/>
    <w:rsid w:val="00854A04"/>
    <w:rsid w:val="00856731"/>
    <w:rsid w:val="008618B1"/>
    <w:rsid w:val="00861D9F"/>
    <w:rsid w:val="00863406"/>
    <w:rsid w:val="00863626"/>
    <w:rsid w:val="00864DCD"/>
    <w:rsid w:val="00865A9D"/>
    <w:rsid w:val="00865CD6"/>
    <w:rsid w:val="00866C66"/>
    <w:rsid w:val="008674C0"/>
    <w:rsid w:val="00867C03"/>
    <w:rsid w:val="008700CA"/>
    <w:rsid w:val="00870C6A"/>
    <w:rsid w:val="00870CF2"/>
    <w:rsid w:val="00874506"/>
    <w:rsid w:val="008761EC"/>
    <w:rsid w:val="008764EF"/>
    <w:rsid w:val="008806FA"/>
    <w:rsid w:val="008828D4"/>
    <w:rsid w:val="008848B5"/>
    <w:rsid w:val="008848DD"/>
    <w:rsid w:val="00885F39"/>
    <w:rsid w:val="008861D9"/>
    <w:rsid w:val="008905F6"/>
    <w:rsid w:val="00890F0D"/>
    <w:rsid w:val="00890FEA"/>
    <w:rsid w:val="00891D6A"/>
    <w:rsid w:val="00893E60"/>
    <w:rsid w:val="008948A5"/>
    <w:rsid w:val="008955B2"/>
    <w:rsid w:val="00897919"/>
    <w:rsid w:val="008A18BC"/>
    <w:rsid w:val="008A1DAB"/>
    <w:rsid w:val="008A2803"/>
    <w:rsid w:val="008A3CB7"/>
    <w:rsid w:val="008A559D"/>
    <w:rsid w:val="008A5B68"/>
    <w:rsid w:val="008A7E93"/>
    <w:rsid w:val="008B0F04"/>
    <w:rsid w:val="008B16AB"/>
    <w:rsid w:val="008B1CA3"/>
    <w:rsid w:val="008B1E43"/>
    <w:rsid w:val="008B284A"/>
    <w:rsid w:val="008B5789"/>
    <w:rsid w:val="008C3068"/>
    <w:rsid w:val="008C3AB2"/>
    <w:rsid w:val="008C5759"/>
    <w:rsid w:val="008C6800"/>
    <w:rsid w:val="008D1DCC"/>
    <w:rsid w:val="008D2AB4"/>
    <w:rsid w:val="008D37F9"/>
    <w:rsid w:val="008D5301"/>
    <w:rsid w:val="008D5571"/>
    <w:rsid w:val="008D5ADF"/>
    <w:rsid w:val="008D6F9C"/>
    <w:rsid w:val="008D71EF"/>
    <w:rsid w:val="008E0275"/>
    <w:rsid w:val="008E0726"/>
    <w:rsid w:val="008E0FA9"/>
    <w:rsid w:val="008E4062"/>
    <w:rsid w:val="008E4E94"/>
    <w:rsid w:val="008E4F8A"/>
    <w:rsid w:val="008E6AAF"/>
    <w:rsid w:val="008F0AF2"/>
    <w:rsid w:val="008F12AC"/>
    <w:rsid w:val="008F26C5"/>
    <w:rsid w:val="008F2CDE"/>
    <w:rsid w:val="008F2E42"/>
    <w:rsid w:val="008F5A1E"/>
    <w:rsid w:val="009000F0"/>
    <w:rsid w:val="00900825"/>
    <w:rsid w:val="0090138C"/>
    <w:rsid w:val="00902B64"/>
    <w:rsid w:val="00904729"/>
    <w:rsid w:val="00904979"/>
    <w:rsid w:val="00904DED"/>
    <w:rsid w:val="009100F1"/>
    <w:rsid w:val="009110C8"/>
    <w:rsid w:val="00914AB6"/>
    <w:rsid w:val="0091517F"/>
    <w:rsid w:val="00915742"/>
    <w:rsid w:val="009159A7"/>
    <w:rsid w:val="009162D0"/>
    <w:rsid w:val="00916AEA"/>
    <w:rsid w:val="00917449"/>
    <w:rsid w:val="00921247"/>
    <w:rsid w:val="009212E9"/>
    <w:rsid w:val="0092172E"/>
    <w:rsid w:val="0092276B"/>
    <w:rsid w:val="00923A12"/>
    <w:rsid w:val="00924F52"/>
    <w:rsid w:val="00925EF8"/>
    <w:rsid w:val="0093046D"/>
    <w:rsid w:val="00931530"/>
    <w:rsid w:val="009329F1"/>
    <w:rsid w:val="00932D56"/>
    <w:rsid w:val="00936573"/>
    <w:rsid w:val="009368F1"/>
    <w:rsid w:val="00940375"/>
    <w:rsid w:val="009412D3"/>
    <w:rsid w:val="0094429F"/>
    <w:rsid w:val="00945368"/>
    <w:rsid w:val="00947BCE"/>
    <w:rsid w:val="00951FBA"/>
    <w:rsid w:val="00952AFA"/>
    <w:rsid w:val="00955C05"/>
    <w:rsid w:val="00957172"/>
    <w:rsid w:val="00957D47"/>
    <w:rsid w:val="00960E2E"/>
    <w:rsid w:val="00961876"/>
    <w:rsid w:val="0096215D"/>
    <w:rsid w:val="0096537D"/>
    <w:rsid w:val="0096752D"/>
    <w:rsid w:val="00967CD5"/>
    <w:rsid w:val="0097051A"/>
    <w:rsid w:val="00970B78"/>
    <w:rsid w:val="00970EF3"/>
    <w:rsid w:val="009713B1"/>
    <w:rsid w:val="00976A75"/>
    <w:rsid w:val="00980D9E"/>
    <w:rsid w:val="009813AF"/>
    <w:rsid w:val="00981863"/>
    <w:rsid w:val="00982D4D"/>
    <w:rsid w:val="00984FE8"/>
    <w:rsid w:val="00985C76"/>
    <w:rsid w:val="009861F5"/>
    <w:rsid w:val="00986C48"/>
    <w:rsid w:val="00986C5B"/>
    <w:rsid w:val="0098722B"/>
    <w:rsid w:val="00991037"/>
    <w:rsid w:val="00991122"/>
    <w:rsid w:val="009916D5"/>
    <w:rsid w:val="00993F74"/>
    <w:rsid w:val="009965BA"/>
    <w:rsid w:val="00996699"/>
    <w:rsid w:val="009A595D"/>
    <w:rsid w:val="009A606D"/>
    <w:rsid w:val="009A7FA6"/>
    <w:rsid w:val="009B23EB"/>
    <w:rsid w:val="009B2A4B"/>
    <w:rsid w:val="009B2F61"/>
    <w:rsid w:val="009B6EA8"/>
    <w:rsid w:val="009C275F"/>
    <w:rsid w:val="009C5B78"/>
    <w:rsid w:val="009D0772"/>
    <w:rsid w:val="009D15AC"/>
    <w:rsid w:val="009D22F2"/>
    <w:rsid w:val="009D2EFE"/>
    <w:rsid w:val="009D3BC5"/>
    <w:rsid w:val="009D41E0"/>
    <w:rsid w:val="009D5B2D"/>
    <w:rsid w:val="009D65D3"/>
    <w:rsid w:val="009D6AD7"/>
    <w:rsid w:val="009E2C04"/>
    <w:rsid w:val="009E2EA1"/>
    <w:rsid w:val="009E309F"/>
    <w:rsid w:val="009E50E1"/>
    <w:rsid w:val="009E5AE0"/>
    <w:rsid w:val="009E6EAA"/>
    <w:rsid w:val="009F2DB6"/>
    <w:rsid w:val="009F4041"/>
    <w:rsid w:val="009F6182"/>
    <w:rsid w:val="009F72FA"/>
    <w:rsid w:val="00A001A5"/>
    <w:rsid w:val="00A007F9"/>
    <w:rsid w:val="00A018E0"/>
    <w:rsid w:val="00A029BF"/>
    <w:rsid w:val="00A04A0F"/>
    <w:rsid w:val="00A05235"/>
    <w:rsid w:val="00A073C4"/>
    <w:rsid w:val="00A10D87"/>
    <w:rsid w:val="00A132D9"/>
    <w:rsid w:val="00A16EB1"/>
    <w:rsid w:val="00A2108A"/>
    <w:rsid w:val="00A21ADB"/>
    <w:rsid w:val="00A21E40"/>
    <w:rsid w:val="00A22402"/>
    <w:rsid w:val="00A234C1"/>
    <w:rsid w:val="00A23A7E"/>
    <w:rsid w:val="00A255BF"/>
    <w:rsid w:val="00A25D46"/>
    <w:rsid w:val="00A27600"/>
    <w:rsid w:val="00A27E0C"/>
    <w:rsid w:val="00A3008E"/>
    <w:rsid w:val="00A31138"/>
    <w:rsid w:val="00A33BDE"/>
    <w:rsid w:val="00A34F3D"/>
    <w:rsid w:val="00A35E9E"/>
    <w:rsid w:val="00A40CA2"/>
    <w:rsid w:val="00A42834"/>
    <w:rsid w:val="00A45079"/>
    <w:rsid w:val="00A51C4A"/>
    <w:rsid w:val="00A532E3"/>
    <w:rsid w:val="00A542C5"/>
    <w:rsid w:val="00A54EFB"/>
    <w:rsid w:val="00A56FE6"/>
    <w:rsid w:val="00A6007A"/>
    <w:rsid w:val="00A6364D"/>
    <w:rsid w:val="00A66FA2"/>
    <w:rsid w:val="00A70104"/>
    <w:rsid w:val="00A7293F"/>
    <w:rsid w:val="00A75F62"/>
    <w:rsid w:val="00A76E9D"/>
    <w:rsid w:val="00A77677"/>
    <w:rsid w:val="00A77F76"/>
    <w:rsid w:val="00A80C29"/>
    <w:rsid w:val="00A8335C"/>
    <w:rsid w:val="00A8494E"/>
    <w:rsid w:val="00A84D63"/>
    <w:rsid w:val="00A86D0B"/>
    <w:rsid w:val="00A93DA5"/>
    <w:rsid w:val="00A943C8"/>
    <w:rsid w:val="00A94C5F"/>
    <w:rsid w:val="00A94EDD"/>
    <w:rsid w:val="00A958F5"/>
    <w:rsid w:val="00A97A73"/>
    <w:rsid w:val="00AA0C07"/>
    <w:rsid w:val="00AA1CA7"/>
    <w:rsid w:val="00AA222B"/>
    <w:rsid w:val="00AA251D"/>
    <w:rsid w:val="00AA36A9"/>
    <w:rsid w:val="00AA6F85"/>
    <w:rsid w:val="00AA7DB4"/>
    <w:rsid w:val="00AB0298"/>
    <w:rsid w:val="00AB0C51"/>
    <w:rsid w:val="00AB322D"/>
    <w:rsid w:val="00AB47A1"/>
    <w:rsid w:val="00AB7338"/>
    <w:rsid w:val="00AB7374"/>
    <w:rsid w:val="00AB745F"/>
    <w:rsid w:val="00AC16A7"/>
    <w:rsid w:val="00AC5B96"/>
    <w:rsid w:val="00AD0976"/>
    <w:rsid w:val="00AD3A3E"/>
    <w:rsid w:val="00AD5646"/>
    <w:rsid w:val="00AD5C21"/>
    <w:rsid w:val="00AD7A73"/>
    <w:rsid w:val="00AE3790"/>
    <w:rsid w:val="00AE37BD"/>
    <w:rsid w:val="00AE4020"/>
    <w:rsid w:val="00AE66EA"/>
    <w:rsid w:val="00AE72C0"/>
    <w:rsid w:val="00AF1422"/>
    <w:rsid w:val="00AF17C3"/>
    <w:rsid w:val="00AF203B"/>
    <w:rsid w:val="00AF3BAB"/>
    <w:rsid w:val="00AF3E4A"/>
    <w:rsid w:val="00AF42B7"/>
    <w:rsid w:val="00AF520F"/>
    <w:rsid w:val="00AF57D8"/>
    <w:rsid w:val="00AF5CE3"/>
    <w:rsid w:val="00AF6785"/>
    <w:rsid w:val="00B0148F"/>
    <w:rsid w:val="00B01709"/>
    <w:rsid w:val="00B017F3"/>
    <w:rsid w:val="00B0184F"/>
    <w:rsid w:val="00B01D7E"/>
    <w:rsid w:val="00B049F9"/>
    <w:rsid w:val="00B05591"/>
    <w:rsid w:val="00B07DFD"/>
    <w:rsid w:val="00B07E32"/>
    <w:rsid w:val="00B13D02"/>
    <w:rsid w:val="00B13E24"/>
    <w:rsid w:val="00B14993"/>
    <w:rsid w:val="00B15313"/>
    <w:rsid w:val="00B15852"/>
    <w:rsid w:val="00B2002A"/>
    <w:rsid w:val="00B20065"/>
    <w:rsid w:val="00B21377"/>
    <w:rsid w:val="00B214FC"/>
    <w:rsid w:val="00B21D27"/>
    <w:rsid w:val="00B224A8"/>
    <w:rsid w:val="00B23B4D"/>
    <w:rsid w:val="00B246B7"/>
    <w:rsid w:val="00B249F6"/>
    <w:rsid w:val="00B24D9B"/>
    <w:rsid w:val="00B2631C"/>
    <w:rsid w:val="00B26532"/>
    <w:rsid w:val="00B27DBF"/>
    <w:rsid w:val="00B347A9"/>
    <w:rsid w:val="00B35463"/>
    <w:rsid w:val="00B35947"/>
    <w:rsid w:val="00B35B3F"/>
    <w:rsid w:val="00B35F1C"/>
    <w:rsid w:val="00B367BF"/>
    <w:rsid w:val="00B418CC"/>
    <w:rsid w:val="00B420EA"/>
    <w:rsid w:val="00B428D7"/>
    <w:rsid w:val="00B42D95"/>
    <w:rsid w:val="00B45260"/>
    <w:rsid w:val="00B47CDB"/>
    <w:rsid w:val="00B47D6F"/>
    <w:rsid w:val="00B50F99"/>
    <w:rsid w:val="00B536D4"/>
    <w:rsid w:val="00B54884"/>
    <w:rsid w:val="00B568A2"/>
    <w:rsid w:val="00B56D14"/>
    <w:rsid w:val="00B578A9"/>
    <w:rsid w:val="00B60D81"/>
    <w:rsid w:val="00B615B4"/>
    <w:rsid w:val="00B626E3"/>
    <w:rsid w:val="00B62EDD"/>
    <w:rsid w:val="00B64C5B"/>
    <w:rsid w:val="00B658C2"/>
    <w:rsid w:val="00B66909"/>
    <w:rsid w:val="00B66BF4"/>
    <w:rsid w:val="00B70355"/>
    <w:rsid w:val="00B72939"/>
    <w:rsid w:val="00B739DB"/>
    <w:rsid w:val="00B73E30"/>
    <w:rsid w:val="00B7457A"/>
    <w:rsid w:val="00B751E1"/>
    <w:rsid w:val="00B753D4"/>
    <w:rsid w:val="00B75C05"/>
    <w:rsid w:val="00B76185"/>
    <w:rsid w:val="00B76FB9"/>
    <w:rsid w:val="00B8137C"/>
    <w:rsid w:val="00B815E3"/>
    <w:rsid w:val="00B820AB"/>
    <w:rsid w:val="00B82F8D"/>
    <w:rsid w:val="00B8661F"/>
    <w:rsid w:val="00B87223"/>
    <w:rsid w:val="00B91BE0"/>
    <w:rsid w:val="00B91C83"/>
    <w:rsid w:val="00B932EC"/>
    <w:rsid w:val="00B942E0"/>
    <w:rsid w:val="00B95FE9"/>
    <w:rsid w:val="00B97D3C"/>
    <w:rsid w:val="00BA0515"/>
    <w:rsid w:val="00BA12D7"/>
    <w:rsid w:val="00BA42C6"/>
    <w:rsid w:val="00BA5751"/>
    <w:rsid w:val="00BB0FC6"/>
    <w:rsid w:val="00BB1D4A"/>
    <w:rsid w:val="00BB1DF5"/>
    <w:rsid w:val="00BB2068"/>
    <w:rsid w:val="00BB56D1"/>
    <w:rsid w:val="00BB5FEE"/>
    <w:rsid w:val="00BC0346"/>
    <w:rsid w:val="00BC0409"/>
    <w:rsid w:val="00BC1A80"/>
    <w:rsid w:val="00BC250F"/>
    <w:rsid w:val="00BC2DAA"/>
    <w:rsid w:val="00BC503F"/>
    <w:rsid w:val="00BC5335"/>
    <w:rsid w:val="00BC5DDD"/>
    <w:rsid w:val="00BC61CF"/>
    <w:rsid w:val="00BC72E3"/>
    <w:rsid w:val="00BC7F53"/>
    <w:rsid w:val="00BD1EF7"/>
    <w:rsid w:val="00BD259F"/>
    <w:rsid w:val="00BD2DC7"/>
    <w:rsid w:val="00BD33A7"/>
    <w:rsid w:val="00BD4D89"/>
    <w:rsid w:val="00BD5698"/>
    <w:rsid w:val="00BD6637"/>
    <w:rsid w:val="00BD7C58"/>
    <w:rsid w:val="00BD7C9A"/>
    <w:rsid w:val="00BD7DA8"/>
    <w:rsid w:val="00BE09C7"/>
    <w:rsid w:val="00BE4C16"/>
    <w:rsid w:val="00BE6629"/>
    <w:rsid w:val="00BE702A"/>
    <w:rsid w:val="00BF09E3"/>
    <w:rsid w:val="00BF10E0"/>
    <w:rsid w:val="00BF32AF"/>
    <w:rsid w:val="00BF35B2"/>
    <w:rsid w:val="00BF36FE"/>
    <w:rsid w:val="00BF38BD"/>
    <w:rsid w:val="00BF3A35"/>
    <w:rsid w:val="00BF48D8"/>
    <w:rsid w:val="00BF53A3"/>
    <w:rsid w:val="00BF716C"/>
    <w:rsid w:val="00C00999"/>
    <w:rsid w:val="00C0147D"/>
    <w:rsid w:val="00C020A0"/>
    <w:rsid w:val="00C0291D"/>
    <w:rsid w:val="00C03F7A"/>
    <w:rsid w:val="00C041E3"/>
    <w:rsid w:val="00C068D1"/>
    <w:rsid w:val="00C0759E"/>
    <w:rsid w:val="00C07889"/>
    <w:rsid w:val="00C07AEA"/>
    <w:rsid w:val="00C109E2"/>
    <w:rsid w:val="00C10CFC"/>
    <w:rsid w:val="00C11149"/>
    <w:rsid w:val="00C1132F"/>
    <w:rsid w:val="00C11603"/>
    <w:rsid w:val="00C11E1A"/>
    <w:rsid w:val="00C121DE"/>
    <w:rsid w:val="00C127C4"/>
    <w:rsid w:val="00C13B55"/>
    <w:rsid w:val="00C14706"/>
    <w:rsid w:val="00C158CA"/>
    <w:rsid w:val="00C15B5D"/>
    <w:rsid w:val="00C1643D"/>
    <w:rsid w:val="00C17552"/>
    <w:rsid w:val="00C220F5"/>
    <w:rsid w:val="00C24D2F"/>
    <w:rsid w:val="00C25FDB"/>
    <w:rsid w:val="00C26963"/>
    <w:rsid w:val="00C26BB4"/>
    <w:rsid w:val="00C27AD1"/>
    <w:rsid w:val="00C27E1B"/>
    <w:rsid w:val="00C323AA"/>
    <w:rsid w:val="00C33721"/>
    <w:rsid w:val="00C347F6"/>
    <w:rsid w:val="00C34C79"/>
    <w:rsid w:val="00C40309"/>
    <w:rsid w:val="00C408EF"/>
    <w:rsid w:val="00C4105B"/>
    <w:rsid w:val="00C41918"/>
    <w:rsid w:val="00C42FE0"/>
    <w:rsid w:val="00C458F9"/>
    <w:rsid w:val="00C47A32"/>
    <w:rsid w:val="00C506E3"/>
    <w:rsid w:val="00C50CBE"/>
    <w:rsid w:val="00C50F7B"/>
    <w:rsid w:val="00C52389"/>
    <w:rsid w:val="00C52CFD"/>
    <w:rsid w:val="00C537A0"/>
    <w:rsid w:val="00C538F3"/>
    <w:rsid w:val="00C53C43"/>
    <w:rsid w:val="00C55D4C"/>
    <w:rsid w:val="00C61829"/>
    <w:rsid w:val="00C61EE6"/>
    <w:rsid w:val="00C63D7C"/>
    <w:rsid w:val="00C63FA7"/>
    <w:rsid w:val="00C64270"/>
    <w:rsid w:val="00C64777"/>
    <w:rsid w:val="00C66590"/>
    <w:rsid w:val="00C667C0"/>
    <w:rsid w:val="00C67371"/>
    <w:rsid w:val="00C674A8"/>
    <w:rsid w:val="00C707A0"/>
    <w:rsid w:val="00C70CD0"/>
    <w:rsid w:val="00C70D13"/>
    <w:rsid w:val="00C70D68"/>
    <w:rsid w:val="00C713DD"/>
    <w:rsid w:val="00C71494"/>
    <w:rsid w:val="00C76808"/>
    <w:rsid w:val="00C77ABA"/>
    <w:rsid w:val="00C77B64"/>
    <w:rsid w:val="00C80309"/>
    <w:rsid w:val="00C8127F"/>
    <w:rsid w:val="00C83FA6"/>
    <w:rsid w:val="00C842AF"/>
    <w:rsid w:val="00C8481E"/>
    <w:rsid w:val="00C85D35"/>
    <w:rsid w:val="00C86BF8"/>
    <w:rsid w:val="00C86C53"/>
    <w:rsid w:val="00C87C7B"/>
    <w:rsid w:val="00C90797"/>
    <w:rsid w:val="00C90A46"/>
    <w:rsid w:val="00C9191F"/>
    <w:rsid w:val="00C91A09"/>
    <w:rsid w:val="00C91B26"/>
    <w:rsid w:val="00C951E3"/>
    <w:rsid w:val="00CA1921"/>
    <w:rsid w:val="00CA3172"/>
    <w:rsid w:val="00CA483A"/>
    <w:rsid w:val="00CA6ADC"/>
    <w:rsid w:val="00CA7A4A"/>
    <w:rsid w:val="00CA7C51"/>
    <w:rsid w:val="00CB09E0"/>
    <w:rsid w:val="00CB253B"/>
    <w:rsid w:val="00CB43A7"/>
    <w:rsid w:val="00CB6373"/>
    <w:rsid w:val="00CC09AC"/>
    <w:rsid w:val="00CC1756"/>
    <w:rsid w:val="00CC19C4"/>
    <w:rsid w:val="00CC1A2C"/>
    <w:rsid w:val="00CC29A8"/>
    <w:rsid w:val="00CC373C"/>
    <w:rsid w:val="00CC3843"/>
    <w:rsid w:val="00CC421A"/>
    <w:rsid w:val="00CC4B59"/>
    <w:rsid w:val="00CC6CA7"/>
    <w:rsid w:val="00CC7D76"/>
    <w:rsid w:val="00CC7EFA"/>
    <w:rsid w:val="00CD0DA8"/>
    <w:rsid w:val="00CD1FB1"/>
    <w:rsid w:val="00CD498E"/>
    <w:rsid w:val="00CD566E"/>
    <w:rsid w:val="00CD5EEB"/>
    <w:rsid w:val="00CD6B86"/>
    <w:rsid w:val="00CD6ED4"/>
    <w:rsid w:val="00CE05DF"/>
    <w:rsid w:val="00CE1ED6"/>
    <w:rsid w:val="00CE1F3B"/>
    <w:rsid w:val="00CE4B30"/>
    <w:rsid w:val="00CE549F"/>
    <w:rsid w:val="00CF0917"/>
    <w:rsid w:val="00CF0EDA"/>
    <w:rsid w:val="00CF1135"/>
    <w:rsid w:val="00CF412D"/>
    <w:rsid w:val="00CF4C31"/>
    <w:rsid w:val="00CF5A9D"/>
    <w:rsid w:val="00D00AB5"/>
    <w:rsid w:val="00D01C6E"/>
    <w:rsid w:val="00D03E8D"/>
    <w:rsid w:val="00D04FA6"/>
    <w:rsid w:val="00D06B73"/>
    <w:rsid w:val="00D071B5"/>
    <w:rsid w:val="00D073C2"/>
    <w:rsid w:val="00D07969"/>
    <w:rsid w:val="00D10FE7"/>
    <w:rsid w:val="00D12079"/>
    <w:rsid w:val="00D12698"/>
    <w:rsid w:val="00D13239"/>
    <w:rsid w:val="00D13819"/>
    <w:rsid w:val="00D14C49"/>
    <w:rsid w:val="00D1529E"/>
    <w:rsid w:val="00D1588F"/>
    <w:rsid w:val="00D15CD8"/>
    <w:rsid w:val="00D164EE"/>
    <w:rsid w:val="00D2202D"/>
    <w:rsid w:val="00D23A7E"/>
    <w:rsid w:val="00D24240"/>
    <w:rsid w:val="00D2440F"/>
    <w:rsid w:val="00D250E1"/>
    <w:rsid w:val="00D25DD0"/>
    <w:rsid w:val="00D25FB9"/>
    <w:rsid w:val="00D2673A"/>
    <w:rsid w:val="00D275BF"/>
    <w:rsid w:val="00D32425"/>
    <w:rsid w:val="00D34E4D"/>
    <w:rsid w:val="00D353FC"/>
    <w:rsid w:val="00D357DF"/>
    <w:rsid w:val="00D37676"/>
    <w:rsid w:val="00D4107D"/>
    <w:rsid w:val="00D43837"/>
    <w:rsid w:val="00D4383A"/>
    <w:rsid w:val="00D450BA"/>
    <w:rsid w:val="00D46167"/>
    <w:rsid w:val="00D50901"/>
    <w:rsid w:val="00D53859"/>
    <w:rsid w:val="00D54588"/>
    <w:rsid w:val="00D5471A"/>
    <w:rsid w:val="00D54947"/>
    <w:rsid w:val="00D55ACA"/>
    <w:rsid w:val="00D56E44"/>
    <w:rsid w:val="00D605C9"/>
    <w:rsid w:val="00D6096B"/>
    <w:rsid w:val="00D61D41"/>
    <w:rsid w:val="00D62E3F"/>
    <w:rsid w:val="00D6607E"/>
    <w:rsid w:val="00D7055C"/>
    <w:rsid w:val="00D7068A"/>
    <w:rsid w:val="00D70FE9"/>
    <w:rsid w:val="00D7140E"/>
    <w:rsid w:val="00D72D27"/>
    <w:rsid w:val="00D7433B"/>
    <w:rsid w:val="00D7525E"/>
    <w:rsid w:val="00D75B3B"/>
    <w:rsid w:val="00D774C5"/>
    <w:rsid w:val="00D77A43"/>
    <w:rsid w:val="00D81C3B"/>
    <w:rsid w:val="00D83862"/>
    <w:rsid w:val="00D84DA0"/>
    <w:rsid w:val="00D90307"/>
    <w:rsid w:val="00D90AAC"/>
    <w:rsid w:val="00D90BD8"/>
    <w:rsid w:val="00D90EFC"/>
    <w:rsid w:val="00D93836"/>
    <w:rsid w:val="00D95B36"/>
    <w:rsid w:val="00D97817"/>
    <w:rsid w:val="00D97888"/>
    <w:rsid w:val="00D97B3D"/>
    <w:rsid w:val="00DA10C1"/>
    <w:rsid w:val="00DA1CC1"/>
    <w:rsid w:val="00DA74C7"/>
    <w:rsid w:val="00DB09CF"/>
    <w:rsid w:val="00DB32C3"/>
    <w:rsid w:val="00DB40A5"/>
    <w:rsid w:val="00DB4735"/>
    <w:rsid w:val="00DB4C4F"/>
    <w:rsid w:val="00DC11B9"/>
    <w:rsid w:val="00DC25E7"/>
    <w:rsid w:val="00DC2847"/>
    <w:rsid w:val="00DC347A"/>
    <w:rsid w:val="00DD3E6F"/>
    <w:rsid w:val="00DD6F5C"/>
    <w:rsid w:val="00DE063E"/>
    <w:rsid w:val="00DE1D68"/>
    <w:rsid w:val="00DE2433"/>
    <w:rsid w:val="00DE3BED"/>
    <w:rsid w:val="00DE4086"/>
    <w:rsid w:val="00DE525C"/>
    <w:rsid w:val="00DF0130"/>
    <w:rsid w:val="00DF0AED"/>
    <w:rsid w:val="00DF132B"/>
    <w:rsid w:val="00DF1AF3"/>
    <w:rsid w:val="00DF1DD3"/>
    <w:rsid w:val="00DF76BD"/>
    <w:rsid w:val="00DF7875"/>
    <w:rsid w:val="00E0173B"/>
    <w:rsid w:val="00E02B81"/>
    <w:rsid w:val="00E03391"/>
    <w:rsid w:val="00E070AB"/>
    <w:rsid w:val="00E075E3"/>
    <w:rsid w:val="00E142B1"/>
    <w:rsid w:val="00E152E7"/>
    <w:rsid w:val="00E15CCB"/>
    <w:rsid w:val="00E1791B"/>
    <w:rsid w:val="00E21EC7"/>
    <w:rsid w:val="00E22C10"/>
    <w:rsid w:val="00E30A75"/>
    <w:rsid w:val="00E32327"/>
    <w:rsid w:val="00E32AD5"/>
    <w:rsid w:val="00E33385"/>
    <w:rsid w:val="00E338F5"/>
    <w:rsid w:val="00E34D0D"/>
    <w:rsid w:val="00E34D9B"/>
    <w:rsid w:val="00E35BE1"/>
    <w:rsid w:val="00E41869"/>
    <w:rsid w:val="00E4265B"/>
    <w:rsid w:val="00E4424D"/>
    <w:rsid w:val="00E446F2"/>
    <w:rsid w:val="00E47105"/>
    <w:rsid w:val="00E47719"/>
    <w:rsid w:val="00E502B9"/>
    <w:rsid w:val="00E5212A"/>
    <w:rsid w:val="00E528A7"/>
    <w:rsid w:val="00E52B4D"/>
    <w:rsid w:val="00E535D8"/>
    <w:rsid w:val="00E5484B"/>
    <w:rsid w:val="00E55631"/>
    <w:rsid w:val="00E56F07"/>
    <w:rsid w:val="00E573FA"/>
    <w:rsid w:val="00E57872"/>
    <w:rsid w:val="00E62DD7"/>
    <w:rsid w:val="00E651FD"/>
    <w:rsid w:val="00E661B9"/>
    <w:rsid w:val="00E71C59"/>
    <w:rsid w:val="00E72137"/>
    <w:rsid w:val="00E73362"/>
    <w:rsid w:val="00E74034"/>
    <w:rsid w:val="00E747F8"/>
    <w:rsid w:val="00E74CAF"/>
    <w:rsid w:val="00E752D3"/>
    <w:rsid w:val="00E754D1"/>
    <w:rsid w:val="00E77DDE"/>
    <w:rsid w:val="00E80F06"/>
    <w:rsid w:val="00E8390C"/>
    <w:rsid w:val="00E84B1F"/>
    <w:rsid w:val="00E86C23"/>
    <w:rsid w:val="00E9061A"/>
    <w:rsid w:val="00E9145B"/>
    <w:rsid w:val="00E915F2"/>
    <w:rsid w:val="00E92012"/>
    <w:rsid w:val="00E9233A"/>
    <w:rsid w:val="00E966F1"/>
    <w:rsid w:val="00EA08CE"/>
    <w:rsid w:val="00EA272E"/>
    <w:rsid w:val="00EA354A"/>
    <w:rsid w:val="00EA3AF2"/>
    <w:rsid w:val="00EA4860"/>
    <w:rsid w:val="00EA5A4E"/>
    <w:rsid w:val="00EA5AC6"/>
    <w:rsid w:val="00EA5CBC"/>
    <w:rsid w:val="00EA609E"/>
    <w:rsid w:val="00EA6C73"/>
    <w:rsid w:val="00EB0D62"/>
    <w:rsid w:val="00EB1C1A"/>
    <w:rsid w:val="00EB2530"/>
    <w:rsid w:val="00EB2A67"/>
    <w:rsid w:val="00EB2CDE"/>
    <w:rsid w:val="00EB33B1"/>
    <w:rsid w:val="00EB4633"/>
    <w:rsid w:val="00EB4C63"/>
    <w:rsid w:val="00EB4ECE"/>
    <w:rsid w:val="00EB5D7F"/>
    <w:rsid w:val="00EB6440"/>
    <w:rsid w:val="00EB6682"/>
    <w:rsid w:val="00EB729D"/>
    <w:rsid w:val="00EB7E26"/>
    <w:rsid w:val="00EC1048"/>
    <w:rsid w:val="00EC21BD"/>
    <w:rsid w:val="00EC23AA"/>
    <w:rsid w:val="00EC2A7D"/>
    <w:rsid w:val="00EC47CD"/>
    <w:rsid w:val="00EC5DCC"/>
    <w:rsid w:val="00ED2FA7"/>
    <w:rsid w:val="00ED3116"/>
    <w:rsid w:val="00ED5B32"/>
    <w:rsid w:val="00ED64DA"/>
    <w:rsid w:val="00ED71CB"/>
    <w:rsid w:val="00ED7929"/>
    <w:rsid w:val="00EE0083"/>
    <w:rsid w:val="00EE038E"/>
    <w:rsid w:val="00EE2D70"/>
    <w:rsid w:val="00EE2FCC"/>
    <w:rsid w:val="00EE5514"/>
    <w:rsid w:val="00EE6689"/>
    <w:rsid w:val="00EE7B5C"/>
    <w:rsid w:val="00EF04C0"/>
    <w:rsid w:val="00EF0A45"/>
    <w:rsid w:val="00EF1F6E"/>
    <w:rsid w:val="00EF2ACC"/>
    <w:rsid w:val="00EF45EA"/>
    <w:rsid w:val="00EF5DA4"/>
    <w:rsid w:val="00EF5F1A"/>
    <w:rsid w:val="00EF7C3B"/>
    <w:rsid w:val="00EF7F00"/>
    <w:rsid w:val="00F02B0C"/>
    <w:rsid w:val="00F05162"/>
    <w:rsid w:val="00F05DB7"/>
    <w:rsid w:val="00F07227"/>
    <w:rsid w:val="00F1014F"/>
    <w:rsid w:val="00F1260A"/>
    <w:rsid w:val="00F1302A"/>
    <w:rsid w:val="00F1498A"/>
    <w:rsid w:val="00F14A91"/>
    <w:rsid w:val="00F1696B"/>
    <w:rsid w:val="00F20759"/>
    <w:rsid w:val="00F24091"/>
    <w:rsid w:val="00F256F6"/>
    <w:rsid w:val="00F25D42"/>
    <w:rsid w:val="00F30DA7"/>
    <w:rsid w:val="00F30F01"/>
    <w:rsid w:val="00F31A70"/>
    <w:rsid w:val="00F31DF4"/>
    <w:rsid w:val="00F32C74"/>
    <w:rsid w:val="00F33CC0"/>
    <w:rsid w:val="00F34C52"/>
    <w:rsid w:val="00F36456"/>
    <w:rsid w:val="00F41459"/>
    <w:rsid w:val="00F42B97"/>
    <w:rsid w:val="00F474D2"/>
    <w:rsid w:val="00F477B2"/>
    <w:rsid w:val="00F521E8"/>
    <w:rsid w:val="00F52A81"/>
    <w:rsid w:val="00F53A54"/>
    <w:rsid w:val="00F53AFF"/>
    <w:rsid w:val="00F53C66"/>
    <w:rsid w:val="00F5520A"/>
    <w:rsid w:val="00F561B1"/>
    <w:rsid w:val="00F563A2"/>
    <w:rsid w:val="00F60172"/>
    <w:rsid w:val="00F605A7"/>
    <w:rsid w:val="00F626A6"/>
    <w:rsid w:val="00F65835"/>
    <w:rsid w:val="00F65B17"/>
    <w:rsid w:val="00F66CAC"/>
    <w:rsid w:val="00F6756A"/>
    <w:rsid w:val="00F710BE"/>
    <w:rsid w:val="00F7280F"/>
    <w:rsid w:val="00F72F5A"/>
    <w:rsid w:val="00F73CA6"/>
    <w:rsid w:val="00F7569A"/>
    <w:rsid w:val="00F760AD"/>
    <w:rsid w:val="00F76B39"/>
    <w:rsid w:val="00F76EE1"/>
    <w:rsid w:val="00F7705E"/>
    <w:rsid w:val="00F83660"/>
    <w:rsid w:val="00F8597E"/>
    <w:rsid w:val="00F87703"/>
    <w:rsid w:val="00F916D6"/>
    <w:rsid w:val="00F956A6"/>
    <w:rsid w:val="00FA0981"/>
    <w:rsid w:val="00FA195A"/>
    <w:rsid w:val="00FA1F8A"/>
    <w:rsid w:val="00FA43CE"/>
    <w:rsid w:val="00FA4A95"/>
    <w:rsid w:val="00FA4DDC"/>
    <w:rsid w:val="00FA5166"/>
    <w:rsid w:val="00FA5348"/>
    <w:rsid w:val="00FA6322"/>
    <w:rsid w:val="00FA7D01"/>
    <w:rsid w:val="00FB0BC3"/>
    <w:rsid w:val="00FB1406"/>
    <w:rsid w:val="00FB1FC5"/>
    <w:rsid w:val="00FB1FD6"/>
    <w:rsid w:val="00FB2341"/>
    <w:rsid w:val="00FB2CFC"/>
    <w:rsid w:val="00FB2E17"/>
    <w:rsid w:val="00FB4C21"/>
    <w:rsid w:val="00FC002F"/>
    <w:rsid w:val="00FC1454"/>
    <w:rsid w:val="00FC1BCC"/>
    <w:rsid w:val="00FC1FE5"/>
    <w:rsid w:val="00FC3024"/>
    <w:rsid w:val="00FC3C58"/>
    <w:rsid w:val="00FC4A9E"/>
    <w:rsid w:val="00FC5D31"/>
    <w:rsid w:val="00FC6878"/>
    <w:rsid w:val="00FC68CD"/>
    <w:rsid w:val="00FC6BCD"/>
    <w:rsid w:val="00FC7C42"/>
    <w:rsid w:val="00FD1D13"/>
    <w:rsid w:val="00FD2086"/>
    <w:rsid w:val="00FD2212"/>
    <w:rsid w:val="00FD2296"/>
    <w:rsid w:val="00FD43A6"/>
    <w:rsid w:val="00FD5F79"/>
    <w:rsid w:val="00FD65DE"/>
    <w:rsid w:val="00FD7941"/>
    <w:rsid w:val="00FE003B"/>
    <w:rsid w:val="00FE281D"/>
    <w:rsid w:val="00FE3044"/>
    <w:rsid w:val="00FE7025"/>
    <w:rsid w:val="00FE7601"/>
    <w:rsid w:val="00FE7C85"/>
    <w:rsid w:val="00FF0CD0"/>
    <w:rsid w:val="00FF18BF"/>
    <w:rsid w:val="00FF1BF6"/>
    <w:rsid w:val="00FF1DBE"/>
    <w:rsid w:val="00FF2C5D"/>
    <w:rsid w:val="00FF52AA"/>
    <w:rsid w:val="00FF6672"/>
    <w:rsid w:val="0683E46E"/>
    <w:rsid w:val="118DF711"/>
    <w:rsid w:val="1541A55D"/>
    <w:rsid w:val="1AB540F5"/>
    <w:rsid w:val="1CE88902"/>
    <w:rsid w:val="1D5D3D78"/>
    <w:rsid w:val="1E0868BB"/>
    <w:rsid w:val="242AF75B"/>
    <w:rsid w:val="333C1D5B"/>
    <w:rsid w:val="39954446"/>
    <w:rsid w:val="3E12BC97"/>
    <w:rsid w:val="50884E0A"/>
    <w:rsid w:val="608E3C9B"/>
    <w:rsid w:val="68C1A01D"/>
    <w:rsid w:val="6DD63FE1"/>
    <w:rsid w:val="709786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D9868F63-625E-41EA-B806-35838E31E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hr-HR"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C5B"/>
    <w:rPr>
      <w:sz w:val="24"/>
      <w:lang w:val="hr-HR"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hr-HR"/>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val="hr-HR"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val="hr-HR"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hr-HR"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val="hr-HR"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hr-HR"/>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hr-HR"/>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11EDE"/>
    <w:rPr>
      <w:sz w:val="24"/>
      <w:lang w:val="hr-HR"/>
    </w:rPr>
  </w:style>
  <w:style w:type="paragraph" w:customStyle="1" w:styleId="paragraph">
    <w:name w:val="paragraph"/>
    <w:basedOn w:val="Normal"/>
    <w:rsid w:val="00DD6F5C"/>
    <w:pPr>
      <w:spacing w:before="100" w:beforeAutospacing="1" w:after="100" w:afterAutospacing="1"/>
    </w:pPr>
    <w:rPr>
      <w:rFonts w:eastAsia="Times New Roman"/>
      <w:szCs w:val="24"/>
      <w:lang w:val="hr-HR" w:eastAsia="en-IE"/>
    </w:rPr>
  </w:style>
  <w:style w:type="character" w:customStyle="1" w:styleId="eop">
    <w:name w:val="eop"/>
    <w:basedOn w:val="DefaultParagraphFont"/>
    <w:rsid w:val="00DD6F5C"/>
  </w:style>
  <w:style w:type="character" w:customStyle="1" w:styleId="normaltextrun">
    <w:name w:val="normaltextrun"/>
    <w:basedOn w:val="DefaultParagraphFont"/>
    <w:rsid w:val="00DD6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684177">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834375400">
      <w:bodyDiv w:val="1"/>
      <w:marLeft w:val="0"/>
      <w:marRight w:val="0"/>
      <w:marTop w:val="0"/>
      <w:marBottom w:val="0"/>
      <w:divBdr>
        <w:top w:val="none" w:sz="0" w:space="0" w:color="auto"/>
        <w:left w:val="none" w:sz="0" w:space="0" w:color="auto"/>
        <w:bottom w:val="none" w:sz="0" w:space="0" w:color="auto"/>
        <w:right w:val="none" w:sz="0" w:space="0" w:color="auto"/>
      </w:divBdr>
      <w:divsChild>
        <w:div w:id="1338574514">
          <w:marLeft w:val="0"/>
          <w:marRight w:val="0"/>
          <w:marTop w:val="0"/>
          <w:marBottom w:val="0"/>
          <w:divBdr>
            <w:top w:val="none" w:sz="0" w:space="0" w:color="auto"/>
            <w:left w:val="none" w:sz="0" w:space="0" w:color="auto"/>
            <w:bottom w:val="none" w:sz="0" w:space="0" w:color="auto"/>
            <w:right w:val="none" w:sz="0" w:space="0" w:color="auto"/>
          </w:divBdr>
        </w:div>
        <w:div w:id="1667320235">
          <w:marLeft w:val="0"/>
          <w:marRight w:val="0"/>
          <w:marTop w:val="0"/>
          <w:marBottom w:val="0"/>
          <w:divBdr>
            <w:top w:val="none" w:sz="0" w:space="0" w:color="auto"/>
            <w:left w:val="none" w:sz="0" w:space="0" w:color="auto"/>
            <w:bottom w:val="none" w:sz="0" w:space="0" w:color="auto"/>
            <w:right w:val="none" w:sz="0" w:space="0" w:color="auto"/>
          </w:divBdr>
        </w:div>
      </w:divsChild>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C1DA78-896E-461D-A61E-B93DC91F7A48}">
  <ds:schemaRefs>
    <ds:schemaRef ds:uri="66b6254d-0f40-4716-8f91-c3453959d219"/>
    <ds:schemaRef ds:uri="http://schemas.openxmlformats.org/package/2006/metadata/core-properties"/>
    <ds:schemaRef ds:uri="http://schemas.microsoft.com/office/infopath/2007/PartnerControls"/>
    <ds:schemaRef ds:uri="http://purl.org/dc/terms/"/>
    <ds:schemaRef ds:uri="http://purl.org/dc/dcmitype/"/>
    <ds:schemaRef ds:uri="http://schemas.microsoft.com/office/2006/metadata/properties"/>
    <ds:schemaRef ds:uri="http://purl.org/dc/elements/1.1/"/>
    <ds:schemaRef ds:uri="http://www.w3.org/XML/1998/namespace"/>
    <ds:schemaRef ds:uri="a94e2606-67d3-479b-bb64-e7d9251b8ee1"/>
    <ds:schemaRef ds:uri="http://schemas.microsoft.com/office/2006/documentManagement/types"/>
  </ds:schemaRefs>
</ds:datastoreItem>
</file>

<file path=customXml/itemProps2.xml><?xml version="1.0" encoding="utf-8"?>
<ds:datastoreItem xmlns:ds="http://schemas.openxmlformats.org/officeDocument/2006/customXml" ds:itemID="{232D08F4-7656-436A-84C2-A1DAAB94D6AA}">
  <ds:schemaRefs>
    <ds:schemaRef ds:uri="http://schemas.microsoft.com/sharepoint/v3/contenttype/forms"/>
  </ds:schemaRefs>
</ds:datastoreItem>
</file>

<file path=customXml/itemProps3.xml><?xml version="1.0" encoding="utf-8"?>
<ds:datastoreItem xmlns:ds="http://schemas.openxmlformats.org/officeDocument/2006/customXml" ds:itemID="{EA05BAA1-DD32-4F83-AF31-EACB9344D551}">
  <ds:schemaRefs>
    <ds:schemaRef ds:uri="http://schemas.openxmlformats.org/officeDocument/2006/bibliography"/>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933A1B3D-C996-4A0F-B2E5-2333C8221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5589</Words>
  <Characters>29290</Characters>
  <DocSecurity>0</DocSecurity>
  <Lines>665</Lines>
  <Paragraphs>250</Paragraphs>
  <ScaleCrop>false</ScaleCrop>
  <HeadingPairs>
    <vt:vector size="2" baseType="variant">
      <vt:variant>
        <vt:lpstr>Title</vt:lpstr>
      </vt:variant>
      <vt:variant>
        <vt:i4>1</vt:i4>
      </vt:variant>
    </vt:vector>
  </HeadingPairs>
  <TitlesOfParts>
    <vt:vector size="1" baseType="lpstr">
      <vt:lpstr>4.2 Notification form - clean 24.5.2024.docx</vt:lpstr>
    </vt:vector>
  </TitlesOfParts>
  <LinksUpToDate>false</LinksUpToDate>
  <CharactersWithSpaces>34629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2022-04-14T02:59:00Z</cp:lastPrinted>
  <dcterms:created xsi:type="dcterms:W3CDTF">2024-10-28T08:45:00Z</dcterms:created>
  <dcterms:modified xsi:type="dcterms:W3CDTF">2024-10-28T10:41:00Z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0b7d5023-563f-4b98-a126-33ae3cffcf78</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2024-04-09T16:55:05Z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093af9b3-754e-469d-a92c-22d628747603</vt:lpwstr>
  </property>
  <property fmtid="{D5CDD505-2E9C-101B-9397-08002B2CF9AE}" pid="14" name="MSIP_Label_6bd9ddd1-4d20-43f6-abfa-fc3c07406f94_ContentBits">
    <vt:lpwstr>0</vt:lpwstr>
  </property>
</Properties>
</file>