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40222408" w:rsidR="000442F5" w:rsidRPr="009916D5" w:rsidRDefault="1AB540F5" w:rsidP="008D5ADF">
            <w:pPr>
              <w:pStyle w:val="Heading2"/>
              <w:spacing w:before="240" w:after="240"/>
              <w:jc w:val="center"/>
              <w:rPr>
                <w:sz w:val="32"/>
                <w:szCs w:val="32"/>
              </w:rPr>
            </w:pPr>
            <w:r>
              <w:rPr>
                <w:sz w:val="32"/>
              </w:rPr>
              <w:t>Uppdaterat* formulär för kompletterande information om statligt stöd som beviljas enligt riktlinjerna för statligt stöd till klimat, miljöskydd och energi 2022 (</w:t>
            </w:r>
            <w:r>
              <w:rPr>
                <w:i/>
                <w:iCs/>
                <w:sz w:val="32"/>
              </w:rPr>
              <w:t>riktlinjerna</w:t>
            </w:r>
            <w:r>
              <w:rPr>
                <w:sz w:val="32"/>
              </w:rPr>
              <w:t>)</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Kapitel 4.2 – Stöd för förbättring av byggnaders energi- och miljöprestanda</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Ännu inte formellt antaget.</w:t>
            </w:r>
            <w:r>
              <w:rPr>
                <w:rStyle w:val="eop"/>
              </w:rPr>
              <w:t>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Detta formulär för kompletterande information ska användas för anmälan av stöd som omfattas av riktlinjerna för statligt stöd till klimat, miljöskydd och energi 2022 (riktlinjerna).</w:t>
      </w:r>
    </w:p>
    <w:p w14:paraId="17CF3DD5" w14:textId="162501A6" w:rsidR="009E2EA1" w:rsidRDefault="1D5D3D78" w:rsidP="118DF711">
      <w:pPr>
        <w:spacing w:before="120" w:after="120"/>
        <w:ind w:right="-142"/>
        <w:jc w:val="both"/>
        <w:rPr>
          <w:rFonts w:eastAsia="Times New Roman"/>
          <w:i/>
          <w:iCs/>
          <w:szCs w:val="24"/>
        </w:rPr>
      </w:pPr>
      <w:r>
        <w:rPr>
          <w:i/>
        </w:rPr>
        <w:t xml:space="preserve">Detta formulär för kompletterande information avser åtgärder som omfattas av kapitel 4.2 i riktlinjerna. Om anmälan inbegriper åtgärder som omfattas av mer än ett kapitel i riktlinjerna, fyll också i – när det är tillgängligt – respektive formulär för kompletterande information som rör respektive kapitel i riktlinjerna. </w:t>
      </w:r>
    </w:p>
    <w:p w14:paraId="3C67E530" w14:textId="776D64C2" w:rsidR="1541A55D" w:rsidRDefault="1541A55D" w:rsidP="00135DD2">
      <w:pPr>
        <w:spacing w:before="120" w:after="120"/>
        <w:ind w:right="-142"/>
        <w:jc w:val="both"/>
        <w:rPr>
          <w:rFonts w:eastAsia="Times New Roman"/>
          <w:i/>
          <w:iCs/>
          <w:szCs w:val="24"/>
        </w:rPr>
      </w:pPr>
      <w:r>
        <w:rPr>
          <w:i/>
        </w:rPr>
        <w:t>Alla dokument som medlemsstaterna bifogar detta formulär för kompletterande information måste numreras, och dokumentnumren måste anges i de relevanta avsnitten av detta formulär.</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Avsnitt A: Sammanfattning av huvuddragen i den eller de anmälda åtgärderna</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Bakgrund och mål för den eller de anmälda åtgärderna</w:t>
      </w:r>
    </w:p>
    <w:p w14:paraId="437F042E" w14:textId="62F95870" w:rsidR="00111EDE" w:rsidRPr="007159A8" w:rsidRDefault="00111EDE" w:rsidP="00BC0346">
      <w:pPr>
        <w:pStyle w:val="ListParagraph"/>
        <w:numPr>
          <w:ilvl w:val="0"/>
          <w:numId w:val="20"/>
        </w:numPr>
        <w:spacing w:after="240"/>
        <w:ind w:left="993" w:hanging="142"/>
        <w:jc w:val="both"/>
      </w:pPr>
      <w:r>
        <w:t>Om det inte redan har behandlats i avsnitt 5.2 i formuläret för allmän information (del I), ange bakgrund och huvudsakligt mål, inklusive eventuella unionsmål för byggnaders energi- och miljöprestanda, som åtgärden är avsedd att stödja.</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Ange eventuella andra mål som eftersträvas med åtgärden. För alla mål som inte är rent miljörelaterade, ange om de kan leda till snedvridningar av konkurrensen på den inre marknaden.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Ikraftträdande och varaktighet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Om det inte redan har uppgetts i avsnitt 5.5 i formuläret för allmän information (del I), ange det datum från och med vilket stödordningen planeras träda i kraft.</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Ange stödordningens varaktighet</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Stödmottagare</w:t>
      </w:r>
      <w:r>
        <w:rPr>
          <w:b/>
        </w:rPr>
        <w:tab/>
      </w:r>
    </w:p>
    <w:p w14:paraId="101D761C" w14:textId="191E498C" w:rsidR="00111EDE" w:rsidRDefault="00111EDE" w:rsidP="00BC0346">
      <w:pPr>
        <w:pStyle w:val="ListParagraph"/>
        <w:numPr>
          <w:ilvl w:val="0"/>
          <w:numId w:val="21"/>
        </w:numPr>
        <w:spacing w:after="240"/>
        <w:ind w:hanging="229"/>
        <w:jc w:val="both"/>
        <w:rPr>
          <w:szCs w:val="24"/>
        </w:rPr>
      </w:pPr>
      <w:r>
        <w:t>Om det inte redan har uppgetts i avsnitt 3 i formuläret för allmän information (del I), beskriv (den potentiella) stödmottagaren eller (de potentiella) stödmottagarna för åtgärden/åtgärderna.</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Ange var stödmottagarna är belägna (dvs. om endast ekonomiska enheter belägna i respektive medlemsstat eller även i andra medlemsstater är berättigade att delta i åtgärden).</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För att bedöma efterlevnaden av punkt 15 i riktlinjerna, ange om stöd beviljas inom ramen för en eller flera åtgärder till förmån för ett företag (individuellt eller som del av en stödordning) som är föremål för ett betalningskrav till följd av ett </w:t>
      </w:r>
      <w:r>
        <w:lastRenderedPageBreak/>
        <w:t xml:space="preserve">tidigare kommissionsbeslut om att ett stöd är olagligt och oförenligt med den inre marknaden.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Om svaret är ja, lämna information om det stödbelopp som återstår att återkräva så att kommissionen tar hänsyn till detta vid bedömningen av stödåtgärden/stödåtgärderna.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Bekräfta att åtgärden/åtgärderna inte inbegriper stöd till verksamheter som inte ingår i riktlinjernas tillämpningsområde (se punkt 13 i riktlinjerna). I annat fall, lämna närmare uppgifter.</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Budget för och finansiering av åtgärden/åtgärderna</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Om det inte redan har uppgetts i tabellen i avsnitt 7.1 i formuläret för allmän information (del I), ange den årliga budgeten och/eller den totala budgeten för åtgärdens eller åtgärdernas hela varaktighet. Om den totala budgeten inte är känd (</w:t>
      </w:r>
      <w:proofErr w:type="gramStart"/>
      <w:r>
        <w:t>t.ex.</w:t>
      </w:r>
      <w:proofErr w:type="gramEnd"/>
      <w:r>
        <w:t xml:space="preserve"> för att den beror på resultaten av upphandlingar), ange en beräknad budget, inklusive de antaganden som använts för att beräkna respektive beräknad budget</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Om åtgärden/åtgärderna finansieras genom en avgift, ange om följande gäller:</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Avgiften fastställs i lag eller någon annan lagstiftningsakt. Om så är fallet, ange rättsaktens nummer och datum för när den antogs och trädde i kraft samt internetlänken till rättsakten.</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Avgiften tas ut i lika mån på inhemska och importerade produkter.</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Den eller de anmälda åtgärderna kommer att i lika mån gynna både inhemska och importerade produkter.</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Avgiften finansierar åtgärden/åtgärderna helt eller endast delvis. Om avgiften endast delvis finansierar åtgärden, ange övriga finansieringskällor för åtgärden och deras respektive andel.</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Den avgift som finansierar den eller de anmälda åtgärderna finansierar även andra stödåtgärder. Ange i sådana fall övriga stödåtgärder som finansieras genom den berörda avgiften.</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Avsnitt B: Bedömning av stödets förenlighet</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Positivt villkor: stödet ska underlätta utvecklingen av en näringsverksamhet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Bidrag till utvecklingen av en näringsverksamhet</w:t>
            </w:r>
          </w:p>
        </w:tc>
      </w:tr>
    </w:tbl>
    <w:p w14:paraId="1E2599D2" w14:textId="67A963FD" w:rsidR="000442F5" w:rsidRPr="00DB40A5" w:rsidRDefault="000442F5" w:rsidP="00A029BF">
      <w:pPr>
        <w:spacing w:before="120" w:after="120"/>
        <w:jc w:val="both"/>
        <w:rPr>
          <w:i/>
        </w:rPr>
      </w:pPr>
      <w:r>
        <w:rPr>
          <w:i/>
        </w:rPr>
        <w:t xml:space="preserve">För att lämna information i detta avsnitt, se avsnitt 3.1.1 (punkterna 23–25) och avsnitten 4.2.1 och 4.2.2 (punkterna 136–140) i riktlinjerna.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Enligt artikel 107.3 c i fördraget om Europeiska unionens funktionssätt (EUF-fördraget)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bidra till utvecklingen av en viss näringsverksamhet för att vara förenligt med den inre marknaden enligt denna bestämmelse i EUF-fördraget. </w:t>
      </w:r>
    </w:p>
    <w:p w14:paraId="4422EB0C" w14:textId="77777777" w:rsidR="00EA08CE" w:rsidRDefault="00EA08CE" w:rsidP="00AE72C0">
      <w:pPr>
        <w:pStyle w:val="ListParagraph"/>
        <w:spacing w:before="120" w:after="120"/>
        <w:ind w:left="567"/>
        <w:contextualSpacing w:val="0"/>
        <w:jc w:val="both"/>
      </w:pPr>
      <w:r>
        <w:t xml:space="preserve">För att bedöma efterlevnaden av punkt 23 i riktlinjerna, ange vilka näringsverksamheter som kommer att underlättas som en följd av stödet och hur utvecklingen av dessa verksamheter stöds.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För att bedöma efterlevnaden av punkt 25 i riktlinjerna,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 </w:t>
      </w:r>
    </w:p>
    <w:p w14:paraId="6BA1AB7B" w14:textId="47A34289" w:rsidR="00422410" w:rsidRDefault="00422410" w:rsidP="00422410">
      <w:pPr>
        <w:pStyle w:val="ListParagraph"/>
        <w:spacing w:before="120" w:after="120"/>
        <w:ind w:left="567"/>
        <w:contextualSpacing w:val="0"/>
        <w:jc w:val="both"/>
      </w:pPr>
      <w:r>
        <w:t xml:space="preserve">Belys dessutom i vilken utsträckning stödet har samband med den politik som beskrivs i punkt 135 i riktlinjerna.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Beskriv de krav för stödberättigande som är tillämpliga på stödmottagaren/stödmottagarna (</w:t>
      </w:r>
      <w:proofErr w:type="gramStart"/>
      <w:r>
        <w:t>t.ex.</w:t>
      </w:r>
      <w:proofErr w:type="gramEnd"/>
      <w:r>
        <w:t xml:space="preserve"> genom att ange eventuella tekniska, miljömässiga (dvs. tillstånd), finansiella (dvs. säkerheter) eller andra krav som stödmottagaren/stödmottagarna måste uppfylla).</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Lämna uppgifter om stödåtgärdens/stödåtgärdernas exakta tillämpningsområde och exakta stödberättigade verksamheter, i enlighet med avsnitt 4.2.2 i riktlinjerna. Ange i synnerhet följande:</w:t>
      </w:r>
    </w:p>
    <w:p w14:paraId="32AFD134" w14:textId="1ED9FBCA" w:rsidR="00B35947" w:rsidRDefault="00B35947" w:rsidP="008D5ADF">
      <w:pPr>
        <w:pStyle w:val="ListParagraph"/>
        <w:numPr>
          <w:ilvl w:val="1"/>
          <w:numId w:val="4"/>
        </w:numPr>
        <w:spacing w:before="120" w:after="120"/>
        <w:contextualSpacing w:val="0"/>
        <w:jc w:val="both"/>
      </w:pPr>
      <w:r>
        <w:t xml:space="preserve">Huruvida stödåtgärden/stödåtgärderna endast utgör stöd för att förbättra byggnaders energieffektivitet eller kombinerar stöd för att förbättra byggnaders energieffektivitet med stöd för någon av eller alla de investeringar som förtecknas i punkt 137 i riktlinjerna. I det senare fallet, klargör vilken eller vilka av investeringarna som är stödberättigande enligt åtgärden eller åtgärderna.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Huruvida stödåtgärden/stödåtgärderna också inbegriper typer av stöd som inte omfattas av avsnitt 4.2 i riktlinjerna, i enlighet med punkt 138 i riktlinjerna. Om </w:t>
      </w:r>
      <w:r>
        <w:lastRenderedPageBreak/>
        <w:t xml:space="preserve">svaret är ja ska relevanta anmälningsformulär lämnas in för de berörda delarna av åtgärden eller åtgärderna.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Ange om det stöd som beviljas inom ramen för åtgärden/åtgärderna avser renovering av befintliga byggnader, installation eller byte av bara en typ av byggnadselement</w:t>
      </w:r>
      <w:r>
        <w:rPr>
          <w:rStyle w:val="FootnoteReference"/>
        </w:rPr>
        <w:footnoteReference w:id="5"/>
      </w:r>
      <w:r>
        <w:t xml:space="preserve"> och/eller investeringar i energieffektivitet i nya byggnader, som det anges i punkt 139 (a–c) i riktlinjerna.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Visa att det stöd som beviljas inom ramen för stödåtgärden/stödåtgärderna kommer att medföra sådana förbättringar av energiprestandan som krävs enligt punkt 139 (a–c, enligt vad som är tillämpligt) i riktlinjerna.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Ange om stödet beviljas inom ramen för stödåtgärder till små och medelstora företag och små </w:t>
      </w:r>
      <w:proofErr w:type="spellStart"/>
      <w:r>
        <w:t>midcap</w:t>
      </w:r>
      <w:proofErr w:type="spellEnd"/>
      <w:r>
        <w:t xml:space="preserve">-företag som erbjuder åtgärder för förbättring av energiprestandan för att underlätta avtal om energiprestanda, i enlighet med punkt 140 i riktlinjerna.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Stimulanseffekt</w:t>
            </w:r>
          </w:p>
        </w:tc>
      </w:tr>
    </w:tbl>
    <w:p w14:paraId="20915284" w14:textId="0D70BA96" w:rsidR="00015E2B" w:rsidRPr="00A05235" w:rsidRDefault="00B15313" w:rsidP="00A029BF">
      <w:pPr>
        <w:spacing w:before="120" w:after="120"/>
        <w:jc w:val="both"/>
        <w:rPr>
          <w:i/>
        </w:rPr>
      </w:pPr>
      <w:r>
        <w:rPr>
          <w:i/>
        </w:rPr>
        <w:t xml:space="preserve">För att lämna information i detta avsnitt, se avsnitt 3.1.2 (punkterna 26–32) och avsnitt 4.2.3 (punkterna 141–143) i riktlinjerna.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Stöd kan endast anses underlätta en näringsverksamhet om det har en stimulanseffekt. För att bedöma efterlevnaden av punkt 26 i riktlinjerna,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 För att bedöma efterlevnaden av punkt 27 i riktlinjerna, bekräfta dessutom att åtgärden inte kompenserar ”för den normala affärsrisken för en näringsverksamhet” och beskriv kortfattat hur den inte gör det.</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Enligt punkt 28 i riktlinjerna ska följande göras:</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Lämna en utförlig beskrivning av det faktiska scenario som förväntas bli resultatet av stödåtgärden och det eller de sannolika kontrafaktiska scenarierna utan stödåtgärden.</w:t>
      </w:r>
      <w:r w:rsidR="006C5D8B" w:rsidRPr="005C1156">
        <w:rPr>
          <w:rStyle w:val="FootnoteReference"/>
        </w:rPr>
        <w:footnoteReference w:id="6"/>
      </w:r>
      <w:r>
        <w:t xml:space="preserve"> Om du förväntar dig att olika kategorier av stödmottagare kan få stöd, säkerställ att det kontrafaktiska scenariot är trovärdigt för var och en av dessa kategorier.</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Ange kortfattat motiveringen till valet av sannolika kontrafaktiska scenarion, i tillämpliga fall med tanke på de olika kategorier av stödmottagare som föreslås.</w:t>
      </w:r>
    </w:p>
    <w:p w14:paraId="58B43192" w14:textId="77777777" w:rsidR="006C5D8B" w:rsidRPr="00DD0932" w:rsidRDefault="006C5D8B" w:rsidP="00321A13">
      <w:pPr>
        <w:tabs>
          <w:tab w:val="left" w:leader="dot" w:pos="9072"/>
        </w:tabs>
        <w:spacing w:before="120" w:after="120"/>
        <w:ind w:left="1077"/>
        <w:jc w:val="both"/>
      </w:pPr>
      <w:r>
        <w:lastRenderedPageBreak/>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Kvantifiera kostnaderna och intäkterna för de faktiska och kontrafaktiska scenarierna och motivera det ändrade beteendet när det är relevant för varje kategori av stödmottagare, på grundval av följande: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Respektive referensprojekt</w:t>
      </w:r>
      <w:r w:rsidRPr="007159A8">
        <w:rPr>
          <w:vertAlign w:val="superscript"/>
        </w:rPr>
        <w:footnoteReference w:id="7"/>
      </w:r>
      <w:r>
        <w:t>, motsvarande kontrafaktiska scenarier och resulterande finansieringsunderskott.</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ELLER</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Relevant kvantitativ bevisning baserad på marknadsundersökningar (särskilt studier om förväntade återbetalningsperioder), investerarplaner, finansiella rapporter eller annan kvantitativ bevisning, i tillämpliga fall inbegripet anbud för liknande projekt i nyligen genomförda jämförbara konkurrensutsatta anbudsförfaranden.</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För att visa att punkterna 29 och 31 i riktlinjerna efterlevs gäller följande:</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Bekräfta att arbetet med projektet eller verksamheten inte inleddes innan stödmottagaren lämnat in en skriftlig stödansökan till de nationella myndigheterna.</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ELLER</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När det gäller projekt som inleddes innan stödansökan lämnades in, visa att projektet faller inom ramen för något av de undantagsfall som anges i punkt 31 a, b eller c i riktlinjerna.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För att visa att punkt 30 i riktlinjerna efterlevs, bekräfta att stödansökan åtminstone innehåller sökandens namn, en beskrivning av projektet eller verksamheten, inklusive dess plats, och det stödbelopp som behövs för att utföra projektet eller verksamheten.</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För att visa att punkterna 32 och 142 i riktlinjerna efterlevs ska följande göras:</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Ange om det finns unionsnormer</w:t>
      </w:r>
      <w:r w:rsidR="005B7DF0" w:rsidRPr="00436F14">
        <w:rPr>
          <w:vertAlign w:val="superscript"/>
        </w:rPr>
        <w:footnoteReference w:id="9"/>
      </w:r>
      <w:r>
        <w:t xml:space="preserve"> som är tillämpliga på den eller de anmälda åtgärderna, obligatoriska nationella normer som är strängare eller ambitiösare än </w:t>
      </w:r>
      <w:r>
        <w:lastRenderedPageBreak/>
        <w:t xml:space="preserve">motsvarande unionsnormer eller obligatoriska nationella normer som antagits i avsaknad av unionsnormer.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Om unionsrätten föreskriver unionsnormer, bekräfta och visa att stödet har en stimulanseffekt genom att det bidrar till att investeringen görs och slutförs minst 18 månader innan normen träder i kraft.</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Ange om projekt med en återbetalningsperiod</w:t>
      </w:r>
      <w:r w:rsidRPr="000F2D50">
        <w:rPr>
          <w:vertAlign w:val="superscript"/>
          <w:lang w:eastAsia="en-GB"/>
        </w:rPr>
        <w:footnoteReference w:id="10"/>
      </w:r>
      <w:r>
        <w:t xml:space="preserve"> på mindre än fem år är berättigade till stöd enligt åtgärden eller åtgärderna. Om svaret är ja, lämna bevis för att stöd behövs för att uppmuntra ett förändrat beteende, i enlighet med punkt 142 i riktlinjerna.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Ingen överträdelse av någon relevant bestämmelse i unionsrätten</w:t>
            </w:r>
          </w:p>
        </w:tc>
      </w:tr>
    </w:tbl>
    <w:p w14:paraId="71F2B6DF" w14:textId="01B42D4E" w:rsidR="00382DE7" w:rsidRDefault="00382DE7" w:rsidP="00A029BF">
      <w:pPr>
        <w:spacing w:before="120" w:after="120"/>
        <w:jc w:val="both"/>
        <w:rPr>
          <w:i/>
        </w:rPr>
      </w:pPr>
      <w:r>
        <w:rPr>
          <w:i/>
        </w:rPr>
        <w:t xml:space="preserve">För att lämna information i detta avsnitt, se avsnitt 3.1.3 (punkt 33) i riktlinjerna. </w:t>
      </w:r>
    </w:p>
    <w:p w14:paraId="075E8A7E" w14:textId="77777777" w:rsidR="00382DE7" w:rsidRDefault="00382DE7" w:rsidP="005450FE">
      <w:pPr>
        <w:pStyle w:val="ListParagraph"/>
        <w:numPr>
          <w:ilvl w:val="0"/>
          <w:numId w:val="4"/>
        </w:numPr>
        <w:spacing w:before="120" w:after="120"/>
        <w:ind w:left="567" w:hanging="567"/>
        <w:contextualSpacing w:val="0"/>
        <w:jc w:val="both"/>
      </w:pPr>
      <w:r>
        <w:t>Lämna information för att bekräfta efterlevnaden av relevanta bestämmelser i EU-rätten, i enlighet med punkt 33 i riktlinjerna.</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Om en avgift används för att finansiera åtgärden/åtgärderna, ange om en bedömning av efterlevnaden av artiklarna 30 och 110 i EUF-fördraget behöver göras. Om svaret är ja, visa hur åtgärden är förenlig med bestämmelserna i artiklarna 30 och 110 i EUF-fördraget. I detta sammanhang kan det hänvisas till de uppgifter som lämnats under fråga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t xml:space="preserve"> </w:t>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xml:space="preserve"> ovan, om den eller de anmälda åtgärderna finansieras genom en avgift.</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Negativt villkor: stödet får inte påverka handeln på ett otillbörligt sätt i en omfattning som strider mot det gemensamma intresset</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Minimering av snedvridning av konkurrens och handel</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Stödets nödvändighet</w:t>
            </w:r>
          </w:p>
        </w:tc>
      </w:tr>
    </w:tbl>
    <w:p w14:paraId="3C23674F" w14:textId="13FAD6B4" w:rsidR="00663008" w:rsidRPr="00F83660" w:rsidRDefault="00663008" w:rsidP="00A029BF">
      <w:pPr>
        <w:spacing w:before="120" w:after="120"/>
        <w:jc w:val="both"/>
        <w:rPr>
          <w:i/>
          <w:color w:val="000000"/>
        </w:rPr>
      </w:pPr>
      <w:r>
        <w:rPr>
          <w:i/>
        </w:rPr>
        <w:t>För att lämna information i detta avsnitt, se avsnitt 3.2.1.1 (punkterna 34–38) i riktlinjerna.</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Ange vilket eller vilka marknadsmisslyckanden som era myndigheter har identifierat och som hindrar att en tillräcklig miljöskyddsnivå uppnås. Ange vilken kategori de identifierade marknadsmisslyckandena hör till, genom att hänvisa till punkt 34 a, b, c eller d i riktlinjerna.</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Lämna, i enlighet med punkt 35 i riktlinjerna, information om eventuella befintliga politiska strategier och åtgärder som era myndigheter har identifierat och som redan är inriktade på de identifierade reglerings- eller marknadsmisslyckandena.</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För att visa att punkt 36 i riktlinjerna efterlevs, lämna information som visar att stödet effektivt inriktas på återstående marknadsmisslyckanden, även med beaktande av eventuella andra politiska strategier och åtgärder som redan har införts för att hantera vissa av de marknadsmisslyckanden som identifierats.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För att visa att punkt 37 i riktlinjerna efterlevs, ange om era myndigheter har vetskap om huruvida projekt eller verksamheter som liknar dem som omfattas av den eller de anmälda åtgärderna med avseende på deras teknologiska innehåll, risknivå och storlek redan har genomförts inom unionen på marknadsmässiga villkor. Om svaret är ja, lämna ytterligare bevisning som visar att statligt stöd behövs.</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För att visa att punkt 38 i riktlinjerna efterlevs, hänvisa till den kvantitativa bevisning som redan lämnats under fråga 14 C ovan.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Lämplighet</w:t>
            </w:r>
          </w:p>
        </w:tc>
      </w:tr>
    </w:tbl>
    <w:p w14:paraId="4C2D927B" w14:textId="547B9884" w:rsidR="00EA354A" w:rsidRPr="00F83660" w:rsidRDefault="00EA354A" w:rsidP="00AF17C3">
      <w:pPr>
        <w:spacing w:before="120" w:after="120"/>
        <w:jc w:val="both"/>
        <w:rPr>
          <w:i/>
          <w:color w:val="000000"/>
        </w:rPr>
      </w:pPr>
      <w:r>
        <w:rPr>
          <w:i/>
        </w:rPr>
        <w:t>För att lämna information i detta avsnitt, se avsnitt 3.2.1.2 (punkterna 39–46), avsnitt 4.2.4.1 (punkterna 144–145) och punkterna 153 och 157 i riktlinjerna.</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För att visa att punkt 40 i riktlinjerna efterlevs, visa att det inte finns några mindre snedvridande instrument tillgängliga som är lämpligare än statligt stöd.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För att visa att punkt 41 i riktlinjerna efterlevs, visa att stödåtgärden är utformad så att den inte undergräver effektiviteten hos andra åtgärder som rättar till samma </w:t>
      </w:r>
      <w:r>
        <w:lastRenderedPageBreak/>
        <w:t>marknadsmisslyckande, såsom marknadsbaserade mekanismer (</w:t>
      </w:r>
      <w:proofErr w:type="gramStart"/>
      <w:r>
        <w:t>t.ex.</w:t>
      </w:r>
      <w:proofErr w:type="gramEnd"/>
      <w:r>
        <w:t xml:space="preserve"> EU:s utsläppshandelssystem).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För att visa att punkt 42 i riktlinjerna efterlevs, bekräfta att ingen av stödmottagarna i stödåtgärden/stödåtgärderna kan hållas ansvarig för föroreningen enligt befintlig unionsrätt eller nationell lagstiftning (principen om att förorenaren betalar).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För att visa att punkterna 43–46 i riktlinjerna efterlevs, ange följande för att visa stödets lämplighet i förhållande till olika stödinstrument: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Förklara i enlighet med punkt 44 i riktlinjerna varför andra potentiellt mindre snedvridande stödformer är mindre lämpliga. Mindre snedvridande stödformer kan vara förskott med återbetalningsskyldighet jämfört med direkta bidrag, skatteavdrag jämfört med skattelättnader eller stödformer som baseras på finansiella instrument såsom skuldinstrument jämfört med </w:t>
      </w:r>
      <w:proofErr w:type="spellStart"/>
      <w:r>
        <w:t>egetkapitalinstrument</w:t>
      </w:r>
      <w:proofErr w:type="spellEnd"/>
      <w:r>
        <w:t>, bland annat lågräntelån eller räntesubventioner, statliga garantier eller annan finansiering på förmånliga villkor.</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Visa att valet av stödinstrument är lämpligt med tanke på det marknadsmisslyckande som stödåtgärden/stödåtgärderna syftar till att korrigera, i enlighet med punkt 45 i riktlinjerna.</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Förklara hur stödåtgärden och dess utformning är lämpliga för att uppnå målet för den åtgärd som stödet är riktat till, i enlighet med punkt 46 i riktlinjerna.</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Om stöd beviljas inom ramen för åtgärden/åtgärderna till förmån för små och medelstora företag och små </w:t>
      </w:r>
      <w:proofErr w:type="spellStart"/>
      <w:r>
        <w:t>midcap</w:t>
      </w:r>
      <w:proofErr w:type="spellEnd"/>
      <w:r>
        <w:t>-företag som erbjuder åtgärder för förbättring av energiprestandan enligt avtal om energiprestanda, bekräfta att stödet, i enlighet med punkt 145 i riktlinjerna, ges i form av ett lån eller en garanti till leverantören eller består av en finansiell produkt som syftar till att finansiera den berörda leverantören (</w:t>
      </w:r>
      <w:proofErr w:type="gramStart"/>
      <w:r>
        <w:t>t.ex.</w:t>
      </w:r>
      <w:proofErr w:type="gramEnd"/>
      <w:r>
        <w:t xml:space="preserve"> factoring eller </w:t>
      </w:r>
      <w:proofErr w:type="spellStart"/>
      <w:r>
        <w:t>forfaiting</w:t>
      </w:r>
      <w:proofErr w:type="spellEnd"/>
      <w:r>
        <w:t>).</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Om stöd beviljas inom ramen för åtgärden eller åtgärderna i form av finansiella instrument, bekräfta följande:</w:t>
      </w:r>
    </w:p>
    <w:p w14:paraId="407E4217" w14:textId="02AA56C3" w:rsidR="00A8494E" w:rsidRDefault="00A8494E" w:rsidP="00BC0346">
      <w:pPr>
        <w:pStyle w:val="ListParagraph"/>
        <w:numPr>
          <w:ilvl w:val="0"/>
          <w:numId w:val="33"/>
        </w:numPr>
        <w:spacing w:before="120" w:after="120"/>
        <w:contextualSpacing w:val="0"/>
        <w:jc w:val="both"/>
      </w:pPr>
      <w:r>
        <w:t>Stödet till byggnadens ägare eller hyresgäst ges i form av en garanti eller ett lån, i enlighet med punkt 153 i riktlinjerna.</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 xml:space="preserve">Stödet till den finansiella </w:t>
      </w:r>
      <w:proofErr w:type="spellStart"/>
      <w:r>
        <w:t>intermediären</w:t>
      </w:r>
      <w:proofErr w:type="spellEnd"/>
      <w:r>
        <w:t xml:space="preserve"> (</w:t>
      </w:r>
      <w:proofErr w:type="gramStart"/>
      <w:r>
        <w:t>t.ex.</w:t>
      </w:r>
      <w:proofErr w:type="gramEnd"/>
      <w:r>
        <w:t xml:space="preserve"> en fond för energieffektivitet) ges i form av ett anslag, eget kapital, en garanti eller ett lån, i enlighet med punkt 157 i riktlinjerna.</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Proportionalitet </w:t>
            </w:r>
          </w:p>
        </w:tc>
      </w:tr>
    </w:tbl>
    <w:p w14:paraId="201592AD" w14:textId="1A723365" w:rsidR="00E47105" w:rsidRDefault="00DC2847" w:rsidP="00BD1EF7">
      <w:pPr>
        <w:spacing w:before="360" w:after="120"/>
        <w:jc w:val="both"/>
        <w:rPr>
          <w:i/>
        </w:rPr>
      </w:pPr>
      <w:r>
        <w:rPr>
          <w:i/>
        </w:rPr>
        <w:lastRenderedPageBreak/>
        <w:t xml:space="preserve">För att lämna information i detta avsnitt, se avsnitt 4.2.4.2 (punkterna 146–153) i riktlinjerna. </w:t>
      </w:r>
    </w:p>
    <w:p w14:paraId="46E1A5AF" w14:textId="4388075F" w:rsidR="00BD1EF7" w:rsidRPr="00BD1EF7" w:rsidRDefault="00DC2847" w:rsidP="00E47105">
      <w:pPr>
        <w:spacing w:before="120" w:after="120"/>
        <w:jc w:val="both"/>
        <w:rPr>
          <w:i/>
        </w:rPr>
      </w:pPr>
      <w:r>
        <w:rPr>
          <w:i/>
        </w:rPr>
        <w:t xml:space="preserve">Observera att </w:t>
      </w:r>
      <w:r>
        <w:rPr>
          <w:i/>
          <w:u w:val="single"/>
        </w:rPr>
        <w:t>följande tre avsnitt 2.1.3.1, 2.1.3.2 och 2.1.3.3 är alternativa</w:t>
      </w:r>
      <w:r>
        <w:rPr>
          <w:i/>
        </w:rPr>
        <w:t xml:space="preserve">. Lämna endast svar på det relevanta avsnittet, beroende på den föreslagna åtgärdens utformning.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Stödets proportionalitet när det </w:t>
            </w:r>
            <w:r>
              <w:rPr>
                <w:sz w:val="24"/>
                <w:u w:val="single"/>
              </w:rPr>
              <w:t>inte</w:t>
            </w:r>
            <w:r>
              <w:rPr>
                <w:sz w:val="24"/>
              </w:rPr>
              <w:t xml:space="preserve"> beviljas genom ett konkurrensutsatt anbudsförfarande och </w:t>
            </w:r>
            <w:r>
              <w:rPr>
                <w:sz w:val="24"/>
                <w:u w:val="single"/>
              </w:rPr>
              <w:t>inte</w:t>
            </w:r>
            <w:r>
              <w:rPr>
                <w:sz w:val="24"/>
              </w:rPr>
              <w:t xml:space="preserve"> beviljas i form av finansiella instrument</w:t>
            </w:r>
          </w:p>
        </w:tc>
      </w:tr>
    </w:tbl>
    <w:p w14:paraId="38D650DB" w14:textId="658040C6" w:rsidR="00D32425" w:rsidRDefault="001620DB" w:rsidP="00BD1EF7">
      <w:pPr>
        <w:pStyle w:val="ListParagraph"/>
        <w:spacing w:before="120" w:after="120"/>
        <w:ind w:left="0"/>
        <w:contextualSpacing w:val="0"/>
        <w:jc w:val="both"/>
      </w:pPr>
      <w:r>
        <w:rPr>
          <w:i/>
        </w:rPr>
        <w:t>För att lämna information i detta avsnitt, se punkterna 146–151 och 153 i riktlinjerna.</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För att visa att punkt 146 i riktlinjerna efterlevs, förklara vilka kostnader som är stödberättigande enligt åtgärden eller åtgärderna och hur de är begränsade till de investeringskostnader som är direkt kopplade till uppnåendet av en högre energi- eller miljöprestandanivå.</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Ange de högsta stödnivåer som är tillämpliga enligt åtgärden och ange om eventuella bonusar (enligt beskrivningen i punkterna 147–150 i riktlinjerna) är tillämpliga.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Om tillämpligt, motivera tillämpningen av stödnivåbonusen för förbättringar som leder till en minskning av det primära energibehovet på minst 40 %, i enlighet med punkt 148 i riktlinjerna.</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Om det genom undantag från punkterna 147–150 i riktlinjerna anses att det krävs stöd utöver de högsta stödnivåer som fastställs i dessa punkter, ange den stödnivå som anses nödvändig och motivera den på grundval av en analys av finansieringsunderskottet, i enlighet med punkterna 51–52 i riktlinjerna.</w:t>
      </w:r>
    </w:p>
    <w:p w14:paraId="7FF7142F" w14:textId="0EBC2073" w:rsidR="006C2F85" w:rsidRPr="00A23A7E" w:rsidRDefault="006C2F85" w:rsidP="002F344E">
      <w:pPr>
        <w:pStyle w:val="ListParagraph"/>
        <w:spacing w:before="120" w:after="120"/>
        <w:ind w:left="567"/>
        <w:contextualSpacing w:val="0"/>
        <w:jc w:val="both"/>
      </w:pPr>
      <w:r>
        <w:t>För analysen av detta finansieringsunderskott, lämna in en kvantifiering, för det eller de faktiska scenarier och realistiska kontrafaktiska scenarier</w:t>
      </w:r>
      <w:r w:rsidRPr="00F256F6">
        <w:rPr>
          <w:vertAlign w:val="superscript"/>
          <w:lang w:val="en-IE" w:eastAsia="hr-HR" w:bidi="hr-HR"/>
        </w:rPr>
        <w:footnoteReference w:id="11"/>
      </w:r>
      <w:r>
        <w:t xml:space="preserve"> som identifierats i svaret på fråga 14 C ovan, av alla huvudsakliga kostnader och intäkter, stödmottagarnas (eller referensprojektens) beräknade vägda genomsnittliga kapitalkostnad (WACC) för att diskontera framtida kassaflöden samt nettonuvärdet för de faktiska och kontrafaktiska scenarierna under projektets/referensprojektets livstid.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Observera att när det gäller individuellt stöd och stödordningar som gynnar ett särskilt begränsat antal stödmottagare måste medlemsstaten lägga fram styrkande underlag på nivån för projektets detaljerade affärsplan, medan medlemsstaten när det gäller andra stödordningar måste lägga fram styrkande underlag på grundval av ett eller flera referensprojekt.</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Ange detta i en bilaga till detta anmälningsformulär (med hjälp av en Excel-fil där alla formler är synliga).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 xml:space="preserve">Lämna detaljerad information om de antaganden, metoder, skäl och underliggande källor till dessa som används för varje aspekt av kvantifieringen av kostnader och intäkter i det faktiska scenariot och det sannolika kontrafaktiska scenariot (ange </w:t>
      </w:r>
      <w:proofErr w:type="gramStart"/>
      <w:r>
        <w:t>t.ex.</w:t>
      </w:r>
      <w:proofErr w:type="gramEnd"/>
      <w:r>
        <w:t xml:space="preserve"> de antaganden som används för att utveckla dessa scenarier och källan/skälen till dessa antaganden).</w:t>
      </w:r>
    </w:p>
    <w:p w14:paraId="0874B090" w14:textId="77777777" w:rsidR="006C2F85" w:rsidRPr="00AC286A" w:rsidRDefault="006C2F85" w:rsidP="006C2F85">
      <w:pPr>
        <w:tabs>
          <w:tab w:val="left" w:leader="dot" w:pos="9072"/>
        </w:tabs>
        <w:spacing w:before="120" w:after="120"/>
        <w:ind w:left="1080"/>
        <w:jc w:val="both"/>
      </w:pPr>
      <w:bookmarkStart w:id="12" w:name="_Hlk169542255"/>
      <w:r>
        <w:lastRenderedPageBreak/>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Till detta anmälningsformulär kan du även bifoga de handlingar som anges i fotnot 39 i riktlinjerna. Styrelsedokument kan vara särskilt användbara för individuella stödåtgärder eller stödordningar som gynnar ett särskilt begränsat antal stödmottagare. Om sådana handlingar bifogas anmälningsformuläret, ange nedan en förteckning över dessa, med uppgift om upphovsman, datum då de upprättades och det sammanhang där de användes.</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Visa att tillämpningen av en högre stödnivå som fastställts enligt fråga 34 inte leder till att stödet överskrider finansieringsunderskottet.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Om punkt 52 i riktlinjerna är tillämplig, dvs. om det mest sannolika kontrafaktiska scenariot består av att stödmottagaren inte genomför någon verksamhet eller investering eller fortsätter med sin verksamhet utan ändringar, lämna bevisning som stöder detta antagande</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617810"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Stödets proportionalitet när stöd beviljas i form av finansiella instrument</w:t>
            </w:r>
          </w:p>
        </w:tc>
      </w:tr>
    </w:tbl>
    <w:p w14:paraId="24BE5936" w14:textId="12CB228A" w:rsidR="00B536D4" w:rsidRPr="00EA5A4E" w:rsidRDefault="00B536D4" w:rsidP="00986C5B">
      <w:pPr>
        <w:pStyle w:val="ListParagraph"/>
        <w:spacing w:before="120" w:after="120"/>
        <w:ind w:left="0"/>
        <w:contextualSpacing w:val="0"/>
        <w:jc w:val="both"/>
      </w:pPr>
      <w:r>
        <w:rPr>
          <w:i/>
        </w:rPr>
        <w:t>För att lämna information i detta avsnitt, se punkterna 146 och 153 i riktlinjerna.</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För att visa att punkt 146 i riktlinjerna efterlevs, förklara vilka kostnader som är stödberättigande enligt åtgärden eller åtgärderna och hur de är begränsade till de investeringskostnader som är direkt kopplade till uppnåendet av en högre energi- eller miljöprestandanivå.</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Lämna följande uppgifter för att visa att punkt 153 i riktlinjerna efterlevs:</w:t>
      </w:r>
    </w:p>
    <w:p w14:paraId="237638A6" w14:textId="73DDDADD" w:rsidR="00CB6373" w:rsidRPr="00EA5A4E" w:rsidRDefault="00CB6373" w:rsidP="00BC0346">
      <w:pPr>
        <w:pStyle w:val="ListParagraph"/>
        <w:numPr>
          <w:ilvl w:val="0"/>
          <w:numId w:val="27"/>
        </w:numPr>
        <w:spacing w:before="120" w:after="120"/>
        <w:contextualSpacing w:val="0"/>
        <w:jc w:val="both"/>
      </w:pPr>
      <w:r>
        <w:t>Om stödet beviljas i form av en garanti, bekräfta att garantin inte kommer att överstiga 80 % av det underliggande lånet och förklara hur efterlevnaden av detta krav kommer att säkerställas.</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Om stödet beviljas i form av ett lån, bekräfta att ägaren/ägarna till byggnaden kommer att återbetala minst lånets nominella värde till energieffektivitetsfonden eller fonden för förnybar energi eller en annan finansiell intermediär och förklara hur efterlevnaden av detta krav kommer att säkerställas.</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Proportionalitet hos stöd som beviljas genom ett konkurrensutsatt anbudsförfarande </w:t>
            </w:r>
          </w:p>
        </w:tc>
      </w:tr>
    </w:tbl>
    <w:p w14:paraId="5EF69CC9" w14:textId="34CFB392" w:rsidR="005679B2" w:rsidRPr="00441F0B" w:rsidRDefault="005679B2" w:rsidP="000D77DA">
      <w:pPr>
        <w:pStyle w:val="ListParagraph"/>
        <w:spacing w:before="120" w:after="120"/>
        <w:ind w:left="0"/>
        <w:contextualSpacing w:val="0"/>
        <w:jc w:val="both"/>
      </w:pPr>
      <w:r>
        <w:rPr>
          <w:i/>
        </w:rPr>
        <w:t>För att lämna information i detta avsnitt, se punkterna 49 och 50 i riktlinjerna.</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lastRenderedPageBreak/>
        <w:t>För att visa att punkterna 49 och 50 i riktlinjerna efterlevs ange följande:</w:t>
      </w:r>
    </w:p>
    <w:p w14:paraId="60189593" w14:textId="77777777" w:rsidR="005679B2" w:rsidRPr="00441F0B" w:rsidRDefault="005679B2" w:rsidP="00BC0346">
      <w:pPr>
        <w:pStyle w:val="ListParagraph"/>
        <w:numPr>
          <w:ilvl w:val="0"/>
          <w:numId w:val="35"/>
        </w:numPr>
        <w:spacing w:before="120" w:after="120"/>
        <w:contextualSpacing w:val="0"/>
        <w:jc w:val="both"/>
      </w:pPr>
      <w:r>
        <w:t>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De urvalskriterier som använts för att rangordna anbuden och slutligen identifiera stödnivån i det konkurrensutsatta anbudsförfarandet. Närmare bestämt: </w:t>
      </w:r>
    </w:p>
    <w:p w14:paraId="69DC932F" w14:textId="77777777" w:rsidR="005679B2" w:rsidRPr="00050EB9" w:rsidRDefault="005679B2" w:rsidP="00BC0346">
      <w:pPr>
        <w:pStyle w:val="ListParagraph"/>
        <w:numPr>
          <w:ilvl w:val="1"/>
          <w:numId w:val="25"/>
        </w:numPr>
        <w:spacing w:before="120" w:after="120"/>
        <w:contextualSpacing w:val="0"/>
        <w:jc w:val="both"/>
      </w:pPr>
      <w:r>
        <w:t>Lämna en förteckning över urvalskriterierna och ange vilka av dem som är/inte är direkt eller indirekt kopplade till de huvudsakliga målen för åtgärden eller åtgärderna. Ange deras viktning.</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Förklara hur urvalskriterierna ställer bidraget till de huvudsakliga målen för åtgärden eller åtgärderna i direkt eller indirekt relation till det stödbelopp som sökanden begär. Detta kan exempelvis uttryckas i stöd per miljöskyddsenhet</w:t>
      </w:r>
      <w:r w:rsidRPr="00050EB9">
        <w:rPr>
          <w:rStyle w:val="FootnoteReference"/>
          <w:lang w:eastAsia="en-GB"/>
        </w:rPr>
        <w:footnoteReference w:id="13"/>
      </w:r>
      <w:r>
        <w:t xml:space="preserve"> (punkt 50 och fotnot 44 i riktlinjerna).</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Om det finns andra urvalskriterier som inte är direkt eller indirekt kopplade till de huvudsakliga målen för åtgärden/åtgärderna, ange skälen för det föreslagna tillvägagångssättet och förklara hur det är lämpligt för de mål som eftersträvas genom åtgärden/åtgärderna. Bekräfta också att dessa kriterier inte utgör mer än 30 % av viktningen för alla urvalskriterier (punkt 50 i riktlinjerna).</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 xml:space="preserve">Ange för varje konkurrensutsatt anbudsförfarande hur långt i </w:t>
      </w:r>
      <w:proofErr w:type="gramStart"/>
      <w:r>
        <w:t>förväg urvalskriterierna</w:t>
      </w:r>
      <w:proofErr w:type="gramEnd"/>
      <w:r>
        <w:t xml:space="preserve"> kommer att offentliggöras (punkt 49 b och fotnot 43 i riktlinjerna)</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Förklara närmare på vilka grunder du utgår från att anbudsförfarandet kommer att vara öppet och innehålla ett tillräckligt antal sökande, dvs. att det kan förväntas att inte alla anbudsgivare kommer att få stöd och att antalet förväntade anbudsgivare är tillräckligt för att säkerställa effektiv konkurrens under stödordningens varaktighet (punkt 49 c i riktlinjerna). Beakta i din förklaring stödordningens budget eller volym. Hänvisa i relevanta fall till den bevisning som lämnats i svaren på fråga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lastRenderedPageBreak/>
        <w:tab/>
      </w:r>
    </w:p>
    <w:p w14:paraId="24D8842E" w14:textId="77777777" w:rsidR="005679B2" w:rsidRPr="00B35F1C" w:rsidRDefault="005679B2" w:rsidP="00BC0346">
      <w:pPr>
        <w:pStyle w:val="ListParagraph"/>
        <w:numPr>
          <w:ilvl w:val="0"/>
          <w:numId w:val="35"/>
        </w:numPr>
        <w:spacing w:before="120" w:after="120"/>
        <w:contextualSpacing w:val="0"/>
        <w:jc w:val="both"/>
      </w:pPr>
      <w:r>
        <w:t>Lämna information om antalet planerade anbudsomgångar och förväntat antal anbudsgivare i första omgången och över tid.</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Om det blir ett eller flera anbudsförfaranden med för få sökande, förklara hur och när utformningen av anbudsförfarandena kommer att korrigeras under genomförandet av stödordningen i syfte att återställa effektiv konkurrens (punkt 49 c i riktlinjerna).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Bekräfta att efterhandsjusteringar av resultatet av anbudsförfarandet (såsom efterföljande förhandlingar om anbudsresultat eller ransonering) undviks (punkt 49 d i riktlinjerna).</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 xml:space="preserve">Om ”anbud utan subvention” kan förekomma, förklara hur proportionaliteten kommer att säkerställas (se punkt 49 och fotnot 42 i riktlinjerna).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Klargör om myndigheterna planerar att använda lägsta prisgränser eller pristak i det konkurrensutsatta anbudsförfarandet. Om någon av dessa åtgärder används, motivera varför de används och förklara hur de inte inskränker det konkurrensutsatta anbudsförfarandet (punkt 49 och fotnot 42 i riktlinjerna).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Kumulering</w:t>
            </w:r>
          </w:p>
        </w:tc>
      </w:tr>
    </w:tbl>
    <w:p w14:paraId="2346A85D" w14:textId="3D60C926" w:rsidR="00B21377" w:rsidRPr="002A3B51" w:rsidRDefault="00B21377" w:rsidP="00211CE3">
      <w:pPr>
        <w:pStyle w:val="ListParagraph"/>
        <w:spacing w:before="120" w:after="120"/>
        <w:ind w:left="0"/>
        <w:contextualSpacing w:val="0"/>
        <w:jc w:val="both"/>
      </w:pPr>
      <w:r>
        <w:rPr>
          <w:i/>
        </w:rPr>
        <w:t>För att lämna information i detta avsnitt, se punkterna 56–57 i riktlinjerna.</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För att visa att punkt 56 i riktlinjerna efterlevs, klargör om stödet inom ramen för den eller de anmälda åtgärderna kan beviljas samtidigt inom ramen för flera stödordningar eller kumuleras med stöd för särskilda ändamål eller stöd av mindre betydelse i förhållande till samma stödberättigande kostnader, om detta inte redan anges i del I </w:t>
      </w:r>
      <w:proofErr w:type="spellStart"/>
      <w:r>
        <w:t>i</w:t>
      </w:r>
      <w:proofErr w:type="spellEnd"/>
      <w:r>
        <w:t xml:space="preserve"> det allmänna anmälningsformuläret. Om så är fallet, lämna närmare uppgifter om dessa stödordningar, stöd för särskilda ändamål eller stöd av mindre betydelse och hur stödet kommer att kumuleras.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Om punkt 56 i riktlinjerna är tillämplig, motivera hur det totala stödbelopp som beviljas inom ramen för den eller de anmälda åtgärderna till ett projekt eller en verksamhet inte leder till överkompensation eller överskrider det högsta stödbelopp som tillåts enligt avsnitt 4.2.4.2 i riktlinjerna. Ange, för varje åtgärd med vilken det stöd som beviljas inom ramen för den eller de anmälda stödåtgärderna kan kumuleras, den metod som används för att säkerställa att villkoren i punkt 56 i riktlinjerna efterlevs.</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lastRenderedPageBreak/>
        <w:t>Om punkt 57 i riktlinjerna är tillämplig, dvs. om det stöd som beviljas inom ramen för den eller de anmälda åtgärderna kombineras med en centralt förvaltad unionsfinansiering</w:t>
      </w:r>
      <w:r>
        <w:rPr>
          <w:rStyle w:val="FootnoteReference"/>
          <w:lang w:eastAsia="en-GB"/>
        </w:rPr>
        <w:footnoteReference w:id="14"/>
      </w:r>
      <w:r>
        <w:t xml:space="preserve"> (som inte utgör statligt stöd), motivera hur </w:t>
      </w:r>
      <w:r>
        <w:rPr>
          <w:shd w:val="clear" w:color="auto" w:fill="FFFFFF"/>
        </w:rPr>
        <w:t>den totala offentliga finansiering som beviljas i förhållande till samma stödberättigande kostnader inte leder till överkompensation</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Öppenhet</w:t>
            </w:r>
          </w:p>
        </w:tc>
      </w:tr>
    </w:tbl>
    <w:p w14:paraId="07229A8F" w14:textId="028CA7B4" w:rsidR="006773CE" w:rsidRPr="007C0A44" w:rsidRDefault="006773CE" w:rsidP="00707E7C">
      <w:pPr>
        <w:spacing w:before="120" w:after="120"/>
        <w:jc w:val="both"/>
        <w:rPr>
          <w:i/>
        </w:rPr>
      </w:pPr>
      <w:r>
        <w:rPr>
          <w:i/>
        </w:rPr>
        <w:t xml:space="preserve">För att lämna information i detta avsnitt, se avsnitt 3.2.1.4 (punkterna 58–62) i riktlinjerna.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Bekräfta att medlemsstaten kommer att efterleva de krav på öppenhet som fastställs i punkterna 58–61 i riktlinjerna.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Ange den internetlänk där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 kommer att offentliggöras.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Undvikande av otillbörliga negativa effekter av stödet på handel och konkurrens och balansering</w:t>
            </w:r>
          </w:p>
        </w:tc>
      </w:tr>
    </w:tbl>
    <w:p w14:paraId="6CD3884F" w14:textId="56A9CDD5" w:rsidR="00F83660" w:rsidRPr="00B215FD" w:rsidRDefault="00F83660" w:rsidP="0038016C">
      <w:pPr>
        <w:spacing w:before="120" w:after="120"/>
        <w:jc w:val="both"/>
        <w:rPr>
          <w:i/>
        </w:rPr>
      </w:pPr>
      <w:r>
        <w:rPr>
          <w:i/>
        </w:rPr>
        <w:t xml:space="preserve">För att lämna information i detta avsnitt, se avsnitt 3.2.2 (punkterna 63–70) och avsnitt 4.2.4.3 (punkterna 154–157) i riktlinjerna.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För att visa att punkt 67 i riktlinjerna efterlevs, lämna information om den eller de anmälda åtgärdernas potentiella negativa effekter på kort och lång sikt på konkurrensen och handeln.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Ange om åtgärden täcks av någon av följande situationer: </w:t>
      </w:r>
    </w:p>
    <w:p w14:paraId="44BBD0E3" w14:textId="77777777" w:rsidR="00BC72E3" w:rsidRPr="00E752D3" w:rsidRDefault="00BC72E3" w:rsidP="00BC0346">
      <w:pPr>
        <w:pStyle w:val="ListParagraph"/>
        <w:numPr>
          <w:ilvl w:val="0"/>
          <w:numId w:val="37"/>
        </w:numPr>
        <w:spacing w:before="120" w:after="120"/>
        <w:contextualSpacing w:val="0"/>
        <w:jc w:val="both"/>
      </w:pPr>
      <w:r>
        <w:t>Den gäller en marknad (eller marknader) där etablerade aktörer lyckades vinna marknadsinflytande före avregleringen av marknaden.</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Den inbegriper konkurrensutsatta anbudsförfaranden på en eller flera framväxande marknader, om det finns en aktör med stark marknadsställning.</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Den kommer endast att gynna en eller ett särskilt begränsat antal stödmottagare.</w:t>
      </w:r>
    </w:p>
    <w:p w14:paraId="43B690C3" w14:textId="08AA7AC9" w:rsidR="009212E9" w:rsidRDefault="00BC72E3" w:rsidP="009212E9">
      <w:pPr>
        <w:pStyle w:val="ListParagraph"/>
        <w:numPr>
          <w:ilvl w:val="0"/>
          <w:numId w:val="4"/>
        </w:numPr>
        <w:spacing w:before="120" w:after="120"/>
        <w:ind w:left="567" w:hanging="567"/>
        <w:contextualSpacing w:val="0"/>
        <w:jc w:val="both"/>
      </w:pPr>
      <w:r>
        <w:lastRenderedPageBreak/>
        <w:t xml:space="preserve">Om stödåtgärden är inriktad på ett specifikt tekniskt val/en specifik teknisk metod, beskriv anledningen till det tekniska valet och motivera hur det inte kommer att motverka införandet av renare teknik.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Om den eller de anmälda åtgärderna endast kommer att gynna en eller ett särskilt begränsat antal stödmottagare, ange följande för att visa att punkt 68 i riktlinjerna efterlevs:</w:t>
      </w:r>
    </w:p>
    <w:p w14:paraId="4E1C5F60" w14:textId="2612C1BB" w:rsidR="006B1971" w:rsidRPr="00722DE1" w:rsidRDefault="00722DE1" w:rsidP="00BC0346">
      <w:pPr>
        <w:pStyle w:val="ListParagraph"/>
        <w:numPr>
          <w:ilvl w:val="0"/>
          <w:numId w:val="38"/>
        </w:numPr>
        <w:spacing w:before="120" w:after="120"/>
        <w:contextualSpacing w:val="0"/>
        <w:jc w:val="both"/>
      </w:pPr>
      <w:r>
        <w:t>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 Ange i detta avseende också om stödåtgärden kommer att leda till en ökning av stödmottagarens eller stödmottagarnas produktionskapacitet.</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Beskriv den eller de åtgärder som vidtas för att begränsa den potentiella snedvridningen av konkurrensen till följd av att stödmottagaren/stödmottagarna beviljas stöd.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För att visa att punkt 69 i riktlinjerna efterlevs, ange följande:</w:t>
      </w:r>
    </w:p>
    <w:p w14:paraId="55298360" w14:textId="77777777" w:rsidR="00E62DD7" w:rsidRDefault="00E62DD7" w:rsidP="00BC0346">
      <w:pPr>
        <w:pStyle w:val="ListParagraph"/>
        <w:numPr>
          <w:ilvl w:val="0"/>
          <w:numId w:val="39"/>
        </w:numPr>
        <w:spacing w:before="120" w:after="120"/>
        <w:contextualSpacing w:val="0"/>
        <w:jc w:val="both"/>
      </w:pPr>
      <w:r>
        <w:t xml:space="preserve">Huruvida det stöd som beviljas inom ramen för den eller de anmälda åtgärderna syftar till att upprätthålla näringsverksamheten i en region eller locka bort den från andra regioner på den inre marknaden.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Om svaret är ja, specificera den eller de anmälda åtgärdernas nettoeffekt på miljön och hur den eller de anmälda åtgärderna förbättrar den befintliga nivån på miljöskyddet i medlemsstaterna.</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Hur det stöd som beviljas inom ramen för den eller de anmälda åtgärderna inte leder till några uppenbart negativa effekter på konkurrensen och handeln.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När det gäller individuellt stöd, de främsta drivkrafterna bakom stödmottagarens val av lokaliseringsort för investeringarna.</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För att visa att punkt 70 i riktlinjerna efterlevs gäller följande:</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Bekräfta att stöd får beviljas inom ramen för den anmälda stödordningen under högst tio år från och med den dag då kommissionen meddelar sitt beslut om att förklara stödet förenligt med den inre marknaden.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Bekräfta att era myndigheter kommer att anmäla åtgärden på nytt om de vill förlänga stödordningens varaktighet utöver den maxperioden.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lastRenderedPageBreak/>
        <w:t>För att visa att punkt 157 i riktlinjerna efterlevs, om stödet beviljas i form av ett anslag, eget kapital, en garanti eller ett lån till en fond för energieffektivitet, en fond för förnybar energi eller en annan finansiell intermediär:</w:t>
      </w:r>
    </w:p>
    <w:p w14:paraId="04EC5970" w14:textId="36680F60" w:rsidR="00344211" w:rsidRPr="009E0FCA" w:rsidRDefault="00344211" w:rsidP="00BC0346">
      <w:pPr>
        <w:pStyle w:val="ListParagraph"/>
        <w:numPr>
          <w:ilvl w:val="0"/>
          <w:numId w:val="41"/>
        </w:numPr>
        <w:spacing w:before="120" w:after="120"/>
        <w:contextualSpacing w:val="0"/>
        <w:jc w:val="both"/>
      </w:pPr>
      <w:r>
        <w:t xml:space="preserve">Visa att finansiella </w:t>
      </w:r>
      <w:proofErr w:type="spellStart"/>
      <w:r>
        <w:t>intermediärer</w:t>
      </w:r>
      <w:proofErr w:type="spellEnd"/>
      <w:r>
        <w:t xml:space="preserve"> eller fondförvaltare kommer att väljas genom ett öppet, transparent och icke-diskriminerande förfarande som utformats i enlighet med tillämplig unionsrätt och nationell lagstiftning.</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Visa att det finns villkor som säkerställer att finansiella </w:t>
      </w:r>
      <w:proofErr w:type="spellStart"/>
      <w:r>
        <w:t>intermediärer</w:t>
      </w:r>
      <w:proofErr w:type="spellEnd"/>
      <w:r>
        <w:t xml:space="preserve">, däribland fonder för energieffektivitet och förnybar energi, förvaltas på kommersiell grund och kommer att säkerställa vinstdrivna finansieringsbeslut.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Visa att förvaltare av fonder för energieffektivitet och förnybar energi eller andra finansiella </w:t>
      </w:r>
      <w:proofErr w:type="spellStart"/>
      <w:r>
        <w:t>intermediärer</w:t>
      </w:r>
      <w:proofErr w:type="spellEnd"/>
      <w:r>
        <w:t xml:space="preserve"> i största möjliga utsträckning måste föra fördelen vidare till de slutliga stödmottagarna (fastighetsägaren/fastighetsägarna eller hyresgästen/hyresgästerna) i form av större finansieringsvolymer, lägre krav på säkerhet, lägre garantipremier eller lägre räntor.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Vägning av de positiva effekterna av stödet mot de negativa effekterna på konkurrens och handel</w:t>
            </w:r>
          </w:p>
        </w:tc>
      </w:tr>
    </w:tbl>
    <w:p w14:paraId="2BA426DC" w14:textId="3A9BC05F" w:rsidR="00265702" w:rsidRPr="00863406" w:rsidRDefault="00265702" w:rsidP="00AD5646">
      <w:pPr>
        <w:spacing w:before="120" w:after="120"/>
        <w:jc w:val="both"/>
        <w:rPr>
          <w:i/>
          <w:color w:val="000000"/>
        </w:rPr>
      </w:pPr>
      <w:r>
        <w:rPr>
          <w:i/>
        </w:rPr>
        <w:t>För att lämna information i detta avsnitt, se avsnitt 3.3 (punkterna 71–76) i riktlinjerna.</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För att visa att punkt 72 i riktlinjerna efterlevs, ange om den verksamhet som får stöd enligt den eller de anmälda åtgärderna uppfyller kriterierna för miljömässigt hållbara ekonomiska verksamheter </w:t>
      </w:r>
      <w:r>
        <w:rPr>
          <w:shd w:val="clear" w:color="auto" w:fill="FFFFFF"/>
        </w:rPr>
        <w:t>enligt</w:t>
      </w:r>
      <w:r>
        <w:t xml:space="preserve"> artikel 3 i Europaparlamentets och rådets förordning (EU) 2020/852</w:t>
      </w:r>
      <w:r w:rsidRPr="008772CC">
        <w:rPr>
          <w:rStyle w:val="FootnoteReference"/>
          <w:lang w:eastAsia="en-GB"/>
        </w:rPr>
        <w:footnoteReference w:id="15"/>
      </w:r>
      <w:r>
        <w:t xml:space="preserve">, </w:t>
      </w:r>
      <w:r>
        <w:rPr>
          <w:shd w:val="clear" w:color="auto" w:fill="FFFFFF"/>
        </w:rPr>
        <w:t>inklusive principen om att inte orsaka betydande skada, eller enligt andra jämförbara metoder.</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(Vid konkurrensutsatta anbudsförfaranden) Ange om den eller de anmälda åtgärderna rymmer inslag som underlättar små och medelstora företags deltagande i konkurrensutsatta anbudsförfaranden. Om svaret är ja, lämna information om dessa inslag och motivera hur de positiva effekterna av att säkerställa små och medelstora företags deltagande i den eller de anmälda åtgärderna uppväger de möjliga snedvridande effekterna.</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För att visa att punkterna 74 och 155–156 i riktlinjerna efterlevs ska följande göras:</w:t>
      </w:r>
    </w:p>
    <w:p w14:paraId="63C203A5" w14:textId="5E6F0AA2" w:rsidR="00976A75" w:rsidRDefault="00976A75" w:rsidP="00BC0346">
      <w:pPr>
        <w:pStyle w:val="ListParagraph"/>
        <w:numPr>
          <w:ilvl w:val="0"/>
          <w:numId w:val="43"/>
        </w:numPr>
        <w:spacing w:before="120" w:after="120"/>
        <w:contextualSpacing w:val="0"/>
        <w:jc w:val="both"/>
      </w:pPr>
      <w:r>
        <w:t xml:space="preserve">Klargör om investeringar i utrustning som drivs med naturgas är stödberättigande enligt den eller de anmälda åtgärderna. Om svaret är ja, visa att stödet inte kommer att ersätta investeringar i renare alternativ som redan finns tillgängliga på </w:t>
      </w:r>
      <w:r>
        <w:lastRenderedPageBreak/>
        <w:t>marknaden eller låsa in vissa tekniker. Ange också om den utrustning som drivs med naturgas ersätter energiutrustning som drivs med de mest förorenande fossila bränslena, såsom olja och kol.</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Bekräfta att investeringar i utrustning som drivs med förorenande fossila bränslen såsom olja och kol inte är berättigade till stöd enligt den eller de anmälda åtgärderna. Observera att stöd för installation av utrustning som drivs med fossila bränslen som olja och kol anses ha negativa effekter på konkurrensen på grund av de större koldioxidutsläpp som är kopplade till användningen av fossila bränslen, den betydande risken för inlåsning av fossilbränsleteknik och undanträngning av investeringar i renare och mer innovativa alternativ som finns tillgängliga på marknaden.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Avsnitt C: Utvärdering</w:t>
            </w:r>
          </w:p>
        </w:tc>
      </w:tr>
    </w:tbl>
    <w:p w14:paraId="0E74647B" w14:textId="4714C7EA" w:rsidR="00E752D3" w:rsidRDefault="00E752D3" w:rsidP="00E752D3">
      <w:pPr>
        <w:tabs>
          <w:tab w:val="left" w:leader="dot" w:pos="9072"/>
        </w:tabs>
        <w:spacing w:before="120" w:after="120"/>
        <w:jc w:val="both"/>
      </w:pPr>
      <w:r>
        <w:rPr>
          <w:i/>
        </w:rPr>
        <w:t>För att lämna information i detta avsnitt, se kapitel 5 (punkterna 455–463) i riktlinjerna.</w:t>
      </w:r>
    </w:p>
    <w:p w14:paraId="3B148946" w14:textId="6DA2827A" w:rsidR="005B1125" w:rsidRDefault="005B1125" w:rsidP="00BC0346">
      <w:pPr>
        <w:pStyle w:val="ListParagraph"/>
        <w:numPr>
          <w:ilvl w:val="0"/>
          <w:numId w:val="44"/>
        </w:numPr>
        <w:spacing w:before="120" w:after="120"/>
        <w:ind w:left="567" w:hanging="567"/>
        <w:contextualSpacing w:val="0"/>
        <w:jc w:val="both"/>
      </w:pPr>
      <w:r>
        <w:t>Om den eller de anmälda åtgärderna överskrider budget-/utgiftströskelvärdena enligt punkt 456 i riktlinjerna, ange antingen varför du anser att undantaget i punkt 457 i riktlinjerna bör tillämpas eller bifoga en bilaga till detta anmälningsformulär som innehåller ett utkast till utvärderingsplan som täcker det tillämpningsområde som anges i punkt 458 i riktlinjerna.</w:t>
      </w:r>
      <w:r w:rsidRPr="00AC286A">
        <w:rPr>
          <w:rStyle w:val="FootnoteReference"/>
          <w:lang w:eastAsia="en-GB"/>
        </w:rPr>
        <w:footnoteReference w:id="16"/>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Om ett utkast till utvärderingsplan tillhandahålls, ska följande göras:</w:t>
      </w:r>
    </w:p>
    <w:p w14:paraId="2908B272" w14:textId="6B17EC45" w:rsidR="005B1125" w:rsidRDefault="00BC0346" w:rsidP="00BC0346">
      <w:pPr>
        <w:pStyle w:val="ListParagraph"/>
        <w:numPr>
          <w:ilvl w:val="0"/>
          <w:numId w:val="46"/>
        </w:numPr>
        <w:spacing w:before="120" w:after="120"/>
        <w:contextualSpacing w:val="0"/>
        <w:jc w:val="both"/>
      </w:pPr>
      <w:r>
        <w:t>Lämna nedan en sammanfattning av det utkast till utvärderingsplan som finns i bilagan.</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Bekräfta att punkt 460 i riktlinjerna kommer att iakttas.</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Ange datum och internetlänk där utvärderingsplanen kommer att finnas tillgänglig för allmänheten.</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För att visa att punkt 459 b i riktlinjerna efterlevs och om stödordningen för närvarande inte är föremål för en efterhandsutvärdering och dess varaktighet överstiger tre år, bekräfta att du kommer att anmäla ett utkast till utvärderingsplan inom 30 arbetsdagar efter en betydande ändring som ökar stödordningens budget till mer än 150 miljoner euro under ett givet år eller 750 miljoner euro under stödordningens totala varaktighet.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lastRenderedPageBreak/>
        <w:t xml:space="preserve">För att visa att punkt 459 c i riktlinjerna efterlevs och om stödordningen för närvarande inte är föremål för en efterhandsutvärdering, ange nedan ett åtagande om att medlemsstaten kommer att anmäla ett utkast till utvärderingsplan inom 30 arbetsdagar efter att i de officiella räkenskaperna ha redovisat utgifter på över 150 miljoner euro under föregående år.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För att visa att punkt 461 i riktlinjerna efterlevs gäller följande:</w:t>
      </w:r>
    </w:p>
    <w:p w14:paraId="523B7898" w14:textId="4DB1F92C" w:rsidR="005B1125" w:rsidRPr="0051324D" w:rsidRDefault="005B1125" w:rsidP="005D3A8D">
      <w:pPr>
        <w:pStyle w:val="ListParagraph"/>
        <w:numPr>
          <w:ilvl w:val="0"/>
          <w:numId w:val="47"/>
        </w:numPr>
        <w:spacing w:before="120" w:after="120"/>
        <w:contextualSpacing w:val="0"/>
        <w:jc w:val="both"/>
      </w:pPr>
      <w:r>
        <w:t>Klargör om den oberoende experten redan har valts eller kommer att väljas i framtiden.</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Lämna information om förfarandet för val av expert.</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Förklara hur experten är oberoende av den beviljande myndigheten.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 xml:space="preserve">Ange de föreslagna tidsfristerna för inlämning av </w:t>
      </w:r>
      <w:proofErr w:type="spellStart"/>
      <w:r>
        <w:t>interimsutvärderingsrapporten</w:t>
      </w:r>
      <w:proofErr w:type="spellEnd"/>
      <w:r>
        <w:t xml:space="preserve">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Bekräfta att </w:t>
      </w:r>
      <w:proofErr w:type="spellStart"/>
      <w:r>
        <w:t>interimsutvärderingsrapporten</w:t>
      </w:r>
      <w:proofErr w:type="spellEnd"/>
      <w:r>
        <w:t xml:space="preserve"> och den slutliga utvärderingsrapporten kommer att offentliggöras. Ange datum och internetlänk där dessa rapporter kommer att finnas tillgängliga för allmänheten.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Avsnitt D: Rapportering och övervakning</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För att lämna information i detta avsnitt, se avsnitt 6 (punkterna 464 och 465) i riktlinjerna.</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Bekräfta att medlemsstaten kommer att efterleva de krav på rapportering och övervakning som anges i avsnitt 6, punkterna 464 och 465, i riktlinjerna.</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EUT C 80, 18.2.2022, s. 1.</w:t>
      </w:r>
    </w:p>
  </w:footnote>
  <w:footnote w:id="3">
    <w:p w14:paraId="2A08361A" w14:textId="77777777" w:rsidR="00111EDE" w:rsidRDefault="00111EDE" w:rsidP="00111EDE">
      <w:pPr>
        <w:pStyle w:val="FootnoteText"/>
      </w:pPr>
      <w:r>
        <w:rPr>
          <w:rStyle w:val="FootnoteReference"/>
        </w:rPr>
        <w:footnoteRef/>
      </w:r>
      <w:r>
        <w:tab/>
        <w:t xml:space="preserve">Observera att varaktigheten för en stödordning är den period under vilken stöd kan sökas och beslutas om (och därför inkluderar den tid som krävs för att myndigheterna ska godkänna stödansökningarna). Med varaktighet i denna fråga avses inte löptiden för de avtal som ingås inom ramen för stödordningen och som kan fortsätta att löpa efter åtgärdens varaktighet. </w:t>
      </w:r>
    </w:p>
  </w:footnote>
  <w:footnote w:id="4">
    <w:p w14:paraId="18104C0E" w14:textId="77777777" w:rsidR="00111EDE" w:rsidRPr="0067348B" w:rsidRDefault="00111EDE" w:rsidP="00111EDE">
      <w:pPr>
        <w:pStyle w:val="FootnoteText"/>
      </w:pPr>
      <w:r>
        <w:rPr>
          <w:rStyle w:val="FootnoteReference"/>
        </w:rPr>
        <w:footnoteRef/>
      </w:r>
      <w:r>
        <w:tab/>
        <w:t>Observera att en ändring av den faktiska eller beräknade budgeten kan utgöra en ändring av stöd, vilket kräver en ny anmälan.</w:t>
      </w:r>
    </w:p>
  </w:footnote>
  <w:footnote w:id="5">
    <w:p w14:paraId="619B015F" w14:textId="77777777" w:rsidR="00B35947" w:rsidRPr="00CC03BD" w:rsidRDefault="00B35947" w:rsidP="00B35947">
      <w:pPr>
        <w:pStyle w:val="FootnoteText"/>
      </w:pPr>
      <w:r>
        <w:rPr>
          <w:rStyle w:val="FootnoteReference"/>
        </w:rPr>
        <w:footnoteRef/>
      </w:r>
      <w:r>
        <w:tab/>
        <w:t>I fotnot 74 föreskrivs att investeringar för en typ av byggnadselement till exempel kan avse byte av fönster eller pannor i byggnaden eller inriktas på väggisolering.</w:t>
      </w:r>
    </w:p>
  </w:footnote>
  <w:footnote w:id="6">
    <w:p w14:paraId="2024B5EE" w14:textId="0A95B5DE" w:rsidR="006C5D8B" w:rsidRPr="00CF158B" w:rsidRDefault="006C5D8B" w:rsidP="006C5D8B">
      <w:pPr>
        <w:pStyle w:val="FootnoteText"/>
      </w:pPr>
      <w:r>
        <w:rPr>
          <w:rStyle w:val="FootnoteReference"/>
        </w:rPr>
        <w:footnoteRef/>
      </w:r>
      <w:r>
        <w:tab/>
        <w:t>Observera att punkterna 38 och 52 samt fotnoterna 39 och 45 i riktlinjerna ger ytterligare vägledning om hur det sannolika kontrafaktiska scenariot bör utvecklas.</w:t>
      </w:r>
    </w:p>
  </w:footnote>
  <w:footnote w:id="7">
    <w:p w14:paraId="593783A2" w14:textId="77777777" w:rsidR="005B7459" w:rsidRPr="00114695" w:rsidRDefault="005B7459" w:rsidP="005B7459">
      <w:pPr>
        <w:pStyle w:val="FootnoteText"/>
      </w:pPr>
      <w:r>
        <w:rPr>
          <w:rStyle w:val="FootnoteReference"/>
        </w:rPr>
        <w:footnoteRef/>
      </w:r>
      <w:r>
        <w:tab/>
        <w:t>”Referensprojekt” definieras i punkt 19.63 i riktlinjerna.</w:t>
      </w:r>
    </w:p>
  </w:footnote>
  <w:footnote w:id="8">
    <w:p w14:paraId="0BFAE3BE" w14:textId="77777777" w:rsidR="006C5D8B" w:rsidRDefault="006C5D8B" w:rsidP="006C5D8B">
      <w:pPr>
        <w:pStyle w:val="FootnoteText"/>
      </w:pPr>
      <w:r>
        <w:rPr>
          <w:rStyle w:val="FootnoteReference"/>
        </w:rPr>
        <w:footnoteRef/>
      </w:r>
      <w:r>
        <w:tab/>
        <w:t>Vid användning av ett nyligen genomfört konkurrensutsatt förfarande, förklara hur detta anbudsförfarande kan anses vara konkurrensutsatt, inklusive hur oväntade intäkter undveks för olika tekniker som ingick i det konkurrensutsatta anbudsförfarandet i tillämpliga fall, och hur det är jämförbart, till exempel:</w:t>
      </w:r>
    </w:p>
    <w:p w14:paraId="32FF99E9" w14:textId="09CF0337" w:rsidR="006C5D8B" w:rsidRDefault="006C5D8B" w:rsidP="00BC0346">
      <w:pPr>
        <w:pStyle w:val="FootnoteText"/>
        <w:numPr>
          <w:ilvl w:val="0"/>
          <w:numId w:val="29"/>
        </w:numPr>
      </w:pPr>
      <w:r>
        <w:t>Liknade villkoren (</w:t>
      </w:r>
      <w:proofErr w:type="gramStart"/>
      <w:r>
        <w:t>t.ex.</w:t>
      </w:r>
      <w:proofErr w:type="gramEnd"/>
      <w:r>
        <w:t xml:space="preserve"> avtalsvillkor och varaktighet, investeringsfrister, huruvida stödutbetalningarna indexerades mot inflationen eller inte) de villkor som föreslås i den eller de anmälda åtgärderna?</w:t>
      </w:r>
    </w:p>
    <w:p w14:paraId="12C047BB" w14:textId="77777777" w:rsidR="006C5D8B" w:rsidRDefault="006C5D8B" w:rsidP="00BC0346">
      <w:pPr>
        <w:pStyle w:val="FootnoteText"/>
        <w:numPr>
          <w:ilvl w:val="0"/>
          <w:numId w:val="29"/>
        </w:numPr>
      </w:pPr>
      <w:r>
        <w:t>Genomfördes det konkurrensutsatta förfarandet under liknande makroekonomiska förhållanden?</w:t>
      </w:r>
    </w:p>
    <w:p w14:paraId="758C7A5E" w14:textId="77777777" w:rsidR="006C5D8B" w:rsidRDefault="006C5D8B" w:rsidP="00BC0346">
      <w:pPr>
        <w:pStyle w:val="FootnoteText"/>
        <w:numPr>
          <w:ilvl w:val="0"/>
          <w:numId w:val="29"/>
        </w:numPr>
      </w:pPr>
      <w:r>
        <w:t>Var teknikerna/projekttyperna likartade?</w:t>
      </w:r>
    </w:p>
  </w:footnote>
  <w:footnote w:id="9">
    <w:p w14:paraId="590F3FC7" w14:textId="30CB4935" w:rsidR="00770302" w:rsidRPr="003D1C23" w:rsidRDefault="00770302" w:rsidP="00821F07">
      <w:pPr>
        <w:pStyle w:val="FootnoteText"/>
      </w:pPr>
      <w:r>
        <w:rPr>
          <w:rStyle w:val="FootnoteReference"/>
        </w:rPr>
        <w:footnoteRef/>
      </w:r>
      <w:r>
        <w:tab/>
        <w:t>Enligt punkt 19.89 i riktlinjerna avses med ”unionsnorm” följande:</w:t>
      </w:r>
    </w:p>
    <w:p w14:paraId="340A0B20" w14:textId="77777777" w:rsidR="00770302" w:rsidRPr="003D1C23" w:rsidRDefault="00770302" w:rsidP="00BC0346">
      <w:pPr>
        <w:pStyle w:val="FootnoteText"/>
        <w:numPr>
          <w:ilvl w:val="0"/>
          <w:numId w:val="26"/>
        </w:numPr>
      </w:pPr>
      <w:r>
        <w:t>Obligatorisk unionsnorm som anger vilka nivåer som enskilda företag ska uppnå i miljöavseende, med undantag för normer eller mål som fastställs på unionsnivå och som är bindande för medlemsstaterna men inte för enskilda företag.</w:t>
      </w:r>
    </w:p>
    <w:p w14:paraId="02AC4E0B" w14:textId="609C0B25" w:rsidR="00770302" w:rsidRPr="003D1C23" w:rsidRDefault="00770302" w:rsidP="00BC0346">
      <w:pPr>
        <w:pStyle w:val="FootnoteText"/>
        <w:numPr>
          <w:ilvl w:val="0"/>
          <w:numId w:val="26"/>
        </w:numPr>
      </w:pPr>
      <w:r>
        <w:t xml:space="preserve">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w:t>
      </w:r>
      <w:proofErr w:type="spellStart"/>
      <w:r>
        <w:t>genomförandeakter</w:t>
      </w:r>
      <w:proofErr w:type="spellEnd"/>
      <w:r>
        <w:t xml:space="preserve"> som antagits enligt direktiv 2010/75/EU, eller enligt andra tillämpliga direktiv, ska dessa nivåer gälla vid tillämpningen av dessa riktlinjer; om nivåerna uttrycks i form av ett intervall ska den gräns för vilken den bästa tillgängliga tekniken först uppnås för det berörda företaget vara tillämplig.</w:t>
      </w:r>
    </w:p>
  </w:footnote>
  <w:footnote w:id="10">
    <w:p w14:paraId="6853F00F" w14:textId="1EBBBF50" w:rsidR="00770302" w:rsidRPr="007E4A3E" w:rsidRDefault="00770302">
      <w:pPr>
        <w:pStyle w:val="FootnoteText"/>
      </w:pPr>
      <w:r>
        <w:rPr>
          <w:rStyle w:val="FootnoteReference"/>
        </w:rPr>
        <w:footnoteRef/>
      </w:r>
      <w:r>
        <w:tab/>
        <w:t>Återbetalningsperioden är den tid som behövs för att ersätta kostnaden för en investering (utan stöd).</w:t>
      </w:r>
    </w:p>
  </w:footnote>
  <w:footnote w:id="11">
    <w:p w14:paraId="2937680B" w14:textId="77777777" w:rsidR="006C2F85" w:rsidRPr="0095488F" w:rsidRDefault="006C2F85" w:rsidP="006C2F85">
      <w:pPr>
        <w:pStyle w:val="FootnoteText"/>
      </w:pPr>
      <w:r>
        <w:rPr>
          <w:rStyle w:val="FootnoteReference"/>
        </w:rPr>
        <w:footnoteRef/>
      </w:r>
      <w:r>
        <w:tab/>
        <w:t>Se även ytterligare information i punkterna 51–53 samt fotnoterna 45 och 46 i riktlinjerna.</w:t>
      </w:r>
    </w:p>
  </w:footnote>
  <w:footnote w:id="12">
    <w:p w14:paraId="739A8028" w14:textId="082B93E2" w:rsidR="009A7FA6" w:rsidRPr="007D07E2" w:rsidRDefault="009A7FA6" w:rsidP="009A7FA6">
      <w:pPr>
        <w:pStyle w:val="FootnoteText"/>
      </w:pPr>
      <w:r>
        <w:rPr>
          <w:rStyle w:val="FootnoteReference"/>
        </w:rPr>
        <w:footnoteRef/>
      </w:r>
      <w:r>
        <w:tab/>
        <w:t>Observera att punkterna 38, 52, 165, 166 och 167 samt fotnoterna 39 och 45 i riktlinjerna ger ytterligare vägledning om hur det sannolika kontrafaktiska scenariot bör utvecklas.</w:t>
      </w:r>
    </w:p>
  </w:footnote>
  <w:footnote w:id="13">
    <w:p w14:paraId="68255F0B" w14:textId="33EEB9D6" w:rsidR="005679B2" w:rsidRPr="00617810" w:rsidRDefault="005679B2" w:rsidP="005679B2">
      <w:pPr>
        <w:pStyle w:val="FootnoteText"/>
        <w:rPr>
          <w:iCs/>
        </w:rPr>
      </w:pPr>
      <w:r>
        <w:rPr>
          <w:rStyle w:val="FootnoteReference"/>
        </w:rPr>
        <w:footnoteRef/>
      </w:r>
      <w:r>
        <w:tab/>
        <w:t xml:space="preserve">Observera att fotnot 44 i riktlinjerna säger följande: </w:t>
      </w:r>
      <w:r w:rsidRPr="00617810">
        <w:rPr>
          <w:iCs/>
          <w:color w:val="000000"/>
          <w:shd w:val="clear" w:color="auto" w:fill="FFFFFF"/>
        </w:rPr>
        <w:t xml:space="preserve">”Vid bedömningen av miljöskyddsenheter kan medlemsstaterna till exempel utarbeta en metod som tar hänsyn till utsläpp eller andra föroreningar i olika steg av den näringsverksamhet, den projektgenomförandetid eller de kostnader för systemintegration som beviljats stöd. När bidraget till de huvudsakliga målen sätts i förhållande till det begärda stödbeloppet kan medlemsstaterna till exempel väga de olika objektiva kriterierna och på grundval av stödbeloppet per enhet välja ut det vägda genomsnittet av de objektiva kriterierna, eller bland ett begränsat </w:t>
      </w:r>
      <w:proofErr w:type="gramStart"/>
      <w:r w:rsidRPr="00617810">
        <w:rPr>
          <w:iCs/>
          <w:color w:val="000000"/>
          <w:shd w:val="clear" w:color="auto" w:fill="FFFFFF"/>
        </w:rPr>
        <w:t>urval anbud</w:t>
      </w:r>
      <w:proofErr w:type="gramEnd"/>
      <w:r w:rsidRPr="00617810">
        <w:rPr>
          <w:iCs/>
          <w:color w:val="000000"/>
          <w:shd w:val="clear" w:color="auto" w:fill="FFFFFF"/>
        </w:rPr>
        <w:t xml:space="preserve"> med det lägsta stödbeloppet per enhet av de objektiva kriterierna välja ut de anbud som har högst poäng på de objektiva kriterierna. Parametrarna för ett sådant tillvägagångssätt måste kalibreras för att säkerställa att anbudsförfarandet förblir icke-diskriminerande, ändamålsenligt konkurrenskraftigt och återspeglar det ekonomiska värdet.”</w:t>
      </w:r>
    </w:p>
  </w:footnote>
  <w:footnote w:id="14">
    <w:p w14:paraId="7C525AD8" w14:textId="7D6CBC42" w:rsidR="004345D1" w:rsidRDefault="004345D1" w:rsidP="004345D1">
      <w:pPr>
        <w:pStyle w:val="FootnoteText"/>
      </w:pPr>
      <w:r>
        <w:rPr>
          <w:rStyle w:val="FootnoteReference"/>
        </w:rPr>
        <w:footnoteRef/>
      </w:r>
      <w:r>
        <w:tab/>
        <w:t>Centralt förvaltad unionsfinansiering är unionsfinansiering som förvaltas centralt av Europeiska unionens institutioner, byråer, gemensamma företag eller andra organ och som inte direkt eller indirekt står under medlemsstatens kontroll.</w:t>
      </w:r>
    </w:p>
  </w:footnote>
  <w:footnote w:id="15">
    <w:p w14:paraId="67F58827" w14:textId="11D260F2" w:rsidR="001A0689" w:rsidRPr="008772CC" w:rsidRDefault="001A0689" w:rsidP="001A0689">
      <w:pPr>
        <w:pStyle w:val="FootnoteText"/>
      </w:pPr>
      <w:r>
        <w:rPr>
          <w:rStyle w:val="FootnoteReference"/>
        </w:rPr>
        <w:footnoteRef/>
      </w:r>
      <w:r>
        <w:tab/>
        <w:t>Europaparlamentets och rådets förordning (EU) 2020/852 av den 18 juni 2020 om inrättande av en ram för att underlätta hållbara investeringar och om ändring av förordning (EU) 2019/2088 (EUT L 198, 22.6.2020, s. 13).</w:t>
      </w:r>
    </w:p>
  </w:footnote>
  <w:footnote w:id="16">
    <w:p w14:paraId="2031DE19" w14:textId="508259E6" w:rsidR="005B1125" w:rsidRDefault="005B1125" w:rsidP="005B1125">
      <w:pPr>
        <w:pStyle w:val="FootnoteText"/>
      </w:pPr>
      <w:r>
        <w:rPr>
          <w:rStyle w:val="FootnoteReference"/>
        </w:rPr>
        <w:footnoteRef/>
      </w:r>
      <w:r>
        <w:tab/>
        <w:t xml:space="preserve">Mallen till formuläret för kompletterande information för anmälan av en utvärderingsplan (del III.8) finns här: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1781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sv-SE"/>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5074</Words>
  <Characters>30247</Characters>
  <DocSecurity>0</DocSecurity>
  <Lines>643</Lines>
  <Paragraphs>211</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