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40222408" w:rsidR="000442F5" w:rsidRPr="009916D5" w:rsidRDefault="1AB540F5" w:rsidP="008D5ADF">
            <w:pPr>
              <w:pStyle w:val="Heading2"/>
              <w:spacing w:before="240" w:after="240"/>
              <w:jc w:val="center"/>
              <w:rPr>
                <w:sz w:val="32"/>
                <w:szCs w:val="32"/>
              </w:rPr>
            </w:pPr>
            <w:r>
              <w:rPr>
                <w:color w:val="000000"/>
                <w:sz w:val="32"/>
              </w:rPr>
              <w:t>Posodobljeni*</w:t>
            </w:r>
            <w:r>
              <w:rPr>
                <w:sz w:val="32"/>
              </w:rPr>
              <w:t xml:space="preserve"> obrazec za dodatne informacije o državni pomoči, dodeljeni na podlagi Smernic o državni pomoči za podnebje, varstvo okolja in energijo iz leta 2022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Poglavje 4.2 – Pomoč za izboljšanje energijske in okoljske učinkovitosti stavb</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Še ni uradno sprejeto.</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Ta obrazec za dodatne informacije je namenjen priglasitvi katere koli pomoči iz Smernic o državni pomoči za podnebje, varstvo okolja in energijo iz leta 2022 (v nadaljnjem besedilu: Smernice).</w:t>
      </w:r>
    </w:p>
    <w:p w14:paraId="17CF3DD5" w14:textId="162501A6" w:rsidR="009E2EA1" w:rsidRDefault="1D5D3D78" w:rsidP="118DF711">
      <w:pPr>
        <w:spacing w:before="120" w:after="120"/>
        <w:ind w:right="-142"/>
        <w:jc w:val="both"/>
        <w:rPr>
          <w:rFonts w:eastAsia="Times New Roman"/>
          <w:i/>
          <w:iCs/>
          <w:szCs w:val="24"/>
        </w:rPr>
      </w:pPr>
      <w:r>
        <w:rPr>
          <w:i/>
        </w:rPr>
        <w:t xml:space="preserve">Ta obrazec za dodatne informacije se nanaša na ukrepe iz poglavja 4.2 Smernic. Če so v priglasitev vključeni ukrepi, ki so zajeti v več kot enem poglavju Smernic, izpolnite tudi ustrezni obrazec za dodatne informacije, ki se nanaša na zadevno poglavje Smernic, ko bo na voljo. </w:t>
      </w:r>
    </w:p>
    <w:p w14:paraId="3C67E530" w14:textId="776D64C2" w:rsidR="1541A55D" w:rsidRDefault="1541A55D" w:rsidP="00135DD2">
      <w:pPr>
        <w:spacing w:before="120" w:after="120"/>
        <w:ind w:right="-142"/>
        <w:jc w:val="both"/>
        <w:rPr>
          <w:rFonts w:eastAsia="Times New Roman"/>
          <w:i/>
          <w:iCs/>
          <w:szCs w:val="24"/>
        </w:rPr>
      </w:pPr>
      <w:r>
        <w:rPr>
          <w:i/>
        </w:rPr>
        <w:t>Vse dokumente, ki jih države članice zagotovijo kot priloge k temu obrazcu za dodatne informacije, je treba oštevilčiti in številke dokumentov navesti v ustreznih oddelkih tega obrazca za dodatne informacije.</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Oddelek A: Povzetek glavnih značilnosti priglašenega ukrepa</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Ozadje in cilji priglašenega ukrepa</w:t>
      </w:r>
      <w:r>
        <w:t>:</w:t>
      </w:r>
    </w:p>
    <w:p w14:paraId="437F042E" w14:textId="62F95870" w:rsidR="00111EDE" w:rsidRPr="007159A8" w:rsidRDefault="00111EDE" w:rsidP="00BC0346">
      <w:pPr>
        <w:pStyle w:val="ListParagraph"/>
        <w:numPr>
          <w:ilvl w:val="0"/>
          <w:numId w:val="20"/>
        </w:numPr>
        <w:spacing w:after="240"/>
        <w:ind w:left="993" w:hanging="142"/>
        <w:jc w:val="both"/>
      </w:pPr>
      <w:r>
        <w:t>Če to še ni bilo obravnavano v oddelku 5.2 obrazca za splošne informacije (del I), navedite ozadje in glavni cilj, vključno z morebitnimi cilji Unije za izboljšanje energijske in okoljske učinkovitosti stavb, ki naj bi jih ukrep podprl.</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Navedite vse druge cilje ukrepa. Za vse cilje, ki niso izključno okoljski, pojasnite, ali bi lahko povzročili kakršno koli izkrivljanje konkurence na notranjem trgu.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Začetek veljavnosti in trajanje</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Če to še ni bilo navedeno v oddelku 5.5 obrazca za splošne informacije (del I), navedite datum, na katerega naj bi shema pomoči začela veljati.</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Navedite trajanje sheme.</w:t>
      </w:r>
      <w:r w:rsidRPr="0096487F">
        <w:rPr>
          <w:rStyle w:val="FootnoteReference"/>
          <w:rFonts w:cs="Arial Unicode MS"/>
          <w:bCs/>
          <w:lang w:bidi="si-LK"/>
        </w:rPr>
        <w:footnoteReference w:id="3"/>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Upravičenci</w:t>
      </w:r>
      <w:r>
        <w:t>:</w:t>
      </w:r>
      <w:r>
        <w:rPr>
          <w:b/>
        </w:rPr>
        <w:tab/>
      </w:r>
    </w:p>
    <w:p w14:paraId="101D761C" w14:textId="191E498C" w:rsidR="00111EDE" w:rsidRDefault="00111EDE" w:rsidP="00BC0346">
      <w:pPr>
        <w:pStyle w:val="ListParagraph"/>
        <w:numPr>
          <w:ilvl w:val="0"/>
          <w:numId w:val="21"/>
        </w:numPr>
        <w:spacing w:after="240"/>
        <w:ind w:hanging="229"/>
        <w:jc w:val="both"/>
        <w:rPr>
          <w:szCs w:val="24"/>
        </w:rPr>
      </w:pPr>
      <w:r>
        <w:t>Če to še ni bilo navedeno v oddelku 3 obrazca za splošne informacije (del I), opišite (potencialne) upravičence ukrepa.</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Navedite lokacijo (potencialnih) upravičencev (tj. če so do sodelovanja v ukrepu upravičeni le gospodarski subjekti s sedežem v zadevni državi članici ali tudi tisti, ki imajo sedež v drugih državah članicah).</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Za presojo skladnosti s točko 15 Smernic navedite, ali se pomoč na podlagi ukrepa dodeljuje podjetju (individualno ali v okviru sheme), ki je naslovnik neporavnanega naloga za izterjavo na podlagi prejšnjega sklepa Komisije, v katerem je bila pomoč razglašena za nezakonito in nezdružljivo z notranjim trgom.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Če je odgovor pritrdilen, zagotovite informacije o znesku pomoči, ki ga je treba še izterjati, da ga Komisija upošteva pri presoji ukrepa pomoči. </w:t>
      </w:r>
    </w:p>
    <w:p w14:paraId="5F6FB4C8" w14:textId="77777777" w:rsidR="00111EDE" w:rsidRDefault="00111EDE" w:rsidP="00FF52AA">
      <w:pPr>
        <w:tabs>
          <w:tab w:val="left" w:leader="dot" w:pos="9072"/>
        </w:tabs>
        <w:spacing w:before="120" w:after="120"/>
        <w:ind w:left="1077"/>
        <w:jc w:val="both"/>
      </w:pPr>
      <w:r>
        <w:lastRenderedPageBreak/>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Potrdite, da ukrep ne vključuje pomoči za dejavnosti, ki ne spadajo na področje uporabe Smernic (glej točko 13 Smernic). Sicer navedite podrobnosti.</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Proračun in financiranje ukrepa.</w:t>
      </w:r>
      <w:bookmarkEnd w:id="2"/>
    </w:p>
    <w:p w14:paraId="31B41457" w14:textId="63D14525" w:rsidR="00111EDE" w:rsidRPr="00ED2FA7" w:rsidRDefault="00111EDE" w:rsidP="00D320D5">
      <w:pPr>
        <w:pStyle w:val="ListParagraph"/>
        <w:numPr>
          <w:ilvl w:val="0"/>
          <w:numId w:val="22"/>
        </w:numPr>
        <w:spacing w:before="120" w:after="120"/>
        <w:ind w:left="993" w:hanging="142"/>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AC286A">
        <w:rPr>
          <w:rFonts w:cs="Arial Unicode MS"/>
          <w:bCs/>
          <w:vertAlign w:val="superscript"/>
          <w:lang w:bidi="si-LK"/>
        </w:rPr>
        <w:footnoteReference w:id="4"/>
      </w:r>
    </w:p>
    <w:p w14:paraId="647D1F33" w14:textId="77777777" w:rsidR="00111EDE" w:rsidRPr="00ED2FA7" w:rsidRDefault="00111EDE" w:rsidP="00D320D5">
      <w:pPr>
        <w:tabs>
          <w:tab w:val="left" w:leader="dot" w:pos="9072"/>
        </w:tabs>
        <w:spacing w:before="120" w:after="120"/>
        <w:ind w:left="1077" w:hanging="142"/>
        <w:jc w:val="both"/>
      </w:pPr>
      <w:r>
        <w:tab/>
      </w:r>
    </w:p>
    <w:p w14:paraId="2F22E050" w14:textId="6DB30327" w:rsidR="00111EDE" w:rsidRDefault="001A02C8" w:rsidP="00D320D5">
      <w:pPr>
        <w:pStyle w:val="ListParagraph"/>
        <w:numPr>
          <w:ilvl w:val="0"/>
          <w:numId w:val="22"/>
        </w:numPr>
        <w:spacing w:before="120" w:after="120"/>
        <w:ind w:left="993" w:hanging="142"/>
        <w:contextualSpacing w:val="0"/>
        <w:jc w:val="both"/>
        <w:rPr>
          <w:rFonts w:cs="Arial Unicode MS"/>
          <w:bCs/>
        </w:rPr>
      </w:pPr>
      <w:bookmarkStart w:id="3" w:name="_Ref126829235"/>
      <w:r>
        <w:t>Če se ukrep financira z dajatvijo, pojasnite, ali:</w:t>
      </w:r>
      <w:bookmarkEnd w:id="3"/>
      <w:r>
        <w:t xml:space="preserve"> </w:t>
      </w:r>
    </w:p>
    <w:p w14:paraId="68042F68" w14:textId="77777777" w:rsidR="00111EDE" w:rsidRDefault="00111EDE" w:rsidP="00D320D5">
      <w:pPr>
        <w:pStyle w:val="ListParagraph"/>
        <w:numPr>
          <w:ilvl w:val="1"/>
          <w:numId w:val="22"/>
        </w:numPr>
        <w:spacing w:before="120" w:after="120"/>
        <w:ind w:left="1797" w:hanging="142"/>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se dajatev v enaki meri naloži na domače in uvožene proizvode;</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bo priglašeni ukrep enako koristil domačim in uvoženim proizvodom;</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se ukrep z dajatvijo financira v celoti ali le delno. Če se ukrep z dajatvijo financira le delno, navedite druge vire financiranja ukrepa in njihov ustrezni delež;</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se z dajatvijo, s katero se financira priglašeni ukrep, financirajo tudi drugi ukrepi pomoči. Če je odgovor pritrdilen, navedite druge ukrepe pomoči, ki se financirajo z zadevno dajatvijo.</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Oddelek B: Ocena združljivosti pomoči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Pozitivni pogoj: pomoč mora pospeševati razvoj gospodarske dejavnosti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Prispevek k razvoju gospodarske dejavnosti</w:t>
            </w:r>
          </w:p>
        </w:tc>
      </w:tr>
    </w:tbl>
    <w:p w14:paraId="1E2599D2" w14:textId="67A963FD" w:rsidR="000442F5" w:rsidRPr="00DB40A5" w:rsidRDefault="000442F5" w:rsidP="00A029BF">
      <w:pPr>
        <w:spacing w:before="120" w:after="120"/>
        <w:jc w:val="both"/>
        <w:rPr>
          <w:i/>
        </w:rPr>
      </w:pPr>
      <w:r>
        <w:rPr>
          <w:i/>
        </w:rPr>
        <w:t xml:space="preserve">Za zagotovitev informacij v tem oddelku glej oddelek 3.1.1 (točke 23–25) ter oddelka 4.2.1 in 4.2.2 (točke 136–140) Smernic.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Člen 107(3), točka (c), </w:t>
      </w:r>
      <w:r>
        <w:rPr>
          <w:i/>
        </w:rPr>
        <w:t>Pogodbe o delovanju Evropske unije (PDEU)</w:t>
      </w:r>
      <w:r>
        <w:t xml:space="preserve">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4422EB0C" w14:textId="77777777" w:rsidR="00EA08CE" w:rsidRDefault="00EA08CE" w:rsidP="00AE72C0">
      <w:pPr>
        <w:pStyle w:val="ListParagraph"/>
        <w:spacing w:before="120" w:after="120"/>
        <w:ind w:left="567"/>
        <w:contextualSpacing w:val="0"/>
        <w:jc w:val="both"/>
      </w:pPr>
      <w:r>
        <w:t xml:space="preserve">Za presojo skladnosti s točko 23 Smernic navedite gospodarske dejavnosti, ki se bodo spodbujale s pomočjo, in kako se podpira razvoj navedenih dejavnosti.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okoljske in energetske politike Unije, ter opišite, kako, ter, natančneje, pričakovane koristi pomoči v smislu njenega konkretnega prispevka k varstvu okolja, vključno z blažitvijo podnebnih sprememb, ali učinkovitemu delovanju notranjega trga z energijo. </w:t>
      </w:r>
    </w:p>
    <w:p w14:paraId="6BA1AB7B" w14:textId="47A34289" w:rsidR="00422410" w:rsidRDefault="00422410" w:rsidP="00422410">
      <w:pPr>
        <w:pStyle w:val="ListParagraph"/>
        <w:spacing w:before="120" w:after="120"/>
        <w:ind w:left="567"/>
        <w:contextualSpacing w:val="0"/>
        <w:jc w:val="both"/>
      </w:pPr>
      <w:r>
        <w:t xml:space="preserve">Poleg tega navedite, v kolikšni meri je pomoč povezana s politikami, opisanimi v točki 135 Smernic.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Opišite zahteve za upravičenost, ki se uporabljajo za upravičence (na primer z vključitvijo tehničnih, okoljskih (tj. dovoljenja), finančnih (tj. zavarovanja s premoženjem) ali drugih zahtev, ki jih morajo upravičenci izpolnjevati).</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Zagotovite točne informacije o obsegu in podprtih dejavnostih ukrepa pomoči, kot je določeno v oddelku 4.2.2 Smernic. Natančneje:</w:t>
      </w:r>
    </w:p>
    <w:p w14:paraId="32AFD134" w14:textId="1ED9FBCA" w:rsidR="00B35947" w:rsidRDefault="00B35947" w:rsidP="008D5ADF">
      <w:pPr>
        <w:pStyle w:val="ListParagraph"/>
        <w:numPr>
          <w:ilvl w:val="1"/>
          <w:numId w:val="4"/>
        </w:numPr>
        <w:spacing w:before="120" w:after="120"/>
        <w:contextualSpacing w:val="0"/>
        <w:jc w:val="both"/>
      </w:pPr>
      <w:r>
        <w:t xml:space="preserve">Pojasnite, ali ukrep pomoči zagotavlja samo pomoč za izboljšanje energijske učinkovitosti stavb ali pa združuje pomoč za izboljšanje energijske učinkovitosti stavb s pomočjo za katero koli od naložb ali za vse naložbe iz točke 137 Smernic. V slednjem primeru pojasnite, katere naložbe so upravičene do pomoči na podlagi ukrepa.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Pojasnite, ali ukrep pomoči vključuje tudi vrste pomoči, ki so izključene iz področja uporabe oddelka 4.2 Smernic, in sicer na podlagi točke 138 Smernic. Če je odgovor pritrdilen, je treba predložiti ustrezen obrazec za priglasitev v zvezi z zadevnim delom ukrepa. </w:t>
      </w:r>
    </w:p>
    <w:p w14:paraId="57FA6980" w14:textId="77777777" w:rsidR="00B35947" w:rsidRDefault="00B35947" w:rsidP="008D5ADF">
      <w:pPr>
        <w:tabs>
          <w:tab w:val="left" w:leader="dot" w:pos="9072"/>
        </w:tabs>
        <w:spacing w:before="120" w:after="120"/>
        <w:ind w:left="1077"/>
        <w:jc w:val="both"/>
      </w:pPr>
      <w:r>
        <w:lastRenderedPageBreak/>
        <w:tab/>
      </w:r>
    </w:p>
    <w:p w14:paraId="3CAE3C66" w14:textId="77777777" w:rsidR="00B35947" w:rsidRDefault="00B35947" w:rsidP="00EB1C1A">
      <w:pPr>
        <w:pStyle w:val="ListParagraph"/>
        <w:numPr>
          <w:ilvl w:val="0"/>
          <w:numId w:val="4"/>
        </w:numPr>
        <w:spacing w:before="120" w:after="120"/>
        <w:ind w:left="567" w:hanging="567"/>
        <w:contextualSpacing w:val="0"/>
        <w:jc w:val="both"/>
      </w:pPr>
      <w:r>
        <w:t>Navedite, ali se pomoč, dodeljena na podlagi ukrepa, nanaša na prenovo obstoječih stavb, namestitev ali zamenjavo samo ene vrste elementov stavbe</w:t>
      </w:r>
      <w:r>
        <w:rPr>
          <w:rStyle w:val="FootnoteReference"/>
        </w:rPr>
        <w:footnoteReference w:id="5"/>
      </w:r>
      <w:r>
        <w:t xml:space="preserve"> in/ali naložbe v energijsko učinkovitost novih stavb, kot so opredeljene v točki 139 (točke (a) do (c)) Smernic.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Dokažite, da bo pomoč, dodeljena na podlagi ukrepa pomoči, spodbudila izboljšanja energijske učinkovitosti, ki se zahtevajo v točki 139 (točke (a) do (c), kot je ustrezno) Smernic.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Navedite, ali se pomoč na podlagi ukrepa pomoči dodeli MSP in malim podjetjem s srednje veliko tržno kapitalizacijo, ki so izvajalci ukrepov za izboljšanje energijske učinkovitosti, da se olajša pogodbeno zagotavljanje prihranka energije, kot je določeno v točki 140 Smernic.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Spodbujevalni učinek</w:t>
            </w:r>
          </w:p>
        </w:tc>
      </w:tr>
    </w:tbl>
    <w:p w14:paraId="20915284" w14:textId="0D70BA96" w:rsidR="00015E2B" w:rsidRPr="00A05235" w:rsidRDefault="00B15313" w:rsidP="00A029BF">
      <w:pPr>
        <w:spacing w:before="120" w:after="120"/>
        <w:jc w:val="both"/>
        <w:rPr>
          <w:i/>
        </w:rPr>
      </w:pPr>
      <w:r>
        <w:rPr>
          <w:i/>
        </w:rPr>
        <w:t xml:space="preserve">Za zagotovitev informacij v tem oddelku glej oddelek 3.1.2 (točke 26–32) in oddelek 4.2.3 (točke 141–143) Smernic.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 Poleg tega, za presojo skladnosti s točko 27 Smernic, potrdite, da ukrep „ne nadomešča običajnega poslovnega tveganja gospodarske dejavnosti“ ter na kratko pojasnite, zakaj ne.</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V skladu s točko 28 Smernic:</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Izčrpno opišite dejanski scenarij, ki naj bi se dosegel z ukrepom pomoči, in verjetni hipotetični scenarij brez ukrepa pomoči.</w:t>
      </w:r>
      <w:r w:rsidR="006C5D8B" w:rsidRPr="005C1156">
        <w:rPr>
          <w:rStyle w:val="FootnoteReference"/>
        </w:rPr>
        <w:footnoteReference w:id="6"/>
      </w:r>
      <w:r>
        <w:t xml:space="preserve"> Če pričakujete, da bodo podprte različne kategorije upravičencev, zagotovite verodostojnost hipotetičnega scenarija za vsako od teh kategorij.</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Na kratko pojasnite razloge za izbiro verjetnih hipotetičnih scenarijev glede na predlagane različne kategorije upravičencev, če je ustrezno.</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lastRenderedPageBreak/>
        <w:t xml:space="preserve">Količinsko opredelite stroške in prihodke pri dejanskem in hipotetičnem scenariju ter, kadar je to ustrezno, za vsako kategorijo upravičenca utemeljite spremembo ravnanja na podlagi: </w:t>
      </w:r>
    </w:p>
    <w:p w14:paraId="3678CF33" w14:textId="39AB6B62" w:rsidR="00D54588" w:rsidRPr="007159A8" w:rsidRDefault="005B7459" w:rsidP="007474F8">
      <w:pPr>
        <w:pStyle w:val="ListParagraph"/>
        <w:numPr>
          <w:ilvl w:val="3"/>
          <w:numId w:val="22"/>
        </w:numPr>
        <w:spacing w:before="120" w:after="120"/>
        <w:ind w:left="1843" w:hanging="357"/>
        <w:contextualSpacing w:val="0"/>
        <w:jc w:val="both"/>
      </w:pPr>
      <w:r>
        <w:t>zadevnega referenčnega projekta</w:t>
      </w:r>
      <w:r w:rsidRPr="007159A8">
        <w:rPr>
          <w:vertAlign w:val="superscript"/>
        </w:rPr>
        <w:footnoteReference w:id="7"/>
      </w:r>
      <w:r>
        <w:t>, ustreznih hipotetičnih scenarijev in posledične vrzeli v financiranju;</w:t>
      </w:r>
    </w:p>
    <w:p w14:paraId="1E9DD3B8" w14:textId="6B7751F7" w:rsidR="005B7459" w:rsidRPr="007159A8" w:rsidRDefault="005B7459" w:rsidP="007474F8">
      <w:pPr>
        <w:tabs>
          <w:tab w:val="left" w:leader="dot" w:pos="9072"/>
        </w:tabs>
        <w:spacing w:before="120" w:after="120"/>
        <w:ind w:left="1843" w:hanging="357"/>
        <w:jc w:val="both"/>
      </w:pPr>
      <w:r>
        <w:tab/>
      </w:r>
    </w:p>
    <w:p w14:paraId="11157FE2" w14:textId="6E45C2CA" w:rsidR="005B7459" w:rsidRPr="007159A8" w:rsidRDefault="005B7459" w:rsidP="007474F8">
      <w:pPr>
        <w:pStyle w:val="ListParagraph"/>
        <w:spacing w:before="120" w:after="120"/>
        <w:ind w:left="1843" w:hanging="357"/>
        <w:contextualSpacing w:val="0"/>
        <w:jc w:val="both"/>
      </w:pPr>
      <w:r>
        <w:t>ali</w:t>
      </w:r>
    </w:p>
    <w:p w14:paraId="11E50234" w14:textId="5C54C993" w:rsidR="006C5D8B" w:rsidRPr="007159A8" w:rsidRDefault="006A4BD4" w:rsidP="007474F8">
      <w:pPr>
        <w:pStyle w:val="ListParagraph"/>
        <w:numPr>
          <w:ilvl w:val="3"/>
          <w:numId w:val="22"/>
        </w:numPr>
        <w:spacing w:before="120" w:after="120"/>
        <w:ind w:left="1843" w:hanging="357"/>
        <w:contextualSpacing w:val="0"/>
        <w:jc w:val="both"/>
      </w:pPr>
      <w:r>
        <w:t>ustreznih kvantitativnih dokazov, ki temeljijo na tržnih študijah (zlasti študijah pričakovanih vračilnih dob), načrtov vlagateljev, finančnih poročil ali drugih kvantitativnih dokazov, če je ustrezno, vključno s ponudbami za podobne projekte v nedavnih primerljivih konkurenčnih postopkih zbiranja ponudb.</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Za dokazovanje skladnosti s točkama 29 in 31 Smernic:</w:t>
      </w:r>
    </w:p>
    <w:p w14:paraId="339583CE" w14:textId="77777777" w:rsidR="006C5D8B" w:rsidRPr="00471B74" w:rsidRDefault="006C5D8B" w:rsidP="007474F8">
      <w:pPr>
        <w:pStyle w:val="ListParagraph"/>
        <w:numPr>
          <w:ilvl w:val="0"/>
          <w:numId w:val="24"/>
        </w:numPr>
        <w:spacing w:before="120" w:after="120"/>
        <w:ind w:left="1134" w:firstLine="0"/>
        <w:contextualSpacing w:val="0"/>
        <w:jc w:val="both"/>
      </w:pPr>
      <w:r>
        <w:t>potrdite, da se dela na projektu ali dejavnosti niso začela, preden je upravičenec nacionalnim organom predložil pisno vlogo za pomoč;</w:t>
      </w:r>
    </w:p>
    <w:p w14:paraId="09EE4710" w14:textId="77777777" w:rsidR="006C5D8B" w:rsidRPr="00471B74" w:rsidRDefault="006C5D8B" w:rsidP="007474F8">
      <w:pPr>
        <w:tabs>
          <w:tab w:val="left" w:leader="dot" w:pos="9072"/>
        </w:tabs>
        <w:spacing w:before="120" w:after="120"/>
        <w:ind w:left="1134"/>
        <w:jc w:val="both"/>
      </w:pPr>
      <w:r>
        <w:tab/>
      </w:r>
    </w:p>
    <w:p w14:paraId="1528E065" w14:textId="77777777" w:rsidR="006C5D8B" w:rsidRPr="00471B74" w:rsidRDefault="006C5D8B" w:rsidP="007474F8">
      <w:pPr>
        <w:pStyle w:val="ListParagraph"/>
        <w:spacing w:before="120" w:after="120"/>
        <w:ind w:left="1134"/>
        <w:contextualSpacing w:val="0"/>
        <w:jc w:val="both"/>
      </w:pPr>
      <w:r>
        <w:t>ali</w:t>
      </w:r>
    </w:p>
    <w:p w14:paraId="5C354347" w14:textId="593FB73A" w:rsidR="006C5D8B" w:rsidRPr="00471B74" w:rsidRDefault="006B7B52" w:rsidP="007474F8">
      <w:pPr>
        <w:pStyle w:val="ListParagraph"/>
        <w:numPr>
          <w:ilvl w:val="0"/>
          <w:numId w:val="24"/>
        </w:numPr>
        <w:spacing w:before="120" w:after="120"/>
        <w:ind w:left="1134" w:firstLine="0"/>
        <w:contextualSpacing w:val="0"/>
        <w:jc w:val="both"/>
      </w:pPr>
      <w:r>
        <w:t xml:space="preserve">Za projekte, ki so se začeli pred vložitvijo vloge za pomoč, dokažite, da projekt spada v enega od izjemnih primerov iz točke 31 Smernic (točke (a), (b) ali (c)).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ki je potreben za njegovo izvedbo.</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Za dokazovanje skladnosti s točkama 32 in 142 Smernic:</w:t>
      </w:r>
    </w:p>
    <w:p w14:paraId="5CE9EEA0" w14:textId="06607FC6" w:rsidR="009B2A4B" w:rsidRPr="009B2A4B" w:rsidRDefault="001C4353" w:rsidP="00E1090F">
      <w:pPr>
        <w:pStyle w:val="ListParagraph"/>
        <w:numPr>
          <w:ilvl w:val="0"/>
          <w:numId w:val="32"/>
        </w:numPr>
        <w:spacing w:before="120" w:after="120"/>
        <w:ind w:left="1066" w:hanging="215"/>
        <w:contextualSpacing w:val="0"/>
        <w:jc w:val="both"/>
      </w:pPr>
      <w:r>
        <w:t>Navedite, ali se za priglašeni ukrep uporabljajo standardi Unije</w:t>
      </w:r>
      <w:r w:rsidR="005B7DF0" w:rsidRPr="00436F14">
        <w:rPr>
          <w:vertAlign w:val="superscript"/>
        </w:rPr>
        <w:footnoteReference w:id="9"/>
      </w:r>
      <w:r>
        <w:t xml:space="preserve">, obvezni nacionalni standardi, ki so strožji ali ambicioznejši od ustreznih standardov Unije, ali obvezni nacionalni standardi, sprejeti v primeru neobstoja standardov Unije. </w:t>
      </w:r>
    </w:p>
    <w:p w14:paraId="0E3763A8" w14:textId="6FCB4900" w:rsidR="0025374D" w:rsidRPr="00471B74" w:rsidRDefault="004152C3" w:rsidP="00E1090F">
      <w:pPr>
        <w:tabs>
          <w:tab w:val="left" w:leader="dot" w:pos="9072"/>
        </w:tabs>
        <w:spacing w:before="120" w:after="120"/>
        <w:ind w:left="1077" w:hanging="215"/>
        <w:jc w:val="both"/>
      </w:pPr>
      <w:r>
        <w:lastRenderedPageBreak/>
        <w:tab/>
      </w:r>
    </w:p>
    <w:p w14:paraId="39ED4203" w14:textId="3B84ED4C" w:rsidR="000F2D50" w:rsidRDefault="007E4A3E" w:rsidP="00E1090F">
      <w:pPr>
        <w:pStyle w:val="ListParagraph"/>
        <w:numPr>
          <w:ilvl w:val="0"/>
          <w:numId w:val="32"/>
        </w:numPr>
        <w:spacing w:before="120" w:after="120"/>
        <w:ind w:left="1066" w:hanging="215"/>
        <w:contextualSpacing w:val="0"/>
        <w:jc w:val="both"/>
      </w:pPr>
      <w:r>
        <w:t>Če pravo Unije določa uporabo standardov Unije, to potrdite in dokažite, da ima pomoč spodbujevalni učinek, ker spodbuja naložbo, ki jo je treba izvesti in dokončati vsaj 18 mesecev pred začetkom veljavnosti standarda.</w:t>
      </w:r>
    </w:p>
    <w:p w14:paraId="06D524B1" w14:textId="40B611ED" w:rsidR="000F2D50" w:rsidRPr="000F2D50" w:rsidRDefault="000F2D50" w:rsidP="00E1090F">
      <w:pPr>
        <w:tabs>
          <w:tab w:val="left" w:leader="dot" w:pos="9072"/>
        </w:tabs>
        <w:spacing w:before="120" w:after="120"/>
        <w:ind w:left="1077" w:hanging="215"/>
        <w:jc w:val="both"/>
      </w:pPr>
      <w:r>
        <w:tab/>
      </w:r>
    </w:p>
    <w:p w14:paraId="66EBAFF4" w14:textId="00CAF936" w:rsidR="007E4A3E" w:rsidRDefault="007E4A3E" w:rsidP="00E1090F">
      <w:pPr>
        <w:pStyle w:val="ListParagraph"/>
        <w:numPr>
          <w:ilvl w:val="0"/>
          <w:numId w:val="32"/>
        </w:numPr>
        <w:spacing w:before="120" w:after="120"/>
        <w:ind w:left="1066" w:hanging="215"/>
        <w:contextualSpacing w:val="0"/>
        <w:jc w:val="both"/>
      </w:pPr>
      <w:r>
        <w:t>Pojasnite, ali so do pomoči na podlagi ukrepa upravičeni projekti z vračilno dobo</w:t>
      </w:r>
      <w:r w:rsidRPr="000F2D50">
        <w:rPr>
          <w:vertAlign w:val="superscript"/>
          <w:lang w:eastAsia="en-GB"/>
        </w:rPr>
        <w:footnoteReference w:id="10"/>
      </w:r>
      <w:r>
        <w:t xml:space="preserve">, ki je krajša od petih let. Če je odgovor pritrdilen, predložite dokaze, da je pomoč potrebna, da se spodbudi sprememba ravnanja, kot zahteva točka 142 Smernic.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Neobstoj kršitve ustreznih določb prava Unije</w:t>
            </w:r>
          </w:p>
        </w:tc>
      </w:tr>
    </w:tbl>
    <w:p w14:paraId="71F2B6DF" w14:textId="01B42D4E" w:rsidR="00382DE7" w:rsidRDefault="00382DE7" w:rsidP="00A029BF">
      <w:pPr>
        <w:spacing w:before="120" w:after="120"/>
        <w:jc w:val="both"/>
        <w:rPr>
          <w:i/>
        </w:rPr>
      </w:pPr>
      <w:r>
        <w:rPr>
          <w:i/>
        </w:rPr>
        <w:t xml:space="preserve">Za zagotovitev informacij v tem oddelku glej oddelek 3.1.3 (točka 33) Smernic. </w:t>
      </w:r>
    </w:p>
    <w:p w14:paraId="075E8A7E" w14:textId="77777777" w:rsidR="00382DE7" w:rsidRDefault="00382DE7" w:rsidP="005450FE">
      <w:pPr>
        <w:pStyle w:val="ListParagraph"/>
        <w:numPr>
          <w:ilvl w:val="0"/>
          <w:numId w:val="4"/>
        </w:numPr>
        <w:spacing w:before="120" w:after="120"/>
        <w:ind w:left="567" w:hanging="567"/>
        <w:contextualSpacing w:val="0"/>
        <w:jc w:val="both"/>
      </w:pPr>
      <w:r>
        <w:t>Zagotovite informacije za potrditev skladnosti z ustreznimi določbami prava EU v skladu s točko 33 Smernic.</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Če se za financiranje ukrepa uporablja dajatev, pojasnite, ali je potrebna presoja skladnosti s členoma 30 in 110 PDEU. Če je odgovor pritrdilen, dokažite, kako ukrep izpolnjuje določbe členov 30 in 110 PDEU. V zvezi s tem se je mogoče sklicevati na informacije, predložene v okviru vprašanja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t>(</w:t>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zgoraj, če se priglašeni ukrep financira z dajatvijo.</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Negativni pogoj: pomoč ne sme neupravičeno spreminjati trgovinskih pogojev v obsegu, ki bi bil v nasprotju s skupnimi interesi</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Čim večje zmanjšanje izkrivljanja konkurence in trgovine</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Nujnost pomoči</w:t>
            </w:r>
          </w:p>
        </w:tc>
      </w:tr>
    </w:tbl>
    <w:p w14:paraId="3C23674F" w14:textId="13FAD6B4" w:rsidR="00663008" w:rsidRPr="00F83660" w:rsidRDefault="00663008" w:rsidP="00A029BF">
      <w:pPr>
        <w:spacing w:before="120" w:after="120"/>
        <w:jc w:val="both"/>
        <w:rPr>
          <w:i/>
          <w:color w:val="000000"/>
        </w:rPr>
      </w:pPr>
      <w:r>
        <w:rPr>
          <w:i/>
        </w:rPr>
        <w:t>Za zagotovitev informacij v tem oddelku glej oddelek 3.2.1.1 (točke 34–38) Smernic.</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Pojasnite, kakšno nedelovanje trga, ki preprečuje doseganje zadostne ravni varstva okolja, so ugotovili organi vaše države. Navedite, v katero kategorijo spada ugotovljeno nedelovanje trga, in sicer s sklicevanjem na točke (a), (b), (c) ali (d) točke 34 Smernic.</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V skladu s točko 35 Smernic zagotovite informacije o vseh obstoječih politikah in ukrepih, ki so jih organi vaše države opredelili in ki so že namenjeni odpravi ugotovljenih regulativnih pomanjkljivosti ali nedelovanja trga.</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Za dokazovanje skladnosti s točko 36 Smernic zagotovite informacije, ki dokazujejo, da je pomoč dejansko namenjena odpravi preostalih nedelovanj trga, tudi ob upoštevanju vseh morebitnih drugih politik in ukrepov, ki so že vzpostavljeni za odpravo nekaterih ugotovljenih nedelovanj trga.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Za dokazovanje skladnosti s točko 37 Smernic pojasnite, ali se po informacijah organov vaše države projekti ali dejavnosti, ki so po tehnološki vsebini, stopnji tveganja in obsegu podobni priglašenemu ukrepu, že izvajajo v Uniji pod tržnimi pogoji. Če je odgovor pritrdilen, predložite dodatne dokaze, da je državna pomoč potrebna.</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Za dokazovanje skladnosti s točko 38 Smernic, glej kvantitativne dokaze, predložene pri vprašanju 14(C) zgoraj.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Ustreznost</w:t>
            </w:r>
          </w:p>
        </w:tc>
      </w:tr>
    </w:tbl>
    <w:p w14:paraId="4C2D927B" w14:textId="547B9884" w:rsidR="00EA354A" w:rsidRPr="00F83660" w:rsidRDefault="00EA354A" w:rsidP="00AF17C3">
      <w:pPr>
        <w:spacing w:before="120" w:after="120"/>
        <w:jc w:val="both"/>
        <w:rPr>
          <w:i/>
          <w:color w:val="000000"/>
        </w:rPr>
      </w:pPr>
      <w:r>
        <w:rPr>
          <w:i/>
        </w:rPr>
        <w:t>Za zagotovitev informacij v tem oddelku glej oddelek 3.2.1.2 (točke 39–46), oddelek 4.2.4.1 (točke 144–145) ter točki 153 in 157 Smernic.</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Za preverjanje skladnosti s točko 40 Smernic dokažite, da ni na voljo noben manj izkrivljajoč instrument, ki bi bil primernejši od državne pomoči.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Za potrditev skladnosti s točko 41 Smernic dokažite, da je ukrep pomoči zasnovan tako, da ne ogroža učinkovitosti drugih ukrepov za odpravo istega nedelovanja trga, kot so tržni mehanizmi (npr. EU ETS).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lastRenderedPageBreak/>
        <w:t>Da dokažete skladnost s točko 42 Smernic, potrdite, da nobenemu od upravičencev do ukrepa pomoči ni mogoče na podlagi obstoječe zakonodaje Unije ali nacionalne zakonodaje pripisati odgovornosti za onesnaževanje (</w:t>
      </w:r>
      <w:r>
        <w:rPr>
          <w:i/>
        </w:rPr>
        <w:t>načelo „onesnaževalec plača“</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Za preverjanje skladnosti s točkami 43 do 46 Smernic in dokazovanje ustreznosti pomoči med različnimi instrumenti pomoči zagotovitev naslednje informacije: </w:t>
      </w:r>
    </w:p>
    <w:p w14:paraId="572FA0A0" w14:textId="4CEDF9A8" w:rsidR="003A56C9" w:rsidRPr="00ED71CB" w:rsidRDefault="003A56C9" w:rsidP="00E1090F">
      <w:pPr>
        <w:pStyle w:val="ListParagraph"/>
        <w:numPr>
          <w:ilvl w:val="0"/>
          <w:numId w:val="30"/>
        </w:numPr>
        <w:spacing w:before="120" w:after="120"/>
        <w:ind w:left="1134" w:hanging="283"/>
        <w:contextualSpacing w:val="0"/>
        <w:jc w:val="both"/>
      </w:pPr>
      <w:r>
        <w:t>Pojasnite, zakaj so druge potencialno manj izkrivljajoče oblike pomoči manj primerne, kot se zahteva v točki 44 Smernic. Manj izkrivljajoče oblike pomoči so lahko vračljiva predplačila v primerjavi z neposrednimi nepovratnimi sredstvi, davčni dobropisi v primerjavi z nižjo obdavčitvijo ali oblike pomoči, ki temeljijo na finančnih instrumentih, kot so dolžniški instrumenti v primerjavi z lastniškimi, vključno na primer s posojili z nizko obrestno mero ali subvencijami obrestne mere, državnimi jamstvi ali drugačnim financiranjem pod ugodnimi pogoji.</w:t>
      </w:r>
    </w:p>
    <w:p w14:paraId="593209FE" w14:textId="77777777" w:rsidR="003A56C9" w:rsidRPr="00ED71CB" w:rsidRDefault="003A56C9" w:rsidP="00E1090F">
      <w:pPr>
        <w:tabs>
          <w:tab w:val="left" w:leader="dot" w:pos="9072"/>
        </w:tabs>
        <w:spacing w:before="120" w:after="120"/>
        <w:ind w:left="1077" w:hanging="283"/>
        <w:jc w:val="both"/>
      </w:pPr>
      <w:r>
        <w:tab/>
      </w:r>
    </w:p>
    <w:p w14:paraId="6FB63661" w14:textId="2E815B9E" w:rsidR="003A56C9" w:rsidRPr="00ED71CB" w:rsidRDefault="003A56C9" w:rsidP="00E1090F">
      <w:pPr>
        <w:pStyle w:val="ListParagraph"/>
        <w:numPr>
          <w:ilvl w:val="0"/>
          <w:numId w:val="30"/>
        </w:numPr>
        <w:spacing w:before="120" w:after="120"/>
        <w:ind w:left="1276" w:hanging="283"/>
        <w:contextualSpacing w:val="0"/>
        <w:jc w:val="both"/>
      </w:pPr>
      <w:r>
        <w:t>Dokažite, da izbira instrumenta pomoči ustreza nedelovanju trga, ki naj bi se z ukrepom pomoči odpravilo, kot določa točka 45 Smernic.</w:t>
      </w:r>
    </w:p>
    <w:p w14:paraId="3C5110AA" w14:textId="77777777" w:rsidR="003A56C9" w:rsidRPr="00ED71CB" w:rsidRDefault="003A56C9" w:rsidP="00E1090F">
      <w:pPr>
        <w:tabs>
          <w:tab w:val="left" w:leader="dot" w:pos="9072"/>
        </w:tabs>
        <w:spacing w:before="120" w:after="120"/>
        <w:ind w:left="1077" w:hanging="283"/>
        <w:jc w:val="both"/>
      </w:pPr>
      <w:r>
        <w:tab/>
      </w:r>
    </w:p>
    <w:p w14:paraId="0CF9131E" w14:textId="78D0466B" w:rsidR="003A56C9" w:rsidRPr="00ED71CB" w:rsidRDefault="003A56C9" w:rsidP="00E1090F">
      <w:pPr>
        <w:pStyle w:val="ListParagraph"/>
        <w:numPr>
          <w:ilvl w:val="0"/>
          <w:numId w:val="30"/>
        </w:numPr>
        <w:spacing w:before="120" w:after="120"/>
        <w:ind w:left="1066" w:hanging="215"/>
        <w:contextualSpacing w:val="0"/>
        <w:jc w:val="both"/>
      </w:pPr>
      <w:r>
        <w:t>Pojasnite, kako ustrezna</w:t>
      </w:r>
      <w:r>
        <w:rPr>
          <w:color w:val="000000"/>
          <w:shd w:val="clear" w:color="auto" w:fill="FFFFFF"/>
        </w:rPr>
        <w:t xml:space="preserve"> </w:t>
      </w:r>
      <w:r>
        <w:t xml:space="preserve">sta </w:t>
      </w:r>
      <w:r>
        <w:rPr>
          <w:color w:val="000000"/>
          <w:shd w:val="clear" w:color="auto" w:fill="FFFFFF"/>
        </w:rPr>
        <w:t>ukrep pomoči in njegova zasnova za doseganje cilja ukrepa, v katerega je pomoč ciljno usmerjena</w:t>
      </w:r>
      <w:r>
        <w:t>, kot se zahteva v točki 46 Smernic.</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Če se pomoč na podlagi ukrepa pomoči dodeli MSP in malim podjetjem s srednje veliko tržno kapitalizacijo, ki so ponudniki ukrepov za izboljšanje energijske učinkovitosti na podlagi pogodb o zagotavljanju prihranka energije, potrdite, da je pomoč v skladu s točko 145 Smernic v obliki posojila ali jamstva za ponudnika ali finančnega produkta za financiranje ponudnika (na primer odkup terjatev z regresom ali brez njega (faktoring) ali forfetiranje).</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Če je pomoč, dodeljena na podlagi ukrepa, v obliki finančnih instrumentov, potrdite, da je:</w:t>
      </w:r>
    </w:p>
    <w:p w14:paraId="407E4217" w14:textId="02AA56C3" w:rsidR="00A8494E" w:rsidRDefault="00A8494E" w:rsidP="007474F8">
      <w:pPr>
        <w:pStyle w:val="ListParagraph"/>
        <w:numPr>
          <w:ilvl w:val="0"/>
          <w:numId w:val="33"/>
        </w:numPr>
        <w:spacing w:before="120" w:after="120"/>
        <w:ind w:hanging="229"/>
        <w:contextualSpacing w:val="0"/>
        <w:jc w:val="both"/>
      </w:pPr>
      <w:r>
        <w:t>pomoč lastniku ali najemniku stavbe v obliki jamstva ali posojila v skladu s točko 153 Smernic ter</w:t>
      </w:r>
    </w:p>
    <w:p w14:paraId="45DFDBF9" w14:textId="77777777" w:rsidR="004E0438" w:rsidRDefault="004E0438" w:rsidP="007474F8">
      <w:pPr>
        <w:tabs>
          <w:tab w:val="left" w:leader="dot" w:pos="9072"/>
        </w:tabs>
        <w:spacing w:before="120" w:after="120"/>
        <w:ind w:left="1077" w:hanging="229"/>
        <w:jc w:val="both"/>
      </w:pPr>
      <w:r>
        <w:tab/>
      </w:r>
    </w:p>
    <w:p w14:paraId="7DD44F85" w14:textId="36B753B3" w:rsidR="003F5046" w:rsidRDefault="003F5046" w:rsidP="007474F8">
      <w:pPr>
        <w:pStyle w:val="ListParagraph"/>
        <w:numPr>
          <w:ilvl w:val="0"/>
          <w:numId w:val="33"/>
        </w:numPr>
        <w:spacing w:before="120" w:after="120"/>
        <w:ind w:left="1066" w:hanging="229"/>
        <w:contextualSpacing w:val="0"/>
        <w:jc w:val="both"/>
      </w:pPr>
      <w:r>
        <w:t>pomoč finančnemu posredniku (npr. skladu za energijsko učinkovitost) v obliki finančnih sredstev, lastniškega kapitala, jamstva ali posojila v skladu s točko 157 Smernic.</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Sorazmernost </w:t>
            </w:r>
          </w:p>
        </w:tc>
      </w:tr>
    </w:tbl>
    <w:p w14:paraId="201592AD" w14:textId="1A723365" w:rsidR="00E47105" w:rsidRDefault="00DC2847" w:rsidP="00BD1EF7">
      <w:pPr>
        <w:spacing w:before="360" w:after="120"/>
        <w:jc w:val="both"/>
        <w:rPr>
          <w:i/>
        </w:rPr>
      </w:pPr>
      <w:r>
        <w:rPr>
          <w:i/>
        </w:rPr>
        <w:t xml:space="preserve">Za zagotovitev informacij v tem oddelku glej oddelek 4.2.4.2 (točke 146–153) Smernic. </w:t>
      </w:r>
    </w:p>
    <w:p w14:paraId="46E1A5AF" w14:textId="4388075F" w:rsidR="00BD1EF7" w:rsidRPr="00BD1EF7" w:rsidRDefault="00DC2847" w:rsidP="00E47105">
      <w:pPr>
        <w:spacing w:before="120" w:after="120"/>
        <w:jc w:val="both"/>
        <w:rPr>
          <w:i/>
        </w:rPr>
      </w:pPr>
      <w:r>
        <w:rPr>
          <w:i/>
        </w:rPr>
        <w:t xml:space="preserve">Upoštevajte, da so </w:t>
      </w:r>
      <w:r>
        <w:rPr>
          <w:i/>
          <w:u w:val="single"/>
        </w:rPr>
        <w:t>naslednji trije oddelki 2.1.3.1, 2.1.3.2 in 2.1.3.3 izbirni</w:t>
      </w:r>
      <w:r>
        <w:rPr>
          <w:i/>
        </w:rPr>
        <w:t xml:space="preserve">. Odgovarjajte samo na ustrezni oddelek, odvisno od zasnove predlaganega ukrepa.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lastRenderedPageBreak/>
              <w:t xml:space="preserve">2.1.3.1 Sorazmernost pomoči, ki se dodeli </w:t>
            </w:r>
            <w:r>
              <w:rPr>
                <w:sz w:val="24"/>
                <w:u w:val="single"/>
              </w:rPr>
              <w:t xml:space="preserve">brez </w:t>
            </w:r>
            <w:r>
              <w:rPr>
                <w:sz w:val="24"/>
              </w:rPr>
              <w:t>konkurenčnega postopka zbiranja ponudb in ni v obliki finančnih instrumentov</w:t>
            </w:r>
          </w:p>
        </w:tc>
      </w:tr>
    </w:tbl>
    <w:p w14:paraId="38D650DB" w14:textId="658040C6" w:rsidR="00D32425" w:rsidRDefault="001620DB" w:rsidP="00BD1EF7">
      <w:pPr>
        <w:pStyle w:val="ListParagraph"/>
        <w:spacing w:before="120" w:after="120"/>
        <w:ind w:left="0"/>
        <w:contextualSpacing w:val="0"/>
        <w:jc w:val="both"/>
      </w:pPr>
      <w:r>
        <w:rPr>
          <w:i/>
        </w:rPr>
        <w:t>Za zagotovitev informacij v tem oddelku glej točke 146–151 in 153 Smernic</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Za preverjanje skladnosti s točko 146 Smernic pojasnite, kateri so upravičeni stroški v okviru ukrepa in kako so omejeni na stroške naložbe, ki so neposredno povezani z doseganjem višje ravni energijske ali okoljske učinkovitosti.</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Navedite največje intenzivnosti pomoči, ki se uporabljajo v okviru ukrepa, in ali se uporabljajo bonusi (kot je opisano v točkah 147–150 Smernic).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Če je ustrezno, utemeljite uporabo bonusa za intenzivnost pomoči za izboljšave, ki v skladu s točko 148 Smernic zagotavljajo zmanjšanje povpraševanja po primarni energiji za vsaj 40 %.</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Če se z odstopanjem od točk 147–150 Smernic šteje, da je potrebna pomoč, ki presega največje intenzivnosti pomoči iz navedenih točk, navedite raven pomoči, ki se šteje za potrebno, in jo utemeljite na podlagi analize vrzeli v financiranju v skladu s točkama 51 in 52 Smernic.</w:t>
      </w:r>
    </w:p>
    <w:p w14:paraId="7FF7142F" w14:textId="0EBC2073" w:rsidR="006C2F85" w:rsidRPr="00A23A7E" w:rsidRDefault="006C2F85" w:rsidP="002F344E">
      <w:pPr>
        <w:pStyle w:val="ListParagraph"/>
        <w:spacing w:before="120" w:after="120"/>
        <w:ind w:left="567"/>
        <w:contextualSpacing w:val="0"/>
        <w:jc w:val="both"/>
      </w:pPr>
      <w:r>
        <w:t>Za to analizo vrzeli v financiranju predložite za dejanski scenarij in realističen hipotetični scenarij</w:t>
      </w:r>
      <w:r w:rsidRPr="00F256F6">
        <w:rPr>
          <w:vertAlign w:val="superscript"/>
          <w:lang w:val="en-IE" w:eastAsia="hr-HR" w:bidi="hr-HR"/>
        </w:rPr>
        <w:footnoteReference w:id="11"/>
      </w:r>
      <w:r>
        <w:t xml:space="preserve">, opredeljena v odgovoru na vprašanje 14(C) zgoraj, količinsko opredelitev vseh 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Upoštevajte, da mora država članica za primere individualne pomoči in shem pomoči, ki koristijo precej omejenemu številu upravičencev, predložiti ustrezna dokazila na ravni podrobnega poslovnega načrta projekta, za primere shem pomoči pa mora država članica predložiti ustrezna dokazila na podlagi enega ali več referenčnih projektov.</w:t>
      </w:r>
    </w:p>
    <w:p w14:paraId="44CE43AA" w14:textId="77777777" w:rsidR="006C2F85" w:rsidRPr="008E430F" w:rsidRDefault="006C2F85" w:rsidP="007474F8">
      <w:pPr>
        <w:pStyle w:val="ListParagraph"/>
        <w:numPr>
          <w:ilvl w:val="0"/>
          <w:numId w:val="34"/>
        </w:numPr>
        <w:spacing w:before="120" w:after="120"/>
        <w:ind w:hanging="229"/>
        <w:contextualSpacing w:val="0"/>
        <w:jc w:val="both"/>
      </w:pPr>
      <w:r>
        <w:t xml:space="preserve">To navedite v prilogi k temu obrazcu za dodatne informacije (z uporabo Excelove datoteke, v kateri so vidne vse formule). </w:t>
      </w:r>
    </w:p>
    <w:p w14:paraId="38069C83" w14:textId="77777777" w:rsidR="006C2F85" w:rsidRPr="00AC286A" w:rsidRDefault="006C2F85" w:rsidP="007474F8">
      <w:pPr>
        <w:pStyle w:val="ListParagraph"/>
        <w:tabs>
          <w:tab w:val="left" w:leader="dot" w:pos="9072"/>
        </w:tabs>
        <w:spacing w:before="120" w:after="120"/>
        <w:ind w:left="1080" w:hanging="229"/>
        <w:jc w:val="both"/>
      </w:pPr>
      <w:r>
        <w:tab/>
      </w:r>
    </w:p>
    <w:p w14:paraId="70AF1991" w14:textId="77777777" w:rsidR="006C2F85" w:rsidRPr="00443E1F" w:rsidRDefault="006C2F85" w:rsidP="007474F8">
      <w:pPr>
        <w:pStyle w:val="ListParagraph"/>
        <w:numPr>
          <w:ilvl w:val="0"/>
          <w:numId w:val="34"/>
        </w:numPr>
        <w:spacing w:before="120" w:after="120"/>
        <w:ind w:hanging="229"/>
        <w:contextualSpacing w:val="0"/>
        <w:jc w:val="both"/>
      </w:pPr>
      <w:r>
        <w:t>Vključite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0874B090" w14:textId="77777777" w:rsidR="006C2F85" w:rsidRPr="00AC286A" w:rsidRDefault="006C2F85" w:rsidP="007474F8">
      <w:pPr>
        <w:tabs>
          <w:tab w:val="left" w:leader="dot" w:pos="9072"/>
        </w:tabs>
        <w:spacing w:before="120" w:after="120"/>
        <w:ind w:left="1080" w:hanging="229"/>
        <w:jc w:val="both"/>
      </w:pPr>
      <w:bookmarkStart w:id="12" w:name="_Hlk169542255"/>
      <w:r>
        <w:tab/>
      </w:r>
    </w:p>
    <w:bookmarkEnd w:id="12"/>
    <w:p w14:paraId="3CA2345A" w14:textId="628DE7EF" w:rsidR="006C2F85" w:rsidRPr="00AC286A" w:rsidRDefault="006C2F85" w:rsidP="007474F8">
      <w:pPr>
        <w:pStyle w:val="ListParagraph"/>
        <w:numPr>
          <w:ilvl w:val="0"/>
          <w:numId w:val="34"/>
        </w:numPr>
        <w:spacing w:before="120" w:after="120"/>
        <w:ind w:hanging="229"/>
        <w:contextualSpacing w:val="0"/>
        <w:jc w:val="both"/>
      </w:pPr>
      <w:r>
        <w:t xml:space="preserve">Temu obrazcu za dodatne informacije lahko priložite tudi dokumente, navedene v opombi 39 Smernic. Dokumenti uprav so lahko posebej uporabni pri ukrepih individualne pomoči ali shem pomoči, ki koristijo precej omejenemu številu upravičencev. Če so takšni dokumenti priloženi obrazcu za priglasitev, v </w:t>
      </w:r>
      <w:r>
        <w:lastRenderedPageBreak/>
        <w:t>nadaljevanju navedite seznam teh dokumentov, pri čemer navedite avtorja, datum njihove priprave in kontekst, v katerem so bili uporabljeni.</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Dokažite, da zaradi uporabe višje intenzivnosti pomoči, določene v skladu z vprašanjem 34, pomoč ne bi presegla vrzeli v financiranju.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Če se uporablja točka 52 Smernic, tj. upravičenec po najverjetnejšem hipotetičnem scenariju ne izvaja dejavnosti ali naložbe ali nadaljuje poslovanje brez sprememb, predložite dokaze v podporo tej predpostavki</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7474F8"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Sorazmernost pomoči, dodeljene v obliki finančnih instrumentov</w:t>
            </w:r>
          </w:p>
        </w:tc>
      </w:tr>
    </w:tbl>
    <w:p w14:paraId="24BE5936" w14:textId="12CB228A" w:rsidR="00B536D4" w:rsidRPr="00EA5A4E" w:rsidRDefault="00B536D4" w:rsidP="00986C5B">
      <w:pPr>
        <w:pStyle w:val="ListParagraph"/>
        <w:spacing w:before="120" w:after="120"/>
        <w:ind w:left="0"/>
        <w:contextualSpacing w:val="0"/>
        <w:jc w:val="both"/>
      </w:pPr>
      <w:r>
        <w:rPr>
          <w:i/>
        </w:rPr>
        <w:t>Za zagotovitev informacij v tem oddelku glej točki 146 in 153 Smernic</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Za preverjanje skladnosti s točko 146 Smernic pojasnite, kateri so upravičeni stroški v okviru ukrepa in kako so omejeni na stroške naložbe, ki so neposredno povezani z doseganjem višje ravni energijske ali okoljske učinkovitosti.</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Za preverjanje skladnosti s točko 153 Smernic predložite naslednje informacije:</w:t>
      </w:r>
    </w:p>
    <w:p w14:paraId="237638A6" w14:textId="73DDDADD" w:rsidR="00CB6373" w:rsidRPr="00EA5A4E" w:rsidRDefault="00CB6373" w:rsidP="007474F8">
      <w:pPr>
        <w:pStyle w:val="ListParagraph"/>
        <w:numPr>
          <w:ilvl w:val="0"/>
          <w:numId w:val="27"/>
        </w:numPr>
        <w:spacing w:before="120" w:after="120"/>
        <w:ind w:hanging="219"/>
        <w:contextualSpacing w:val="0"/>
        <w:jc w:val="both"/>
      </w:pPr>
      <w:r>
        <w:t>Če se pomoč dodeli v obliki jamstva, potrdite, da to ne bo preseglo 80 % osnovnega posojila, in pojasnite, kako se bo zagotavljala skladnost s to zahtevo.</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7474F8">
      <w:pPr>
        <w:pStyle w:val="ListParagraph"/>
        <w:numPr>
          <w:ilvl w:val="0"/>
          <w:numId w:val="27"/>
        </w:numPr>
        <w:spacing w:before="120" w:after="120"/>
        <w:ind w:left="1066" w:hanging="215"/>
        <w:contextualSpacing w:val="0"/>
        <w:jc w:val="both"/>
      </w:pPr>
      <w:r>
        <w:t>Če se pomoč dodeli v obliki posojila, potrdite, da bo odplačilo lastnikov stavbe skladu za energijsko učinkovitost ali skladu za energijo iz obnovljivih virov ali drugemu finančnemu posredniku vsaj enakovredno nominalni vrednosti posojila, ter pojasnite, kako se bo zagotavljala skladnost s to zahtevo.</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Sorazmernost pomoči, dodeljene na podlagi konkurenčnega postopka zbiranja ponudb </w:t>
            </w:r>
          </w:p>
        </w:tc>
      </w:tr>
    </w:tbl>
    <w:p w14:paraId="5EF69CC9" w14:textId="34CFB392" w:rsidR="005679B2" w:rsidRPr="00441F0B" w:rsidRDefault="005679B2" w:rsidP="000D77DA">
      <w:pPr>
        <w:pStyle w:val="ListParagraph"/>
        <w:spacing w:before="120" w:after="120"/>
        <w:ind w:left="0"/>
        <w:contextualSpacing w:val="0"/>
        <w:jc w:val="both"/>
      </w:pPr>
      <w:r>
        <w:rPr>
          <w:i/>
        </w:rPr>
        <w:t>Za zagotovitev informacij v tem oddelku glej točki 49 in 50 Smernic</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Za preverjanje skladnosti s točkama 49 in 50 Smernic zagotovite naslednje:</w:t>
      </w:r>
    </w:p>
    <w:p w14:paraId="60189593" w14:textId="77777777" w:rsidR="005679B2" w:rsidRPr="00441F0B" w:rsidRDefault="005679B2" w:rsidP="007474F8">
      <w:pPr>
        <w:pStyle w:val="ListParagraph"/>
        <w:numPr>
          <w:ilvl w:val="0"/>
          <w:numId w:val="35"/>
        </w:numPr>
        <w:spacing w:before="120" w:after="120"/>
        <w:ind w:hanging="219"/>
        <w:contextualSpacing w:val="0"/>
        <w:jc w:val="both"/>
      </w:pPr>
      <w:r>
        <w:t>Pojasnite, kako organi zagotavljajo, da je postopek zbiranja ponudb odprt, jasen, pregleden in nediskriminatoren, temelji na objektivnih merilih, ki so predhodno določena v skladu s ciljem ukrepa ter zagotavljajo čim manjše tveganje strateških ponudb (točka 49(a) Smernic).</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7474F8">
      <w:pPr>
        <w:pStyle w:val="ListParagraph"/>
        <w:numPr>
          <w:ilvl w:val="0"/>
          <w:numId w:val="35"/>
        </w:numPr>
        <w:spacing w:before="120" w:after="120"/>
        <w:ind w:hanging="219"/>
        <w:contextualSpacing w:val="0"/>
        <w:jc w:val="both"/>
      </w:pPr>
      <w:r>
        <w:lastRenderedPageBreak/>
        <w:t xml:space="preserve">Navedite pogoje za sodelovanje, ki se uporabljajo za razvrščanje ponudb in končno določitev ravni pomoči v konkurenčnem postopku zbiranja ponudb. Natančneje: </w:t>
      </w:r>
    </w:p>
    <w:p w14:paraId="69DC932F" w14:textId="77777777" w:rsidR="005679B2" w:rsidRPr="00050EB9" w:rsidRDefault="005679B2" w:rsidP="00BC0346">
      <w:pPr>
        <w:pStyle w:val="ListParagraph"/>
        <w:numPr>
          <w:ilvl w:val="1"/>
          <w:numId w:val="25"/>
        </w:numPr>
        <w:spacing w:before="120" w:after="120"/>
        <w:contextualSpacing w:val="0"/>
        <w:jc w:val="both"/>
      </w:pPr>
      <w:r>
        <w:t>Navedite seznam pogojev za sodelovanje in natančno opredelite, kateri od njih so neposredno ali posredno povezani z glavnimi cilji ukrepa in kateri ne. Navedite tudi njihove ponderje.</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Pojasnite, kako pogoji za sodelovanje zagotavljajo prispevek h glavnim ciljem ukrepa, ki je neposredno ali posredno povezan z zneskom pomoči, ki ga prosilec zahteva. To se lahko izrazi na primer kot pomoč na enoto varstva okolja</w:t>
      </w:r>
      <w:r w:rsidRPr="00050EB9">
        <w:rPr>
          <w:rStyle w:val="FootnoteReference"/>
          <w:lang w:eastAsia="en-GB"/>
        </w:rPr>
        <w:footnoteReference w:id="13"/>
      </w:r>
      <w:r>
        <w:t xml:space="preserve"> (točka 50 Smernic in opomba 44 Smernic).</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Če obstajajo drugi pogoji za sodelovanje, ki niso neposredno ali posredno povezani z glavnimi cilji ukrepa, navedite razloge za predlagani pristop in pojasnite, kako ustreza doseganju ciljev ukrepa. Potrdite tudi, da navedeni pogoji ne predstavljajo več kot 30 % ponderjev vseh pogojev za sodelovanje (točka 50 Smernic).</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 xml:space="preserve">Pojasnite, koliko časa pred vsakim konkurenčnim postopkom zbiranja ponudb </w:t>
      </w:r>
      <w:r>
        <w:rPr>
          <w:shd w:val="clear" w:color="auto" w:fill="FFFFFF"/>
        </w:rPr>
        <w:t>bodo objavljeni pogoji za sodelovanje</w:t>
      </w:r>
      <w:r>
        <w:t xml:space="preserve"> (točka 49(b) in opomba 43 Smernic).</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7474F8">
      <w:pPr>
        <w:pStyle w:val="ListParagraph"/>
        <w:numPr>
          <w:ilvl w:val="0"/>
          <w:numId w:val="35"/>
        </w:numPr>
        <w:spacing w:before="120" w:after="120"/>
        <w:ind w:hanging="219"/>
        <w:contextualSpacing w:val="0"/>
        <w:jc w:val="both"/>
      </w:pPr>
      <w:r>
        <w:t>Pojasnite, na katerih elementih temelji vaša predpostavka, da bo postopek zbiranja ponudb odprt in bo prejetih dovolj ponudb, tj. da je mogoče pričakovati, da pomoči ne bodo prejeli vsi ponudniki in da pričakovano število ponudnikov zadostuje za zagotovitev učinkovite konkurence v času trajanja sheme (točka 49(c) Smernic). Pri pojasnitvi upoštevajte proračun ali obseg sheme. Če je primerno, glej dokazila, predložena v odgovorih na vprašanje 14.</w:t>
      </w:r>
    </w:p>
    <w:p w14:paraId="59D03D9D" w14:textId="77777777" w:rsidR="005679B2" w:rsidRPr="00B751E1" w:rsidRDefault="005679B2" w:rsidP="007474F8">
      <w:pPr>
        <w:tabs>
          <w:tab w:val="left" w:leader="dot" w:pos="9072"/>
        </w:tabs>
        <w:spacing w:before="120" w:after="120"/>
        <w:ind w:left="1080" w:hanging="219"/>
        <w:jc w:val="both"/>
        <w:rPr>
          <w:color w:val="000000"/>
        </w:rPr>
      </w:pPr>
      <w:r>
        <w:rPr>
          <w:color w:val="000000"/>
        </w:rPr>
        <w:tab/>
      </w:r>
    </w:p>
    <w:p w14:paraId="24D8842E" w14:textId="77777777" w:rsidR="005679B2" w:rsidRPr="00B35F1C" w:rsidRDefault="005679B2" w:rsidP="007474F8">
      <w:pPr>
        <w:pStyle w:val="ListParagraph"/>
        <w:numPr>
          <w:ilvl w:val="0"/>
          <w:numId w:val="35"/>
        </w:numPr>
        <w:spacing w:before="120" w:after="120"/>
        <w:ind w:hanging="219"/>
        <w:contextualSpacing w:val="0"/>
        <w:jc w:val="both"/>
      </w:pPr>
      <w:r>
        <w:t>Zagotovite informacije o predvidenem številu krogov zbiranja ponudb in pričakovanem številu ponudnikov v prvem krogu in v nadaljevanju.</w:t>
      </w:r>
    </w:p>
    <w:p w14:paraId="2153B1E1" w14:textId="77777777" w:rsidR="005679B2" w:rsidRPr="00B751E1" w:rsidRDefault="005679B2" w:rsidP="007474F8">
      <w:pPr>
        <w:tabs>
          <w:tab w:val="left" w:leader="dot" w:pos="9072"/>
        </w:tabs>
        <w:spacing w:before="120" w:after="120"/>
        <w:ind w:left="1080" w:hanging="219"/>
        <w:jc w:val="both"/>
        <w:rPr>
          <w:color w:val="000000"/>
        </w:rPr>
      </w:pPr>
      <w:r>
        <w:rPr>
          <w:color w:val="000000"/>
        </w:rPr>
        <w:tab/>
      </w:r>
    </w:p>
    <w:p w14:paraId="22DBBE0F" w14:textId="372CE55F" w:rsidR="005679B2" w:rsidRPr="00B35F1C" w:rsidRDefault="005679B2" w:rsidP="007474F8">
      <w:pPr>
        <w:pStyle w:val="ListParagraph"/>
        <w:numPr>
          <w:ilvl w:val="0"/>
          <w:numId w:val="35"/>
        </w:numPr>
        <w:spacing w:before="120" w:after="120"/>
        <w:ind w:hanging="219"/>
        <w:contextualSpacing w:val="0"/>
        <w:jc w:val="both"/>
      </w:pPr>
      <w:r>
        <w:t xml:space="preserve">V primeru enega ali več postopkov zbiranja ponudb, pri katerih ni prejetih dovolj ponudb, pojasnite, kako in kdaj se bo med izvajanjem sheme popravila zasnova postopkov zbiranja ponudb, da se ponovno vzpostavi učinkovita konkurenca (točka 49(c) Smernic). </w:t>
      </w:r>
    </w:p>
    <w:p w14:paraId="63171D90" w14:textId="77777777" w:rsidR="005679B2" w:rsidRPr="00B35F1C" w:rsidRDefault="005679B2" w:rsidP="00B751E1">
      <w:pPr>
        <w:tabs>
          <w:tab w:val="left" w:leader="dot" w:pos="9072"/>
        </w:tabs>
        <w:spacing w:before="120" w:after="120"/>
        <w:ind w:left="1080"/>
        <w:jc w:val="both"/>
      </w:pPr>
      <w:r>
        <w:rPr>
          <w:color w:val="000000"/>
        </w:rPr>
        <w:lastRenderedPageBreak/>
        <w:tab/>
      </w:r>
    </w:p>
    <w:p w14:paraId="08D60E88" w14:textId="77777777" w:rsidR="005679B2" w:rsidRPr="009D65D3" w:rsidRDefault="005679B2" w:rsidP="007474F8">
      <w:pPr>
        <w:pStyle w:val="ListParagraph"/>
        <w:numPr>
          <w:ilvl w:val="0"/>
          <w:numId w:val="35"/>
        </w:numPr>
        <w:spacing w:before="120" w:after="120"/>
        <w:ind w:hanging="219"/>
        <w:contextualSpacing w:val="0"/>
        <w:jc w:val="both"/>
      </w:pPr>
      <w:r>
        <w:t>Potrdite, da bodo preprečene naknadne prilagoditve rezultata postopka zbiranja ponudb (kot so poznejša pogajanja o rezultatih ponudb ali racioniranje) (točka 49(d) Smernic).</w:t>
      </w:r>
    </w:p>
    <w:p w14:paraId="16F83C7E" w14:textId="77777777" w:rsidR="005679B2" w:rsidRPr="00B751E1" w:rsidRDefault="005679B2" w:rsidP="007474F8">
      <w:pPr>
        <w:tabs>
          <w:tab w:val="left" w:leader="dot" w:pos="9072"/>
        </w:tabs>
        <w:spacing w:before="120" w:after="120"/>
        <w:ind w:left="1080" w:hanging="219"/>
        <w:jc w:val="both"/>
        <w:rPr>
          <w:color w:val="000000"/>
        </w:rPr>
      </w:pPr>
      <w:r>
        <w:rPr>
          <w:color w:val="000000"/>
        </w:rPr>
        <w:tab/>
      </w:r>
    </w:p>
    <w:p w14:paraId="4C357362" w14:textId="0A1DD5B0" w:rsidR="005679B2" w:rsidRDefault="005679B2" w:rsidP="007474F8">
      <w:pPr>
        <w:pStyle w:val="ListParagraph"/>
        <w:numPr>
          <w:ilvl w:val="0"/>
          <w:numId w:val="35"/>
        </w:numPr>
        <w:spacing w:before="120" w:after="120"/>
        <w:ind w:hanging="219"/>
        <w:contextualSpacing w:val="0"/>
        <w:jc w:val="both"/>
      </w:pPr>
      <w:r>
        <w:t>Če obstaja možnost „</w:t>
      </w:r>
      <w:r>
        <w:rPr>
          <w:i/>
        </w:rPr>
        <w:t>ponudb z ničelnimi subvencijami</w:t>
      </w:r>
      <w:r>
        <w:t xml:space="preserve">“, pojasnite, kako bo zagotovljena sorazmernost (glej točko 49, opomba 42, Smernic). </w:t>
      </w:r>
    </w:p>
    <w:p w14:paraId="399846A0" w14:textId="77777777" w:rsidR="005679B2" w:rsidRPr="00B751E1" w:rsidRDefault="005679B2" w:rsidP="007474F8">
      <w:pPr>
        <w:tabs>
          <w:tab w:val="left" w:leader="dot" w:pos="9072"/>
        </w:tabs>
        <w:spacing w:before="120" w:after="120"/>
        <w:ind w:left="1080" w:hanging="219"/>
        <w:jc w:val="both"/>
        <w:rPr>
          <w:color w:val="000000"/>
        </w:rPr>
      </w:pPr>
      <w:r>
        <w:rPr>
          <w:color w:val="000000"/>
        </w:rPr>
        <w:tab/>
      </w:r>
    </w:p>
    <w:p w14:paraId="21DA41AB" w14:textId="77777777" w:rsidR="005679B2" w:rsidRPr="009D65D3" w:rsidRDefault="005679B2" w:rsidP="007474F8">
      <w:pPr>
        <w:pStyle w:val="ListParagraph"/>
        <w:numPr>
          <w:ilvl w:val="0"/>
          <w:numId w:val="35"/>
        </w:numPr>
        <w:spacing w:before="120" w:after="120"/>
        <w:ind w:hanging="219"/>
        <w:contextualSpacing w:val="0"/>
        <w:jc w:val="both"/>
      </w:pPr>
      <w:r>
        <w:t xml:space="preserve">Pojasnite, ali organi načrtujejo uporabo spodnjih ali zgornjih mej cen v konkurenčnem postopku zbiranja ponudb. Če je odgovor pritrdilen, utemeljite njihovo uporabo in pojasnite, kako ne omejujejo konkurenčnega postopka zbiranja ponudb (točka 49 in opomba 42 Smernic).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Kumulacija</w:t>
            </w:r>
          </w:p>
        </w:tc>
      </w:tr>
    </w:tbl>
    <w:p w14:paraId="2346A85D" w14:textId="3D60C926" w:rsidR="00B21377" w:rsidRPr="002A3B51" w:rsidRDefault="00B21377" w:rsidP="00211CE3">
      <w:pPr>
        <w:pStyle w:val="ListParagraph"/>
        <w:spacing w:before="120" w:after="120"/>
        <w:ind w:left="0"/>
        <w:contextualSpacing w:val="0"/>
        <w:jc w:val="both"/>
      </w:pPr>
      <w:r>
        <w:rPr>
          <w:i/>
        </w:rPr>
        <w:t>Za zagotovitev informacij v tem oddelku glej točki 56 in 57 Smernic</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Če še ni tako določeno v delu I splošnega obrazca za priglasitev in da se preveri </w:t>
      </w:r>
      <w:r>
        <w:rPr>
          <w:i/>
        </w:rPr>
        <w:t>skladnost</w:t>
      </w:r>
      <w:r>
        <w:t xml:space="preserve"> s točko 56 Smernic, pojasnite, ali se lahko pomoč na podlagi priglašenega ukrepa dodeli sočasno na podlagi več shem pomoči ali skupaj z </w:t>
      </w:r>
      <w:r>
        <w:rPr>
          <w:i/>
        </w:rPr>
        <w:t>ad hoc</w:t>
      </w:r>
      <w:r>
        <w:t xml:space="preserve"> pomočjo ali pomočjo </w:t>
      </w:r>
      <w:r>
        <w:rPr>
          <w:i/>
        </w:rPr>
        <w:t>de minimis</w:t>
      </w:r>
      <w:r>
        <w:t xml:space="preserve"> v zvezi z istimi upravičenimi stroški. Če je tako, navedite podrobnosti o navedenih shemah pomoči, </w:t>
      </w:r>
      <w:r>
        <w:rPr>
          <w:i/>
        </w:rPr>
        <w:t>ad hoc</w:t>
      </w:r>
      <w:r>
        <w:t xml:space="preserve"> pomoči ali pomoči </w:t>
      </w:r>
      <w:r>
        <w:rPr>
          <w:i/>
        </w:rPr>
        <w:t>de minimis</w:t>
      </w:r>
      <w:r>
        <w:t xml:space="preserve"> in o tem, kako se bo pomoč kumulirala.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Če se uporablja točka 56 Smernic, pojasnite, kako skupni znesek pomoči za posamezni priglašeni projekt ali dejavnost ne vodi do prekomernega nadomestila ali ne presega najvišjega zneska pomoči, dovoljenega na podlagi oddelka 4.2.4.2 Smernic. Za vsak ukrep, s katerim se lahko pomoč, dodeljena na podlagi priglašenega ukrepa pomoči, kumulira, navedite metodo, uporabljeno za zagotovitev skladnosti s pogoji iz točke 56 Smernic.</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Če se uporablja točka 57 Smernic, tj. pomoč, dodeljena na podlagi priglašenega ukrepa, se kombinira s centralno upravljanimi sredstvi Unije</w:t>
      </w:r>
      <w:r>
        <w:rPr>
          <w:rStyle w:val="FootnoteReference"/>
          <w:lang w:eastAsia="en-GB"/>
        </w:rPr>
        <w:footnoteReference w:id="14"/>
      </w:r>
      <w:r>
        <w:t xml:space="preserve"> (ki ne pomenijo državne pomoči), utemeljite, kako </w:t>
      </w:r>
      <w:r>
        <w:rPr>
          <w:shd w:val="clear" w:color="auto" w:fill="FFFFFF"/>
        </w:rPr>
        <w:t>skupni znesek javnega financiranja, dodeljen v zvezi z istimi upravičenimi stroški, ne privede do prekomernega nadomestila</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Preglednost</w:t>
            </w:r>
          </w:p>
        </w:tc>
      </w:tr>
    </w:tbl>
    <w:p w14:paraId="07229A8F" w14:textId="028CA7B4" w:rsidR="006773CE" w:rsidRPr="007C0A44" w:rsidRDefault="006773CE" w:rsidP="00707E7C">
      <w:pPr>
        <w:spacing w:before="120" w:after="120"/>
        <w:jc w:val="both"/>
        <w:rPr>
          <w:i/>
        </w:rPr>
      </w:pPr>
      <w:r>
        <w:rPr>
          <w:i/>
        </w:rPr>
        <w:lastRenderedPageBreak/>
        <w:t xml:space="preserve">Za zagotovitev informacij v tem oddelku glej oddelek 3.2.1.4 (točke 58–62) Smernic.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Navedite spletno povezavo, na kateri bodo objavljeni celotno besedilo odobrene sheme pomoči ali sklepa o dodelitvi individualne pomoči in njegovih izvedbenih določb ter informacije o vsaki individualni pomoči, dodeljeni ad hoc ali na podlagi sheme pomoči, odobrene na podlagi Smernic, ki presega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Preprečevanje neupravičenih negativnih učinkov pomoči na konkurenco in trgovino ter test tehtanja</w:t>
            </w:r>
          </w:p>
        </w:tc>
      </w:tr>
    </w:tbl>
    <w:p w14:paraId="6CD3884F" w14:textId="56A9CDD5" w:rsidR="00F83660" w:rsidRPr="00B215FD" w:rsidRDefault="00F83660" w:rsidP="0038016C">
      <w:pPr>
        <w:spacing w:before="120" w:after="120"/>
        <w:jc w:val="both"/>
        <w:rPr>
          <w:i/>
        </w:rPr>
      </w:pPr>
      <w:r>
        <w:rPr>
          <w:i/>
        </w:rPr>
        <w:t xml:space="preserve">Za zagotovitev informacij v tem oddelku glej oddelek 3.2.2 (točke 63–70) in oddelek 4.2.4.3. (točke 154–157) Smernic.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Za preverjanje skladnosti s točko 67 Smernic zagotovite informacije o morebitnih kratkoročnih in dolgoročnih negativnih učinkih priglašenega ukrepa na konkurenco in trgovino.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Pojasnite, ali ukrep spada v katerega od naslednjih primerov: </w:t>
      </w:r>
    </w:p>
    <w:p w14:paraId="44BBD0E3" w14:textId="77777777" w:rsidR="00BC72E3" w:rsidRPr="00E752D3" w:rsidRDefault="00BC72E3" w:rsidP="00E1090F">
      <w:pPr>
        <w:pStyle w:val="ListParagraph"/>
        <w:numPr>
          <w:ilvl w:val="0"/>
          <w:numId w:val="37"/>
        </w:numPr>
        <w:spacing w:before="120" w:after="120"/>
        <w:ind w:hanging="219"/>
        <w:contextualSpacing w:val="0"/>
        <w:jc w:val="both"/>
      </w:pPr>
      <w:r>
        <w:t>zadeva trg (ali trge), na katerem (katerih) so prvotni operaterji pridobili tržno moč pred liberalizacijo trga;</w:t>
      </w:r>
    </w:p>
    <w:p w14:paraId="74497186" w14:textId="77777777" w:rsidR="00BC72E3" w:rsidRPr="00E752D3" w:rsidRDefault="00BC72E3" w:rsidP="00E1090F">
      <w:pPr>
        <w:tabs>
          <w:tab w:val="left" w:leader="dot" w:pos="9072"/>
        </w:tabs>
        <w:spacing w:before="120" w:after="120"/>
        <w:ind w:left="1080" w:hanging="219"/>
        <w:jc w:val="both"/>
        <w:rPr>
          <w:color w:val="000000"/>
        </w:rPr>
      </w:pPr>
      <w:r>
        <w:rPr>
          <w:color w:val="000000"/>
        </w:rPr>
        <w:tab/>
      </w:r>
    </w:p>
    <w:p w14:paraId="40951272" w14:textId="4BD2AAF2" w:rsidR="00BC72E3" w:rsidRPr="00E752D3" w:rsidRDefault="00BC72E3" w:rsidP="00E1090F">
      <w:pPr>
        <w:pStyle w:val="ListParagraph"/>
        <w:numPr>
          <w:ilvl w:val="0"/>
          <w:numId w:val="37"/>
        </w:numPr>
        <w:spacing w:before="120" w:after="120"/>
        <w:ind w:hanging="219"/>
        <w:contextualSpacing w:val="0"/>
        <w:jc w:val="both"/>
      </w:pPr>
      <w:r>
        <w:t>vključuje konkurenčne postopke zbiranja ponudb na nastajajočih trgih, kadar obstaja akter z močnim tržnim položajem;</w:t>
      </w:r>
    </w:p>
    <w:p w14:paraId="31F1877E" w14:textId="77777777" w:rsidR="00BC72E3" w:rsidRPr="00E752D3" w:rsidRDefault="00BC72E3" w:rsidP="00E1090F">
      <w:pPr>
        <w:tabs>
          <w:tab w:val="left" w:leader="dot" w:pos="9072"/>
        </w:tabs>
        <w:spacing w:before="120" w:after="120"/>
        <w:ind w:left="1080" w:hanging="219"/>
        <w:jc w:val="both"/>
        <w:rPr>
          <w:color w:val="000000"/>
        </w:rPr>
      </w:pPr>
      <w:r>
        <w:rPr>
          <w:color w:val="000000"/>
        </w:rPr>
        <w:tab/>
      </w:r>
    </w:p>
    <w:p w14:paraId="19E7ABB7" w14:textId="77777777" w:rsidR="00BC72E3" w:rsidRPr="00E752D3" w:rsidRDefault="00BC72E3" w:rsidP="00E1090F">
      <w:pPr>
        <w:pStyle w:val="ListParagraph"/>
        <w:numPr>
          <w:ilvl w:val="0"/>
          <w:numId w:val="37"/>
        </w:numPr>
        <w:spacing w:before="120" w:after="120"/>
        <w:ind w:hanging="219"/>
        <w:contextualSpacing w:val="0"/>
        <w:jc w:val="both"/>
      </w:pPr>
      <w:r>
        <w:t>ukrep bo koristil le enemu upravičencu ali precej omejenemu številu upravičencev.</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Če se ukrep pomoči osredotoča na določeno tehnološko izbiro/pot, utemeljite razlog za tehnološko izbiro in potrdite, da ukrep ne bo odvračal od uporabe čistejših tehnologij.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Če bo priglašeni ukrep koristil le enemu upravičencu ali precej omejenemu številu upravičencev, za preverjanje skladnosti s točko 68 Smernic:</w:t>
      </w:r>
    </w:p>
    <w:p w14:paraId="4E1C5F60" w14:textId="2612C1BB" w:rsidR="006B1971" w:rsidRPr="00722DE1" w:rsidRDefault="00722DE1" w:rsidP="00E1090F">
      <w:pPr>
        <w:pStyle w:val="ListParagraph"/>
        <w:numPr>
          <w:ilvl w:val="0"/>
          <w:numId w:val="38"/>
        </w:numPr>
        <w:spacing w:before="120" w:after="120"/>
        <w:ind w:hanging="219"/>
        <w:contextualSpacing w:val="0"/>
        <w:jc w:val="both"/>
      </w:pPr>
      <w: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3183C9D5" w14:textId="77777777" w:rsidR="006B1971" w:rsidRPr="00722DE1" w:rsidRDefault="006B1971" w:rsidP="00E1090F">
      <w:pPr>
        <w:tabs>
          <w:tab w:val="left" w:leader="dot" w:pos="9072"/>
        </w:tabs>
        <w:spacing w:before="120" w:after="120"/>
        <w:ind w:left="1080" w:hanging="219"/>
        <w:jc w:val="both"/>
        <w:rPr>
          <w:color w:val="000000"/>
        </w:rPr>
      </w:pPr>
      <w:r>
        <w:rPr>
          <w:color w:val="000000"/>
        </w:rPr>
        <w:tab/>
      </w:r>
    </w:p>
    <w:p w14:paraId="27E2AFB2" w14:textId="77777777" w:rsidR="006B1971" w:rsidRPr="00B215FD" w:rsidRDefault="006B1971" w:rsidP="00E1090F">
      <w:pPr>
        <w:pStyle w:val="ListParagraph"/>
        <w:numPr>
          <w:ilvl w:val="0"/>
          <w:numId w:val="38"/>
        </w:numPr>
        <w:spacing w:before="120" w:after="120"/>
        <w:ind w:hanging="219"/>
        <w:contextualSpacing w:val="0"/>
        <w:jc w:val="both"/>
      </w:pPr>
      <w:r>
        <w:t xml:space="preserve">Opišite ukrepe, ki so bili sprejeti za omejitev morebitnega izkrivljanja konkurence, ki bi ga lahko povzročila dodelitev pomoči upravičencem.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lastRenderedPageBreak/>
        <w:t>Za preverjanje skladnosti s točko 69 Smernic pojasnite naslednje:</w:t>
      </w:r>
    </w:p>
    <w:p w14:paraId="55298360" w14:textId="77777777" w:rsidR="00E62DD7" w:rsidRDefault="00E62DD7" w:rsidP="00E1090F">
      <w:pPr>
        <w:pStyle w:val="ListParagraph"/>
        <w:numPr>
          <w:ilvl w:val="0"/>
          <w:numId w:val="39"/>
        </w:numPr>
        <w:spacing w:before="120" w:after="120"/>
        <w:ind w:hanging="219"/>
        <w:contextualSpacing w:val="0"/>
        <w:jc w:val="both"/>
      </w:pPr>
      <w:r>
        <w:t xml:space="preserve">Ali je pomoč, ki se dodeli na podlagi priglašenega ukrepa, namenjena ohranjanju gospodarske dejavnosti v eni regiji ali privabljanju dejavnosti iz drugih regij na notranjem trgu. </w:t>
      </w:r>
    </w:p>
    <w:p w14:paraId="34A1D43D" w14:textId="77777777" w:rsidR="00E62DD7" w:rsidRPr="00722DE1" w:rsidRDefault="00E62DD7" w:rsidP="00E1090F">
      <w:pPr>
        <w:tabs>
          <w:tab w:val="left" w:leader="dot" w:pos="9072"/>
        </w:tabs>
        <w:spacing w:before="120" w:after="120"/>
        <w:ind w:left="1080" w:hanging="219"/>
        <w:jc w:val="both"/>
        <w:rPr>
          <w:color w:val="000000"/>
        </w:rPr>
      </w:pPr>
      <w:r>
        <w:rPr>
          <w:color w:val="000000"/>
        </w:rPr>
        <w:tab/>
      </w:r>
    </w:p>
    <w:p w14:paraId="3F58043F" w14:textId="6F5F5D14" w:rsidR="00E62DD7" w:rsidRPr="009E0FCA" w:rsidRDefault="00E62DD7" w:rsidP="00E1090F">
      <w:pPr>
        <w:pStyle w:val="ListParagraph"/>
        <w:numPr>
          <w:ilvl w:val="0"/>
          <w:numId w:val="39"/>
        </w:numPr>
        <w:spacing w:before="120" w:after="120"/>
        <w:ind w:hanging="219"/>
        <w:contextualSpacing w:val="0"/>
        <w:jc w:val="both"/>
      </w:pPr>
      <w:r>
        <w:t>Če je odgovor pritrdilen, navedite neto vpliv priglašenega ukrepa na okolje in kako priglašeni ukrep izboljšuje obstoječo raven varstva okolja v državah članicah.</w:t>
      </w:r>
    </w:p>
    <w:p w14:paraId="2EA7C7CB" w14:textId="77777777" w:rsidR="00E62DD7" w:rsidRPr="00722DE1" w:rsidRDefault="00E62DD7" w:rsidP="00E1090F">
      <w:pPr>
        <w:tabs>
          <w:tab w:val="left" w:leader="dot" w:pos="9072"/>
        </w:tabs>
        <w:spacing w:before="120" w:after="120"/>
        <w:ind w:left="1080" w:hanging="219"/>
        <w:jc w:val="both"/>
        <w:rPr>
          <w:color w:val="000000"/>
        </w:rPr>
      </w:pPr>
      <w:r>
        <w:rPr>
          <w:color w:val="000000"/>
        </w:rPr>
        <w:tab/>
      </w:r>
    </w:p>
    <w:p w14:paraId="75A88797" w14:textId="77777777" w:rsidR="00E62DD7" w:rsidRPr="001D7B55" w:rsidRDefault="00E62DD7" w:rsidP="00E1090F">
      <w:pPr>
        <w:pStyle w:val="ListParagraph"/>
        <w:numPr>
          <w:ilvl w:val="0"/>
          <w:numId w:val="39"/>
        </w:numPr>
        <w:spacing w:before="120" w:after="120"/>
        <w:ind w:hanging="219"/>
        <w:contextualSpacing w:val="0"/>
        <w:jc w:val="both"/>
      </w:pPr>
      <w:r>
        <w:t xml:space="preserve">Kako pomoč, ki se dodeli na podlagi priglašenega ukrepa, nima očitno negativnih učinkov na konkurenco in trgovino. </w:t>
      </w:r>
    </w:p>
    <w:p w14:paraId="5D66ABAF" w14:textId="77777777" w:rsidR="00E62DD7" w:rsidRPr="00722DE1" w:rsidRDefault="00E62DD7" w:rsidP="00E1090F">
      <w:pPr>
        <w:tabs>
          <w:tab w:val="left" w:leader="dot" w:pos="9072"/>
        </w:tabs>
        <w:spacing w:before="120" w:after="120"/>
        <w:ind w:left="1080" w:hanging="219"/>
        <w:jc w:val="both"/>
        <w:rPr>
          <w:color w:val="000000"/>
        </w:rPr>
      </w:pPr>
      <w:r>
        <w:rPr>
          <w:color w:val="000000"/>
        </w:rPr>
        <w:tab/>
      </w:r>
    </w:p>
    <w:p w14:paraId="46D52DEB" w14:textId="77777777" w:rsidR="00E62DD7" w:rsidRPr="00E752D3" w:rsidRDefault="00E62DD7" w:rsidP="00E1090F">
      <w:pPr>
        <w:pStyle w:val="ListParagraph"/>
        <w:numPr>
          <w:ilvl w:val="0"/>
          <w:numId w:val="39"/>
        </w:numPr>
        <w:spacing w:before="120" w:after="120"/>
        <w:ind w:hanging="219"/>
        <w:contextualSpacing w:val="0"/>
        <w:jc w:val="both"/>
      </w:pPr>
      <w:r>
        <w:t>V primeru individualne pomoči, kateri so glavni dejavniki, na podlagi katerih upravičenec izbere lokacijo za naložbe.</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Za preverjanje skladnosti s točko 70 Smernic:</w:t>
      </w:r>
    </w:p>
    <w:p w14:paraId="70793CBE" w14:textId="77777777" w:rsidR="00F563A2" w:rsidRPr="00AC286A" w:rsidRDefault="00F563A2" w:rsidP="00E1090F">
      <w:pPr>
        <w:pStyle w:val="ListParagraph"/>
        <w:numPr>
          <w:ilvl w:val="0"/>
          <w:numId w:val="40"/>
        </w:numPr>
        <w:spacing w:before="120" w:after="120"/>
        <w:ind w:hanging="219"/>
        <w:contextualSpacing w:val="0"/>
        <w:jc w:val="both"/>
      </w:pPr>
      <w:r>
        <w:t xml:space="preserve">Potrdite, da se lahko pomoč na podlagi priglašene sheme dodeli za največ deset let od datuma obvestila o sklepu Komisije o razglasitvi državne pomoči za združljivo.  </w:t>
      </w:r>
    </w:p>
    <w:p w14:paraId="761C2FF1" w14:textId="77777777" w:rsidR="00F563A2" w:rsidRPr="00722DE1" w:rsidRDefault="00F563A2" w:rsidP="00E1090F">
      <w:pPr>
        <w:tabs>
          <w:tab w:val="left" w:leader="dot" w:pos="9072"/>
        </w:tabs>
        <w:spacing w:before="120" w:after="120"/>
        <w:ind w:left="1080" w:hanging="219"/>
        <w:jc w:val="both"/>
        <w:rPr>
          <w:color w:val="000000"/>
        </w:rPr>
      </w:pPr>
      <w:r>
        <w:rPr>
          <w:color w:val="000000"/>
        </w:rPr>
        <w:tab/>
      </w:r>
    </w:p>
    <w:p w14:paraId="3268388C" w14:textId="77777777" w:rsidR="00F563A2" w:rsidRPr="00AC286A" w:rsidRDefault="00F563A2" w:rsidP="00E1090F">
      <w:pPr>
        <w:pStyle w:val="ListParagraph"/>
        <w:numPr>
          <w:ilvl w:val="0"/>
          <w:numId w:val="40"/>
        </w:numPr>
        <w:spacing w:before="120" w:after="120"/>
        <w:ind w:hanging="219"/>
        <w:contextualSpacing w:val="0"/>
        <w:jc w:val="both"/>
      </w:pPr>
      <w:r>
        <w:t xml:space="preserve">Potrdite, da bodo organi vaše države ponovno priglasili ukrep, če bi želeli podaljšati trajanje sheme prek tega najdaljšega obdobja.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Če se pomoč dodeli skladu za energijsko učinkovitost ali skladu za energijo iz obnovljivih virov ali drugemu finančnemu posredniku v obliki finančnih sredstev, lastniškega kapitala, jamstva ali posojila, za preverjanje skladnosti s točko 157 Smernic:</w:t>
      </w:r>
    </w:p>
    <w:p w14:paraId="04EC5970" w14:textId="36680F60" w:rsidR="00344211" w:rsidRPr="009E0FCA" w:rsidRDefault="00344211" w:rsidP="00E1090F">
      <w:pPr>
        <w:pStyle w:val="ListParagraph"/>
        <w:numPr>
          <w:ilvl w:val="0"/>
          <w:numId w:val="41"/>
        </w:numPr>
        <w:spacing w:before="120" w:after="120"/>
        <w:ind w:hanging="219"/>
        <w:contextualSpacing w:val="0"/>
        <w:jc w:val="both"/>
      </w:pPr>
      <w:r>
        <w:t>dokažite, da bodo finančni posredniki ali upravljavci sklada izbrani v odprtem, preglednem in nediskriminatornem postopku, izvedenem v skladu z zakonodajo Unije in nacionalno zakonodajo, ki se uporabljata;</w:t>
      </w:r>
    </w:p>
    <w:p w14:paraId="7A2FDB46" w14:textId="25262C08" w:rsidR="00344211" w:rsidRPr="00722DE1" w:rsidRDefault="00344211" w:rsidP="00E1090F">
      <w:pPr>
        <w:tabs>
          <w:tab w:val="left" w:leader="dot" w:pos="9072"/>
        </w:tabs>
        <w:spacing w:before="120" w:after="120"/>
        <w:ind w:left="1080" w:hanging="219"/>
        <w:jc w:val="both"/>
        <w:rPr>
          <w:color w:val="000000"/>
        </w:rPr>
      </w:pPr>
      <w:r>
        <w:rPr>
          <w:color w:val="000000"/>
        </w:rPr>
        <w:tab/>
      </w:r>
    </w:p>
    <w:p w14:paraId="00340101" w14:textId="4E3CA68D" w:rsidR="00344211" w:rsidRPr="00AD5646" w:rsidRDefault="00344211" w:rsidP="00E1090F">
      <w:pPr>
        <w:pStyle w:val="ListParagraph"/>
        <w:numPr>
          <w:ilvl w:val="0"/>
          <w:numId w:val="41"/>
        </w:numPr>
        <w:spacing w:before="120" w:after="120"/>
        <w:ind w:hanging="219"/>
        <w:contextualSpacing w:val="0"/>
        <w:jc w:val="both"/>
      </w:pPr>
      <w:r>
        <w:t xml:space="preserve">dokažite, da so vzpostavljeni pogoji za zagotovitev, da se bodo finančni posredniki, vključno s skladi za energijsko učinkovitost ali energijo iz obnovljivih virov, upravljali na komercialni podlagi in zagotavljali odločitve o financiranju, usmerjene v dobiček; </w:t>
      </w:r>
    </w:p>
    <w:p w14:paraId="6619FD31" w14:textId="77777777" w:rsidR="00344211" w:rsidRPr="00AD5646" w:rsidRDefault="00344211" w:rsidP="00E1090F">
      <w:pPr>
        <w:tabs>
          <w:tab w:val="left" w:leader="dot" w:pos="9072"/>
        </w:tabs>
        <w:spacing w:before="120" w:after="120"/>
        <w:ind w:left="1080" w:hanging="219"/>
        <w:jc w:val="both"/>
        <w:rPr>
          <w:color w:val="000000"/>
        </w:rPr>
      </w:pPr>
      <w:r>
        <w:rPr>
          <w:color w:val="000000"/>
        </w:rPr>
        <w:tab/>
      </w:r>
    </w:p>
    <w:p w14:paraId="28F922F0" w14:textId="4965C592" w:rsidR="00344211" w:rsidRPr="00AD5646" w:rsidRDefault="00B753D4" w:rsidP="00E1090F">
      <w:pPr>
        <w:pStyle w:val="ListParagraph"/>
        <w:numPr>
          <w:ilvl w:val="0"/>
          <w:numId w:val="41"/>
        </w:numPr>
        <w:spacing w:before="120" w:after="120"/>
        <w:ind w:hanging="219"/>
        <w:contextualSpacing w:val="0"/>
        <w:jc w:val="both"/>
      </w:pPr>
      <w:r>
        <w:t xml:space="preserve">dokažite, da bodo upravljavci sklada za energijsko učinkovitost ali sklada za energijo iz obnovljivih virov ali drug finančni posrednik v največjem možnem obsegu prenesli prednost na končne upravičence (lastnike stavbe ali najemnike) v obliki večjega obsega financiranja, nižjih zahtev glede zavarovanja s premoženjem, nižjih jamstvenih premij ali nižjih obrestnih mer.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lastRenderedPageBreak/>
              <w:t>3. Primerjava pozitivnih učinkov pomoči z negativnimi učinki na konkurenco in trgovino</w:t>
            </w:r>
          </w:p>
        </w:tc>
      </w:tr>
    </w:tbl>
    <w:p w14:paraId="2BA426DC" w14:textId="3A9BC05F" w:rsidR="00265702" w:rsidRPr="00863406" w:rsidRDefault="00265702" w:rsidP="00AD5646">
      <w:pPr>
        <w:spacing w:before="120" w:after="120"/>
        <w:jc w:val="both"/>
        <w:rPr>
          <w:i/>
          <w:color w:val="000000"/>
        </w:rPr>
      </w:pPr>
      <w:r>
        <w:rPr>
          <w:i/>
        </w:rPr>
        <w:t>Za zagotovitev informacij v tem oddelku glej oddelek 3.3 (točke 71–76) Smernic.</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Za preverjanje skladnosti s točko 72 Smernic pojasnite, ali dejavnosti, za katere se na podlagi priglašenega ukrepa zagotavlja podpora, izpolnjujejo merila za okoljsko trajnostne gospodarske dejavnosti </w:t>
      </w:r>
      <w:r>
        <w:rPr>
          <w:shd w:val="clear" w:color="auto" w:fill="FFFFFF"/>
        </w:rPr>
        <w:t xml:space="preserve">iz </w:t>
      </w:r>
      <w:r>
        <w:t>člena 3 Uredbe (EU) 2020/852 Evropskega parlamenta in Sveta</w:t>
      </w:r>
      <w:r w:rsidRPr="008772CC">
        <w:rPr>
          <w:rStyle w:val="FootnoteReference"/>
          <w:lang w:eastAsia="en-GB"/>
        </w:rPr>
        <w:footnoteReference w:id="15"/>
      </w:r>
      <w:r>
        <w:t xml:space="preserve">, </w:t>
      </w:r>
      <w:r>
        <w:rPr>
          <w:shd w:val="clear" w:color="auto" w:fill="FFFFFF"/>
        </w:rPr>
        <w:t>vključno z načelom, da se ne škoduje bistveno, ali iz drugih primerljivih metodologij.</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(V primeru konkurenčnega postopka zbiranja ponudb) Pojasnite, ali priglašeni ukrep vključuje značilnosti za olajšanje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Za preverjanje skladnosti s točkami 74 ter 155 in 156 Smernic:</w:t>
      </w:r>
    </w:p>
    <w:p w14:paraId="63C203A5" w14:textId="5E6F0AA2" w:rsidR="00976A75" w:rsidRDefault="00976A75" w:rsidP="00E1090F">
      <w:pPr>
        <w:pStyle w:val="ListParagraph"/>
        <w:numPr>
          <w:ilvl w:val="0"/>
          <w:numId w:val="43"/>
        </w:numPr>
        <w:spacing w:before="120" w:after="120"/>
        <w:ind w:hanging="219"/>
        <w:contextualSpacing w:val="0"/>
        <w:jc w:val="both"/>
      </w:pPr>
      <w:r>
        <w:t>Pojasnite, ali so naložbe v opremo, ki uporablja zemeljski plin, upravičene do pomoči na podlagi priglašenega ukrepa. Če je odgovor pritrdilen, dokažite, da pomoč ne bo izpodrinila naložb v čistejše alternative, ki so že na voljo na trgu, oziroma ne bo povzročila učinka vezanosti na nekatere tehnologije. Pojasnite tudi, ali oprema, ki uporablja zemeljski plin, nadomešča opremo za proizvodnjo energije, ki uporablja najbolj onesnažujoča fosilna goriva, kot sta nafta in premog.</w:t>
      </w:r>
    </w:p>
    <w:p w14:paraId="56E960B4" w14:textId="77777777" w:rsidR="005C68A3" w:rsidRPr="00AD5646" w:rsidRDefault="005C68A3" w:rsidP="00E1090F">
      <w:pPr>
        <w:tabs>
          <w:tab w:val="left" w:leader="dot" w:pos="9072"/>
        </w:tabs>
        <w:spacing w:before="120" w:after="120"/>
        <w:ind w:left="1080" w:hanging="219"/>
        <w:jc w:val="both"/>
        <w:rPr>
          <w:color w:val="000000"/>
        </w:rPr>
      </w:pPr>
      <w:r>
        <w:rPr>
          <w:color w:val="000000"/>
        </w:rPr>
        <w:tab/>
      </w:r>
    </w:p>
    <w:p w14:paraId="616E2283" w14:textId="09C211A7" w:rsidR="00976A75" w:rsidRDefault="00976A75" w:rsidP="00E1090F">
      <w:pPr>
        <w:pStyle w:val="ListParagraph"/>
        <w:numPr>
          <w:ilvl w:val="0"/>
          <w:numId w:val="43"/>
        </w:numPr>
        <w:spacing w:before="120" w:after="120"/>
        <w:ind w:hanging="219"/>
        <w:contextualSpacing w:val="0"/>
        <w:jc w:val="both"/>
      </w:pPr>
      <w:r>
        <w:t xml:space="preserve">Potrdite, da naložbe v opremo, ki uporablja onesnažujoča fosilna goriva, kot sta nafta in premog, niso upravičene do pomoči na podlagi priglašenega ukrepa. Upoštevajte, da se šteje, da ima pomoč za namestitev opreme, ki uporablja fosilna goriva, kot sta nafta in premog, negativne učinke na konkurenco zaradi večjih emisij ogljika, povezanih z uporabo fosilnih goriv, precejšnjega tveganja vezanosti na tehnologije, ki temeljijo na fosilnih gorivih, ter izpodrivanja naložb v čistejše in bolj inovativne alternative, ki so na voljo na trgu.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Oddelek C: Ocenjevanje</w:t>
            </w:r>
          </w:p>
        </w:tc>
      </w:tr>
    </w:tbl>
    <w:p w14:paraId="0E74647B" w14:textId="4714C7EA" w:rsidR="00E752D3" w:rsidRDefault="00E752D3" w:rsidP="00E752D3">
      <w:pPr>
        <w:tabs>
          <w:tab w:val="left" w:leader="dot" w:pos="9072"/>
        </w:tabs>
        <w:spacing w:before="120" w:after="120"/>
        <w:jc w:val="both"/>
      </w:pPr>
      <w:r>
        <w:rPr>
          <w:i/>
        </w:rPr>
        <w:t>Za zagotovitev informacij v tem oddelku glej poglavje 5 (točke 455–463) Smernic.</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Če priglašeni ukrep presega pragove za proračun / odhodke iz točke 456 Smernic, pojasnite, zakaj bi se morala po vašem mnenju uporabljati izjema iz točke 457 Smernic, </w:t>
      </w:r>
      <w:r>
        <w:lastRenderedPageBreak/>
        <w:t>ali pa temu obrazcu za dodatne informacije priložite prilogo, ki vključuje osnutek načrta ocenjevanja za področje uporabe iz točke 458 Smernic</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Če je predložen osnutek načrta ocenjevanja:</w:t>
      </w:r>
    </w:p>
    <w:p w14:paraId="2908B272" w14:textId="6B17EC45" w:rsidR="005B1125" w:rsidRDefault="00BC0346" w:rsidP="00E1090F">
      <w:pPr>
        <w:pStyle w:val="ListParagraph"/>
        <w:numPr>
          <w:ilvl w:val="0"/>
          <w:numId w:val="46"/>
        </w:numPr>
        <w:spacing w:before="120" w:after="120"/>
        <w:ind w:hanging="219"/>
        <w:contextualSpacing w:val="0"/>
        <w:jc w:val="both"/>
      </w:pPr>
      <w:r>
        <w:t>V nadaljevanju predložite povzetek navedenega osnutka načrta ocenjevanja, vključenega v Prilogo.</w:t>
      </w:r>
    </w:p>
    <w:p w14:paraId="55469442" w14:textId="77777777" w:rsidR="00BC0346" w:rsidRPr="00AD5646" w:rsidRDefault="00BC0346" w:rsidP="00E1090F">
      <w:pPr>
        <w:tabs>
          <w:tab w:val="left" w:leader="dot" w:pos="9072"/>
        </w:tabs>
        <w:spacing w:before="120" w:after="120"/>
        <w:ind w:left="1080" w:hanging="219"/>
        <w:jc w:val="both"/>
        <w:rPr>
          <w:color w:val="000000"/>
        </w:rPr>
      </w:pPr>
      <w:r>
        <w:rPr>
          <w:color w:val="000000"/>
        </w:rPr>
        <w:tab/>
      </w:r>
    </w:p>
    <w:p w14:paraId="57944573" w14:textId="72B8D967" w:rsidR="005B1125" w:rsidRDefault="00BC0346" w:rsidP="00E1090F">
      <w:pPr>
        <w:pStyle w:val="ListParagraph"/>
        <w:numPr>
          <w:ilvl w:val="0"/>
          <w:numId w:val="46"/>
        </w:numPr>
        <w:spacing w:before="120" w:after="120"/>
        <w:ind w:hanging="219"/>
        <w:contextualSpacing w:val="0"/>
        <w:jc w:val="both"/>
      </w:pPr>
      <w:r>
        <w:t>Potrdite, da se bo pri tem upoštevala točka 460 Smernic.</w:t>
      </w:r>
    </w:p>
    <w:p w14:paraId="79C8841F" w14:textId="77777777" w:rsidR="00BC0346" w:rsidRPr="00AD5646" w:rsidRDefault="00BC0346" w:rsidP="00E1090F">
      <w:pPr>
        <w:tabs>
          <w:tab w:val="left" w:leader="dot" w:pos="9072"/>
        </w:tabs>
        <w:spacing w:before="120" w:after="120"/>
        <w:ind w:left="1080" w:hanging="219"/>
        <w:jc w:val="both"/>
        <w:rPr>
          <w:color w:val="000000"/>
        </w:rPr>
      </w:pPr>
      <w:r>
        <w:rPr>
          <w:color w:val="000000"/>
        </w:rPr>
        <w:tab/>
      </w:r>
    </w:p>
    <w:p w14:paraId="2149300C" w14:textId="7EA80A87" w:rsidR="005B1125" w:rsidRDefault="00BC0346" w:rsidP="00E1090F">
      <w:pPr>
        <w:pStyle w:val="ListParagraph"/>
        <w:numPr>
          <w:ilvl w:val="0"/>
          <w:numId w:val="46"/>
        </w:numPr>
        <w:spacing w:before="120" w:after="120"/>
        <w:ind w:hanging="219"/>
        <w:contextualSpacing w:val="0"/>
        <w:jc w:val="both"/>
      </w:pPr>
      <w:r>
        <w:t>Navedite datum in spletno povezavo, na kateri bo načrt ocenjevanja javno dostopen.</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Za preverjanje skladnosti s točko 459(c) Smernic, če shema pomoči trenutno ni predmet naknadne ocene, se v nadaljevanju zavežite, da bo država članica osnutek načrta ocenjevanja priglasila v 30 delovnih dneh po tem, ko so bili na uradnih računih evidentirani odhodki, ki presegajo 150 milijonov EUR v prejšnjem letu.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Za preverjanje skladnosti s točko 461 Smernic:</w:t>
      </w:r>
    </w:p>
    <w:p w14:paraId="523B7898" w14:textId="4DB1F92C" w:rsidR="005B1125" w:rsidRPr="0051324D" w:rsidRDefault="005B1125" w:rsidP="00E1090F">
      <w:pPr>
        <w:pStyle w:val="ListParagraph"/>
        <w:numPr>
          <w:ilvl w:val="0"/>
          <w:numId w:val="47"/>
        </w:numPr>
        <w:spacing w:before="120" w:after="120"/>
        <w:ind w:hanging="219"/>
        <w:contextualSpacing w:val="0"/>
        <w:jc w:val="both"/>
      </w:pPr>
      <w:r>
        <w:t>Pojasnite, ali je bil neodvisni strokovnjak že izbran ali bo izbran v prihodnosti.</w:t>
      </w:r>
    </w:p>
    <w:p w14:paraId="4E8E4DD0" w14:textId="77777777" w:rsidR="005B1125" w:rsidRPr="005D3A8D" w:rsidRDefault="005B1125" w:rsidP="00E1090F">
      <w:pPr>
        <w:tabs>
          <w:tab w:val="left" w:leader="dot" w:pos="9072"/>
        </w:tabs>
        <w:spacing w:before="120" w:after="120"/>
        <w:ind w:left="1080" w:hanging="219"/>
        <w:jc w:val="both"/>
        <w:rPr>
          <w:color w:val="000000"/>
        </w:rPr>
      </w:pPr>
      <w:r>
        <w:rPr>
          <w:color w:val="000000"/>
        </w:rPr>
        <w:tab/>
      </w:r>
    </w:p>
    <w:p w14:paraId="444C024C" w14:textId="77777777" w:rsidR="005B1125" w:rsidRPr="0051324D" w:rsidRDefault="005B1125" w:rsidP="00E1090F">
      <w:pPr>
        <w:pStyle w:val="ListParagraph"/>
        <w:numPr>
          <w:ilvl w:val="0"/>
          <w:numId w:val="47"/>
        </w:numPr>
        <w:spacing w:before="120" w:after="120"/>
        <w:ind w:hanging="219"/>
        <w:contextualSpacing w:val="0"/>
        <w:jc w:val="both"/>
      </w:pPr>
      <w:r>
        <w:t>Zagotovite informacije o postopku za izbiro strokovnjaka.</w:t>
      </w:r>
    </w:p>
    <w:p w14:paraId="3301005E" w14:textId="77777777" w:rsidR="005B1125" w:rsidRPr="005D3A8D" w:rsidRDefault="005B1125" w:rsidP="00E1090F">
      <w:pPr>
        <w:tabs>
          <w:tab w:val="left" w:leader="dot" w:pos="9072"/>
        </w:tabs>
        <w:spacing w:before="120" w:after="120"/>
        <w:ind w:left="1080" w:hanging="219"/>
        <w:jc w:val="both"/>
        <w:rPr>
          <w:color w:val="000000"/>
        </w:rPr>
      </w:pPr>
      <w:r>
        <w:rPr>
          <w:color w:val="000000"/>
        </w:rPr>
        <w:tab/>
      </w:r>
    </w:p>
    <w:p w14:paraId="4877D90F" w14:textId="77777777" w:rsidR="005B1125" w:rsidRPr="0051324D" w:rsidRDefault="005B1125" w:rsidP="00E1090F">
      <w:pPr>
        <w:pStyle w:val="ListParagraph"/>
        <w:numPr>
          <w:ilvl w:val="0"/>
          <w:numId w:val="47"/>
        </w:numPr>
        <w:spacing w:before="120" w:after="120"/>
        <w:ind w:hanging="219"/>
        <w:contextualSpacing w:val="0"/>
        <w:jc w:val="both"/>
      </w:pPr>
      <w:r>
        <w:t xml:space="preserve">Utemeljite, kako je zagotovljena strokovnjakova neodvisnost od organa, ki dodeli pomoč. </w:t>
      </w:r>
    </w:p>
    <w:p w14:paraId="38CEF628" w14:textId="77777777" w:rsidR="005B1125" w:rsidRPr="005D3A8D" w:rsidRDefault="005B1125" w:rsidP="00E1090F">
      <w:pPr>
        <w:tabs>
          <w:tab w:val="left" w:leader="dot" w:pos="9072"/>
        </w:tabs>
        <w:spacing w:before="120" w:after="120"/>
        <w:ind w:left="1080" w:hanging="219"/>
        <w:jc w:val="both"/>
        <w:rPr>
          <w:color w:val="000000"/>
        </w:rPr>
      </w:pPr>
      <w:r>
        <w:rPr>
          <w:color w:val="000000"/>
        </w:rPr>
        <w:tab/>
      </w:r>
    </w:p>
    <w:p w14:paraId="2C51B57F" w14:textId="6B57F3DF" w:rsidR="005B1125" w:rsidRPr="0051324D" w:rsidRDefault="005B1125" w:rsidP="00E1090F">
      <w:pPr>
        <w:pStyle w:val="ListParagraph"/>
        <w:numPr>
          <w:ilvl w:val="0"/>
          <w:numId w:val="47"/>
        </w:numPr>
        <w:spacing w:before="120" w:after="120"/>
        <w:ind w:hanging="219"/>
        <w:contextualSpacing w:val="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55AC987C" w14:textId="77777777" w:rsidR="005B1125" w:rsidRPr="0051324D" w:rsidRDefault="005B1125" w:rsidP="002A6F78">
      <w:pPr>
        <w:tabs>
          <w:tab w:val="left" w:leader="dot" w:pos="9072"/>
        </w:tabs>
        <w:spacing w:before="120" w:after="120"/>
        <w:ind w:left="1080"/>
        <w:jc w:val="both"/>
      </w:pPr>
      <w:r>
        <w:lastRenderedPageBreak/>
        <w:t xml:space="preserve"> </w:t>
      </w:r>
      <w:r>
        <w:rPr>
          <w:color w:val="000000"/>
        </w:rPr>
        <w:tab/>
      </w:r>
    </w:p>
    <w:p w14:paraId="5962B499" w14:textId="77777777" w:rsidR="005B1125" w:rsidRPr="0051324D" w:rsidRDefault="005B1125" w:rsidP="00E1090F">
      <w:pPr>
        <w:pStyle w:val="ListParagraph"/>
        <w:numPr>
          <w:ilvl w:val="0"/>
          <w:numId w:val="47"/>
        </w:numPr>
        <w:spacing w:before="120" w:after="120"/>
        <w:ind w:hanging="219"/>
        <w:contextualSpacing w:val="0"/>
        <w:jc w:val="both"/>
      </w:pPr>
      <w:r>
        <w:t xml:space="preserve">Potrdite, da bosta vmesno in končno ocenjevalno poročilo objavljeni. Navedite datum in spletno povezavo, na kateri bosta navedeni poročili javno dostopni.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Oddelek D: Poročanje in spremljanje</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Za zagotovitev informacij v tem oddelku glej oddelek 6 (točki 464 in 465) Smernic.</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Potrdite, da bo država članica izpolnjevala zahteve glede poročanja in spremljanja iz oddelka 6, točki 464 in 465, Smernic.</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UL C 80, 18.2.2022, str. 1.</w:t>
      </w:r>
    </w:p>
  </w:footnote>
  <w:footnote w:id="3">
    <w:p w14:paraId="2A08361A" w14:textId="77777777" w:rsidR="00111EDE" w:rsidRDefault="00111EDE" w:rsidP="00111EDE">
      <w:pPr>
        <w:pStyle w:val="FootnoteText"/>
      </w:pPr>
      <w:r>
        <w:rPr>
          <w:rStyle w:val="FootnoteReference"/>
        </w:rPr>
        <w:footnoteRef/>
      </w:r>
      <w:r>
        <w:tab/>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4">
    <w:p w14:paraId="18104C0E" w14:textId="77777777" w:rsidR="00111EDE" w:rsidRPr="0067348B" w:rsidRDefault="00111EDE" w:rsidP="00111EDE">
      <w:pPr>
        <w:pStyle w:val="FootnoteText"/>
      </w:pPr>
      <w:r>
        <w:rPr>
          <w:rStyle w:val="FootnoteReference"/>
        </w:rPr>
        <w:footnoteRef/>
      </w:r>
      <w:r>
        <w:tab/>
        <w:t>Upoštevajte, da lahko sprememba dejanskega proračuna ali ocene proračuna pomeni spremembo pomoči, ki jo je treba na novo priglasiti.</w:t>
      </w:r>
    </w:p>
  </w:footnote>
  <w:footnote w:id="5">
    <w:p w14:paraId="619B015F" w14:textId="77777777" w:rsidR="00B35947" w:rsidRPr="00CC03BD" w:rsidRDefault="00B35947" w:rsidP="00B35947">
      <w:pPr>
        <w:pStyle w:val="FootnoteText"/>
      </w:pPr>
      <w:r>
        <w:rPr>
          <w:rStyle w:val="FootnoteReference"/>
        </w:rPr>
        <w:footnoteRef/>
      </w:r>
      <w:r>
        <w:tab/>
        <w:t>Opomba 74 določa, da bi bile naložbe za samo eno vrsto elementov stavbe na primer lahko namenjene zamenjavi oken ali kotlov v stavbi ali osredotočene na izolacijo sten.</w:t>
      </w:r>
    </w:p>
  </w:footnote>
  <w:footnote w:id="6">
    <w:p w14:paraId="2024B5EE" w14:textId="0A95B5DE" w:rsidR="006C5D8B" w:rsidRPr="00CF158B" w:rsidRDefault="006C5D8B" w:rsidP="006C5D8B">
      <w:pPr>
        <w:pStyle w:val="FootnoteText"/>
      </w:pPr>
      <w:r>
        <w:rPr>
          <w:rStyle w:val="FootnoteReference"/>
        </w:rPr>
        <w:footnoteRef/>
      </w:r>
      <w:r>
        <w:tab/>
        <w:t>Upoštevajte, da točki 38 in 52 ter opombi 39 in 45 Smernic vsebujejo dodatna navodila glede tega, kako bi bilo treba razviti verjetni hipotetični scenarij.</w:t>
      </w:r>
    </w:p>
  </w:footnote>
  <w:footnote w:id="7">
    <w:p w14:paraId="593783A2" w14:textId="77777777" w:rsidR="005B7459" w:rsidRPr="00114695" w:rsidRDefault="005B7459" w:rsidP="005B7459">
      <w:pPr>
        <w:pStyle w:val="FootnoteText"/>
      </w:pPr>
      <w:r>
        <w:rPr>
          <w:rStyle w:val="FootnoteReference"/>
        </w:rPr>
        <w:footnoteRef/>
      </w:r>
      <w:r>
        <w:tab/>
        <w:t>„Referenčni projekt“ je opredeljen v točki 19(63) Smernic.</w:t>
      </w:r>
    </w:p>
  </w:footnote>
  <w:footnote w:id="8">
    <w:p w14:paraId="0BFAE3BE" w14:textId="77777777" w:rsidR="006C5D8B" w:rsidRDefault="006C5D8B" w:rsidP="006C5D8B">
      <w:pPr>
        <w:pStyle w:val="FootnoteText"/>
      </w:pPr>
      <w:r>
        <w:rPr>
          <w:rStyle w:val="FootnoteReference"/>
        </w:rPr>
        <w:footnoteRef/>
      </w:r>
      <w:r>
        <w:tab/>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32FF99E9" w14:textId="09CF0337" w:rsidR="006C5D8B" w:rsidRPr="007474F8" w:rsidRDefault="006C5D8B" w:rsidP="007474F8">
      <w:pPr>
        <w:pStyle w:val="FootnoteText"/>
        <w:numPr>
          <w:ilvl w:val="0"/>
          <w:numId w:val="29"/>
        </w:numPr>
        <w:ind w:left="993" w:firstLine="0"/>
      </w:pPr>
      <w:r w:rsidRPr="007474F8">
        <w:t>Ali so bili pogoji (npr. pogodbeni pogoji in trajanje, naložbeni roki, ali so bila plačila podpore indeksirana z inflacijo ali ne) podobni pogojem, ki se predlagajo v priglašenem ukrepu?</w:t>
      </w:r>
    </w:p>
    <w:p w14:paraId="12C047BB" w14:textId="77777777" w:rsidR="006C5D8B" w:rsidRPr="007474F8" w:rsidRDefault="006C5D8B" w:rsidP="007474F8">
      <w:pPr>
        <w:pStyle w:val="FootnoteText"/>
        <w:numPr>
          <w:ilvl w:val="0"/>
          <w:numId w:val="29"/>
        </w:numPr>
        <w:ind w:left="993" w:firstLine="0"/>
      </w:pPr>
      <w:r w:rsidRPr="007474F8">
        <w:t>Ali se je konkurenčni postopek izvajal v podobnem makroekonomskem okolju?</w:t>
      </w:r>
    </w:p>
    <w:p w14:paraId="758C7A5E" w14:textId="77777777" w:rsidR="006C5D8B" w:rsidRPr="007474F8" w:rsidRDefault="006C5D8B" w:rsidP="007474F8">
      <w:pPr>
        <w:pStyle w:val="FootnoteText"/>
        <w:numPr>
          <w:ilvl w:val="0"/>
          <w:numId w:val="29"/>
        </w:numPr>
        <w:ind w:left="993" w:firstLine="0"/>
      </w:pPr>
      <w:r w:rsidRPr="007474F8">
        <w:t>Ali so bile tehnologije / vrste projektov podobne?</w:t>
      </w:r>
    </w:p>
  </w:footnote>
  <w:footnote w:id="9">
    <w:p w14:paraId="590F3FC7" w14:textId="30CB4935" w:rsidR="00770302" w:rsidRPr="003D1C23" w:rsidRDefault="00770302" w:rsidP="00821F07">
      <w:pPr>
        <w:pStyle w:val="FootnoteText"/>
      </w:pPr>
      <w:r>
        <w:rPr>
          <w:rStyle w:val="FootnoteReference"/>
        </w:rPr>
        <w:footnoteRef/>
      </w:r>
      <w:r>
        <w:tab/>
        <w:t>V skladu s točko 19(89) Smernic „standard Unije“ pomeni:</w:t>
      </w:r>
    </w:p>
    <w:p w14:paraId="340A0B20" w14:textId="77777777" w:rsidR="00770302" w:rsidRPr="003D1C23" w:rsidRDefault="00770302" w:rsidP="00BC0346">
      <w:pPr>
        <w:pStyle w:val="FootnoteText"/>
        <w:numPr>
          <w:ilvl w:val="0"/>
          <w:numId w:val="26"/>
        </w:numPr>
      </w:pPr>
      <w:r>
        <w:t>obvezni standard Unije, ki določa stopnje, ki jih morajo posamezna podjetja doseči pri varstvu okolja, razen standardov ali ciljev, določenih na ravni Unije, ki so zavezujoči za države članice, ne pa tudi za posamezna podjetja;</w:t>
      </w:r>
    </w:p>
    <w:p w14:paraId="02AC4E0B" w14:textId="609C0B25" w:rsidR="00770302" w:rsidRPr="003D1C23" w:rsidRDefault="00770302" w:rsidP="00BC0346">
      <w:pPr>
        <w:pStyle w:val="FootnoteText"/>
        <w:numPr>
          <w:ilvl w:val="0"/>
          <w:numId w:val="26"/>
        </w:numPr>
      </w:pPr>
      <w: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10">
    <w:p w14:paraId="6853F00F" w14:textId="1EBBBF50" w:rsidR="00770302" w:rsidRPr="007E4A3E" w:rsidRDefault="00770302">
      <w:pPr>
        <w:pStyle w:val="FootnoteText"/>
      </w:pPr>
      <w:r>
        <w:rPr>
          <w:rStyle w:val="FootnoteReference"/>
        </w:rPr>
        <w:footnoteRef/>
      </w:r>
      <w:r>
        <w:tab/>
        <w:t>Vračilna doba je čas, potreben za vračilo stroškov naložbe (brez pomoči).</w:t>
      </w:r>
    </w:p>
  </w:footnote>
  <w:footnote w:id="11">
    <w:p w14:paraId="2937680B" w14:textId="77777777" w:rsidR="006C2F85" w:rsidRPr="0095488F" w:rsidRDefault="006C2F85" w:rsidP="006C2F85">
      <w:pPr>
        <w:pStyle w:val="FootnoteText"/>
      </w:pPr>
      <w:r>
        <w:rPr>
          <w:rStyle w:val="FootnoteReference"/>
        </w:rPr>
        <w:footnoteRef/>
      </w:r>
      <w:r>
        <w:tab/>
        <w:t>Glej tudi dodatne informacije v točkah 51–53 ter opombah 45 in 46 Smernic.</w:t>
      </w:r>
    </w:p>
  </w:footnote>
  <w:footnote w:id="12">
    <w:p w14:paraId="739A8028" w14:textId="082B93E2" w:rsidR="009A7FA6" w:rsidRPr="007D07E2" w:rsidRDefault="009A7FA6" w:rsidP="009A7FA6">
      <w:pPr>
        <w:pStyle w:val="FootnoteText"/>
      </w:pPr>
      <w:r>
        <w:rPr>
          <w:rStyle w:val="FootnoteReference"/>
        </w:rPr>
        <w:footnoteRef/>
      </w:r>
      <w:r>
        <w:tab/>
        <w:t>Upoštevajte, da točke 38, 52, 165, 166 in 167 ter opombi 39 in 45 Smernic vsebujejo dodatna navodila glede tega, kako bi bilo treba razviti verjetni hipotetični scenarij.</w:t>
      </w:r>
    </w:p>
  </w:footnote>
  <w:footnote w:id="13">
    <w:p w14:paraId="68255F0B" w14:textId="33EEB9D6" w:rsidR="005679B2" w:rsidRDefault="005679B2" w:rsidP="005679B2">
      <w:pPr>
        <w:pStyle w:val="FootnoteText"/>
      </w:pPr>
      <w:r>
        <w:rPr>
          <w:rStyle w:val="FootnoteReference"/>
        </w:rPr>
        <w:footnoteRef/>
      </w:r>
      <w:r>
        <w:tab/>
        <w:t>Opomba 44 Smernic določa: „Pri ocenjevanju enot varstva okolja lahko države članice na primer razvijejo metodologijo, ki upošteva emisije ali drugo onesnaževanje na različnih stopnjah podprte gospodarske dejavnosti, čas izvedbe projekta ali stroške povezovanja sistemov.</w:t>
      </w:r>
      <w:r>
        <w:rPr>
          <w:i/>
          <w:color w:val="000000"/>
          <w:shd w:val="clear" w:color="auto" w:fill="FFFFFF"/>
        </w:rPr>
        <w:t xml:space="preserve"> Pri zagotavljanju prispevka h glavnim ciljem v zvezi z zahtevanim zneskom pomoči lahko države članice na primer pretehtajo različna objektivna merila in izbirajo na podlagi zneska pomoči na enoto tehtanega povprečja objektivnih meril ali pa med omejenim obsegom ponudb z najnižjim zneskom pomoči na enoto objektivnih meril izberejo tiste z najvišjimi ocenami objektivnih meril. Parametri katerega koli od teh pristopov morajo biti umerjeni, da se zagotovi nediskriminatornost, učinkovita konkurenčnost in odražanje gospodarskega pomena postopka zbiranja ponudb.“</w:t>
      </w:r>
    </w:p>
  </w:footnote>
  <w:footnote w:id="14">
    <w:p w14:paraId="7C525AD8" w14:textId="7D6CBC42" w:rsidR="004345D1" w:rsidRDefault="004345D1" w:rsidP="004345D1">
      <w:pPr>
        <w:pStyle w:val="FootnoteText"/>
      </w:pPr>
      <w:r>
        <w:rPr>
          <w:rStyle w:val="FootnoteReference"/>
        </w:rPr>
        <w:footnoteRef/>
      </w:r>
      <w:r>
        <w:t xml:space="preserve"> </w:t>
      </w:r>
      <w:r>
        <w:tab/>
        <w:t>Centralno upravljana sredstva Unije so sredstva Unije, ki jih centralno upravljajo institucije, agencije, skupna podjetja ali drugi organi Evropske unije, ki niso pod neposrednim ali posrednim nadzorom držav članic.</w:t>
      </w:r>
    </w:p>
  </w:footnote>
  <w:footnote w:id="15">
    <w:p w14:paraId="67F58827" w14:textId="11D260F2" w:rsidR="001A0689" w:rsidRPr="008772CC" w:rsidRDefault="001A0689" w:rsidP="001A0689">
      <w:pPr>
        <w:pStyle w:val="FootnoteText"/>
      </w:pPr>
      <w:r>
        <w:rPr>
          <w:rStyle w:val="FootnoteReference"/>
        </w:rPr>
        <w:footnoteRef/>
      </w:r>
      <w:r>
        <w:t xml:space="preserve"> </w:t>
      </w:r>
      <w:r>
        <w:tab/>
        <w:t>Uredba (EU) 2020/852 Evropskega parlamenta in Sveta z dne 18. junija 2020 o vzpostavitvi okvira za spodbujanje trajnostnih naložb ter spremembi Uredbe (EU) 2019/2088 (UL L 198, 22.6.2020, str. 13).</w:t>
      </w:r>
    </w:p>
  </w:footnote>
  <w:footnote w:id="16">
    <w:p w14:paraId="2031DE19" w14:textId="508259E6" w:rsidR="005B1125" w:rsidRDefault="005B1125" w:rsidP="005B1125">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422E464C"/>
    <w:lvl w:ilvl="0" w:tplc="4404A89A">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7172AB12"/>
    <w:lvl w:ilvl="0" w:tplc="4404A89A">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E3CB2A8"/>
    <w:lvl w:ilvl="0" w:tplc="4404A89A">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22F69F14"/>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0242115A"/>
    <w:lvl w:ilvl="0" w:tplc="4404A89A">
      <w:start w:val="1"/>
      <w:numFmt w:val="lowerRoman"/>
      <w:lvlText w:val="(%1.)"/>
      <w:lvlJc w:val="righ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DF624DD2"/>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64849FF6"/>
    <w:lvl w:ilvl="0" w:tplc="4404A89A">
      <w:start w:val="1"/>
      <w:numFmt w:val="lowerRoman"/>
      <w:lvlText w:val="(%1.)"/>
      <w:lvlJc w:val="right"/>
      <w:pPr>
        <w:ind w:left="1287" w:hanging="360"/>
      </w:pPr>
      <w:rPr>
        <w:rFonts w:ascii="Times New Roman" w:hAnsi="Times New Roman" w:hint="default"/>
        <w:b w:val="0"/>
        <w:i w:val="0"/>
        <w:sz w:val="24"/>
      </w:rPr>
    </w:lvl>
    <w:lvl w:ilvl="1" w:tplc="424CED92">
      <w:start w:val="1"/>
      <w:numFmt w:val="lowerLetter"/>
      <w:lvlText w:val="(%2)"/>
      <w:lvlJc w:val="left"/>
      <w:pPr>
        <w:ind w:left="2007" w:hanging="360"/>
      </w:pPr>
      <w:rPr>
        <w:rFonts w:hint="default"/>
      </w:rPr>
    </w:lvl>
    <w:lvl w:ilvl="2" w:tplc="DB3E579E">
      <w:start w:val="1"/>
      <w:numFmt w:val="upperLetter"/>
      <w:lvlText w:val="(%3)"/>
      <w:lvlJc w:val="left"/>
      <w:pPr>
        <w:ind w:left="2907" w:hanging="360"/>
      </w:pPr>
      <w:rPr>
        <w:rFonts w:hint="default"/>
      </w:rPr>
    </w:lvl>
    <w:lvl w:ilvl="3" w:tplc="4404A89A">
      <w:start w:val="1"/>
      <w:numFmt w:val="lowerRoman"/>
      <w:lvlText w:val="(%4.)"/>
      <w:lvlJc w:val="right"/>
      <w:pPr>
        <w:ind w:left="1287" w:hanging="360"/>
      </w:pPr>
      <w:rPr>
        <w:rFonts w:ascii="Times New Roman" w:hAnsi="Times New Roman" w:hint="default"/>
        <w:b w:val="0"/>
        <w:i w:val="0"/>
        <w:sz w:val="24"/>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6A943416"/>
    <w:lvl w:ilvl="0" w:tplc="C99CEE36">
      <w:start w:val="1"/>
      <w:numFmt w:val="lowerRoman"/>
      <w:lvlText w:val="%1."/>
      <w:lvlJc w:val="left"/>
      <w:pPr>
        <w:ind w:left="1080" w:hanging="360"/>
      </w:pPr>
      <w:rPr>
        <w:rFonts w:ascii="Times New Roman" w:hAnsi="Times New Roman" w:hint="default"/>
        <w:b w:val="0"/>
        <w:i w:val="0"/>
        <w:sz w:val="24"/>
      </w:rPr>
    </w:lvl>
    <w:lvl w:ilvl="1" w:tplc="424CED92">
      <w:start w:val="1"/>
      <w:numFmt w:val="lowerLetter"/>
      <w:lvlText w:val="(%2)"/>
      <w:lvlJc w:val="left"/>
      <w:pPr>
        <w:ind w:left="2007"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9350E30A"/>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D4567398"/>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0B76EAFA"/>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1A743CBC"/>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347CFA24"/>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72825CDA"/>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2C08A7A6"/>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0E86A0A6"/>
    <w:lvl w:ilvl="0" w:tplc="4404A89A">
      <w:start w:val="1"/>
      <w:numFmt w:val="lowerRoman"/>
      <w:lvlText w:val="(%1.)"/>
      <w:lvlJc w:val="right"/>
      <w:pPr>
        <w:ind w:left="1102" w:hanging="360"/>
      </w:pPr>
      <w:rPr>
        <w:rFonts w:ascii="Times New Roman" w:hAnsi="Times New Roman" w:hint="default"/>
        <w:b w:val="0"/>
        <w:i w:val="0"/>
        <w:sz w:val="24"/>
      </w:rPr>
    </w:lvl>
    <w:lvl w:ilvl="1" w:tplc="04090019">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36" w15:restartNumberingAfterBreak="0">
    <w:nsid w:val="56B65B12"/>
    <w:multiLevelType w:val="hybridMultilevel"/>
    <w:tmpl w:val="16E4AB0A"/>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E32EF8F0"/>
    <w:lvl w:ilvl="0" w:tplc="CA62AFB2">
      <w:start w:val="1"/>
      <w:numFmt w:val="lowerRoman"/>
      <w:lvlText w:val="(%1.)"/>
      <w:lvlJc w:val="right"/>
      <w:pPr>
        <w:ind w:left="1080" w:hanging="360"/>
      </w:pPr>
      <w:rPr>
        <w:rFonts w:ascii="Times New Roman" w:hAnsi="Times New Roman" w:hint="default"/>
        <w:b w:val="0"/>
        <w:i w:val="0"/>
        <w:sz w:val="20"/>
        <w:szCs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7D082794"/>
    <w:lvl w:ilvl="0" w:tplc="82A46EEA">
      <w:start w:val="1"/>
      <w:numFmt w:val="decimal"/>
      <w:lvlText w:val="%1."/>
      <w:lvlJc w:val="left"/>
      <w:pPr>
        <w:ind w:left="720" w:hanging="360"/>
      </w:pPr>
      <w:rPr>
        <w:rFonts w:hint="default"/>
        <w:b/>
        <w:i w:val="0"/>
      </w:rPr>
    </w:lvl>
    <w:lvl w:ilvl="1" w:tplc="4404A89A">
      <w:start w:val="1"/>
      <w:numFmt w:val="lowerRoman"/>
      <w:lvlText w:val="(%2.)"/>
      <w:lvlJc w:val="right"/>
      <w:pPr>
        <w:ind w:left="1287"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02E09984"/>
    <w:lvl w:ilvl="0" w:tplc="4404A89A">
      <w:start w:val="1"/>
      <w:numFmt w:val="lowerRoman"/>
      <w:lvlText w:val="(%1.)"/>
      <w:lvlJc w:val="righ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861698B4"/>
    <w:lvl w:ilvl="0" w:tplc="4404A89A">
      <w:start w:val="1"/>
      <w:numFmt w:val="lowerRoman"/>
      <w:lvlText w:val="(%1.)"/>
      <w:lvlJc w:val="righ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3D08D742"/>
    <w:lvl w:ilvl="0" w:tplc="4404A89A">
      <w:start w:val="1"/>
      <w:numFmt w:val="lowerRoman"/>
      <w:lvlText w:val="(%1.)"/>
      <w:lvlJc w:val="right"/>
      <w:pPr>
        <w:ind w:left="927" w:hanging="360"/>
      </w:pPr>
      <w:rPr>
        <w:rFonts w:ascii="Times New Roman" w:hAnsi="Times New Roman" w:hint="default"/>
        <w:b w:val="0"/>
        <w:i w:val="0"/>
        <w:sz w:val="24"/>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4F8"/>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0D5"/>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090F"/>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sl-SI"/>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4710</Words>
  <Characters>27370</Characters>
  <DocSecurity>0</DocSecurity>
  <Lines>608</Lines>
  <Paragraphs>212</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