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77619F69" w14:textId="77777777" w:rsidTr="00466BC2">
        <w:trPr>
          <w:trHeight w:val="854"/>
        </w:trPr>
        <w:tc>
          <w:tcPr>
            <w:tcW w:w="9000" w:type="dxa"/>
            <w:tcBorders>
              <w:top w:val="single" w:sz="4" w:space="0" w:color="auto"/>
              <w:bottom w:val="single" w:sz="4" w:space="0" w:color="auto"/>
            </w:tcBorders>
            <w:shd w:val="pct15" w:color="auto" w:fill="FFFFFF"/>
          </w:tcPr>
          <w:p w14:paraId="61C255C7"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Del III.5 - Formulär för kompletterande upplysningar om statligt stöd </w:t>
            </w:r>
            <w:bookmarkEnd w:id="0"/>
            <w:bookmarkEnd w:id="1"/>
            <w:r>
              <w:rPr>
                <w:color w:val="auto"/>
              </w:rPr>
              <w:t xml:space="preserve"> till åtgärder för ökad användning</w:t>
            </w:r>
          </w:p>
        </w:tc>
      </w:tr>
    </w:tbl>
    <w:p w14:paraId="772D8377" w14:textId="77777777" w:rsidR="007B33E6" w:rsidRPr="005C4E62" w:rsidRDefault="007B33E6" w:rsidP="001507A9">
      <w:pPr>
        <w:spacing w:before="240" w:after="240"/>
        <w:jc w:val="both"/>
        <w:rPr>
          <w:i/>
          <w:iCs/>
        </w:rPr>
      </w:pPr>
      <w:r>
        <w:rPr>
          <w:i/>
        </w:rPr>
        <w:t>Detta formulär för kompletterande upplysningar bör användas för anmälningar av stöd för genomförande av åtgärder för ökad användning som omfattas av kommissionens riktlinjer för statligt stöd till bredbandsnä</w:t>
      </w:r>
      <w:r>
        <w:t>t</w:t>
      </w:r>
      <w:r w:rsidRPr="005C4E62">
        <w:rPr>
          <w:bCs/>
          <w:vertAlign w:val="superscript"/>
        </w:rPr>
        <w:footnoteReference w:id="1"/>
      </w:r>
      <w:r>
        <w:t xml:space="preserve"> </w:t>
      </w:r>
      <w:r>
        <w:rPr>
          <w:i/>
        </w:rPr>
        <w:t>(bredbandsriktlinjerna).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711FBE8E" w14:textId="77777777" w:rsidTr="00646E8A">
        <w:tc>
          <w:tcPr>
            <w:tcW w:w="9286" w:type="dxa"/>
            <w:shd w:val="clear" w:color="auto" w:fill="D9D9D9"/>
          </w:tcPr>
          <w:p w14:paraId="2819640B"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Allmänna uppgifter</w:t>
            </w:r>
          </w:p>
        </w:tc>
      </w:tr>
    </w:tbl>
    <w:p w14:paraId="69DE2F24" w14:textId="77777777" w:rsidR="007B33E6" w:rsidRPr="005C4E62" w:rsidRDefault="007B33E6" w:rsidP="00BE2CC4">
      <w:pPr>
        <w:pStyle w:val="NumPar2"/>
        <w:numPr>
          <w:ilvl w:val="1"/>
          <w:numId w:val="1"/>
        </w:numPr>
        <w:tabs>
          <w:tab w:val="clear" w:pos="1200"/>
        </w:tabs>
        <w:spacing w:before="240"/>
        <w:ind w:left="709"/>
      </w:pPr>
      <w:bookmarkStart w:id="2" w:name="_Ref152597077"/>
      <w:r>
        <w:t>Lämna en ingående beskrivning av stödåtgärden och dess mål.</w:t>
      </w:r>
      <w:bookmarkEnd w:id="2"/>
    </w:p>
    <w:p w14:paraId="0BC3651A" w14:textId="77777777" w:rsidR="00515227" w:rsidRPr="005C4E62" w:rsidRDefault="00515227" w:rsidP="001507A9">
      <w:pPr>
        <w:pStyle w:val="Text2"/>
        <w:tabs>
          <w:tab w:val="clear" w:pos="2161"/>
          <w:tab w:val="left" w:leader="dot" w:pos="9072"/>
        </w:tabs>
        <w:spacing w:before="120" w:after="120"/>
        <w:ind w:left="709"/>
      </w:pPr>
      <w:r>
        <w:tab/>
      </w:r>
    </w:p>
    <w:p w14:paraId="620A54EF" w14:textId="77777777" w:rsidR="001507A9" w:rsidRPr="005C4E62" w:rsidRDefault="001507A9" w:rsidP="001507A9">
      <w:pPr>
        <w:pStyle w:val="NumPar2"/>
        <w:numPr>
          <w:ilvl w:val="1"/>
          <w:numId w:val="1"/>
        </w:numPr>
        <w:tabs>
          <w:tab w:val="clear" w:pos="1200"/>
        </w:tabs>
        <w:ind w:left="709"/>
      </w:pPr>
      <w:r>
        <w:t>Förklara varför stödåtgärden enligt er mening utgör statligt stöd</w:t>
      </w:r>
      <w:r w:rsidRPr="005C4E62">
        <w:rPr>
          <w:rStyle w:val="FootnoteReference"/>
        </w:rPr>
        <w:footnoteReference w:id="2"/>
      </w:r>
      <w:r>
        <w:t>.</w:t>
      </w:r>
    </w:p>
    <w:p w14:paraId="41694165" w14:textId="77777777" w:rsidR="001507A9" w:rsidRPr="005C4E62" w:rsidRDefault="001507A9" w:rsidP="001507A9">
      <w:pPr>
        <w:pStyle w:val="Text2"/>
        <w:tabs>
          <w:tab w:val="clear" w:pos="2161"/>
          <w:tab w:val="left" w:leader="dot" w:pos="9072"/>
        </w:tabs>
        <w:spacing w:before="120" w:after="120"/>
        <w:ind w:left="709"/>
      </w:pPr>
      <w:r>
        <w:tab/>
      </w:r>
    </w:p>
    <w:p w14:paraId="7DFEA118" w14:textId="77777777" w:rsidR="001507A9" w:rsidRPr="005C4E62" w:rsidRDefault="001507A9" w:rsidP="001507A9">
      <w:pPr>
        <w:pStyle w:val="NumPar2"/>
        <w:numPr>
          <w:ilvl w:val="1"/>
          <w:numId w:val="1"/>
        </w:numPr>
        <w:tabs>
          <w:tab w:val="clear" w:pos="1200"/>
        </w:tabs>
        <w:ind w:left="709"/>
      </w:pPr>
      <w:r>
        <w:t>Ange huruvida stödåtgärden omfattar något av följande:</w:t>
      </w:r>
    </w:p>
    <w:p w14:paraId="2C771B05"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Sociala vouchrar</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Konnektivitetsvouchrar</w:t>
      </w:r>
      <w:r w:rsidRPr="005C4E62">
        <w:rPr>
          <w:rStyle w:val="FootnoteReference"/>
          <w:lang w:bidi="si-LK"/>
        </w:rPr>
        <w:footnoteReference w:id="4"/>
      </w:r>
    </w:p>
    <w:p w14:paraId="705447AF" w14:textId="77777777" w:rsidR="006F5901" w:rsidRPr="005C4E62" w:rsidRDefault="006F5901" w:rsidP="001507A9">
      <w:pPr>
        <w:pStyle w:val="NumPar2"/>
        <w:numPr>
          <w:ilvl w:val="1"/>
          <w:numId w:val="1"/>
        </w:numPr>
        <w:tabs>
          <w:tab w:val="clear" w:pos="1200"/>
        </w:tabs>
        <w:ind w:left="709"/>
      </w:pPr>
      <w:r>
        <w:t>Förklara hur stödåtgärden överensstämmer med den nationella bredbandsstrategin och unionens digitala politik och miljömål</w:t>
      </w:r>
      <w:r w:rsidRPr="005C4E62">
        <w:rPr>
          <w:rStyle w:val="FootnoteReference"/>
        </w:rPr>
        <w:footnoteReference w:id="5"/>
      </w:r>
      <w:r>
        <w:t xml:space="preserve">. </w:t>
      </w:r>
    </w:p>
    <w:p w14:paraId="6C4EFF9B" w14:textId="77777777" w:rsidR="006F5901" w:rsidRPr="005C4E62" w:rsidRDefault="006F5901" w:rsidP="001507A9">
      <w:pPr>
        <w:pStyle w:val="Text2"/>
        <w:tabs>
          <w:tab w:val="clear" w:pos="2161"/>
          <w:tab w:val="left" w:leader="dot" w:pos="9072"/>
        </w:tabs>
        <w:spacing w:before="120" w:after="120"/>
        <w:ind w:left="709"/>
      </w:pPr>
      <w:r>
        <w:tab/>
      </w:r>
    </w:p>
    <w:p w14:paraId="2DB0C10A" w14:textId="77777777" w:rsidR="00C66331" w:rsidRPr="005C4E62" w:rsidRDefault="00C66331" w:rsidP="001507A9">
      <w:pPr>
        <w:pStyle w:val="NumPar2"/>
        <w:numPr>
          <w:ilvl w:val="1"/>
          <w:numId w:val="1"/>
        </w:numPr>
        <w:tabs>
          <w:tab w:val="clear" w:pos="1200"/>
        </w:tabs>
        <w:ind w:left="709"/>
      </w:pPr>
      <w:r>
        <w:t>Ange huruvida det skäl som motiverar stödet är något av följande</w:t>
      </w:r>
      <w:r w:rsidR="001507A9" w:rsidRPr="005C4E62">
        <w:rPr>
          <w:rStyle w:val="FootnoteReference"/>
        </w:rPr>
        <w:footnoteReference w:id="6"/>
      </w:r>
      <w:r>
        <w:t>:</w:t>
      </w:r>
    </w:p>
    <w:p w14:paraId="70EA6D7A"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De ekonomiska konsekvenserna av kostnaderna för att abonnera på bredbandstjänster. Om så är fallet, lämna närmare uppgifter här.....</w:t>
      </w:r>
    </w:p>
    <w:p w14:paraId="6C76E125"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Bristande medvetenhet om de fördelar som abonnemanget på bredbandstjänster medför. Om så är fallet, lämna närmare uppgifter här..............................................................................</w:t>
      </w:r>
    </w:p>
    <w:p w14:paraId="27A84426"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Andra skäl Om så är fallet, lämna närmare uppgifter här:............................................................................</w:t>
      </w:r>
    </w:p>
    <w:p w14:paraId="7D4B3B72" w14:textId="77777777" w:rsidR="007B33E6" w:rsidRPr="005C4E62" w:rsidRDefault="007B33E6" w:rsidP="001507A9">
      <w:pPr>
        <w:pStyle w:val="NumPar2"/>
        <w:numPr>
          <w:ilvl w:val="1"/>
          <w:numId w:val="1"/>
        </w:numPr>
        <w:tabs>
          <w:tab w:val="clear" w:pos="1200"/>
        </w:tabs>
        <w:ind w:left="709"/>
      </w:pPr>
      <w:r>
        <w:t>Beskriv stödåtgärdens sammanhang (t.ex. nuvarande täckningsnivå för bredbandsnät i medlemsstaten, nuvarande nyttjandegrad av bredbandstjänster) och ange vilka informationskällor som tillhandahållits.</w:t>
      </w:r>
    </w:p>
    <w:p w14:paraId="4A3475DB" w14:textId="77777777" w:rsidR="00B973C6" w:rsidRPr="005C4E62" w:rsidRDefault="00B973C6" w:rsidP="001507A9">
      <w:pPr>
        <w:pStyle w:val="Text2"/>
        <w:tabs>
          <w:tab w:val="clear" w:pos="2161"/>
          <w:tab w:val="left" w:leader="dot" w:pos="9072"/>
        </w:tabs>
        <w:spacing w:before="120" w:after="120"/>
        <w:ind w:left="709"/>
      </w:pPr>
      <w:r>
        <w:tab/>
      </w:r>
    </w:p>
    <w:p w14:paraId="599A2CB2" w14:textId="77777777" w:rsidR="005A7B71" w:rsidRPr="005C4E62" w:rsidRDefault="005A7B71" w:rsidP="001507A9">
      <w:pPr>
        <w:pStyle w:val="NumPar2"/>
        <w:numPr>
          <w:ilvl w:val="1"/>
          <w:numId w:val="1"/>
        </w:numPr>
        <w:tabs>
          <w:tab w:val="clear" w:pos="1200"/>
        </w:tabs>
        <w:ind w:left="709"/>
      </w:pPr>
      <w:r>
        <w:t>Bekräfta att alla hastigheter som nämns i detta meddelande bedöms vara medelhastigheter under högtrafikförhållanden</w:t>
      </w:r>
      <w:r w:rsidRPr="005C4E62">
        <w:rPr>
          <w:rStyle w:val="FootnoteReference"/>
        </w:rPr>
        <w:footnoteReference w:id="7"/>
      </w:r>
      <w:r>
        <w:t>.</w:t>
      </w:r>
    </w:p>
    <w:p w14:paraId="0AB19636"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Ja</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B221BA">
        <w:fldChar w:fldCharType="separate"/>
      </w:r>
      <w:r w:rsidR="00A63EE7" w:rsidRPr="005C4E62">
        <w:fldChar w:fldCharType="end"/>
      </w:r>
      <w:r>
        <w:tab/>
        <w:t>Nej</w:t>
      </w:r>
    </w:p>
    <w:p w14:paraId="59DC5E85" w14:textId="77777777" w:rsidR="005F2475" w:rsidRPr="005C4E62" w:rsidRDefault="007A2062" w:rsidP="005F2475">
      <w:pPr>
        <w:pStyle w:val="NumPar2"/>
        <w:numPr>
          <w:ilvl w:val="1"/>
          <w:numId w:val="1"/>
        </w:numPr>
        <w:tabs>
          <w:tab w:val="clear" w:pos="1200"/>
        </w:tabs>
        <w:ind w:left="709"/>
      </w:pPr>
      <w:r>
        <w:lastRenderedPageBreak/>
        <w:t>Skicka, om möjligt, in följande dokument och lämna en beskrivning av deras innehåll.</w:t>
      </w:r>
    </w:p>
    <w:p w14:paraId="76230A67"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Bedömning av stödåtgärdens inverkan ………………………………………………. </w:t>
      </w:r>
    </w:p>
    <w:p w14:paraId="3952F573"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Efterhandsutvärderingar av liknande tidigare stödordningar.…………………………...</w:t>
      </w:r>
    </w:p>
    <w:p w14:paraId="3E9F0323"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Kontrafaktisk analys som visar att åtgärden har positiva effekter, jämfört med vad som skulle ha hänt utan stödet:.............................................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6ACE695B" w14:textId="77777777" w:rsidTr="00796043">
        <w:tc>
          <w:tcPr>
            <w:tcW w:w="9286" w:type="dxa"/>
            <w:shd w:val="clear" w:color="auto" w:fill="D9D9D9"/>
          </w:tcPr>
          <w:p w14:paraId="75481EB1"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Sociala vouchrar</w:t>
            </w:r>
          </w:p>
        </w:tc>
      </w:tr>
    </w:tbl>
    <w:p w14:paraId="0BACA80C" w14:textId="77777777" w:rsidR="004C1C63" w:rsidRPr="005C4E62" w:rsidRDefault="007B5294" w:rsidP="00E27219">
      <w:pPr>
        <w:pStyle w:val="NumPar2"/>
        <w:numPr>
          <w:ilvl w:val="1"/>
          <w:numId w:val="5"/>
        </w:numPr>
        <w:ind w:left="709" w:hanging="709"/>
      </w:pPr>
      <w:r>
        <w:t>Ange vilka särskilda kategorier av enskilda konsumenter som omfattas av stödåtgärden vars ekonomiska situation motiverar beviljandet av stöd av sociala skäl (t.ex. familjer med låg inkomst, studenter, elever m.m.) samt de objektiva kriterier som använts för att definiera konsumenter som är stödberättigade</w:t>
      </w:r>
      <w:r w:rsidRPr="005C4E62">
        <w:rPr>
          <w:rStyle w:val="FootnoteReference"/>
        </w:rPr>
        <w:footnoteReference w:id="8"/>
      </w:r>
      <w:r>
        <w:t xml:space="preserve">. </w:t>
      </w:r>
    </w:p>
    <w:p w14:paraId="79B77BB2" w14:textId="77777777" w:rsidR="004C1C63" w:rsidRPr="005C4E62" w:rsidRDefault="004C1C63" w:rsidP="004C1C63">
      <w:pPr>
        <w:pStyle w:val="Text2"/>
        <w:tabs>
          <w:tab w:val="clear" w:pos="2161"/>
          <w:tab w:val="left" w:leader="dot" w:pos="9072"/>
        </w:tabs>
        <w:spacing w:before="120" w:after="120"/>
        <w:ind w:left="709"/>
      </w:pPr>
      <w:r>
        <w:tab/>
      </w:r>
    </w:p>
    <w:p w14:paraId="0F11435E" w14:textId="77777777" w:rsidR="007B5294" w:rsidRPr="005C4E62" w:rsidRDefault="004C1C63" w:rsidP="00E27219">
      <w:pPr>
        <w:pStyle w:val="NumPar2"/>
        <w:numPr>
          <w:ilvl w:val="1"/>
          <w:numId w:val="5"/>
        </w:numPr>
        <w:ind w:left="709" w:hanging="709"/>
      </w:pPr>
      <w:r>
        <w:t>Lämna en uppskattning av antalet konsumenter som skulle kunna komma i åtnjutande av stödåtgärden.</w:t>
      </w:r>
    </w:p>
    <w:p w14:paraId="24522F9D" w14:textId="77777777" w:rsidR="007B5294" w:rsidRPr="005C4E62" w:rsidRDefault="007B5294" w:rsidP="009F1CC8">
      <w:pPr>
        <w:pStyle w:val="Text2"/>
        <w:tabs>
          <w:tab w:val="clear" w:pos="2161"/>
          <w:tab w:val="left" w:leader="dot" w:pos="9072"/>
        </w:tabs>
        <w:spacing w:before="120" w:after="120"/>
        <w:ind w:left="709"/>
      </w:pPr>
      <w:r>
        <w:tab/>
      </w:r>
    </w:p>
    <w:p w14:paraId="7FF951EE" w14:textId="77777777" w:rsidR="004C1C63" w:rsidRPr="005C4E62" w:rsidRDefault="004C1C63" w:rsidP="00E27219">
      <w:pPr>
        <w:pStyle w:val="NumPar2"/>
        <w:numPr>
          <w:ilvl w:val="1"/>
          <w:numId w:val="5"/>
        </w:numPr>
        <w:ind w:left="709" w:hanging="709"/>
      </w:pPr>
      <w:r>
        <w:t>Ange vilka leverantörerna av den stödberättigade tjänsten är.</w:t>
      </w:r>
    </w:p>
    <w:p w14:paraId="1AC904A2" w14:textId="77777777" w:rsidR="004C1C63" w:rsidRPr="005C4E62" w:rsidRDefault="004C1C63" w:rsidP="004C1C63">
      <w:pPr>
        <w:pStyle w:val="Text2"/>
        <w:tabs>
          <w:tab w:val="clear" w:pos="2161"/>
          <w:tab w:val="left" w:leader="dot" w:pos="9072"/>
        </w:tabs>
        <w:spacing w:before="120" w:after="120"/>
        <w:ind w:left="709"/>
      </w:pPr>
      <w:r>
        <w:tab/>
      </w:r>
    </w:p>
    <w:p w14:paraId="2CC3875B" w14:textId="77777777" w:rsidR="00237B1B" w:rsidRPr="005C4E62" w:rsidRDefault="00237B1B" w:rsidP="00E27219">
      <w:pPr>
        <w:pStyle w:val="NumPar2"/>
        <w:numPr>
          <w:ilvl w:val="1"/>
          <w:numId w:val="5"/>
        </w:numPr>
        <w:ind w:left="709" w:hanging="709"/>
      </w:pPr>
      <w:r>
        <w:t>Ange vilka stödberättigande tjänster som omfattas av stödåtgärden (t.ex. i fråga om nedladdnings- respektive uppladdningshastighet osv.) och förklara hur era myndigheter identifierat sådana tjänster.</w:t>
      </w:r>
    </w:p>
    <w:p w14:paraId="642C72FE" w14:textId="77777777" w:rsidR="00237B1B" w:rsidRPr="005C4E62" w:rsidRDefault="00237B1B" w:rsidP="00237B1B">
      <w:pPr>
        <w:pStyle w:val="Text2"/>
        <w:tabs>
          <w:tab w:val="clear" w:pos="2161"/>
          <w:tab w:val="left" w:leader="dot" w:pos="9072"/>
        </w:tabs>
        <w:spacing w:before="120" w:after="120"/>
        <w:ind w:left="709"/>
      </w:pPr>
      <w:r>
        <w:tab/>
      </w:r>
    </w:p>
    <w:p w14:paraId="18445850" w14:textId="77777777" w:rsidR="00042ACA" w:rsidRPr="005C4E62" w:rsidRDefault="00710B4A" w:rsidP="00042ACA">
      <w:pPr>
        <w:pStyle w:val="NumPar2"/>
        <w:numPr>
          <w:ilvl w:val="1"/>
          <w:numId w:val="5"/>
        </w:numPr>
        <w:ind w:left="709" w:hanging="709"/>
      </w:pPr>
      <w:r>
        <w:t>Ange hur vouchrarna kommer att användas och lämna närmare uppgifter</w:t>
      </w:r>
      <w:r w:rsidRPr="005C4E62">
        <w:rPr>
          <w:rStyle w:val="FootnoteReference"/>
        </w:rPr>
        <w:footnoteReference w:id="9"/>
      </w:r>
      <w:r>
        <w:t>:</w:t>
      </w:r>
    </w:p>
    <w:p w14:paraId="10FCA6F8"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Abonnera på nya bredbandstjänster. Beskrivning:</w:t>
      </w:r>
    </w:p>
    <w:p w14:paraId="479E2A85" w14:textId="77777777" w:rsidR="00485681" w:rsidRPr="005C4E62" w:rsidRDefault="00485681" w:rsidP="006E6AE1">
      <w:pPr>
        <w:pStyle w:val="NumPar2"/>
        <w:tabs>
          <w:tab w:val="clear" w:pos="360"/>
        </w:tabs>
        <w:ind w:left="709" w:firstLine="0"/>
      </w:pPr>
      <w:r>
        <w:t xml:space="preserve">………………………………………………………………………………………….. </w:t>
      </w:r>
    </w:p>
    <w:p w14:paraId="19D21386"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Bibehållande av befintliga abonnemang. Beskrivning: </w:t>
      </w:r>
    </w:p>
    <w:p w14:paraId="2B43C20A" w14:textId="77777777" w:rsidR="00485681" w:rsidRPr="005C4E62" w:rsidRDefault="00485681" w:rsidP="006E6AE1">
      <w:pPr>
        <w:pStyle w:val="NumPar2"/>
        <w:tabs>
          <w:tab w:val="clear" w:pos="360"/>
        </w:tabs>
        <w:ind w:left="709" w:firstLine="0"/>
      </w:pPr>
      <w:r>
        <w:t>…………………………………………………………………………………………...</w:t>
      </w:r>
    </w:p>
    <w:p w14:paraId="6177C29C"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Övrigt. Beskrivning:</w:t>
      </w:r>
    </w:p>
    <w:p w14:paraId="4A71D7BA" w14:textId="77777777" w:rsidR="00485681" w:rsidRPr="005C4E62" w:rsidRDefault="00485681" w:rsidP="006E6AE1">
      <w:pPr>
        <w:pStyle w:val="NumPar2"/>
        <w:tabs>
          <w:tab w:val="clear" w:pos="360"/>
        </w:tabs>
        <w:ind w:left="709" w:firstLine="0"/>
      </w:pPr>
      <w:r>
        <w:t>…………………………………………………………..…………………………….....</w:t>
      </w:r>
    </w:p>
    <w:p w14:paraId="0C6DDA7B" w14:textId="77777777" w:rsidR="007B5294" w:rsidRPr="005C4E62" w:rsidRDefault="007B5294" w:rsidP="00E27219">
      <w:pPr>
        <w:pStyle w:val="NumPar2"/>
        <w:numPr>
          <w:ilvl w:val="1"/>
          <w:numId w:val="5"/>
        </w:numPr>
        <w:ind w:left="709" w:hanging="709"/>
      </w:pPr>
      <w:r>
        <w:t>Ange vilka stödberättigande kostnader som omfattas av stödåtgärden</w:t>
      </w:r>
      <w:r w:rsidRPr="005C4E62">
        <w:rPr>
          <w:rStyle w:val="FootnoteReference"/>
        </w:rPr>
        <w:footnoteReference w:id="10"/>
      </w:r>
      <w:r>
        <w:t>.</w:t>
      </w:r>
    </w:p>
    <w:p w14:paraId="6D636757" w14:textId="77777777" w:rsidR="007B5294" w:rsidRPr="005C4E62" w:rsidRDefault="007B5294" w:rsidP="007B5294">
      <w:pPr>
        <w:pStyle w:val="Text2"/>
        <w:tabs>
          <w:tab w:val="clear" w:pos="2161"/>
          <w:tab w:val="left" w:leader="dot" w:pos="9072"/>
        </w:tabs>
        <w:spacing w:before="120" w:after="120"/>
        <w:ind w:left="709"/>
      </w:pPr>
      <w:r>
        <w:tab/>
      </w:r>
    </w:p>
    <w:p w14:paraId="19805976" w14:textId="77777777" w:rsidR="00E0556B" w:rsidRPr="005C4E62" w:rsidRDefault="00E0556B" w:rsidP="00E0556B">
      <w:pPr>
        <w:pStyle w:val="NumPar2"/>
        <w:numPr>
          <w:ilvl w:val="1"/>
          <w:numId w:val="5"/>
        </w:numPr>
        <w:ind w:left="709" w:hanging="709"/>
      </w:pPr>
      <w:r>
        <w:t xml:space="preserve">Ange vouchrarnas maximala giltighetstid </w:t>
      </w:r>
      <w:r>
        <w:br/>
        <w:t>(om tillämpligt)</w:t>
      </w:r>
    </w:p>
    <w:p w14:paraId="6BF4CA39" w14:textId="77777777" w:rsidR="00E0556B" w:rsidRPr="005C4E62" w:rsidRDefault="00E0556B" w:rsidP="002E43A3">
      <w:pPr>
        <w:pStyle w:val="Text2"/>
        <w:tabs>
          <w:tab w:val="clear" w:pos="2161"/>
          <w:tab w:val="left" w:leader="dot" w:pos="9072"/>
        </w:tabs>
        <w:spacing w:before="120" w:after="120"/>
        <w:ind w:left="709"/>
      </w:pPr>
      <w:r>
        <w:tab/>
      </w:r>
    </w:p>
    <w:p w14:paraId="28FEDC0D" w14:textId="77777777" w:rsidR="00237B1B" w:rsidRPr="005C4E62" w:rsidRDefault="00237B1B" w:rsidP="00E27219">
      <w:pPr>
        <w:pStyle w:val="NumPar2"/>
        <w:numPr>
          <w:ilvl w:val="1"/>
          <w:numId w:val="5"/>
        </w:numPr>
        <w:ind w:left="709" w:hanging="709"/>
      </w:pPr>
      <w:r>
        <w:lastRenderedPageBreak/>
        <w:t xml:space="preserve">Ange vouchrarnas form och belopp, med angivande av hur beloppet fastställts och hur stor procentandel av abonnemangskostnaden som täcks av vouchern. </w:t>
      </w:r>
    </w:p>
    <w:p w14:paraId="544CB590" w14:textId="77777777" w:rsidR="00237B1B" w:rsidRPr="005C4E62" w:rsidRDefault="00237B1B" w:rsidP="00237B1B">
      <w:pPr>
        <w:pStyle w:val="Text2"/>
        <w:tabs>
          <w:tab w:val="clear" w:pos="2161"/>
          <w:tab w:val="left" w:leader="dot" w:pos="9072"/>
        </w:tabs>
        <w:spacing w:before="120" w:after="120"/>
        <w:ind w:left="709"/>
      </w:pPr>
      <w:r>
        <w:tab/>
      </w:r>
    </w:p>
    <w:p w14:paraId="1DDE4329" w14:textId="77777777" w:rsidR="00E101F1" w:rsidRPr="005C4E62" w:rsidRDefault="00E101F1" w:rsidP="00E27219">
      <w:pPr>
        <w:pStyle w:val="NumPar2"/>
        <w:numPr>
          <w:ilvl w:val="1"/>
          <w:numId w:val="5"/>
        </w:numPr>
        <w:ind w:left="709" w:hanging="709"/>
        <w:rPr>
          <w:iCs/>
        </w:rPr>
      </w:pPr>
      <w:r>
        <w:t>Förklara om och hur stödåtgärden är förenlig med principen om teknikneutralitet</w:t>
      </w:r>
      <w:r w:rsidRPr="005C4E62">
        <w:rPr>
          <w:rStyle w:val="FootnoteReference"/>
          <w:iCs/>
        </w:rPr>
        <w:footnoteReference w:id="11"/>
      </w:r>
      <w:r>
        <w:t>.</w:t>
      </w:r>
    </w:p>
    <w:p w14:paraId="72C33A4F" w14:textId="77777777" w:rsidR="00E101F1" w:rsidRPr="005C4E62" w:rsidRDefault="00E101F1" w:rsidP="00E101F1">
      <w:pPr>
        <w:pStyle w:val="Text2"/>
        <w:tabs>
          <w:tab w:val="clear" w:pos="2161"/>
          <w:tab w:val="left" w:leader="dot" w:pos="9072"/>
        </w:tabs>
        <w:spacing w:before="120" w:after="120"/>
        <w:ind w:left="709"/>
      </w:pPr>
      <w:r>
        <w:tab/>
      </w:r>
    </w:p>
    <w:p w14:paraId="46A0CE4D" w14:textId="77777777" w:rsidR="00C90B4D" w:rsidRPr="005C4E62" w:rsidRDefault="00C90B4D" w:rsidP="00C90B4D">
      <w:pPr>
        <w:pStyle w:val="NumPar2"/>
        <w:numPr>
          <w:ilvl w:val="1"/>
          <w:numId w:val="5"/>
        </w:numPr>
        <w:ind w:left="709" w:hanging="709"/>
        <w:rPr>
          <w:iCs/>
        </w:rPr>
      </w:pPr>
      <w:r>
        <w:t>Visa att stödåtgärden säkerställer likabehandling av alla tänkbara tjänsteleverantörer och ger konsumenterna största möjliga urval av leverantörer</w:t>
      </w:r>
      <w:r w:rsidR="00E101F1" w:rsidRPr="005C4E62">
        <w:rPr>
          <w:rStyle w:val="FootnoteReference"/>
          <w:iCs/>
        </w:rPr>
        <w:footnoteReference w:id="12"/>
      </w:r>
      <w:r>
        <w:t xml:space="preserve"> genom att (med angivande av relevanta uppgifter) bekräfta att</w:t>
      </w:r>
      <w:r w:rsidRPr="005C4E62">
        <w:rPr>
          <w:rStyle w:val="FootnoteReference"/>
        </w:rPr>
        <w:footnoteReference w:id="13"/>
      </w:r>
      <w:r>
        <w:t xml:space="preserve"> </w:t>
      </w:r>
    </w:p>
    <w:p w14:paraId="22174581" w14:textId="77777777" w:rsidR="00C90B4D" w:rsidRPr="005C4E62" w:rsidRDefault="00C90B4D" w:rsidP="00C90B4D">
      <w:pPr>
        <w:pStyle w:val="NumPar2"/>
        <w:numPr>
          <w:ilvl w:val="4"/>
          <w:numId w:val="1"/>
        </w:numPr>
        <w:tabs>
          <w:tab w:val="clear" w:pos="1800"/>
        </w:tabs>
        <w:ind w:left="1418" w:hanging="709"/>
      </w:pPr>
      <w:r>
        <w:t>Ett onlineregister över samtliga berättigade tjänsteleverantörer (eller en likvärdig plattform) kommer att upprättas.</w:t>
      </w:r>
    </w:p>
    <w:p w14:paraId="71D21E0F" w14:textId="77777777" w:rsidR="00C90B4D" w:rsidRPr="005C4E62" w:rsidRDefault="00C90B4D" w:rsidP="00C90B4D">
      <w:pPr>
        <w:pStyle w:val="Text2"/>
        <w:tabs>
          <w:tab w:val="clear" w:pos="2161"/>
          <w:tab w:val="left" w:leader="dot" w:pos="9072"/>
        </w:tabs>
        <w:spacing w:before="120" w:after="120"/>
        <w:ind w:left="709"/>
      </w:pPr>
      <w:r>
        <w:tab/>
      </w:r>
    </w:p>
    <w:p w14:paraId="24D80822" w14:textId="77777777" w:rsidR="00C90B4D" w:rsidRPr="005C4E62" w:rsidRDefault="00C90B4D" w:rsidP="00C90B4D">
      <w:pPr>
        <w:pStyle w:val="NumPar2"/>
        <w:numPr>
          <w:ilvl w:val="4"/>
          <w:numId w:val="1"/>
        </w:numPr>
        <w:tabs>
          <w:tab w:val="clear" w:pos="1800"/>
        </w:tabs>
        <w:ind w:left="1418" w:hanging="709"/>
      </w:pPr>
      <w:r>
        <w:t xml:space="preserve">Konsumenter kan fritt söka i registret. </w:t>
      </w:r>
    </w:p>
    <w:p w14:paraId="0EBCBC5F" w14:textId="77777777" w:rsidR="00C90B4D" w:rsidRPr="005C4E62" w:rsidRDefault="00C90B4D" w:rsidP="00C90B4D">
      <w:pPr>
        <w:pStyle w:val="Text2"/>
        <w:tabs>
          <w:tab w:val="clear" w:pos="2161"/>
          <w:tab w:val="left" w:leader="dot" w:pos="9072"/>
        </w:tabs>
        <w:spacing w:before="120" w:after="120"/>
        <w:ind w:left="709"/>
      </w:pPr>
      <w:r>
        <w:tab/>
      </w:r>
    </w:p>
    <w:p w14:paraId="79934EF1" w14:textId="77777777" w:rsidR="00C90B4D" w:rsidRPr="005C4E62" w:rsidRDefault="00C90B4D" w:rsidP="00C90B4D">
      <w:pPr>
        <w:pStyle w:val="NumPar2"/>
        <w:numPr>
          <w:ilvl w:val="4"/>
          <w:numId w:val="1"/>
        </w:numPr>
        <w:tabs>
          <w:tab w:val="clear" w:pos="1800"/>
        </w:tabs>
        <w:ind w:left="1418" w:hanging="709"/>
      </w:pPr>
      <w:r>
        <w:t>Alla företag som har möjlighet att tillhandahålla stödberättigande bredbandstjänster kan begära att få tas upp i registret (eller på någon annan plattform som väljs).</w:t>
      </w:r>
    </w:p>
    <w:p w14:paraId="234869DD" w14:textId="77777777" w:rsidR="00E101F1" w:rsidRPr="005C4E62" w:rsidRDefault="00C90B4D" w:rsidP="00C90B4D">
      <w:pPr>
        <w:pStyle w:val="Text2"/>
        <w:tabs>
          <w:tab w:val="clear" w:pos="2161"/>
          <w:tab w:val="left" w:leader="dot" w:pos="9072"/>
        </w:tabs>
        <w:spacing w:before="120" w:after="120"/>
        <w:ind w:left="709"/>
      </w:pPr>
      <w:r>
        <w:tab/>
        <w:t xml:space="preserve"> </w:t>
      </w:r>
    </w:p>
    <w:p w14:paraId="2C1215EF" w14:textId="77777777" w:rsidR="00C90B4D" w:rsidRPr="005C4E62" w:rsidRDefault="00C90B4D" w:rsidP="00C90B4D">
      <w:pPr>
        <w:pStyle w:val="NumPar2"/>
        <w:numPr>
          <w:ilvl w:val="4"/>
          <w:numId w:val="1"/>
        </w:numPr>
        <w:tabs>
          <w:tab w:val="clear" w:pos="1800"/>
        </w:tabs>
        <w:ind w:left="1418" w:hanging="709"/>
      </w:pPr>
      <w:r>
        <w:t>Registret (eller den alternativa plattform som valts) tillhandahåller ytterligare upplysningar för att bistå konsumenter (t.ex. den typ av tjänst som tillhandahålls av de olika företagen). Om så är fallet, ange vilka ytterligare upplysningar som tillhandahålls.</w:t>
      </w:r>
    </w:p>
    <w:p w14:paraId="4CE032B6" w14:textId="77777777" w:rsidR="00E101F1" w:rsidRPr="005C4E62" w:rsidRDefault="00E101F1" w:rsidP="00E101F1">
      <w:pPr>
        <w:pStyle w:val="Text2"/>
        <w:tabs>
          <w:tab w:val="clear" w:pos="2161"/>
          <w:tab w:val="left" w:leader="dot" w:pos="9072"/>
        </w:tabs>
        <w:spacing w:before="120" w:after="120"/>
        <w:ind w:left="709"/>
      </w:pPr>
      <w:r>
        <w:tab/>
      </w:r>
    </w:p>
    <w:p w14:paraId="5006557F" w14:textId="77777777" w:rsidR="00D1408F" w:rsidRPr="005C4E62" w:rsidRDefault="00D1408F" w:rsidP="009A1814">
      <w:pPr>
        <w:pStyle w:val="NumPar2"/>
        <w:numPr>
          <w:ilvl w:val="1"/>
          <w:numId w:val="5"/>
        </w:numPr>
        <w:ind w:left="709" w:hanging="709"/>
      </w:pPr>
      <w:r>
        <w:t>Lämna en ingående beskrivning av förfarandet genomförandet av stödåtgärden.</w:t>
      </w:r>
    </w:p>
    <w:p w14:paraId="1E0AB9C3" w14:textId="77777777" w:rsidR="00D1408F" w:rsidRPr="005C4E62" w:rsidRDefault="00D1408F" w:rsidP="00D1408F">
      <w:pPr>
        <w:pStyle w:val="Text2"/>
        <w:tabs>
          <w:tab w:val="clear" w:pos="2161"/>
          <w:tab w:val="left" w:leader="dot" w:pos="9072"/>
        </w:tabs>
        <w:spacing w:before="120" w:after="120"/>
        <w:ind w:left="709"/>
      </w:pPr>
      <w:r>
        <w:tab/>
      </w:r>
    </w:p>
    <w:p w14:paraId="1C853267" w14:textId="77777777" w:rsidR="00D1408F" w:rsidRPr="005C4E62" w:rsidRDefault="00D1408F" w:rsidP="009A1814">
      <w:pPr>
        <w:pStyle w:val="NumPar2"/>
        <w:numPr>
          <w:ilvl w:val="1"/>
          <w:numId w:val="5"/>
        </w:numPr>
        <w:ind w:left="709" w:hanging="709"/>
      </w:pPr>
      <w:r>
        <w:t>Offentligt samråd</w:t>
      </w:r>
      <w:r w:rsidRPr="005C4E62">
        <w:rPr>
          <w:rStyle w:val="FootnoteReference"/>
        </w:rPr>
        <w:footnoteReference w:id="14"/>
      </w:r>
      <w:r>
        <w:t xml:space="preserve"> Lämna följande upplysningar:</w:t>
      </w:r>
    </w:p>
    <w:p w14:paraId="3CEB549D"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Start- och slutdatum för vart och ett av de genomförda samråden. </w:t>
      </w:r>
    </w:p>
    <w:p w14:paraId="2B19D18B" w14:textId="77777777" w:rsidR="00D1408F" w:rsidRPr="005C4E62" w:rsidRDefault="00D1408F" w:rsidP="00D1408F">
      <w:pPr>
        <w:pStyle w:val="Text2"/>
        <w:tabs>
          <w:tab w:val="clear" w:pos="2161"/>
          <w:tab w:val="left" w:leader="dot" w:pos="9072"/>
        </w:tabs>
        <w:spacing w:before="120" w:after="120"/>
        <w:ind w:left="709"/>
      </w:pPr>
      <w:r>
        <w:tab/>
      </w:r>
    </w:p>
    <w:p w14:paraId="1888986A"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Innehållet i ett offentligt samråd. </w:t>
      </w:r>
    </w:p>
    <w:p w14:paraId="4B4BE8F5" w14:textId="77777777" w:rsidR="00D1408F" w:rsidRPr="005C4E62" w:rsidRDefault="00D1408F" w:rsidP="00D1408F">
      <w:pPr>
        <w:pStyle w:val="Text2"/>
        <w:tabs>
          <w:tab w:val="clear" w:pos="2161"/>
          <w:tab w:val="left" w:leader="dot" w:pos="9072"/>
        </w:tabs>
        <w:spacing w:before="120" w:after="120"/>
        <w:ind w:left="709"/>
      </w:pPr>
      <w:r>
        <w:tab/>
      </w:r>
    </w:p>
    <w:p w14:paraId="3A34DFA9" w14:textId="77777777" w:rsidR="00D1408F" w:rsidRPr="005C4E62" w:rsidRDefault="00D1408F" w:rsidP="00D46D21">
      <w:pPr>
        <w:pStyle w:val="Text2"/>
        <w:numPr>
          <w:ilvl w:val="4"/>
          <w:numId w:val="10"/>
        </w:numPr>
        <w:tabs>
          <w:tab w:val="clear" w:pos="1800"/>
          <w:tab w:val="clear" w:pos="2161"/>
        </w:tabs>
        <w:spacing w:after="120"/>
        <w:ind w:left="1418" w:hanging="709"/>
      </w:pPr>
      <w:r>
        <w:t>Allmänt tillgänglig webbplats (på regional och/eller nationell nivå) där samrådet offentliggjordes.</w:t>
      </w:r>
    </w:p>
    <w:p w14:paraId="19753C60" w14:textId="77777777" w:rsidR="00D1408F" w:rsidRPr="005C4E62" w:rsidRDefault="00D1408F" w:rsidP="00D1408F">
      <w:pPr>
        <w:pStyle w:val="Text2"/>
        <w:tabs>
          <w:tab w:val="clear" w:pos="2161"/>
          <w:tab w:val="left" w:leader="dot" w:pos="9072"/>
        </w:tabs>
        <w:spacing w:before="120" w:after="120"/>
        <w:ind w:left="709"/>
      </w:pPr>
      <w:r>
        <w:tab/>
      </w:r>
    </w:p>
    <w:p w14:paraId="4199EA85" w14:textId="77777777" w:rsidR="00D1408F" w:rsidRPr="005C4E62" w:rsidRDefault="00D1408F" w:rsidP="00D46D21">
      <w:pPr>
        <w:pStyle w:val="Text2"/>
        <w:numPr>
          <w:ilvl w:val="4"/>
          <w:numId w:val="10"/>
        </w:numPr>
        <w:tabs>
          <w:tab w:val="clear" w:pos="1800"/>
          <w:tab w:val="clear" w:pos="2161"/>
        </w:tabs>
        <w:spacing w:after="120"/>
        <w:ind w:left="1418" w:hanging="709"/>
      </w:pPr>
      <w:r>
        <w:t>En sammanfattning av de viktigaste synpunkterna från bidragslämnarna i varje offentligt samråd, med angivande av hur de hanterades.</w:t>
      </w:r>
    </w:p>
    <w:p w14:paraId="48C6BA45" w14:textId="77777777" w:rsidR="00D1408F" w:rsidRPr="005C4E62" w:rsidRDefault="00D1408F" w:rsidP="00D1408F">
      <w:pPr>
        <w:pStyle w:val="Text2"/>
        <w:tabs>
          <w:tab w:val="clear" w:pos="2161"/>
          <w:tab w:val="left" w:leader="dot" w:pos="9072"/>
        </w:tabs>
        <w:spacing w:before="120" w:after="120"/>
        <w:ind w:left="709"/>
      </w:pPr>
      <w:r>
        <w:tab/>
      </w:r>
    </w:p>
    <w:p w14:paraId="0AE4CDA0" w14:textId="77777777" w:rsidR="00D1408F" w:rsidRPr="005C4E62" w:rsidRDefault="00D1408F" w:rsidP="009A1814">
      <w:pPr>
        <w:pStyle w:val="NumPar2"/>
        <w:numPr>
          <w:ilvl w:val="1"/>
          <w:numId w:val="5"/>
        </w:numPr>
        <w:ind w:left="709" w:hanging="709"/>
      </w:pPr>
      <w:r>
        <w:lastRenderedPageBreak/>
        <w:t>Ange huruvida ytterligare säkerhetsåtgärder för att förhindra eventuellt missbruk av sociala vouchrar kommer att införas. Om så är fallet, lämna närmare uppgifter här</w:t>
      </w:r>
      <w:r w:rsidRPr="005C4E62">
        <w:rPr>
          <w:rStyle w:val="FootnoteReference"/>
        </w:rPr>
        <w:footnoteReference w:id="15"/>
      </w:r>
      <w:r>
        <w:t>.</w:t>
      </w:r>
    </w:p>
    <w:p w14:paraId="06B11D77" w14:textId="77777777" w:rsidR="00D1408F" w:rsidRPr="005C4E62" w:rsidRDefault="00D1408F" w:rsidP="00D1408F">
      <w:pPr>
        <w:pStyle w:val="Text2"/>
        <w:tabs>
          <w:tab w:val="clear" w:pos="2161"/>
          <w:tab w:val="left" w:leader="dot" w:pos="9072"/>
        </w:tabs>
        <w:spacing w:before="120" w:after="120"/>
        <w:ind w:left="709"/>
      </w:pPr>
      <w:r>
        <w:tab/>
      </w:r>
    </w:p>
    <w:p w14:paraId="53C40365" w14:textId="77777777" w:rsidR="00D1408F" w:rsidRPr="005C4E62" w:rsidRDefault="00D1408F" w:rsidP="009A1814">
      <w:pPr>
        <w:pStyle w:val="NumPar2"/>
        <w:numPr>
          <w:ilvl w:val="1"/>
          <w:numId w:val="5"/>
        </w:numPr>
        <w:ind w:left="709" w:hanging="709"/>
      </w:pPr>
      <w:r>
        <w:t>Ange huruvida stödåtgärden omfattar särskilda regler för förvaltningen av abonnemanget, bland annat när det gäller förtida uppsägning av abonnemanget, möjlighet att överföra abonnemanget på en annan leverantör under den period som vouchern omfattar (i så fall på vilka villkor) och fortsatt abonnemang efter det att vouchern har löpt ut. Om så är fallet, lämna närmare uppgifter här.</w:t>
      </w:r>
    </w:p>
    <w:p w14:paraId="21C31721"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45162568" w14:textId="77777777" w:rsidTr="00796043">
        <w:tc>
          <w:tcPr>
            <w:tcW w:w="9286" w:type="dxa"/>
            <w:shd w:val="clear" w:color="auto" w:fill="D9D9D9"/>
          </w:tcPr>
          <w:p w14:paraId="545B13DF"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Konnektivitetsvouchrar</w:t>
            </w:r>
          </w:p>
        </w:tc>
      </w:tr>
    </w:tbl>
    <w:p w14:paraId="7DA5E6FC" w14:textId="77777777" w:rsidR="004D559F" w:rsidRPr="005C4E62" w:rsidRDefault="004D559F" w:rsidP="00450B69">
      <w:pPr>
        <w:pStyle w:val="NumPar2"/>
        <w:numPr>
          <w:ilvl w:val="1"/>
          <w:numId w:val="41"/>
        </w:numPr>
        <w:ind w:left="709" w:hanging="709"/>
      </w:pPr>
      <w:r>
        <w:t>Ange vilken typ av slutkonsumenter som stödåtgärden riktar sig till.</w:t>
      </w:r>
    </w:p>
    <w:p w14:paraId="609B5A70"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Konsumenter  </w:t>
      </w:r>
      <w:r>
        <w:tab/>
      </w:r>
      <w:r>
        <w:tab/>
      </w: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Företag  </w:t>
      </w:r>
    </w:p>
    <w:p w14:paraId="42E9757F" w14:textId="77777777" w:rsidR="009A1814" w:rsidRPr="005C4E62" w:rsidRDefault="009A1814" w:rsidP="009A1814">
      <w:pPr>
        <w:pStyle w:val="NumPar2"/>
        <w:numPr>
          <w:ilvl w:val="1"/>
          <w:numId w:val="41"/>
        </w:numPr>
        <w:ind w:left="709" w:hanging="709"/>
      </w:pPr>
      <w:r>
        <w:t xml:space="preserve">Beskriv villkoren för stödberättigande för att slutkonsumenter ska kunna få konnektivitetsvouchrar. </w:t>
      </w:r>
    </w:p>
    <w:p w14:paraId="114D57D1" w14:textId="77777777" w:rsidR="009A1814" w:rsidRPr="005C4E62" w:rsidRDefault="009A1814" w:rsidP="009A1814">
      <w:pPr>
        <w:pStyle w:val="Text2"/>
        <w:tabs>
          <w:tab w:val="clear" w:pos="2161"/>
          <w:tab w:val="left" w:leader="dot" w:pos="9072"/>
        </w:tabs>
        <w:spacing w:before="120" w:after="120"/>
        <w:ind w:left="709"/>
      </w:pPr>
      <w:r>
        <w:tab/>
      </w:r>
    </w:p>
    <w:p w14:paraId="5F2E95C3" w14:textId="77777777" w:rsidR="009A1814" w:rsidRPr="005C4E62" w:rsidRDefault="009A1814" w:rsidP="009A1814">
      <w:pPr>
        <w:pStyle w:val="NumPar2"/>
        <w:numPr>
          <w:ilvl w:val="1"/>
          <w:numId w:val="41"/>
        </w:numPr>
        <w:ind w:left="709" w:hanging="709"/>
      </w:pPr>
      <w:r>
        <w:t>Lämna en uppskattning av antalet slutanvändare som skulle kunna komma i åtnjutande av stödåtgärden.</w:t>
      </w:r>
    </w:p>
    <w:p w14:paraId="19343375" w14:textId="77777777" w:rsidR="009A1814" w:rsidRPr="005C4E62" w:rsidRDefault="009A1814" w:rsidP="009A1814">
      <w:pPr>
        <w:pStyle w:val="Text2"/>
        <w:tabs>
          <w:tab w:val="clear" w:pos="2161"/>
          <w:tab w:val="left" w:leader="dot" w:pos="9072"/>
        </w:tabs>
        <w:spacing w:before="120" w:after="120"/>
        <w:ind w:left="709"/>
      </w:pPr>
      <w:r>
        <w:tab/>
      </w:r>
    </w:p>
    <w:p w14:paraId="02A6CC46" w14:textId="77777777" w:rsidR="00710B4A" w:rsidRPr="005C4E62" w:rsidRDefault="00710B4A" w:rsidP="00710B4A">
      <w:pPr>
        <w:pStyle w:val="NumPar2"/>
        <w:numPr>
          <w:ilvl w:val="1"/>
          <w:numId w:val="41"/>
        </w:numPr>
        <w:ind w:left="709" w:hanging="709"/>
      </w:pPr>
      <w:r>
        <w:t>Ange vilka leverantörerna av den stödberättigade tjänsten är.</w:t>
      </w:r>
    </w:p>
    <w:p w14:paraId="53F758D1" w14:textId="77777777" w:rsidR="00710B4A" w:rsidRPr="005C4E62" w:rsidRDefault="00710B4A" w:rsidP="00710B4A">
      <w:pPr>
        <w:pStyle w:val="Text2"/>
        <w:tabs>
          <w:tab w:val="clear" w:pos="2161"/>
          <w:tab w:val="left" w:leader="dot" w:pos="9072"/>
        </w:tabs>
        <w:spacing w:before="120" w:after="120"/>
        <w:ind w:left="709"/>
      </w:pPr>
      <w:r>
        <w:tab/>
      </w:r>
    </w:p>
    <w:p w14:paraId="53173D64" w14:textId="77777777" w:rsidR="009A1814" w:rsidRPr="005C4E62" w:rsidRDefault="009A1814" w:rsidP="009A1814">
      <w:pPr>
        <w:pStyle w:val="NumPar2"/>
        <w:numPr>
          <w:ilvl w:val="1"/>
          <w:numId w:val="41"/>
        </w:numPr>
        <w:ind w:left="709" w:hanging="709"/>
      </w:pPr>
      <w:r>
        <w:t>Ange vilka stödberättigande tjänster som omfattas av stödåtgärden (t.ex. i fråga om nedladdnings- respektive uppladdningshastighet osv.) och förklara hur era myndigheter identifierat sådana tjänster. Ange vilka av slutanvändarnas behov som kan tillgodoses genom kopplingar som tillhandahåller de stödberättigande tjänsterna, och bifoga verifierbara bevis för detta (t.ex. Konsumentundersökningar och oberoende studier)</w:t>
      </w:r>
      <w:r w:rsidR="00F47AC0" w:rsidRPr="005C4E62">
        <w:rPr>
          <w:rStyle w:val="FootnoteReference"/>
        </w:rPr>
        <w:footnoteReference w:id="16"/>
      </w:r>
      <w:r>
        <w:t>.</w:t>
      </w:r>
    </w:p>
    <w:p w14:paraId="3D9B12A6" w14:textId="77777777" w:rsidR="009A1814" w:rsidRPr="005C4E62" w:rsidRDefault="009A1814" w:rsidP="009A1814">
      <w:pPr>
        <w:pStyle w:val="Text2"/>
        <w:tabs>
          <w:tab w:val="clear" w:pos="2161"/>
          <w:tab w:val="left" w:leader="dot" w:pos="9072"/>
        </w:tabs>
        <w:spacing w:before="120" w:after="120"/>
        <w:ind w:left="709"/>
      </w:pPr>
      <w:r>
        <w:tab/>
      </w:r>
    </w:p>
    <w:p w14:paraId="012744AC" w14:textId="77777777" w:rsidR="00710B4A" w:rsidRPr="005C4E62" w:rsidRDefault="00710B4A" w:rsidP="009A1814">
      <w:pPr>
        <w:pStyle w:val="NumPar2"/>
        <w:numPr>
          <w:ilvl w:val="1"/>
          <w:numId w:val="41"/>
        </w:numPr>
        <w:ind w:left="709" w:hanging="709"/>
      </w:pPr>
      <w:r>
        <w:t>Ange hur vouchrarna kommer att användas och lämna närmare uppgifter. Bekräfta vidare att vouchrarna inte får användas till att bibehålla befintliga abonnemang</w:t>
      </w:r>
      <w:r w:rsidR="00F47AC0" w:rsidRPr="005C4E62">
        <w:rPr>
          <w:rStyle w:val="FootnoteReference"/>
        </w:rPr>
        <w:footnoteReference w:id="17"/>
      </w:r>
      <w:r>
        <w:t>.</w:t>
      </w:r>
    </w:p>
    <w:p w14:paraId="5A823035"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Abonnera på nya bredbandstjänster. Beskrivning:</w:t>
      </w:r>
    </w:p>
    <w:p w14:paraId="4F804429" w14:textId="77777777" w:rsidR="00042ACA" w:rsidRPr="005C4E62" w:rsidRDefault="00042ACA" w:rsidP="00042ACA">
      <w:pPr>
        <w:pStyle w:val="NumPar2"/>
        <w:tabs>
          <w:tab w:val="clear" w:pos="360"/>
        </w:tabs>
        <w:ind w:left="709" w:firstLine="0"/>
      </w:pPr>
      <w:r>
        <w:t xml:space="preserve">………………………………………………………………………………………….. </w:t>
      </w:r>
    </w:p>
    <w:p w14:paraId="06C3B536"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Uppgradering av befintliga abonnemang. Beskrivning: </w:t>
      </w:r>
    </w:p>
    <w:p w14:paraId="1D0B83B4" w14:textId="77777777" w:rsidR="00042ACA" w:rsidRPr="005C4E62" w:rsidRDefault="00042ACA" w:rsidP="00042ACA">
      <w:pPr>
        <w:pStyle w:val="NumPar2"/>
        <w:tabs>
          <w:tab w:val="clear" w:pos="360"/>
        </w:tabs>
        <w:ind w:left="709" w:firstLine="0"/>
      </w:pPr>
      <w:r>
        <w:t>…………………………………………………………………………………………...</w:t>
      </w:r>
    </w:p>
    <w:p w14:paraId="5DC854E0"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Bekräfta att vouchrarna inte får användas till att bibehålla befintliga abonnemang. Beskrivning:</w:t>
      </w:r>
    </w:p>
    <w:p w14:paraId="696CEFF6" w14:textId="77777777" w:rsidR="00710B4A" w:rsidRPr="005C4E62" w:rsidRDefault="00710B4A" w:rsidP="00710B4A">
      <w:pPr>
        <w:pStyle w:val="Text2"/>
        <w:tabs>
          <w:tab w:val="clear" w:pos="2161"/>
          <w:tab w:val="left" w:leader="dot" w:pos="9072"/>
        </w:tabs>
        <w:spacing w:before="120" w:after="120"/>
        <w:ind w:left="709"/>
      </w:pPr>
      <w:r>
        <w:lastRenderedPageBreak/>
        <w:tab/>
      </w:r>
    </w:p>
    <w:p w14:paraId="133EA15D" w14:textId="77777777" w:rsidR="009A1814" w:rsidRPr="005C4E62" w:rsidRDefault="009A1814" w:rsidP="009A1814">
      <w:pPr>
        <w:pStyle w:val="NumPar2"/>
        <w:numPr>
          <w:ilvl w:val="1"/>
          <w:numId w:val="41"/>
        </w:numPr>
        <w:ind w:left="709" w:hanging="709"/>
      </w:pPr>
      <w:r>
        <w:t>Ange vilka stödberättigande kostnader som omfattas av stödåtgärden</w:t>
      </w:r>
      <w:r w:rsidR="00F47AC0" w:rsidRPr="005C4E62">
        <w:rPr>
          <w:rStyle w:val="FootnoteReference"/>
        </w:rPr>
        <w:footnoteReference w:id="18"/>
      </w:r>
      <w:r>
        <w:t>.</w:t>
      </w:r>
    </w:p>
    <w:p w14:paraId="64C11CF6" w14:textId="77777777" w:rsidR="00E0556B" w:rsidRPr="005C4E62" w:rsidRDefault="00E0556B" w:rsidP="00450B69">
      <w:pPr>
        <w:pStyle w:val="Text2"/>
        <w:tabs>
          <w:tab w:val="clear" w:pos="2161"/>
          <w:tab w:val="left" w:leader="dot" w:pos="9072"/>
        </w:tabs>
        <w:spacing w:before="120" w:after="120"/>
        <w:ind w:left="709"/>
      </w:pPr>
      <w:r>
        <w:tab/>
      </w:r>
    </w:p>
    <w:p w14:paraId="5F8101B3" w14:textId="77777777" w:rsidR="009A1814" w:rsidRPr="005C4E62" w:rsidRDefault="009A1814" w:rsidP="009A1814">
      <w:pPr>
        <w:pStyle w:val="NumPar2"/>
        <w:numPr>
          <w:ilvl w:val="1"/>
          <w:numId w:val="41"/>
        </w:numPr>
        <w:ind w:left="709" w:hanging="709"/>
      </w:pPr>
      <w:r>
        <w:t>Ange vouchrarnas form och belopp, med angivande av hur beloppet fastställts och hur stor procentandel av abonnemangskostnaden som täcks av vouchern</w:t>
      </w:r>
      <w:r w:rsidR="00F47AC0" w:rsidRPr="005C4E62">
        <w:rPr>
          <w:rStyle w:val="FootnoteReference"/>
        </w:rPr>
        <w:footnoteReference w:id="19"/>
      </w:r>
      <w:r>
        <w:t xml:space="preserve">. </w:t>
      </w:r>
    </w:p>
    <w:p w14:paraId="732B254A" w14:textId="77777777" w:rsidR="009A1814" w:rsidRPr="005C4E62" w:rsidRDefault="009A1814" w:rsidP="009A1814">
      <w:pPr>
        <w:pStyle w:val="Text2"/>
        <w:tabs>
          <w:tab w:val="clear" w:pos="2161"/>
          <w:tab w:val="left" w:leader="dot" w:pos="9072"/>
        </w:tabs>
        <w:spacing w:before="120" w:after="120"/>
        <w:ind w:left="709"/>
      </w:pPr>
      <w:r>
        <w:tab/>
      </w:r>
    </w:p>
    <w:p w14:paraId="59426BFC" w14:textId="77777777" w:rsidR="009A1814" w:rsidRPr="005C4E62" w:rsidRDefault="009A1814" w:rsidP="009A1814">
      <w:pPr>
        <w:pStyle w:val="NumPar2"/>
        <w:numPr>
          <w:ilvl w:val="1"/>
          <w:numId w:val="41"/>
        </w:numPr>
        <w:ind w:left="709" w:hanging="709"/>
        <w:rPr>
          <w:iCs/>
        </w:rPr>
      </w:pPr>
      <w:r>
        <w:t>Förklara om och hur stödåtgärden är förenlig med principen om teknikneutralitet</w:t>
      </w:r>
      <w:r w:rsidR="00F47AC0" w:rsidRPr="005C4E62">
        <w:rPr>
          <w:rStyle w:val="FootnoteReference"/>
          <w:iCs/>
        </w:rPr>
        <w:footnoteReference w:id="20"/>
      </w:r>
      <w:r>
        <w:t>.</w:t>
      </w:r>
    </w:p>
    <w:p w14:paraId="64359629" w14:textId="77777777" w:rsidR="009A1814" w:rsidRPr="005C4E62" w:rsidRDefault="009A1814" w:rsidP="009A1814">
      <w:pPr>
        <w:pStyle w:val="Text2"/>
        <w:tabs>
          <w:tab w:val="clear" w:pos="2161"/>
          <w:tab w:val="left" w:leader="dot" w:pos="9072"/>
        </w:tabs>
        <w:spacing w:before="120" w:after="120"/>
        <w:ind w:left="709"/>
      </w:pPr>
      <w:r>
        <w:tab/>
      </w:r>
    </w:p>
    <w:p w14:paraId="76CE8725" w14:textId="77777777" w:rsidR="009A1814" w:rsidRPr="005C4E62" w:rsidRDefault="009A1814" w:rsidP="009A1814">
      <w:pPr>
        <w:pStyle w:val="NumPar2"/>
        <w:numPr>
          <w:ilvl w:val="1"/>
          <w:numId w:val="41"/>
        </w:numPr>
        <w:ind w:left="709" w:hanging="709"/>
        <w:rPr>
          <w:iCs/>
        </w:rPr>
      </w:pPr>
      <w:r>
        <w:t>Visa att stödåtgärden säkerställer likabehandling av alla tänkbara tjänsteleverantörer och ger konsumenterna största möjliga urval av leverantörer genom att (med angivande av relevanta uppgifter) bekräfta att</w:t>
      </w:r>
      <w:r w:rsidR="00F47AC0" w:rsidRPr="005C4E62">
        <w:rPr>
          <w:rStyle w:val="FootnoteReference"/>
        </w:rPr>
        <w:footnoteReference w:id="21"/>
      </w:r>
      <w:r>
        <w:t xml:space="preserve"> </w:t>
      </w:r>
    </w:p>
    <w:p w14:paraId="6C2397FD" w14:textId="77777777" w:rsidR="009A1814" w:rsidRPr="005C4E62" w:rsidRDefault="009A1814" w:rsidP="004C1C63">
      <w:pPr>
        <w:pStyle w:val="NumPar2"/>
        <w:numPr>
          <w:ilvl w:val="4"/>
          <w:numId w:val="42"/>
        </w:numPr>
        <w:tabs>
          <w:tab w:val="clear" w:pos="1800"/>
        </w:tabs>
        <w:ind w:left="1418" w:hanging="709"/>
      </w:pPr>
      <w:r>
        <w:t>Ett onlineregister över samtliga berättigade tjänsteleverantörer (eller en likvärdig plattform) kommer att upprättas.</w:t>
      </w:r>
    </w:p>
    <w:p w14:paraId="2C8AC75D" w14:textId="77777777" w:rsidR="009A1814" w:rsidRPr="005C4E62" w:rsidRDefault="009A1814" w:rsidP="009A1814">
      <w:pPr>
        <w:pStyle w:val="Text2"/>
        <w:tabs>
          <w:tab w:val="clear" w:pos="2161"/>
          <w:tab w:val="left" w:leader="dot" w:pos="9072"/>
        </w:tabs>
        <w:spacing w:before="120" w:after="120"/>
        <w:ind w:left="709"/>
      </w:pPr>
      <w:r>
        <w:tab/>
      </w:r>
    </w:p>
    <w:p w14:paraId="630EF766" w14:textId="77777777" w:rsidR="009A1814" w:rsidRPr="005C4E62" w:rsidRDefault="009A1814" w:rsidP="004C1C63">
      <w:pPr>
        <w:pStyle w:val="NumPar2"/>
        <w:numPr>
          <w:ilvl w:val="4"/>
          <w:numId w:val="42"/>
        </w:numPr>
        <w:tabs>
          <w:tab w:val="clear" w:pos="1800"/>
        </w:tabs>
        <w:ind w:left="1418" w:hanging="709"/>
      </w:pPr>
      <w:r>
        <w:t xml:space="preserve">Konsumenter kan fritt söka i registret. </w:t>
      </w:r>
    </w:p>
    <w:p w14:paraId="5036023C" w14:textId="77777777" w:rsidR="009A1814" w:rsidRPr="005C4E62" w:rsidRDefault="009A1814" w:rsidP="009A1814">
      <w:pPr>
        <w:pStyle w:val="Text2"/>
        <w:tabs>
          <w:tab w:val="clear" w:pos="2161"/>
          <w:tab w:val="left" w:leader="dot" w:pos="9072"/>
        </w:tabs>
        <w:spacing w:before="120" w:after="120"/>
        <w:ind w:left="709"/>
      </w:pPr>
      <w:r>
        <w:tab/>
      </w:r>
    </w:p>
    <w:p w14:paraId="43008D24" w14:textId="77777777" w:rsidR="009A1814" w:rsidRPr="005C4E62" w:rsidRDefault="009A1814" w:rsidP="00D46D21">
      <w:pPr>
        <w:pStyle w:val="NumPar2"/>
        <w:numPr>
          <w:ilvl w:val="4"/>
          <w:numId w:val="42"/>
        </w:numPr>
        <w:tabs>
          <w:tab w:val="clear" w:pos="1800"/>
        </w:tabs>
        <w:ind w:left="1418" w:hanging="709"/>
      </w:pPr>
      <w:r>
        <w:t>Alla företag som har möjlighet att tillhandahålla stödberättigande bredbandstjänster kan begära att få tas upp i registret (eller på någon annan plattform som väljs).</w:t>
      </w:r>
    </w:p>
    <w:p w14:paraId="073373A6" w14:textId="77777777" w:rsidR="009A1814" w:rsidRPr="005C4E62" w:rsidRDefault="009A1814" w:rsidP="009A1814">
      <w:pPr>
        <w:pStyle w:val="Text2"/>
        <w:tabs>
          <w:tab w:val="clear" w:pos="2161"/>
          <w:tab w:val="left" w:leader="dot" w:pos="9072"/>
        </w:tabs>
        <w:spacing w:before="120" w:after="120"/>
        <w:ind w:left="709"/>
      </w:pPr>
      <w:r>
        <w:tab/>
        <w:t xml:space="preserve"> </w:t>
      </w:r>
    </w:p>
    <w:p w14:paraId="5BE86B6A" w14:textId="77777777" w:rsidR="009A1814" w:rsidRPr="005C4E62" w:rsidRDefault="009A1814" w:rsidP="004C1C63">
      <w:pPr>
        <w:pStyle w:val="NumPar2"/>
        <w:numPr>
          <w:ilvl w:val="4"/>
          <w:numId w:val="42"/>
        </w:numPr>
        <w:tabs>
          <w:tab w:val="clear" w:pos="1800"/>
        </w:tabs>
        <w:ind w:left="1418" w:hanging="709"/>
      </w:pPr>
      <w:r>
        <w:t>Registret (eller den alternativa plattform som valts) tillhandahåller ytterligare upplysningar för att bistå konsumenter (t.ex. den typ av tjänst som tillhandahålls av de olika företagen). Om så är fallet, ange vilka ytterligare upplysningar som tillhandahålls.</w:t>
      </w:r>
    </w:p>
    <w:p w14:paraId="7E6D9F9D" w14:textId="77777777" w:rsidR="009A1814" w:rsidRPr="005C4E62" w:rsidRDefault="009A1814" w:rsidP="009A1814">
      <w:pPr>
        <w:pStyle w:val="Text2"/>
        <w:tabs>
          <w:tab w:val="clear" w:pos="2161"/>
          <w:tab w:val="left" w:leader="dot" w:pos="9072"/>
        </w:tabs>
        <w:spacing w:before="120" w:after="120"/>
        <w:ind w:left="709"/>
      </w:pPr>
      <w:r>
        <w:tab/>
      </w:r>
    </w:p>
    <w:p w14:paraId="4E914FA2" w14:textId="77777777" w:rsidR="009A1814" w:rsidRPr="005C4E62" w:rsidRDefault="009A1814" w:rsidP="004C1C63">
      <w:pPr>
        <w:pStyle w:val="NumPar2"/>
        <w:numPr>
          <w:ilvl w:val="1"/>
          <w:numId w:val="41"/>
        </w:numPr>
        <w:ind w:left="709" w:hanging="709"/>
      </w:pPr>
      <w:r>
        <w:t>Lämna en ingående beskrivning av förfarandet genomförandet av stödåtgärden.</w:t>
      </w:r>
    </w:p>
    <w:p w14:paraId="37A8CE99" w14:textId="77777777" w:rsidR="004D559F" w:rsidRPr="005C4E62" w:rsidRDefault="004D559F" w:rsidP="00450B69">
      <w:pPr>
        <w:pStyle w:val="Text2"/>
        <w:tabs>
          <w:tab w:val="clear" w:pos="2161"/>
          <w:tab w:val="left" w:leader="dot" w:pos="9072"/>
        </w:tabs>
        <w:spacing w:before="120" w:after="120"/>
        <w:ind w:left="709"/>
      </w:pPr>
      <w:r>
        <w:tab/>
      </w:r>
    </w:p>
    <w:p w14:paraId="620A87C4" w14:textId="77777777" w:rsidR="009A1814" w:rsidRPr="005C4E62" w:rsidRDefault="009A1814" w:rsidP="004C1C63">
      <w:pPr>
        <w:pStyle w:val="NumPar2"/>
        <w:numPr>
          <w:ilvl w:val="1"/>
          <w:numId w:val="41"/>
        </w:numPr>
        <w:ind w:left="709" w:hanging="709"/>
      </w:pPr>
      <w:r>
        <w:t>Offentligt samråd. Lämna följande upplysningar</w:t>
      </w:r>
      <w:r w:rsidR="00E217F7" w:rsidRPr="005C4E62">
        <w:rPr>
          <w:rStyle w:val="FootnoteReference"/>
        </w:rPr>
        <w:footnoteReference w:id="22"/>
      </w:r>
      <w:r>
        <w:t>:</w:t>
      </w:r>
    </w:p>
    <w:p w14:paraId="49074F48" w14:textId="77777777" w:rsidR="009A1814" w:rsidRPr="005C4E62" w:rsidRDefault="009A1814" w:rsidP="00D60DF4">
      <w:pPr>
        <w:pStyle w:val="Text2"/>
        <w:numPr>
          <w:ilvl w:val="4"/>
          <w:numId w:val="48"/>
        </w:numPr>
        <w:tabs>
          <w:tab w:val="clear" w:pos="2161"/>
        </w:tabs>
        <w:spacing w:after="120"/>
        <w:ind w:hanging="1091"/>
      </w:pPr>
      <w:r>
        <w:t xml:space="preserve">Start- och slutdatum för vart och ett av de genomförda samråden. </w:t>
      </w:r>
    </w:p>
    <w:p w14:paraId="38795845" w14:textId="77777777" w:rsidR="009A1814" w:rsidRPr="005C4E62" w:rsidRDefault="009A1814" w:rsidP="009A1814">
      <w:pPr>
        <w:pStyle w:val="Text2"/>
        <w:tabs>
          <w:tab w:val="clear" w:pos="2161"/>
          <w:tab w:val="left" w:leader="dot" w:pos="9072"/>
        </w:tabs>
        <w:spacing w:before="120" w:after="120"/>
        <w:ind w:left="709"/>
      </w:pPr>
      <w:r>
        <w:tab/>
      </w:r>
    </w:p>
    <w:p w14:paraId="223C241D" w14:textId="77777777" w:rsidR="009A1814" w:rsidRPr="005C4E62" w:rsidRDefault="009A1814" w:rsidP="00D60DF4">
      <w:pPr>
        <w:pStyle w:val="Text2"/>
        <w:numPr>
          <w:ilvl w:val="4"/>
          <w:numId w:val="48"/>
        </w:numPr>
        <w:tabs>
          <w:tab w:val="clear" w:pos="2161"/>
        </w:tabs>
        <w:spacing w:after="120"/>
        <w:ind w:left="1418" w:hanging="709"/>
      </w:pPr>
      <w:r>
        <w:t xml:space="preserve">Innehållet i ett offentligt samråd. </w:t>
      </w:r>
    </w:p>
    <w:p w14:paraId="7842263A" w14:textId="77777777" w:rsidR="009A1814" w:rsidRPr="005C4E62" w:rsidRDefault="009A1814" w:rsidP="009A1814">
      <w:pPr>
        <w:pStyle w:val="Text2"/>
        <w:tabs>
          <w:tab w:val="clear" w:pos="2161"/>
          <w:tab w:val="left" w:leader="dot" w:pos="9072"/>
        </w:tabs>
        <w:spacing w:before="120" w:after="120"/>
        <w:ind w:left="709"/>
      </w:pPr>
      <w:r>
        <w:tab/>
      </w:r>
    </w:p>
    <w:p w14:paraId="1CC17A08" w14:textId="77777777" w:rsidR="009A1814" w:rsidRPr="005C4E62" w:rsidRDefault="009A1814" w:rsidP="00D60DF4">
      <w:pPr>
        <w:pStyle w:val="Text2"/>
        <w:numPr>
          <w:ilvl w:val="4"/>
          <w:numId w:val="48"/>
        </w:numPr>
        <w:tabs>
          <w:tab w:val="clear" w:pos="2161"/>
        </w:tabs>
        <w:spacing w:after="120"/>
        <w:ind w:left="1418" w:hanging="709"/>
      </w:pPr>
      <w:r>
        <w:t>Allmänt tillgänglig webbplats (på regional och/eller nationell nivå) där samrådet offentliggjordes.</w:t>
      </w:r>
    </w:p>
    <w:p w14:paraId="45733B3B" w14:textId="77777777" w:rsidR="009A1814" w:rsidRPr="005C4E62" w:rsidRDefault="009A1814" w:rsidP="009A1814">
      <w:pPr>
        <w:pStyle w:val="Text2"/>
        <w:tabs>
          <w:tab w:val="clear" w:pos="2161"/>
          <w:tab w:val="left" w:leader="dot" w:pos="9072"/>
        </w:tabs>
        <w:spacing w:before="120" w:after="120"/>
        <w:ind w:left="709"/>
      </w:pPr>
      <w:r>
        <w:tab/>
      </w:r>
    </w:p>
    <w:p w14:paraId="70B4145B" w14:textId="77777777" w:rsidR="009A1814" w:rsidRPr="005C4E62" w:rsidRDefault="009A1814" w:rsidP="00D60DF4">
      <w:pPr>
        <w:pStyle w:val="Text2"/>
        <w:numPr>
          <w:ilvl w:val="4"/>
          <w:numId w:val="48"/>
        </w:numPr>
        <w:tabs>
          <w:tab w:val="clear" w:pos="2161"/>
        </w:tabs>
        <w:spacing w:after="120"/>
        <w:ind w:left="1418" w:hanging="709"/>
      </w:pPr>
      <w:r>
        <w:lastRenderedPageBreak/>
        <w:t>En sammanfattning av de viktigaste synpunkterna från bidragslämnarna i varje offentligt samråd, med angivande av hur de hanterades.</w:t>
      </w:r>
    </w:p>
    <w:p w14:paraId="477DE3AA" w14:textId="77777777" w:rsidR="009A1814" w:rsidRPr="005C4E62" w:rsidRDefault="009A1814" w:rsidP="009A1814">
      <w:pPr>
        <w:pStyle w:val="Text2"/>
        <w:tabs>
          <w:tab w:val="clear" w:pos="2161"/>
          <w:tab w:val="left" w:leader="dot" w:pos="9072"/>
        </w:tabs>
        <w:spacing w:before="120" w:after="120"/>
        <w:ind w:left="709"/>
      </w:pPr>
      <w:r>
        <w:tab/>
      </w:r>
    </w:p>
    <w:p w14:paraId="4393CD4B" w14:textId="77777777" w:rsidR="009A1814" w:rsidRPr="005C4E62" w:rsidRDefault="009A1814" w:rsidP="004C1C63">
      <w:pPr>
        <w:pStyle w:val="NumPar2"/>
        <w:numPr>
          <w:ilvl w:val="1"/>
          <w:numId w:val="41"/>
        </w:numPr>
        <w:ind w:left="709" w:hanging="709"/>
      </w:pPr>
      <w:r>
        <w:t>Ange huruvida ytterligare säkerhetsåtgärder för att förhindra eventuellt missbruk av konnektivitetsvouchrar kommer att införas. Om så är fallet, lämna närmare uppgifter här</w:t>
      </w:r>
      <w:r w:rsidRPr="005C4E62">
        <w:rPr>
          <w:rStyle w:val="FootnoteReference"/>
        </w:rPr>
        <w:footnoteReference w:id="23"/>
      </w:r>
      <w:r>
        <w:t>.</w:t>
      </w:r>
    </w:p>
    <w:p w14:paraId="18379C9A" w14:textId="77777777" w:rsidR="009A1814" w:rsidRPr="005C4E62" w:rsidRDefault="009A1814" w:rsidP="009A1814">
      <w:pPr>
        <w:pStyle w:val="Text2"/>
        <w:tabs>
          <w:tab w:val="clear" w:pos="2161"/>
          <w:tab w:val="left" w:leader="dot" w:pos="9072"/>
        </w:tabs>
        <w:spacing w:before="120" w:after="120"/>
        <w:ind w:left="709"/>
      </w:pPr>
      <w:r>
        <w:tab/>
      </w:r>
    </w:p>
    <w:p w14:paraId="287F7812" w14:textId="77777777" w:rsidR="009A1814" w:rsidRPr="005C4E62" w:rsidRDefault="009A1814" w:rsidP="004C1C63">
      <w:pPr>
        <w:pStyle w:val="NumPar2"/>
        <w:numPr>
          <w:ilvl w:val="1"/>
          <w:numId w:val="41"/>
        </w:numPr>
        <w:ind w:left="709" w:hanging="709"/>
      </w:pPr>
      <w:r>
        <w:t>Ange huruvida stödåtgärden omfattar särskilda regler för förvaltningen av abonnemanget, bland annat när det gäller förtida uppsägning av abonnemanget, möjlighet att överföra abonnemanget på en annan leverantör under den period som vouchern omfattar (i så fall på vilka villkor) och fortsatt abonnemang efter det att vouchern har löpt ut. Om så är fallet, lämna närmare uppgifter här.</w:t>
      </w:r>
    </w:p>
    <w:p w14:paraId="3D2DFFE3" w14:textId="77777777" w:rsidR="009A1814" w:rsidRPr="005C4E62" w:rsidRDefault="009A1814" w:rsidP="009A1814">
      <w:pPr>
        <w:pStyle w:val="Text2"/>
        <w:tabs>
          <w:tab w:val="clear" w:pos="2161"/>
          <w:tab w:val="left" w:leader="dot" w:pos="9072"/>
        </w:tabs>
        <w:spacing w:before="120" w:after="120"/>
        <w:ind w:left="709"/>
      </w:pPr>
      <w:r>
        <w:tab/>
      </w:r>
    </w:p>
    <w:p w14:paraId="28BE8DE5" w14:textId="77777777" w:rsidR="00807BE5" w:rsidRPr="005C4E62" w:rsidRDefault="004C1C63" w:rsidP="00F47AC0">
      <w:pPr>
        <w:pStyle w:val="NumPar2"/>
        <w:numPr>
          <w:ilvl w:val="1"/>
          <w:numId w:val="41"/>
        </w:numPr>
        <w:ind w:left="709" w:hanging="709"/>
      </w:pPr>
      <w:r>
        <w:t>Ange vilka ekonomiska verksamheter som kommer att underlättas av stödåtgärden genom ökad konnektivitet och tillgång till bredbandstjänster, och förklara hur utvecklingen av dessa verksamheter stöds</w:t>
      </w:r>
      <w:r w:rsidR="00807BE5" w:rsidRPr="005C4E62">
        <w:rPr>
          <w:rStyle w:val="FootnoteReference"/>
        </w:rPr>
        <w:footnoteReference w:id="24"/>
      </w:r>
      <w:r>
        <w:t>.</w:t>
      </w:r>
    </w:p>
    <w:p w14:paraId="31564948" w14:textId="77777777" w:rsidR="00807BE5" w:rsidRPr="005C4E62" w:rsidRDefault="00807BE5" w:rsidP="00807BE5">
      <w:pPr>
        <w:pStyle w:val="Text2"/>
        <w:tabs>
          <w:tab w:val="clear" w:pos="2161"/>
          <w:tab w:val="left" w:leader="dot" w:pos="9072"/>
        </w:tabs>
        <w:spacing w:before="120" w:after="120"/>
        <w:ind w:left="709"/>
      </w:pPr>
      <w:r>
        <w:tab/>
      </w:r>
    </w:p>
    <w:p w14:paraId="564626BF" w14:textId="77777777" w:rsidR="00D46D21" w:rsidRPr="005C4E62" w:rsidRDefault="00F47AC0" w:rsidP="00D46D21">
      <w:pPr>
        <w:pStyle w:val="NumPar2"/>
        <w:numPr>
          <w:ilvl w:val="1"/>
          <w:numId w:val="41"/>
        </w:numPr>
        <w:ind w:left="709" w:hanging="709"/>
      </w:pPr>
      <w:r>
        <w:t>Lägg fram bevis för stödåtgärdens stimulanseffekt</w:t>
      </w:r>
      <w:r w:rsidRPr="005C4E62">
        <w:rPr>
          <w:rStyle w:val="FootnoteReference"/>
        </w:rPr>
        <w:footnoteReference w:id="25"/>
      </w:r>
      <w:r>
        <w:t>.</w:t>
      </w:r>
    </w:p>
    <w:p w14:paraId="5C495430" w14:textId="77777777" w:rsidR="00D46D21" w:rsidRPr="005C4E62" w:rsidRDefault="00D46D21" w:rsidP="00D46D21">
      <w:pPr>
        <w:pStyle w:val="Text2"/>
        <w:tabs>
          <w:tab w:val="clear" w:pos="2161"/>
          <w:tab w:val="left" w:leader="dot" w:pos="9072"/>
        </w:tabs>
        <w:spacing w:before="120" w:after="120"/>
        <w:ind w:left="709"/>
      </w:pPr>
      <w:r>
        <w:tab/>
      </w:r>
    </w:p>
    <w:p w14:paraId="042F975F" w14:textId="77777777" w:rsidR="00F47AC0" w:rsidRPr="005C4E62" w:rsidRDefault="00F47AC0" w:rsidP="00F47AC0">
      <w:pPr>
        <w:pStyle w:val="NumPar2"/>
        <w:numPr>
          <w:ilvl w:val="1"/>
          <w:numId w:val="41"/>
        </w:numPr>
        <w:ind w:left="709" w:hanging="709"/>
      </w:pPr>
      <w:r>
        <w:t>Bekräfta att stödåtgärden eller de villkor som är förbundna med den (bl.a. finansieringsmetoden när den metoden utgör en integrerad del av stödet) eller om den verksamhet som åtgärden finansierar inte medför någon överträdelse av unionsrättens bestämmelser eller allmänna principer.</w:t>
      </w:r>
    </w:p>
    <w:p w14:paraId="30CEDA80"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Ja</w:t>
      </w:r>
      <w:r>
        <w:tab/>
      </w:r>
      <w:r>
        <w:tab/>
      </w: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Nej. Lämna närmare förklaringar här..................</w:t>
      </w:r>
    </w:p>
    <w:p w14:paraId="0AA122D1" w14:textId="77777777" w:rsidR="00C9528F" w:rsidRPr="005C4E62" w:rsidRDefault="00C9528F" w:rsidP="00F47AC0">
      <w:pPr>
        <w:pStyle w:val="NumPar2"/>
        <w:numPr>
          <w:ilvl w:val="1"/>
          <w:numId w:val="41"/>
        </w:numPr>
        <w:ind w:left="709" w:hanging="709"/>
      </w:pPr>
      <w:r>
        <w:t>Förklara varför åtgärder som alternativ till statligt stöd (t.ex. administrativa åtgärder, regleringsåtgärder, marknadsbaserade instrument, lån och skatteåtgärder) inte kan bidra till att stödåtgärdens mål uppnås</w:t>
      </w:r>
      <w:r w:rsidR="006C4335" w:rsidRPr="005C4E62">
        <w:rPr>
          <w:rStyle w:val="FootnoteReference"/>
        </w:rPr>
        <w:footnoteReference w:id="26"/>
      </w:r>
      <w:r>
        <w:t>.</w:t>
      </w:r>
    </w:p>
    <w:p w14:paraId="62C155E2" w14:textId="77777777" w:rsidR="003759A4" w:rsidRPr="005C4E62" w:rsidRDefault="00C9528F" w:rsidP="00C9528F">
      <w:pPr>
        <w:pStyle w:val="Text2"/>
        <w:tabs>
          <w:tab w:val="clear" w:pos="2161"/>
          <w:tab w:val="left" w:leader="dot" w:pos="9072"/>
        </w:tabs>
        <w:spacing w:before="120" w:after="120"/>
        <w:ind w:left="709"/>
      </w:pPr>
      <w:r>
        <w:tab/>
      </w:r>
    </w:p>
    <w:p w14:paraId="2E08B484" w14:textId="77777777" w:rsidR="00E217F7" w:rsidRPr="005C4E62" w:rsidRDefault="00E217F7" w:rsidP="00E217F7">
      <w:pPr>
        <w:pStyle w:val="NumPar2"/>
        <w:numPr>
          <w:ilvl w:val="1"/>
          <w:numId w:val="41"/>
        </w:numPr>
        <w:ind w:left="709" w:hanging="709"/>
        <w:rPr>
          <w:iCs/>
        </w:rPr>
      </w:pPr>
      <w:r>
        <w:t>Översänd en marknadsbedömning innehållande följande: i) En bedömning av risken för att stödåtgärden ger vissa leverantörer en oproportionerlig fördel – i detaljist- och/eller grossistledet – på bekostnad av andra, vilket kan förstärka den (lokala) marknadsdominansen. ii) En bedömning av det faktiska behovet av att genomföra konnektivitetsvouchrar, genom att jämföra situationen i insatsområdet/-områdena med situationen i andra områden i medlemsstaten eller unionen. iii) En analys av tendenserna i fråga om slutanvändarnas användning av stödberättigande tjänster</w:t>
      </w:r>
      <w:r w:rsidRPr="005C4E62">
        <w:rPr>
          <w:rStyle w:val="FootnoteReference"/>
          <w:iCs/>
        </w:rPr>
        <w:footnoteReference w:id="27"/>
      </w:r>
      <w:r>
        <w:t>.</w:t>
      </w:r>
    </w:p>
    <w:p w14:paraId="1F01F7A2" w14:textId="77777777" w:rsidR="00E217F7" w:rsidRPr="005C4E62" w:rsidRDefault="00E217F7" w:rsidP="00E217F7">
      <w:pPr>
        <w:pStyle w:val="Text2"/>
        <w:tabs>
          <w:tab w:val="clear" w:pos="2161"/>
          <w:tab w:val="left" w:leader="dot" w:pos="9072"/>
        </w:tabs>
        <w:spacing w:before="120" w:after="120"/>
        <w:ind w:left="709"/>
      </w:pPr>
      <w:r>
        <w:tab/>
      </w:r>
    </w:p>
    <w:p w14:paraId="2985C6DD" w14:textId="77777777" w:rsidR="004D559F" w:rsidRPr="005C4E62" w:rsidRDefault="004D559F" w:rsidP="004D559F">
      <w:pPr>
        <w:pStyle w:val="NumPar2"/>
        <w:numPr>
          <w:ilvl w:val="1"/>
          <w:numId w:val="41"/>
        </w:numPr>
        <w:ind w:left="709" w:hanging="709"/>
      </w:pPr>
      <w:r>
        <w:t>Ange om någon av de stödberättigade leverantörerna av bredbandstjänster är vertikalt integrerad och har en marknadsandel i slutkundsledet som överstiger 25 %</w:t>
      </w:r>
    </w:p>
    <w:p w14:paraId="0C2ACAEE" w14:textId="77777777" w:rsidR="004D559F" w:rsidRPr="005C4E62" w:rsidRDefault="004D559F" w:rsidP="004D559F">
      <w:pPr>
        <w:pStyle w:val="Text2"/>
        <w:tabs>
          <w:tab w:val="clear" w:pos="2161"/>
        </w:tabs>
        <w:spacing w:before="120" w:after="120"/>
        <w:ind w:left="709"/>
      </w:pPr>
      <w:r w:rsidRPr="005C4E62">
        <w:lastRenderedPageBreak/>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Ja</w:t>
      </w:r>
      <w:r>
        <w:tab/>
      </w:r>
      <w:r>
        <w:tab/>
      </w: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 xml:space="preserve">Nej. </w:t>
      </w:r>
    </w:p>
    <w:p w14:paraId="60B7BA3E" w14:textId="77777777" w:rsidR="004D559F" w:rsidRPr="005C4E62" w:rsidRDefault="004D559F" w:rsidP="004D559F">
      <w:pPr>
        <w:pStyle w:val="NumPar2"/>
        <w:numPr>
          <w:ilvl w:val="1"/>
          <w:numId w:val="41"/>
        </w:numPr>
        <w:ind w:left="709" w:hanging="709"/>
      </w:pPr>
      <w:r>
        <w:t>Om svaret på föregående fråga är jakande, bekräfta då att varje vertikalt integrerad leverantör av bredbandstjänster med en marknadsandel i slutkundsledet som överstiger 25 %, på motsvarande accessmarknad i grossistledet kommer att erbjuda tillträdesprodukter i grossistledet på grundval av vilka alla accessökande kan tillhandahålla de stödberättigande tjänsterna på öppna, transparenta och icke-diskriminerande villkor.</w:t>
      </w:r>
    </w:p>
    <w:p w14:paraId="0370B5B1"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Ja</w:t>
      </w:r>
      <w:r>
        <w:tab/>
      </w:r>
      <w:r>
        <w:tab/>
      </w: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 xml:space="preserve">Nej. </w:t>
      </w:r>
    </w:p>
    <w:p w14:paraId="15F700A0" w14:textId="77777777" w:rsidR="00E217F7" w:rsidRPr="005C4E62" w:rsidRDefault="00E217F7" w:rsidP="004D559F">
      <w:pPr>
        <w:pStyle w:val="NumPar2"/>
        <w:numPr>
          <w:ilvl w:val="1"/>
          <w:numId w:val="41"/>
        </w:numPr>
        <w:ind w:left="709" w:hanging="709"/>
      </w:pPr>
      <w:r>
        <w:t>Ange stödåtgärdens varaktighet och giltighetstiden för vouchrarna avsedda för enskilda slutanvändare</w:t>
      </w:r>
      <w:r w:rsidRPr="005C4E62">
        <w:rPr>
          <w:vertAlign w:val="superscript"/>
        </w:rPr>
        <w:footnoteReference w:id="28"/>
      </w:r>
      <w:r>
        <w:t>.</w:t>
      </w:r>
    </w:p>
    <w:p w14:paraId="3FDFABE1" w14:textId="77777777" w:rsidR="00E217F7" w:rsidRPr="005C4E62" w:rsidRDefault="00E217F7" w:rsidP="004D559F">
      <w:pPr>
        <w:pStyle w:val="Text2"/>
        <w:tabs>
          <w:tab w:val="clear" w:pos="2161"/>
          <w:tab w:val="left" w:leader="dot" w:pos="9072"/>
        </w:tabs>
        <w:spacing w:before="120" w:after="120"/>
        <w:ind w:left="709"/>
      </w:pPr>
      <w:r>
        <w:tab/>
      </w:r>
    </w:p>
    <w:p w14:paraId="02D1A199" w14:textId="77777777" w:rsidR="00AA0B7A" w:rsidRPr="005C4E62" w:rsidRDefault="00AA0B7A" w:rsidP="00AA0B7A">
      <w:pPr>
        <w:pStyle w:val="NumPar2"/>
        <w:numPr>
          <w:ilvl w:val="1"/>
          <w:numId w:val="41"/>
        </w:numPr>
        <w:ind w:left="709" w:hanging="709"/>
      </w:pPr>
      <w:r>
        <w:t>Förklara vilka potentiella negativa effekter på konkurrens och handel stödåtgärden kan ha och vilka inslag i utformningen av åtgärden som skulle kunna minimera dessa risker.</w:t>
      </w:r>
    </w:p>
    <w:p w14:paraId="3F31094E"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1C96BCF1" w14:textId="77777777" w:rsidTr="00E27219">
        <w:tc>
          <w:tcPr>
            <w:tcW w:w="9356" w:type="dxa"/>
            <w:shd w:val="clear" w:color="auto" w:fill="D9D9D9"/>
          </w:tcPr>
          <w:p w14:paraId="573EBAF2"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Övriga upplysningar (tillämpliga på både sociala vouchrar och konnektivitetsvouchrar)</w:t>
            </w:r>
          </w:p>
        </w:tc>
      </w:tr>
    </w:tbl>
    <w:p w14:paraId="5DDB3A06" w14:textId="77777777" w:rsidR="00A15706" w:rsidRPr="005C4E62" w:rsidRDefault="00215029" w:rsidP="001B5649">
      <w:pPr>
        <w:pStyle w:val="NumPar2"/>
        <w:numPr>
          <w:ilvl w:val="1"/>
          <w:numId w:val="44"/>
        </w:numPr>
        <w:ind w:left="709" w:hanging="709"/>
      </w:pPr>
      <w:r>
        <w:t>Förklara den nationella regleringsmyndighetens roll i utformningen, genomförandet och övervakningen av stödåtgärden.</w:t>
      </w:r>
    </w:p>
    <w:p w14:paraId="3E4DD52B" w14:textId="77777777" w:rsidR="00E217F7" w:rsidRPr="005C4E62" w:rsidRDefault="00E217F7" w:rsidP="00E217F7">
      <w:pPr>
        <w:pStyle w:val="Text2"/>
        <w:tabs>
          <w:tab w:val="clear" w:pos="2161"/>
          <w:tab w:val="left" w:leader="dot" w:pos="9072"/>
        </w:tabs>
        <w:spacing w:before="120" w:after="120"/>
        <w:ind w:left="709"/>
      </w:pPr>
      <w:r>
        <w:tab/>
      </w:r>
    </w:p>
    <w:p w14:paraId="4AF7960E" w14:textId="77777777" w:rsidR="00A15706" w:rsidRPr="005C4E62" w:rsidRDefault="00A15706" w:rsidP="00AA0B7A">
      <w:pPr>
        <w:pStyle w:val="NumPar2"/>
        <w:numPr>
          <w:ilvl w:val="1"/>
          <w:numId w:val="44"/>
        </w:numPr>
        <w:ind w:left="709" w:hanging="709"/>
      </w:pPr>
      <w:r>
        <w:t>Rapportera den nationella regleringsmyndighetens yttrande om stödåtgärden (om tillgängligt).</w:t>
      </w:r>
    </w:p>
    <w:p w14:paraId="17448336" w14:textId="77777777" w:rsidR="00A15706" w:rsidRPr="005C4E62" w:rsidRDefault="00A15706" w:rsidP="00A15706">
      <w:pPr>
        <w:pStyle w:val="Text2"/>
        <w:tabs>
          <w:tab w:val="clear" w:pos="2161"/>
          <w:tab w:val="left" w:leader="dot" w:pos="9072"/>
        </w:tabs>
        <w:spacing w:before="120" w:after="120"/>
        <w:ind w:left="709"/>
      </w:pPr>
      <w:r>
        <w:tab/>
      </w:r>
    </w:p>
    <w:p w14:paraId="3A6A6637" w14:textId="77777777" w:rsidR="00A15706" w:rsidRPr="005C4E62" w:rsidRDefault="00A15706" w:rsidP="00AA0B7A">
      <w:pPr>
        <w:pStyle w:val="NumPar2"/>
        <w:numPr>
          <w:ilvl w:val="1"/>
          <w:numId w:val="44"/>
        </w:numPr>
        <w:ind w:left="709" w:hanging="709"/>
      </w:pPr>
      <w:r>
        <w:t>Rapportera den nationella konkurrensmyndighetens yttrande om stödåtgärden (om tillgängligt).</w:t>
      </w:r>
    </w:p>
    <w:p w14:paraId="1EE01D48" w14:textId="77777777" w:rsidR="00A15706" w:rsidRPr="005C4E62" w:rsidRDefault="009D198A" w:rsidP="00E217F7">
      <w:pPr>
        <w:pStyle w:val="Text2"/>
        <w:tabs>
          <w:tab w:val="clear" w:pos="2161"/>
          <w:tab w:val="left" w:leader="dot" w:pos="9072"/>
        </w:tabs>
        <w:spacing w:before="120" w:after="120"/>
        <w:ind w:left="709"/>
      </w:pPr>
      <w:r>
        <w:tab/>
      </w:r>
    </w:p>
    <w:p w14:paraId="16D009B5" w14:textId="77777777" w:rsidR="00DE2831" w:rsidRPr="005C4E62" w:rsidRDefault="00DE2831" w:rsidP="00AA0B7A">
      <w:pPr>
        <w:pStyle w:val="NumPar2"/>
        <w:numPr>
          <w:ilvl w:val="1"/>
          <w:numId w:val="44"/>
        </w:numPr>
        <w:ind w:left="709" w:hanging="709"/>
      </w:pPr>
      <w:r>
        <w:t xml:space="preserve">Transparens </w:t>
      </w:r>
    </w:p>
    <w:p w14:paraId="46112139" w14:textId="77777777" w:rsidR="00153D1B" w:rsidRPr="005C4E62" w:rsidRDefault="00A72D4E" w:rsidP="00E27219">
      <w:pPr>
        <w:pStyle w:val="NumPar2"/>
        <w:numPr>
          <w:ilvl w:val="0"/>
          <w:numId w:val="33"/>
        </w:numPr>
        <w:ind w:left="1418" w:hanging="709"/>
      </w:pPr>
      <w:r>
        <w:t>Bekräfta att medlemsstaten kommer att offentliggöra i) hela beslutet om godkännande av stödåtgärden och dess genomförandebestämmelser (eller en länk till dessa) och ii) upplysningar om varje beviljat individuellt stöd som överstiger 100 000 euro, i enlighet med bilaga II</w:t>
      </w:r>
      <w:r w:rsidR="00DE2831" w:rsidRPr="005C4E62">
        <w:rPr>
          <w:rStyle w:val="FootnoteReference"/>
          <w:iCs/>
        </w:rPr>
        <w:footnoteReference w:id="29"/>
      </w:r>
      <w:r>
        <w:t xml:space="preserve"> (inom sex månader från den dag då stödet beviljades eller, när det gäller stöd i form av skatteförmåner, inom ett år från den dag då skattedeklarationen ska lämnas in)</w:t>
      </w:r>
      <w:r w:rsidR="00DE2831" w:rsidRPr="005C4E62">
        <w:rPr>
          <w:rStyle w:val="FootnoteReference"/>
          <w:iCs/>
        </w:rPr>
        <w:footnoteReference w:id="30"/>
      </w:r>
      <w:r>
        <w:t>.</w:t>
      </w:r>
    </w:p>
    <w:p w14:paraId="1A345197"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I kommissionens modul om öppenhet och insyn.</w:t>
      </w:r>
      <w:r w:rsidRPr="005C4E62">
        <w:rPr>
          <w:rStyle w:val="FootnoteReference"/>
        </w:rPr>
        <w:footnoteReference w:id="31"/>
      </w:r>
      <w:r>
        <w:t>.</w:t>
      </w:r>
    </w:p>
    <w:p w14:paraId="642AC513"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På en övergripande webbplats för statligt stöd (med relevant webbadress). Ange i så fall huruvida det rör sig om en nationell eller regional webbplats</w:t>
      </w:r>
      <w:r w:rsidRPr="005C4E62">
        <w:rPr>
          <w:rStyle w:val="FootnoteReference"/>
        </w:rPr>
        <w:footnoteReference w:id="32"/>
      </w:r>
      <w:r>
        <w:t xml:space="preserve"> </w:t>
      </w:r>
      <w:r>
        <w:lastRenderedPageBreak/>
        <w:t>och om det är lätt att få tillgång till de upplysningar som registrerats på webbplatsen för stöd (dvs. allmänheten måste ha tillgång till webbplatsen utan begränsningar)</w:t>
      </w:r>
      <w:r w:rsidR="00DE2831" w:rsidRPr="005C4E62">
        <w:rPr>
          <w:rStyle w:val="FootnoteReference"/>
        </w:rPr>
        <w:footnoteReference w:id="33"/>
      </w:r>
      <w:r>
        <w:t>.</w:t>
      </w:r>
    </w:p>
    <w:p w14:paraId="57D76515" w14:textId="77777777" w:rsidR="008B2C0A" w:rsidRPr="005C4E62" w:rsidRDefault="008B2C0A" w:rsidP="00D46D21">
      <w:pPr>
        <w:pStyle w:val="Text2"/>
        <w:tabs>
          <w:tab w:val="clear" w:pos="2161"/>
          <w:tab w:val="left" w:leader="dot" w:pos="9072"/>
        </w:tabs>
        <w:spacing w:before="120" w:after="120"/>
        <w:ind w:left="709"/>
      </w:pPr>
      <w:r>
        <w:tab/>
      </w:r>
    </w:p>
    <w:p w14:paraId="7D4DC824" w14:textId="77777777" w:rsidR="00DE2831" w:rsidRPr="005C4E62" w:rsidRDefault="00DE2831" w:rsidP="00E27219">
      <w:pPr>
        <w:pStyle w:val="NumPar2"/>
        <w:numPr>
          <w:ilvl w:val="0"/>
          <w:numId w:val="33"/>
        </w:numPr>
        <w:ind w:left="1418" w:hanging="709"/>
      </w:pPr>
      <w:r>
        <w:t>Bekräfta att upplysningarna i stycke 4.4 kommer att finnas tillgängliga i minst tio år från och med den dag då stödet beviljades, att de kommer att offentliggöras i ett allmänt tillgängligt kalkylbladsformat som gör det möjligt att på ett smidigt sätt söka, extrahera, ladda ner och enkelt offentliggöra uppgifterna på internet (t.ex. i CSV- eller XML-format).</w:t>
      </w:r>
    </w:p>
    <w:p w14:paraId="2C041466"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Ja</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Nej</w:t>
      </w:r>
    </w:p>
    <w:p w14:paraId="338F68B1" w14:textId="77777777" w:rsidR="00DE2831" w:rsidRPr="005C4E62" w:rsidRDefault="00DE2831" w:rsidP="00E27219">
      <w:pPr>
        <w:pStyle w:val="NumPar2"/>
        <w:numPr>
          <w:ilvl w:val="0"/>
          <w:numId w:val="33"/>
        </w:numPr>
        <w:ind w:left="1418" w:hanging="709"/>
      </w:pPr>
      <w:r>
        <w:t>Bekräfta att i fråga om stöd som är olagligt men som senare konstateras vara förenligt offentliggörs de relevanta upplysningarna på en hemsida för statligt stöd (ange adressen) inom sex månader från dagen för kommissionens beslut i vilket stödet förklaras förenligt med den inre marknaden</w:t>
      </w:r>
      <w:r w:rsidRPr="005C4E62">
        <w:rPr>
          <w:rStyle w:val="FootnoteReference"/>
        </w:rPr>
        <w:footnoteReference w:id="34"/>
      </w:r>
      <w:r>
        <w:t>.</w:t>
      </w:r>
    </w:p>
    <w:p w14:paraId="1FB02DC3"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Ja</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Nej</w:t>
      </w:r>
    </w:p>
    <w:p w14:paraId="44D8550D" w14:textId="77777777" w:rsidR="004879A7" w:rsidRPr="005C4E62" w:rsidRDefault="004879A7" w:rsidP="00D46D21">
      <w:pPr>
        <w:pStyle w:val="NumPar2"/>
        <w:numPr>
          <w:ilvl w:val="1"/>
          <w:numId w:val="44"/>
        </w:numPr>
        <w:ind w:left="709" w:hanging="709"/>
      </w:pPr>
      <w:r>
        <w:t>Rapportering Bekräfta att era myndigheter kommer att lämna in i) årliga rapporter till kommissionen om varje åtgärd som godkänts enligt bredbandsriktlinjerna och ii) en rapport vartannat år med viktiga upplysningar om den stödåtgärd som godkänts enligt bredbandsriktlinjerna, i enlighet med bilaga III till samma bredbandsriktlinjer</w:t>
      </w:r>
      <w:r w:rsidRPr="005C4E62">
        <w:rPr>
          <w:rStyle w:val="FootnoteReference"/>
        </w:rPr>
        <w:footnoteReference w:id="35"/>
      </w:r>
      <w:r>
        <w:t>.</w:t>
      </w:r>
    </w:p>
    <w:p w14:paraId="3A43AAF1" w14:textId="77777777" w:rsidR="004879A7" w:rsidRPr="005C4E62" w:rsidRDefault="004879A7" w:rsidP="004879A7">
      <w:pPr>
        <w:pStyle w:val="Text2"/>
        <w:tabs>
          <w:tab w:val="clear" w:pos="2161"/>
          <w:tab w:val="left" w:leader="dot" w:pos="9072"/>
        </w:tabs>
        <w:spacing w:before="120" w:after="120"/>
        <w:ind w:left="709"/>
      </w:pPr>
      <w:r>
        <w:tab/>
      </w:r>
    </w:p>
    <w:p w14:paraId="5101A383" w14:textId="77777777" w:rsidR="004879A7" w:rsidRPr="005C4E62" w:rsidRDefault="004879A7" w:rsidP="00AA0B7A">
      <w:pPr>
        <w:pStyle w:val="NumPar2"/>
        <w:numPr>
          <w:ilvl w:val="1"/>
          <w:numId w:val="44"/>
        </w:numPr>
        <w:ind w:left="709" w:hanging="709"/>
      </w:pPr>
      <w:r>
        <w:t>Övervakning Bekräfta att era myndigheter – under 10 år från och med den dag då stödet beviljades – kommer att föra detaljerade register över alla stödåtgärder med alla uppgifter som krävs för att fastställa att alla villkor för förenlighet som anges i bredbandsriktlinjerna är uppfyllda, och att de åtar sig att lämna dem till kommissionen på begäran</w:t>
      </w:r>
      <w:r w:rsidRPr="005C4E62">
        <w:rPr>
          <w:rStyle w:val="FootnoteReference"/>
        </w:rPr>
        <w:footnoteReference w:id="36"/>
      </w:r>
      <w:r>
        <w:t>.</w:t>
      </w:r>
    </w:p>
    <w:p w14:paraId="46EAA8C3" w14:textId="77777777" w:rsidR="00DE2831" w:rsidRPr="005C4E62" w:rsidRDefault="004879A7" w:rsidP="004879A7">
      <w:pPr>
        <w:pStyle w:val="Text2"/>
        <w:tabs>
          <w:tab w:val="clear" w:pos="2161"/>
          <w:tab w:val="left" w:leader="dot" w:pos="9072"/>
        </w:tabs>
        <w:spacing w:before="120" w:after="120"/>
        <w:ind w:left="709"/>
      </w:pPr>
      <w:r>
        <w:tab/>
      </w:r>
    </w:p>
    <w:p w14:paraId="33592851" w14:textId="77777777" w:rsidR="00C04E88" w:rsidRPr="005C4E62" w:rsidRDefault="00691333" w:rsidP="00AA0B7A">
      <w:pPr>
        <w:pStyle w:val="NumPar2"/>
        <w:numPr>
          <w:ilvl w:val="1"/>
          <w:numId w:val="44"/>
        </w:numPr>
        <w:ind w:left="709" w:hanging="709"/>
        <w:rPr>
          <w:i/>
        </w:rPr>
      </w:pPr>
      <w:r>
        <w:t xml:space="preserve">Ange huruvida stödåtgärden är tänkt att tas med i en plan för utvärdering i efterhand. </w:t>
      </w:r>
    </w:p>
    <w:p w14:paraId="7E6C7F58"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Nej. Förklara varför ni anser att kriterierna för en plan för utvärdering i efterhand inte är uppfyllda. </w:t>
      </w:r>
    </w:p>
    <w:p w14:paraId="235E3D98" w14:textId="77777777" w:rsidR="00C04E88" w:rsidRPr="005C4E62" w:rsidRDefault="00C04E88" w:rsidP="00C04E88">
      <w:pPr>
        <w:pStyle w:val="Text2"/>
        <w:tabs>
          <w:tab w:val="clear" w:pos="2161"/>
          <w:tab w:val="left" w:leader="dot" w:pos="9072"/>
        </w:tabs>
        <w:spacing w:before="120" w:after="120"/>
        <w:ind w:left="709"/>
      </w:pPr>
      <w:r>
        <w:tab/>
      </w:r>
    </w:p>
    <w:p w14:paraId="716DB5F9"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 xml:space="preserve"> Ja. Om så är fallet, ange enligt vilka kriterier stödåtgärden övervägs för efterhandsutvärdering och lämna relevanta upplysningar om den plan för efterhandsutvärdering som beskrivs i avsnitt 8 i bredbandsriktlinjerna.</w:t>
      </w:r>
    </w:p>
    <w:p w14:paraId="18EB15C8" w14:textId="77777777" w:rsidR="007B33E6" w:rsidRPr="005C4E62" w:rsidRDefault="00691333" w:rsidP="007B33E6">
      <w:pPr>
        <w:pStyle w:val="Text2"/>
        <w:tabs>
          <w:tab w:val="clear" w:pos="2161"/>
          <w:tab w:val="left" w:leader="dot" w:pos="9072"/>
        </w:tabs>
        <w:spacing w:before="120" w:after="120"/>
        <w:ind w:left="709"/>
      </w:pPr>
      <w:r>
        <w:tab/>
      </w:r>
    </w:p>
    <w:p w14:paraId="0DAF6B1B" w14:textId="77777777" w:rsidR="007B33E6" w:rsidRPr="005C4E62" w:rsidRDefault="007B33E6" w:rsidP="00AA0B7A">
      <w:pPr>
        <w:pStyle w:val="NumPar2"/>
        <w:numPr>
          <w:ilvl w:val="1"/>
          <w:numId w:val="44"/>
        </w:numPr>
        <w:ind w:left="709" w:hanging="709"/>
        <w:rPr>
          <w:b/>
          <w:bCs/>
        </w:rPr>
      </w:pPr>
      <w:r>
        <w:t>Lämna alla andra upplysningar som är relevanta för bedömningen av stödåtgärden enligt bredbandsriktlinjerna eller andra upplysningar som är relevanta med avseende på unionens konkurrensregler och regler för den inre marknaden.</w:t>
      </w:r>
    </w:p>
    <w:p w14:paraId="1DACAF4C" w14:textId="77777777" w:rsidR="007D7D41" w:rsidRPr="005C4E62" w:rsidRDefault="002A52F0" w:rsidP="00657CA5">
      <w:pPr>
        <w:tabs>
          <w:tab w:val="left" w:leader="dot" w:pos="9072"/>
        </w:tabs>
        <w:spacing w:before="120" w:after="240"/>
        <w:ind w:left="709"/>
        <w:jc w:val="both"/>
      </w:pPr>
      <w:r>
        <w:tab/>
      </w:r>
      <w:r>
        <w:tab/>
      </w:r>
    </w:p>
    <w:p w14:paraId="04CDAAD7" w14:textId="77777777" w:rsidR="00C04E88" w:rsidRPr="005C4E62" w:rsidRDefault="00C04E88" w:rsidP="00AA0B7A">
      <w:pPr>
        <w:pStyle w:val="NumPar2"/>
        <w:numPr>
          <w:ilvl w:val="1"/>
          <w:numId w:val="44"/>
        </w:numPr>
        <w:ind w:left="709" w:hanging="709"/>
        <w:rPr>
          <w:iCs/>
          <w:noProof/>
        </w:rPr>
      </w:pPr>
      <w:r>
        <w:lastRenderedPageBreak/>
        <w:t>Ange huruvida detta formulär för kompletterande upplysningar innehåller några konfidentiella upplysningar som inte får avslöjas för tredje part</w:t>
      </w:r>
      <w:r w:rsidRPr="005C4E62">
        <w:rPr>
          <w:szCs w:val="20"/>
          <w:vertAlign w:val="superscript"/>
          <w:lang w:val="en-IE" w:eastAsia="en-US"/>
        </w:rPr>
        <w:footnoteReference w:id="37"/>
      </w:r>
      <w:r>
        <w:t>.</w:t>
      </w:r>
    </w:p>
    <w:p w14:paraId="611F9E5E"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B221BA">
        <w:rPr>
          <w:b/>
        </w:rPr>
      </w:r>
      <w:r w:rsidR="00B221BA">
        <w:rPr>
          <w:b/>
        </w:rPr>
        <w:fldChar w:fldCharType="separate"/>
      </w:r>
      <w:r w:rsidRPr="005C4E62">
        <w:rPr>
          <w:b/>
        </w:rPr>
        <w:fldChar w:fldCharType="end"/>
      </w:r>
      <w:r>
        <w:rPr>
          <w:b/>
        </w:rPr>
        <w:t xml:space="preserve"> </w:t>
      </w:r>
      <w:r>
        <w:t>Ja. Om så är fallet, ange vilka upplysningar som är konfidentiella och varför.</w:t>
      </w:r>
    </w:p>
    <w:p w14:paraId="150B790F"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B221BA">
        <w:rPr>
          <w:b/>
        </w:rPr>
      </w:r>
      <w:r w:rsidR="00B221BA">
        <w:rPr>
          <w:b/>
        </w:rPr>
        <w:fldChar w:fldCharType="separate"/>
      </w:r>
      <w:r w:rsidRPr="005C4E62">
        <w:rPr>
          <w:b/>
        </w:rPr>
        <w:fldChar w:fldCharType="end"/>
      </w:r>
      <w:r>
        <w:rPr>
          <w:b/>
        </w:rPr>
        <w:t xml:space="preserve"> </w:t>
      </w:r>
      <w:r>
        <w:t>Nej.</w:t>
      </w:r>
    </w:p>
    <w:p w14:paraId="742FE00E" w14:textId="77777777" w:rsidR="00152F0E" w:rsidRPr="005C4E62" w:rsidRDefault="00152F0E" w:rsidP="00AA0B7A">
      <w:pPr>
        <w:pStyle w:val="NumPar2"/>
        <w:numPr>
          <w:ilvl w:val="1"/>
          <w:numId w:val="44"/>
        </w:numPr>
        <w:ind w:left="709" w:hanging="709"/>
        <w:rPr>
          <w:iCs/>
          <w:noProof/>
        </w:rPr>
      </w:pPr>
      <w:r>
        <w:t>Bekräfta att stödåtgärden inte omfattas av artikel 52c i gruppundantagsförordningen</w:t>
      </w:r>
      <w:r w:rsidR="00FC09A8" w:rsidRPr="005C4E62">
        <w:rPr>
          <w:rStyle w:val="FootnoteReference"/>
        </w:rPr>
        <w:footnoteReference w:id="38"/>
      </w:r>
      <w:r>
        <w:t xml:space="preserve"> eller av förordningen om stöd av mindre betydelse</w:t>
      </w:r>
      <w:r w:rsidR="00C04E88" w:rsidRPr="005C4E62">
        <w:rPr>
          <w:rStyle w:val="FootnoteReference"/>
        </w:rPr>
        <w:footnoteReference w:id="39"/>
      </w:r>
      <w:r>
        <w:t>.</w:t>
      </w:r>
    </w:p>
    <w:p w14:paraId="6BB36E59"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B221BA">
        <w:fldChar w:fldCharType="separate"/>
      </w:r>
      <w:r w:rsidRPr="005C4E62">
        <w:fldChar w:fldCharType="end"/>
      </w:r>
      <w:r>
        <w:tab/>
        <w:t>Ja</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B221BA">
        <w:fldChar w:fldCharType="separate"/>
      </w:r>
      <w:r w:rsidR="008B2C0A" w:rsidRPr="005C4E62">
        <w:fldChar w:fldCharType="end"/>
      </w:r>
      <w:r>
        <w:tab/>
        <w:t>Nej</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F131C" w14:textId="77777777" w:rsidR="00670B4D" w:rsidRDefault="00670B4D" w:rsidP="007B33E6">
      <w:r>
        <w:separator/>
      </w:r>
    </w:p>
  </w:endnote>
  <w:endnote w:type="continuationSeparator" w:id="0">
    <w:p w14:paraId="15FB476D" w14:textId="77777777" w:rsidR="00670B4D" w:rsidRDefault="00670B4D"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BD5FE" w14:textId="77777777" w:rsidR="00670B4D" w:rsidRDefault="00670B4D" w:rsidP="007B33E6">
      <w:r>
        <w:separator/>
      </w:r>
    </w:p>
  </w:footnote>
  <w:footnote w:type="continuationSeparator" w:id="0">
    <w:p w14:paraId="16FDAFBC" w14:textId="77777777" w:rsidR="00670B4D" w:rsidRDefault="00670B4D" w:rsidP="007B33E6">
      <w:r>
        <w:continuationSeparator/>
      </w:r>
    </w:p>
  </w:footnote>
  <w:footnote w:id="1">
    <w:p w14:paraId="50FD7E48" w14:textId="77777777" w:rsidR="007B33E6" w:rsidRPr="005C4E62" w:rsidRDefault="007B33E6" w:rsidP="007B33E6">
      <w:pPr>
        <w:pStyle w:val="FootnoteText"/>
        <w:rPr>
          <w:i/>
        </w:rPr>
      </w:pPr>
      <w:r>
        <w:rPr>
          <w:rStyle w:val="FootnoteReference"/>
        </w:rPr>
        <w:footnoteRef/>
      </w:r>
      <w:r>
        <w:tab/>
        <w:t xml:space="preserve">Riktlinjer för statligt stöd till bredbandsnät (EUT </w:t>
      </w:r>
      <w:r>
        <w:rPr>
          <w:color w:val="000000"/>
          <w:sz w:val="19"/>
        </w:rPr>
        <w:t>C 36, 31.1.2023, s. 1)</w:t>
      </w:r>
      <w:r>
        <w:t>.</w:t>
      </w:r>
    </w:p>
  </w:footnote>
  <w:footnote w:id="2">
    <w:p w14:paraId="27E26A5F" w14:textId="77777777" w:rsidR="001507A9" w:rsidRPr="005C4E62" w:rsidRDefault="001507A9">
      <w:pPr>
        <w:pStyle w:val="FootnoteText"/>
      </w:pPr>
      <w:r>
        <w:rPr>
          <w:rStyle w:val="FootnoteReference"/>
        </w:rPr>
        <w:footnoteRef/>
      </w:r>
      <w:r>
        <w:tab/>
        <w:t>Styckena 177–179.</w:t>
      </w:r>
    </w:p>
  </w:footnote>
  <w:footnote w:id="3">
    <w:p w14:paraId="34178CAA" w14:textId="77777777" w:rsidR="001507A9" w:rsidRPr="005C4E62" w:rsidRDefault="001507A9">
      <w:pPr>
        <w:pStyle w:val="FootnoteText"/>
      </w:pPr>
      <w:r>
        <w:rPr>
          <w:rStyle w:val="FootnoteReference"/>
        </w:rPr>
        <w:footnoteRef/>
      </w:r>
      <w:r>
        <w:t xml:space="preserve"> </w:t>
      </w:r>
      <w:r>
        <w:tab/>
        <w:t>Stycke 181.</w:t>
      </w:r>
    </w:p>
  </w:footnote>
  <w:footnote w:id="4">
    <w:p w14:paraId="067C1A8C" w14:textId="77777777" w:rsidR="001507A9" w:rsidRPr="005C4E62" w:rsidRDefault="001507A9">
      <w:pPr>
        <w:pStyle w:val="FootnoteText"/>
      </w:pPr>
      <w:r>
        <w:rPr>
          <w:rStyle w:val="FootnoteReference"/>
        </w:rPr>
        <w:footnoteRef/>
      </w:r>
      <w:r>
        <w:t xml:space="preserve"> </w:t>
      </w:r>
      <w:r>
        <w:tab/>
        <w:t>Stycke 189.</w:t>
      </w:r>
    </w:p>
  </w:footnote>
  <w:footnote w:id="5">
    <w:p w14:paraId="62131698" w14:textId="77777777" w:rsidR="006F5901" w:rsidRPr="005C4E62" w:rsidRDefault="006F5901" w:rsidP="006F5901">
      <w:pPr>
        <w:pStyle w:val="FootnoteText"/>
      </w:pPr>
      <w:r>
        <w:rPr>
          <w:rStyle w:val="FootnoteReference"/>
        </w:rPr>
        <w:footnoteRef/>
      </w:r>
      <w:r>
        <w:tab/>
        <w:t xml:space="preserve">Till exempel Europaparlamentets och rådets direktiv (EU) 2022/2481 av den 14 december 2022 om inrättande av en europeisk kodex för elektronisk kommunikation (EUT L 323, 19.12.2022, s. 4). </w:t>
      </w:r>
    </w:p>
  </w:footnote>
  <w:footnote w:id="6">
    <w:p w14:paraId="1156A5BB" w14:textId="77777777" w:rsidR="001507A9" w:rsidRPr="005C4E62" w:rsidRDefault="001507A9" w:rsidP="001507A9">
      <w:pPr>
        <w:pStyle w:val="FootnoteText"/>
      </w:pPr>
      <w:r>
        <w:rPr>
          <w:rStyle w:val="FootnoteReference"/>
        </w:rPr>
        <w:footnoteRef/>
      </w:r>
      <w:r>
        <w:t xml:space="preserve"> </w:t>
      </w:r>
      <w:r>
        <w:tab/>
        <w:t>Stycke 175.</w:t>
      </w:r>
    </w:p>
  </w:footnote>
  <w:footnote w:id="7">
    <w:p w14:paraId="4420A89C" w14:textId="77777777" w:rsidR="005A7B71" w:rsidRPr="005C4E62" w:rsidRDefault="005A7B71">
      <w:pPr>
        <w:pStyle w:val="FootnoteText"/>
        <w:rPr>
          <w:i/>
          <w:iCs/>
        </w:rPr>
      </w:pPr>
      <w:r>
        <w:rPr>
          <w:rStyle w:val="FootnoteReference"/>
        </w:rPr>
        <w:footnoteRef/>
      </w:r>
      <w:r>
        <w:t xml:space="preserve"> </w:t>
      </w:r>
      <w:r>
        <w:tab/>
        <w:t>Styckena 19 j och k. Se även sista meningen i stycke 20.</w:t>
      </w:r>
    </w:p>
  </w:footnote>
  <w:footnote w:id="8">
    <w:p w14:paraId="33F152EC" w14:textId="77777777" w:rsidR="007B5294" w:rsidRPr="005C4E62" w:rsidRDefault="007B5294" w:rsidP="007B5294">
      <w:pPr>
        <w:pStyle w:val="FootnoteText"/>
      </w:pPr>
      <w:r>
        <w:rPr>
          <w:rStyle w:val="FootnoteReference"/>
        </w:rPr>
        <w:footnoteRef/>
      </w:r>
      <w:r>
        <w:t xml:space="preserve"> </w:t>
      </w:r>
      <w:r>
        <w:tab/>
        <w:t>Stycke 182.</w:t>
      </w:r>
    </w:p>
  </w:footnote>
  <w:footnote w:id="9">
    <w:p w14:paraId="4C06F0F0" w14:textId="77777777" w:rsidR="00710B4A" w:rsidRPr="005C4E62" w:rsidRDefault="00710B4A" w:rsidP="00710B4A">
      <w:pPr>
        <w:pStyle w:val="FootnoteText"/>
      </w:pPr>
      <w:r>
        <w:rPr>
          <w:rStyle w:val="FootnoteReference"/>
        </w:rPr>
        <w:footnoteRef/>
      </w:r>
      <w:r>
        <w:t xml:space="preserve"> </w:t>
      </w:r>
      <w:r>
        <w:tab/>
        <w:t>Stycke 184.</w:t>
      </w:r>
    </w:p>
  </w:footnote>
  <w:footnote w:id="10">
    <w:p w14:paraId="415612C9" w14:textId="77777777" w:rsidR="007B5294" w:rsidRPr="005C4E62" w:rsidRDefault="007B5294" w:rsidP="007B5294">
      <w:pPr>
        <w:pStyle w:val="FootnoteText"/>
      </w:pPr>
      <w:r>
        <w:rPr>
          <w:rStyle w:val="FootnoteReference"/>
        </w:rPr>
        <w:footnoteRef/>
      </w:r>
      <w:r>
        <w:t xml:space="preserve"> </w:t>
      </w:r>
      <w:r>
        <w:tab/>
        <w:t xml:space="preserve">Stycke 183. </w:t>
      </w:r>
    </w:p>
  </w:footnote>
  <w:footnote w:id="11">
    <w:p w14:paraId="1E1B7C91" w14:textId="77777777" w:rsidR="00E101F1" w:rsidRPr="005C4E62" w:rsidRDefault="00E101F1" w:rsidP="00E101F1">
      <w:pPr>
        <w:pStyle w:val="FootnoteText"/>
      </w:pPr>
      <w:r>
        <w:rPr>
          <w:rStyle w:val="FootnoteReference"/>
        </w:rPr>
        <w:footnoteRef/>
      </w:r>
      <w:r>
        <w:t xml:space="preserve"> </w:t>
      </w:r>
      <w:r>
        <w:tab/>
        <w:t>Stycke 185.</w:t>
      </w:r>
    </w:p>
  </w:footnote>
  <w:footnote w:id="12">
    <w:p w14:paraId="1F868E76" w14:textId="77777777" w:rsidR="00E101F1" w:rsidRPr="005C4E62" w:rsidRDefault="00E101F1" w:rsidP="00E101F1">
      <w:pPr>
        <w:pStyle w:val="FootnoteText"/>
      </w:pPr>
      <w:r>
        <w:rPr>
          <w:rStyle w:val="FootnoteReference"/>
        </w:rPr>
        <w:footnoteRef/>
      </w:r>
      <w:r>
        <w:t xml:space="preserve"> </w:t>
      </w:r>
      <w:r>
        <w:tab/>
        <w:t>Stycke 185.</w:t>
      </w:r>
    </w:p>
  </w:footnote>
  <w:footnote w:id="13">
    <w:p w14:paraId="0813F8CC" w14:textId="77777777" w:rsidR="00C90B4D" w:rsidRPr="005C4E62" w:rsidRDefault="00C90B4D" w:rsidP="00C90B4D">
      <w:pPr>
        <w:pStyle w:val="FootnoteText"/>
      </w:pPr>
      <w:r>
        <w:rPr>
          <w:rStyle w:val="FootnoteReference"/>
        </w:rPr>
        <w:footnoteRef/>
      </w:r>
      <w:r>
        <w:t xml:space="preserve"> </w:t>
      </w:r>
      <w:r>
        <w:tab/>
        <w:t>Stycke 185.</w:t>
      </w:r>
    </w:p>
  </w:footnote>
  <w:footnote w:id="14">
    <w:p w14:paraId="013C58DE" w14:textId="77777777" w:rsidR="00D1408F" w:rsidRPr="005C4E62" w:rsidRDefault="00D1408F">
      <w:pPr>
        <w:pStyle w:val="FootnoteText"/>
      </w:pPr>
      <w:r>
        <w:rPr>
          <w:rStyle w:val="FootnoteReference"/>
        </w:rPr>
        <w:footnoteRef/>
      </w:r>
      <w:r>
        <w:t xml:space="preserve"> </w:t>
      </w:r>
      <w:r>
        <w:tab/>
        <w:t>Stycke 186.</w:t>
      </w:r>
    </w:p>
  </w:footnote>
  <w:footnote w:id="15">
    <w:p w14:paraId="0329FD51" w14:textId="77777777" w:rsidR="00D1408F" w:rsidRPr="005C4E62" w:rsidRDefault="00D1408F">
      <w:pPr>
        <w:pStyle w:val="FootnoteText"/>
      </w:pPr>
      <w:r>
        <w:rPr>
          <w:rStyle w:val="FootnoteReference"/>
        </w:rPr>
        <w:footnoteRef/>
      </w:r>
      <w:r>
        <w:t xml:space="preserve"> </w:t>
      </w:r>
      <w:r>
        <w:tab/>
        <w:t>Stycke 187.</w:t>
      </w:r>
    </w:p>
  </w:footnote>
  <w:footnote w:id="16">
    <w:p w14:paraId="7CE7B689" w14:textId="77777777" w:rsidR="00F47AC0" w:rsidRPr="005C4E62" w:rsidRDefault="00F47AC0">
      <w:pPr>
        <w:pStyle w:val="FootnoteText"/>
      </w:pPr>
      <w:r>
        <w:rPr>
          <w:rStyle w:val="FootnoteReference"/>
        </w:rPr>
        <w:footnoteRef/>
      </w:r>
      <w:r>
        <w:t xml:space="preserve"> </w:t>
      </w:r>
      <w:r>
        <w:tab/>
        <w:t>Stycke 194.</w:t>
      </w:r>
    </w:p>
  </w:footnote>
  <w:footnote w:id="17">
    <w:p w14:paraId="60528E41" w14:textId="77777777" w:rsidR="00F47AC0" w:rsidRPr="005C4E62" w:rsidRDefault="00F47AC0">
      <w:pPr>
        <w:pStyle w:val="FootnoteText"/>
      </w:pPr>
      <w:r>
        <w:rPr>
          <w:rStyle w:val="FootnoteReference"/>
        </w:rPr>
        <w:footnoteRef/>
      </w:r>
      <w:r>
        <w:t xml:space="preserve"> </w:t>
      </w:r>
      <w:r>
        <w:tab/>
        <w:t>Stycke 195.</w:t>
      </w:r>
    </w:p>
  </w:footnote>
  <w:footnote w:id="18">
    <w:p w14:paraId="5A283518" w14:textId="77777777" w:rsidR="00F47AC0" w:rsidRPr="005C4E62" w:rsidRDefault="00F47AC0">
      <w:pPr>
        <w:pStyle w:val="FootnoteText"/>
      </w:pPr>
      <w:r>
        <w:rPr>
          <w:rStyle w:val="FootnoteReference"/>
        </w:rPr>
        <w:footnoteRef/>
      </w:r>
      <w:r>
        <w:t xml:space="preserve"> </w:t>
      </w:r>
      <w:r>
        <w:tab/>
        <w:t>Stycke 193.</w:t>
      </w:r>
    </w:p>
  </w:footnote>
  <w:footnote w:id="19">
    <w:p w14:paraId="5389BF9F" w14:textId="77777777" w:rsidR="00F47AC0" w:rsidRPr="005C4E62" w:rsidRDefault="00F47AC0">
      <w:pPr>
        <w:pStyle w:val="FootnoteText"/>
      </w:pPr>
      <w:r>
        <w:rPr>
          <w:rStyle w:val="FootnoteReference"/>
        </w:rPr>
        <w:footnoteRef/>
      </w:r>
      <w:r>
        <w:t xml:space="preserve"> </w:t>
      </w:r>
      <w:r>
        <w:tab/>
        <w:t>Stycke 193.</w:t>
      </w:r>
    </w:p>
  </w:footnote>
  <w:footnote w:id="20">
    <w:p w14:paraId="668911CC" w14:textId="77777777" w:rsidR="00F47AC0" w:rsidRPr="005C4E62" w:rsidRDefault="00F47AC0">
      <w:pPr>
        <w:pStyle w:val="FootnoteText"/>
      </w:pPr>
      <w:r>
        <w:rPr>
          <w:rStyle w:val="FootnoteReference"/>
        </w:rPr>
        <w:footnoteRef/>
      </w:r>
      <w:r>
        <w:t xml:space="preserve"> </w:t>
      </w:r>
      <w:r>
        <w:tab/>
        <w:t>Stycke 196. Se även stycke 194.</w:t>
      </w:r>
    </w:p>
  </w:footnote>
  <w:footnote w:id="21">
    <w:p w14:paraId="337CB38D" w14:textId="77777777" w:rsidR="00F47AC0" w:rsidRPr="005C4E62" w:rsidRDefault="00F47AC0">
      <w:pPr>
        <w:pStyle w:val="FootnoteText"/>
      </w:pPr>
      <w:r>
        <w:rPr>
          <w:rStyle w:val="FootnoteReference"/>
        </w:rPr>
        <w:footnoteRef/>
      </w:r>
      <w:r>
        <w:t xml:space="preserve"> </w:t>
      </w:r>
      <w:r>
        <w:tab/>
        <w:t>Stycke 196.</w:t>
      </w:r>
    </w:p>
  </w:footnote>
  <w:footnote w:id="22">
    <w:p w14:paraId="5200E60A" w14:textId="77777777" w:rsidR="00E217F7" w:rsidRPr="005C4E62" w:rsidRDefault="00E217F7">
      <w:pPr>
        <w:pStyle w:val="FootnoteText"/>
      </w:pPr>
      <w:r>
        <w:rPr>
          <w:rStyle w:val="FootnoteReference"/>
        </w:rPr>
        <w:footnoteRef/>
      </w:r>
      <w:r>
        <w:t xml:space="preserve"> </w:t>
      </w:r>
      <w:r>
        <w:tab/>
        <w:t>Stycke 198.</w:t>
      </w:r>
    </w:p>
  </w:footnote>
  <w:footnote w:id="23">
    <w:p w14:paraId="0785E1DB" w14:textId="77777777" w:rsidR="009A1814" w:rsidRPr="005C4E62" w:rsidRDefault="009A1814" w:rsidP="009A1814">
      <w:pPr>
        <w:pStyle w:val="FootnoteText"/>
      </w:pPr>
      <w:r>
        <w:rPr>
          <w:rStyle w:val="FootnoteReference"/>
        </w:rPr>
        <w:footnoteRef/>
      </w:r>
      <w:r>
        <w:t xml:space="preserve"> </w:t>
      </w:r>
      <w:r>
        <w:tab/>
        <w:t>Stycke 187.</w:t>
      </w:r>
    </w:p>
  </w:footnote>
  <w:footnote w:id="24">
    <w:p w14:paraId="36364854" w14:textId="77777777" w:rsidR="00807BE5" w:rsidRPr="005C4E62" w:rsidRDefault="00807BE5" w:rsidP="00807BE5">
      <w:pPr>
        <w:pStyle w:val="FootnoteText"/>
      </w:pPr>
      <w:r>
        <w:rPr>
          <w:rStyle w:val="FootnoteReference"/>
        </w:rPr>
        <w:footnoteRef/>
      </w:r>
      <w:r>
        <w:tab/>
        <w:t>Stycke 191.</w:t>
      </w:r>
    </w:p>
  </w:footnote>
  <w:footnote w:id="25">
    <w:p w14:paraId="5B819A14" w14:textId="77777777" w:rsidR="00F47AC0" w:rsidRPr="005C4E62" w:rsidRDefault="00F47AC0" w:rsidP="00F47AC0">
      <w:pPr>
        <w:pStyle w:val="FootnoteText"/>
      </w:pPr>
      <w:r>
        <w:rPr>
          <w:rStyle w:val="FootnoteReference"/>
        </w:rPr>
        <w:footnoteRef/>
      </w:r>
      <w:r>
        <w:t xml:space="preserve"> </w:t>
      </w:r>
      <w:r>
        <w:tab/>
        <w:t>Stycke 192. För en definition av stimulanseffekt, se stycke 38.</w:t>
      </w:r>
    </w:p>
  </w:footnote>
  <w:footnote w:id="26">
    <w:p w14:paraId="1600C9C2" w14:textId="77777777" w:rsidR="006C4335" w:rsidRPr="005C4E62" w:rsidRDefault="006C4335">
      <w:pPr>
        <w:pStyle w:val="FootnoteText"/>
      </w:pPr>
      <w:r>
        <w:rPr>
          <w:rStyle w:val="FootnoteReference"/>
        </w:rPr>
        <w:footnoteRef/>
      </w:r>
      <w:r>
        <w:t xml:space="preserve"> </w:t>
      </w:r>
      <w:r>
        <w:tab/>
        <w:t>Stycke 194.</w:t>
      </w:r>
    </w:p>
  </w:footnote>
  <w:footnote w:id="27">
    <w:p w14:paraId="3748DECF" w14:textId="77777777" w:rsidR="00E217F7" w:rsidRPr="005C4E62" w:rsidRDefault="00E217F7">
      <w:pPr>
        <w:pStyle w:val="FootnoteText"/>
      </w:pPr>
      <w:r>
        <w:rPr>
          <w:rStyle w:val="FootnoteReference"/>
        </w:rPr>
        <w:footnoteRef/>
      </w:r>
      <w:r>
        <w:t xml:space="preserve"> </w:t>
      </w:r>
      <w:r>
        <w:tab/>
        <w:t>Stycke 197. Se även stycke 195.</w:t>
      </w:r>
    </w:p>
  </w:footnote>
  <w:footnote w:id="28">
    <w:p w14:paraId="0198820C" w14:textId="77777777" w:rsidR="00E217F7" w:rsidRPr="005C4E62" w:rsidRDefault="00E217F7">
      <w:pPr>
        <w:pStyle w:val="FootnoteText"/>
      </w:pPr>
      <w:r>
        <w:rPr>
          <w:rStyle w:val="FootnoteReference"/>
        </w:rPr>
        <w:footnoteRef/>
      </w:r>
      <w:r>
        <w:t xml:space="preserve"> </w:t>
      </w:r>
      <w:r>
        <w:tab/>
        <w:t>Stycke 200.</w:t>
      </w:r>
    </w:p>
  </w:footnote>
  <w:footnote w:id="29">
    <w:p w14:paraId="52C1A77A" w14:textId="77777777" w:rsidR="00DE2831" w:rsidRPr="005C4E62" w:rsidRDefault="00DE2831">
      <w:pPr>
        <w:pStyle w:val="FootnoteText"/>
      </w:pPr>
      <w:r>
        <w:rPr>
          <w:rStyle w:val="FootnoteReference"/>
        </w:rPr>
        <w:footnoteRef/>
      </w:r>
      <w:r>
        <w:t xml:space="preserve"> </w:t>
      </w:r>
      <w:r>
        <w:tab/>
        <w:t>Stycke 202.</w:t>
      </w:r>
    </w:p>
  </w:footnote>
  <w:footnote w:id="30">
    <w:p w14:paraId="6A42D819" w14:textId="77777777" w:rsidR="00DE2831" w:rsidRPr="005C4E62" w:rsidRDefault="00DE2831">
      <w:pPr>
        <w:pStyle w:val="FootnoteText"/>
      </w:pPr>
      <w:r>
        <w:rPr>
          <w:rStyle w:val="FootnoteReference"/>
        </w:rPr>
        <w:footnoteRef/>
      </w:r>
      <w:r>
        <w:t xml:space="preserve"> </w:t>
      </w:r>
      <w:r>
        <w:tab/>
        <w:t>Stycke 203.</w:t>
      </w:r>
    </w:p>
  </w:footnote>
  <w:footnote w:id="31">
    <w:p w14:paraId="21692827" w14:textId="77777777" w:rsidR="00153D1B" w:rsidRPr="005C4E62" w:rsidRDefault="00153D1B">
      <w:pPr>
        <w:pStyle w:val="FootnoteText"/>
      </w:pPr>
      <w:r>
        <w:rPr>
          <w:rStyle w:val="FootnoteReference"/>
        </w:rPr>
        <w:footnoteRef/>
      </w:r>
      <w:r>
        <w:t xml:space="preserve"> </w:t>
      </w:r>
      <w:r>
        <w:tab/>
        <w:t xml:space="preserve">Finns på: </w:t>
      </w:r>
      <w:hyperlink r:id="rId1" w:history="1">
        <w:r>
          <w:rPr>
            <w:rStyle w:val="Hyperlink"/>
          </w:rPr>
          <w:t>https://webgate.ec.europa.eu/competition/transparency/public</w:t>
        </w:r>
      </w:hyperlink>
      <w:r>
        <w:t xml:space="preserve">. </w:t>
      </w:r>
    </w:p>
  </w:footnote>
  <w:footnote w:id="32">
    <w:p w14:paraId="5A361750" w14:textId="77777777" w:rsidR="00153D1B" w:rsidRPr="005C4E62" w:rsidRDefault="00153D1B">
      <w:pPr>
        <w:pStyle w:val="FootnoteText"/>
      </w:pPr>
      <w:r>
        <w:rPr>
          <w:rStyle w:val="FootnoteReference"/>
        </w:rPr>
        <w:footnoteRef/>
      </w:r>
      <w:r>
        <w:t xml:space="preserve"> </w:t>
      </w:r>
      <w:r>
        <w:tab/>
        <w:t>Stycke 202.</w:t>
      </w:r>
    </w:p>
  </w:footnote>
  <w:footnote w:id="33">
    <w:p w14:paraId="68294C46" w14:textId="77777777" w:rsidR="00DE2831" w:rsidRPr="005C4E62" w:rsidRDefault="00DE2831" w:rsidP="00DE2831">
      <w:pPr>
        <w:pStyle w:val="FootnoteText"/>
      </w:pPr>
      <w:r>
        <w:rPr>
          <w:rStyle w:val="FootnoteReference"/>
        </w:rPr>
        <w:footnoteRef/>
      </w:r>
      <w:r>
        <w:t xml:space="preserve"> </w:t>
      </w:r>
      <w:r>
        <w:tab/>
        <w:t>Stycke 204.</w:t>
      </w:r>
    </w:p>
  </w:footnote>
  <w:footnote w:id="34">
    <w:p w14:paraId="13600F12" w14:textId="77777777" w:rsidR="00DE2831" w:rsidRPr="005C4E62" w:rsidRDefault="00DE2831" w:rsidP="00DE2831">
      <w:pPr>
        <w:pStyle w:val="FootnoteText"/>
      </w:pPr>
      <w:r>
        <w:rPr>
          <w:rStyle w:val="FootnoteReference"/>
        </w:rPr>
        <w:footnoteRef/>
      </w:r>
      <w:r>
        <w:t xml:space="preserve"> </w:t>
      </w:r>
      <w:r>
        <w:tab/>
        <w:t>Stycke 204.</w:t>
      </w:r>
    </w:p>
  </w:footnote>
  <w:footnote w:id="35">
    <w:p w14:paraId="672EDFC2" w14:textId="77777777" w:rsidR="004879A7" w:rsidRPr="005C4E62" w:rsidRDefault="004879A7">
      <w:pPr>
        <w:pStyle w:val="FootnoteText"/>
      </w:pPr>
      <w:r>
        <w:rPr>
          <w:rStyle w:val="FootnoteReference"/>
        </w:rPr>
        <w:footnoteRef/>
      </w:r>
      <w:r>
        <w:t xml:space="preserve"> </w:t>
      </w:r>
      <w:r>
        <w:tab/>
        <w:t>Styckena 207–208.</w:t>
      </w:r>
    </w:p>
  </w:footnote>
  <w:footnote w:id="36">
    <w:p w14:paraId="0C4AF47D" w14:textId="77777777" w:rsidR="004879A7" w:rsidRPr="005C4E62" w:rsidRDefault="004879A7">
      <w:pPr>
        <w:pStyle w:val="FootnoteText"/>
      </w:pPr>
      <w:r>
        <w:rPr>
          <w:rStyle w:val="FootnoteReference"/>
        </w:rPr>
        <w:footnoteRef/>
      </w:r>
      <w:r>
        <w:t xml:space="preserve"> </w:t>
      </w:r>
      <w:r>
        <w:tab/>
        <w:t>Stycke 209.</w:t>
      </w:r>
    </w:p>
  </w:footnote>
  <w:footnote w:id="37">
    <w:p w14:paraId="32921F2D" w14:textId="77777777" w:rsidR="00C04E88" w:rsidRPr="005C4E62" w:rsidRDefault="00C04E88" w:rsidP="00C04E88">
      <w:pPr>
        <w:pStyle w:val="FootnoteText"/>
      </w:pPr>
      <w:r>
        <w:rPr>
          <w:rStyle w:val="FootnoteReference"/>
        </w:rPr>
        <w:footnoteRef/>
      </w:r>
      <w:r>
        <w:tab/>
        <w:t xml:space="preserve">För närmare vägledning, se artikel 339 i EUF-fördraget som avser ”uppgifter om företag, deras affärsförbindelser eller deras kostnadsförhållanden”. Unionsdomstolarna har generellt definierat ”affärshemligheter” som upplysningar ”för vilka gäller att inte endast det förhållandet att de sprids till allmänheten utan även det förhållandet att de överlämnas till en annan person än den som har lämnat upplysningarna, på ett allvarligt sätt kan skada denna persons intressen” i mål T-353/94, Postbank mot kommissionen, </w:t>
      </w:r>
      <w:r>
        <w:rPr>
          <w:rStyle w:val="outputecliaff"/>
        </w:rPr>
        <w:t>ECLI:EU:T:1996:119, punkt 87.</w:t>
      </w:r>
    </w:p>
  </w:footnote>
  <w:footnote w:id="38">
    <w:p w14:paraId="2AC2CAEE" w14:textId="77777777" w:rsidR="00FC09A8" w:rsidRPr="005C4E62" w:rsidRDefault="00FC09A8" w:rsidP="00FC09A8">
      <w:pPr>
        <w:pStyle w:val="FootnoteText"/>
      </w:pPr>
      <w:r>
        <w:rPr>
          <w:rStyle w:val="FootnoteReference"/>
        </w:rPr>
        <w:footnoteRef/>
      </w:r>
      <w:r>
        <w:tab/>
        <w:t>Kommissionens förordning (EU) nr 651/2014 av den 17 juni 2014 genom vilken vissa kategorier av stöd förklaras förenliga med den inre marknaden enligt artiklarna 107 och 108 i fördraget (EUT L 187, 26.6.2014, s. 1), i dess ändrade lydelse.</w:t>
      </w:r>
    </w:p>
  </w:footnote>
  <w:footnote w:id="39">
    <w:p w14:paraId="0DEFCE2D" w14:textId="77777777" w:rsidR="00C04E88" w:rsidRPr="00FC09A8" w:rsidRDefault="00C04E88" w:rsidP="00C04E88">
      <w:pPr>
        <w:pStyle w:val="FootnoteText"/>
      </w:pPr>
      <w:r>
        <w:rPr>
          <w:rStyle w:val="FootnoteReference"/>
        </w:rPr>
        <w:footnoteRef/>
      </w:r>
      <w:r>
        <w:tab/>
        <w:t>Kommissionens förordning (EU) nr 1407/2013 av den 18 december 2013 om tillämpningen av artiklarna 107 och 108 i fördraget om Europeiska unionens funktionssätt på stöd av mindre betydelse (EUT L 352, 24.12.2013, s. 1), i dess ändrade lydelse.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D873062"/>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3"/>
  </w:num>
  <w:num w:numId="7" w16cid:durableId="882642859">
    <w:abstractNumId w:val="10"/>
  </w:num>
  <w:num w:numId="8" w16cid:durableId="1107656495">
    <w:abstractNumId w:val="5"/>
  </w:num>
  <w:num w:numId="9" w16cid:durableId="238832995">
    <w:abstractNumId w:val="46"/>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1"/>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4"/>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5"/>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2"/>
  </w:num>
  <w:num w:numId="46" w16cid:durableId="1624653190">
    <w:abstractNumId w:val="11"/>
  </w:num>
  <w:num w:numId="47" w16cid:durableId="61217928">
    <w:abstractNumId w:val="24"/>
  </w:num>
  <w:num w:numId="48" w16cid:durableId="1246458821">
    <w:abstractNumId w:val="4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0B4D"/>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21BA"/>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60DF4"/>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30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val="sv-SE"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val="sv-SE"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sv-SE"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sv-SE"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sv-SE" w:eastAsia="en-US"/>
    </w:rPr>
  </w:style>
  <w:style w:type="paragraph" w:styleId="Header">
    <w:name w:val="header"/>
    <w:basedOn w:val="Normal"/>
    <w:link w:val="HeaderChar"/>
    <w:uiPriority w:val="99"/>
    <w:unhideWhenUsed/>
    <w:rsid w:val="00B221BA"/>
    <w:pPr>
      <w:tabs>
        <w:tab w:val="center" w:pos="4513"/>
        <w:tab w:val="right" w:pos="9026"/>
      </w:tabs>
    </w:pPr>
  </w:style>
  <w:style w:type="character" w:customStyle="1" w:styleId="HeaderChar">
    <w:name w:val="Header Char"/>
    <w:basedOn w:val="DefaultParagraphFont"/>
    <w:link w:val="Header"/>
    <w:uiPriority w:val="99"/>
    <w:rsid w:val="00B221BA"/>
    <w:rPr>
      <w:sz w:val="24"/>
      <w:lang w:val="sv-SE" w:eastAsia="en-US"/>
    </w:rPr>
  </w:style>
  <w:style w:type="paragraph" w:styleId="Footer">
    <w:name w:val="footer"/>
    <w:basedOn w:val="Normal"/>
    <w:link w:val="FooterChar"/>
    <w:uiPriority w:val="99"/>
    <w:unhideWhenUsed/>
    <w:rsid w:val="00B221BA"/>
    <w:pPr>
      <w:tabs>
        <w:tab w:val="center" w:pos="4513"/>
        <w:tab w:val="right" w:pos="9026"/>
      </w:tabs>
    </w:pPr>
  </w:style>
  <w:style w:type="character" w:customStyle="1" w:styleId="FooterChar">
    <w:name w:val="Footer Char"/>
    <w:basedOn w:val="DefaultParagraphFont"/>
    <w:link w:val="Footer"/>
    <w:uiPriority w:val="99"/>
    <w:rsid w:val="00B221BA"/>
    <w:rPr>
      <w:sz w:val="24"/>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2043</Words>
  <Characters>13081</Characters>
  <Application>Microsoft Office Word</Application>
  <DocSecurity>0</DocSecurity>
  <Lines>297</Lines>
  <Paragraphs>132</Paragraphs>
  <ScaleCrop>false</ScaleCrop>
  <Company/>
  <LinksUpToDate>false</LinksUpToDate>
  <CharactersWithSpaces>14992</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2024-03-06T10:20:00Z</dcterms:created>
  <dcterms:modified xsi:type="dcterms:W3CDTF">2024-03-06T10:20:00Z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2024-03-06T10:20:39Z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26d8fbc1-6052-4927-a63f-1088720a0608</vt:lpwstr>
  </property>
  <property fmtid="{D5CDD505-2E9C-101B-9397-08002B2CF9AE}" pid="8" name="MSIP_Label_6bd9ddd1-4d20-43f6-abfa-fc3c07406f94_ContentBits">
    <vt:lpwstr>0</vt:lpwstr>
  </property>
</Properties>
</file>