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57CF37B5" w14:textId="77777777" w:rsidTr="00466BC2">
        <w:trPr>
          <w:trHeight w:val="854"/>
        </w:trPr>
        <w:tc>
          <w:tcPr>
            <w:tcW w:w="9000" w:type="dxa"/>
            <w:tcBorders>
              <w:top w:val="single" w:sz="4" w:space="0" w:color="auto"/>
              <w:bottom w:val="single" w:sz="4" w:space="0" w:color="auto"/>
            </w:tcBorders>
            <w:shd w:val="pct15" w:color="auto" w:fill="FFFFFF"/>
          </w:tcPr>
          <w:p w14:paraId="326495AF"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Del III.5 – Obrazec za dodatne informacije o državni pomoči</w:t>
            </w:r>
            <w:bookmarkEnd w:id="0"/>
            <w:bookmarkEnd w:id="1"/>
            <w:r>
              <w:rPr>
                <w:color w:val="auto"/>
              </w:rPr>
              <w:t xml:space="preserve"> za ukrepe za spodbujanje uporabe</w:t>
            </w:r>
          </w:p>
        </w:tc>
      </w:tr>
    </w:tbl>
    <w:p w14:paraId="4399127D" w14:textId="77777777" w:rsidR="007B33E6" w:rsidRPr="005C4E62" w:rsidRDefault="007B33E6" w:rsidP="001507A9">
      <w:pPr>
        <w:spacing w:before="240" w:after="240"/>
        <w:jc w:val="both"/>
        <w:rPr>
          <w:i/>
          <w:iCs/>
        </w:rPr>
      </w:pPr>
      <w:r>
        <w:rPr>
          <w:i/>
        </w:rPr>
        <w:t>Ta obrazec za dodatne informacije se uporablja za priglasitev pomoči za izvajanje ukrepov za spodbujanje uporabe, ki jih zajemajo Smernice Komisije o državni pomoči za širokopasovna omrežja</w:t>
      </w:r>
      <w:r w:rsidRPr="005C4E62">
        <w:rPr>
          <w:bCs/>
          <w:vertAlign w:val="superscript"/>
        </w:rPr>
        <w:footnoteReference w:id="1"/>
      </w:r>
      <w:r>
        <w:rPr>
          <w:i/>
        </w:rPr>
        <w:t xml:space="preserve"> (v nadaljnjem besedilu: smernice za širokopasovna omrežja).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2AA7DA98" w14:textId="77777777" w:rsidTr="00646E8A">
        <w:tc>
          <w:tcPr>
            <w:tcW w:w="9286" w:type="dxa"/>
            <w:shd w:val="clear" w:color="auto" w:fill="D9D9D9"/>
          </w:tcPr>
          <w:p w14:paraId="6267294A"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Splošne informacije</w:t>
            </w:r>
          </w:p>
        </w:tc>
      </w:tr>
    </w:tbl>
    <w:p w14:paraId="0479C37A" w14:textId="77777777" w:rsidR="007B33E6" w:rsidRPr="005C4E62" w:rsidRDefault="007B33E6" w:rsidP="00BE2CC4">
      <w:pPr>
        <w:pStyle w:val="NumPar2"/>
        <w:numPr>
          <w:ilvl w:val="1"/>
          <w:numId w:val="1"/>
        </w:numPr>
        <w:tabs>
          <w:tab w:val="clear" w:pos="1200"/>
        </w:tabs>
        <w:spacing w:before="240"/>
        <w:ind w:left="709"/>
      </w:pPr>
      <w:bookmarkStart w:id="2" w:name="_Ref152597077"/>
      <w:r>
        <w:t>Podrobno opišite ukrep pomoči in njegove cilje.</w:t>
      </w:r>
      <w:bookmarkEnd w:id="2"/>
    </w:p>
    <w:p w14:paraId="4E4CD305" w14:textId="77777777" w:rsidR="00515227" w:rsidRPr="005C4E62" w:rsidRDefault="00515227" w:rsidP="001507A9">
      <w:pPr>
        <w:pStyle w:val="Text2"/>
        <w:tabs>
          <w:tab w:val="clear" w:pos="2161"/>
          <w:tab w:val="left" w:leader="dot" w:pos="9072"/>
        </w:tabs>
        <w:spacing w:before="120" w:after="120"/>
        <w:ind w:left="709"/>
      </w:pPr>
      <w:r>
        <w:tab/>
      </w:r>
    </w:p>
    <w:p w14:paraId="74484D64" w14:textId="77777777" w:rsidR="001507A9" w:rsidRPr="005C4E62" w:rsidRDefault="001507A9" w:rsidP="001507A9">
      <w:pPr>
        <w:pStyle w:val="NumPar2"/>
        <w:numPr>
          <w:ilvl w:val="1"/>
          <w:numId w:val="1"/>
        </w:numPr>
        <w:tabs>
          <w:tab w:val="clear" w:pos="1200"/>
        </w:tabs>
        <w:ind w:left="709"/>
      </w:pPr>
      <w:r>
        <w:t>Pojasnite, zakaj po vašem mnenju ukrep pomoči pomeni državno pomoč</w:t>
      </w:r>
      <w:r w:rsidRPr="005C4E62">
        <w:rPr>
          <w:rStyle w:val="FootnoteReference"/>
        </w:rPr>
        <w:footnoteReference w:id="2"/>
      </w:r>
      <w:r>
        <w:t>.</w:t>
      </w:r>
    </w:p>
    <w:p w14:paraId="14CDE8B8" w14:textId="77777777" w:rsidR="001507A9" w:rsidRPr="005C4E62" w:rsidRDefault="001507A9" w:rsidP="001507A9">
      <w:pPr>
        <w:pStyle w:val="Text2"/>
        <w:tabs>
          <w:tab w:val="clear" w:pos="2161"/>
          <w:tab w:val="left" w:leader="dot" w:pos="9072"/>
        </w:tabs>
        <w:spacing w:before="120" w:after="120"/>
        <w:ind w:left="709"/>
      </w:pPr>
      <w:r>
        <w:tab/>
      </w:r>
    </w:p>
    <w:p w14:paraId="3A65AA32" w14:textId="77777777" w:rsidR="001507A9" w:rsidRPr="005C4E62" w:rsidRDefault="001507A9" w:rsidP="001507A9">
      <w:pPr>
        <w:pStyle w:val="NumPar2"/>
        <w:numPr>
          <w:ilvl w:val="1"/>
          <w:numId w:val="1"/>
        </w:numPr>
        <w:tabs>
          <w:tab w:val="clear" w:pos="1200"/>
        </w:tabs>
        <w:ind w:left="709"/>
      </w:pPr>
      <w:r>
        <w:t>Navedite, ali ukrep pomoči vključuje:</w:t>
      </w:r>
    </w:p>
    <w:p w14:paraId="693F0159"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socialne kupone</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kupone za povezljivost</w:t>
      </w:r>
      <w:r w:rsidRPr="005C4E62">
        <w:rPr>
          <w:rStyle w:val="FootnoteReference"/>
          <w:lang w:bidi="si-LK"/>
        </w:rPr>
        <w:footnoteReference w:id="4"/>
      </w:r>
    </w:p>
    <w:p w14:paraId="3123B496" w14:textId="77777777" w:rsidR="006F5901" w:rsidRPr="005C4E62" w:rsidRDefault="006F5901" w:rsidP="001507A9">
      <w:pPr>
        <w:pStyle w:val="NumPar2"/>
        <w:numPr>
          <w:ilvl w:val="1"/>
          <w:numId w:val="1"/>
        </w:numPr>
        <w:tabs>
          <w:tab w:val="clear" w:pos="1200"/>
        </w:tabs>
        <w:ind w:left="709"/>
      </w:pPr>
      <w:r>
        <w:t>Pojasnite, kako se ukrep pomoči ujema z nacionalno strategijo za širokopasovne povezave ter digitalno politiko Unije in okoljskimi cilji</w:t>
      </w:r>
      <w:r w:rsidRPr="005C4E62">
        <w:rPr>
          <w:rStyle w:val="FootnoteReference"/>
        </w:rPr>
        <w:footnoteReference w:id="5"/>
      </w:r>
      <w:r>
        <w:t xml:space="preserve">. </w:t>
      </w:r>
    </w:p>
    <w:p w14:paraId="41D39EA2" w14:textId="77777777" w:rsidR="006F5901" w:rsidRPr="005C4E62" w:rsidRDefault="006F5901" w:rsidP="001507A9">
      <w:pPr>
        <w:pStyle w:val="Text2"/>
        <w:tabs>
          <w:tab w:val="clear" w:pos="2161"/>
          <w:tab w:val="left" w:leader="dot" w:pos="9072"/>
        </w:tabs>
        <w:spacing w:before="120" w:after="120"/>
        <w:ind w:left="709"/>
      </w:pPr>
      <w:r>
        <w:tab/>
      </w:r>
    </w:p>
    <w:p w14:paraId="6E7972E8" w14:textId="77777777" w:rsidR="00C66331" w:rsidRPr="005C4E62" w:rsidRDefault="00C66331" w:rsidP="001507A9">
      <w:pPr>
        <w:pStyle w:val="NumPar2"/>
        <w:numPr>
          <w:ilvl w:val="1"/>
          <w:numId w:val="1"/>
        </w:numPr>
        <w:tabs>
          <w:tab w:val="clear" w:pos="1200"/>
        </w:tabs>
        <w:ind w:left="709"/>
      </w:pPr>
      <w:r>
        <w:t>Pojasnite, ali je razlog, ki upravičuje ukrep pomoči</w:t>
      </w:r>
      <w:r w:rsidR="001507A9" w:rsidRPr="005C4E62">
        <w:rPr>
          <w:rStyle w:val="FootnoteReference"/>
        </w:rPr>
        <w:footnoteReference w:id="6"/>
      </w:r>
      <w:r>
        <w:t>:</w:t>
      </w:r>
    </w:p>
    <w:p w14:paraId="443A281D"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ekonomski učinek stroškov naročnine na širokopasovne storitve; če je odgovor pritrdilen, navedite podrobnosti: ………………………………………………………..</w:t>
      </w:r>
    </w:p>
    <w:p w14:paraId="0621C7DD"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pomanjkanje zavedanja o koristih, ki jih zagotavlja naročnina na širokopasovne storitve; če je odgovor pritrdilen, navedite podrobnosti: …………………………..…...</w:t>
      </w:r>
    </w:p>
    <w:p w14:paraId="58FD2F44"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drugi razlogi; če je odgovor pritrdilen, navedite podrobnosti: ………..…………….</w:t>
      </w:r>
    </w:p>
    <w:p w14:paraId="040B3692" w14:textId="77777777" w:rsidR="007B33E6" w:rsidRPr="005C4E62" w:rsidRDefault="007B33E6" w:rsidP="001507A9">
      <w:pPr>
        <w:pStyle w:val="NumPar2"/>
        <w:numPr>
          <w:ilvl w:val="1"/>
          <w:numId w:val="1"/>
        </w:numPr>
        <w:tabs>
          <w:tab w:val="clear" w:pos="1200"/>
        </w:tabs>
        <w:ind w:left="709"/>
      </w:pPr>
      <w:r>
        <w:t>Pojasnite okoliščine ukrepa pomoči (npr. trenutna raven pokritosti s širokopasovnimi omrežji v državi članici, trenutna stopnja uporabe širokopasovnih storitev) ter navedite vire predloženih informacij.</w:t>
      </w:r>
    </w:p>
    <w:p w14:paraId="3D3943F9" w14:textId="77777777" w:rsidR="00B973C6" w:rsidRPr="005C4E62" w:rsidRDefault="00B973C6" w:rsidP="001507A9">
      <w:pPr>
        <w:pStyle w:val="Text2"/>
        <w:tabs>
          <w:tab w:val="clear" w:pos="2161"/>
          <w:tab w:val="left" w:leader="dot" w:pos="9072"/>
        </w:tabs>
        <w:spacing w:before="120" w:after="120"/>
        <w:ind w:left="709"/>
      </w:pPr>
      <w:r>
        <w:tab/>
      </w:r>
    </w:p>
    <w:p w14:paraId="58F1857E" w14:textId="77777777" w:rsidR="005A7B71" w:rsidRPr="005C4E62" w:rsidRDefault="005A7B71" w:rsidP="001507A9">
      <w:pPr>
        <w:pStyle w:val="NumPar2"/>
        <w:numPr>
          <w:ilvl w:val="1"/>
          <w:numId w:val="1"/>
        </w:numPr>
        <w:tabs>
          <w:tab w:val="clear" w:pos="1200"/>
        </w:tabs>
        <w:ind w:left="709"/>
      </w:pPr>
      <w:r>
        <w:t>Potrdite, da so vse hitrosti, navedene v tej priglasitvi, mišljene kot hitrosti v razmerah največje obremenjenosti</w:t>
      </w:r>
      <w:r w:rsidRPr="005C4E62">
        <w:rPr>
          <w:rStyle w:val="FootnoteReference"/>
        </w:rPr>
        <w:footnoteReference w:id="7"/>
      </w:r>
      <w:r>
        <w:t>:</w:t>
      </w:r>
    </w:p>
    <w:p w14:paraId="449B0B0A"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B301B3">
        <w:fldChar w:fldCharType="separate"/>
      </w:r>
      <w:r w:rsidR="00A63EE7" w:rsidRPr="005C4E62">
        <w:fldChar w:fldCharType="end"/>
      </w:r>
      <w:r>
        <w:tab/>
        <w:t>ne</w:t>
      </w:r>
    </w:p>
    <w:p w14:paraId="0B03576D" w14:textId="77777777" w:rsidR="005F2475" w:rsidRPr="005C4E62" w:rsidRDefault="007A2062" w:rsidP="005F2475">
      <w:pPr>
        <w:pStyle w:val="NumPar2"/>
        <w:numPr>
          <w:ilvl w:val="1"/>
          <w:numId w:val="1"/>
        </w:numPr>
        <w:tabs>
          <w:tab w:val="clear" w:pos="1200"/>
        </w:tabs>
        <w:ind w:left="709"/>
      </w:pPr>
      <w:r>
        <w:t>Če so na voljo, predložite naslednje dokumente in opišite njihovo vsebino:</w:t>
      </w:r>
    </w:p>
    <w:p w14:paraId="1A3DAD71" w14:textId="77777777" w:rsidR="005F2475" w:rsidRPr="005C4E62" w:rsidRDefault="005F2475" w:rsidP="005F2475">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ocena učinka ukrepa pomoči: ………………………………………………………. </w:t>
      </w:r>
    </w:p>
    <w:p w14:paraId="4B338E68"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načrti naknadnega ocenjevanja podobnih predhodnih shem: ………………….........</w:t>
      </w:r>
    </w:p>
    <w:p w14:paraId="13EB1B21"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analiza hipotetičnih scenarijev, ki dokazuje, da so učinki ukrepa v primerjavi s tem, kar bi se zgodilo brez pomoči, pozitivni: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A141055" w14:textId="77777777" w:rsidTr="00796043">
        <w:tc>
          <w:tcPr>
            <w:tcW w:w="9286" w:type="dxa"/>
            <w:shd w:val="clear" w:color="auto" w:fill="D9D9D9"/>
          </w:tcPr>
          <w:p w14:paraId="3D7C7151"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Socialni kuponi</w:t>
            </w:r>
          </w:p>
        </w:tc>
      </w:tr>
    </w:tbl>
    <w:p w14:paraId="1EC379E7" w14:textId="77777777" w:rsidR="004C1C63" w:rsidRPr="005C4E62" w:rsidRDefault="007B5294" w:rsidP="00E27219">
      <w:pPr>
        <w:pStyle w:val="NumPar2"/>
        <w:numPr>
          <w:ilvl w:val="1"/>
          <w:numId w:val="5"/>
        </w:numPr>
        <w:ind w:left="709" w:hanging="709"/>
      </w:pPr>
      <w:r>
        <w:t>Navedite določene kategorije posameznih potrošnikov, katerim je namenjen ukrep pomoči, ter navedite finančne okoliščine, ki utemeljujejo odobritev pomoči iz socialnih razlogov (npr. družine z nizkimi dohodki, študenti, dijaki itd.), in objektivna merila, ki se uporabljajo za opredelitev upravičenih potrošnikov</w:t>
      </w:r>
      <w:r w:rsidRPr="005C4E62">
        <w:rPr>
          <w:rStyle w:val="FootnoteReference"/>
        </w:rPr>
        <w:footnoteReference w:id="8"/>
      </w:r>
      <w:r>
        <w:t xml:space="preserve">. </w:t>
      </w:r>
    </w:p>
    <w:p w14:paraId="4C285168" w14:textId="77777777" w:rsidR="004C1C63" w:rsidRPr="005C4E62" w:rsidRDefault="004C1C63" w:rsidP="004C1C63">
      <w:pPr>
        <w:pStyle w:val="Text2"/>
        <w:tabs>
          <w:tab w:val="clear" w:pos="2161"/>
          <w:tab w:val="left" w:leader="dot" w:pos="9072"/>
        </w:tabs>
        <w:spacing w:before="120" w:after="120"/>
        <w:ind w:left="709"/>
      </w:pPr>
      <w:r>
        <w:tab/>
      </w:r>
    </w:p>
    <w:p w14:paraId="41C7EF5A" w14:textId="77777777" w:rsidR="007B5294" w:rsidRPr="005C4E62" w:rsidRDefault="004C1C63" w:rsidP="00E27219">
      <w:pPr>
        <w:pStyle w:val="NumPar2"/>
        <w:numPr>
          <w:ilvl w:val="1"/>
          <w:numId w:val="5"/>
        </w:numPr>
        <w:ind w:left="709" w:hanging="709"/>
      </w:pPr>
      <w:r>
        <w:t>Navedite oceno števila potrošnikov, ki bi lahko bili upravičeni do ukrepa pomoči.</w:t>
      </w:r>
    </w:p>
    <w:p w14:paraId="2E36311A" w14:textId="77777777" w:rsidR="007B5294" w:rsidRPr="005C4E62" w:rsidRDefault="007B5294" w:rsidP="009F1CC8">
      <w:pPr>
        <w:pStyle w:val="Text2"/>
        <w:tabs>
          <w:tab w:val="clear" w:pos="2161"/>
          <w:tab w:val="left" w:leader="dot" w:pos="9072"/>
        </w:tabs>
        <w:spacing w:before="120" w:after="120"/>
        <w:ind w:left="709"/>
      </w:pPr>
      <w:r>
        <w:tab/>
      </w:r>
    </w:p>
    <w:p w14:paraId="70069160" w14:textId="77777777" w:rsidR="004C1C63" w:rsidRPr="005C4E62" w:rsidRDefault="004C1C63" w:rsidP="00E27219">
      <w:pPr>
        <w:pStyle w:val="NumPar2"/>
        <w:numPr>
          <w:ilvl w:val="1"/>
          <w:numId w:val="5"/>
        </w:numPr>
        <w:ind w:left="709" w:hanging="709"/>
      </w:pPr>
      <w:r>
        <w:t>Navedite upravičene ponudnike storitev.</w:t>
      </w:r>
    </w:p>
    <w:p w14:paraId="47041566" w14:textId="77777777" w:rsidR="004C1C63" w:rsidRPr="005C4E62" w:rsidRDefault="004C1C63" w:rsidP="004C1C63">
      <w:pPr>
        <w:pStyle w:val="Text2"/>
        <w:tabs>
          <w:tab w:val="clear" w:pos="2161"/>
          <w:tab w:val="left" w:leader="dot" w:pos="9072"/>
        </w:tabs>
        <w:spacing w:before="120" w:after="120"/>
        <w:ind w:left="709"/>
      </w:pPr>
      <w:r>
        <w:tab/>
      </w:r>
    </w:p>
    <w:p w14:paraId="02B5B7E9" w14:textId="77777777" w:rsidR="00237B1B" w:rsidRPr="005C4E62" w:rsidRDefault="00237B1B" w:rsidP="00E27219">
      <w:pPr>
        <w:pStyle w:val="NumPar2"/>
        <w:numPr>
          <w:ilvl w:val="1"/>
          <w:numId w:val="5"/>
        </w:numPr>
        <w:ind w:left="709" w:hanging="709"/>
      </w:pPr>
      <w:r>
        <w:t>Navedite upravičene storitve, ki jih zajema ukrep pomoči (npr. v smislu hitrosti prenosa, hitrosti nalaganja itd.), in pojasnite, kako so vaši organi opredelili take storitve.</w:t>
      </w:r>
    </w:p>
    <w:p w14:paraId="105D0E8F" w14:textId="77777777" w:rsidR="00237B1B" w:rsidRPr="005C4E62" w:rsidRDefault="00237B1B" w:rsidP="00237B1B">
      <w:pPr>
        <w:pStyle w:val="Text2"/>
        <w:tabs>
          <w:tab w:val="clear" w:pos="2161"/>
          <w:tab w:val="left" w:leader="dot" w:pos="9072"/>
        </w:tabs>
        <w:spacing w:before="120" w:after="120"/>
        <w:ind w:left="709"/>
      </w:pPr>
      <w:r>
        <w:tab/>
      </w:r>
    </w:p>
    <w:p w14:paraId="5D043E2B" w14:textId="77777777" w:rsidR="00042ACA" w:rsidRPr="005C4E62" w:rsidRDefault="00710B4A" w:rsidP="00042ACA">
      <w:pPr>
        <w:pStyle w:val="NumPar2"/>
        <w:numPr>
          <w:ilvl w:val="1"/>
          <w:numId w:val="5"/>
        </w:numPr>
        <w:ind w:left="709" w:hanging="709"/>
      </w:pPr>
      <w:r>
        <w:t>Navedite način uporabe kuponov in ga podrobneje opišite</w:t>
      </w:r>
      <w:r w:rsidRPr="005C4E62">
        <w:rPr>
          <w:rStyle w:val="FootnoteReference"/>
        </w:rPr>
        <w:footnoteReference w:id="9"/>
      </w:r>
      <w:r>
        <w:t>:</w:t>
      </w:r>
    </w:p>
    <w:p w14:paraId="06D1EDA3"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naročnina na nove širokopasovne storitve; podroben opis:</w:t>
      </w:r>
    </w:p>
    <w:p w14:paraId="3E963CEA" w14:textId="77777777" w:rsidR="00485681" w:rsidRPr="005C4E62" w:rsidRDefault="00485681" w:rsidP="006E6AE1">
      <w:pPr>
        <w:pStyle w:val="NumPar2"/>
        <w:tabs>
          <w:tab w:val="clear" w:pos="360"/>
        </w:tabs>
        <w:ind w:left="709" w:firstLine="0"/>
      </w:pPr>
      <w:r>
        <w:t xml:space="preserve">………………………………………………………………………………………….. </w:t>
      </w:r>
    </w:p>
    <w:p w14:paraId="24ABA76A"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ohranitev obstoječih naročnin; podroben opis: </w:t>
      </w:r>
    </w:p>
    <w:p w14:paraId="68424F25" w14:textId="77777777" w:rsidR="00485681" w:rsidRPr="005C4E62" w:rsidRDefault="00485681" w:rsidP="006E6AE1">
      <w:pPr>
        <w:pStyle w:val="NumPar2"/>
        <w:tabs>
          <w:tab w:val="clear" w:pos="360"/>
        </w:tabs>
        <w:ind w:left="709" w:firstLine="0"/>
      </w:pPr>
      <w:r>
        <w:t>…………………………………………………………………………………………...</w:t>
      </w:r>
    </w:p>
    <w:p w14:paraId="52E31CC6"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drugo; podroben opis:</w:t>
      </w:r>
    </w:p>
    <w:p w14:paraId="6DD3CC11" w14:textId="77777777" w:rsidR="00485681" w:rsidRPr="005C4E62" w:rsidRDefault="00485681" w:rsidP="006E6AE1">
      <w:pPr>
        <w:pStyle w:val="NumPar2"/>
        <w:tabs>
          <w:tab w:val="clear" w:pos="360"/>
        </w:tabs>
        <w:ind w:left="709" w:firstLine="0"/>
      </w:pPr>
      <w:r>
        <w:t>…………………………………………………………..…………………………….....</w:t>
      </w:r>
    </w:p>
    <w:p w14:paraId="714896D8" w14:textId="77777777" w:rsidR="007B5294" w:rsidRPr="005C4E62" w:rsidRDefault="007B5294" w:rsidP="00E27219">
      <w:pPr>
        <w:pStyle w:val="NumPar2"/>
        <w:numPr>
          <w:ilvl w:val="1"/>
          <w:numId w:val="5"/>
        </w:numPr>
        <w:ind w:left="709" w:hanging="709"/>
      </w:pPr>
      <w:r>
        <w:t>Navedite upravičene stroške, ki jih zajema ukrep pomoči</w:t>
      </w:r>
      <w:r w:rsidRPr="005C4E62">
        <w:rPr>
          <w:rStyle w:val="FootnoteReference"/>
        </w:rPr>
        <w:footnoteReference w:id="10"/>
      </w:r>
      <w:r>
        <w:t>.</w:t>
      </w:r>
    </w:p>
    <w:p w14:paraId="08CFC140" w14:textId="77777777" w:rsidR="007B5294" w:rsidRPr="005C4E62" w:rsidRDefault="007B5294" w:rsidP="007B5294">
      <w:pPr>
        <w:pStyle w:val="Text2"/>
        <w:tabs>
          <w:tab w:val="clear" w:pos="2161"/>
          <w:tab w:val="left" w:leader="dot" w:pos="9072"/>
        </w:tabs>
        <w:spacing w:before="120" w:after="120"/>
        <w:ind w:left="709"/>
      </w:pPr>
      <w:r>
        <w:tab/>
      </w:r>
    </w:p>
    <w:p w14:paraId="25357391" w14:textId="77777777" w:rsidR="00E0556B" w:rsidRPr="005C4E62" w:rsidRDefault="00E0556B" w:rsidP="00E0556B">
      <w:pPr>
        <w:pStyle w:val="NumPar2"/>
        <w:numPr>
          <w:ilvl w:val="1"/>
          <w:numId w:val="5"/>
        </w:numPr>
        <w:ind w:left="709" w:hanging="709"/>
      </w:pPr>
      <w:r>
        <w:t xml:space="preserve">Navedite najdaljše obdobje veljavnosti kupona </w:t>
      </w:r>
      <w:r>
        <w:br/>
        <w:t>(če je ustrezno).</w:t>
      </w:r>
    </w:p>
    <w:p w14:paraId="0E9F47D0" w14:textId="77777777" w:rsidR="00E0556B" w:rsidRPr="005C4E62" w:rsidRDefault="00E0556B" w:rsidP="002E43A3">
      <w:pPr>
        <w:pStyle w:val="Text2"/>
        <w:tabs>
          <w:tab w:val="clear" w:pos="2161"/>
          <w:tab w:val="left" w:leader="dot" w:pos="9072"/>
        </w:tabs>
        <w:spacing w:before="120" w:after="120"/>
        <w:ind w:left="709"/>
      </w:pPr>
      <w:r>
        <w:tab/>
      </w:r>
    </w:p>
    <w:p w14:paraId="0F92AAA4" w14:textId="77777777" w:rsidR="00237B1B" w:rsidRPr="005C4E62" w:rsidRDefault="00237B1B" w:rsidP="00E27219">
      <w:pPr>
        <w:pStyle w:val="NumPar2"/>
        <w:numPr>
          <w:ilvl w:val="1"/>
          <w:numId w:val="5"/>
        </w:numPr>
        <w:ind w:left="709" w:hanging="709"/>
      </w:pPr>
      <w:r>
        <w:t xml:space="preserve">Navedite obliko in vrednost kuponov, na kakšen način je bila določena vrednost in kakšen odstotek zneska naročnine pokriva kupon. </w:t>
      </w:r>
    </w:p>
    <w:p w14:paraId="08A91246" w14:textId="77777777" w:rsidR="00237B1B" w:rsidRPr="005C4E62" w:rsidRDefault="00237B1B" w:rsidP="00237B1B">
      <w:pPr>
        <w:pStyle w:val="Text2"/>
        <w:tabs>
          <w:tab w:val="clear" w:pos="2161"/>
          <w:tab w:val="left" w:leader="dot" w:pos="9072"/>
        </w:tabs>
        <w:spacing w:before="120" w:after="120"/>
        <w:ind w:left="709"/>
      </w:pPr>
      <w:r>
        <w:tab/>
      </w:r>
    </w:p>
    <w:p w14:paraId="592EBFD9" w14:textId="77777777" w:rsidR="00E101F1" w:rsidRPr="005C4E62" w:rsidRDefault="00E101F1" w:rsidP="00E27219">
      <w:pPr>
        <w:pStyle w:val="NumPar2"/>
        <w:numPr>
          <w:ilvl w:val="1"/>
          <w:numId w:val="5"/>
        </w:numPr>
        <w:ind w:left="709" w:hanging="709"/>
        <w:rPr>
          <w:iCs/>
        </w:rPr>
      </w:pPr>
      <w:r>
        <w:t>Pojasnite, ali in kako je ukrep pomoči skladen z načelom tehnološke nevtralnosti</w:t>
      </w:r>
      <w:r w:rsidRPr="005C4E62">
        <w:rPr>
          <w:rStyle w:val="FootnoteReference"/>
          <w:iCs/>
        </w:rPr>
        <w:footnoteReference w:id="11"/>
      </w:r>
      <w:r>
        <w:t>.</w:t>
      </w:r>
    </w:p>
    <w:p w14:paraId="7182DF6A" w14:textId="77777777" w:rsidR="00E101F1" w:rsidRPr="005C4E62" w:rsidRDefault="00E101F1" w:rsidP="00E101F1">
      <w:pPr>
        <w:pStyle w:val="Text2"/>
        <w:tabs>
          <w:tab w:val="clear" w:pos="2161"/>
          <w:tab w:val="left" w:leader="dot" w:pos="9072"/>
        </w:tabs>
        <w:spacing w:before="120" w:after="120"/>
        <w:ind w:left="709"/>
      </w:pPr>
      <w:r>
        <w:lastRenderedPageBreak/>
        <w:tab/>
      </w:r>
    </w:p>
    <w:p w14:paraId="44C1E1D0" w14:textId="77777777" w:rsidR="00C90B4D" w:rsidRPr="005C4E62" w:rsidRDefault="00C90B4D" w:rsidP="00C90B4D">
      <w:pPr>
        <w:pStyle w:val="NumPar2"/>
        <w:numPr>
          <w:ilvl w:val="1"/>
          <w:numId w:val="5"/>
        </w:numPr>
        <w:ind w:left="709" w:hanging="709"/>
        <w:rPr>
          <w:iCs/>
        </w:rPr>
      </w:pPr>
      <w:r>
        <w:t>Da bi dokazali, da ukrep pomoči zagotavlja enako obravnavo vseh možnih ponudnikov storitev in potrošnikom ponuja najširšo možno izbiro dobaviteljev</w:t>
      </w:r>
      <w:r w:rsidR="00E101F1" w:rsidRPr="005C4E62">
        <w:rPr>
          <w:rStyle w:val="FootnoteReference"/>
          <w:iCs/>
        </w:rPr>
        <w:footnoteReference w:id="12"/>
      </w:r>
      <w:r>
        <w:t>, potrdite (z navedbo ustreznih podrobnosti), da</w:t>
      </w:r>
      <w:r w:rsidRPr="005C4E62">
        <w:rPr>
          <w:rStyle w:val="FootnoteReference"/>
        </w:rPr>
        <w:footnoteReference w:id="13"/>
      </w:r>
      <w:r>
        <w:t xml:space="preserve">: </w:t>
      </w:r>
    </w:p>
    <w:p w14:paraId="5D00CF96" w14:textId="77777777" w:rsidR="00C90B4D" w:rsidRPr="005C4E62" w:rsidRDefault="00C90B4D" w:rsidP="00C90B4D">
      <w:pPr>
        <w:pStyle w:val="NumPar2"/>
        <w:numPr>
          <w:ilvl w:val="4"/>
          <w:numId w:val="1"/>
        </w:numPr>
        <w:tabs>
          <w:tab w:val="clear" w:pos="1800"/>
        </w:tabs>
        <w:ind w:left="1418" w:hanging="709"/>
      </w:pPr>
      <w:r>
        <w:t>bo vzpostavljen spletni register vseh upravičenih ponudnikov storitev (ali druga enakovredna platforma);</w:t>
      </w:r>
    </w:p>
    <w:p w14:paraId="0328A455" w14:textId="77777777" w:rsidR="00C90B4D" w:rsidRPr="005C4E62" w:rsidRDefault="00C90B4D" w:rsidP="00C90B4D">
      <w:pPr>
        <w:pStyle w:val="Text2"/>
        <w:tabs>
          <w:tab w:val="clear" w:pos="2161"/>
          <w:tab w:val="left" w:leader="dot" w:pos="9072"/>
        </w:tabs>
        <w:spacing w:before="120" w:after="120"/>
        <w:ind w:left="709"/>
      </w:pPr>
      <w:r>
        <w:tab/>
      </w:r>
    </w:p>
    <w:p w14:paraId="49350780" w14:textId="77777777" w:rsidR="00C90B4D" w:rsidRPr="005C4E62" w:rsidRDefault="00C90B4D" w:rsidP="00C90B4D">
      <w:pPr>
        <w:pStyle w:val="NumPar2"/>
        <w:numPr>
          <w:ilvl w:val="4"/>
          <w:numId w:val="1"/>
        </w:numPr>
        <w:tabs>
          <w:tab w:val="clear" w:pos="1800"/>
        </w:tabs>
        <w:ind w:left="1418" w:hanging="709"/>
      </w:pPr>
      <w:r>
        <w:t xml:space="preserve">imajo potrošniki pravico do vpogleda v register; </w:t>
      </w:r>
    </w:p>
    <w:p w14:paraId="126DA34E" w14:textId="77777777" w:rsidR="00C90B4D" w:rsidRPr="005C4E62" w:rsidRDefault="00C90B4D" w:rsidP="00C90B4D">
      <w:pPr>
        <w:pStyle w:val="Text2"/>
        <w:tabs>
          <w:tab w:val="clear" w:pos="2161"/>
          <w:tab w:val="left" w:leader="dot" w:pos="9072"/>
        </w:tabs>
        <w:spacing w:before="120" w:after="120"/>
        <w:ind w:left="709"/>
      </w:pPr>
      <w:r>
        <w:tab/>
      </w:r>
    </w:p>
    <w:p w14:paraId="131E9DBD" w14:textId="77777777" w:rsidR="00C90B4D" w:rsidRPr="005C4E62" w:rsidRDefault="00C90B4D" w:rsidP="00C90B4D">
      <w:pPr>
        <w:pStyle w:val="NumPar2"/>
        <w:numPr>
          <w:ilvl w:val="4"/>
          <w:numId w:val="1"/>
        </w:numPr>
        <w:tabs>
          <w:tab w:val="clear" w:pos="1800"/>
        </w:tabs>
        <w:ind w:left="1418" w:hanging="709"/>
      </w:pPr>
      <w:r>
        <w:t>lahko vsa podjetja, ki lahko zagotovijo upravičene širokopasovne storitve, zaprosijo za vključitev v register (ali drugo izbrano platformo);</w:t>
      </w:r>
    </w:p>
    <w:p w14:paraId="18960A32" w14:textId="77777777" w:rsidR="00E101F1" w:rsidRPr="005C4E62" w:rsidRDefault="00C90B4D" w:rsidP="00C90B4D">
      <w:pPr>
        <w:pStyle w:val="Text2"/>
        <w:tabs>
          <w:tab w:val="clear" w:pos="2161"/>
          <w:tab w:val="left" w:leader="dot" w:pos="9072"/>
        </w:tabs>
        <w:spacing w:before="120" w:after="120"/>
        <w:ind w:left="709"/>
      </w:pPr>
      <w:r>
        <w:tab/>
        <w:t xml:space="preserve"> </w:t>
      </w:r>
    </w:p>
    <w:p w14:paraId="4F11CBEC" w14:textId="77777777" w:rsidR="00C90B4D" w:rsidRPr="005C4E62" w:rsidRDefault="00C90B4D" w:rsidP="00C90B4D">
      <w:pPr>
        <w:pStyle w:val="NumPar2"/>
        <w:numPr>
          <w:ilvl w:val="4"/>
          <w:numId w:val="1"/>
        </w:numPr>
        <w:tabs>
          <w:tab w:val="clear" w:pos="1800"/>
        </w:tabs>
        <w:ind w:left="1418" w:hanging="709"/>
      </w:pPr>
      <w:r>
        <w:t>register (ali druga izbrana platforma) zagotavlja dodatne informacije za pomoč potrošnikom (npr. vrsta storitev, ki jih zagotavljajo različna podjetja itd.). Če je odgovor pritrdilen, navedite dodatne informacije.</w:t>
      </w:r>
    </w:p>
    <w:p w14:paraId="78C8F991" w14:textId="77777777" w:rsidR="00E101F1" w:rsidRPr="005C4E62" w:rsidRDefault="00E101F1" w:rsidP="00E101F1">
      <w:pPr>
        <w:pStyle w:val="Text2"/>
        <w:tabs>
          <w:tab w:val="clear" w:pos="2161"/>
          <w:tab w:val="left" w:leader="dot" w:pos="9072"/>
        </w:tabs>
        <w:spacing w:before="120" w:after="120"/>
        <w:ind w:left="709"/>
      </w:pPr>
      <w:r>
        <w:tab/>
      </w:r>
    </w:p>
    <w:p w14:paraId="511B31E7" w14:textId="77777777" w:rsidR="00D1408F" w:rsidRPr="005C4E62" w:rsidRDefault="00D1408F" w:rsidP="009A1814">
      <w:pPr>
        <w:pStyle w:val="NumPar2"/>
        <w:numPr>
          <w:ilvl w:val="1"/>
          <w:numId w:val="5"/>
        </w:numPr>
        <w:ind w:left="709" w:hanging="709"/>
      </w:pPr>
      <w:r>
        <w:t>Podrobno pojasnite postopek izvajanja ukrepa pomoči.</w:t>
      </w:r>
    </w:p>
    <w:p w14:paraId="1B563912" w14:textId="77777777" w:rsidR="00D1408F" w:rsidRPr="005C4E62" w:rsidRDefault="00D1408F" w:rsidP="00D1408F">
      <w:pPr>
        <w:pStyle w:val="Text2"/>
        <w:tabs>
          <w:tab w:val="clear" w:pos="2161"/>
          <w:tab w:val="left" w:leader="dot" w:pos="9072"/>
        </w:tabs>
        <w:spacing w:before="120" w:after="120"/>
        <w:ind w:left="709"/>
      </w:pPr>
      <w:r>
        <w:tab/>
      </w:r>
    </w:p>
    <w:p w14:paraId="55D82C52" w14:textId="77777777" w:rsidR="00D1408F" w:rsidRPr="005C4E62" w:rsidRDefault="00D1408F" w:rsidP="009A1814">
      <w:pPr>
        <w:pStyle w:val="NumPar2"/>
        <w:numPr>
          <w:ilvl w:val="1"/>
          <w:numId w:val="5"/>
        </w:numPr>
        <w:ind w:left="709" w:hanging="709"/>
      </w:pPr>
      <w:r>
        <w:t>Javno posvetovanje</w:t>
      </w:r>
      <w:r w:rsidRPr="005C4E62">
        <w:rPr>
          <w:rStyle w:val="FootnoteReference"/>
        </w:rPr>
        <w:footnoteReference w:id="14"/>
      </w:r>
      <w:r>
        <w:t>. Navedite naslednje informacije:</w:t>
      </w:r>
    </w:p>
    <w:p w14:paraId="61293C40"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začetne in končne datume vseh izvedenih javnih posvetovanj; </w:t>
      </w:r>
    </w:p>
    <w:p w14:paraId="05F943C3" w14:textId="77777777" w:rsidR="00D1408F" w:rsidRPr="005C4E62" w:rsidRDefault="00D1408F" w:rsidP="00D1408F">
      <w:pPr>
        <w:pStyle w:val="Text2"/>
        <w:tabs>
          <w:tab w:val="clear" w:pos="2161"/>
          <w:tab w:val="left" w:leader="dot" w:pos="9072"/>
        </w:tabs>
        <w:spacing w:before="120" w:after="120"/>
        <w:ind w:left="709"/>
      </w:pPr>
      <w:r>
        <w:tab/>
      </w:r>
    </w:p>
    <w:p w14:paraId="46A94184"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vsebino vseh javnih posvetovanj; </w:t>
      </w:r>
    </w:p>
    <w:p w14:paraId="66434F33" w14:textId="77777777" w:rsidR="00D1408F" w:rsidRPr="005C4E62" w:rsidRDefault="00D1408F" w:rsidP="00D1408F">
      <w:pPr>
        <w:pStyle w:val="Text2"/>
        <w:tabs>
          <w:tab w:val="clear" w:pos="2161"/>
          <w:tab w:val="left" w:leader="dot" w:pos="9072"/>
        </w:tabs>
        <w:spacing w:before="120" w:after="120"/>
        <w:ind w:left="709"/>
      </w:pPr>
      <w:r>
        <w:tab/>
      </w:r>
    </w:p>
    <w:p w14:paraId="3F424719" w14:textId="77777777" w:rsidR="00D1408F" w:rsidRPr="005C4E62" w:rsidRDefault="00D1408F" w:rsidP="00D46D21">
      <w:pPr>
        <w:pStyle w:val="Text2"/>
        <w:numPr>
          <w:ilvl w:val="4"/>
          <w:numId w:val="10"/>
        </w:numPr>
        <w:tabs>
          <w:tab w:val="clear" w:pos="1800"/>
          <w:tab w:val="clear" w:pos="2161"/>
        </w:tabs>
        <w:spacing w:after="120"/>
        <w:ind w:left="1418" w:hanging="709"/>
      </w:pPr>
      <w:r>
        <w:t>javno dostopno spletišče (na regionalni in/ali nacionalni ravni), na katerem je bilo objavljeno posvetovanje;</w:t>
      </w:r>
    </w:p>
    <w:p w14:paraId="6CAE4F50" w14:textId="77777777" w:rsidR="00D1408F" w:rsidRPr="005C4E62" w:rsidRDefault="00D1408F" w:rsidP="00D1408F">
      <w:pPr>
        <w:pStyle w:val="Text2"/>
        <w:tabs>
          <w:tab w:val="clear" w:pos="2161"/>
          <w:tab w:val="left" w:leader="dot" w:pos="9072"/>
        </w:tabs>
        <w:spacing w:before="120" w:after="120"/>
        <w:ind w:left="709"/>
      </w:pPr>
      <w:r>
        <w:tab/>
      </w:r>
    </w:p>
    <w:p w14:paraId="7625A9F8" w14:textId="77777777" w:rsidR="00D1408F" w:rsidRPr="005C4E62" w:rsidRDefault="00D1408F" w:rsidP="00D46D21">
      <w:pPr>
        <w:pStyle w:val="Text2"/>
        <w:numPr>
          <w:ilvl w:val="4"/>
          <w:numId w:val="10"/>
        </w:numPr>
        <w:tabs>
          <w:tab w:val="clear" w:pos="1800"/>
          <w:tab w:val="clear" w:pos="2161"/>
        </w:tabs>
        <w:spacing w:after="120"/>
        <w:ind w:left="1418" w:hanging="709"/>
      </w:pPr>
      <w:r>
        <w:t>povzetek glavnih pripomb sodelujočih iz vsakega javnega posvetovanja, v katerem je navedeno, kako so bile obravnavane.</w:t>
      </w:r>
    </w:p>
    <w:p w14:paraId="1DF67D51" w14:textId="77777777" w:rsidR="00D1408F" w:rsidRPr="005C4E62" w:rsidRDefault="00D1408F" w:rsidP="00D1408F">
      <w:pPr>
        <w:pStyle w:val="Text2"/>
        <w:tabs>
          <w:tab w:val="clear" w:pos="2161"/>
          <w:tab w:val="left" w:leader="dot" w:pos="9072"/>
        </w:tabs>
        <w:spacing w:before="120" w:after="120"/>
        <w:ind w:left="709"/>
      </w:pPr>
      <w:r>
        <w:tab/>
      </w:r>
    </w:p>
    <w:p w14:paraId="14324766" w14:textId="77777777" w:rsidR="00D1408F" w:rsidRPr="005C4E62" w:rsidRDefault="00D1408F" w:rsidP="009A1814">
      <w:pPr>
        <w:pStyle w:val="NumPar2"/>
        <w:numPr>
          <w:ilvl w:val="1"/>
          <w:numId w:val="5"/>
        </w:numPr>
        <w:ind w:left="709" w:hanging="709"/>
      </w:pPr>
      <w:r>
        <w:t>Navedite, ali se bodo sprejeli dodatni zaščitni ukrepi za preprečevanje morebitne zlorabe socialnih kuponov. Če je odgovor pritrdilen, navedite podrobnosti</w:t>
      </w:r>
      <w:r w:rsidRPr="005C4E62">
        <w:rPr>
          <w:rStyle w:val="FootnoteReference"/>
        </w:rPr>
        <w:footnoteReference w:id="15"/>
      </w:r>
      <w:r>
        <w:t>.</w:t>
      </w:r>
    </w:p>
    <w:p w14:paraId="67E9C5A8" w14:textId="77777777" w:rsidR="00D1408F" w:rsidRPr="005C4E62" w:rsidRDefault="00D1408F" w:rsidP="00D1408F">
      <w:pPr>
        <w:pStyle w:val="Text2"/>
        <w:tabs>
          <w:tab w:val="clear" w:pos="2161"/>
          <w:tab w:val="left" w:leader="dot" w:pos="9072"/>
        </w:tabs>
        <w:spacing w:before="120" w:after="120"/>
        <w:ind w:left="709"/>
      </w:pPr>
      <w:r>
        <w:tab/>
      </w:r>
    </w:p>
    <w:p w14:paraId="0E50A151" w14:textId="77777777" w:rsidR="00D1408F" w:rsidRPr="005C4E62" w:rsidRDefault="00D1408F" w:rsidP="009A1814">
      <w:pPr>
        <w:pStyle w:val="NumPar2"/>
        <w:numPr>
          <w:ilvl w:val="1"/>
          <w:numId w:val="5"/>
        </w:numPr>
        <w:ind w:left="709" w:hanging="709"/>
      </w:pPr>
      <w:r>
        <w:t xml:space="preserve">Navedite, ali ukrep pomoči določa posebna pravila v zvezi z upravljanjem naročnine, med drugim glede predčasne prekinitve naročnine, možnosti prenosa naročnine na drugega ponudnika v obdobju, ki ga zajema kupon (če je možno, pod kakšnimi </w:t>
      </w:r>
      <w:r>
        <w:lastRenderedPageBreak/>
        <w:t>pogoji), nadaljevanja naročnine po izteku veljavnosti kupona. Če je odgovor pritrdilen, navedite podrobnosti.</w:t>
      </w:r>
    </w:p>
    <w:p w14:paraId="46494763"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54C2E481" w14:textId="77777777" w:rsidTr="00796043">
        <w:tc>
          <w:tcPr>
            <w:tcW w:w="9286" w:type="dxa"/>
            <w:shd w:val="clear" w:color="auto" w:fill="D9D9D9"/>
          </w:tcPr>
          <w:p w14:paraId="04448C31"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Kuponi za povezljivost</w:t>
            </w:r>
          </w:p>
        </w:tc>
      </w:tr>
    </w:tbl>
    <w:p w14:paraId="53C50540" w14:textId="77777777" w:rsidR="004D559F" w:rsidRPr="005C4E62" w:rsidRDefault="004D559F" w:rsidP="00450B69">
      <w:pPr>
        <w:pStyle w:val="NumPar2"/>
        <w:numPr>
          <w:ilvl w:val="1"/>
          <w:numId w:val="41"/>
        </w:numPr>
        <w:ind w:left="709" w:hanging="709"/>
      </w:pPr>
      <w:r>
        <w:t>Navedite, kateri vrsti končnih uporabnikov je ukrep namenjen:</w:t>
      </w:r>
    </w:p>
    <w:p w14:paraId="486740AA"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potrošnikom  </w:t>
      </w:r>
      <w:r>
        <w:tab/>
      </w:r>
      <w:r>
        <w:tab/>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podjetjem  </w:t>
      </w:r>
    </w:p>
    <w:p w14:paraId="3C28A07C" w14:textId="77777777" w:rsidR="009A1814" w:rsidRPr="005C4E62" w:rsidRDefault="009A1814" w:rsidP="009A1814">
      <w:pPr>
        <w:pStyle w:val="NumPar2"/>
        <w:numPr>
          <w:ilvl w:val="1"/>
          <w:numId w:val="41"/>
        </w:numPr>
        <w:ind w:left="709" w:hanging="709"/>
      </w:pPr>
      <w:r>
        <w:t xml:space="preserve">Pojasnite pogoje za upravičenost končnih uporabnikov do kuponov za povezljivost. </w:t>
      </w:r>
    </w:p>
    <w:p w14:paraId="7DA19002" w14:textId="77777777" w:rsidR="009A1814" w:rsidRPr="005C4E62" w:rsidRDefault="009A1814" w:rsidP="009A1814">
      <w:pPr>
        <w:pStyle w:val="Text2"/>
        <w:tabs>
          <w:tab w:val="clear" w:pos="2161"/>
          <w:tab w:val="left" w:leader="dot" w:pos="9072"/>
        </w:tabs>
        <w:spacing w:before="120" w:after="120"/>
        <w:ind w:left="709"/>
      </w:pPr>
      <w:r>
        <w:tab/>
      </w:r>
    </w:p>
    <w:p w14:paraId="3A1E8A33" w14:textId="77777777" w:rsidR="009A1814" w:rsidRPr="005C4E62" w:rsidRDefault="009A1814" w:rsidP="009A1814">
      <w:pPr>
        <w:pStyle w:val="NumPar2"/>
        <w:numPr>
          <w:ilvl w:val="1"/>
          <w:numId w:val="41"/>
        </w:numPr>
        <w:ind w:left="709" w:hanging="709"/>
      </w:pPr>
      <w:r>
        <w:t>Navedite oceno števila končnih uporabnikov, ki bi lahko bili upravičeni do ukrepa pomoči.</w:t>
      </w:r>
    </w:p>
    <w:p w14:paraId="40A8888A" w14:textId="77777777" w:rsidR="009A1814" w:rsidRPr="005C4E62" w:rsidRDefault="009A1814" w:rsidP="009A1814">
      <w:pPr>
        <w:pStyle w:val="Text2"/>
        <w:tabs>
          <w:tab w:val="clear" w:pos="2161"/>
          <w:tab w:val="left" w:leader="dot" w:pos="9072"/>
        </w:tabs>
        <w:spacing w:before="120" w:after="120"/>
        <w:ind w:left="709"/>
      </w:pPr>
      <w:r>
        <w:tab/>
      </w:r>
    </w:p>
    <w:p w14:paraId="1C8AF0F3" w14:textId="77777777" w:rsidR="00710B4A" w:rsidRPr="005C4E62" w:rsidRDefault="00710B4A" w:rsidP="00710B4A">
      <w:pPr>
        <w:pStyle w:val="NumPar2"/>
        <w:numPr>
          <w:ilvl w:val="1"/>
          <w:numId w:val="41"/>
        </w:numPr>
        <w:ind w:left="709" w:hanging="709"/>
      </w:pPr>
      <w:r>
        <w:t>Navedite upravičene ponudnike storitev.</w:t>
      </w:r>
    </w:p>
    <w:p w14:paraId="194A5373" w14:textId="77777777" w:rsidR="00710B4A" w:rsidRPr="005C4E62" w:rsidRDefault="00710B4A" w:rsidP="00710B4A">
      <w:pPr>
        <w:pStyle w:val="Text2"/>
        <w:tabs>
          <w:tab w:val="clear" w:pos="2161"/>
          <w:tab w:val="left" w:leader="dot" w:pos="9072"/>
        </w:tabs>
        <w:spacing w:before="120" w:after="120"/>
        <w:ind w:left="709"/>
      </w:pPr>
      <w:r>
        <w:tab/>
      </w:r>
    </w:p>
    <w:p w14:paraId="53702CF5" w14:textId="77777777" w:rsidR="009A1814" w:rsidRPr="005C4E62" w:rsidRDefault="009A1814" w:rsidP="009A1814">
      <w:pPr>
        <w:pStyle w:val="NumPar2"/>
        <w:numPr>
          <w:ilvl w:val="1"/>
          <w:numId w:val="41"/>
        </w:numPr>
        <w:ind w:left="709" w:hanging="709"/>
      </w:pPr>
      <w:r>
        <w:t>Navedite upravičene storitve, ki jih zajema ukrep pomoči (npr. v smislu hitrosti prenosa, hitrosti nalaganja itd.), in pojasnite, kako so vaši organi opredelili take storitve. V zvezi s tem navedite potrebe končnih uporabnikov, ki jih je mogoče zadovoljiti s povezavami, ki zagotavljajo upravičene storitve, ter predložite preverljiva dokazila o tem (npr. potrošniške raziskave, neodvisne študije)</w:t>
      </w:r>
      <w:r w:rsidR="00F47AC0" w:rsidRPr="005C4E62">
        <w:rPr>
          <w:rStyle w:val="FootnoteReference"/>
        </w:rPr>
        <w:footnoteReference w:id="16"/>
      </w:r>
      <w:r>
        <w:t>.</w:t>
      </w:r>
    </w:p>
    <w:p w14:paraId="1179861A" w14:textId="77777777" w:rsidR="009A1814" w:rsidRPr="005C4E62" w:rsidRDefault="009A1814" w:rsidP="009A1814">
      <w:pPr>
        <w:pStyle w:val="Text2"/>
        <w:tabs>
          <w:tab w:val="clear" w:pos="2161"/>
          <w:tab w:val="left" w:leader="dot" w:pos="9072"/>
        </w:tabs>
        <w:spacing w:before="120" w:after="120"/>
        <w:ind w:left="709"/>
      </w:pPr>
      <w:r>
        <w:tab/>
      </w:r>
    </w:p>
    <w:p w14:paraId="7E1A57C7" w14:textId="77777777" w:rsidR="00710B4A" w:rsidRPr="005C4E62" w:rsidRDefault="00710B4A" w:rsidP="009A1814">
      <w:pPr>
        <w:pStyle w:val="NumPar2"/>
        <w:numPr>
          <w:ilvl w:val="1"/>
          <w:numId w:val="41"/>
        </w:numPr>
        <w:ind w:left="709" w:hanging="709"/>
      </w:pPr>
      <w:r>
        <w:t>Navedite način uporabe kuponov in ga podrobneje opišite. Poleg tega potrdite, da se kuponi ne smejo uporabiti za ohranitev obstoječih naročnin</w:t>
      </w:r>
      <w:r w:rsidR="00F47AC0" w:rsidRPr="005C4E62">
        <w:rPr>
          <w:rStyle w:val="FootnoteReference"/>
        </w:rPr>
        <w:footnoteReference w:id="17"/>
      </w:r>
      <w:r>
        <w:t>.</w:t>
      </w:r>
    </w:p>
    <w:p w14:paraId="53A6604F"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naročnina na nove širokopasovne storitve; podroben opis:</w:t>
      </w:r>
    </w:p>
    <w:p w14:paraId="30C989A5" w14:textId="77777777" w:rsidR="00042ACA" w:rsidRPr="005C4E62" w:rsidRDefault="00042ACA" w:rsidP="00042ACA">
      <w:pPr>
        <w:pStyle w:val="NumPar2"/>
        <w:tabs>
          <w:tab w:val="clear" w:pos="360"/>
        </w:tabs>
        <w:ind w:left="709" w:firstLine="0"/>
      </w:pPr>
      <w:r>
        <w:t xml:space="preserve">………………………………………………………………………………………….. </w:t>
      </w:r>
    </w:p>
    <w:p w14:paraId="3EB25BB4"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nadgradnja obstoječih naročnin; podroben opis: </w:t>
      </w:r>
    </w:p>
    <w:p w14:paraId="5B74DD48" w14:textId="77777777" w:rsidR="00042ACA" w:rsidRPr="005C4E62" w:rsidRDefault="00042ACA" w:rsidP="00042ACA">
      <w:pPr>
        <w:pStyle w:val="NumPar2"/>
        <w:tabs>
          <w:tab w:val="clear" w:pos="360"/>
        </w:tabs>
        <w:ind w:left="709" w:firstLine="0"/>
      </w:pPr>
      <w:r>
        <w:t>…………………………………………………………………………………………...</w:t>
      </w:r>
    </w:p>
    <w:p w14:paraId="2D5A0BA4"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potrditev, da se kuponi ne smejo uporabiti za ohranitev obstoječih naročnin; podroben opis:</w:t>
      </w:r>
    </w:p>
    <w:p w14:paraId="727D6F69" w14:textId="77777777" w:rsidR="00710B4A" w:rsidRPr="005C4E62" w:rsidRDefault="00710B4A" w:rsidP="00710B4A">
      <w:pPr>
        <w:pStyle w:val="Text2"/>
        <w:tabs>
          <w:tab w:val="clear" w:pos="2161"/>
          <w:tab w:val="left" w:leader="dot" w:pos="9072"/>
        </w:tabs>
        <w:spacing w:before="120" w:after="120"/>
        <w:ind w:left="709"/>
      </w:pPr>
      <w:r>
        <w:tab/>
      </w:r>
    </w:p>
    <w:p w14:paraId="5128115F" w14:textId="77777777" w:rsidR="009A1814" w:rsidRPr="005C4E62" w:rsidRDefault="009A1814" w:rsidP="009A1814">
      <w:pPr>
        <w:pStyle w:val="NumPar2"/>
        <w:numPr>
          <w:ilvl w:val="1"/>
          <w:numId w:val="41"/>
        </w:numPr>
        <w:ind w:left="709" w:hanging="709"/>
      </w:pPr>
      <w:r>
        <w:t>Navedite upravičene stroške, ki jih zajema ukrep pomoči</w:t>
      </w:r>
      <w:r w:rsidR="00F47AC0" w:rsidRPr="005C4E62">
        <w:rPr>
          <w:rStyle w:val="FootnoteReference"/>
        </w:rPr>
        <w:footnoteReference w:id="18"/>
      </w:r>
      <w:r>
        <w:t>.</w:t>
      </w:r>
    </w:p>
    <w:p w14:paraId="092F37AA" w14:textId="77777777" w:rsidR="00E0556B" w:rsidRPr="005C4E62" w:rsidRDefault="00E0556B" w:rsidP="00450B69">
      <w:pPr>
        <w:pStyle w:val="Text2"/>
        <w:tabs>
          <w:tab w:val="clear" w:pos="2161"/>
          <w:tab w:val="left" w:leader="dot" w:pos="9072"/>
        </w:tabs>
        <w:spacing w:before="120" w:after="120"/>
        <w:ind w:left="709"/>
      </w:pPr>
      <w:r>
        <w:tab/>
      </w:r>
    </w:p>
    <w:p w14:paraId="7377398A" w14:textId="77777777" w:rsidR="009A1814" w:rsidRPr="005C4E62" w:rsidRDefault="009A1814" w:rsidP="009A1814">
      <w:pPr>
        <w:pStyle w:val="NumPar2"/>
        <w:numPr>
          <w:ilvl w:val="1"/>
          <w:numId w:val="41"/>
        </w:numPr>
        <w:ind w:left="709" w:hanging="709"/>
      </w:pPr>
      <w:r>
        <w:t>Navedite obliko in vrednost kuponov, na kakšen način je bila določena vrednost in kakšen odstotek zneska naročnine pokriva kupon</w:t>
      </w:r>
      <w:r w:rsidR="00F47AC0" w:rsidRPr="005C4E62">
        <w:rPr>
          <w:rStyle w:val="FootnoteReference"/>
        </w:rPr>
        <w:footnoteReference w:id="19"/>
      </w:r>
      <w:r>
        <w:t xml:space="preserve">. </w:t>
      </w:r>
    </w:p>
    <w:p w14:paraId="3FE75998" w14:textId="77777777" w:rsidR="009A1814" w:rsidRPr="005C4E62" w:rsidRDefault="009A1814" w:rsidP="009A1814">
      <w:pPr>
        <w:pStyle w:val="Text2"/>
        <w:tabs>
          <w:tab w:val="clear" w:pos="2161"/>
          <w:tab w:val="left" w:leader="dot" w:pos="9072"/>
        </w:tabs>
        <w:spacing w:before="120" w:after="120"/>
        <w:ind w:left="709"/>
      </w:pPr>
      <w:r>
        <w:tab/>
      </w:r>
    </w:p>
    <w:p w14:paraId="2964FCCE" w14:textId="77777777" w:rsidR="009A1814" w:rsidRPr="005C4E62" w:rsidRDefault="009A1814" w:rsidP="009A1814">
      <w:pPr>
        <w:pStyle w:val="NumPar2"/>
        <w:numPr>
          <w:ilvl w:val="1"/>
          <w:numId w:val="41"/>
        </w:numPr>
        <w:ind w:left="709" w:hanging="709"/>
        <w:rPr>
          <w:iCs/>
        </w:rPr>
      </w:pPr>
      <w:r>
        <w:lastRenderedPageBreak/>
        <w:t>Pojasnite, ali in kako je ukrep pomoči skladen z načelom tehnološke nevtralnosti</w:t>
      </w:r>
      <w:r w:rsidR="00F47AC0" w:rsidRPr="005C4E62">
        <w:rPr>
          <w:rStyle w:val="FootnoteReference"/>
          <w:iCs/>
        </w:rPr>
        <w:footnoteReference w:id="20"/>
      </w:r>
      <w:r>
        <w:t>.</w:t>
      </w:r>
    </w:p>
    <w:p w14:paraId="2243237C" w14:textId="77777777" w:rsidR="009A1814" w:rsidRPr="005C4E62" w:rsidRDefault="009A1814" w:rsidP="009A1814">
      <w:pPr>
        <w:pStyle w:val="Text2"/>
        <w:tabs>
          <w:tab w:val="clear" w:pos="2161"/>
          <w:tab w:val="left" w:leader="dot" w:pos="9072"/>
        </w:tabs>
        <w:spacing w:before="120" w:after="120"/>
        <w:ind w:left="709"/>
      </w:pPr>
      <w:r>
        <w:tab/>
      </w:r>
    </w:p>
    <w:p w14:paraId="04B50BD1" w14:textId="77777777" w:rsidR="009A1814" w:rsidRPr="005C4E62" w:rsidRDefault="009A1814" w:rsidP="009A1814">
      <w:pPr>
        <w:pStyle w:val="NumPar2"/>
        <w:numPr>
          <w:ilvl w:val="1"/>
          <w:numId w:val="41"/>
        </w:numPr>
        <w:ind w:left="709" w:hanging="709"/>
        <w:rPr>
          <w:iCs/>
        </w:rPr>
      </w:pPr>
      <w:r>
        <w:t>Da bi dokazali, da ukrep pomoči zagotavlja enako obravnavo vseh možnih ponudnikov storitev in potrošnikom ponuja najširšo možno izbiro dobaviteljev, potrdite (z navedbo ustreznih podrobnosti), da</w:t>
      </w:r>
      <w:r w:rsidR="00F47AC0" w:rsidRPr="005C4E62">
        <w:rPr>
          <w:rStyle w:val="FootnoteReference"/>
        </w:rPr>
        <w:footnoteReference w:id="21"/>
      </w:r>
      <w:r>
        <w:t xml:space="preserve">: </w:t>
      </w:r>
    </w:p>
    <w:p w14:paraId="3092F425" w14:textId="77777777" w:rsidR="009A1814" w:rsidRPr="005C4E62" w:rsidRDefault="009A1814" w:rsidP="004C1C63">
      <w:pPr>
        <w:pStyle w:val="NumPar2"/>
        <w:numPr>
          <w:ilvl w:val="4"/>
          <w:numId w:val="42"/>
        </w:numPr>
        <w:tabs>
          <w:tab w:val="clear" w:pos="1800"/>
        </w:tabs>
        <w:ind w:left="1418" w:hanging="709"/>
      </w:pPr>
      <w:r>
        <w:t>bo vzpostavljen spletni register vseh upravičenih ponudnikov storitev (ali druga enakovredna platforma);</w:t>
      </w:r>
    </w:p>
    <w:p w14:paraId="10ACF128" w14:textId="77777777" w:rsidR="009A1814" w:rsidRPr="005C4E62" w:rsidRDefault="009A1814" w:rsidP="009A1814">
      <w:pPr>
        <w:pStyle w:val="Text2"/>
        <w:tabs>
          <w:tab w:val="clear" w:pos="2161"/>
          <w:tab w:val="left" w:leader="dot" w:pos="9072"/>
        </w:tabs>
        <w:spacing w:before="120" w:after="120"/>
        <w:ind w:left="709"/>
      </w:pPr>
      <w:r>
        <w:tab/>
      </w:r>
    </w:p>
    <w:p w14:paraId="55AC4A78" w14:textId="77777777" w:rsidR="009A1814" w:rsidRPr="005C4E62" w:rsidRDefault="009A1814" w:rsidP="004C1C63">
      <w:pPr>
        <w:pStyle w:val="NumPar2"/>
        <w:numPr>
          <w:ilvl w:val="4"/>
          <w:numId w:val="42"/>
        </w:numPr>
        <w:tabs>
          <w:tab w:val="clear" w:pos="1800"/>
        </w:tabs>
        <w:ind w:left="1418" w:hanging="709"/>
      </w:pPr>
      <w:r>
        <w:t xml:space="preserve">imajo potrošniki pravico do vpogleda v register; </w:t>
      </w:r>
    </w:p>
    <w:p w14:paraId="4DB1CD9C" w14:textId="77777777" w:rsidR="009A1814" w:rsidRPr="005C4E62" w:rsidRDefault="009A1814" w:rsidP="009A1814">
      <w:pPr>
        <w:pStyle w:val="Text2"/>
        <w:tabs>
          <w:tab w:val="clear" w:pos="2161"/>
          <w:tab w:val="left" w:leader="dot" w:pos="9072"/>
        </w:tabs>
        <w:spacing w:before="120" w:after="120"/>
        <w:ind w:left="709"/>
      </w:pPr>
      <w:r>
        <w:tab/>
      </w:r>
    </w:p>
    <w:p w14:paraId="3929C8B7" w14:textId="77777777" w:rsidR="009A1814" w:rsidRPr="005C4E62" w:rsidRDefault="009A1814" w:rsidP="00D46D21">
      <w:pPr>
        <w:pStyle w:val="NumPar2"/>
        <w:numPr>
          <w:ilvl w:val="4"/>
          <w:numId w:val="42"/>
        </w:numPr>
        <w:tabs>
          <w:tab w:val="clear" w:pos="1800"/>
        </w:tabs>
        <w:ind w:left="1418" w:hanging="709"/>
      </w:pPr>
      <w:r>
        <w:t>lahko vsa podjetja, ki lahko zagotovijo upravičene širokopasovne storitve, zaprosijo za vključitev v register (ali drugo izbrano platformo);</w:t>
      </w:r>
    </w:p>
    <w:p w14:paraId="1305F5AA" w14:textId="77777777" w:rsidR="009A1814" w:rsidRPr="005C4E62" w:rsidRDefault="009A1814" w:rsidP="009A1814">
      <w:pPr>
        <w:pStyle w:val="Text2"/>
        <w:tabs>
          <w:tab w:val="clear" w:pos="2161"/>
          <w:tab w:val="left" w:leader="dot" w:pos="9072"/>
        </w:tabs>
        <w:spacing w:before="120" w:after="120"/>
        <w:ind w:left="709"/>
      </w:pPr>
      <w:r>
        <w:tab/>
        <w:t xml:space="preserve"> </w:t>
      </w:r>
    </w:p>
    <w:p w14:paraId="66AE44C9" w14:textId="77777777" w:rsidR="009A1814" w:rsidRPr="005C4E62" w:rsidRDefault="009A1814" w:rsidP="004C1C63">
      <w:pPr>
        <w:pStyle w:val="NumPar2"/>
        <w:numPr>
          <w:ilvl w:val="4"/>
          <w:numId w:val="42"/>
        </w:numPr>
        <w:tabs>
          <w:tab w:val="clear" w:pos="1800"/>
        </w:tabs>
        <w:ind w:left="1418" w:hanging="709"/>
      </w:pPr>
      <w:r>
        <w:t>register (ali druga izbrana platforma) zagotavlja dodatne informacije za pomoč potrošnikom (npr. vrsta storitev, ki jih zagotavljajo različna podjetja itd.). Če je odgovor pritrdilen, navedite dodatne informacije.</w:t>
      </w:r>
    </w:p>
    <w:p w14:paraId="4691BE8B" w14:textId="77777777" w:rsidR="009A1814" w:rsidRPr="005C4E62" w:rsidRDefault="009A1814" w:rsidP="009A1814">
      <w:pPr>
        <w:pStyle w:val="Text2"/>
        <w:tabs>
          <w:tab w:val="clear" w:pos="2161"/>
          <w:tab w:val="left" w:leader="dot" w:pos="9072"/>
        </w:tabs>
        <w:spacing w:before="120" w:after="120"/>
        <w:ind w:left="709"/>
      </w:pPr>
      <w:r>
        <w:tab/>
      </w:r>
    </w:p>
    <w:p w14:paraId="6047A712" w14:textId="77777777" w:rsidR="009A1814" w:rsidRPr="005C4E62" w:rsidRDefault="009A1814" w:rsidP="004C1C63">
      <w:pPr>
        <w:pStyle w:val="NumPar2"/>
        <w:numPr>
          <w:ilvl w:val="1"/>
          <w:numId w:val="41"/>
        </w:numPr>
        <w:ind w:left="709" w:hanging="709"/>
      </w:pPr>
      <w:r>
        <w:t>Podrobno pojasnite postopek izvajanja ukrepa pomoči.</w:t>
      </w:r>
    </w:p>
    <w:p w14:paraId="37E14FCE" w14:textId="77777777" w:rsidR="004D559F" w:rsidRPr="005C4E62" w:rsidRDefault="004D559F" w:rsidP="00450B69">
      <w:pPr>
        <w:pStyle w:val="Text2"/>
        <w:tabs>
          <w:tab w:val="clear" w:pos="2161"/>
          <w:tab w:val="left" w:leader="dot" w:pos="9072"/>
        </w:tabs>
        <w:spacing w:before="120" w:after="120"/>
        <w:ind w:left="709"/>
      </w:pPr>
      <w:r>
        <w:tab/>
      </w:r>
    </w:p>
    <w:p w14:paraId="59BF6BC0" w14:textId="77777777" w:rsidR="009A1814" w:rsidRPr="005C4E62" w:rsidRDefault="009A1814" w:rsidP="004C1C63">
      <w:pPr>
        <w:pStyle w:val="NumPar2"/>
        <w:numPr>
          <w:ilvl w:val="1"/>
          <w:numId w:val="41"/>
        </w:numPr>
        <w:ind w:left="709" w:hanging="709"/>
      </w:pPr>
      <w:r>
        <w:t>Javno posvetovanje. Navedite naslednje informacije</w:t>
      </w:r>
      <w:r w:rsidR="00E217F7" w:rsidRPr="005C4E62">
        <w:rPr>
          <w:rStyle w:val="FootnoteReference"/>
        </w:rPr>
        <w:footnoteReference w:id="22"/>
      </w:r>
      <w:r>
        <w:t>:</w:t>
      </w:r>
    </w:p>
    <w:p w14:paraId="1F957D64" w14:textId="77777777" w:rsidR="009A1814" w:rsidRPr="005C4E62" w:rsidRDefault="009A1814" w:rsidP="00186228">
      <w:pPr>
        <w:pStyle w:val="Text2"/>
        <w:numPr>
          <w:ilvl w:val="4"/>
          <w:numId w:val="48"/>
        </w:numPr>
        <w:tabs>
          <w:tab w:val="clear" w:pos="2161"/>
        </w:tabs>
        <w:spacing w:after="120"/>
        <w:ind w:hanging="1091"/>
      </w:pPr>
      <w:r>
        <w:t xml:space="preserve">začetne in končne datume vseh izvedenih javnih posvetovanj; </w:t>
      </w:r>
    </w:p>
    <w:p w14:paraId="44F83A99" w14:textId="77777777" w:rsidR="009A1814" w:rsidRPr="005C4E62" w:rsidRDefault="009A1814" w:rsidP="009A1814">
      <w:pPr>
        <w:pStyle w:val="Text2"/>
        <w:tabs>
          <w:tab w:val="clear" w:pos="2161"/>
          <w:tab w:val="left" w:leader="dot" w:pos="9072"/>
        </w:tabs>
        <w:spacing w:before="120" w:after="120"/>
        <w:ind w:left="709"/>
      </w:pPr>
      <w:r>
        <w:tab/>
      </w:r>
    </w:p>
    <w:p w14:paraId="01ECCE30" w14:textId="77777777" w:rsidR="009A1814" w:rsidRPr="005C4E62" w:rsidRDefault="009A1814" w:rsidP="00186228">
      <w:pPr>
        <w:pStyle w:val="Text2"/>
        <w:numPr>
          <w:ilvl w:val="4"/>
          <w:numId w:val="48"/>
        </w:numPr>
        <w:tabs>
          <w:tab w:val="clear" w:pos="2161"/>
        </w:tabs>
        <w:spacing w:after="120"/>
        <w:ind w:left="1418" w:hanging="709"/>
      </w:pPr>
      <w:r>
        <w:t xml:space="preserve">vsebino vseh javnih posvetovanj; </w:t>
      </w:r>
    </w:p>
    <w:p w14:paraId="74AEA94D" w14:textId="77777777" w:rsidR="009A1814" w:rsidRPr="005C4E62" w:rsidRDefault="009A1814" w:rsidP="009A1814">
      <w:pPr>
        <w:pStyle w:val="Text2"/>
        <w:tabs>
          <w:tab w:val="clear" w:pos="2161"/>
          <w:tab w:val="left" w:leader="dot" w:pos="9072"/>
        </w:tabs>
        <w:spacing w:before="120" w:after="120"/>
        <w:ind w:left="709"/>
      </w:pPr>
      <w:r>
        <w:tab/>
      </w:r>
    </w:p>
    <w:p w14:paraId="6BA1F312" w14:textId="77777777" w:rsidR="009A1814" w:rsidRPr="005C4E62" w:rsidRDefault="009A1814" w:rsidP="00186228">
      <w:pPr>
        <w:pStyle w:val="Text2"/>
        <w:numPr>
          <w:ilvl w:val="4"/>
          <w:numId w:val="48"/>
        </w:numPr>
        <w:tabs>
          <w:tab w:val="clear" w:pos="2161"/>
        </w:tabs>
        <w:spacing w:after="120"/>
        <w:ind w:left="1418" w:hanging="709"/>
      </w:pPr>
      <w:r>
        <w:t>javno dostopno spletišče (na regionalni in/ali nacionalni ravni), na katerem je bilo objavljeno posvetovanje;</w:t>
      </w:r>
    </w:p>
    <w:p w14:paraId="3EF6F34C" w14:textId="77777777" w:rsidR="009A1814" w:rsidRPr="005C4E62" w:rsidRDefault="009A1814" w:rsidP="009A1814">
      <w:pPr>
        <w:pStyle w:val="Text2"/>
        <w:tabs>
          <w:tab w:val="clear" w:pos="2161"/>
          <w:tab w:val="left" w:leader="dot" w:pos="9072"/>
        </w:tabs>
        <w:spacing w:before="120" w:after="120"/>
        <w:ind w:left="709"/>
      </w:pPr>
      <w:r>
        <w:tab/>
      </w:r>
    </w:p>
    <w:p w14:paraId="22E08AE5" w14:textId="77777777" w:rsidR="009A1814" w:rsidRPr="005C4E62" w:rsidRDefault="009A1814" w:rsidP="00186228">
      <w:pPr>
        <w:pStyle w:val="Text2"/>
        <w:numPr>
          <w:ilvl w:val="4"/>
          <w:numId w:val="48"/>
        </w:numPr>
        <w:tabs>
          <w:tab w:val="clear" w:pos="2161"/>
        </w:tabs>
        <w:spacing w:after="120"/>
        <w:ind w:left="1418" w:hanging="709"/>
      </w:pPr>
      <w:r>
        <w:t>povzetek glavnih pripomb sodelujočih iz vsakega javnega posvetovanja, v katerem je navedeno, kako so bile obravnavane.</w:t>
      </w:r>
    </w:p>
    <w:p w14:paraId="1B3D3654" w14:textId="77777777" w:rsidR="009A1814" w:rsidRPr="005C4E62" w:rsidRDefault="009A1814" w:rsidP="009A1814">
      <w:pPr>
        <w:pStyle w:val="Text2"/>
        <w:tabs>
          <w:tab w:val="clear" w:pos="2161"/>
          <w:tab w:val="left" w:leader="dot" w:pos="9072"/>
        </w:tabs>
        <w:spacing w:before="120" w:after="120"/>
        <w:ind w:left="709"/>
      </w:pPr>
      <w:r>
        <w:tab/>
      </w:r>
    </w:p>
    <w:p w14:paraId="165A04C4" w14:textId="77777777" w:rsidR="009A1814" w:rsidRPr="005C4E62" w:rsidRDefault="009A1814" w:rsidP="004C1C63">
      <w:pPr>
        <w:pStyle w:val="NumPar2"/>
        <w:numPr>
          <w:ilvl w:val="1"/>
          <w:numId w:val="41"/>
        </w:numPr>
        <w:ind w:left="709" w:hanging="709"/>
      </w:pPr>
      <w:r>
        <w:t>Navedite, ali se bodo sprejeli dodatni zaščitni ukrepi za preprečevanje morebitne zlorabe kuponov za povezljivost. Če je odgovor pritrdilen, navedite podrobnosti</w:t>
      </w:r>
      <w:r w:rsidRPr="005C4E62">
        <w:rPr>
          <w:rStyle w:val="FootnoteReference"/>
        </w:rPr>
        <w:footnoteReference w:id="23"/>
      </w:r>
      <w:r>
        <w:t>.</w:t>
      </w:r>
    </w:p>
    <w:p w14:paraId="16759B49" w14:textId="77777777" w:rsidR="009A1814" w:rsidRPr="005C4E62" w:rsidRDefault="009A1814" w:rsidP="009A1814">
      <w:pPr>
        <w:pStyle w:val="Text2"/>
        <w:tabs>
          <w:tab w:val="clear" w:pos="2161"/>
          <w:tab w:val="left" w:leader="dot" w:pos="9072"/>
        </w:tabs>
        <w:spacing w:before="120" w:after="120"/>
        <w:ind w:left="709"/>
      </w:pPr>
      <w:r>
        <w:tab/>
      </w:r>
    </w:p>
    <w:p w14:paraId="38D30F52" w14:textId="77777777" w:rsidR="009A1814" w:rsidRPr="005C4E62" w:rsidRDefault="009A1814" w:rsidP="004C1C63">
      <w:pPr>
        <w:pStyle w:val="NumPar2"/>
        <w:numPr>
          <w:ilvl w:val="1"/>
          <w:numId w:val="41"/>
        </w:numPr>
        <w:ind w:left="709" w:hanging="709"/>
      </w:pPr>
      <w:r>
        <w:t xml:space="preserve">Navedite, ali ukrep pomoči določa posebna pravila v zvezi z upravljanjem naročnine, med drugim glede predčasne prekinitve naročnine, možnosti prenosa naročnine na </w:t>
      </w:r>
      <w:r>
        <w:lastRenderedPageBreak/>
        <w:t>drugega ponudnika v obdobju, ki ga zajema kupon (če je možno, pod kakšnimi pogoji), nadaljevanja naročnine po izteku veljavnosti kupona. Če je odgovor pritrdilen, navedite podrobnosti.</w:t>
      </w:r>
    </w:p>
    <w:p w14:paraId="13FF816D" w14:textId="77777777" w:rsidR="009A1814" w:rsidRPr="005C4E62" w:rsidRDefault="009A1814" w:rsidP="009A1814">
      <w:pPr>
        <w:pStyle w:val="Text2"/>
        <w:tabs>
          <w:tab w:val="clear" w:pos="2161"/>
          <w:tab w:val="left" w:leader="dot" w:pos="9072"/>
        </w:tabs>
        <w:spacing w:before="120" w:after="120"/>
        <w:ind w:left="709"/>
      </w:pPr>
      <w:r>
        <w:tab/>
      </w:r>
    </w:p>
    <w:p w14:paraId="4C14F4C2" w14:textId="77777777" w:rsidR="00807BE5" w:rsidRPr="005C4E62" w:rsidRDefault="004C1C63" w:rsidP="00F47AC0">
      <w:pPr>
        <w:pStyle w:val="NumPar2"/>
        <w:numPr>
          <w:ilvl w:val="1"/>
          <w:numId w:val="41"/>
        </w:numPr>
        <w:ind w:left="709" w:hanging="709"/>
      </w:pPr>
      <w:r>
        <w:t>Navedite gospodarske dejavnosti, ki jih bo ukrep pomoči spodbujal s povečanjem povezljivosti in dostopa do zmogljivih širokopasovnih storitev, in pojasnite, kako se podpira razvoj teh dejavnosti</w:t>
      </w:r>
      <w:r w:rsidR="00807BE5" w:rsidRPr="005C4E62">
        <w:rPr>
          <w:rStyle w:val="FootnoteReference"/>
        </w:rPr>
        <w:footnoteReference w:id="24"/>
      </w:r>
      <w:r>
        <w:t>.</w:t>
      </w:r>
    </w:p>
    <w:p w14:paraId="5AFE9F3A" w14:textId="77777777" w:rsidR="00807BE5" w:rsidRPr="005C4E62" w:rsidRDefault="00807BE5" w:rsidP="00807BE5">
      <w:pPr>
        <w:pStyle w:val="Text2"/>
        <w:tabs>
          <w:tab w:val="clear" w:pos="2161"/>
          <w:tab w:val="left" w:leader="dot" w:pos="9072"/>
        </w:tabs>
        <w:spacing w:before="120" w:after="120"/>
        <w:ind w:left="709"/>
      </w:pPr>
      <w:r>
        <w:tab/>
      </w:r>
    </w:p>
    <w:p w14:paraId="752F4B5C" w14:textId="77777777" w:rsidR="00D46D21" w:rsidRPr="005C4E62" w:rsidRDefault="00F47AC0" w:rsidP="00D46D21">
      <w:pPr>
        <w:pStyle w:val="NumPar2"/>
        <w:numPr>
          <w:ilvl w:val="1"/>
          <w:numId w:val="41"/>
        </w:numPr>
        <w:ind w:left="709" w:hanging="709"/>
      </w:pPr>
      <w:r>
        <w:t>Predložite dokazila o spodbujevalnem učinku ukrepa pomoči</w:t>
      </w:r>
      <w:r w:rsidRPr="005C4E62">
        <w:rPr>
          <w:rStyle w:val="FootnoteReference"/>
        </w:rPr>
        <w:footnoteReference w:id="25"/>
      </w:r>
      <w:r>
        <w:t>.</w:t>
      </w:r>
    </w:p>
    <w:p w14:paraId="326AF9B7" w14:textId="77777777" w:rsidR="00D46D21" w:rsidRPr="005C4E62" w:rsidRDefault="00D46D21" w:rsidP="00D46D21">
      <w:pPr>
        <w:pStyle w:val="Text2"/>
        <w:tabs>
          <w:tab w:val="clear" w:pos="2161"/>
          <w:tab w:val="left" w:leader="dot" w:pos="9072"/>
        </w:tabs>
        <w:spacing w:before="120" w:after="120"/>
        <w:ind w:left="709"/>
      </w:pPr>
      <w:r>
        <w:tab/>
      </w:r>
    </w:p>
    <w:p w14:paraId="4CFAAD88" w14:textId="77777777" w:rsidR="00F47AC0" w:rsidRPr="005C4E62" w:rsidRDefault="00F47AC0" w:rsidP="00F47AC0">
      <w:pPr>
        <w:pStyle w:val="NumPar2"/>
        <w:numPr>
          <w:ilvl w:val="1"/>
          <w:numId w:val="41"/>
        </w:numPr>
        <w:ind w:left="709" w:hanging="709"/>
      </w:pPr>
      <w:r>
        <w:t>Potrdite, da ukrep pomoči, z njim povezani pogoji (vključno z metodo njegovega financiranja, kadar je ta metoda sestavni del pomoči) ali dejavnost, ki jo financira, ne pomenijo kršitve splošnih načel prava Unije:</w:t>
      </w:r>
    </w:p>
    <w:p w14:paraId="47E02242"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ne; v tem primeru pojasnite ……………………………..</w:t>
      </w:r>
    </w:p>
    <w:p w14:paraId="7C8F0E5F" w14:textId="77777777" w:rsidR="00C9528F" w:rsidRPr="005C4E62" w:rsidRDefault="00C9528F" w:rsidP="00F47AC0">
      <w:pPr>
        <w:pStyle w:val="NumPar2"/>
        <w:numPr>
          <w:ilvl w:val="1"/>
          <w:numId w:val="41"/>
        </w:numPr>
        <w:ind w:left="709" w:hanging="709"/>
      </w:pPr>
      <w:r>
        <w:t>Pojasnite, zakaj alternativni ukrepi namesto državne pomoči (npr. upravni ali regulativni ukrepi, tržni instrumenti, posojila, davčni ukrepi), ne morejo uresničiti ciljev ukrepa pomoči</w:t>
      </w:r>
      <w:r w:rsidR="006C4335" w:rsidRPr="005C4E62">
        <w:rPr>
          <w:rStyle w:val="FootnoteReference"/>
        </w:rPr>
        <w:footnoteReference w:id="26"/>
      </w:r>
      <w:r>
        <w:t>.</w:t>
      </w:r>
    </w:p>
    <w:p w14:paraId="17274EE5" w14:textId="77777777" w:rsidR="003759A4" w:rsidRPr="005C4E62" w:rsidRDefault="00C9528F" w:rsidP="00C9528F">
      <w:pPr>
        <w:pStyle w:val="Text2"/>
        <w:tabs>
          <w:tab w:val="clear" w:pos="2161"/>
          <w:tab w:val="left" w:leader="dot" w:pos="9072"/>
        </w:tabs>
        <w:spacing w:before="120" w:after="120"/>
        <w:ind w:left="709"/>
      </w:pPr>
      <w:r>
        <w:tab/>
      </w:r>
    </w:p>
    <w:p w14:paraId="5A0A6EBF" w14:textId="77777777" w:rsidR="00E217F7" w:rsidRPr="005C4E62" w:rsidRDefault="00E217F7" w:rsidP="00E217F7">
      <w:pPr>
        <w:pStyle w:val="NumPar2"/>
        <w:numPr>
          <w:ilvl w:val="1"/>
          <w:numId w:val="41"/>
        </w:numPr>
        <w:ind w:left="709" w:hanging="709"/>
        <w:rPr>
          <w:iCs/>
        </w:rPr>
      </w:pPr>
      <w:r>
        <w:t>Predložite oceno trga, ki vsebuje: (i) oceno tveganja, da ukrep pomoči nekaterim ponudnikom daje nesorazmerno prednost – na maloprodajni in/ali veleprodajni ravni – v škodo drugih, kar bi lahko okrepilo (lokalni) prevladujoči položaj na trgu; (ii) oceno dejanske potrebe po uvedbi kuponov za povezljivost, izdelano na podlagi primerjave razmer na območjih posredovanja z razmerami na drugih območjih države članice ali Unije; (iii) analizo trendov pri uporabi upravičenih storitev s strani končnih uporabnikov</w:t>
      </w:r>
      <w:r w:rsidRPr="005C4E62">
        <w:rPr>
          <w:rStyle w:val="FootnoteReference"/>
          <w:iCs/>
        </w:rPr>
        <w:footnoteReference w:id="27"/>
      </w:r>
      <w:r>
        <w:t>.</w:t>
      </w:r>
    </w:p>
    <w:p w14:paraId="5D478122" w14:textId="77777777" w:rsidR="00E217F7" w:rsidRPr="005C4E62" w:rsidRDefault="00E217F7" w:rsidP="00E217F7">
      <w:pPr>
        <w:pStyle w:val="Text2"/>
        <w:tabs>
          <w:tab w:val="clear" w:pos="2161"/>
          <w:tab w:val="left" w:leader="dot" w:pos="9072"/>
        </w:tabs>
        <w:spacing w:before="120" w:after="120"/>
        <w:ind w:left="709"/>
      </w:pPr>
      <w:r>
        <w:tab/>
      </w:r>
    </w:p>
    <w:p w14:paraId="1B31D6D6" w14:textId="77777777" w:rsidR="004D559F" w:rsidRPr="005C4E62" w:rsidRDefault="004D559F" w:rsidP="004D559F">
      <w:pPr>
        <w:pStyle w:val="NumPar2"/>
        <w:numPr>
          <w:ilvl w:val="1"/>
          <w:numId w:val="41"/>
        </w:numPr>
        <w:ind w:left="709" w:hanging="709"/>
      </w:pPr>
      <w:r>
        <w:t>Navedite, ali je kateri od upravičenih ponudnikov širokopasovnih storitev vertikalno integriran in ima maloprodajni tržni delež nad 25 %:</w:t>
      </w:r>
    </w:p>
    <w:p w14:paraId="620B8F48"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 xml:space="preserve">ne </w:t>
      </w:r>
    </w:p>
    <w:p w14:paraId="70849831" w14:textId="77777777" w:rsidR="004D559F" w:rsidRPr="005C4E62" w:rsidRDefault="004D559F" w:rsidP="004D559F">
      <w:pPr>
        <w:pStyle w:val="NumPar2"/>
        <w:numPr>
          <w:ilvl w:val="1"/>
          <w:numId w:val="41"/>
        </w:numPr>
        <w:ind w:left="709" w:hanging="709"/>
      </w:pPr>
      <w:r>
        <w:t>Če je odgovor na prejšnje vprašanje pritrdilen, potrdite, da bo vsak vertikalno integriran ponudnik širokopasovnih storitev, ki ima maloprodajni tržni delež nad 25 %, na ustreznem trgu veleprodajnega dostopa ponujal veleprodajne dostopovne izdelke, na podlagi katerih bo lahko vsak prosilec za dostop zagotavljal upravičene storitve pod odprtimi, preglednimi in nediskriminatornimi pogoji:</w:t>
      </w:r>
    </w:p>
    <w:p w14:paraId="29CF843E"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 xml:space="preserve">ne </w:t>
      </w:r>
    </w:p>
    <w:p w14:paraId="1910FC7E" w14:textId="77777777" w:rsidR="00E217F7" w:rsidRPr="005C4E62" w:rsidRDefault="00E217F7" w:rsidP="004D559F">
      <w:pPr>
        <w:pStyle w:val="NumPar2"/>
        <w:numPr>
          <w:ilvl w:val="1"/>
          <w:numId w:val="41"/>
        </w:numPr>
        <w:ind w:left="709" w:hanging="709"/>
      </w:pPr>
      <w:r>
        <w:t>Navedite trajanje ukrepa pomoči in obdobje veljavnosti kuponov za posameznega končnega uporabnika</w:t>
      </w:r>
      <w:r w:rsidRPr="005C4E62">
        <w:rPr>
          <w:vertAlign w:val="superscript"/>
        </w:rPr>
        <w:footnoteReference w:id="28"/>
      </w:r>
      <w:r>
        <w:t>.</w:t>
      </w:r>
    </w:p>
    <w:p w14:paraId="3BB32991" w14:textId="77777777" w:rsidR="00E217F7" w:rsidRPr="005C4E62" w:rsidRDefault="00E217F7" w:rsidP="004D559F">
      <w:pPr>
        <w:pStyle w:val="Text2"/>
        <w:tabs>
          <w:tab w:val="clear" w:pos="2161"/>
          <w:tab w:val="left" w:leader="dot" w:pos="9072"/>
        </w:tabs>
        <w:spacing w:before="120" w:after="120"/>
        <w:ind w:left="709"/>
      </w:pPr>
      <w:r>
        <w:tab/>
      </w:r>
    </w:p>
    <w:p w14:paraId="634E7791" w14:textId="77777777" w:rsidR="00AA0B7A" w:rsidRPr="005C4E62" w:rsidRDefault="00AA0B7A" w:rsidP="00AA0B7A">
      <w:pPr>
        <w:pStyle w:val="NumPar2"/>
        <w:numPr>
          <w:ilvl w:val="1"/>
          <w:numId w:val="41"/>
        </w:numPr>
        <w:ind w:left="709" w:hanging="709"/>
      </w:pPr>
      <w:r>
        <w:lastRenderedPageBreak/>
        <w:t>Pojasnite, katere možne neželene učinke bi lahko imel ukrep pomoči na konkurenco in trgovino ter kateri elementi pri zasnovi ukrepa bi lahko kar najbolj zmanjšali ta tveganja.</w:t>
      </w:r>
    </w:p>
    <w:p w14:paraId="544DD1FD"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7B095E9" w14:textId="77777777" w:rsidTr="00E27219">
        <w:tc>
          <w:tcPr>
            <w:tcW w:w="9356" w:type="dxa"/>
            <w:shd w:val="clear" w:color="auto" w:fill="D9D9D9"/>
          </w:tcPr>
          <w:p w14:paraId="487DA85B"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Druge informacije (v zvezi s socialnimi kuponi in kuponi za povezljivost)</w:t>
            </w:r>
          </w:p>
        </w:tc>
      </w:tr>
    </w:tbl>
    <w:p w14:paraId="6C73BFDE" w14:textId="77777777" w:rsidR="00A15706" w:rsidRPr="005C4E62" w:rsidRDefault="00215029" w:rsidP="001B5649">
      <w:pPr>
        <w:pStyle w:val="NumPar2"/>
        <w:numPr>
          <w:ilvl w:val="1"/>
          <w:numId w:val="44"/>
        </w:numPr>
        <w:ind w:left="709" w:hanging="709"/>
      </w:pPr>
      <w:r>
        <w:t>Pojasnite vlogo, ki jo ima nacionalni regulativni organ pri oblikovanju, izvajanju in spremljanju ukrepa pomoči.</w:t>
      </w:r>
    </w:p>
    <w:p w14:paraId="2F9498A4" w14:textId="77777777" w:rsidR="00E217F7" w:rsidRPr="005C4E62" w:rsidRDefault="00E217F7" w:rsidP="00E217F7">
      <w:pPr>
        <w:pStyle w:val="Text2"/>
        <w:tabs>
          <w:tab w:val="clear" w:pos="2161"/>
          <w:tab w:val="left" w:leader="dot" w:pos="9072"/>
        </w:tabs>
        <w:spacing w:before="120" w:after="120"/>
        <w:ind w:left="709"/>
      </w:pPr>
      <w:r>
        <w:tab/>
      </w:r>
    </w:p>
    <w:p w14:paraId="72B0A21E" w14:textId="77777777" w:rsidR="00A15706" w:rsidRPr="005C4E62" w:rsidRDefault="00A15706" w:rsidP="00AA0B7A">
      <w:pPr>
        <w:pStyle w:val="NumPar2"/>
        <w:numPr>
          <w:ilvl w:val="1"/>
          <w:numId w:val="44"/>
        </w:numPr>
        <w:ind w:left="709" w:hanging="709"/>
      </w:pPr>
      <w:r>
        <w:t>Predložite mnenje nacionalnega regulativnega organa o ukrepu pomoči (če je na voljo).</w:t>
      </w:r>
    </w:p>
    <w:p w14:paraId="7D48513B" w14:textId="77777777" w:rsidR="00A15706" w:rsidRPr="005C4E62" w:rsidRDefault="00A15706" w:rsidP="00A15706">
      <w:pPr>
        <w:pStyle w:val="Text2"/>
        <w:tabs>
          <w:tab w:val="clear" w:pos="2161"/>
          <w:tab w:val="left" w:leader="dot" w:pos="9072"/>
        </w:tabs>
        <w:spacing w:before="120" w:after="120"/>
        <w:ind w:left="709"/>
      </w:pPr>
      <w:r>
        <w:tab/>
      </w:r>
    </w:p>
    <w:p w14:paraId="5A6139D8" w14:textId="77777777" w:rsidR="00A15706" w:rsidRPr="005C4E62" w:rsidRDefault="00A15706" w:rsidP="00AA0B7A">
      <w:pPr>
        <w:pStyle w:val="NumPar2"/>
        <w:numPr>
          <w:ilvl w:val="1"/>
          <w:numId w:val="44"/>
        </w:numPr>
        <w:ind w:left="709" w:hanging="709"/>
      </w:pPr>
      <w:r>
        <w:t>Predložite mnenje nacionalnega organa, pristojnega za konkurenco, o ukrepu pomoči (če je na voljo).</w:t>
      </w:r>
    </w:p>
    <w:p w14:paraId="5EF50595" w14:textId="77777777" w:rsidR="00A15706" w:rsidRPr="005C4E62" w:rsidRDefault="009D198A" w:rsidP="00E217F7">
      <w:pPr>
        <w:pStyle w:val="Text2"/>
        <w:tabs>
          <w:tab w:val="clear" w:pos="2161"/>
          <w:tab w:val="left" w:leader="dot" w:pos="9072"/>
        </w:tabs>
        <w:spacing w:before="120" w:after="120"/>
        <w:ind w:left="709"/>
      </w:pPr>
      <w:r>
        <w:tab/>
      </w:r>
    </w:p>
    <w:p w14:paraId="78E41777" w14:textId="77777777" w:rsidR="00DE2831" w:rsidRPr="005C4E62" w:rsidRDefault="00DE2831" w:rsidP="00AA0B7A">
      <w:pPr>
        <w:pStyle w:val="NumPar2"/>
        <w:numPr>
          <w:ilvl w:val="1"/>
          <w:numId w:val="44"/>
        </w:numPr>
        <w:ind w:left="709" w:hanging="709"/>
      </w:pPr>
      <w:r>
        <w:t xml:space="preserve">Preglednost </w:t>
      </w:r>
    </w:p>
    <w:p w14:paraId="61653779" w14:textId="77777777" w:rsidR="00153D1B" w:rsidRPr="005C4E62" w:rsidRDefault="00A72D4E" w:rsidP="00E27219">
      <w:pPr>
        <w:pStyle w:val="NumPar2"/>
        <w:numPr>
          <w:ilvl w:val="0"/>
          <w:numId w:val="33"/>
        </w:numPr>
        <w:ind w:left="1418" w:hanging="709"/>
      </w:pPr>
      <w:r>
        <w:t>Potrdite, da bo država članica objavila (i) celotno besedilo sklepa o odobritvi ukrepa pomoči in njegovih izvedbenih določb (ali povezavo nanje) ter (ii) informacije o vsaki dodeljeni individualni pomoči, ki presega 100 000 EUR, v skladu s Prilogo II</w:t>
      </w:r>
      <w:r w:rsidR="00DE2831" w:rsidRPr="005C4E62">
        <w:rPr>
          <w:rStyle w:val="FootnoteReference"/>
          <w:iCs/>
        </w:rPr>
        <w:footnoteReference w:id="29"/>
      </w:r>
      <w:r>
        <w:t xml:space="preserve"> (v šestih mesecih od datuma dodelitve pomoči ali v primeru pomoči v obliki davčnih ugodnosti v enem letu od roka za oddajo davčne napovedi)</w:t>
      </w:r>
      <w:r w:rsidR="00DE2831" w:rsidRPr="005C4E62">
        <w:rPr>
          <w:rStyle w:val="FootnoteReference"/>
          <w:iCs/>
        </w:rPr>
        <w:footnoteReference w:id="30"/>
      </w:r>
      <w:r>
        <w:t>:</w:t>
      </w:r>
    </w:p>
    <w:p w14:paraId="030E17EB"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na spletišču Komisije za preglednost dodeljevanja pomoči</w:t>
      </w:r>
      <w:r w:rsidRPr="005C4E62">
        <w:rPr>
          <w:rStyle w:val="FootnoteReference"/>
        </w:rPr>
        <w:footnoteReference w:id="31"/>
      </w:r>
      <w:r>
        <w:t>,</w:t>
      </w:r>
    </w:p>
    <w:p w14:paraId="4EB8489E"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na celovitem spletišču o državni pomoči (z navedbo ustreznega spletnega naslova). V tem primeru navedite, ali gre za nacionalno ali regionalno spletišče</w:t>
      </w:r>
      <w:r w:rsidRPr="005C4E62">
        <w:rPr>
          <w:rStyle w:val="FootnoteReference"/>
        </w:rPr>
        <w:footnoteReference w:id="32"/>
      </w:r>
      <w:r>
        <w:t xml:space="preserve"> in je omogočen preprost dostop do informacij, navedenih na spletišču o pomoči (tj. splošni javnosti je treba omogočiti dostop do spletišča brez omejitev)</w:t>
      </w:r>
      <w:r w:rsidR="00DE2831" w:rsidRPr="005C4E62">
        <w:rPr>
          <w:rStyle w:val="FootnoteReference"/>
        </w:rPr>
        <w:footnoteReference w:id="33"/>
      </w:r>
      <w:r>
        <w:t>.</w:t>
      </w:r>
    </w:p>
    <w:p w14:paraId="0EC6C2B9" w14:textId="77777777" w:rsidR="008B2C0A" w:rsidRPr="005C4E62" w:rsidRDefault="008B2C0A" w:rsidP="00D46D21">
      <w:pPr>
        <w:pStyle w:val="Text2"/>
        <w:tabs>
          <w:tab w:val="clear" w:pos="2161"/>
          <w:tab w:val="left" w:leader="dot" w:pos="9072"/>
        </w:tabs>
        <w:spacing w:before="120" w:after="120"/>
        <w:ind w:left="709"/>
      </w:pPr>
      <w:r>
        <w:tab/>
      </w:r>
    </w:p>
    <w:p w14:paraId="7A28FE35" w14:textId="77777777" w:rsidR="00DE2831" w:rsidRPr="005C4E62" w:rsidRDefault="00DE2831" w:rsidP="00E27219">
      <w:pPr>
        <w:pStyle w:val="NumPar2"/>
        <w:numPr>
          <w:ilvl w:val="0"/>
          <w:numId w:val="33"/>
        </w:numPr>
        <w:ind w:left="1418" w:hanging="709"/>
      </w:pPr>
      <w:r>
        <w:t>Potrdite, da bodo informacije iz točke 4.4 na voljo najmanj 10 let od datuma dodelitve pomoči in bodo objavljene v obliki nelastniških preglednic, ki omogoča učinkovito iskanje, izpis in prenos ter enostavno objavo na spletu (na primer v formatu CSV ali XML):</w:t>
      </w:r>
    </w:p>
    <w:p w14:paraId="11AD30A4"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 xml:space="preserve"> ne</w:t>
      </w:r>
    </w:p>
    <w:p w14:paraId="3C2FC0F2" w14:textId="77777777" w:rsidR="00DE2831" w:rsidRPr="005C4E62" w:rsidRDefault="00DE2831" w:rsidP="00E27219">
      <w:pPr>
        <w:pStyle w:val="NumPar2"/>
        <w:numPr>
          <w:ilvl w:val="0"/>
          <w:numId w:val="33"/>
        </w:numPr>
        <w:ind w:left="1418" w:hanging="709"/>
      </w:pPr>
      <w:r>
        <w:t xml:space="preserve">Potrdite, da se za nezakonito pomoč, ki je pozneje razglašena za združljivo, ustrezne informacije objavijo na spletišču o državni pomoči (z navedbo </w:t>
      </w:r>
      <w:r>
        <w:lastRenderedPageBreak/>
        <w:t>ustreznega spletnega naslova) v šestih mesecih od datuma sklepa Komisije, s katerim je bila pomoč razglašena za združljivo</w:t>
      </w:r>
      <w:r w:rsidRPr="005C4E62">
        <w:rPr>
          <w:rStyle w:val="FootnoteReference"/>
        </w:rPr>
        <w:footnoteReference w:id="34"/>
      </w:r>
      <w:r>
        <w:t>:</w:t>
      </w:r>
    </w:p>
    <w:p w14:paraId="0F09D4B1"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 xml:space="preserve"> ne</w:t>
      </w:r>
    </w:p>
    <w:p w14:paraId="07313670" w14:textId="77777777" w:rsidR="004879A7" w:rsidRPr="005C4E62" w:rsidRDefault="004879A7" w:rsidP="00D46D21">
      <w:pPr>
        <w:pStyle w:val="NumPar2"/>
        <w:numPr>
          <w:ilvl w:val="1"/>
          <w:numId w:val="44"/>
        </w:numPr>
        <w:ind w:left="709" w:hanging="709"/>
      </w:pPr>
      <w:r>
        <w:t>Poročanje. Potrdite, da bodo vaši organi Komisiji predložili (i) letna poročila o vsakem ukrepu, odobrenem na podlagi smernic za širokopasovna omrežja, in (ii) vsaki dve leti poročilo s ključnimi informacijami o ukrepu pomoči, odobrenem na podlagi smernic za širokopasovna omrežja, v skladu s Prilogo III k smernicam za širokopasovna omrežja</w:t>
      </w:r>
      <w:r w:rsidRPr="005C4E62">
        <w:rPr>
          <w:rStyle w:val="FootnoteReference"/>
        </w:rPr>
        <w:footnoteReference w:id="35"/>
      </w:r>
      <w:r>
        <w:t>.</w:t>
      </w:r>
    </w:p>
    <w:p w14:paraId="060219A5" w14:textId="77777777" w:rsidR="004879A7" w:rsidRPr="005C4E62" w:rsidRDefault="004879A7" w:rsidP="004879A7">
      <w:pPr>
        <w:pStyle w:val="Text2"/>
        <w:tabs>
          <w:tab w:val="clear" w:pos="2161"/>
          <w:tab w:val="left" w:leader="dot" w:pos="9072"/>
        </w:tabs>
        <w:spacing w:before="120" w:after="120"/>
        <w:ind w:left="709"/>
      </w:pPr>
      <w:r>
        <w:tab/>
      </w:r>
    </w:p>
    <w:p w14:paraId="199E6FD6" w14:textId="77777777" w:rsidR="004879A7" w:rsidRPr="005C4E62" w:rsidRDefault="004879A7" w:rsidP="00AA0B7A">
      <w:pPr>
        <w:pStyle w:val="NumPar2"/>
        <w:numPr>
          <w:ilvl w:val="1"/>
          <w:numId w:val="44"/>
        </w:numPr>
        <w:ind w:left="709" w:hanging="709"/>
      </w:pPr>
      <w:r>
        <w:t>Spremljanje. Potrdite, da bodo vaši organi 10 let od datuma dodelitve pomoči hranili podrobne evidence v zvezi z vsemi ukrepi pomoči, ki vključujejo vse informacije, potrebne za določitev, ali so izpolnjeni vsi pogoji glede združljivosti iz smernic za širokopasovna omrežja, in se zavezujejo, da jih bodo na zahtevo predložili Komisiji</w:t>
      </w:r>
      <w:r w:rsidRPr="005C4E62">
        <w:rPr>
          <w:rStyle w:val="FootnoteReference"/>
        </w:rPr>
        <w:footnoteReference w:id="36"/>
      </w:r>
      <w:r>
        <w:t>.</w:t>
      </w:r>
    </w:p>
    <w:p w14:paraId="6E35349D" w14:textId="77777777" w:rsidR="00DE2831" w:rsidRPr="005C4E62" w:rsidRDefault="004879A7" w:rsidP="004879A7">
      <w:pPr>
        <w:pStyle w:val="Text2"/>
        <w:tabs>
          <w:tab w:val="clear" w:pos="2161"/>
          <w:tab w:val="left" w:leader="dot" w:pos="9072"/>
        </w:tabs>
        <w:spacing w:before="120" w:after="120"/>
        <w:ind w:left="709"/>
      </w:pPr>
      <w:r>
        <w:tab/>
      </w:r>
    </w:p>
    <w:p w14:paraId="0A305D01" w14:textId="77777777" w:rsidR="00C04E88" w:rsidRPr="005C4E62" w:rsidRDefault="00691333" w:rsidP="00AA0B7A">
      <w:pPr>
        <w:pStyle w:val="NumPar2"/>
        <w:numPr>
          <w:ilvl w:val="1"/>
          <w:numId w:val="44"/>
        </w:numPr>
        <w:ind w:left="709" w:hanging="709"/>
        <w:rPr>
          <w:i/>
        </w:rPr>
      </w:pPr>
      <w:r>
        <w:t xml:space="preserve">Navedite, ali se ukrep pomoči upošteva pri načrtu naknadnega ocenjevanja: </w:t>
      </w:r>
    </w:p>
    <w:p w14:paraId="7C6CAD7A"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ne; pojasnite, zakaj menite, da merila za načrt naknadnega ocenjevanja niso izpolnjena; </w:t>
      </w:r>
    </w:p>
    <w:p w14:paraId="70481169" w14:textId="77777777" w:rsidR="00C04E88" w:rsidRPr="005C4E62" w:rsidRDefault="00C04E88" w:rsidP="00C04E88">
      <w:pPr>
        <w:pStyle w:val="Text2"/>
        <w:tabs>
          <w:tab w:val="clear" w:pos="2161"/>
          <w:tab w:val="left" w:leader="dot" w:pos="9072"/>
        </w:tabs>
        <w:spacing w:before="120" w:after="120"/>
        <w:ind w:left="709"/>
      </w:pPr>
      <w:r>
        <w:tab/>
      </w:r>
    </w:p>
    <w:p w14:paraId="17D0DF29"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 xml:space="preserve"> da; če je odgovor pritrdilen, navedite, v skladu s katerimi merili se ukrep pomoči upošteva za naknadno ocenjevanje, in predložite ustrezne informacije o načrtu naknadnega ocenjevanja, opisanem v oddelku 8 smernic za širokopasovna omrežja.</w:t>
      </w:r>
    </w:p>
    <w:p w14:paraId="430DDEAB" w14:textId="77777777" w:rsidR="007B33E6" w:rsidRPr="005C4E62" w:rsidRDefault="00691333" w:rsidP="007B33E6">
      <w:pPr>
        <w:pStyle w:val="Text2"/>
        <w:tabs>
          <w:tab w:val="clear" w:pos="2161"/>
          <w:tab w:val="left" w:leader="dot" w:pos="9072"/>
        </w:tabs>
        <w:spacing w:before="120" w:after="120"/>
        <w:ind w:left="709"/>
      </w:pPr>
      <w:r>
        <w:tab/>
      </w:r>
    </w:p>
    <w:p w14:paraId="0624177F" w14:textId="77777777" w:rsidR="007B33E6" w:rsidRPr="005C4E62" w:rsidRDefault="007B33E6" w:rsidP="00AA0B7A">
      <w:pPr>
        <w:pStyle w:val="NumPar2"/>
        <w:numPr>
          <w:ilvl w:val="1"/>
          <w:numId w:val="44"/>
        </w:numPr>
        <w:ind w:left="709" w:hanging="709"/>
        <w:rPr>
          <w:b/>
          <w:bCs/>
        </w:rPr>
      </w:pPr>
      <w:r>
        <w:t>Navedite vse druge informacije, pomembne za oceno ukrepa pomoči iz smernic za širokopasovna omrežja, ali katere koli druge informacije, ki so pomembne z vidika pravil Unije o konkurenci in notranjem trgu.</w:t>
      </w:r>
    </w:p>
    <w:p w14:paraId="31A620A7" w14:textId="77777777" w:rsidR="007D7D41" w:rsidRPr="005C4E62" w:rsidRDefault="002A52F0" w:rsidP="00657CA5">
      <w:pPr>
        <w:tabs>
          <w:tab w:val="left" w:leader="dot" w:pos="9072"/>
        </w:tabs>
        <w:spacing w:before="120" w:after="240"/>
        <w:ind w:left="709"/>
        <w:jc w:val="both"/>
      </w:pPr>
      <w:r>
        <w:tab/>
      </w:r>
      <w:r>
        <w:tab/>
      </w:r>
    </w:p>
    <w:p w14:paraId="4D3F8560" w14:textId="77777777" w:rsidR="00C04E88" w:rsidRPr="005C4E62" w:rsidRDefault="00C04E88" w:rsidP="00AA0B7A">
      <w:pPr>
        <w:pStyle w:val="NumPar2"/>
        <w:numPr>
          <w:ilvl w:val="1"/>
          <w:numId w:val="44"/>
        </w:numPr>
        <w:ind w:left="709" w:hanging="709"/>
        <w:rPr>
          <w:iCs/>
          <w:noProof/>
        </w:rPr>
      </w:pPr>
      <w:r>
        <w:t>Navedite, ali ta obrazec za dodatne informacije vsebuje zaupne informacije, ki se ne smejo razkriti tretjim osebam</w:t>
      </w:r>
      <w:r w:rsidRPr="005C4E62">
        <w:rPr>
          <w:szCs w:val="20"/>
          <w:vertAlign w:val="superscript"/>
          <w:lang w:val="en-IE" w:eastAsia="en-US"/>
        </w:rPr>
        <w:footnoteReference w:id="37"/>
      </w:r>
      <w:r>
        <w:t>:</w:t>
      </w:r>
    </w:p>
    <w:p w14:paraId="18ECA47F"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301B3">
        <w:rPr>
          <w:b/>
        </w:rPr>
      </w:r>
      <w:r w:rsidR="00B301B3">
        <w:rPr>
          <w:b/>
        </w:rPr>
        <w:fldChar w:fldCharType="separate"/>
      </w:r>
      <w:r w:rsidRPr="005C4E62">
        <w:rPr>
          <w:b/>
        </w:rPr>
        <w:fldChar w:fldCharType="end"/>
      </w:r>
      <w:r>
        <w:rPr>
          <w:b/>
        </w:rPr>
        <w:t xml:space="preserve"> </w:t>
      </w:r>
      <w:r>
        <w:t>da; če je odgovor pritrdilen, označite zaupne informacije in navedite razloge za zaupnost;</w:t>
      </w:r>
    </w:p>
    <w:p w14:paraId="496F4FD6"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301B3">
        <w:rPr>
          <w:b/>
        </w:rPr>
      </w:r>
      <w:r w:rsidR="00B301B3">
        <w:rPr>
          <w:b/>
        </w:rPr>
        <w:fldChar w:fldCharType="separate"/>
      </w:r>
      <w:r w:rsidRPr="005C4E62">
        <w:rPr>
          <w:b/>
        </w:rPr>
        <w:fldChar w:fldCharType="end"/>
      </w:r>
      <w:r>
        <w:rPr>
          <w:b/>
        </w:rPr>
        <w:t xml:space="preserve"> </w:t>
      </w:r>
      <w:r>
        <w:t>ne</w:t>
      </w:r>
    </w:p>
    <w:p w14:paraId="4E56AB52" w14:textId="77777777" w:rsidR="00152F0E" w:rsidRPr="005C4E62" w:rsidRDefault="00152F0E" w:rsidP="00AA0B7A">
      <w:pPr>
        <w:pStyle w:val="NumPar2"/>
        <w:numPr>
          <w:ilvl w:val="1"/>
          <w:numId w:val="44"/>
        </w:numPr>
        <w:ind w:left="709" w:hanging="709"/>
        <w:rPr>
          <w:iCs/>
          <w:noProof/>
        </w:rPr>
      </w:pPr>
      <w:r>
        <w:t>Potrdite, da ukrep pomoči ni zajet v členu 52c uredbe o splošnih skupinskih izjemah</w:t>
      </w:r>
      <w:r w:rsidR="00FC09A8" w:rsidRPr="005C4E62">
        <w:rPr>
          <w:rStyle w:val="FootnoteReference"/>
        </w:rPr>
        <w:footnoteReference w:id="38"/>
      </w:r>
      <w:r>
        <w:t xml:space="preserve"> ali v uredbi </w:t>
      </w:r>
      <w:r>
        <w:rPr>
          <w:i/>
        </w:rPr>
        <w:t>de minimis</w:t>
      </w:r>
      <w:r w:rsidR="00C04E88" w:rsidRPr="005C4E62">
        <w:rPr>
          <w:rStyle w:val="FootnoteReference"/>
        </w:rPr>
        <w:footnoteReference w:id="39"/>
      </w:r>
      <w:r>
        <w:t>:</w:t>
      </w:r>
    </w:p>
    <w:p w14:paraId="6DF735D0" w14:textId="77777777" w:rsidR="00657CA5" w:rsidRDefault="00FC09A8" w:rsidP="00C04E88">
      <w:pPr>
        <w:spacing w:before="120" w:after="240"/>
        <w:ind w:firstLine="709"/>
        <w:jc w:val="both"/>
      </w:pPr>
      <w:r w:rsidRPr="005C4E62">
        <w:lastRenderedPageBreak/>
        <w:fldChar w:fldCharType="begin">
          <w:ffData>
            <w:name w:val="Check1"/>
            <w:enabled/>
            <w:calcOnExit w:val="0"/>
            <w:checkBox>
              <w:sizeAuto/>
              <w:default w:val="0"/>
            </w:checkBox>
          </w:ffData>
        </w:fldChar>
      </w:r>
      <w:r w:rsidRPr="005C4E62">
        <w:instrText xml:space="preserve"> FORMCHECKBOX </w:instrText>
      </w:r>
      <w:r w:rsidR="00B301B3">
        <w:fldChar w:fldCharType="separate"/>
      </w:r>
      <w:r w:rsidRPr="005C4E62">
        <w:fldChar w:fldCharType="end"/>
      </w:r>
      <w:r>
        <w:tab/>
        <w:t>da</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B301B3">
        <w:fldChar w:fldCharType="separate"/>
      </w:r>
      <w:r w:rsidR="008B2C0A" w:rsidRPr="005C4E62">
        <w:fldChar w:fldCharType="end"/>
      </w:r>
      <w:r>
        <w:tab/>
        <w:t xml:space="preserve"> ne</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48A93" w14:textId="77777777" w:rsidR="00327EA6" w:rsidRDefault="00327EA6" w:rsidP="007B33E6">
      <w:r>
        <w:separator/>
      </w:r>
    </w:p>
  </w:endnote>
  <w:endnote w:type="continuationSeparator" w:id="0">
    <w:p w14:paraId="2551C359"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EFF0E" w14:textId="77777777" w:rsidR="00327EA6" w:rsidRDefault="00327EA6" w:rsidP="007B33E6">
      <w:r>
        <w:separator/>
      </w:r>
    </w:p>
  </w:footnote>
  <w:footnote w:type="continuationSeparator" w:id="0">
    <w:p w14:paraId="20770915" w14:textId="77777777" w:rsidR="00327EA6" w:rsidRDefault="00327EA6" w:rsidP="007B33E6">
      <w:r>
        <w:continuationSeparator/>
      </w:r>
    </w:p>
  </w:footnote>
  <w:footnote w:id="1">
    <w:p w14:paraId="71012CD7" w14:textId="77777777" w:rsidR="007B33E6" w:rsidRPr="005C4E62" w:rsidRDefault="007B33E6" w:rsidP="007B33E6">
      <w:pPr>
        <w:pStyle w:val="FootnoteText"/>
        <w:rPr>
          <w:i/>
        </w:rPr>
      </w:pPr>
      <w:r>
        <w:rPr>
          <w:rStyle w:val="FootnoteReference"/>
        </w:rPr>
        <w:footnoteRef/>
      </w:r>
      <w:r>
        <w:tab/>
        <w:t>Smernice o državni pomoči za širokopasovna omrežja (UL C 36, 31.1.2023, str. 1).</w:t>
      </w:r>
    </w:p>
  </w:footnote>
  <w:footnote w:id="2">
    <w:p w14:paraId="552230DC" w14:textId="77777777" w:rsidR="001507A9" w:rsidRPr="005C4E62" w:rsidRDefault="001507A9">
      <w:pPr>
        <w:pStyle w:val="FootnoteText"/>
      </w:pPr>
      <w:r>
        <w:rPr>
          <w:rStyle w:val="FootnoteReference"/>
        </w:rPr>
        <w:footnoteRef/>
      </w:r>
      <w:r>
        <w:t xml:space="preserve"> </w:t>
      </w:r>
      <w:r>
        <w:tab/>
        <w:t>Odstavka 177 in 179.</w:t>
      </w:r>
    </w:p>
  </w:footnote>
  <w:footnote w:id="3">
    <w:p w14:paraId="1BB95266" w14:textId="77777777" w:rsidR="001507A9" w:rsidRPr="005C4E62" w:rsidRDefault="001507A9">
      <w:pPr>
        <w:pStyle w:val="FootnoteText"/>
      </w:pPr>
      <w:r>
        <w:rPr>
          <w:rStyle w:val="FootnoteReference"/>
        </w:rPr>
        <w:footnoteRef/>
      </w:r>
      <w:r>
        <w:t xml:space="preserve"> </w:t>
      </w:r>
      <w:r>
        <w:tab/>
        <w:t>Odstavek 181.</w:t>
      </w:r>
    </w:p>
  </w:footnote>
  <w:footnote w:id="4">
    <w:p w14:paraId="2F9ACACD" w14:textId="77777777" w:rsidR="001507A9" w:rsidRPr="005C4E62" w:rsidRDefault="001507A9">
      <w:pPr>
        <w:pStyle w:val="FootnoteText"/>
      </w:pPr>
      <w:r>
        <w:rPr>
          <w:rStyle w:val="FootnoteReference"/>
        </w:rPr>
        <w:footnoteRef/>
      </w:r>
      <w:r>
        <w:t xml:space="preserve"> </w:t>
      </w:r>
      <w:r>
        <w:tab/>
        <w:t>Odstavek 189.</w:t>
      </w:r>
    </w:p>
  </w:footnote>
  <w:footnote w:id="5">
    <w:p w14:paraId="6062F9B4" w14:textId="77777777" w:rsidR="006F5901" w:rsidRPr="005C4E62" w:rsidRDefault="006F5901" w:rsidP="006F5901">
      <w:pPr>
        <w:pStyle w:val="FootnoteText"/>
      </w:pPr>
      <w:r>
        <w:rPr>
          <w:rStyle w:val="FootnoteReference"/>
        </w:rPr>
        <w:footnoteRef/>
      </w:r>
      <w:r>
        <w:tab/>
        <w:t xml:space="preserve">Npr. Sklep (EU) 2022/2481 Evropskega parlamenta in Sveta z dne 14. decembra 2022 o vzpostavitvi programa politike Digitalno desetletje do leta 2030 (UL L 323, 19.12.2022, str. 4). </w:t>
      </w:r>
    </w:p>
  </w:footnote>
  <w:footnote w:id="6">
    <w:p w14:paraId="5012696C" w14:textId="77777777" w:rsidR="001507A9" w:rsidRPr="005C4E62" w:rsidRDefault="001507A9" w:rsidP="001507A9">
      <w:pPr>
        <w:pStyle w:val="FootnoteText"/>
      </w:pPr>
      <w:r>
        <w:rPr>
          <w:rStyle w:val="FootnoteReference"/>
        </w:rPr>
        <w:footnoteRef/>
      </w:r>
      <w:r>
        <w:t xml:space="preserve"> </w:t>
      </w:r>
      <w:r>
        <w:tab/>
        <w:t>Odstavek 175.</w:t>
      </w:r>
    </w:p>
  </w:footnote>
  <w:footnote w:id="7">
    <w:p w14:paraId="6D6337D0" w14:textId="77777777" w:rsidR="005A7B71" w:rsidRPr="005C4E62" w:rsidRDefault="005A7B71">
      <w:pPr>
        <w:pStyle w:val="FootnoteText"/>
        <w:rPr>
          <w:i/>
          <w:iCs/>
        </w:rPr>
      </w:pPr>
      <w:r>
        <w:rPr>
          <w:rStyle w:val="FootnoteReference"/>
        </w:rPr>
        <w:footnoteRef/>
      </w:r>
      <w:r>
        <w:t xml:space="preserve"> </w:t>
      </w:r>
      <w:r>
        <w:tab/>
        <w:t>Odstavek 19, točki (j) in (k). Glej tudi odstavek 20, zadnji stavek.</w:t>
      </w:r>
    </w:p>
  </w:footnote>
  <w:footnote w:id="8">
    <w:p w14:paraId="12610FC4" w14:textId="77777777" w:rsidR="007B5294" w:rsidRPr="005C4E62" w:rsidRDefault="007B5294" w:rsidP="007B5294">
      <w:pPr>
        <w:pStyle w:val="FootnoteText"/>
      </w:pPr>
      <w:r>
        <w:rPr>
          <w:rStyle w:val="FootnoteReference"/>
        </w:rPr>
        <w:footnoteRef/>
      </w:r>
      <w:r>
        <w:t xml:space="preserve"> </w:t>
      </w:r>
      <w:r>
        <w:tab/>
        <w:t>Odstavek 182.</w:t>
      </w:r>
    </w:p>
  </w:footnote>
  <w:footnote w:id="9">
    <w:p w14:paraId="30A68694" w14:textId="77777777" w:rsidR="00710B4A" w:rsidRPr="005C4E62" w:rsidRDefault="00710B4A" w:rsidP="00710B4A">
      <w:pPr>
        <w:pStyle w:val="FootnoteText"/>
      </w:pPr>
      <w:r>
        <w:rPr>
          <w:rStyle w:val="FootnoteReference"/>
        </w:rPr>
        <w:footnoteRef/>
      </w:r>
      <w:r>
        <w:t xml:space="preserve"> </w:t>
      </w:r>
      <w:r>
        <w:tab/>
        <w:t>Odstavek 184.</w:t>
      </w:r>
    </w:p>
  </w:footnote>
  <w:footnote w:id="10">
    <w:p w14:paraId="7F85B454" w14:textId="77777777" w:rsidR="007B5294" w:rsidRPr="005C4E62" w:rsidRDefault="007B5294" w:rsidP="007B5294">
      <w:pPr>
        <w:pStyle w:val="FootnoteText"/>
      </w:pPr>
      <w:r>
        <w:rPr>
          <w:rStyle w:val="FootnoteReference"/>
        </w:rPr>
        <w:footnoteRef/>
      </w:r>
      <w:r>
        <w:t xml:space="preserve"> </w:t>
      </w:r>
      <w:r>
        <w:tab/>
        <w:t xml:space="preserve">Odstavek 183. </w:t>
      </w:r>
    </w:p>
  </w:footnote>
  <w:footnote w:id="11">
    <w:p w14:paraId="4763EF2E" w14:textId="77777777" w:rsidR="00E101F1" w:rsidRPr="005C4E62" w:rsidRDefault="00E101F1" w:rsidP="00E101F1">
      <w:pPr>
        <w:pStyle w:val="FootnoteText"/>
      </w:pPr>
      <w:r>
        <w:rPr>
          <w:rStyle w:val="FootnoteReference"/>
        </w:rPr>
        <w:footnoteRef/>
      </w:r>
      <w:r>
        <w:t xml:space="preserve"> </w:t>
      </w:r>
      <w:r>
        <w:tab/>
        <w:t>Odstavek 185.</w:t>
      </w:r>
    </w:p>
  </w:footnote>
  <w:footnote w:id="12">
    <w:p w14:paraId="5FDB8A81" w14:textId="77777777" w:rsidR="00E101F1" w:rsidRPr="005C4E62" w:rsidRDefault="00E101F1" w:rsidP="00E101F1">
      <w:pPr>
        <w:pStyle w:val="FootnoteText"/>
      </w:pPr>
      <w:r>
        <w:rPr>
          <w:rStyle w:val="FootnoteReference"/>
        </w:rPr>
        <w:footnoteRef/>
      </w:r>
      <w:r>
        <w:t xml:space="preserve"> </w:t>
      </w:r>
      <w:r>
        <w:tab/>
        <w:t>Odstavek 185.</w:t>
      </w:r>
    </w:p>
  </w:footnote>
  <w:footnote w:id="13">
    <w:p w14:paraId="045D6C0E" w14:textId="77777777" w:rsidR="00C90B4D" w:rsidRPr="005C4E62" w:rsidRDefault="00C90B4D" w:rsidP="00C90B4D">
      <w:pPr>
        <w:pStyle w:val="FootnoteText"/>
      </w:pPr>
      <w:r>
        <w:rPr>
          <w:rStyle w:val="FootnoteReference"/>
        </w:rPr>
        <w:footnoteRef/>
      </w:r>
      <w:r>
        <w:t xml:space="preserve"> </w:t>
      </w:r>
      <w:r>
        <w:tab/>
        <w:t>Odstavek 185.</w:t>
      </w:r>
    </w:p>
  </w:footnote>
  <w:footnote w:id="14">
    <w:p w14:paraId="0F070BDD" w14:textId="77777777" w:rsidR="00D1408F" w:rsidRPr="005C4E62" w:rsidRDefault="00D1408F">
      <w:pPr>
        <w:pStyle w:val="FootnoteText"/>
      </w:pPr>
      <w:r>
        <w:rPr>
          <w:rStyle w:val="FootnoteReference"/>
        </w:rPr>
        <w:footnoteRef/>
      </w:r>
      <w:r>
        <w:t xml:space="preserve"> </w:t>
      </w:r>
      <w:r>
        <w:tab/>
        <w:t>Odstavek 186.</w:t>
      </w:r>
    </w:p>
  </w:footnote>
  <w:footnote w:id="15">
    <w:p w14:paraId="1C5EC84C" w14:textId="77777777" w:rsidR="00D1408F" w:rsidRPr="005C4E62" w:rsidRDefault="00D1408F">
      <w:pPr>
        <w:pStyle w:val="FootnoteText"/>
      </w:pPr>
      <w:r>
        <w:rPr>
          <w:rStyle w:val="FootnoteReference"/>
        </w:rPr>
        <w:footnoteRef/>
      </w:r>
      <w:r>
        <w:t xml:space="preserve"> </w:t>
      </w:r>
      <w:r>
        <w:tab/>
        <w:t>Odstavek 187.</w:t>
      </w:r>
    </w:p>
  </w:footnote>
  <w:footnote w:id="16">
    <w:p w14:paraId="7B36C91F" w14:textId="77777777" w:rsidR="00F47AC0" w:rsidRPr="005C4E62" w:rsidRDefault="00F47AC0">
      <w:pPr>
        <w:pStyle w:val="FootnoteText"/>
      </w:pPr>
      <w:r>
        <w:rPr>
          <w:rStyle w:val="FootnoteReference"/>
        </w:rPr>
        <w:footnoteRef/>
      </w:r>
      <w:r>
        <w:t xml:space="preserve"> </w:t>
      </w:r>
      <w:r>
        <w:tab/>
        <w:t>Odstavek 194.</w:t>
      </w:r>
    </w:p>
  </w:footnote>
  <w:footnote w:id="17">
    <w:p w14:paraId="7FCEAF55" w14:textId="77777777" w:rsidR="00F47AC0" w:rsidRPr="005C4E62" w:rsidRDefault="00F47AC0">
      <w:pPr>
        <w:pStyle w:val="FootnoteText"/>
      </w:pPr>
      <w:r>
        <w:rPr>
          <w:rStyle w:val="FootnoteReference"/>
        </w:rPr>
        <w:footnoteRef/>
      </w:r>
      <w:r>
        <w:t xml:space="preserve"> </w:t>
      </w:r>
      <w:r>
        <w:tab/>
        <w:t>Odstavek 195.</w:t>
      </w:r>
    </w:p>
  </w:footnote>
  <w:footnote w:id="18">
    <w:p w14:paraId="3729407F" w14:textId="77777777" w:rsidR="00F47AC0" w:rsidRPr="005C4E62" w:rsidRDefault="00F47AC0">
      <w:pPr>
        <w:pStyle w:val="FootnoteText"/>
      </w:pPr>
      <w:r>
        <w:rPr>
          <w:rStyle w:val="FootnoteReference"/>
        </w:rPr>
        <w:footnoteRef/>
      </w:r>
      <w:r>
        <w:t xml:space="preserve"> </w:t>
      </w:r>
      <w:r>
        <w:tab/>
        <w:t>Odstavek 193.</w:t>
      </w:r>
    </w:p>
  </w:footnote>
  <w:footnote w:id="19">
    <w:p w14:paraId="449C2247" w14:textId="77777777" w:rsidR="00F47AC0" w:rsidRPr="005C4E62" w:rsidRDefault="00F47AC0">
      <w:pPr>
        <w:pStyle w:val="FootnoteText"/>
      </w:pPr>
      <w:r>
        <w:rPr>
          <w:rStyle w:val="FootnoteReference"/>
        </w:rPr>
        <w:footnoteRef/>
      </w:r>
      <w:r>
        <w:t xml:space="preserve"> </w:t>
      </w:r>
      <w:r>
        <w:tab/>
        <w:t>Odstavek 193.</w:t>
      </w:r>
    </w:p>
  </w:footnote>
  <w:footnote w:id="20">
    <w:p w14:paraId="34DBC4FA" w14:textId="77777777" w:rsidR="00F47AC0" w:rsidRPr="005C4E62" w:rsidRDefault="00F47AC0">
      <w:pPr>
        <w:pStyle w:val="FootnoteText"/>
      </w:pPr>
      <w:r>
        <w:rPr>
          <w:rStyle w:val="FootnoteReference"/>
        </w:rPr>
        <w:footnoteRef/>
      </w:r>
      <w:r>
        <w:t xml:space="preserve"> </w:t>
      </w:r>
      <w:r>
        <w:tab/>
        <w:t>Odstavek 196. Glej tudi odstavek 194.</w:t>
      </w:r>
    </w:p>
  </w:footnote>
  <w:footnote w:id="21">
    <w:p w14:paraId="6E2073B9" w14:textId="77777777" w:rsidR="00F47AC0" w:rsidRPr="005C4E62" w:rsidRDefault="00F47AC0">
      <w:pPr>
        <w:pStyle w:val="FootnoteText"/>
      </w:pPr>
      <w:r>
        <w:rPr>
          <w:rStyle w:val="FootnoteReference"/>
        </w:rPr>
        <w:footnoteRef/>
      </w:r>
      <w:r>
        <w:t xml:space="preserve"> </w:t>
      </w:r>
      <w:r>
        <w:tab/>
        <w:t>Odstavek 196.</w:t>
      </w:r>
    </w:p>
  </w:footnote>
  <w:footnote w:id="22">
    <w:p w14:paraId="6E04764B" w14:textId="77777777" w:rsidR="00E217F7" w:rsidRPr="005C4E62" w:rsidRDefault="00E217F7">
      <w:pPr>
        <w:pStyle w:val="FootnoteText"/>
      </w:pPr>
      <w:r>
        <w:rPr>
          <w:rStyle w:val="FootnoteReference"/>
        </w:rPr>
        <w:footnoteRef/>
      </w:r>
      <w:r>
        <w:t xml:space="preserve"> </w:t>
      </w:r>
      <w:r>
        <w:tab/>
        <w:t>Odstavek 198.</w:t>
      </w:r>
    </w:p>
  </w:footnote>
  <w:footnote w:id="23">
    <w:p w14:paraId="3C3AFF47" w14:textId="77777777" w:rsidR="009A1814" w:rsidRPr="005C4E62" w:rsidRDefault="009A1814" w:rsidP="009A1814">
      <w:pPr>
        <w:pStyle w:val="FootnoteText"/>
      </w:pPr>
      <w:r>
        <w:rPr>
          <w:rStyle w:val="FootnoteReference"/>
        </w:rPr>
        <w:footnoteRef/>
      </w:r>
      <w:r>
        <w:t xml:space="preserve"> </w:t>
      </w:r>
      <w:r>
        <w:tab/>
        <w:t>Odstavek 187.</w:t>
      </w:r>
    </w:p>
  </w:footnote>
  <w:footnote w:id="24">
    <w:p w14:paraId="3E600D27" w14:textId="77777777" w:rsidR="00807BE5" w:rsidRPr="005C4E62" w:rsidRDefault="00807BE5" w:rsidP="00807BE5">
      <w:pPr>
        <w:pStyle w:val="FootnoteText"/>
      </w:pPr>
      <w:r>
        <w:rPr>
          <w:rStyle w:val="FootnoteReference"/>
        </w:rPr>
        <w:footnoteRef/>
      </w:r>
      <w:r>
        <w:t xml:space="preserve"> </w:t>
      </w:r>
      <w:r>
        <w:tab/>
        <w:t>Odstavek 191.</w:t>
      </w:r>
    </w:p>
  </w:footnote>
  <w:footnote w:id="25">
    <w:p w14:paraId="05E55A27" w14:textId="77777777" w:rsidR="00F47AC0" w:rsidRPr="005C4E62" w:rsidRDefault="00F47AC0" w:rsidP="00F47AC0">
      <w:pPr>
        <w:pStyle w:val="FootnoteText"/>
      </w:pPr>
      <w:r>
        <w:rPr>
          <w:rStyle w:val="FootnoteReference"/>
        </w:rPr>
        <w:footnoteRef/>
      </w:r>
      <w:r>
        <w:t xml:space="preserve"> </w:t>
      </w:r>
      <w:r>
        <w:tab/>
        <w:t>Odstavek 192. Za opredelitev spodbujevalnega učinka glej odstavek 38.</w:t>
      </w:r>
    </w:p>
  </w:footnote>
  <w:footnote w:id="26">
    <w:p w14:paraId="4AC03A7F" w14:textId="77777777" w:rsidR="006C4335" w:rsidRPr="005C4E62" w:rsidRDefault="006C4335">
      <w:pPr>
        <w:pStyle w:val="FootnoteText"/>
      </w:pPr>
      <w:r>
        <w:rPr>
          <w:rStyle w:val="FootnoteReference"/>
        </w:rPr>
        <w:footnoteRef/>
      </w:r>
      <w:r>
        <w:t xml:space="preserve"> </w:t>
      </w:r>
      <w:r>
        <w:tab/>
        <w:t>Odstavek 194.</w:t>
      </w:r>
    </w:p>
  </w:footnote>
  <w:footnote w:id="27">
    <w:p w14:paraId="4B90FA0B" w14:textId="77777777" w:rsidR="00E217F7" w:rsidRPr="005C4E62" w:rsidRDefault="00E217F7">
      <w:pPr>
        <w:pStyle w:val="FootnoteText"/>
      </w:pPr>
      <w:r>
        <w:rPr>
          <w:rStyle w:val="FootnoteReference"/>
        </w:rPr>
        <w:footnoteRef/>
      </w:r>
      <w:r>
        <w:t xml:space="preserve"> </w:t>
      </w:r>
      <w:r>
        <w:tab/>
        <w:t>Odstavek 197. Glej tudi odstavek 195.</w:t>
      </w:r>
    </w:p>
  </w:footnote>
  <w:footnote w:id="28">
    <w:p w14:paraId="13D56505" w14:textId="77777777" w:rsidR="00E217F7" w:rsidRPr="005C4E62" w:rsidRDefault="00E217F7">
      <w:pPr>
        <w:pStyle w:val="FootnoteText"/>
      </w:pPr>
      <w:r>
        <w:rPr>
          <w:rStyle w:val="FootnoteReference"/>
        </w:rPr>
        <w:footnoteRef/>
      </w:r>
      <w:r>
        <w:t xml:space="preserve"> </w:t>
      </w:r>
      <w:r>
        <w:tab/>
        <w:t>Odstavek 200.</w:t>
      </w:r>
    </w:p>
  </w:footnote>
  <w:footnote w:id="29">
    <w:p w14:paraId="7C912F4E" w14:textId="77777777" w:rsidR="00DE2831" w:rsidRPr="005C4E62" w:rsidRDefault="00DE2831">
      <w:pPr>
        <w:pStyle w:val="FootnoteText"/>
      </w:pPr>
      <w:r>
        <w:rPr>
          <w:rStyle w:val="FootnoteReference"/>
        </w:rPr>
        <w:footnoteRef/>
      </w:r>
      <w:r>
        <w:t xml:space="preserve"> </w:t>
      </w:r>
      <w:r>
        <w:tab/>
        <w:t>Odstavek 202.</w:t>
      </w:r>
    </w:p>
  </w:footnote>
  <w:footnote w:id="30">
    <w:p w14:paraId="68D0AFE8" w14:textId="77777777" w:rsidR="00DE2831" w:rsidRPr="005C4E62" w:rsidRDefault="00DE2831">
      <w:pPr>
        <w:pStyle w:val="FootnoteText"/>
      </w:pPr>
      <w:r>
        <w:rPr>
          <w:rStyle w:val="FootnoteReference"/>
        </w:rPr>
        <w:footnoteRef/>
      </w:r>
      <w:r>
        <w:t xml:space="preserve"> </w:t>
      </w:r>
      <w:r>
        <w:tab/>
        <w:t>Odstavek 203.</w:t>
      </w:r>
    </w:p>
  </w:footnote>
  <w:footnote w:id="31">
    <w:p w14:paraId="28F938C4" w14:textId="77777777" w:rsidR="00153D1B" w:rsidRPr="005C4E62" w:rsidRDefault="00153D1B">
      <w:pPr>
        <w:pStyle w:val="FootnoteText"/>
      </w:pPr>
      <w:r>
        <w:rPr>
          <w:rStyle w:val="FootnoteReference"/>
        </w:rPr>
        <w:footnoteRef/>
      </w:r>
      <w:r>
        <w:t xml:space="preserve"> </w:t>
      </w:r>
      <w:r>
        <w:tab/>
        <w:t xml:space="preserve">Na voljo na: </w:t>
      </w:r>
      <w:hyperlink r:id="rId1" w:history="1">
        <w:r>
          <w:rPr>
            <w:rStyle w:val="Hyperlink"/>
          </w:rPr>
          <w:t>https://webgate.ec.europa.eu/competition/transparency/public?lang=sl</w:t>
        </w:r>
      </w:hyperlink>
      <w:r>
        <w:t xml:space="preserve">. </w:t>
      </w:r>
    </w:p>
  </w:footnote>
  <w:footnote w:id="32">
    <w:p w14:paraId="7C0376BD" w14:textId="77777777" w:rsidR="00153D1B" w:rsidRPr="005C4E62" w:rsidRDefault="00153D1B">
      <w:pPr>
        <w:pStyle w:val="FootnoteText"/>
      </w:pPr>
      <w:r>
        <w:rPr>
          <w:rStyle w:val="FootnoteReference"/>
        </w:rPr>
        <w:footnoteRef/>
      </w:r>
      <w:r>
        <w:t xml:space="preserve"> </w:t>
      </w:r>
      <w:r>
        <w:tab/>
        <w:t>Odstavek 202.</w:t>
      </w:r>
    </w:p>
  </w:footnote>
  <w:footnote w:id="33">
    <w:p w14:paraId="2BEF3210" w14:textId="77777777" w:rsidR="00DE2831" w:rsidRPr="005C4E62" w:rsidRDefault="00DE2831" w:rsidP="00DE2831">
      <w:pPr>
        <w:pStyle w:val="FootnoteText"/>
      </w:pPr>
      <w:r>
        <w:rPr>
          <w:rStyle w:val="FootnoteReference"/>
        </w:rPr>
        <w:footnoteRef/>
      </w:r>
      <w:r>
        <w:t xml:space="preserve"> </w:t>
      </w:r>
      <w:r>
        <w:tab/>
        <w:t>Odstavek 204.</w:t>
      </w:r>
    </w:p>
  </w:footnote>
  <w:footnote w:id="34">
    <w:p w14:paraId="12605DF7" w14:textId="77777777" w:rsidR="00DE2831" w:rsidRPr="005C4E62" w:rsidRDefault="00DE2831" w:rsidP="00DE2831">
      <w:pPr>
        <w:pStyle w:val="FootnoteText"/>
      </w:pPr>
      <w:r>
        <w:rPr>
          <w:rStyle w:val="FootnoteReference"/>
        </w:rPr>
        <w:footnoteRef/>
      </w:r>
      <w:r>
        <w:t xml:space="preserve"> </w:t>
      </w:r>
      <w:r>
        <w:tab/>
        <w:t>Odstavek 204.</w:t>
      </w:r>
    </w:p>
  </w:footnote>
  <w:footnote w:id="35">
    <w:p w14:paraId="16019184" w14:textId="77777777" w:rsidR="004879A7" w:rsidRPr="005C4E62" w:rsidRDefault="004879A7">
      <w:pPr>
        <w:pStyle w:val="FootnoteText"/>
      </w:pPr>
      <w:r>
        <w:rPr>
          <w:rStyle w:val="FootnoteReference"/>
        </w:rPr>
        <w:footnoteRef/>
      </w:r>
      <w:r>
        <w:t xml:space="preserve"> </w:t>
      </w:r>
      <w:r>
        <w:tab/>
        <w:t>Odstavka 207 in 208.</w:t>
      </w:r>
    </w:p>
  </w:footnote>
  <w:footnote w:id="36">
    <w:p w14:paraId="5538450D" w14:textId="77777777" w:rsidR="004879A7" w:rsidRPr="005C4E62" w:rsidRDefault="004879A7">
      <w:pPr>
        <w:pStyle w:val="FootnoteText"/>
      </w:pPr>
      <w:r>
        <w:rPr>
          <w:rStyle w:val="FootnoteReference"/>
        </w:rPr>
        <w:footnoteRef/>
      </w:r>
      <w:r>
        <w:t xml:space="preserve"> </w:t>
      </w:r>
      <w:r>
        <w:tab/>
        <w:t>Odstavek 209.</w:t>
      </w:r>
    </w:p>
  </w:footnote>
  <w:footnote w:id="37">
    <w:p w14:paraId="6ABDE43A" w14:textId="77777777" w:rsidR="00C04E88" w:rsidRPr="005C4E62" w:rsidRDefault="00C04E88" w:rsidP="00C04E88">
      <w:pPr>
        <w:pStyle w:val="FootnoteText"/>
      </w:pPr>
      <w:r>
        <w:rPr>
          <w:rStyle w:val="FootnoteReference"/>
        </w:rPr>
        <w:footnoteRef/>
      </w:r>
      <w:r>
        <w:tab/>
        <w:t xml:space="preserve">Za navodila glej člen 339 PDEU glede „informacij o podjetjih, njihovih poslovnih odnosih ali sestavinah stroškov“. Sodišča Unije so „poslovne skrivnosti“ na splošno opredelila kot informacije, „katerih ne le razkritje javnosti, temveč že zgolj njihovo posredovanje pravni osebi, ki ni tista, ki je priskrbela te informacije, lahko resno škoduje interesom slednje“ (zadeva T-353/94, Postbank/Komisija, </w:t>
      </w:r>
      <w:r>
        <w:rPr>
          <w:rStyle w:val="outputecliaff"/>
        </w:rPr>
        <w:t>ECLI:EU:T:1996:119, točka 87)</w:t>
      </w:r>
      <w:r>
        <w:t>.</w:t>
      </w:r>
    </w:p>
  </w:footnote>
  <w:footnote w:id="38">
    <w:p w14:paraId="11E9837A" w14:textId="77777777" w:rsidR="00FC09A8" w:rsidRPr="005C4E62" w:rsidRDefault="00FC09A8" w:rsidP="00FC09A8">
      <w:pPr>
        <w:pStyle w:val="FootnoteText"/>
      </w:pPr>
      <w:r>
        <w:rPr>
          <w:rStyle w:val="FootnoteReference"/>
        </w:rPr>
        <w:footnoteRef/>
      </w:r>
      <w:r>
        <w:tab/>
        <w:t>Uredba Komisije (EU) št. 651/2014 z dne 17. junija 2014 o razglasitvi nekaterih vrst pomoči za združljive z notranjim trgom pri uporabi členov 107 in 108 Pogodbe (UL L 187, 26.6.2014, str. 1), kakor je bila spremenjena.</w:t>
      </w:r>
    </w:p>
  </w:footnote>
  <w:footnote w:id="39">
    <w:p w14:paraId="4665A335" w14:textId="77777777" w:rsidR="00C04E88" w:rsidRPr="00FC09A8" w:rsidRDefault="00C04E88" w:rsidP="00C04E88">
      <w:pPr>
        <w:pStyle w:val="FootnoteText"/>
      </w:pPr>
      <w:r>
        <w:rPr>
          <w:rStyle w:val="FootnoteReference"/>
        </w:rPr>
        <w:footnoteRef/>
      </w:r>
      <w:r>
        <w:t xml:space="preserve"> </w:t>
      </w:r>
      <w:r>
        <w:tab/>
        <w:t xml:space="preserve">Uredba Komisije (EU) št. 1407/2013 z dne 18. decembra 2013 o uporabi členov 107 in 108 Pogodbe o delovanju Evropske unije pri pomoči </w:t>
      </w:r>
      <w:r>
        <w:rPr>
          <w:i/>
        </w:rPr>
        <w:t>de minimis</w:t>
      </w:r>
      <w:r>
        <w:t xml:space="preserve"> (UL L 352, 24.12.2013, str. 1), kakor je bila spremenjena.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415011"/>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5"/>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1698239279">
    <w:abstractNumId w:val="4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86228"/>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01B3"/>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5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sl-SI"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sl-SI"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sl-SI" w:eastAsia="en-US"/>
    </w:rPr>
  </w:style>
  <w:style w:type="paragraph" w:styleId="Header">
    <w:name w:val="header"/>
    <w:basedOn w:val="Normal"/>
    <w:link w:val="HeaderChar"/>
    <w:uiPriority w:val="99"/>
    <w:unhideWhenUsed/>
    <w:rsid w:val="00B301B3"/>
    <w:pPr>
      <w:tabs>
        <w:tab w:val="center" w:pos="4513"/>
        <w:tab w:val="right" w:pos="9026"/>
      </w:tabs>
    </w:pPr>
  </w:style>
  <w:style w:type="character" w:customStyle="1" w:styleId="HeaderChar">
    <w:name w:val="Header Char"/>
    <w:basedOn w:val="DefaultParagraphFont"/>
    <w:link w:val="Header"/>
    <w:uiPriority w:val="99"/>
    <w:rsid w:val="00B301B3"/>
    <w:rPr>
      <w:sz w:val="24"/>
      <w:lang w:eastAsia="en-US"/>
    </w:rPr>
  </w:style>
  <w:style w:type="paragraph" w:styleId="Footer">
    <w:name w:val="footer"/>
    <w:basedOn w:val="Normal"/>
    <w:link w:val="FooterChar"/>
    <w:uiPriority w:val="99"/>
    <w:unhideWhenUsed/>
    <w:rsid w:val="00B301B3"/>
    <w:pPr>
      <w:tabs>
        <w:tab w:val="center" w:pos="4513"/>
        <w:tab w:val="right" w:pos="9026"/>
      </w:tabs>
    </w:pPr>
  </w:style>
  <w:style w:type="character" w:customStyle="1" w:styleId="FooterChar">
    <w:name w:val="Footer Char"/>
    <w:basedOn w:val="DefaultParagraphFont"/>
    <w:link w:val="Footer"/>
    <w:uiPriority w:val="99"/>
    <w:rsid w:val="00B301B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s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1960</Words>
  <Characters>12000</Characters>
  <Application>Microsoft Office Word</Application>
  <DocSecurity>0</DocSecurity>
  <Lines>285</Lines>
  <Paragraphs>132</Paragraphs>
  <ScaleCrop>false</ScaleCrop>
  <Company/>
  <LinksUpToDate>false</LinksUpToDate>
  <CharactersWithSpaces>13828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2024-03-06T10:19:00Z</dcterms:created>
  <dcterms:modified xsi:type="dcterms:W3CDTF">2024-03-06T10:19:00Z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2024-03-06T10:19:21Z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10668279-f331-4368-947d-3e83694fb0c3</vt:lpwstr>
  </property>
  <property fmtid="{D5CDD505-2E9C-101B-9397-08002B2CF9AE}" pid="8" name="MSIP_Label_6bd9ddd1-4d20-43f6-abfa-fc3c07406f94_ContentBits">
    <vt:lpwstr>0</vt:lpwstr>
  </property>
</Properties>
</file>