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6585F7CF" w14:textId="77777777" w:rsidTr="00466BC2">
        <w:trPr>
          <w:trHeight w:val="854"/>
        </w:trPr>
        <w:tc>
          <w:tcPr>
            <w:tcW w:w="9000" w:type="dxa"/>
            <w:tcBorders>
              <w:top w:val="single" w:sz="4" w:space="0" w:color="auto"/>
              <w:bottom w:val="single" w:sz="4" w:space="0" w:color="auto"/>
            </w:tcBorders>
            <w:shd w:val="pct15" w:color="auto" w:fill="FFFFFF"/>
          </w:tcPr>
          <w:p w14:paraId="0DF75BB5"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Deel III.5 – Formulier aanvullende informatie inzake staatssteun voor introductiemaatregelen</w:t>
            </w:r>
            <w:bookmarkEnd w:id="0"/>
            <w:bookmarkEnd w:id="1"/>
          </w:p>
        </w:tc>
      </w:tr>
    </w:tbl>
    <w:p w14:paraId="5F809DDC" w14:textId="77777777" w:rsidR="007B33E6" w:rsidRPr="005C4E62" w:rsidRDefault="007B33E6" w:rsidP="001507A9">
      <w:pPr>
        <w:spacing w:before="240" w:after="240"/>
        <w:jc w:val="both"/>
        <w:rPr>
          <w:i/>
          <w:iCs/>
        </w:rPr>
      </w:pPr>
      <w:r>
        <w:rPr>
          <w:i/>
        </w:rPr>
        <w:t>Dit formulier aanvullende informatie moet worden gebruikt voor aanmeldingen van steun voor de uitrol van introductiemaatregelen die onder de richtsnoeren van de Commissie voor staatssteun aan breedbandnetwerken</w:t>
      </w:r>
      <w:r>
        <w:rPr>
          <w:bCs/>
          <w:vertAlign w:val="superscript"/>
        </w:rPr>
        <w:footnoteReference w:id="1"/>
      </w:r>
      <w:r>
        <w:rPr>
          <w:i/>
        </w:rPr>
        <w:t xml:space="preserve"> (hierna “de breedbandrichtsnoeren” genoemd) 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5B03F926" w14:textId="77777777" w:rsidTr="00646E8A">
        <w:tc>
          <w:tcPr>
            <w:tcW w:w="9286" w:type="dxa"/>
            <w:shd w:val="clear" w:color="auto" w:fill="D9D9D9"/>
          </w:tcPr>
          <w:p w14:paraId="6434DCB5"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Algemene informatie</w:t>
            </w:r>
          </w:p>
        </w:tc>
      </w:tr>
    </w:tbl>
    <w:p w14:paraId="427A0823" w14:textId="77777777" w:rsidR="007B33E6" w:rsidRPr="005C4E62" w:rsidRDefault="007B33E6" w:rsidP="00BE2CC4">
      <w:pPr>
        <w:pStyle w:val="NumPar2"/>
        <w:numPr>
          <w:ilvl w:val="1"/>
          <w:numId w:val="1"/>
        </w:numPr>
        <w:tabs>
          <w:tab w:val="clear" w:pos="1200"/>
        </w:tabs>
        <w:spacing w:before="240"/>
        <w:ind w:left="709"/>
      </w:pPr>
      <w:bookmarkStart w:id="2" w:name="_Ref152597077"/>
      <w:r>
        <w:t>Gelieve een gedetailleerde beschrijving van de steunmaatregel en van de doelstellingen ervan te geven.</w:t>
      </w:r>
      <w:bookmarkEnd w:id="2"/>
    </w:p>
    <w:p w14:paraId="5E96FEAE" w14:textId="77777777" w:rsidR="00515227" w:rsidRPr="005C4E62" w:rsidRDefault="00515227" w:rsidP="001507A9">
      <w:pPr>
        <w:pStyle w:val="Text2"/>
        <w:tabs>
          <w:tab w:val="clear" w:pos="2161"/>
          <w:tab w:val="left" w:leader="dot" w:pos="9072"/>
        </w:tabs>
        <w:spacing w:before="120" w:after="120"/>
        <w:ind w:left="709"/>
      </w:pPr>
      <w:r>
        <w:tab/>
      </w:r>
    </w:p>
    <w:p w14:paraId="61B53C7D" w14:textId="77777777" w:rsidR="001507A9" w:rsidRPr="005C4E62" w:rsidRDefault="001507A9" w:rsidP="001507A9">
      <w:pPr>
        <w:pStyle w:val="NumPar2"/>
        <w:numPr>
          <w:ilvl w:val="1"/>
          <w:numId w:val="1"/>
        </w:numPr>
        <w:tabs>
          <w:tab w:val="clear" w:pos="1200"/>
        </w:tabs>
        <w:ind w:left="709"/>
      </w:pPr>
      <w:r>
        <w:t>Gelieve toe te lichten waarom de steunmaatregel volgens u staatssteun inhoudt</w:t>
      </w:r>
      <w:r>
        <w:rPr>
          <w:rStyle w:val="FootnoteReference"/>
        </w:rPr>
        <w:footnoteReference w:id="2"/>
      </w:r>
      <w:r>
        <w:t>.</w:t>
      </w:r>
    </w:p>
    <w:p w14:paraId="00DE7B1B" w14:textId="77777777" w:rsidR="001507A9" w:rsidRPr="005C4E62" w:rsidRDefault="001507A9" w:rsidP="001507A9">
      <w:pPr>
        <w:pStyle w:val="Text2"/>
        <w:tabs>
          <w:tab w:val="clear" w:pos="2161"/>
          <w:tab w:val="left" w:leader="dot" w:pos="9072"/>
        </w:tabs>
        <w:spacing w:before="120" w:after="120"/>
        <w:ind w:left="709"/>
      </w:pPr>
      <w:r>
        <w:tab/>
      </w:r>
    </w:p>
    <w:p w14:paraId="7225594D" w14:textId="77777777" w:rsidR="001507A9" w:rsidRPr="005C4E62" w:rsidRDefault="001507A9" w:rsidP="001507A9">
      <w:pPr>
        <w:pStyle w:val="NumPar2"/>
        <w:numPr>
          <w:ilvl w:val="1"/>
          <w:numId w:val="1"/>
        </w:numPr>
        <w:tabs>
          <w:tab w:val="clear" w:pos="1200"/>
        </w:tabs>
        <w:ind w:left="709"/>
      </w:pPr>
      <w:r>
        <w:t>Gelieve aan te geven of de steunmaatregel bestaat uit:</w:t>
      </w:r>
    </w:p>
    <w:p w14:paraId="1DDFDC68" w14:textId="77777777" w:rsidR="001507A9" w:rsidRPr="005C4E62" w:rsidRDefault="001507A9" w:rsidP="001507A9">
      <w:pPr>
        <w:pStyle w:val="Text2"/>
        <w:tabs>
          <w:tab w:val="clear" w:pos="2161"/>
        </w:tabs>
        <w:spacing w:before="120" w:after="120"/>
        <w:ind w:left="0"/>
      </w:pPr>
      <w:r>
        <w:tab/>
      </w: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sociale vouchers</w:t>
      </w:r>
      <w:r>
        <w:rPr>
          <w:rStyle w:val="FootnoteReference"/>
          <w:lang w:bidi="si-LK"/>
        </w:rPr>
        <w:footnoteReference w:id="3"/>
      </w:r>
      <w:r>
        <w:tab/>
      </w:r>
      <w:r>
        <w:tab/>
      </w: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connectiviteitsvouchers</w:t>
      </w:r>
      <w:r>
        <w:rPr>
          <w:rStyle w:val="FootnoteReference"/>
          <w:lang w:bidi="si-LK"/>
        </w:rPr>
        <w:footnoteReference w:id="4"/>
      </w:r>
    </w:p>
    <w:p w14:paraId="30174358" w14:textId="77777777" w:rsidR="006F5901" w:rsidRPr="005C4E62" w:rsidRDefault="006F5901" w:rsidP="001507A9">
      <w:pPr>
        <w:pStyle w:val="NumPar2"/>
        <w:numPr>
          <w:ilvl w:val="1"/>
          <w:numId w:val="1"/>
        </w:numPr>
        <w:tabs>
          <w:tab w:val="clear" w:pos="1200"/>
        </w:tabs>
        <w:ind w:left="709"/>
      </w:pPr>
      <w:r>
        <w:t>Gelieve toe te lichten hoe de steunmaatregel aansluit bij de nationale breedbandstrategie en het digitale beleid en de milieudoelstellingen van de Europese Unie</w:t>
      </w:r>
      <w:r>
        <w:rPr>
          <w:rStyle w:val="FootnoteReference"/>
        </w:rPr>
        <w:footnoteReference w:id="5"/>
      </w:r>
      <w:r>
        <w:t xml:space="preserve">. </w:t>
      </w:r>
    </w:p>
    <w:p w14:paraId="077F5E57" w14:textId="77777777" w:rsidR="006F5901" w:rsidRPr="005C4E62" w:rsidRDefault="006F5901" w:rsidP="001507A9">
      <w:pPr>
        <w:pStyle w:val="Text2"/>
        <w:tabs>
          <w:tab w:val="clear" w:pos="2161"/>
          <w:tab w:val="left" w:leader="dot" w:pos="9072"/>
        </w:tabs>
        <w:spacing w:before="120" w:after="120"/>
        <w:ind w:left="709"/>
      </w:pPr>
      <w:r>
        <w:tab/>
      </w:r>
    </w:p>
    <w:p w14:paraId="3C52DB24" w14:textId="77777777" w:rsidR="00C66331" w:rsidRPr="005C4E62" w:rsidRDefault="00C66331" w:rsidP="001507A9">
      <w:pPr>
        <w:pStyle w:val="NumPar2"/>
        <w:numPr>
          <w:ilvl w:val="1"/>
          <w:numId w:val="1"/>
        </w:numPr>
        <w:tabs>
          <w:tab w:val="clear" w:pos="1200"/>
        </w:tabs>
        <w:ind w:left="709"/>
      </w:pPr>
      <w:r>
        <w:t>Gelieve toe te lichten of de reden die de steunmaatregel rechtvaardigt, bestaat uit</w:t>
      </w:r>
      <w:r>
        <w:rPr>
          <w:rStyle w:val="FootnoteReference"/>
        </w:rPr>
        <w:footnoteReference w:id="6"/>
      </w:r>
      <w:r>
        <w:t>:</w:t>
      </w:r>
    </w:p>
    <w:p w14:paraId="51ADBC02" w14:textId="77777777" w:rsidR="00C66331" w:rsidRPr="005C4E62" w:rsidRDefault="00C66331" w:rsidP="001507A9">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de financiële consequenties die een abonnement op breedbanddiensten met zich meebrengt. Zo ja, gelieve nadere gegevens hierover te verstrekken……………………………………………………………….</w:t>
      </w:r>
    </w:p>
    <w:p w14:paraId="111280F4" w14:textId="77777777" w:rsidR="00C66331" w:rsidRPr="005C4E62" w:rsidRDefault="00C66331" w:rsidP="001507A9">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het niet op de hoogte zijn van de voordelen die een abonnement op breedbanddiensten oplevert. Zo ja, gelieve nadere gegevens hierover te verstrekken………………………….......................................</w:t>
      </w:r>
    </w:p>
    <w:p w14:paraId="0DE9DD85" w14:textId="77777777" w:rsidR="00C66331" w:rsidRPr="005C4E62" w:rsidRDefault="00C66331" w:rsidP="0013439E">
      <w:pPr>
        <w:pStyle w:val="NumPar2"/>
        <w:tabs>
          <w:tab w:val="clear" w:pos="360"/>
        </w:tabs>
        <w:ind w:left="720" w:firstLine="0"/>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Overige redenen. Zo ja, gelieve nadere gegevens hierover te verstrekken………………………………………….</w:t>
      </w:r>
    </w:p>
    <w:p w14:paraId="5FE3F8BA" w14:textId="77777777" w:rsidR="007B33E6" w:rsidRPr="005C4E62" w:rsidRDefault="007B33E6" w:rsidP="001507A9">
      <w:pPr>
        <w:pStyle w:val="NumPar2"/>
        <w:numPr>
          <w:ilvl w:val="1"/>
          <w:numId w:val="1"/>
        </w:numPr>
        <w:tabs>
          <w:tab w:val="clear" w:pos="1200"/>
        </w:tabs>
        <w:ind w:left="709"/>
      </w:pPr>
      <w:r>
        <w:t>Gelieve de context van de steunmaatregel toe te lichten (bv</w:t>
      </w:r>
      <w:r>
        <w:rPr>
          <w:i/>
        </w:rPr>
        <w:t>.</w:t>
      </w:r>
      <w:r>
        <w:t xml:space="preserve"> huidig niveau van dekking van breedbandnetwerken in de lidstaat, huidig niveau van benutting van breedbanddiensten), en aan te geven uit welke informatiebronnen deze afkomstig is.</w:t>
      </w:r>
    </w:p>
    <w:p w14:paraId="47C9E75D" w14:textId="77777777" w:rsidR="00B973C6" w:rsidRPr="005C4E62" w:rsidRDefault="00B973C6" w:rsidP="001507A9">
      <w:pPr>
        <w:pStyle w:val="Text2"/>
        <w:tabs>
          <w:tab w:val="clear" w:pos="2161"/>
          <w:tab w:val="left" w:leader="dot" w:pos="9072"/>
        </w:tabs>
        <w:spacing w:before="120" w:after="120"/>
        <w:ind w:left="709"/>
      </w:pPr>
      <w:r>
        <w:tab/>
      </w:r>
    </w:p>
    <w:p w14:paraId="27BDB4ED" w14:textId="77777777" w:rsidR="005A7B71" w:rsidRPr="005C4E62" w:rsidRDefault="005A7B71" w:rsidP="001507A9">
      <w:pPr>
        <w:pStyle w:val="NumPar2"/>
        <w:numPr>
          <w:ilvl w:val="1"/>
          <w:numId w:val="1"/>
        </w:numPr>
        <w:tabs>
          <w:tab w:val="clear" w:pos="1200"/>
        </w:tabs>
        <w:ind w:left="709"/>
      </w:pPr>
      <w:r>
        <w:lastRenderedPageBreak/>
        <w:t>Gelieve te bevestigen dat alle in deze kennisgeving vermelde snelheden worden beschouwd als gemiddelde snelheden onder piektijdomstandigheden</w:t>
      </w:r>
      <w:r>
        <w:rPr>
          <w:rStyle w:val="FootnoteReference"/>
        </w:rPr>
        <w:footnoteReference w:id="7"/>
      </w:r>
      <w:r>
        <w:t>.</w:t>
      </w:r>
    </w:p>
    <w:p w14:paraId="33D2AF48" w14:textId="77777777" w:rsidR="009642EB" w:rsidRPr="005C4E62" w:rsidRDefault="00515227" w:rsidP="001507A9">
      <w:pPr>
        <w:pStyle w:val="Text2"/>
        <w:tabs>
          <w:tab w:val="clear" w:pos="2161"/>
        </w:tabs>
        <w:spacing w:before="120" w:after="120"/>
        <w:ind w:left="709"/>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Ja</w:t>
      </w:r>
      <w:r>
        <w:tab/>
      </w:r>
      <w:r>
        <w:tab/>
      </w:r>
      <w:r>
        <w:tab/>
      </w: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Nee</w:t>
      </w:r>
    </w:p>
    <w:p w14:paraId="349B2610" w14:textId="77777777" w:rsidR="005F2475" w:rsidRPr="005C4E62" w:rsidRDefault="007A2062" w:rsidP="005F2475">
      <w:pPr>
        <w:pStyle w:val="NumPar2"/>
        <w:numPr>
          <w:ilvl w:val="1"/>
          <w:numId w:val="1"/>
        </w:numPr>
        <w:tabs>
          <w:tab w:val="clear" w:pos="1200"/>
        </w:tabs>
        <w:ind w:left="709"/>
      </w:pPr>
      <w:r>
        <w:t>Gelieve indien beschikbaar de volgende documenten mee te sturen en een beschrijving van de inhoud te geven.</w:t>
      </w:r>
    </w:p>
    <w:p w14:paraId="3F100389" w14:textId="16D17323" w:rsidR="005F2475" w:rsidRPr="005C4E62" w:rsidRDefault="005F2475" w:rsidP="005F2475">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Effectbeoordeling van de steunmaatregel …………………………………………</w:t>
      </w:r>
    </w:p>
    <w:p w14:paraId="646482CC" w14:textId="77777777" w:rsidR="005F2475" w:rsidRPr="005C4E62" w:rsidRDefault="005F2475" w:rsidP="005F2475">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Ex-postevaluatieplannen van vergelijkbare voorgaande regelingen …………………………...</w:t>
      </w:r>
    </w:p>
    <w:p w14:paraId="7EFAB8C0" w14:textId="77777777" w:rsidR="006E63CD" w:rsidRPr="005C4E62" w:rsidRDefault="005F2475" w:rsidP="007A2062">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Een contrafeitelijke analyse die aantoont dat de maatregel positieve effecten heeft ten opzichte van dat wat zonder de steun zou hebben plaatsgevonden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437C124C" w14:textId="77777777" w:rsidTr="00796043">
        <w:tc>
          <w:tcPr>
            <w:tcW w:w="9286" w:type="dxa"/>
            <w:shd w:val="clear" w:color="auto" w:fill="D9D9D9"/>
          </w:tcPr>
          <w:p w14:paraId="738EAC7C"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Sociale vouchers</w:t>
            </w:r>
          </w:p>
        </w:tc>
      </w:tr>
    </w:tbl>
    <w:p w14:paraId="09D6D431" w14:textId="77777777" w:rsidR="004C1C63" w:rsidRPr="005C4E62" w:rsidRDefault="007B5294" w:rsidP="00E27219">
      <w:pPr>
        <w:pStyle w:val="NumPar2"/>
        <w:numPr>
          <w:ilvl w:val="1"/>
          <w:numId w:val="5"/>
        </w:numPr>
        <w:ind w:left="709" w:hanging="709"/>
      </w:pPr>
      <w:r>
        <w:t>Gelieve aan te geven op welke specifieke categorieën individuele verbruikers de steunmaatregel is gericht, en de financiële omstandigheden te specificeren die het rechtvaardigen dat de steun om sociale redenen wordt toegekend (bv. gezinnen met een laag inkomen, studenten, leerlingen enz.) en de objectieve criteria die worden gebruikt om vast te stellen welke consumenten in aanmerking komen</w:t>
      </w:r>
      <w:r>
        <w:rPr>
          <w:rStyle w:val="FootnoteReference"/>
        </w:rPr>
        <w:footnoteReference w:id="8"/>
      </w:r>
      <w:r>
        <w:t xml:space="preserve">. </w:t>
      </w:r>
    </w:p>
    <w:p w14:paraId="11970278" w14:textId="77777777" w:rsidR="004C1C63" w:rsidRPr="005C4E62" w:rsidRDefault="004C1C63" w:rsidP="004C1C63">
      <w:pPr>
        <w:pStyle w:val="Text2"/>
        <w:tabs>
          <w:tab w:val="clear" w:pos="2161"/>
          <w:tab w:val="left" w:leader="dot" w:pos="9072"/>
        </w:tabs>
        <w:spacing w:before="120" w:after="120"/>
        <w:ind w:left="709"/>
      </w:pPr>
      <w:r>
        <w:tab/>
      </w:r>
    </w:p>
    <w:p w14:paraId="69465E94" w14:textId="77777777" w:rsidR="007B5294" w:rsidRPr="005C4E62" w:rsidRDefault="004C1C63" w:rsidP="00E27219">
      <w:pPr>
        <w:pStyle w:val="NumPar2"/>
        <w:numPr>
          <w:ilvl w:val="1"/>
          <w:numId w:val="5"/>
        </w:numPr>
        <w:ind w:left="709" w:hanging="709"/>
      </w:pPr>
      <w:r>
        <w:t>Gelieve een schatting te geven van het aantal consumenten dat van de steunmaatregel zou kunnen profiteren.</w:t>
      </w:r>
    </w:p>
    <w:p w14:paraId="4BA73B51" w14:textId="77777777" w:rsidR="007B5294" w:rsidRPr="005C4E62" w:rsidRDefault="007B5294" w:rsidP="009F1CC8">
      <w:pPr>
        <w:pStyle w:val="Text2"/>
        <w:tabs>
          <w:tab w:val="clear" w:pos="2161"/>
          <w:tab w:val="left" w:leader="dot" w:pos="9072"/>
        </w:tabs>
        <w:spacing w:before="120" w:after="120"/>
        <w:ind w:left="709"/>
      </w:pPr>
      <w:r>
        <w:tab/>
      </w:r>
    </w:p>
    <w:p w14:paraId="699B6D50" w14:textId="77777777" w:rsidR="004C1C63" w:rsidRPr="005C4E62" w:rsidRDefault="004C1C63" w:rsidP="00E27219">
      <w:pPr>
        <w:pStyle w:val="NumPar2"/>
        <w:numPr>
          <w:ilvl w:val="1"/>
          <w:numId w:val="5"/>
        </w:numPr>
        <w:ind w:left="709" w:hanging="709"/>
      </w:pPr>
      <w:r>
        <w:t>Gelieve aan te geven welke dienstverleners in aanmerking komen.</w:t>
      </w:r>
    </w:p>
    <w:p w14:paraId="0ABD7C91" w14:textId="77777777" w:rsidR="004C1C63" w:rsidRPr="005C4E62" w:rsidRDefault="004C1C63" w:rsidP="004C1C63">
      <w:pPr>
        <w:pStyle w:val="Text2"/>
        <w:tabs>
          <w:tab w:val="clear" w:pos="2161"/>
          <w:tab w:val="left" w:leader="dot" w:pos="9072"/>
        </w:tabs>
        <w:spacing w:before="120" w:after="120"/>
        <w:ind w:left="709"/>
      </w:pPr>
      <w:r>
        <w:tab/>
      </w:r>
    </w:p>
    <w:p w14:paraId="22608CBC" w14:textId="77777777" w:rsidR="00237B1B" w:rsidRPr="005C4E62" w:rsidRDefault="00237B1B" w:rsidP="00E27219">
      <w:pPr>
        <w:pStyle w:val="NumPar2"/>
        <w:numPr>
          <w:ilvl w:val="1"/>
          <w:numId w:val="5"/>
        </w:numPr>
        <w:ind w:left="709" w:hanging="709"/>
      </w:pPr>
      <w:r>
        <w:t>Gelieve aan te geven welke in aanmerking komende diensten onder de steunmaatregel vallen (bv. in termen van downloadsnelheid, uploadsnelheid enz.) en toe te lichten hoe uw autoriteiten deze diensten hebben aangewezen.</w:t>
      </w:r>
    </w:p>
    <w:p w14:paraId="6D03DBC4" w14:textId="77777777" w:rsidR="00237B1B" w:rsidRPr="005C4E62" w:rsidRDefault="00237B1B" w:rsidP="00237B1B">
      <w:pPr>
        <w:pStyle w:val="Text2"/>
        <w:tabs>
          <w:tab w:val="clear" w:pos="2161"/>
          <w:tab w:val="left" w:leader="dot" w:pos="9072"/>
        </w:tabs>
        <w:spacing w:before="120" w:after="120"/>
        <w:ind w:left="709"/>
      </w:pPr>
      <w:r>
        <w:tab/>
      </w:r>
    </w:p>
    <w:p w14:paraId="4812D561" w14:textId="77777777" w:rsidR="00042ACA" w:rsidRPr="005C4E62" w:rsidRDefault="00710B4A" w:rsidP="00042ACA">
      <w:pPr>
        <w:pStyle w:val="NumPar2"/>
        <w:numPr>
          <w:ilvl w:val="1"/>
          <w:numId w:val="5"/>
        </w:numPr>
        <w:ind w:left="709" w:hanging="709"/>
      </w:pPr>
      <w:r>
        <w:t>Gelieve aan te geven hoe de vouchers zullen worden gebruikt. Geef ook nadere bijzonderheden</w:t>
      </w:r>
      <w:r>
        <w:rPr>
          <w:rStyle w:val="FootnoteReference"/>
        </w:rPr>
        <w:footnoteReference w:id="9"/>
      </w:r>
      <w:r>
        <w:t>:</w:t>
      </w:r>
    </w:p>
    <w:p w14:paraId="1590C8BA" w14:textId="77777777" w:rsidR="00485681" w:rsidRPr="005C4E62" w:rsidRDefault="00485681" w:rsidP="00485681">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Abonnement op nieuwe breedbanddiensten. Nadere bijzonderheden:</w:t>
      </w:r>
    </w:p>
    <w:p w14:paraId="6E713CEB" w14:textId="77777777" w:rsidR="00485681" w:rsidRPr="005C4E62" w:rsidRDefault="00485681" w:rsidP="006E6AE1">
      <w:pPr>
        <w:pStyle w:val="NumPar2"/>
        <w:tabs>
          <w:tab w:val="clear" w:pos="360"/>
        </w:tabs>
        <w:ind w:left="709" w:firstLine="0"/>
      </w:pPr>
      <w:r>
        <w:t xml:space="preserve">………………………………………………………………………………………….. </w:t>
      </w:r>
    </w:p>
    <w:p w14:paraId="093AE9CD" w14:textId="77777777" w:rsidR="00485681" w:rsidRPr="005C4E62" w:rsidRDefault="00485681" w:rsidP="00485681">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Bestaande abonnementen houden. Nadere bijzonderheden: </w:t>
      </w:r>
    </w:p>
    <w:p w14:paraId="34281CA3" w14:textId="77777777" w:rsidR="00485681" w:rsidRPr="005C4E62" w:rsidRDefault="00485681" w:rsidP="006E6AE1">
      <w:pPr>
        <w:pStyle w:val="NumPar2"/>
        <w:tabs>
          <w:tab w:val="clear" w:pos="360"/>
        </w:tabs>
        <w:ind w:left="709" w:firstLine="0"/>
      </w:pPr>
      <w:r>
        <w:t>…………………………………………………………………………………………...</w:t>
      </w:r>
    </w:p>
    <w:p w14:paraId="01DF77C7" w14:textId="77777777" w:rsidR="00485681" w:rsidRPr="005C4E62" w:rsidRDefault="00485681" w:rsidP="00485681">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Andere. Nadere bijzonderheden:</w:t>
      </w:r>
    </w:p>
    <w:p w14:paraId="7502C99B" w14:textId="77777777" w:rsidR="00485681" w:rsidRPr="005C4E62" w:rsidRDefault="00485681" w:rsidP="006E6AE1">
      <w:pPr>
        <w:pStyle w:val="NumPar2"/>
        <w:tabs>
          <w:tab w:val="clear" w:pos="360"/>
        </w:tabs>
        <w:ind w:left="709" w:firstLine="0"/>
      </w:pPr>
      <w:r>
        <w:t>…………………………………………………………..…………………………….....</w:t>
      </w:r>
    </w:p>
    <w:p w14:paraId="06FD47FC" w14:textId="77777777" w:rsidR="007B5294" w:rsidRPr="005C4E62" w:rsidRDefault="007B5294" w:rsidP="00E27219">
      <w:pPr>
        <w:pStyle w:val="NumPar2"/>
        <w:numPr>
          <w:ilvl w:val="1"/>
          <w:numId w:val="5"/>
        </w:numPr>
        <w:ind w:left="709" w:hanging="709"/>
      </w:pPr>
      <w:r>
        <w:lastRenderedPageBreak/>
        <w:t>Gelieve aan te geven onder welke maatregel de in aanmerking komende kosten vallen</w:t>
      </w:r>
      <w:r>
        <w:rPr>
          <w:rStyle w:val="FootnoteReference"/>
        </w:rPr>
        <w:footnoteReference w:id="10"/>
      </w:r>
      <w:r>
        <w:t>.</w:t>
      </w:r>
    </w:p>
    <w:p w14:paraId="3DBF3EBA" w14:textId="77777777" w:rsidR="007B5294" w:rsidRPr="005C4E62" w:rsidRDefault="007B5294" w:rsidP="007B5294">
      <w:pPr>
        <w:pStyle w:val="Text2"/>
        <w:tabs>
          <w:tab w:val="clear" w:pos="2161"/>
          <w:tab w:val="left" w:leader="dot" w:pos="9072"/>
        </w:tabs>
        <w:spacing w:before="120" w:after="120"/>
        <w:ind w:left="709"/>
      </w:pPr>
      <w:r>
        <w:tab/>
      </w:r>
    </w:p>
    <w:p w14:paraId="6CD6378A" w14:textId="77777777" w:rsidR="00E0556B" w:rsidRPr="005C4E62" w:rsidRDefault="00E0556B" w:rsidP="00E0556B">
      <w:pPr>
        <w:pStyle w:val="NumPar2"/>
        <w:numPr>
          <w:ilvl w:val="1"/>
          <w:numId w:val="5"/>
        </w:numPr>
        <w:ind w:left="709" w:hanging="709"/>
      </w:pPr>
      <w:r>
        <w:t>Gelieve de maximale duur van de voucher te vermelden (indien van toepassing).</w:t>
      </w:r>
    </w:p>
    <w:p w14:paraId="711D9E65" w14:textId="77777777" w:rsidR="00E0556B" w:rsidRPr="005C4E62" w:rsidRDefault="00E0556B" w:rsidP="002E43A3">
      <w:pPr>
        <w:pStyle w:val="Text2"/>
        <w:tabs>
          <w:tab w:val="clear" w:pos="2161"/>
          <w:tab w:val="left" w:leader="dot" w:pos="9072"/>
        </w:tabs>
        <w:spacing w:before="120" w:after="120"/>
        <w:ind w:left="709"/>
      </w:pPr>
      <w:r>
        <w:tab/>
      </w:r>
    </w:p>
    <w:p w14:paraId="18526CE0" w14:textId="77777777" w:rsidR="00237B1B" w:rsidRPr="005C4E62" w:rsidRDefault="00237B1B" w:rsidP="00E27219">
      <w:pPr>
        <w:pStyle w:val="NumPar2"/>
        <w:numPr>
          <w:ilvl w:val="1"/>
          <w:numId w:val="5"/>
        </w:numPr>
        <w:ind w:left="709" w:hanging="709"/>
      </w:pPr>
      <w:r>
        <w:t xml:space="preserve">Gelieve de vorm en het bedrag van de vouchers te vermelden, aan te geven hoe dit bedrag is vastgesteld en welk percentage van de abonnementskosten door de voucher wordt gedekt. </w:t>
      </w:r>
    </w:p>
    <w:p w14:paraId="2D277B4F" w14:textId="77777777" w:rsidR="00237B1B" w:rsidRPr="005C4E62" w:rsidRDefault="00237B1B" w:rsidP="00237B1B">
      <w:pPr>
        <w:pStyle w:val="Text2"/>
        <w:tabs>
          <w:tab w:val="clear" w:pos="2161"/>
          <w:tab w:val="left" w:leader="dot" w:pos="9072"/>
        </w:tabs>
        <w:spacing w:before="120" w:after="120"/>
        <w:ind w:left="709"/>
      </w:pPr>
      <w:r>
        <w:tab/>
      </w:r>
    </w:p>
    <w:p w14:paraId="5EB24670" w14:textId="77777777" w:rsidR="00E101F1" w:rsidRPr="005C4E62" w:rsidRDefault="00E101F1" w:rsidP="00E27219">
      <w:pPr>
        <w:pStyle w:val="NumPar2"/>
        <w:numPr>
          <w:ilvl w:val="1"/>
          <w:numId w:val="5"/>
        </w:numPr>
        <w:ind w:left="709" w:hanging="709"/>
        <w:rPr>
          <w:iCs/>
        </w:rPr>
      </w:pPr>
      <w:r>
        <w:t>Gelieve toe te lichten of en hoe de steunmaatregel in overeenstemming is met het beginsel van technologische neutraliteit</w:t>
      </w:r>
      <w:r>
        <w:rPr>
          <w:rStyle w:val="FootnoteReference"/>
          <w:iCs/>
        </w:rPr>
        <w:footnoteReference w:id="11"/>
      </w:r>
      <w:r>
        <w:t>.</w:t>
      </w:r>
    </w:p>
    <w:p w14:paraId="78450E20" w14:textId="77777777" w:rsidR="00E101F1" w:rsidRPr="005C4E62" w:rsidRDefault="00E101F1" w:rsidP="00E101F1">
      <w:pPr>
        <w:pStyle w:val="Text2"/>
        <w:tabs>
          <w:tab w:val="clear" w:pos="2161"/>
          <w:tab w:val="left" w:leader="dot" w:pos="9072"/>
        </w:tabs>
        <w:spacing w:before="120" w:after="120"/>
        <w:ind w:left="709"/>
      </w:pPr>
      <w:r>
        <w:tab/>
      </w:r>
    </w:p>
    <w:p w14:paraId="0C3BE0DB" w14:textId="77777777" w:rsidR="00C90B4D" w:rsidRPr="005C4E62" w:rsidRDefault="00C90B4D" w:rsidP="00C90B4D">
      <w:pPr>
        <w:pStyle w:val="NumPar2"/>
        <w:numPr>
          <w:ilvl w:val="1"/>
          <w:numId w:val="5"/>
        </w:numPr>
        <w:ind w:left="709" w:hanging="709"/>
        <w:rPr>
          <w:iCs/>
        </w:rPr>
      </w:pPr>
      <w:r>
        <w:t>Om aan te tonen dat de steunmaatregel een gelijke behandeling van alle mogelijke dienstverleners garandeert en consumenten een zo ruim mogelijke keuze aan leveranciers biedt</w:t>
      </w:r>
      <w:r>
        <w:rPr>
          <w:rStyle w:val="FootnoteReference"/>
          <w:iCs/>
        </w:rPr>
        <w:footnoteReference w:id="12"/>
      </w:r>
      <w:r>
        <w:t>, gelieve (met relevante details) te bevestigen dat</w:t>
      </w:r>
      <w:r>
        <w:rPr>
          <w:rStyle w:val="FootnoteReference"/>
        </w:rPr>
        <w:footnoteReference w:id="13"/>
      </w:r>
      <w:r>
        <w:t xml:space="preserve">: </w:t>
      </w:r>
    </w:p>
    <w:p w14:paraId="702DF584" w14:textId="77777777" w:rsidR="00C90B4D" w:rsidRPr="005C4E62" w:rsidRDefault="00C90B4D" w:rsidP="00C90B4D">
      <w:pPr>
        <w:pStyle w:val="NumPar2"/>
        <w:numPr>
          <w:ilvl w:val="4"/>
          <w:numId w:val="1"/>
        </w:numPr>
        <w:tabs>
          <w:tab w:val="clear" w:pos="1800"/>
        </w:tabs>
        <w:ind w:left="1418" w:hanging="709"/>
      </w:pPr>
      <w:r>
        <w:t>er een online register van alle in aanmerking komende dienstverleners (of een gelijkwaardig alternatief platform) zal worden opgezet.</w:t>
      </w:r>
    </w:p>
    <w:p w14:paraId="2E30BF7E" w14:textId="77777777" w:rsidR="00C90B4D" w:rsidRPr="005C4E62" w:rsidRDefault="00C90B4D" w:rsidP="00C90B4D">
      <w:pPr>
        <w:pStyle w:val="Text2"/>
        <w:tabs>
          <w:tab w:val="clear" w:pos="2161"/>
          <w:tab w:val="left" w:leader="dot" w:pos="9072"/>
        </w:tabs>
        <w:spacing w:before="120" w:after="120"/>
        <w:ind w:left="709"/>
      </w:pPr>
      <w:r>
        <w:tab/>
      </w:r>
    </w:p>
    <w:p w14:paraId="1F2F060A" w14:textId="77777777" w:rsidR="00C90B4D" w:rsidRPr="005C4E62" w:rsidRDefault="00C90B4D" w:rsidP="00C90B4D">
      <w:pPr>
        <w:pStyle w:val="NumPar2"/>
        <w:numPr>
          <w:ilvl w:val="4"/>
          <w:numId w:val="1"/>
        </w:numPr>
        <w:tabs>
          <w:tab w:val="clear" w:pos="1800"/>
        </w:tabs>
        <w:ind w:left="1418" w:hanging="709"/>
      </w:pPr>
      <w:r>
        <w:t xml:space="preserve">consumenten het register vrij kunnen raadplegen. </w:t>
      </w:r>
    </w:p>
    <w:p w14:paraId="6A076920" w14:textId="77777777" w:rsidR="00C90B4D" w:rsidRPr="005C4E62" w:rsidRDefault="00C90B4D" w:rsidP="00C90B4D">
      <w:pPr>
        <w:pStyle w:val="Text2"/>
        <w:tabs>
          <w:tab w:val="clear" w:pos="2161"/>
          <w:tab w:val="left" w:leader="dot" w:pos="9072"/>
        </w:tabs>
        <w:spacing w:before="120" w:after="120"/>
        <w:ind w:left="709"/>
      </w:pPr>
      <w:r>
        <w:tab/>
      </w:r>
    </w:p>
    <w:p w14:paraId="3958D302" w14:textId="77777777" w:rsidR="00C90B4D" w:rsidRPr="005C4E62" w:rsidRDefault="00C90B4D" w:rsidP="00C90B4D">
      <w:pPr>
        <w:pStyle w:val="NumPar2"/>
        <w:numPr>
          <w:ilvl w:val="4"/>
          <w:numId w:val="1"/>
        </w:numPr>
        <w:tabs>
          <w:tab w:val="clear" w:pos="1800"/>
        </w:tabs>
        <w:ind w:left="1418" w:hanging="709"/>
      </w:pPr>
      <w:r>
        <w:t>alle ondernemingen die in aanmerking komende breedbanddiensten kunnen aanbieden, kunnen verzoeken om te worden opgenomen in het register (of in het gekozen alternatieve platform).</w:t>
      </w:r>
    </w:p>
    <w:p w14:paraId="1FA3BA29" w14:textId="77777777" w:rsidR="00E101F1" w:rsidRPr="005C4E62" w:rsidRDefault="00C90B4D" w:rsidP="00C90B4D">
      <w:pPr>
        <w:pStyle w:val="Text2"/>
        <w:tabs>
          <w:tab w:val="clear" w:pos="2161"/>
          <w:tab w:val="left" w:leader="dot" w:pos="9072"/>
        </w:tabs>
        <w:spacing w:before="120" w:after="120"/>
        <w:ind w:left="709"/>
      </w:pPr>
      <w:r>
        <w:tab/>
        <w:t xml:space="preserve"> </w:t>
      </w:r>
    </w:p>
    <w:p w14:paraId="672986D7" w14:textId="77777777" w:rsidR="00C90B4D" w:rsidRPr="005C4E62" w:rsidRDefault="00C90B4D" w:rsidP="00C90B4D">
      <w:pPr>
        <w:pStyle w:val="NumPar2"/>
        <w:numPr>
          <w:ilvl w:val="4"/>
          <w:numId w:val="1"/>
        </w:numPr>
        <w:tabs>
          <w:tab w:val="clear" w:pos="1800"/>
        </w:tabs>
        <w:ind w:left="1418" w:hanging="709"/>
      </w:pPr>
      <w:r>
        <w:t>het register (of het gekozen alternatieve platform) ook aanvullende informatie bevat om consumenten te helpen (bv. het soort diensten dat door de verschillende ondernemingen wordt aangeboden enz.). Zo ja, gelieve aan te geven welke aanvullende informatie is verstrekt.</w:t>
      </w:r>
    </w:p>
    <w:p w14:paraId="3F26DF0A" w14:textId="77777777" w:rsidR="00E101F1" w:rsidRPr="005C4E62" w:rsidRDefault="00E101F1" w:rsidP="00E101F1">
      <w:pPr>
        <w:pStyle w:val="Text2"/>
        <w:tabs>
          <w:tab w:val="clear" w:pos="2161"/>
          <w:tab w:val="left" w:leader="dot" w:pos="9072"/>
        </w:tabs>
        <w:spacing w:before="120" w:after="120"/>
        <w:ind w:left="709"/>
      </w:pPr>
      <w:r>
        <w:tab/>
      </w:r>
    </w:p>
    <w:p w14:paraId="514762EA" w14:textId="77777777" w:rsidR="00D1408F" w:rsidRPr="005C4E62" w:rsidRDefault="00D1408F" w:rsidP="009A1814">
      <w:pPr>
        <w:pStyle w:val="NumPar2"/>
        <w:numPr>
          <w:ilvl w:val="1"/>
          <w:numId w:val="5"/>
        </w:numPr>
        <w:ind w:left="709" w:hanging="709"/>
      </w:pPr>
      <w:r>
        <w:t>Gelieve de uitvoeringsprocedure van de steunmaatregel nader toe te lichten.</w:t>
      </w:r>
    </w:p>
    <w:p w14:paraId="3AAA9482" w14:textId="77777777" w:rsidR="00D1408F" w:rsidRPr="005C4E62" w:rsidRDefault="00D1408F" w:rsidP="00D1408F">
      <w:pPr>
        <w:pStyle w:val="Text2"/>
        <w:tabs>
          <w:tab w:val="clear" w:pos="2161"/>
          <w:tab w:val="left" w:leader="dot" w:pos="9072"/>
        </w:tabs>
        <w:spacing w:before="120" w:after="120"/>
        <w:ind w:left="709"/>
      </w:pPr>
      <w:r>
        <w:tab/>
      </w:r>
    </w:p>
    <w:p w14:paraId="3D100F7A" w14:textId="77777777" w:rsidR="00D1408F" w:rsidRPr="005C4E62" w:rsidRDefault="00D1408F" w:rsidP="009A1814">
      <w:pPr>
        <w:pStyle w:val="NumPar2"/>
        <w:numPr>
          <w:ilvl w:val="1"/>
          <w:numId w:val="5"/>
        </w:numPr>
        <w:ind w:left="709" w:hanging="709"/>
      </w:pPr>
      <w:r>
        <w:t>Openbare raadpleging</w:t>
      </w:r>
      <w:r>
        <w:rPr>
          <w:rStyle w:val="FootnoteReference"/>
        </w:rPr>
        <w:footnoteReference w:id="14"/>
      </w:r>
      <w:r>
        <w:t>. Gelieve de volgende gegevens te verstrekken:</w:t>
      </w:r>
    </w:p>
    <w:p w14:paraId="2C2E8367"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Begin- en einddatum van elke uitgevoerde openbare raadpleging. </w:t>
      </w:r>
    </w:p>
    <w:p w14:paraId="0F73D638" w14:textId="77777777" w:rsidR="00D1408F" w:rsidRPr="005C4E62" w:rsidRDefault="00D1408F" w:rsidP="00D1408F">
      <w:pPr>
        <w:pStyle w:val="Text2"/>
        <w:tabs>
          <w:tab w:val="clear" w:pos="2161"/>
          <w:tab w:val="left" w:leader="dot" w:pos="9072"/>
        </w:tabs>
        <w:spacing w:before="120" w:after="120"/>
        <w:ind w:left="709"/>
      </w:pPr>
      <w:r>
        <w:tab/>
      </w:r>
    </w:p>
    <w:p w14:paraId="69EDE6FA"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Inhoud van elke uitgevoerde openbare raadpleging. </w:t>
      </w:r>
    </w:p>
    <w:p w14:paraId="66C2ED58" w14:textId="77777777" w:rsidR="00D1408F" w:rsidRPr="005C4E62" w:rsidRDefault="00D1408F" w:rsidP="00D1408F">
      <w:pPr>
        <w:pStyle w:val="Text2"/>
        <w:tabs>
          <w:tab w:val="clear" w:pos="2161"/>
          <w:tab w:val="left" w:leader="dot" w:pos="9072"/>
        </w:tabs>
        <w:spacing w:before="120" w:after="120"/>
        <w:ind w:left="709"/>
      </w:pPr>
      <w:r>
        <w:lastRenderedPageBreak/>
        <w:tab/>
      </w:r>
    </w:p>
    <w:p w14:paraId="5F1831B8" w14:textId="77777777" w:rsidR="00D1408F" w:rsidRPr="005C4E62" w:rsidRDefault="00D1408F" w:rsidP="00D46D21">
      <w:pPr>
        <w:pStyle w:val="Text2"/>
        <w:numPr>
          <w:ilvl w:val="4"/>
          <w:numId w:val="10"/>
        </w:numPr>
        <w:tabs>
          <w:tab w:val="clear" w:pos="1800"/>
          <w:tab w:val="clear" w:pos="2161"/>
        </w:tabs>
        <w:spacing w:after="120"/>
        <w:ind w:left="1418" w:hanging="709"/>
      </w:pPr>
      <w:r>
        <w:t>Openbaar toegankelijke internetsite (op regionaal en nationaal niveau) waar de raadpleging is gepubliceerd.</w:t>
      </w:r>
    </w:p>
    <w:p w14:paraId="3E383723" w14:textId="77777777" w:rsidR="00D1408F" w:rsidRPr="005C4E62" w:rsidRDefault="00D1408F" w:rsidP="00D1408F">
      <w:pPr>
        <w:pStyle w:val="Text2"/>
        <w:tabs>
          <w:tab w:val="clear" w:pos="2161"/>
          <w:tab w:val="left" w:leader="dot" w:pos="9072"/>
        </w:tabs>
        <w:spacing w:before="120" w:after="120"/>
        <w:ind w:left="709"/>
      </w:pPr>
      <w:r>
        <w:tab/>
      </w:r>
    </w:p>
    <w:p w14:paraId="0DA804A6" w14:textId="77777777" w:rsidR="00D1408F" w:rsidRPr="005C4E62" w:rsidRDefault="00D1408F" w:rsidP="00D46D21">
      <w:pPr>
        <w:pStyle w:val="Text2"/>
        <w:numPr>
          <w:ilvl w:val="4"/>
          <w:numId w:val="10"/>
        </w:numPr>
        <w:tabs>
          <w:tab w:val="clear" w:pos="1800"/>
          <w:tab w:val="clear" w:pos="2161"/>
        </w:tabs>
        <w:spacing w:after="120"/>
        <w:ind w:left="1418" w:hanging="709"/>
      </w:pPr>
      <w:r>
        <w:t>Een overzicht van de belangrijkste opmerkingen die de deelnemers aan elke openbare raadpleging hebben ingediend, met vermelding van de wijze waarop deze zijn behandeld.</w:t>
      </w:r>
    </w:p>
    <w:p w14:paraId="01C6F9FF" w14:textId="77777777" w:rsidR="00D1408F" w:rsidRPr="005C4E62" w:rsidRDefault="00D1408F" w:rsidP="00D1408F">
      <w:pPr>
        <w:pStyle w:val="Text2"/>
        <w:tabs>
          <w:tab w:val="clear" w:pos="2161"/>
          <w:tab w:val="left" w:leader="dot" w:pos="9072"/>
        </w:tabs>
        <w:spacing w:before="120" w:after="120"/>
        <w:ind w:left="709"/>
      </w:pPr>
      <w:r>
        <w:tab/>
      </w:r>
    </w:p>
    <w:p w14:paraId="49716D20" w14:textId="77777777" w:rsidR="00D1408F" w:rsidRPr="005C4E62" w:rsidRDefault="00D1408F" w:rsidP="009A1814">
      <w:pPr>
        <w:pStyle w:val="NumPar2"/>
        <w:numPr>
          <w:ilvl w:val="1"/>
          <w:numId w:val="5"/>
        </w:numPr>
        <w:ind w:left="709" w:hanging="709"/>
      </w:pPr>
      <w:r>
        <w:t>Gelieve aan te geven of er aanvullende waarborgen zullen worden toegepast om eventueel misbruik van sociale vouchers te voorkomen. Zo ja, gelieve nadere gegevens hierover te verstrekken</w:t>
      </w:r>
      <w:r>
        <w:rPr>
          <w:rStyle w:val="FootnoteReference"/>
        </w:rPr>
        <w:footnoteReference w:id="15"/>
      </w:r>
      <w:r>
        <w:t>.</w:t>
      </w:r>
    </w:p>
    <w:p w14:paraId="1F743507" w14:textId="77777777" w:rsidR="00D1408F" w:rsidRPr="005C4E62" w:rsidRDefault="00D1408F" w:rsidP="00D1408F">
      <w:pPr>
        <w:pStyle w:val="Text2"/>
        <w:tabs>
          <w:tab w:val="clear" w:pos="2161"/>
          <w:tab w:val="left" w:leader="dot" w:pos="9072"/>
        </w:tabs>
        <w:spacing w:before="120" w:after="120"/>
        <w:ind w:left="709"/>
      </w:pPr>
      <w:r>
        <w:tab/>
      </w:r>
    </w:p>
    <w:p w14:paraId="48231433" w14:textId="77777777" w:rsidR="00D1408F" w:rsidRPr="005C4E62" w:rsidRDefault="00D1408F" w:rsidP="009A1814">
      <w:pPr>
        <w:pStyle w:val="NumPar2"/>
        <w:numPr>
          <w:ilvl w:val="1"/>
          <w:numId w:val="5"/>
        </w:numPr>
        <w:ind w:left="709" w:hanging="709"/>
      </w:pPr>
      <w:r>
        <w:t>Gelieve aan te geven of de steunmaatregel voorziet in specifieke regels voor het beheer van het abonnement, onder meer met betrekking tot de vroegtijdige beëindiging van het abonnement, de mogelijkheid om het abonnement tijdens de looptijd van de voucher over te zetten naar een andere aanbieder (zo ja, onder welke voorwaarden) en de voortzetting van het abonnement na het verstrijken van de voucher. Zo ja, gelieve nadere gegevens hierover te verstrekken.</w:t>
      </w:r>
    </w:p>
    <w:p w14:paraId="04CACD62"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77175C9A" w14:textId="77777777" w:rsidTr="00796043">
        <w:tc>
          <w:tcPr>
            <w:tcW w:w="9286" w:type="dxa"/>
            <w:shd w:val="clear" w:color="auto" w:fill="D9D9D9"/>
          </w:tcPr>
          <w:p w14:paraId="7335EECE"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Connectiviteitsvouchers</w:t>
            </w:r>
          </w:p>
        </w:tc>
      </w:tr>
    </w:tbl>
    <w:p w14:paraId="5648853E" w14:textId="77777777" w:rsidR="004D559F" w:rsidRPr="005C4E62" w:rsidRDefault="004D559F" w:rsidP="00450B69">
      <w:pPr>
        <w:pStyle w:val="NumPar2"/>
        <w:numPr>
          <w:ilvl w:val="1"/>
          <w:numId w:val="41"/>
        </w:numPr>
        <w:ind w:left="709" w:hanging="709"/>
      </w:pPr>
      <w:r>
        <w:t>Gelieve aan te geven op welk type eindgebruikers de maatregel is gericht.</w:t>
      </w:r>
    </w:p>
    <w:p w14:paraId="372C7AC2" w14:textId="77777777" w:rsidR="004D559F" w:rsidRPr="005C4E62" w:rsidRDefault="004D559F" w:rsidP="00450B69">
      <w:pPr>
        <w:pStyle w:val="Text2"/>
        <w:ind w:left="709"/>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Consumenten </w:t>
      </w:r>
      <w:r>
        <w:tab/>
      </w:r>
      <w:r>
        <w:tab/>
      </w: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Bedrijven </w:t>
      </w:r>
    </w:p>
    <w:p w14:paraId="406E3925" w14:textId="77777777" w:rsidR="009A1814" w:rsidRPr="005C4E62" w:rsidRDefault="009A1814" w:rsidP="009A1814">
      <w:pPr>
        <w:pStyle w:val="NumPar2"/>
        <w:numPr>
          <w:ilvl w:val="1"/>
          <w:numId w:val="41"/>
        </w:numPr>
        <w:ind w:left="709" w:hanging="709"/>
      </w:pPr>
      <w:r>
        <w:t xml:space="preserve">Gelieve toe te lichten aan welke voorwaarden eindgebruikers moeten voldoen om connectiviteitsvouchers te krijgen. </w:t>
      </w:r>
    </w:p>
    <w:p w14:paraId="5F932405" w14:textId="77777777" w:rsidR="009A1814" w:rsidRPr="005C4E62" w:rsidRDefault="009A1814" w:rsidP="009A1814">
      <w:pPr>
        <w:pStyle w:val="Text2"/>
        <w:tabs>
          <w:tab w:val="clear" w:pos="2161"/>
          <w:tab w:val="left" w:leader="dot" w:pos="9072"/>
        </w:tabs>
        <w:spacing w:before="120" w:after="120"/>
        <w:ind w:left="709"/>
      </w:pPr>
      <w:r>
        <w:tab/>
      </w:r>
    </w:p>
    <w:p w14:paraId="2AD9BD04" w14:textId="77777777" w:rsidR="009A1814" w:rsidRPr="005C4E62" w:rsidRDefault="009A1814" w:rsidP="009A1814">
      <w:pPr>
        <w:pStyle w:val="NumPar2"/>
        <w:numPr>
          <w:ilvl w:val="1"/>
          <w:numId w:val="41"/>
        </w:numPr>
        <w:ind w:left="709" w:hanging="709"/>
      </w:pPr>
      <w:r>
        <w:t>Gelieve een schatting te geven van het aantal eindgebruikers dat baat zou kunnen hebben bij de steunmaatregel.</w:t>
      </w:r>
    </w:p>
    <w:p w14:paraId="7E351D30" w14:textId="77777777" w:rsidR="009A1814" w:rsidRPr="005C4E62" w:rsidRDefault="009A1814" w:rsidP="009A1814">
      <w:pPr>
        <w:pStyle w:val="Text2"/>
        <w:tabs>
          <w:tab w:val="clear" w:pos="2161"/>
          <w:tab w:val="left" w:leader="dot" w:pos="9072"/>
        </w:tabs>
        <w:spacing w:before="120" w:after="120"/>
        <w:ind w:left="709"/>
      </w:pPr>
      <w:r>
        <w:tab/>
      </w:r>
    </w:p>
    <w:p w14:paraId="56ADB95D" w14:textId="77777777" w:rsidR="00710B4A" w:rsidRPr="005C4E62" w:rsidRDefault="00710B4A" w:rsidP="00710B4A">
      <w:pPr>
        <w:pStyle w:val="NumPar2"/>
        <w:numPr>
          <w:ilvl w:val="1"/>
          <w:numId w:val="41"/>
        </w:numPr>
        <w:ind w:left="709" w:hanging="709"/>
      </w:pPr>
      <w:r>
        <w:t>Gelieve aan te geven welke dienstverleners in aanmerking komen.</w:t>
      </w:r>
    </w:p>
    <w:p w14:paraId="61AD1999" w14:textId="77777777" w:rsidR="00710B4A" w:rsidRPr="005C4E62" w:rsidRDefault="00710B4A" w:rsidP="00710B4A">
      <w:pPr>
        <w:pStyle w:val="Text2"/>
        <w:tabs>
          <w:tab w:val="clear" w:pos="2161"/>
          <w:tab w:val="left" w:leader="dot" w:pos="9072"/>
        </w:tabs>
        <w:spacing w:before="120" w:after="120"/>
        <w:ind w:left="709"/>
      </w:pPr>
      <w:r>
        <w:tab/>
      </w:r>
    </w:p>
    <w:p w14:paraId="48BBE33D" w14:textId="77777777" w:rsidR="009A1814" w:rsidRPr="005C4E62" w:rsidRDefault="009A1814" w:rsidP="009A1814">
      <w:pPr>
        <w:pStyle w:val="NumPar2"/>
        <w:numPr>
          <w:ilvl w:val="1"/>
          <w:numId w:val="41"/>
        </w:numPr>
        <w:ind w:left="709" w:hanging="709"/>
      </w:pPr>
      <w:r>
        <w:t>Gelieve aan te geven welke in aanmerking komende diensten onder de steunmaatregel vallen (bv. in termen van downloadsnelheid, uploadsnelheid enz.) en toe te lichten hoe uw autoriteiten deze diensten hebben aangeduid. Gelieve in dit verband de behoeften van de eindgebruikers aan te geven waarin kan worden voorzien door verbindingen die de in aanmerking komende diensten leveren, en gelieve daarvoor verifieerbare ondersteunende bewijzen te leveren (bv. consumentenenquêtes, onafhankelijke studies)</w:t>
      </w:r>
      <w:r>
        <w:rPr>
          <w:rStyle w:val="FootnoteReference"/>
        </w:rPr>
        <w:footnoteReference w:id="16"/>
      </w:r>
      <w:r>
        <w:t>.</w:t>
      </w:r>
    </w:p>
    <w:p w14:paraId="6B098123" w14:textId="77777777" w:rsidR="009A1814" w:rsidRPr="005C4E62" w:rsidRDefault="009A1814" w:rsidP="009A1814">
      <w:pPr>
        <w:pStyle w:val="Text2"/>
        <w:tabs>
          <w:tab w:val="clear" w:pos="2161"/>
          <w:tab w:val="left" w:leader="dot" w:pos="9072"/>
        </w:tabs>
        <w:spacing w:before="120" w:after="120"/>
        <w:ind w:left="709"/>
      </w:pPr>
      <w:r>
        <w:lastRenderedPageBreak/>
        <w:tab/>
      </w:r>
    </w:p>
    <w:p w14:paraId="66ABFDB8" w14:textId="77777777" w:rsidR="00710B4A" w:rsidRPr="005C4E62" w:rsidRDefault="00710B4A" w:rsidP="009A1814">
      <w:pPr>
        <w:pStyle w:val="NumPar2"/>
        <w:numPr>
          <w:ilvl w:val="1"/>
          <w:numId w:val="41"/>
        </w:numPr>
        <w:ind w:left="709" w:hanging="709"/>
      </w:pPr>
      <w:r>
        <w:t>Gelieve aan te geven hoe de vouchers zullen worden gebruikt en geef nadere bijzonderheden. Gelieve bovendien te bevestigen dat de vouchers niet kunnen worden gebruikt om bestaande abonnementen aan te houden</w:t>
      </w:r>
      <w:r>
        <w:rPr>
          <w:rStyle w:val="FootnoteReference"/>
        </w:rPr>
        <w:footnoteReference w:id="17"/>
      </w:r>
      <w:r>
        <w:t>.</w:t>
      </w:r>
    </w:p>
    <w:p w14:paraId="6F316C29" w14:textId="77777777" w:rsidR="00042ACA" w:rsidRPr="005C4E62" w:rsidRDefault="00042ACA" w:rsidP="00042ACA">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Abonnement op nieuwe breedbanddiensten. Nadere bijzonderheden:</w:t>
      </w:r>
    </w:p>
    <w:p w14:paraId="560F4573" w14:textId="77777777" w:rsidR="00042ACA" w:rsidRPr="005C4E62" w:rsidRDefault="00042ACA" w:rsidP="00042ACA">
      <w:pPr>
        <w:pStyle w:val="NumPar2"/>
        <w:tabs>
          <w:tab w:val="clear" w:pos="360"/>
        </w:tabs>
        <w:ind w:left="709" w:firstLine="0"/>
      </w:pPr>
      <w:r>
        <w:t xml:space="preserve">………………………………………………………………………………………….. </w:t>
      </w:r>
    </w:p>
    <w:p w14:paraId="22E81DA1" w14:textId="77777777" w:rsidR="00042ACA" w:rsidRPr="005C4E62" w:rsidRDefault="00042ACA" w:rsidP="00042ACA">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Bestaande abonnementen opwaarderen. Nadere bijzonderheden: </w:t>
      </w:r>
    </w:p>
    <w:p w14:paraId="3DC55C97" w14:textId="77777777" w:rsidR="00042ACA" w:rsidRPr="005C4E62" w:rsidRDefault="00042ACA" w:rsidP="00042ACA">
      <w:pPr>
        <w:pStyle w:val="NumPar2"/>
        <w:tabs>
          <w:tab w:val="clear" w:pos="360"/>
        </w:tabs>
        <w:ind w:left="709" w:firstLine="0"/>
      </w:pPr>
      <w:r>
        <w:t>…………………………………………………………………………………………...</w:t>
      </w:r>
    </w:p>
    <w:p w14:paraId="577DE20C" w14:textId="77777777" w:rsidR="00042ACA" w:rsidRPr="005C4E62" w:rsidRDefault="00042ACA" w:rsidP="006E6AE1">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Bevestiging dat de vouchers niet kunnen worden gebruikt om bestaande abonnementen aan te houden. Nadere bijzonderheden:</w:t>
      </w:r>
    </w:p>
    <w:p w14:paraId="1355D45B" w14:textId="77777777" w:rsidR="00710B4A" w:rsidRPr="005C4E62" w:rsidRDefault="00710B4A" w:rsidP="00710B4A">
      <w:pPr>
        <w:pStyle w:val="Text2"/>
        <w:tabs>
          <w:tab w:val="clear" w:pos="2161"/>
          <w:tab w:val="left" w:leader="dot" w:pos="9072"/>
        </w:tabs>
        <w:spacing w:before="120" w:after="120"/>
        <w:ind w:left="709"/>
      </w:pPr>
      <w:r>
        <w:tab/>
      </w:r>
    </w:p>
    <w:p w14:paraId="5EC07369" w14:textId="77777777" w:rsidR="009A1814" w:rsidRPr="005C4E62" w:rsidRDefault="009A1814" w:rsidP="009A1814">
      <w:pPr>
        <w:pStyle w:val="NumPar2"/>
        <w:numPr>
          <w:ilvl w:val="1"/>
          <w:numId w:val="41"/>
        </w:numPr>
        <w:ind w:left="709" w:hanging="709"/>
      </w:pPr>
      <w:r>
        <w:t>Gelieve aan te geven onder welke maatregel de in aanmerking komende kosten vallen</w:t>
      </w:r>
      <w:r>
        <w:rPr>
          <w:rStyle w:val="FootnoteReference"/>
        </w:rPr>
        <w:footnoteReference w:id="18"/>
      </w:r>
      <w:r>
        <w:t>.</w:t>
      </w:r>
    </w:p>
    <w:p w14:paraId="18186082" w14:textId="77777777" w:rsidR="00E0556B" w:rsidRPr="005C4E62" w:rsidRDefault="00E0556B" w:rsidP="00450B69">
      <w:pPr>
        <w:pStyle w:val="Text2"/>
        <w:tabs>
          <w:tab w:val="clear" w:pos="2161"/>
          <w:tab w:val="left" w:leader="dot" w:pos="9072"/>
        </w:tabs>
        <w:spacing w:before="120" w:after="120"/>
        <w:ind w:left="709"/>
      </w:pPr>
      <w:r>
        <w:tab/>
      </w:r>
    </w:p>
    <w:p w14:paraId="7A3B1B23" w14:textId="77777777" w:rsidR="009A1814" w:rsidRPr="005C4E62" w:rsidRDefault="009A1814" w:rsidP="009A1814">
      <w:pPr>
        <w:pStyle w:val="NumPar2"/>
        <w:numPr>
          <w:ilvl w:val="1"/>
          <w:numId w:val="41"/>
        </w:numPr>
        <w:ind w:left="709" w:hanging="709"/>
      </w:pPr>
      <w:r>
        <w:t>Gelieve de vorm en het bedrag van de vouchers aan te geven en te specificeren hoe dit bedrag is vastgesteld en welk percentage van de abonnementskosten door de voucher wordt gedekt)</w:t>
      </w:r>
      <w:r>
        <w:rPr>
          <w:rStyle w:val="FootnoteReference"/>
        </w:rPr>
        <w:footnoteReference w:id="19"/>
      </w:r>
      <w:r>
        <w:t xml:space="preserve">. </w:t>
      </w:r>
    </w:p>
    <w:p w14:paraId="488D0B98" w14:textId="77777777" w:rsidR="009A1814" w:rsidRPr="005C4E62" w:rsidRDefault="009A1814" w:rsidP="009A1814">
      <w:pPr>
        <w:pStyle w:val="Text2"/>
        <w:tabs>
          <w:tab w:val="clear" w:pos="2161"/>
          <w:tab w:val="left" w:leader="dot" w:pos="9072"/>
        </w:tabs>
        <w:spacing w:before="120" w:after="120"/>
        <w:ind w:left="709"/>
      </w:pPr>
      <w:r>
        <w:tab/>
      </w:r>
    </w:p>
    <w:p w14:paraId="6602A60D" w14:textId="77777777" w:rsidR="009A1814" w:rsidRPr="005C4E62" w:rsidRDefault="009A1814" w:rsidP="009A1814">
      <w:pPr>
        <w:pStyle w:val="NumPar2"/>
        <w:numPr>
          <w:ilvl w:val="1"/>
          <w:numId w:val="41"/>
        </w:numPr>
        <w:ind w:left="709" w:hanging="709"/>
        <w:rPr>
          <w:iCs/>
        </w:rPr>
      </w:pPr>
      <w:r>
        <w:t>Gelieve toe te lichten of en hoe de steunmaatregel in overeenstemming is met het beginsel van technologische neutraliteit</w:t>
      </w:r>
      <w:r>
        <w:rPr>
          <w:rStyle w:val="FootnoteReference"/>
          <w:iCs/>
        </w:rPr>
        <w:footnoteReference w:id="20"/>
      </w:r>
      <w:r>
        <w:t>.</w:t>
      </w:r>
    </w:p>
    <w:p w14:paraId="0EA926C7" w14:textId="77777777" w:rsidR="009A1814" w:rsidRPr="005C4E62" w:rsidRDefault="009A1814" w:rsidP="009A1814">
      <w:pPr>
        <w:pStyle w:val="Text2"/>
        <w:tabs>
          <w:tab w:val="clear" w:pos="2161"/>
          <w:tab w:val="left" w:leader="dot" w:pos="9072"/>
        </w:tabs>
        <w:spacing w:before="120" w:after="120"/>
        <w:ind w:left="709"/>
      </w:pPr>
      <w:r>
        <w:tab/>
      </w:r>
    </w:p>
    <w:p w14:paraId="0A4162E8" w14:textId="77777777" w:rsidR="009A1814" w:rsidRPr="005C4E62" w:rsidRDefault="009A1814" w:rsidP="009A1814">
      <w:pPr>
        <w:pStyle w:val="NumPar2"/>
        <w:numPr>
          <w:ilvl w:val="1"/>
          <w:numId w:val="41"/>
        </w:numPr>
        <w:ind w:left="709" w:hanging="709"/>
        <w:rPr>
          <w:iCs/>
        </w:rPr>
      </w:pPr>
      <w:r>
        <w:t>Om aan te tonen dat de steunmaatregel een gelijke behandeling van alle mogelijke dienstverleners garandeert en de consumenten een zo ruim mogelijke keuze aan leveranciers biedt, gelieve te bevestigen (met relevante gegevens) dat</w:t>
      </w:r>
      <w:r>
        <w:rPr>
          <w:rStyle w:val="FootnoteReference"/>
        </w:rPr>
        <w:footnoteReference w:id="21"/>
      </w:r>
      <w:r>
        <w:t xml:space="preserve">: </w:t>
      </w:r>
    </w:p>
    <w:p w14:paraId="097C241E" w14:textId="77777777" w:rsidR="009A1814" w:rsidRPr="005C4E62" w:rsidRDefault="009A1814" w:rsidP="004C1C63">
      <w:pPr>
        <w:pStyle w:val="NumPar2"/>
        <w:numPr>
          <w:ilvl w:val="4"/>
          <w:numId w:val="42"/>
        </w:numPr>
        <w:tabs>
          <w:tab w:val="clear" w:pos="1800"/>
        </w:tabs>
        <w:ind w:left="1418" w:hanging="709"/>
      </w:pPr>
      <w:r>
        <w:t>er een online register van alle in aanmerking komende dienstverleners (of een gelijkwaardig alternatief platform) zal worden opgezet.</w:t>
      </w:r>
    </w:p>
    <w:p w14:paraId="7A825176" w14:textId="77777777" w:rsidR="009A1814" w:rsidRPr="005C4E62" w:rsidRDefault="009A1814" w:rsidP="009A1814">
      <w:pPr>
        <w:pStyle w:val="Text2"/>
        <w:tabs>
          <w:tab w:val="clear" w:pos="2161"/>
          <w:tab w:val="left" w:leader="dot" w:pos="9072"/>
        </w:tabs>
        <w:spacing w:before="120" w:after="120"/>
        <w:ind w:left="709"/>
      </w:pPr>
      <w:r>
        <w:tab/>
      </w:r>
    </w:p>
    <w:p w14:paraId="747C0F67" w14:textId="77777777" w:rsidR="009A1814" w:rsidRPr="005C4E62" w:rsidRDefault="009A1814" w:rsidP="004C1C63">
      <w:pPr>
        <w:pStyle w:val="NumPar2"/>
        <w:numPr>
          <w:ilvl w:val="4"/>
          <w:numId w:val="42"/>
        </w:numPr>
        <w:tabs>
          <w:tab w:val="clear" w:pos="1800"/>
        </w:tabs>
        <w:ind w:left="1418" w:hanging="709"/>
      </w:pPr>
      <w:r>
        <w:t xml:space="preserve">consumenten het register vrij kunnen raadplegen. </w:t>
      </w:r>
    </w:p>
    <w:p w14:paraId="5667E637" w14:textId="77777777" w:rsidR="009A1814" w:rsidRPr="005C4E62" w:rsidRDefault="009A1814" w:rsidP="009A1814">
      <w:pPr>
        <w:pStyle w:val="Text2"/>
        <w:tabs>
          <w:tab w:val="clear" w:pos="2161"/>
          <w:tab w:val="left" w:leader="dot" w:pos="9072"/>
        </w:tabs>
        <w:spacing w:before="120" w:after="120"/>
        <w:ind w:left="709"/>
      </w:pPr>
      <w:r>
        <w:tab/>
      </w:r>
    </w:p>
    <w:p w14:paraId="6AF7B94C" w14:textId="77777777" w:rsidR="009A1814" w:rsidRPr="005C4E62" w:rsidRDefault="009A1814" w:rsidP="00D46D21">
      <w:pPr>
        <w:pStyle w:val="NumPar2"/>
        <w:numPr>
          <w:ilvl w:val="4"/>
          <w:numId w:val="42"/>
        </w:numPr>
        <w:tabs>
          <w:tab w:val="clear" w:pos="1800"/>
        </w:tabs>
        <w:ind w:left="1418" w:hanging="709"/>
      </w:pPr>
      <w:r>
        <w:t>alle ondernemingen die in aanmerking komende breedbanddiensten kunnen aanbieden, kunnen verzoeken om te worden opgenomen in het register (of in het gekozen alternatieve platform).</w:t>
      </w:r>
    </w:p>
    <w:p w14:paraId="3C8C9956" w14:textId="77777777" w:rsidR="009A1814" w:rsidRPr="005C4E62" w:rsidRDefault="009A1814" w:rsidP="009A1814">
      <w:pPr>
        <w:pStyle w:val="Text2"/>
        <w:tabs>
          <w:tab w:val="clear" w:pos="2161"/>
          <w:tab w:val="left" w:leader="dot" w:pos="9072"/>
        </w:tabs>
        <w:spacing w:before="120" w:after="120"/>
        <w:ind w:left="709"/>
      </w:pPr>
      <w:r>
        <w:tab/>
        <w:t xml:space="preserve"> </w:t>
      </w:r>
    </w:p>
    <w:p w14:paraId="78E3547A" w14:textId="77777777" w:rsidR="009A1814" w:rsidRPr="005C4E62" w:rsidRDefault="009A1814" w:rsidP="004C1C63">
      <w:pPr>
        <w:pStyle w:val="NumPar2"/>
        <w:numPr>
          <w:ilvl w:val="4"/>
          <w:numId w:val="42"/>
        </w:numPr>
        <w:tabs>
          <w:tab w:val="clear" w:pos="1800"/>
        </w:tabs>
        <w:ind w:left="1418" w:hanging="709"/>
      </w:pPr>
      <w:r>
        <w:t xml:space="preserve">het register (of het gekozen alternatieve platform) ook aanvullende informatie bevat om consumenten te helpen (bv. het soort diensten dat door de </w:t>
      </w:r>
      <w:r>
        <w:lastRenderedPageBreak/>
        <w:t>verschillende ondernemingen wordt aangeboden enz.). Zo ja, gelieve aan te geven welke aanvullende informatie is verstrekt.</w:t>
      </w:r>
    </w:p>
    <w:p w14:paraId="442CBD2A" w14:textId="77777777" w:rsidR="009A1814" w:rsidRPr="005C4E62" w:rsidRDefault="009A1814" w:rsidP="009A1814">
      <w:pPr>
        <w:pStyle w:val="Text2"/>
        <w:tabs>
          <w:tab w:val="clear" w:pos="2161"/>
          <w:tab w:val="left" w:leader="dot" w:pos="9072"/>
        </w:tabs>
        <w:spacing w:before="120" w:after="120"/>
        <w:ind w:left="709"/>
      </w:pPr>
      <w:r>
        <w:tab/>
      </w:r>
    </w:p>
    <w:p w14:paraId="0361BD04" w14:textId="77777777" w:rsidR="009A1814" w:rsidRPr="005C4E62" w:rsidRDefault="009A1814" w:rsidP="004C1C63">
      <w:pPr>
        <w:pStyle w:val="NumPar2"/>
        <w:numPr>
          <w:ilvl w:val="1"/>
          <w:numId w:val="41"/>
        </w:numPr>
        <w:ind w:left="709" w:hanging="709"/>
      </w:pPr>
      <w:r>
        <w:t>Gelieve de uitvoeringsprocedure van de steunmaatregel nader toe te lichten.</w:t>
      </w:r>
    </w:p>
    <w:p w14:paraId="579D043D" w14:textId="77777777" w:rsidR="004D559F" w:rsidRPr="005C4E62" w:rsidRDefault="004D559F" w:rsidP="00450B69">
      <w:pPr>
        <w:pStyle w:val="Text2"/>
        <w:tabs>
          <w:tab w:val="clear" w:pos="2161"/>
          <w:tab w:val="left" w:leader="dot" w:pos="9072"/>
        </w:tabs>
        <w:spacing w:before="120" w:after="120"/>
        <w:ind w:left="709"/>
      </w:pPr>
      <w:r>
        <w:tab/>
      </w:r>
    </w:p>
    <w:p w14:paraId="3DB8846F" w14:textId="77777777" w:rsidR="009A1814" w:rsidRPr="005C4E62" w:rsidRDefault="009A1814" w:rsidP="004C1C63">
      <w:pPr>
        <w:pStyle w:val="NumPar2"/>
        <w:numPr>
          <w:ilvl w:val="1"/>
          <w:numId w:val="41"/>
        </w:numPr>
        <w:ind w:left="709" w:hanging="709"/>
      </w:pPr>
      <w:r>
        <w:t>Openbare raadpleging. Gelieve de volgende gegevens te verstrekken</w:t>
      </w:r>
      <w:r>
        <w:rPr>
          <w:rStyle w:val="FootnoteReference"/>
        </w:rPr>
        <w:footnoteReference w:id="22"/>
      </w:r>
      <w:r>
        <w:t>:</w:t>
      </w:r>
    </w:p>
    <w:p w14:paraId="6ABD5BDB" w14:textId="77777777" w:rsidR="009A1814" w:rsidRPr="005C4E62" w:rsidRDefault="009A1814" w:rsidP="00625B73">
      <w:pPr>
        <w:pStyle w:val="Text2"/>
        <w:numPr>
          <w:ilvl w:val="4"/>
          <w:numId w:val="48"/>
        </w:numPr>
        <w:tabs>
          <w:tab w:val="clear" w:pos="2161"/>
        </w:tabs>
        <w:spacing w:after="120"/>
        <w:ind w:hanging="1091"/>
      </w:pPr>
      <w:r>
        <w:t xml:space="preserve">Begin- en einddatum van elke uitgevoerde openbare raadpleging. </w:t>
      </w:r>
    </w:p>
    <w:p w14:paraId="7D79CFF9" w14:textId="77777777" w:rsidR="009A1814" w:rsidRPr="005C4E62" w:rsidRDefault="009A1814" w:rsidP="009A1814">
      <w:pPr>
        <w:pStyle w:val="Text2"/>
        <w:tabs>
          <w:tab w:val="clear" w:pos="2161"/>
          <w:tab w:val="left" w:leader="dot" w:pos="9072"/>
        </w:tabs>
        <w:spacing w:before="120" w:after="120"/>
        <w:ind w:left="709"/>
      </w:pPr>
      <w:r>
        <w:tab/>
      </w:r>
    </w:p>
    <w:p w14:paraId="452C877B" w14:textId="77777777" w:rsidR="009A1814" w:rsidRPr="005C4E62" w:rsidRDefault="009A1814" w:rsidP="00625B73">
      <w:pPr>
        <w:pStyle w:val="Text2"/>
        <w:numPr>
          <w:ilvl w:val="4"/>
          <w:numId w:val="48"/>
        </w:numPr>
        <w:tabs>
          <w:tab w:val="clear" w:pos="2161"/>
        </w:tabs>
        <w:spacing w:after="120"/>
        <w:ind w:left="1418" w:hanging="709"/>
      </w:pPr>
      <w:r>
        <w:t xml:space="preserve">Inhoud van elke uitgevoerde openbare raadpleging. </w:t>
      </w:r>
    </w:p>
    <w:p w14:paraId="5856559F" w14:textId="77777777" w:rsidR="009A1814" w:rsidRPr="005C4E62" w:rsidRDefault="009A1814" w:rsidP="009A1814">
      <w:pPr>
        <w:pStyle w:val="Text2"/>
        <w:tabs>
          <w:tab w:val="clear" w:pos="2161"/>
          <w:tab w:val="left" w:leader="dot" w:pos="9072"/>
        </w:tabs>
        <w:spacing w:before="120" w:after="120"/>
        <w:ind w:left="709"/>
      </w:pPr>
      <w:r>
        <w:tab/>
      </w:r>
    </w:p>
    <w:p w14:paraId="031F89BC" w14:textId="77777777" w:rsidR="009A1814" w:rsidRPr="005C4E62" w:rsidRDefault="009A1814" w:rsidP="00625B73">
      <w:pPr>
        <w:pStyle w:val="Text2"/>
        <w:numPr>
          <w:ilvl w:val="4"/>
          <w:numId w:val="48"/>
        </w:numPr>
        <w:tabs>
          <w:tab w:val="clear" w:pos="2161"/>
        </w:tabs>
        <w:spacing w:after="120"/>
        <w:ind w:left="1418" w:hanging="709"/>
      </w:pPr>
      <w:r>
        <w:t>Openbaar toegankelijke internetsite (op regionaal en nationaal niveau) waar de raadpleging is gepubliceerd.</w:t>
      </w:r>
    </w:p>
    <w:p w14:paraId="6BF3A405" w14:textId="77777777" w:rsidR="009A1814" w:rsidRPr="005C4E62" w:rsidRDefault="009A1814" w:rsidP="009A1814">
      <w:pPr>
        <w:pStyle w:val="Text2"/>
        <w:tabs>
          <w:tab w:val="clear" w:pos="2161"/>
          <w:tab w:val="left" w:leader="dot" w:pos="9072"/>
        </w:tabs>
        <w:spacing w:before="120" w:after="120"/>
        <w:ind w:left="709"/>
      </w:pPr>
      <w:r>
        <w:tab/>
      </w:r>
    </w:p>
    <w:p w14:paraId="7CE852E5" w14:textId="77777777" w:rsidR="009A1814" w:rsidRPr="005C4E62" w:rsidRDefault="009A1814" w:rsidP="00625B73">
      <w:pPr>
        <w:pStyle w:val="Text2"/>
        <w:numPr>
          <w:ilvl w:val="4"/>
          <w:numId w:val="48"/>
        </w:numPr>
        <w:tabs>
          <w:tab w:val="clear" w:pos="2161"/>
        </w:tabs>
        <w:spacing w:after="120"/>
        <w:ind w:left="1418" w:hanging="709"/>
      </w:pPr>
      <w:r>
        <w:t>Een overzicht van de belangrijkste opmerkingen die de deelnemers aan elke openbare raadpleging hebben ingediend, met vermelding van de wijze waarop deze zijn behandeld.</w:t>
      </w:r>
    </w:p>
    <w:p w14:paraId="77C10E81" w14:textId="77777777" w:rsidR="009A1814" w:rsidRPr="005C4E62" w:rsidRDefault="009A1814" w:rsidP="009A1814">
      <w:pPr>
        <w:pStyle w:val="Text2"/>
        <w:tabs>
          <w:tab w:val="clear" w:pos="2161"/>
          <w:tab w:val="left" w:leader="dot" w:pos="9072"/>
        </w:tabs>
        <w:spacing w:before="120" w:after="120"/>
        <w:ind w:left="709"/>
      </w:pPr>
      <w:r>
        <w:tab/>
      </w:r>
    </w:p>
    <w:p w14:paraId="445659AF" w14:textId="77777777" w:rsidR="009A1814" w:rsidRPr="005C4E62" w:rsidRDefault="009A1814" w:rsidP="004C1C63">
      <w:pPr>
        <w:pStyle w:val="NumPar2"/>
        <w:numPr>
          <w:ilvl w:val="1"/>
          <w:numId w:val="41"/>
        </w:numPr>
        <w:ind w:left="709" w:hanging="709"/>
      </w:pPr>
      <w:r>
        <w:t>Gelieve aan te geven of er aanvullende waarborgen zullen worden toegepast om eventueel misbruik van connectiviteitsvouchers te voorkomen. Zo ja, gelieve nadere gegevens hierover te verstrekken</w:t>
      </w:r>
      <w:r>
        <w:rPr>
          <w:rStyle w:val="FootnoteReference"/>
        </w:rPr>
        <w:footnoteReference w:id="23"/>
      </w:r>
      <w:r>
        <w:t>.</w:t>
      </w:r>
    </w:p>
    <w:p w14:paraId="3FBB5AED" w14:textId="77777777" w:rsidR="009A1814" w:rsidRPr="005C4E62" w:rsidRDefault="009A1814" w:rsidP="009A1814">
      <w:pPr>
        <w:pStyle w:val="Text2"/>
        <w:tabs>
          <w:tab w:val="clear" w:pos="2161"/>
          <w:tab w:val="left" w:leader="dot" w:pos="9072"/>
        </w:tabs>
        <w:spacing w:before="120" w:after="120"/>
        <w:ind w:left="709"/>
      </w:pPr>
      <w:r>
        <w:tab/>
      </w:r>
    </w:p>
    <w:p w14:paraId="119C1376" w14:textId="77777777" w:rsidR="009A1814" w:rsidRPr="005C4E62" w:rsidRDefault="009A1814" w:rsidP="004C1C63">
      <w:pPr>
        <w:pStyle w:val="NumPar2"/>
        <w:numPr>
          <w:ilvl w:val="1"/>
          <w:numId w:val="41"/>
        </w:numPr>
        <w:ind w:left="709" w:hanging="709"/>
      </w:pPr>
      <w:r>
        <w:t>Gelieve aan te geven of de steunmaatregel voorziet in specifieke regels voor het beheer van het abonnement, onder meer met betrekking tot de vroegtijdige beëindiging van het abonnement, de mogelijkheid om het abonnement tijdens de looptijd van de voucher over te zetten naar een andere aanbieder (zo ja, onder welke voorwaarden) en de voortzetting van het abonnement na het verstrijken van de voucher. Zo ja, gelieve nadere gegevens hierover te verstrekken.</w:t>
      </w:r>
    </w:p>
    <w:p w14:paraId="2BA355C8" w14:textId="77777777" w:rsidR="009A1814" w:rsidRPr="005C4E62" w:rsidRDefault="009A1814" w:rsidP="009A1814">
      <w:pPr>
        <w:pStyle w:val="Text2"/>
        <w:tabs>
          <w:tab w:val="clear" w:pos="2161"/>
          <w:tab w:val="left" w:leader="dot" w:pos="9072"/>
        </w:tabs>
        <w:spacing w:before="120" w:after="120"/>
        <w:ind w:left="709"/>
      </w:pPr>
      <w:r>
        <w:tab/>
      </w:r>
    </w:p>
    <w:p w14:paraId="341EB12C" w14:textId="77777777" w:rsidR="00807BE5" w:rsidRPr="005C4E62" w:rsidRDefault="004C1C63" w:rsidP="00F47AC0">
      <w:pPr>
        <w:pStyle w:val="NumPar2"/>
        <w:numPr>
          <w:ilvl w:val="1"/>
          <w:numId w:val="41"/>
        </w:numPr>
        <w:ind w:left="709" w:hanging="709"/>
      </w:pPr>
      <w:r>
        <w:t>Gelieve aan te geven welke economische activiteiten door de steunmaatregel zullen worden vergemakkelijkt dankzij de verbeterde connectiviteit en de toegang tot performante breedbanddiensten, en toe te lichten hoe de ontwikkeling van die activiteiten wordt ondersteund</w:t>
      </w:r>
      <w:r>
        <w:rPr>
          <w:rStyle w:val="FootnoteReference"/>
        </w:rPr>
        <w:footnoteReference w:id="24"/>
      </w:r>
      <w:r>
        <w:t>.</w:t>
      </w:r>
    </w:p>
    <w:p w14:paraId="187FC4D2" w14:textId="77777777" w:rsidR="00807BE5" w:rsidRPr="005C4E62" w:rsidRDefault="00807BE5" w:rsidP="00807BE5">
      <w:pPr>
        <w:pStyle w:val="Text2"/>
        <w:tabs>
          <w:tab w:val="clear" w:pos="2161"/>
          <w:tab w:val="left" w:leader="dot" w:pos="9072"/>
        </w:tabs>
        <w:spacing w:before="120" w:after="120"/>
        <w:ind w:left="709"/>
      </w:pPr>
      <w:r>
        <w:tab/>
      </w:r>
    </w:p>
    <w:p w14:paraId="78AE6BFA" w14:textId="77777777" w:rsidR="00D46D21" w:rsidRPr="005C4E62" w:rsidRDefault="00F47AC0" w:rsidP="00D46D21">
      <w:pPr>
        <w:pStyle w:val="NumPar2"/>
        <w:numPr>
          <w:ilvl w:val="1"/>
          <w:numId w:val="41"/>
        </w:numPr>
        <w:ind w:left="709" w:hanging="709"/>
      </w:pPr>
      <w:r>
        <w:t>Gelieve bewijzen te verstrekken voor het stimulerend effect van de steunmaatregel</w:t>
      </w:r>
      <w:r>
        <w:rPr>
          <w:rStyle w:val="FootnoteReference"/>
        </w:rPr>
        <w:footnoteReference w:id="25"/>
      </w:r>
      <w:r>
        <w:t>.</w:t>
      </w:r>
    </w:p>
    <w:p w14:paraId="56713ECB" w14:textId="77777777" w:rsidR="00D46D21" w:rsidRPr="005C4E62" w:rsidRDefault="00D46D21" w:rsidP="00D46D21">
      <w:pPr>
        <w:pStyle w:val="Text2"/>
        <w:tabs>
          <w:tab w:val="clear" w:pos="2161"/>
          <w:tab w:val="left" w:leader="dot" w:pos="9072"/>
        </w:tabs>
        <w:spacing w:before="120" w:after="120"/>
        <w:ind w:left="709"/>
      </w:pPr>
      <w:r>
        <w:tab/>
      </w:r>
    </w:p>
    <w:p w14:paraId="5182DE04" w14:textId="77777777" w:rsidR="00F47AC0" w:rsidRPr="005C4E62" w:rsidRDefault="00F47AC0" w:rsidP="00F47AC0">
      <w:pPr>
        <w:pStyle w:val="NumPar2"/>
        <w:numPr>
          <w:ilvl w:val="1"/>
          <w:numId w:val="41"/>
        </w:numPr>
        <w:ind w:left="709" w:hanging="709"/>
      </w:pPr>
      <w:r>
        <w:t xml:space="preserve">Gelieve te bevestigen dat de steunmaatregel, de daaraan verbonden voorwaarden (met inbegrip van de financieringsmethode indien die methode integrerend deel uitmaakt </w:t>
      </w:r>
      <w:r>
        <w:lastRenderedPageBreak/>
        <w:t>van de steun) of de activiteit die hij financiert, geen schending van bepalingen of algemene beginselen van het Unierecht inhouden.</w:t>
      </w:r>
    </w:p>
    <w:p w14:paraId="248C2B5A" w14:textId="762967E8" w:rsidR="00F47AC0" w:rsidRPr="005C4E62" w:rsidRDefault="00F47AC0" w:rsidP="00F47AC0">
      <w:pPr>
        <w:pStyle w:val="Text2"/>
        <w:tabs>
          <w:tab w:val="clear" w:pos="2161"/>
        </w:tabs>
        <w:spacing w:before="120" w:after="120"/>
        <w:ind w:left="709"/>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Ja</w:t>
      </w:r>
      <w:r>
        <w:tab/>
      </w:r>
      <w:r>
        <w:tab/>
      </w: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 xml:space="preserve"> Nee. Gelieve in dit geval toelichting te geven </w:t>
      </w:r>
      <w:r w:rsidR="0013439E">
        <w:tab/>
      </w:r>
      <w:r w:rsidR="0013439E">
        <w:tab/>
      </w:r>
      <w:r w:rsidR="0013439E">
        <w:tab/>
      </w:r>
      <w:r w:rsidR="0013439E">
        <w:tab/>
      </w:r>
      <w:r w:rsidR="0013439E">
        <w:tab/>
      </w:r>
      <w:r>
        <w:t>…………..</w:t>
      </w:r>
    </w:p>
    <w:p w14:paraId="3067E4C0" w14:textId="77777777" w:rsidR="00C9528F" w:rsidRPr="005C4E62" w:rsidRDefault="00C9528F" w:rsidP="00F47AC0">
      <w:pPr>
        <w:pStyle w:val="NumPar2"/>
        <w:numPr>
          <w:ilvl w:val="1"/>
          <w:numId w:val="41"/>
        </w:numPr>
        <w:ind w:left="709" w:hanging="709"/>
      </w:pPr>
      <w:r>
        <w:t>Gelieve toe te lichten waarom andere maatregelen dan staatssteun (bv. administratieve maatregelen, regelgevende maatregelen, marktconforme instrumenten, leningen, belastingmaatregelen enz.) niet geschikt zijn om de doelstelling(en) van de steunmaatregel aan te pakken</w:t>
      </w:r>
      <w:r>
        <w:rPr>
          <w:rStyle w:val="FootnoteReference"/>
        </w:rPr>
        <w:footnoteReference w:id="26"/>
      </w:r>
      <w:r>
        <w:t>.</w:t>
      </w:r>
    </w:p>
    <w:p w14:paraId="1CBF776A" w14:textId="77777777" w:rsidR="003759A4" w:rsidRPr="005C4E62" w:rsidRDefault="00C9528F" w:rsidP="00C9528F">
      <w:pPr>
        <w:pStyle w:val="Text2"/>
        <w:tabs>
          <w:tab w:val="clear" w:pos="2161"/>
          <w:tab w:val="left" w:leader="dot" w:pos="9072"/>
        </w:tabs>
        <w:spacing w:before="120" w:after="120"/>
        <w:ind w:left="709"/>
      </w:pPr>
      <w:r>
        <w:tab/>
      </w:r>
    </w:p>
    <w:p w14:paraId="7854D2EE" w14:textId="77777777" w:rsidR="00E217F7" w:rsidRPr="005C4E62" w:rsidRDefault="00E217F7" w:rsidP="00E217F7">
      <w:pPr>
        <w:pStyle w:val="NumPar2"/>
        <w:numPr>
          <w:ilvl w:val="1"/>
          <w:numId w:val="41"/>
        </w:numPr>
        <w:ind w:left="709" w:hanging="709"/>
        <w:rPr>
          <w:iCs/>
        </w:rPr>
      </w:pPr>
      <w:r>
        <w:t>Gelieve een marktbeoordeling in te dienen met: i) een beoordeling van het risico dat de steunmaatregel een onevenredig voordeel oplevert – op retail- en/of wholesaleniveau – voor sommige aanbieders ten koste van andere, waardoor mogelijk de (lokale) marktdominantie op de markt wordt versterkt; ii) een beoordeling om na te gaan in hoeverre er daadwerkelijk behoefte aan invoering van connectiviteitsvouchers bestaat en wel door een vergelijking te maken tussen de situatie in één of meer steungebieden en de situatie in andere gebieden in de lidstaat of in de Unie; iii) een analyse van de trends in de afname van in aanmerking komende diensten door eindgebruikers</w:t>
      </w:r>
      <w:r>
        <w:rPr>
          <w:rStyle w:val="FootnoteReference"/>
          <w:iCs/>
        </w:rPr>
        <w:footnoteReference w:id="27"/>
      </w:r>
      <w:r>
        <w:t>.</w:t>
      </w:r>
    </w:p>
    <w:p w14:paraId="692CE1DB" w14:textId="77777777" w:rsidR="00E217F7" w:rsidRPr="005C4E62" w:rsidRDefault="00E217F7" w:rsidP="00E217F7">
      <w:pPr>
        <w:pStyle w:val="Text2"/>
        <w:tabs>
          <w:tab w:val="clear" w:pos="2161"/>
          <w:tab w:val="left" w:leader="dot" w:pos="9072"/>
        </w:tabs>
        <w:spacing w:before="120" w:after="120"/>
        <w:ind w:left="709"/>
      </w:pPr>
      <w:r>
        <w:tab/>
      </w:r>
    </w:p>
    <w:p w14:paraId="79E16FE3" w14:textId="77777777" w:rsidR="004D559F" w:rsidRPr="005C4E62" w:rsidRDefault="004D559F" w:rsidP="004D559F">
      <w:pPr>
        <w:pStyle w:val="NumPar2"/>
        <w:numPr>
          <w:ilvl w:val="1"/>
          <w:numId w:val="41"/>
        </w:numPr>
        <w:ind w:left="709" w:hanging="709"/>
      </w:pPr>
      <w:r>
        <w:t>Gelieve aan te geven of een van de in aanmerking komende aanbieders van breedbanddiensten verticaal geïntegreerd is en een retailmarktaandeel van meer dan 25 % heeft.</w:t>
      </w:r>
    </w:p>
    <w:p w14:paraId="588E55CB" w14:textId="77777777" w:rsidR="004D559F" w:rsidRPr="005C4E62" w:rsidRDefault="004D559F" w:rsidP="004D559F">
      <w:pPr>
        <w:pStyle w:val="Text2"/>
        <w:tabs>
          <w:tab w:val="clear" w:pos="2161"/>
        </w:tabs>
        <w:spacing w:before="120" w:after="120"/>
        <w:ind w:left="709"/>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Ja</w:t>
      </w:r>
      <w:r>
        <w:tab/>
      </w:r>
      <w:r>
        <w:tab/>
      </w: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 xml:space="preserve">Nee. </w:t>
      </w:r>
    </w:p>
    <w:p w14:paraId="677E302D" w14:textId="77777777" w:rsidR="004D559F" w:rsidRPr="005C4E62" w:rsidRDefault="004D559F" w:rsidP="004D559F">
      <w:pPr>
        <w:pStyle w:val="NumPar2"/>
        <w:numPr>
          <w:ilvl w:val="1"/>
          <w:numId w:val="41"/>
        </w:numPr>
        <w:ind w:left="709" w:hanging="709"/>
      </w:pPr>
      <w:r>
        <w:t>Ingeval de vorige vraag bevestigend wordt beantwoord, gelieve te bevestigen dat elke verticaal geïntegreerde aanbieder van breedbanddiensten met een retailmarktaandeel van meer dan 25 % op de overeenstemmende wholesaletoegangsmarkt wholesaletoegangsproducten zal aanbieden op basis waarvan elke om toegang verzoekende partij de in aanmerking komende diensten kan aanbieden onder open, transparante en niet-discriminerende voorwaarden.</w:t>
      </w:r>
    </w:p>
    <w:p w14:paraId="6F0B099C" w14:textId="77777777" w:rsidR="004D559F" w:rsidRPr="005C4E62" w:rsidRDefault="004D559F" w:rsidP="00D46D21">
      <w:pPr>
        <w:pStyle w:val="Text2"/>
        <w:tabs>
          <w:tab w:val="clear" w:pos="2161"/>
        </w:tabs>
        <w:spacing w:before="120" w:after="120"/>
        <w:ind w:left="709"/>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Ja</w:t>
      </w:r>
      <w:r>
        <w:tab/>
      </w:r>
      <w:r>
        <w:tab/>
      </w: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 xml:space="preserve">Nee. </w:t>
      </w:r>
    </w:p>
    <w:p w14:paraId="157C88A8" w14:textId="77777777" w:rsidR="00E217F7" w:rsidRPr="005C4E62" w:rsidRDefault="00E217F7" w:rsidP="004D559F">
      <w:pPr>
        <w:pStyle w:val="NumPar2"/>
        <w:numPr>
          <w:ilvl w:val="1"/>
          <w:numId w:val="41"/>
        </w:numPr>
        <w:ind w:left="709" w:hanging="709"/>
      </w:pPr>
      <w:r>
        <w:t>Gelieve de duur van de steunmaatregel en de geldigheidsduur van de vouchers voor individuele eindgebruikers te vermelden</w:t>
      </w:r>
      <w:r>
        <w:rPr>
          <w:vertAlign w:val="superscript"/>
        </w:rPr>
        <w:footnoteReference w:id="28"/>
      </w:r>
      <w:r>
        <w:t>.</w:t>
      </w:r>
    </w:p>
    <w:p w14:paraId="6593468F" w14:textId="77777777" w:rsidR="00E217F7" w:rsidRPr="005C4E62" w:rsidRDefault="00E217F7" w:rsidP="004D559F">
      <w:pPr>
        <w:pStyle w:val="Text2"/>
        <w:tabs>
          <w:tab w:val="clear" w:pos="2161"/>
          <w:tab w:val="left" w:leader="dot" w:pos="9072"/>
        </w:tabs>
        <w:spacing w:before="120" w:after="120"/>
        <w:ind w:left="709"/>
      </w:pPr>
      <w:r>
        <w:tab/>
      </w:r>
    </w:p>
    <w:p w14:paraId="5E06B842" w14:textId="77777777" w:rsidR="00AA0B7A" w:rsidRPr="005C4E62" w:rsidRDefault="00AA0B7A" w:rsidP="00AA0B7A">
      <w:pPr>
        <w:pStyle w:val="NumPar2"/>
        <w:numPr>
          <w:ilvl w:val="1"/>
          <w:numId w:val="41"/>
        </w:numPr>
        <w:ind w:left="709" w:hanging="709"/>
      </w:pPr>
      <w:r>
        <w:t>Gelieve toe te lichten wat de mogelijke negatieve effecten zijn van de steunmaatregel op de mededinging en het handelsverkeer en welke elementen in de vormgeving van de maatregel die risico’s tot een minimum kunnen beperken.</w:t>
      </w:r>
    </w:p>
    <w:p w14:paraId="42D7B3C9"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24A8EF3D" w14:textId="77777777" w:rsidTr="00E27219">
        <w:tc>
          <w:tcPr>
            <w:tcW w:w="9356" w:type="dxa"/>
            <w:shd w:val="clear" w:color="auto" w:fill="D9D9D9"/>
          </w:tcPr>
          <w:p w14:paraId="681910DD"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lastRenderedPageBreak/>
              <w:t>Andere informatie (van toepassing op zowel sociale vouchers als connectiviteitsvouchers)</w:t>
            </w:r>
          </w:p>
        </w:tc>
      </w:tr>
    </w:tbl>
    <w:p w14:paraId="7FEEC1C9" w14:textId="77777777" w:rsidR="00A15706" w:rsidRPr="005C4E62" w:rsidRDefault="00215029" w:rsidP="001B5649">
      <w:pPr>
        <w:pStyle w:val="NumPar2"/>
        <w:numPr>
          <w:ilvl w:val="1"/>
          <w:numId w:val="44"/>
        </w:numPr>
        <w:ind w:left="709" w:hanging="709"/>
      </w:pPr>
      <w:r>
        <w:t>Gelieve toe te lichten welke rol de NRI heeft gespeeld bij de uitwerking, uitvoering en monitoring van de steunmaatregel.</w:t>
      </w:r>
    </w:p>
    <w:p w14:paraId="058D38EE" w14:textId="77777777" w:rsidR="00E217F7" w:rsidRPr="005C4E62" w:rsidRDefault="00E217F7" w:rsidP="00E217F7">
      <w:pPr>
        <w:pStyle w:val="Text2"/>
        <w:tabs>
          <w:tab w:val="clear" w:pos="2161"/>
          <w:tab w:val="left" w:leader="dot" w:pos="9072"/>
        </w:tabs>
        <w:spacing w:before="120" w:after="120"/>
        <w:ind w:left="709"/>
      </w:pPr>
      <w:r>
        <w:tab/>
      </w:r>
    </w:p>
    <w:p w14:paraId="15CDAE26" w14:textId="77777777" w:rsidR="00A15706" w:rsidRPr="005C4E62" w:rsidRDefault="00A15706" w:rsidP="00AA0B7A">
      <w:pPr>
        <w:pStyle w:val="NumPar2"/>
        <w:numPr>
          <w:ilvl w:val="1"/>
          <w:numId w:val="44"/>
        </w:numPr>
        <w:ind w:left="709" w:hanging="709"/>
      </w:pPr>
      <w:r>
        <w:t>Gelieve het advies van de NRI over de steunmaatregel te rapporteren (indien beschikbaar).</w:t>
      </w:r>
    </w:p>
    <w:p w14:paraId="0E9E9750" w14:textId="77777777" w:rsidR="00A15706" w:rsidRPr="005C4E62" w:rsidRDefault="00A15706" w:rsidP="00A15706">
      <w:pPr>
        <w:pStyle w:val="Text2"/>
        <w:tabs>
          <w:tab w:val="clear" w:pos="2161"/>
          <w:tab w:val="left" w:leader="dot" w:pos="9072"/>
        </w:tabs>
        <w:spacing w:before="120" w:after="120"/>
        <w:ind w:left="709"/>
      </w:pPr>
      <w:r>
        <w:tab/>
      </w:r>
    </w:p>
    <w:p w14:paraId="751F91AE" w14:textId="77777777" w:rsidR="00A15706" w:rsidRPr="005C4E62" w:rsidRDefault="00A15706" w:rsidP="00AA0B7A">
      <w:pPr>
        <w:pStyle w:val="NumPar2"/>
        <w:numPr>
          <w:ilvl w:val="1"/>
          <w:numId w:val="44"/>
        </w:numPr>
        <w:ind w:left="709" w:hanging="709"/>
      </w:pPr>
      <w:r>
        <w:t>Gelieve het advies van de nationale mededingingsautoriteit over de steunmaatregel te rapporteren (indien beschikbaar).</w:t>
      </w:r>
    </w:p>
    <w:p w14:paraId="5724B433" w14:textId="77777777" w:rsidR="00A15706" w:rsidRPr="005C4E62" w:rsidRDefault="009D198A" w:rsidP="00E217F7">
      <w:pPr>
        <w:pStyle w:val="Text2"/>
        <w:tabs>
          <w:tab w:val="clear" w:pos="2161"/>
          <w:tab w:val="left" w:leader="dot" w:pos="9072"/>
        </w:tabs>
        <w:spacing w:before="120" w:after="120"/>
        <w:ind w:left="709"/>
      </w:pPr>
      <w:r>
        <w:tab/>
      </w:r>
    </w:p>
    <w:p w14:paraId="3621E943" w14:textId="77777777" w:rsidR="00DE2831" w:rsidRPr="005C4E62" w:rsidRDefault="00DE2831" w:rsidP="00AA0B7A">
      <w:pPr>
        <w:pStyle w:val="NumPar2"/>
        <w:numPr>
          <w:ilvl w:val="1"/>
          <w:numId w:val="44"/>
        </w:numPr>
        <w:ind w:left="709" w:hanging="709"/>
      </w:pPr>
      <w:r>
        <w:t xml:space="preserve">Transparantie. </w:t>
      </w:r>
    </w:p>
    <w:p w14:paraId="4DFE75EC" w14:textId="77777777" w:rsidR="00153D1B" w:rsidRPr="005C4E62" w:rsidRDefault="00A72D4E" w:rsidP="00E27219">
      <w:pPr>
        <w:pStyle w:val="NumPar2"/>
        <w:numPr>
          <w:ilvl w:val="0"/>
          <w:numId w:val="33"/>
        </w:numPr>
        <w:ind w:left="1418" w:hanging="709"/>
      </w:pPr>
      <w:r>
        <w:t>Gelieve te bevestigen dat de lidstaat het volgende bekend zal maken: i) de volledige tekst van het besluit tot goedkeuring van de steunmaatregel en de uitvoeringsbepalingen ervan (of een link daarnaar) en ii) informatie over elke individuele steunverlening van meer dan 100 000 EUR, overeenkomstig bijlage II</w:t>
      </w:r>
      <w:r>
        <w:rPr>
          <w:rStyle w:val="FootnoteReference"/>
          <w:iCs/>
        </w:rPr>
        <w:footnoteReference w:id="29"/>
      </w:r>
      <w:r>
        <w:t xml:space="preserve"> (binnen zes maanden vanaf de datum waarop de steun is verleend, of, in het geval van steun in de vorm van een belastingvoordeel, binnen één jaar vanaf de datum voor het indienen van de belastingaangifte)</w:t>
      </w:r>
      <w:r>
        <w:rPr>
          <w:rStyle w:val="FootnoteReference"/>
          <w:iCs/>
        </w:rPr>
        <w:footnoteReference w:id="30"/>
      </w:r>
      <w:r>
        <w:t>.</w:t>
      </w:r>
    </w:p>
    <w:p w14:paraId="35FEBC9F" w14:textId="77777777" w:rsidR="003759A4" w:rsidRPr="005C4E62" w:rsidRDefault="00153D1B" w:rsidP="00DE2831">
      <w:pPr>
        <w:pStyle w:val="NumPar2"/>
        <w:tabs>
          <w:tab w:val="clear" w:pos="360"/>
        </w:tabs>
        <w:ind w:left="1407" w:firstLine="11"/>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In de Transparency Award Module van de Commissie</w:t>
      </w:r>
      <w:r>
        <w:rPr>
          <w:rStyle w:val="FootnoteReference"/>
        </w:rPr>
        <w:footnoteReference w:id="31"/>
      </w:r>
      <w:r>
        <w:t>.</w:t>
      </w:r>
    </w:p>
    <w:p w14:paraId="0896EA18" w14:textId="77777777" w:rsidR="00153D1B" w:rsidRPr="005C4E62" w:rsidRDefault="00153D1B" w:rsidP="00DE2831">
      <w:pPr>
        <w:pStyle w:val="Text2"/>
        <w:ind w:left="1407"/>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Op een uitgebreide staatssteunwebsite (met het relevante internetadres). Gelieve in dit geval aan te geven of het om een nationale of regionale website</w:t>
      </w:r>
      <w:r>
        <w:rPr>
          <w:rStyle w:val="FootnoteReference"/>
        </w:rPr>
        <w:footnoteReference w:id="32"/>
      </w:r>
      <w:r>
        <w:t xml:space="preserve"> gaat en of de informatie die op de steunwebsite is geregistreerd, gemakkelijk toegankelijk is (d.w.z. dat het algemene publiek zonder beperkingen toegang moet krijgen tot de website)</w:t>
      </w:r>
      <w:r>
        <w:rPr>
          <w:rStyle w:val="FootnoteReference"/>
        </w:rPr>
        <w:footnoteReference w:id="33"/>
      </w:r>
      <w:r>
        <w:t>.</w:t>
      </w:r>
    </w:p>
    <w:p w14:paraId="209F5564" w14:textId="77777777" w:rsidR="008B2C0A" w:rsidRPr="005C4E62" w:rsidRDefault="008B2C0A" w:rsidP="00D46D21">
      <w:pPr>
        <w:pStyle w:val="Text2"/>
        <w:tabs>
          <w:tab w:val="clear" w:pos="2161"/>
          <w:tab w:val="left" w:leader="dot" w:pos="9072"/>
        </w:tabs>
        <w:spacing w:before="120" w:after="120"/>
        <w:ind w:left="709"/>
      </w:pPr>
      <w:r>
        <w:tab/>
      </w:r>
    </w:p>
    <w:p w14:paraId="1B9B996C" w14:textId="77777777" w:rsidR="00DE2831" w:rsidRPr="005C4E62" w:rsidRDefault="00DE2831" w:rsidP="00E27219">
      <w:pPr>
        <w:pStyle w:val="NumPar2"/>
        <w:numPr>
          <w:ilvl w:val="0"/>
          <w:numId w:val="33"/>
        </w:numPr>
        <w:ind w:left="1418" w:hanging="709"/>
      </w:pPr>
      <w:r>
        <w:t>Gelieve te bevestigen dat de in punt 4.4 bedoelde informatie beschikbaar zal zijn gedurende ten minste tien jaar vanaf de datum waarop de steun is verleend, in een open spreadsheetformaat zal worden bekendgemaakt, waarmee de gegevens effectief kunnen worden doorzocht, opgehaald, gedownload en gemakkelijk op internet kunnen worden bekendgemaakt (bijvoorbeeld in CSV- of XML-formaat).</w:t>
      </w:r>
    </w:p>
    <w:p w14:paraId="3B5991A3" w14:textId="77777777" w:rsidR="00DE2831" w:rsidRPr="005C4E62" w:rsidRDefault="008B2C0A" w:rsidP="008B2C0A">
      <w:pPr>
        <w:pStyle w:val="Text2"/>
        <w:tabs>
          <w:tab w:val="clear" w:pos="2161"/>
        </w:tabs>
        <w:spacing w:before="120" w:after="120"/>
        <w:ind w:left="1407" w:firstLine="11"/>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Ja</w:t>
      </w:r>
      <w:r>
        <w:tab/>
      </w:r>
      <w:r>
        <w:tab/>
        <w:t xml:space="preserve"> </w:t>
      </w: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 xml:space="preserve"> Nee</w:t>
      </w:r>
    </w:p>
    <w:p w14:paraId="7634E60A" w14:textId="77777777" w:rsidR="00DE2831" w:rsidRPr="005C4E62" w:rsidRDefault="00DE2831" w:rsidP="00E27219">
      <w:pPr>
        <w:pStyle w:val="NumPar2"/>
        <w:numPr>
          <w:ilvl w:val="0"/>
          <w:numId w:val="33"/>
        </w:numPr>
        <w:ind w:left="1418" w:hanging="709"/>
      </w:pPr>
      <w:r>
        <w:t xml:space="preserve">Gelieve te bevestigen dat, voor steun die onrechtmatig is maar vervolgens verenigbaar is bevonden, de relevante informatie binnen zes maanden na de datum van het besluit van de Commissie waarbij de steun verenigbaar wordt </w:t>
      </w:r>
      <w:r>
        <w:lastRenderedPageBreak/>
        <w:t>verklaard, op een staatssteunwebsite (met vermelding van het relevante internetadres) wordt bekendgemaakt</w:t>
      </w:r>
      <w:r>
        <w:rPr>
          <w:rStyle w:val="FootnoteReference"/>
        </w:rPr>
        <w:footnoteReference w:id="34"/>
      </w:r>
      <w:r>
        <w:t>.</w:t>
      </w:r>
    </w:p>
    <w:p w14:paraId="666A06F1" w14:textId="77777777" w:rsidR="00DE2831" w:rsidRPr="005C4E62" w:rsidRDefault="008B2C0A" w:rsidP="008B2C0A">
      <w:pPr>
        <w:pStyle w:val="Text2"/>
        <w:tabs>
          <w:tab w:val="clear" w:pos="2161"/>
        </w:tabs>
        <w:spacing w:before="120" w:after="120"/>
        <w:ind w:left="1407" w:firstLine="11"/>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Ja</w:t>
      </w:r>
      <w:r>
        <w:tab/>
      </w:r>
      <w:r>
        <w:tab/>
        <w:t xml:space="preserve"> </w:t>
      </w: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 xml:space="preserve"> Nee</w:t>
      </w:r>
    </w:p>
    <w:p w14:paraId="0C992864" w14:textId="77777777" w:rsidR="004879A7" w:rsidRPr="005C4E62" w:rsidRDefault="004879A7" w:rsidP="00D46D21">
      <w:pPr>
        <w:pStyle w:val="NumPar2"/>
        <w:numPr>
          <w:ilvl w:val="1"/>
          <w:numId w:val="44"/>
        </w:numPr>
        <w:ind w:left="709" w:hanging="709"/>
      </w:pPr>
      <w:r>
        <w:t>Rapportage. Gelieve te bevestigen dat uw autoriteiten het volgende bij de Commissie zullen indienen: i) jaarverslagen over elke maatregel die op grond van de breedbandrichtsnoeren is goedgekeurd; en ii) om de twee jaar een verslag met belangrijke informatie over de steunmaatregelen die op grond van de breedbandrichtsnoeren zijn goedgekeurd, overeenkomstig bijlage III bij die richtsnoeren</w:t>
      </w:r>
      <w:r>
        <w:rPr>
          <w:rStyle w:val="FootnoteReference"/>
        </w:rPr>
        <w:footnoteReference w:id="35"/>
      </w:r>
      <w:r>
        <w:t>.</w:t>
      </w:r>
    </w:p>
    <w:p w14:paraId="6AAF39D3" w14:textId="77777777" w:rsidR="004879A7" w:rsidRPr="005C4E62" w:rsidRDefault="004879A7" w:rsidP="004879A7">
      <w:pPr>
        <w:pStyle w:val="Text2"/>
        <w:tabs>
          <w:tab w:val="clear" w:pos="2161"/>
          <w:tab w:val="left" w:leader="dot" w:pos="9072"/>
        </w:tabs>
        <w:spacing w:before="120" w:after="120"/>
        <w:ind w:left="709"/>
      </w:pPr>
      <w:r>
        <w:tab/>
      </w:r>
    </w:p>
    <w:p w14:paraId="5F4A4804" w14:textId="77777777" w:rsidR="004879A7" w:rsidRPr="005C4E62" w:rsidRDefault="004879A7" w:rsidP="00AA0B7A">
      <w:pPr>
        <w:pStyle w:val="NumPar2"/>
        <w:numPr>
          <w:ilvl w:val="1"/>
          <w:numId w:val="44"/>
        </w:numPr>
        <w:ind w:left="709" w:hanging="709"/>
      </w:pPr>
      <w:r>
        <w:t>Monitoring. Gelieve te bevestigen dat uw autoriteiten gedurende tien jaar vanaf het tijdstip waarop de steun werd verleend gedetailleerde dossiers zullen bijhouden over alle steunmaatregelen, die alle gegevens bevatten die nodig zijn om aan te tonen dat is voldaan aan alle verenigbaarheidsvoorwaarden van de breedbandrichtsnoeren, en dat zij zich ertoe verbinden deze op verzoek aan de Commissie te bezorgen</w:t>
      </w:r>
      <w:r>
        <w:rPr>
          <w:rStyle w:val="FootnoteReference"/>
        </w:rPr>
        <w:footnoteReference w:id="36"/>
      </w:r>
      <w:r>
        <w:t>.</w:t>
      </w:r>
    </w:p>
    <w:p w14:paraId="3FB99EAA" w14:textId="77777777" w:rsidR="00DE2831" w:rsidRPr="005C4E62" w:rsidRDefault="004879A7" w:rsidP="004879A7">
      <w:pPr>
        <w:pStyle w:val="Text2"/>
        <w:tabs>
          <w:tab w:val="clear" w:pos="2161"/>
          <w:tab w:val="left" w:leader="dot" w:pos="9072"/>
        </w:tabs>
        <w:spacing w:before="120" w:after="120"/>
        <w:ind w:left="709"/>
      </w:pPr>
      <w:r>
        <w:tab/>
      </w:r>
    </w:p>
    <w:p w14:paraId="4F08B819" w14:textId="77777777" w:rsidR="00C04E88" w:rsidRPr="005C4E62" w:rsidRDefault="00691333" w:rsidP="00AA0B7A">
      <w:pPr>
        <w:pStyle w:val="NumPar2"/>
        <w:numPr>
          <w:ilvl w:val="1"/>
          <w:numId w:val="44"/>
        </w:numPr>
        <w:ind w:left="709" w:hanging="709"/>
        <w:rPr>
          <w:i/>
        </w:rPr>
      </w:pPr>
      <w:r>
        <w:t xml:space="preserve">Gelieve aan te geven of de steunmaatregel in aanmerking komt voor een ex-postevaluatieplan. </w:t>
      </w:r>
    </w:p>
    <w:p w14:paraId="1C8B76D8" w14:textId="77777777" w:rsidR="00C04E88" w:rsidRPr="005C4E62" w:rsidRDefault="00C04E88" w:rsidP="00D46D21">
      <w:pPr>
        <w:pStyle w:val="Text2"/>
        <w:tabs>
          <w:tab w:val="clear" w:pos="2161"/>
          <w:tab w:val="left" w:leader="dot" w:pos="9072"/>
        </w:tabs>
        <w:spacing w:before="120" w:after="120"/>
        <w:ind w:left="709"/>
        <w:rPr>
          <w:szCs w:val="20"/>
        </w:rPr>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Nee. Gelieve toe te lichten waarom volgens u niet is voldaan aan de criteria voor het ex-postevaluatieplan. </w:t>
      </w:r>
    </w:p>
    <w:p w14:paraId="2D5AF531" w14:textId="77777777" w:rsidR="00C04E88" w:rsidRPr="005C4E62" w:rsidRDefault="00C04E88" w:rsidP="00C04E88">
      <w:pPr>
        <w:pStyle w:val="Text2"/>
        <w:tabs>
          <w:tab w:val="clear" w:pos="2161"/>
          <w:tab w:val="left" w:leader="dot" w:pos="9072"/>
        </w:tabs>
        <w:spacing w:before="120" w:after="120"/>
        <w:ind w:left="709"/>
      </w:pPr>
      <w:r>
        <w:tab/>
      </w:r>
    </w:p>
    <w:p w14:paraId="157D1F89" w14:textId="77777777" w:rsidR="003759A4" w:rsidRPr="005C4E62" w:rsidRDefault="00C04E88" w:rsidP="00C04E88">
      <w:pPr>
        <w:pStyle w:val="Text2"/>
        <w:keepNext/>
        <w:tabs>
          <w:tab w:val="clear" w:pos="2161"/>
        </w:tabs>
        <w:spacing w:before="120" w:after="120"/>
        <w:ind w:left="709"/>
        <w:rPr>
          <w:i/>
        </w:rPr>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 xml:space="preserve"> Ja. Zo ja, gelieve aan te geven volgens welke criteria de steunmaatregel in aanmerking komt voor een ex-postevaluatie</w:t>
      </w:r>
      <w:r>
        <w:rPr>
          <w:i/>
        </w:rPr>
        <w:t xml:space="preserve"> </w:t>
      </w:r>
      <w:r>
        <w:t>en de relevante informatie te verstrekken over het ex-postevaluatieplan</w:t>
      </w:r>
      <w:r>
        <w:rPr>
          <w:i/>
        </w:rPr>
        <w:t xml:space="preserve"> </w:t>
      </w:r>
      <w:r>
        <w:t>zoals beschreven in punt 8 van de breedbandrichtsnoeren.</w:t>
      </w:r>
    </w:p>
    <w:p w14:paraId="7C2F903A" w14:textId="77777777" w:rsidR="007B33E6" w:rsidRPr="005C4E62" w:rsidRDefault="00691333" w:rsidP="007B33E6">
      <w:pPr>
        <w:pStyle w:val="Text2"/>
        <w:tabs>
          <w:tab w:val="clear" w:pos="2161"/>
          <w:tab w:val="left" w:leader="dot" w:pos="9072"/>
        </w:tabs>
        <w:spacing w:before="120" w:after="120"/>
        <w:ind w:left="709"/>
      </w:pPr>
      <w:r>
        <w:tab/>
      </w:r>
    </w:p>
    <w:p w14:paraId="47BCE985" w14:textId="77777777" w:rsidR="007B33E6" w:rsidRPr="005C4E62" w:rsidRDefault="007B33E6" w:rsidP="00AA0B7A">
      <w:pPr>
        <w:pStyle w:val="NumPar2"/>
        <w:numPr>
          <w:ilvl w:val="1"/>
          <w:numId w:val="44"/>
        </w:numPr>
        <w:ind w:left="709" w:hanging="709"/>
        <w:rPr>
          <w:b/>
          <w:bCs/>
        </w:rPr>
      </w:pPr>
      <w:r>
        <w:t>Gelieve alle andere informatie te verstrekken die relevant is voor de beoordeling van de steunmaatregel in het licht van de breedbandrichtsnoeren of andere informatie die relevant is vanuit het oogpunt van de Unieregels op het gebied van mededinging en de interne markt.</w:t>
      </w:r>
    </w:p>
    <w:p w14:paraId="35577540" w14:textId="77777777" w:rsidR="007D7D41" w:rsidRPr="005C4E62" w:rsidRDefault="002A52F0" w:rsidP="00657CA5">
      <w:pPr>
        <w:tabs>
          <w:tab w:val="left" w:leader="dot" w:pos="9072"/>
        </w:tabs>
        <w:spacing w:before="120" w:after="240"/>
        <w:ind w:left="709"/>
        <w:jc w:val="both"/>
      </w:pPr>
      <w:r>
        <w:tab/>
      </w:r>
      <w:r>
        <w:tab/>
      </w:r>
    </w:p>
    <w:p w14:paraId="7739DB3C" w14:textId="77777777" w:rsidR="00C04E88" w:rsidRPr="005C4E62" w:rsidRDefault="00C04E88" w:rsidP="00AA0B7A">
      <w:pPr>
        <w:pStyle w:val="NumPar2"/>
        <w:numPr>
          <w:ilvl w:val="1"/>
          <w:numId w:val="44"/>
        </w:numPr>
        <w:ind w:left="709" w:hanging="709"/>
        <w:rPr>
          <w:iCs/>
          <w:noProof/>
        </w:rPr>
      </w:pPr>
      <w:r>
        <w:t>Gelieve aan te geven of dit formulier aanvullende informatie vertrouwelijke informatie bevat die niet aan derden mag worden verstrekt</w:t>
      </w:r>
      <w:r>
        <w:rPr>
          <w:szCs w:val="20"/>
          <w:vertAlign w:val="superscript"/>
          <w:lang w:val="en-IE" w:eastAsia="en-US"/>
        </w:rPr>
        <w:footnoteReference w:id="37"/>
      </w:r>
      <w:r>
        <w:t>.</w:t>
      </w:r>
    </w:p>
    <w:p w14:paraId="019C757A" w14:textId="77777777" w:rsidR="00C04E88" w:rsidRPr="005C4E62" w:rsidRDefault="00C04E88" w:rsidP="00C04E88">
      <w:pPr>
        <w:pStyle w:val="Text2"/>
        <w:tabs>
          <w:tab w:val="clear" w:pos="2161"/>
        </w:tabs>
        <w:ind w:left="709" w:firstLine="11"/>
        <w:rPr>
          <w:szCs w:val="20"/>
        </w:rPr>
      </w:pPr>
      <w:r>
        <w:rPr>
          <w:b/>
        </w:rPr>
        <w:fldChar w:fldCharType="begin">
          <w:ffData>
            <w:name w:val="Check1"/>
            <w:enabled/>
            <w:calcOnExit w:val="0"/>
            <w:checkBox>
              <w:sizeAuto/>
              <w:default w:val="0"/>
            </w:checkBox>
          </w:ffData>
        </w:fldChar>
      </w:r>
      <w:r>
        <w:rPr>
          <w:b/>
        </w:rPr>
        <w:instrText xml:space="preserve"> FORMCHECKBOX </w:instrText>
      </w:r>
      <w:r w:rsidR="003D64B4">
        <w:rPr>
          <w:b/>
        </w:rPr>
      </w:r>
      <w:r w:rsidR="003D64B4">
        <w:rPr>
          <w:b/>
        </w:rPr>
        <w:fldChar w:fldCharType="separate"/>
      </w:r>
      <w:r>
        <w:rPr>
          <w:b/>
        </w:rPr>
        <w:fldChar w:fldCharType="end"/>
      </w:r>
      <w:r>
        <w:rPr>
          <w:b/>
        </w:rPr>
        <w:t xml:space="preserve"> </w:t>
      </w:r>
      <w:r>
        <w:t>Ja. Zo ja, gelieve de vertrouwelijke informatie te vermelden en de redenen voor vertrouwelijkheid te geven.</w:t>
      </w:r>
    </w:p>
    <w:p w14:paraId="6A53735A" w14:textId="77777777" w:rsidR="00C04E88" w:rsidRPr="005C4E62" w:rsidRDefault="00C04E88" w:rsidP="00C04E88">
      <w:pPr>
        <w:pStyle w:val="Text2"/>
        <w:tabs>
          <w:tab w:val="clear" w:pos="2161"/>
        </w:tabs>
        <w:ind w:left="709" w:firstLine="11"/>
      </w:pPr>
      <w:r>
        <w:rPr>
          <w:b/>
        </w:rPr>
        <w:lastRenderedPageBreak/>
        <w:fldChar w:fldCharType="begin">
          <w:ffData>
            <w:name w:val="Check1"/>
            <w:enabled/>
            <w:calcOnExit w:val="0"/>
            <w:checkBox>
              <w:sizeAuto/>
              <w:default w:val="0"/>
            </w:checkBox>
          </w:ffData>
        </w:fldChar>
      </w:r>
      <w:r>
        <w:rPr>
          <w:b/>
        </w:rPr>
        <w:instrText xml:space="preserve"> FORMCHECKBOX </w:instrText>
      </w:r>
      <w:r w:rsidR="003D64B4">
        <w:rPr>
          <w:b/>
        </w:rPr>
      </w:r>
      <w:r w:rsidR="003D64B4">
        <w:rPr>
          <w:b/>
        </w:rPr>
        <w:fldChar w:fldCharType="separate"/>
      </w:r>
      <w:r>
        <w:rPr>
          <w:b/>
        </w:rPr>
        <w:fldChar w:fldCharType="end"/>
      </w:r>
      <w:r>
        <w:rPr>
          <w:b/>
        </w:rPr>
        <w:t xml:space="preserve"> </w:t>
      </w:r>
      <w:r>
        <w:t>Nee</w:t>
      </w:r>
    </w:p>
    <w:p w14:paraId="1E7D4014" w14:textId="77777777" w:rsidR="00152F0E" w:rsidRPr="005C4E62" w:rsidRDefault="00152F0E" w:rsidP="00AA0B7A">
      <w:pPr>
        <w:pStyle w:val="NumPar2"/>
        <w:numPr>
          <w:ilvl w:val="1"/>
          <w:numId w:val="44"/>
        </w:numPr>
        <w:ind w:left="709" w:hanging="709"/>
        <w:rPr>
          <w:iCs/>
          <w:noProof/>
        </w:rPr>
      </w:pPr>
      <w:r>
        <w:t>Gelieve te bevestigen dat de steunmaatregel niet onder artikel 52 quater van de algemene groepsvrijstellingsverordening</w:t>
      </w:r>
      <w:r>
        <w:rPr>
          <w:rStyle w:val="FootnoteReference"/>
        </w:rPr>
        <w:footnoteReference w:id="38"/>
      </w:r>
      <w:r>
        <w:t xml:space="preserve"> of onder de de-minimisverordening</w:t>
      </w:r>
      <w:r>
        <w:rPr>
          <w:rStyle w:val="FootnoteReference"/>
        </w:rPr>
        <w:footnoteReference w:id="39"/>
      </w:r>
      <w:r>
        <w:t xml:space="preserve"> valt.</w:t>
      </w:r>
    </w:p>
    <w:p w14:paraId="46101249" w14:textId="77777777" w:rsidR="00657CA5" w:rsidRDefault="00FC09A8" w:rsidP="00C04E88">
      <w:pPr>
        <w:spacing w:before="120" w:after="240"/>
        <w:ind w:firstLine="709"/>
        <w:jc w:val="both"/>
      </w:pP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Ja</w:t>
      </w:r>
      <w:r>
        <w:tab/>
      </w:r>
      <w:r>
        <w:tab/>
        <w:t xml:space="preserve"> </w:t>
      </w:r>
      <w:r>
        <w:fldChar w:fldCharType="begin">
          <w:ffData>
            <w:name w:val="Check1"/>
            <w:enabled/>
            <w:calcOnExit w:val="0"/>
            <w:checkBox>
              <w:sizeAuto/>
              <w:default w:val="0"/>
            </w:checkBox>
          </w:ffData>
        </w:fldChar>
      </w:r>
      <w:r>
        <w:instrText xml:space="preserve"> FORMCHECKBOX </w:instrText>
      </w:r>
      <w:r w:rsidR="003D64B4">
        <w:fldChar w:fldCharType="separate"/>
      </w:r>
      <w:r>
        <w:fldChar w:fldCharType="end"/>
      </w:r>
      <w:r>
        <w:tab/>
        <w:t xml:space="preserve"> Nee</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ABE3B" w14:textId="77777777" w:rsidR="00327EA6" w:rsidRDefault="00327EA6" w:rsidP="007B33E6">
      <w:r>
        <w:separator/>
      </w:r>
    </w:p>
  </w:endnote>
  <w:endnote w:type="continuationSeparator" w:id="0">
    <w:p w14:paraId="7A832CB0"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E8E06" w14:textId="77777777" w:rsidR="00327EA6" w:rsidRDefault="00327EA6" w:rsidP="007B33E6">
      <w:r>
        <w:separator/>
      </w:r>
    </w:p>
  </w:footnote>
  <w:footnote w:type="continuationSeparator" w:id="0">
    <w:p w14:paraId="2B4BDBE8" w14:textId="77777777" w:rsidR="00327EA6" w:rsidRDefault="00327EA6" w:rsidP="007B33E6">
      <w:r>
        <w:continuationSeparator/>
      </w:r>
    </w:p>
  </w:footnote>
  <w:footnote w:id="1">
    <w:p w14:paraId="3828F8EC" w14:textId="77777777" w:rsidR="007B33E6" w:rsidRPr="005C4E62" w:rsidRDefault="007B33E6" w:rsidP="007B33E6">
      <w:pPr>
        <w:pStyle w:val="FootnoteText"/>
        <w:rPr>
          <w:i/>
        </w:rPr>
      </w:pPr>
      <w:r>
        <w:rPr>
          <w:rStyle w:val="FootnoteReference"/>
        </w:rPr>
        <w:footnoteRef/>
      </w:r>
      <w:r>
        <w:tab/>
        <w:t>Richtsnoeren voor staatssteun aan breedbandnetwerken (PB </w:t>
      </w:r>
      <w:r>
        <w:rPr>
          <w:color w:val="000000"/>
          <w:sz w:val="19"/>
        </w:rPr>
        <w:t>C 36 van 31.1.2023, blz. 1)</w:t>
      </w:r>
      <w:r>
        <w:t>.</w:t>
      </w:r>
    </w:p>
  </w:footnote>
  <w:footnote w:id="2">
    <w:p w14:paraId="16E24AA2" w14:textId="77777777" w:rsidR="001507A9" w:rsidRPr="005C4E62" w:rsidRDefault="001507A9">
      <w:pPr>
        <w:pStyle w:val="FootnoteText"/>
      </w:pPr>
      <w:r>
        <w:rPr>
          <w:rStyle w:val="FootnoteReference"/>
        </w:rPr>
        <w:footnoteRef/>
      </w:r>
      <w:r>
        <w:tab/>
        <w:t>Punten 177 tot en met 179.</w:t>
      </w:r>
    </w:p>
  </w:footnote>
  <w:footnote w:id="3">
    <w:p w14:paraId="0255D49D" w14:textId="77777777" w:rsidR="001507A9" w:rsidRPr="005C4E62" w:rsidRDefault="001507A9">
      <w:pPr>
        <w:pStyle w:val="FootnoteText"/>
      </w:pPr>
      <w:r>
        <w:rPr>
          <w:rStyle w:val="FootnoteReference"/>
        </w:rPr>
        <w:footnoteRef/>
      </w:r>
      <w:r>
        <w:t xml:space="preserve"> </w:t>
      </w:r>
      <w:r>
        <w:tab/>
        <w:t>Punt 181.</w:t>
      </w:r>
    </w:p>
  </w:footnote>
  <w:footnote w:id="4">
    <w:p w14:paraId="31CA4182" w14:textId="77777777" w:rsidR="001507A9" w:rsidRPr="005C4E62" w:rsidRDefault="001507A9">
      <w:pPr>
        <w:pStyle w:val="FootnoteText"/>
      </w:pPr>
      <w:r>
        <w:rPr>
          <w:rStyle w:val="FootnoteReference"/>
        </w:rPr>
        <w:footnoteRef/>
      </w:r>
      <w:r>
        <w:t xml:space="preserve"> </w:t>
      </w:r>
      <w:r>
        <w:tab/>
        <w:t>Punt 189.</w:t>
      </w:r>
    </w:p>
  </w:footnote>
  <w:footnote w:id="5">
    <w:p w14:paraId="373FF418" w14:textId="77777777" w:rsidR="006F5901" w:rsidRPr="005C4E62" w:rsidRDefault="006F5901" w:rsidP="006F5901">
      <w:pPr>
        <w:pStyle w:val="FootnoteText"/>
      </w:pPr>
      <w:r>
        <w:rPr>
          <w:rStyle w:val="FootnoteReference"/>
        </w:rPr>
        <w:footnoteRef/>
      </w:r>
      <w:r>
        <w:tab/>
        <w:t xml:space="preserve">Bijvoorbeeld Besluit (EU) 2022/2481 van het Europees Parlement en de Raad van 14 december 2022 tot vaststelling van het beleidsprogramma voor het digitale decennium tot 2030 (PB L 323 van 19.12.2022, blz. 4). </w:t>
      </w:r>
    </w:p>
  </w:footnote>
  <w:footnote w:id="6">
    <w:p w14:paraId="2B83FB5C" w14:textId="77777777" w:rsidR="001507A9" w:rsidRPr="005C4E62" w:rsidRDefault="001507A9" w:rsidP="001507A9">
      <w:pPr>
        <w:pStyle w:val="FootnoteText"/>
      </w:pPr>
      <w:r>
        <w:rPr>
          <w:rStyle w:val="FootnoteReference"/>
        </w:rPr>
        <w:footnoteRef/>
      </w:r>
      <w:r>
        <w:t xml:space="preserve"> </w:t>
      </w:r>
      <w:r>
        <w:tab/>
        <w:t>Punt 175.</w:t>
      </w:r>
    </w:p>
  </w:footnote>
  <w:footnote w:id="7">
    <w:p w14:paraId="014ECC92" w14:textId="77777777" w:rsidR="005A7B71" w:rsidRPr="005C4E62" w:rsidRDefault="005A7B71">
      <w:pPr>
        <w:pStyle w:val="FootnoteText"/>
        <w:rPr>
          <w:i/>
          <w:iCs/>
        </w:rPr>
      </w:pPr>
      <w:r>
        <w:rPr>
          <w:rStyle w:val="FootnoteReference"/>
        </w:rPr>
        <w:footnoteRef/>
      </w:r>
      <w:r>
        <w:t xml:space="preserve"> </w:t>
      </w:r>
      <w:r>
        <w:tab/>
        <w:t>Punt 19, j) en k). Zie ook punt 20, laatste zin.</w:t>
      </w:r>
    </w:p>
  </w:footnote>
  <w:footnote w:id="8">
    <w:p w14:paraId="470AAFD7" w14:textId="77777777" w:rsidR="007B5294" w:rsidRPr="005C4E62" w:rsidRDefault="007B5294" w:rsidP="007B5294">
      <w:pPr>
        <w:pStyle w:val="FootnoteText"/>
      </w:pPr>
      <w:r>
        <w:rPr>
          <w:rStyle w:val="FootnoteReference"/>
        </w:rPr>
        <w:footnoteRef/>
      </w:r>
      <w:r>
        <w:t xml:space="preserve"> </w:t>
      </w:r>
      <w:r>
        <w:tab/>
        <w:t>Punt 182.</w:t>
      </w:r>
    </w:p>
  </w:footnote>
  <w:footnote w:id="9">
    <w:p w14:paraId="0008AACB" w14:textId="77777777" w:rsidR="00710B4A" w:rsidRPr="005C4E62" w:rsidRDefault="00710B4A" w:rsidP="00710B4A">
      <w:pPr>
        <w:pStyle w:val="FootnoteText"/>
      </w:pPr>
      <w:r>
        <w:rPr>
          <w:rStyle w:val="FootnoteReference"/>
        </w:rPr>
        <w:footnoteRef/>
      </w:r>
      <w:r>
        <w:t xml:space="preserve"> </w:t>
      </w:r>
      <w:r>
        <w:tab/>
        <w:t>Punt 184.</w:t>
      </w:r>
    </w:p>
  </w:footnote>
  <w:footnote w:id="10">
    <w:p w14:paraId="678CEAF6" w14:textId="77777777" w:rsidR="007B5294" w:rsidRPr="005C4E62" w:rsidRDefault="007B5294" w:rsidP="007B5294">
      <w:pPr>
        <w:pStyle w:val="FootnoteText"/>
      </w:pPr>
      <w:r>
        <w:rPr>
          <w:rStyle w:val="FootnoteReference"/>
        </w:rPr>
        <w:footnoteRef/>
      </w:r>
      <w:r>
        <w:t xml:space="preserve"> </w:t>
      </w:r>
      <w:r>
        <w:tab/>
        <w:t xml:space="preserve">Punt 183. </w:t>
      </w:r>
    </w:p>
  </w:footnote>
  <w:footnote w:id="11">
    <w:p w14:paraId="241EC892" w14:textId="77777777" w:rsidR="00E101F1" w:rsidRPr="005C4E62" w:rsidRDefault="00E101F1" w:rsidP="00E101F1">
      <w:pPr>
        <w:pStyle w:val="FootnoteText"/>
      </w:pPr>
      <w:r>
        <w:rPr>
          <w:rStyle w:val="FootnoteReference"/>
        </w:rPr>
        <w:footnoteRef/>
      </w:r>
      <w:r>
        <w:t xml:space="preserve"> </w:t>
      </w:r>
      <w:r>
        <w:tab/>
        <w:t>Punt 185.</w:t>
      </w:r>
    </w:p>
  </w:footnote>
  <w:footnote w:id="12">
    <w:p w14:paraId="4C014B0D" w14:textId="77777777" w:rsidR="00E101F1" w:rsidRPr="005C4E62" w:rsidRDefault="00E101F1" w:rsidP="00E101F1">
      <w:pPr>
        <w:pStyle w:val="FootnoteText"/>
      </w:pPr>
      <w:r>
        <w:rPr>
          <w:rStyle w:val="FootnoteReference"/>
        </w:rPr>
        <w:footnoteRef/>
      </w:r>
      <w:r>
        <w:t xml:space="preserve"> </w:t>
      </w:r>
      <w:r>
        <w:tab/>
        <w:t>Punt 185.</w:t>
      </w:r>
    </w:p>
  </w:footnote>
  <w:footnote w:id="13">
    <w:p w14:paraId="68A90C89" w14:textId="77777777" w:rsidR="00C90B4D" w:rsidRPr="005C4E62" w:rsidRDefault="00C90B4D" w:rsidP="00C90B4D">
      <w:pPr>
        <w:pStyle w:val="FootnoteText"/>
      </w:pPr>
      <w:r>
        <w:rPr>
          <w:rStyle w:val="FootnoteReference"/>
        </w:rPr>
        <w:footnoteRef/>
      </w:r>
      <w:r>
        <w:t xml:space="preserve"> </w:t>
      </w:r>
      <w:r>
        <w:tab/>
        <w:t>Punt 185.</w:t>
      </w:r>
    </w:p>
  </w:footnote>
  <w:footnote w:id="14">
    <w:p w14:paraId="3852C34E" w14:textId="77777777" w:rsidR="00D1408F" w:rsidRPr="005C4E62" w:rsidRDefault="00D1408F">
      <w:pPr>
        <w:pStyle w:val="FootnoteText"/>
      </w:pPr>
      <w:r>
        <w:rPr>
          <w:rStyle w:val="FootnoteReference"/>
        </w:rPr>
        <w:footnoteRef/>
      </w:r>
      <w:r>
        <w:t xml:space="preserve"> </w:t>
      </w:r>
      <w:r>
        <w:tab/>
        <w:t>Punt 186.</w:t>
      </w:r>
    </w:p>
  </w:footnote>
  <w:footnote w:id="15">
    <w:p w14:paraId="5A1B5184" w14:textId="77777777" w:rsidR="00D1408F" w:rsidRPr="005C4E62" w:rsidRDefault="00D1408F">
      <w:pPr>
        <w:pStyle w:val="FootnoteText"/>
      </w:pPr>
      <w:r>
        <w:rPr>
          <w:rStyle w:val="FootnoteReference"/>
        </w:rPr>
        <w:footnoteRef/>
      </w:r>
      <w:r>
        <w:t xml:space="preserve"> </w:t>
      </w:r>
      <w:r>
        <w:tab/>
        <w:t>Punt 187.</w:t>
      </w:r>
    </w:p>
  </w:footnote>
  <w:footnote w:id="16">
    <w:p w14:paraId="6513080C" w14:textId="77777777" w:rsidR="00F47AC0" w:rsidRPr="005C4E62" w:rsidRDefault="00F47AC0">
      <w:pPr>
        <w:pStyle w:val="FootnoteText"/>
      </w:pPr>
      <w:r>
        <w:rPr>
          <w:rStyle w:val="FootnoteReference"/>
        </w:rPr>
        <w:footnoteRef/>
      </w:r>
      <w:r>
        <w:t xml:space="preserve"> </w:t>
      </w:r>
      <w:r>
        <w:tab/>
        <w:t>Punt 194.</w:t>
      </w:r>
    </w:p>
  </w:footnote>
  <w:footnote w:id="17">
    <w:p w14:paraId="26289F0F" w14:textId="77777777" w:rsidR="00F47AC0" w:rsidRPr="005C4E62" w:rsidRDefault="00F47AC0">
      <w:pPr>
        <w:pStyle w:val="FootnoteText"/>
      </w:pPr>
      <w:r>
        <w:rPr>
          <w:rStyle w:val="FootnoteReference"/>
        </w:rPr>
        <w:footnoteRef/>
      </w:r>
      <w:r>
        <w:t xml:space="preserve"> </w:t>
      </w:r>
      <w:r>
        <w:tab/>
        <w:t>Punt 195.</w:t>
      </w:r>
    </w:p>
  </w:footnote>
  <w:footnote w:id="18">
    <w:p w14:paraId="7F6ACF19" w14:textId="77777777" w:rsidR="00F47AC0" w:rsidRPr="005C4E62" w:rsidRDefault="00F47AC0">
      <w:pPr>
        <w:pStyle w:val="FootnoteText"/>
      </w:pPr>
      <w:r>
        <w:rPr>
          <w:rStyle w:val="FootnoteReference"/>
        </w:rPr>
        <w:footnoteRef/>
      </w:r>
      <w:r>
        <w:t xml:space="preserve"> </w:t>
      </w:r>
      <w:r>
        <w:tab/>
        <w:t>Punt 193.</w:t>
      </w:r>
    </w:p>
  </w:footnote>
  <w:footnote w:id="19">
    <w:p w14:paraId="3F97EB51" w14:textId="77777777" w:rsidR="00F47AC0" w:rsidRPr="005C4E62" w:rsidRDefault="00F47AC0">
      <w:pPr>
        <w:pStyle w:val="FootnoteText"/>
      </w:pPr>
      <w:r>
        <w:rPr>
          <w:rStyle w:val="FootnoteReference"/>
        </w:rPr>
        <w:footnoteRef/>
      </w:r>
      <w:r>
        <w:t xml:space="preserve"> </w:t>
      </w:r>
      <w:r>
        <w:tab/>
        <w:t>Punt 193.</w:t>
      </w:r>
    </w:p>
  </w:footnote>
  <w:footnote w:id="20">
    <w:p w14:paraId="422B585E" w14:textId="77777777" w:rsidR="00F47AC0" w:rsidRPr="005C4E62" w:rsidRDefault="00F47AC0">
      <w:pPr>
        <w:pStyle w:val="FootnoteText"/>
      </w:pPr>
      <w:r>
        <w:rPr>
          <w:rStyle w:val="FootnoteReference"/>
        </w:rPr>
        <w:footnoteRef/>
      </w:r>
      <w:r>
        <w:t xml:space="preserve"> </w:t>
      </w:r>
      <w:r>
        <w:tab/>
        <w:t>Punt 196. Zie ook punt 194.</w:t>
      </w:r>
    </w:p>
  </w:footnote>
  <w:footnote w:id="21">
    <w:p w14:paraId="13E9F51A" w14:textId="77777777" w:rsidR="00F47AC0" w:rsidRPr="005C4E62" w:rsidRDefault="00F47AC0">
      <w:pPr>
        <w:pStyle w:val="FootnoteText"/>
      </w:pPr>
      <w:r>
        <w:rPr>
          <w:rStyle w:val="FootnoteReference"/>
        </w:rPr>
        <w:footnoteRef/>
      </w:r>
      <w:r>
        <w:t xml:space="preserve"> </w:t>
      </w:r>
      <w:r>
        <w:tab/>
        <w:t>Punt 196.</w:t>
      </w:r>
    </w:p>
  </w:footnote>
  <w:footnote w:id="22">
    <w:p w14:paraId="116CAFF4" w14:textId="77777777" w:rsidR="00E217F7" w:rsidRPr="005C4E62" w:rsidRDefault="00E217F7">
      <w:pPr>
        <w:pStyle w:val="FootnoteText"/>
      </w:pPr>
      <w:r>
        <w:rPr>
          <w:rStyle w:val="FootnoteReference"/>
        </w:rPr>
        <w:footnoteRef/>
      </w:r>
      <w:r>
        <w:t xml:space="preserve"> </w:t>
      </w:r>
      <w:r>
        <w:tab/>
        <w:t>Punt 198.</w:t>
      </w:r>
    </w:p>
  </w:footnote>
  <w:footnote w:id="23">
    <w:p w14:paraId="11A6DE63" w14:textId="77777777" w:rsidR="009A1814" w:rsidRPr="005C4E62" w:rsidRDefault="009A1814" w:rsidP="009A1814">
      <w:pPr>
        <w:pStyle w:val="FootnoteText"/>
      </w:pPr>
      <w:r>
        <w:rPr>
          <w:rStyle w:val="FootnoteReference"/>
        </w:rPr>
        <w:footnoteRef/>
      </w:r>
      <w:r>
        <w:t xml:space="preserve"> </w:t>
      </w:r>
      <w:r>
        <w:tab/>
        <w:t>Punt 187.</w:t>
      </w:r>
    </w:p>
  </w:footnote>
  <w:footnote w:id="24">
    <w:p w14:paraId="49AE3F07" w14:textId="77777777" w:rsidR="00807BE5" w:rsidRPr="005C4E62" w:rsidRDefault="00807BE5" w:rsidP="00807BE5">
      <w:pPr>
        <w:pStyle w:val="FootnoteText"/>
      </w:pPr>
      <w:r>
        <w:rPr>
          <w:rStyle w:val="FootnoteReference"/>
        </w:rPr>
        <w:footnoteRef/>
      </w:r>
      <w:r>
        <w:t xml:space="preserve"> </w:t>
      </w:r>
      <w:r>
        <w:tab/>
        <w:t>Punt 191.</w:t>
      </w:r>
    </w:p>
  </w:footnote>
  <w:footnote w:id="25">
    <w:p w14:paraId="3CB4B8D3" w14:textId="77777777" w:rsidR="00F47AC0" w:rsidRPr="005C4E62" w:rsidRDefault="00F47AC0" w:rsidP="00F47AC0">
      <w:pPr>
        <w:pStyle w:val="FootnoteText"/>
      </w:pPr>
      <w:r>
        <w:rPr>
          <w:rStyle w:val="FootnoteReference"/>
        </w:rPr>
        <w:footnoteRef/>
      </w:r>
      <w:r>
        <w:t xml:space="preserve"> </w:t>
      </w:r>
      <w:r>
        <w:tab/>
        <w:t>Punt 192. Zie punt 38 voor een definitie van stimulerend effect.</w:t>
      </w:r>
    </w:p>
  </w:footnote>
  <w:footnote w:id="26">
    <w:p w14:paraId="7C2342DA" w14:textId="77777777" w:rsidR="006C4335" w:rsidRPr="005C4E62" w:rsidRDefault="006C4335">
      <w:pPr>
        <w:pStyle w:val="FootnoteText"/>
      </w:pPr>
      <w:r>
        <w:rPr>
          <w:rStyle w:val="FootnoteReference"/>
        </w:rPr>
        <w:footnoteRef/>
      </w:r>
      <w:r>
        <w:t xml:space="preserve"> </w:t>
      </w:r>
      <w:r>
        <w:tab/>
        <w:t>Punt 194.</w:t>
      </w:r>
    </w:p>
  </w:footnote>
  <w:footnote w:id="27">
    <w:p w14:paraId="6FC89AFB" w14:textId="77777777" w:rsidR="00E217F7" w:rsidRPr="005C4E62" w:rsidRDefault="00E217F7">
      <w:pPr>
        <w:pStyle w:val="FootnoteText"/>
      </w:pPr>
      <w:r>
        <w:rPr>
          <w:rStyle w:val="FootnoteReference"/>
        </w:rPr>
        <w:footnoteRef/>
      </w:r>
      <w:r>
        <w:t xml:space="preserve"> </w:t>
      </w:r>
      <w:r>
        <w:tab/>
        <w:t>Punt 197. Zie ook punt 195.</w:t>
      </w:r>
    </w:p>
  </w:footnote>
  <w:footnote w:id="28">
    <w:p w14:paraId="7DEE7DB3" w14:textId="77777777" w:rsidR="00E217F7" w:rsidRPr="005C4E62" w:rsidRDefault="00E217F7">
      <w:pPr>
        <w:pStyle w:val="FootnoteText"/>
      </w:pPr>
      <w:r>
        <w:rPr>
          <w:rStyle w:val="FootnoteReference"/>
        </w:rPr>
        <w:footnoteRef/>
      </w:r>
      <w:r>
        <w:t xml:space="preserve"> </w:t>
      </w:r>
      <w:r>
        <w:tab/>
        <w:t>Punt 200.</w:t>
      </w:r>
    </w:p>
  </w:footnote>
  <w:footnote w:id="29">
    <w:p w14:paraId="4159393C" w14:textId="77777777" w:rsidR="00DE2831" w:rsidRPr="005C4E62" w:rsidRDefault="00DE2831">
      <w:pPr>
        <w:pStyle w:val="FootnoteText"/>
      </w:pPr>
      <w:r>
        <w:rPr>
          <w:rStyle w:val="FootnoteReference"/>
        </w:rPr>
        <w:footnoteRef/>
      </w:r>
      <w:r>
        <w:t xml:space="preserve"> </w:t>
      </w:r>
      <w:r>
        <w:tab/>
        <w:t>Punt 202.</w:t>
      </w:r>
    </w:p>
  </w:footnote>
  <w:footnote w:id="30">
    <w:p w14:paraId="16F57A5B" w14:textId="77777777" w:rsidR="00DE2831" w:rsidRPr="005C4E62" w:rsidRDefault="00DE2831">
      <w:pPr>
        <w:pStyle w:val="FootnoteText"/>
      </w:pPr>
      <w:r>
        <w:rPr>
          <w:rStyle w:val="FootnoteReference"/>
        </w:rPr>
        <w:footnoteRef/>
      </w:r>
      <w:r>
        <w:t xml:space="preserve"> </w:t>
      </w:r>
      <w:r>
        <w:tab/>
        <w:t>Punt 203.</w:t>
      </w:r>
    </w:p>
  </w:footnote>
  <w:footnote w:id="31">
    <w:p w14:paraId="6263BA71" w14:textId="77777777" w:rsidR="00153D1B" w:rsidRPr="005C4E62" w:rsidRDefault="00153D1B">
      <w:pPr>
        <w:pStyle w:val="FootnoteText"/>
      </w:pPr>
      <w:r>
        <w:rPr>
          <w:rStyle w:val="FootnoteReference"/>
        </w:rPr>
        <w:footnoteRef/>
      </w:r>
      <w:r>
        <w:t xml:space="preserve"> </w:t>
      </w:r>
      <w:r>
        <w:tab/>
        <w:t xml:space="preserve">Beschikbaar op: </w:t>
      </w:r>
      <w:hyperlink r:id="rId1" w:history="1">
        <w:r>
          <w:rPr>
            <w:rStyle w:val="Hyperlink"/>
          </w:rPr>
          <w:t>https://webgate.ec.europa.eu/competition/transparency/public?lang=nl</w:t>
        </w:r>
      </w:hyperlink>
      <w:r>
        <w:t xml:space="preserve">. </w:t>
      </w:r>
    </w:p>
  </w:footnote>
  <w:footnote w:id="32">
    <w:p w14:paraId="26F46289" w14:textId="77777777" w:rsidR="00153D1B" w:rsidRPr="005C4E62" w:rsidRDefault="00153D1B">
      <w:pPr>
        <w:pStyle w:val="FootnoteText"/>
      </w:pPr>
      <w:r>
        <w:rPr>
          <w:rStyle w:val="FootnoteReference"/>
        </w:rPr>
        <w:footnoteRef/>
      </w:r>
      <w:r>
        <w:t xml:space="preserve"> </w:t>
      </w:r>
      <w:r>
        <w:tab/>
        <w:t>Punt 202.</w:t>
      </w:r>
    </w:p>
  </w:footnote>
  <w:footnote w:id="33">
    <w:p w14:paraId="0874E150" w14:textId="77777777" w:rsidR="00DE2831" w:rsidRPr="005C4E62" w:rsidRDefault="00DE2831" w:rsidP="00DE2831">
      <w:pPr>
        <w:pStyle w:val="FootnoteText"/>
      </w:pPr>
      <w:r>
        <w:rPr>
          <w:rStyle w:val="FootnoteReference"/>
        </w:rPr>
        <w:footnoteRef/>
      </w:r>
      <w:r>
        <w:t xml:space="preserve"> </w:t>
      </w:r>
      <w:r>
        <w:tab/>
        <w:t>Punt 204.</w:t>
      </w:r>
    </w:p>
  </w:footnote>
  <w:footnote w:id="34">
    <w:p w14:paraId="06F46EBE" w14:textId="77777777" w:rsidR="00DE2831" w:rsidRPr="005C4E62" w:rsidRDefault="00DE2831" w:rsidP="00DE2831">
      <w:pPr>
        <w:pStyle w:val="FootnoteText"/>
      </w:pPr>
      <w:r>
        <w:rPr>
          <w:rStyle w:val="FootnoteReference"/>
        </w:rPr>
        <w:footnoteRef/>
      </w:r>
      <w:r>
        <w:t xml:space="preserve"> </w:t>
      </w:r>
      <w:r>
        <w:tab/>
        <w:t>Punt 204.</w:t>
      </w:r>
    </w:p>
  </w:footnote>
  <w:footnote w:id="35">
    <w:p w14:paraId="6A4916BC" w14:textId="77777777" w:rsidR="004879A7" w:rsidRPr="005C4E62" w:rsidRDefault="004879A7">
      <w:pPr>
        <w:pStyle w:val="FootnoteText"/>
      </w:pPr>
      <w:r>
        <w:rPr>
          <w:rStyle w:val="FootnoteReference"/>
        </w:rPr>
        <w:footnoteRef/>
      </w:r>
      <w:r>
        <w:tab/>
        <w:t>Punten 207 en 208.</w:t>
      </w:r>
    </w:p>
  </w:footnote>
  <w:footnote w:id="36">
    <w:p w14:paraId="10FA0E7B" w14:textId="77777777" w:rsidR="004879A7" w:rsidRPr="005C4E62" w:rsidRDefault="004879A7">
      <w:pPr>
        <w:pStyle w:val="FootnoteText"/>
      </w:pPr>
      <w:r>
        <w:rPr>
          <w:rStyle w:val="FootnoteReference"/>
        </w:rPr>
        <w:footnoteRef/>
      </w:r>
      <w:r>
        <w:t xml:space="preserve"> </w:t>
      </w:r>
      <w:r>
        <w:tab/>
        <w:t>Punt 209.</w:t>
      </w:r>
    </w:p>
  </w:footnote>
  <w:footnote w:id="37">
    <w:p w14:paraId="640A328A" w14:textId="77777777" w:rsidR="00C04E88" w:rsidRPr="005C4E62" w:rsidRDefault="00C04E88" w:rsidP="00C04E88">
      <w:pPr>
        <w:pStyle w:val="FootnoteText"/>
      </w:pPr>
      <w:r>
        <w:rPr>
          <w:rStyle w:val="FootnoteReference"/>
        </w:rPr>
        <w:footnoteRef/>
      </w:r>
      <w:r>
        <w:tab/>
        <w:t>Voor meer houvast</w:t>
      </w:r>
      <w:r>
        <w:rPr>
          <w:i/>
        </w:rPr>
        <w:t>,</w:t>
      </w:r>
      <w:r>
        <w:t xml:space="preserve"> zie artikel 339 VWEU waar sprake is van “inlichtingen betreffende ondernemingen en hun handelsbetrekkingen of de bestanddelen van hun kostprijzen”. De EU-rechter heeft “bedrijfsgevoelige informatie” omschreven als “inlichtingen waarvan niet enkel de openbaarmaking aan het publiek, maar ook de enkele overlegging aan een ander rechtssubject dan dat waarvan de inlichting afkomstig is, de belangen van laatstbedoeld subject ernstig kan schaden” (arrest van het Gerecht van 18 september 1996, Postbank / Commissie, T-353/94, ECLI:EU:T:1996:119, punt 87).</w:t>
      </w:r>
    </w:p>
  </w:footnote>
  <w:footnote w:id="38">
    <w:p w14:paraId="7641B843" w14:textId="77777777" w:rsidR="00FC09A8" w:rsidRPr="005C4E62" w:rsidRDefault="00FC09A8" w:rsidP="00FC09A8">
      <w:pPr>
        <w:pStyle w:val="FootnoteText"/>
      </w:pPr>
      <w:r>
        <w:rPr>
          <w:rStyle w:val="FootnoteReference"/>
        </w:rPr>
        <w:footnoteRef/>
      </w:r>
      <w:r>
        <w:tab/>
        <w:t>Verordening (EU) nr. 651/2014 van de Commissie van 17 juni 2014 waarbij bepaalde categorieën steun op grond van de artikelen 107 en 108 van het Verdrag met de interne markt verenigbaar worden verklaard (PB L 187 van 26.6.2014, blz. 1), zoals gewijzigd.</w:t>
      </w:r>
    </w:p>
  </w:footnote>
  <w:footnote w:id="39">
    <w:p w14:paraId="5246E444" w14:textId="77777777" w:rsidR="00C04E88" w:rsidRPr="00FC09A8" w:rsidRDefault="00C04E88" w:rsidP="00C04E88">
      <w:pPr>
        <w:pStyle w:val="FootnoteText"/>
      </w:pPr>
      <w:r>
        <w:rPr>
          <w:rStyle w:val="FootnoteReference"/>
        </w:rPr>
        <w:footnoteRef/>
      </w:r>
      <w:r>
        <w:tab/>
        <w:t>Verordening (EU) nr. 1407/2013 van de Commissie van 18 december 2013 betreffende de toepassing van de artikelen 107 en 108 van het Verdrag betreffende de werking van de Europese Unie op de-minimissteun (PB L 352 van 24.12.2013, blz.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AE05C4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6"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8"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7"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1"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2"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5"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0"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2"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3"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7"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9"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40"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1"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3"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4"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5"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3"/>
  </w:num>
  <w:num w:numId="2" w16cid:durableId="828906325">
    <w:abstractNumId w:val="1"/>
  </w:num>
  <w:num w:numId="3" w16cid:durableId="1421607773">
    <w:abstractNumId w:val="26"/>
  </w:num>
  <w:num w:numId="4" w16cid:durableId="1096363254">
    <w:abstractNumId w:val="0"/>
  </w:num>
  <w:num w:numId="5" w16cid:durableId="534733717">
    <w:abstractNumId w:val="29"/>
  </w:num>
  <w:num w:numId="6" w16cid:durableId="659385799">
    <w:abstractNumId w:val="43"/>
  </w:num>
  <w:num w:numId="7" w16cid:durableId="882642859">
    <w:abstractNumId w:val="11"/>
  </w:num>
  <w:num w:numId="8" w16cid:durableId="1107656495">
    <w:abstractNumId w:val="6"/>
  </w:num>
  <w:num w:numId="9" w16cid:durableId="238832995">
    <w:abstractNumId w:val="46"/>
  </w:num>
  <w:num w:numId="10" w16cid:durableId="632056179">
    <w:abstractNumId w:val="22"/>
  </w:num>
  <w:num w:numId="11" w16cid:durableId="770707077">
    <w:abstractNumId w:val="9"/>
  </w:num>
  <w:num w:numId="12" w16cid:durableId="1062022620">
    <w:abstractNumId w:val="34"/>
  </w:num>
  <w:num w:numId="13" w16cid:durableId="1128751">
    <w:abstractNumId w:val="21"/>
  </w:num>
  <w:num w:numId="14" w16cid:durableId="1953514520">
    <w:abstractNumId w:val="38"/>
  </w:num>
  <w:num w:numId="15" w16cid:durableId="2143768770">
    <w:abstractNumId w:val="41"/>
  </w:num>
  <w:num w:numId="16" w16cid:durableId="1513300708">
    <w:abstractNumId w:val="8"/>
  </w:num>
  <w:num w:numId="17" w16cid:durableId="1235355958">
    <w:abstractNumId w:val="18"/>
  </w:num>
  <w:num w:numId="18" w16cid:durableId="2107579641">
    <w:abstractNumId w:val="20"/>
  </w:num>
  <w:num w:numId="19" w16cid:durableId="1092236615">
    <w:abstractNumId w:val="31"/>
  </w:num>
  <w:num w:numId="20" w16cid:durableId="412317650">
    <w:abstractNumId w:val="3"/>
  </w:num>
  <w:num w:numId="21" w16cid:durableId="2128500346">
    <w:abstractNumId w:val="32"/>
  </w:num>
  <w:num w:numId="22" w16cid:durableId="1447118299">
    <w:abstractNumId w:val="16"/>
  </w:num>
  <w:num w:numId="23" w16cid:durableId="580914879">
    <w:abstractNumId w:val="39"/>
  </w:num>
  <w:num w:numId="24" w16cid:durableId="1613895504">
    <w:abstractNumId w:val="15"/>
  </w:num>
  <w:num w:numId="25" w16cid:durableId="487525385">
    <w:abstractNumId w:val="37"/>
  </w:num>
  <w:num w:numId="26" w16cid:durableId="1541477428">
    <w:abstractNumId w:val="30"/>
  </w:num>
  <w:num w:numId="27" w16cid:durableId="1427270664">
    <w:abstractNumId w:val="40"/>
  </w:num>
  <w:num w:numId="28" w16cid:durableId="736056889">
    <w:abstractNumId w:val="10"/>
  </w:num>
  <w:num w:numId="29" w16cid:durableId="47460274">
    <w:abstractNumId w:val="44"/>
  </w:num>
  <w:num w:numId="30" w16cid:durableId="1971086289">
    <w:abstractNumId w:val="36"/>
  </w:num>
  <w:num w:numId="31" w16cid:durableId="527257613">
    <w:abstractNumId w:val="23"/>
  </w:num>
  <w:num w:numId="32" w16cid:durableId="1408305502">
    <w:abstractNumId w:val="35"/>
  </w:num>
  <w:num w:numId="33" w16cid:durableId="2051685378">
    <w:abstractNumId w:val="5"/>
  </w:num>
  <w:num w:numId="34" w16cid:durableId="1172991327">
    <w:abstractNumId w:val="28"/>
  </w:num>
  <w:num w:numId="35" w16cid:durableId="798231910">
    <w:abstractNumId w:val="33"/>
  </w:num>
  <w:num w:numId="36" w16cid:durableId="730233613">
    <w:abstractNumId w:val="2"/>
  </w:num>
  <w:num w:numId="37" w16cid:durableId="59520991">
    <w:abstractNumId w:val="45"/>
  </w:num>
  <w:num w:numId="38" w16cid:durableId="765658691">
    <w:abstractNumId w:val="47"/>
  </w:num>
  <w:num w:numId="39" w16cid:durableId="1875732243">
    <w:abstractNumId w:val="24"/>
  </w:num>
  <w:num w:numId="40" w16cid:durableId="359168937">
    <w:abstractNumId w:val="19"/>
  </w:num>
  <w:num w:numId="41" w16cid:durableId="1688485660">
    <w:abstractNumId w:val="27"/>
  </w:num>
  <w:num w:numId="42" w16cid:durableId="1550023508">
    <w:abstractNumId w:val="14"/>
  </w:num>
  <w:num w:numId="43" w16cid:durableId="451440294">
    <w:abstractNumId w:val="17"/>
  </w:num>
  <w:num w:numId="44" w16cid:durableId="835000467">
    <w:abstractNumId w:val="7"/>
  </w:num>
  <w:num w:numId="45" w16cid:durableId="1931307487">
    <w:abstractNumId w:val="42"/>
  </w:num>
  <w:num w:numId="46" w16cid:durableId="1624653190">
    <w:abstractNumId w:val="12"/>
  </w:num>
  <w:num w:numId="47" w16cid:durableId="61217928">
    <w:abstractNumId w:val="25"/>
  </w:num>
  <w:num w:numId="48" w16cid:durableId="887958095">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39E"/>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D64B4"/>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25B73"/>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677F2"/>
    <w:rsid w:val="00B778A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96BAE"/>
    <w:rsid w:val="00D97B3D"/>
    <w:rsid w:val="00DA4DD2"/>
    <w:rsid w:val="00DB188E"/>
    <w:rsid w:val="00DC35A4"/>
    <w:rsid w:val="00DC518F"/>
    <w:rsid w:val="00DE181E"/>
    <w:rsid w:val="00DE2831"/>
    <w:rsid w:val="00E0556B"/>
    <w:rsid w:val="00E101F1"/>
    <w:rsid w:val="00E217F7"/>
    <w:rsid w:val="00E27219"/>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54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nl-NL"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nl-NL"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nl-NL"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nl-NL" w:eastAsia="en-US"/>
    </w:rPr>
  </w:style>
  <w:style w:type="paragraph" w:styleId="Header">
    <w:name w:val="header"/>
    <w:basedOn w:val="Normal"/>
    <w:link w:val="HeaderChar"/>
    <w:uiPriority w:val="99"/>
    <w:unhideWhenUsed/>
    <w:rsid w:val="003D64B4"/>
    <w:pPr>
      <w:tabs>
        <w:tab w:val="center" w:pos="4513"/>
        <w:tab w:val="right" w:pos="9026"/>
      </w:tabs>
    </w:pPr>
  </w:style>
  <w:style w:type="character" w:customStyle="1" w:styleId="HeaderChar">
    <w:name w:val="Header Char"/>
    <w:basedOn w:val="DefaultParagraphFont"/>
    <w:link w:val="Header"/>
    <w:uiPriority w:val="99"/>
    <w:rsid w:val="003D64B4"/>
    <w:rPr>
      <w:sz w:val="24"/>
      <w:lang w:eastAsia="en-US"/>
    </w:rPr>
  </w:style>
  <w:style w:type="paragraph" w:styleId="Footer">
    <w:name w:val="footer"/>
    <w:basedOn w:val="Normal"/>
    <w:link w:val="FooterChar"/>
    <w:uiPriority w:val="99"/>
    <w:unhideWhenUsed/>
    <w:rsid w:val="003D64B4"/>
    <w:pPr>
      <w:tabs>
        <w:tab w:val="center" w:pos="4513"/>
        <w:tab w:val="right" w:pos="9026"/>
      </w:tabs>
    </w:pPr>
  </w:style>
  <w:style w:type="character" w:customStyle="1" w:styleId="FooterChar">
    <w:name w:val="Footer Char"/>
    <w:basedOn w:val="DefaultParagraphFont"/>
    <w:link w:val="Footer"/>
    <w:uiPriority w:val="99"/>
    <w:rsid w:val="003D64B4"/>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2450</Words>
  <Characters>14726</Characters>
  <Application>Microsoft Office Word</Application>
  <DocSecurity>0</DocSecurity>
  <Lines>334</Lines>
  <Paragraphs>133</Paragraphs>
  <ScaleCrop>false</ScaleCrop>
  <Company/>
  <LinksUpToDate>false</LinksUpToDate>
  <CharactersWithSpaces>17043</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2024-03-06T10:11:00Z</dcterms:created>
  <dcterms:modified xsi:type="dcterms:W3CDTF">2024-03-06T10:11:00Z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2024-03-06T10:11:15Z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3a5b29ae-dc53-4fdc-941b-041a27450200</vt:lpwstr>
  </property>
  <property fmtid="{D5CDD505-2E9C-101B-9397-08002B2CF9AE}" pid="8" name="MSIP_Label_6bd9ddd1-4d20-43f6-abfa-fc3c07406f94_ContentBits">
    <vt:lpwstr>0</vt:lpwstr>
  </property>
</Properties>
</file>