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5C4C6132" w14:textId="77777777" w:rsidTr="00466BC2">
        <w:trPr>
          <w:trHeight w:val="854"/>
        </w:trPr>
        <w:tc>
          <w:tcPr>
            <w:tcW w:w="9000" w:type="dxa"/>
            <w:tcBorders>
              <w:top w:val="single" w:sz="4" w:space="0" w:color="auto"/>
              <w:bottom w:val="single" w:sz="4" w:space="0" w:color="auto"/>
            </w:tcBorders>
            <w:shd w:val="pct15" w:color="auto" w:fill="FFFFFF"/>
          </w:tcPr>
          <w:p w14:paraId="72CDCD5D"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Cuid III.5 - Bileog Faisnéise Forlíontaí maidir le Státchabhair </w:t>
            </w:r>
            <w:bookmarkEnd w:id="0"/>
            <w:bookmarkEnd w:id="1"/>
            <w:r>
              <w:rPr>
                <w:color w:val="auto"/>
              </w:rPr>
              <w:t>le haghaidh bearta glactha</w:t>
            </w:r>
          </w:p>
        </w:tc>
      </w:tr>
    </w:tbl>
    <w:p w14:paraId="7939911B" w14:textId="77777777" w:rsidR="007B33E6" w:rsidRPr="005C4E62" w:rsidRDefault="007B33E6" w:rsidP="001507A9">
      <w:pPr>
        <w:spacing w:before="240" w:after="240"/>
        <w:jc w:val="both"/>
        <w:rPr>
          <w:i/>
          <w:iCs/>
        </w:rPr>
      </w:pPr>
      <w:r>
        <w:rPr>
          <w:i/>
        </w:rPr>
        <w:t>Ba cheart an bhileog faisnéise forlíontaí seo a úsáid le haghaidh fógraí maidir le cabhair le haghaidh cur in úsáid beart glactha arna gcumhdach leis na Treoirlínte ón gCoimisiún maidir le Státchabhair do líonraí leathanbhanda</w:t>
      </w:r>
      <w:r w:rsidRPr="005C4E62">
        <w:rPr>
          <w:bCs/>
          <w:vertAlign w:val="superscript"/>
        </w:rPr>
        <w:footnoteReference w:id="1"/>
      </w:r>
      <w:r>
        <w:rPr>
          <w:i/>
        </w:rPr>
        <w:t xml:space="preserve"> (‘Treoirlínte Leathanbhanda’)</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517DC57E" w14:textId="77777777" w:rsidTr="00646E8A">
        <w:tc>
          <w:tcPr>
            <w:tcW w:w="9286" w:type="dxa"/>
            <w:shd w:val="clear" w:color="auto" w:fill="D9D9D9"/>
          </w:tcPr>
          <w:p w14:paraId="30809FC3"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Eolas ginearálta</w:t>
            </w:r>
          </w:p>
        </w:tc>
      </w:tr>
    </w:tbl>
    <w:p w14:paraId="610E61D1" w14:textId="77777777" w:rsidR="007B33E6" w:rsidRPr="005C4E62" w:rsidRDefault="007B33E6" w:rsidP="00BE2CC4">
      <w:pPr>
        <w:pStyle w:val="NumPar2"/>
        <w:numPr>
          <w:ilvl w:val="1"/>
          <w:numId w:val="1"/>
        </w:numPr>
        <w:tabs>
          <w:tab w:val="clear" w:pos="1200"/>
        </w:tabs>
        <w:spacing w:before="240"/>
        <w:ind w:left="709"/>
      </w:pPr>
      <w:bookmarkStart w:id="2" w:name="_Ref152597077"/>
      <w:r>
        <w:t>Soláthair tuairisc mhionsonraithe ar an mbeart cabhrach agus ar a chuspóirí.</w:t>
      </w:r>
      <w:bookmarkEnd w:id="2"/>
    </w:p>
    <w:p w14:paraId="7FCB701B" w14:textId="77777777" w:rsidR="00515227" w:rsidRPr="005C4E62" w:rsidRDefault="00515227" w:rsidP="001507A9">
      <w:pPr>
        <w:pStyle w:val="Text2"/>
        <w:tabs>
          <w:tab w:val="clear" w:pos="2161"/>
          <w:tab w:val="left" w:leader="dot" w:pos="9072"/>
        </w:tabs>
        <w:spacing w:before="120" w:after="120"/>
        <w:ind w:left="709"/>
      </w:pPr>
      <w:r>
        <w:tab/>
      </w:r>
    </w:p>
    <w:p w14:paraId="3A98AC34" w14:textId="77777777" w:rsidR="001507A9" w:rsidRPr="005C4E62" w:rsidRDefault="001507A9" w:rsidP="001507A9">
      <w:pPr>
        <w:pStyle w:val="NumPar2"/>
        <w:numPr>
          <w:ilvl w:val="1"/>
          <w:numId w:val="1"/>
        </w:numPr>
        <w:tabs>
          <w:tab w:val="clear" w:pos="1200"/>
        </w:tabs>
        <w:ind w:left="709"/>
      </w:pPr>
      <w:r>
        <w:t>Mínigh cén fáth, i do thuairim, gur Státchabhair atá sa bheart cabhrach</w:t>
      </w:r>
      <w:r w:rsidRPr="005C4E62">
        <w:rPr>
          <w:rStyle w:val="FootnoteReference"/>
        </w:rPr>
        <w:footnoteReference w:id="2"/>
      </w:r>
      <w:r>
        <w:t>.</w:t>
      </w:r>
    </w:p>
    <w:p w14:paraId="0E130C0E" w14:textId="77777777" w:rsidR="001507A9" w:rsidRPr="005C4E62" w:rsidRDefault="001507A9" w:rsidP="001507A9">
      <w:pPr>
        <w:pStyle w:val="Text2"/>
        <w:tabs>
          <w:tab w:val="clear" w:pos="2161"/>
          <w:tab w:val="left" w:leader="dot" w:pos="9072"/>
        </w:tabs>
        <w:spacing w:before="120" w:after="120"/>
        <w:ind w:left="709"/>
      </w:pPr>
      <w:r>
        <w:tab/>
      </w:r>
    </w:p>
    <w:p w14:paraId="0BC21B4E" w14:textId="77777777" w:rsidR="001507A9" w:rsidRPr="005C4E62" w:rsidRDefault="001507A9" w:rsidP="001507A9">
      <w:pPr>
        <w:pStyle w:val="NumPar2"/>
        <w:numPr>
          <w:ilvl w:val="1"/>
          <w:numId w:val="1"/>
        </w:numPr>
        <w:tabs>
          <w:tab w:val="clear" w:pos="1200"/>
        </w:tabs>
        <w:ind w:left="709"/>
      </w:pPr>
      <w:r>
        <w:t>Cuir in iúl an bhfuil an méid seo a leanas sa bheart cabhrach:</w:t>
      </w:r>
    </w:p>
    <w:p w14:paraId="309E24E0"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Dearbháin shóisialta</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Dearbháin nascachta</w:t>
      </w:r>
      <w:r w:rsidRPr="005C4E62">
        <w:rPr>
          <w:rStyle w:val="FootnoteReference"/>
          <w:lang w:bidi="si-LK"/>
        </w:rPr>
        <w:footnoteReference w:id="4"/>
      </w:r>
    </w:p>
    <w:p w14:paraId="3DF97F4A" w14:textId="77777777" w:rsidR="006F5901" w:rsidRPr="005C4E62" w:rsidRDefault="006F5901" w:rsidP="001507A9">
      <w:pPr>
        <w:pStyle w:val="NumPar2"/>
        <w:numPr>
          <w:ilvl w:val="1"/>
          <w:numId w:val="1"/>
        </w:numPr>
        <w:tabs>
          <w:tab w:val="clear" w:pos="1200"/>
        </w:tabs>
        <w:ind w:left="709"/>
      </w:pPr>
      <w:r>
        <w:t>Mínigh an chaoi a n‑oireann an beart cabhrach don straitéis náisiúnta leathanbhanda agus do chuspóirí beartais dhigitigh agus comhshaoil an Aontais</w:t>
      </w:r>
      <w:r w:rsidRPr="005C4E62">
        <w:rPr>
          <w:rStyle w:val="FootnoteReference"/>
        </w:rPr>
        <w:footnoteReference w:id="5"/>
      </w:r>
      <w:r>
        <w:t xml:space="preserve">. </w:t>
      </w:r>
    </w:p>
    <w:p w14:paraId="27951286" w14:textId="77777777" w:rsidR="006F5901" w:rsidRPr="005C4E62" w:rsidRDefault="006F5901" w:rsidP="001507A9">
      <w:pPr>
        <w:pStyle w:val="Text2"/>
        <w:tabs>
          <w:tab w:val="clear" w:pos="2161"/>
          <w:tab w:val="left" w:leader="dot" w:pos="9072"/>
        </w:tabs>
        <w:spacing w:before="120" w:after="120"/>
        <w:ind w:left="709"/>
      </w:pPr>
      <w:r>
        <w:tab/>
      </w:r>
    </w:p>
    <w:p w14:paraId="1CF473F3" w14:textId="77777777" w:rsidR="00C66331" w:rsidRPr="005C4E62" w:rsidRDefault="00C66331" w:rsidP="001507A9">
      <w:pPr>
        <w:pStyle w:val="NumPar2"/>
        <w:numPr>
          <w:ilvl w:val="1"/>
          <w:numId w:val="1"/>
        </w:numPr>
        <w:tabs>
          <w:tab w:val="clear" w:pos="1200"/>
        </w:tabs>
        <w:ind w:left="709"/>
      </w:pPr>
      <w:r>
        <w:t>Mínigh cé acu atá nó nach bhfuil an chúis lena dtugtar údar leis an mbeart cabhrach</w:t>
      </w:r>
      <w:r w:rsidR="001507A9" w:rsidRPr="005C4E62">
        <w:rPr>
          <w:rStyle w:val="FootnoteReference"/>
        </w:rPr>
        <w:footnoteReference w:id="6"/>
      </w:r>
      <w:r>
        <w:t>:</w:t>
      </w:r>
    </w:p>
    <w:p w14:paraId="6910FFE0"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Tionchar eacnamaíoch an chostais a bhaineann le síntiús le seirbhísí leathanbhanda. Má tá, tabhair sonraí……………………………………………………………….</w:t>
      </w:r>
    </w:p>
    <w:p w14:paraId="4C3522F8"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Easpa feasachta maidir leis na tairbhí a bhaineann leis síntiús le seirbhísí leathanbhanda. Má tá, tabhair sonraí………………………….......................................</w:t>
      </w:r>
    </w:p>
    <w:p w14:paraId="2D8B61D5"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Cúiseanna eile. Má tá, tabhair sonraí………………………………………….</w:t>
      </w:r>
    </w:p>
    <w:p w14:paraId="5734E4C5" w14:textId="77777777" w:rsidR="007B33E6" w:rsidRPr="005C4E62" w:rsidRDefault="007B33E6" w:rsidP="001507A9">
      <w:pPr>
        <w:pStyle w:val="NumPar2"/>
        <w:numPr>
          <w:ilvl w:val="1"/>
          <w:numId w:val="1"/>
        </w:numPr>
        <w:tabs>
          <w:tab w:val="clear" w:pos="1200"/>
        </w:tabs>
        <w:ind w:left="709"/>
      </w:pPr>
      <w:r>
        <w:t>Mínigh comhthéacs an bhirt cabhrach (</w:t>
      </w:r>
      <w:r>
        <w:rPr>
          <w:i/>
        </w:rPr>
        <w:t>e.g.</w:t>
      </w:r>
      <w:r>
        <w:t xml:space="preserve"> leibhéal reatha cumhdaigh na líonraí leathanbhanda sa Bhallstát, leibhéal reatha glactha na seirbhísí leathanbhanda), agus léirigh na foinsí faisnéise a chuirtear ar fáil.</w:t>
      </w:r>
    </w:p>
    <w:p w14:paraId="233942D8" w14:textId="77777777" w:rsidR="00B973C6" w:rsidRPr="005C4E62" w:rsidRDefault="00B973C6" w:rsidP="001507A9">
      <w:pPr>
        <w:pStyle w:val="Text2"/>
        <w:tabs>
          <w:tab w:val="clear" w:pos="2161"/>
          <w:tab w:val="left" w:leader="dot" w:pos="9072"/>
        </w:tabs>
        <w:spacing w:before="120" w:after="120"/>
        <w:ind w:left="709"/>
      </w:pPr>
      <w:r>
        <w:tab/>
      </w:r>
    </w:p>
    <w:p w14:paraId="66C613CF" w14:textId="77777777" w:rsidR="005A7B71" w:rsidRPr="005C4E62" w:rsidRDefault="005A7B71" w:rsidP="001507A9">
      <w:pPr>
        <w:pStyle w:val="NumPar2"/>
        <w:numPr>
          <w:ilvl w:val="1"/>
          <w:numId w:val="1"/>
        </w:numPr>
        <w:tabs>
          <w:tab w:val="clear" w:pos="1200"/>
        </w:tabs>
        <w:ind w:left="709"/>
      </w:pPr>
      <w:r>
        <w:t>Deimhnigh go meastar gur luasanna faoi dhálaí buaic-ama atá sna luasanna uile a luaitear san fhógra seo</w:t>
      </w:r>
      <w:r w:rsidRPr="005C4E62">
        <w:rPr>
          <w:rStyle w:val="FootnoteReference"/>
        </w:rPr>
        <w:footnoteReference w:id="7"/>
      </w:r>
      <w:r>
        <w:t>.</w:t>
      </w:r>
    </w:p>
    <w:p w14:paraId="57F2E701"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Is fíor sin</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5E4ACD">
        <w:fldChar w:fldCharType="separate"/>
      </w:r>
      <w:r w:rsidR="00A63EE7" w:rsidRPr="005C4E62">
        <w:fldChar w:fldCharType="end"/>
      </w:r>
      <w:r>
        <w:tab/>
        <w:t>Ní fíor sin</w:t>
      </w:r>
    </w:p>
    <w:p w14:paraId="1C950667" w14:textId="77777777" w:rsidR="005F2475" w:rsidRPr="005C4E62" w:rsidRDefault="007A2062" w:rsidP="005F2475">
      <w:pPr>
        <w:pStyle w:val="NumPar2"/>
        <w:numPr>
          <w:ilvl w:val="1"/>
          <w:numId w:val="1"/>
        </w:numPr>
        <w:tabs>
          <w:tab w:val="clear" w:pos="1200"/>
        </w:tabs>
        <w:ind w:left="709"/>
      </w:pPr>
      <w:r>
        <w:lastRenderedPageBreak/>
        <w:t>Má tá siad ar fáil, cuir isteach na doiciméid seo a leanas agus tabhair tuairisc ar an ábhar lena mbaineann.</w:t>
      </w:r>
    </w:p>
    <w:p w14:paraId="1C236C9F"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Measúnú tionchair ar an mbeart cabhrach………………………………………………. </w:t>
      </w:r>
    </w:p>
    <w:p w14:paraId="160AC304"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Pleananna meastóireachta </w:t>
      </w:r>
      <w:r>
        <w:rPr>
          <w:i/>
        </w:rPr>
        <w:t>ex post</w:t>
      </w:r>
      <w:r>
        <w:t xml:space="preserve"> maidir le scéimeanna réamhtheachta comhchosúla…………………………...</w:t>
      </w:r>
    </w:p>
    <w:p w14:paraId="35E82D39"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Anailís fhrithfhíorasach a léiríonn go bhfuil éifeachtaí dearfacha ag an mbeart i gcomparáid leis an méid a bheadh tarlaithe gan an chabhair…………………………….....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A4CC32E" w14:textId="77777777" w:rsidTr="00796043">
        <w:tc>
          <w:tcPr>
            <w:tcW w:w="9286" w:type="dxa"/>
            <w:shd w:val="clear" w:color="auto" w:fill="D9D9D9"/>
          </w:tcPr>
          <w:p w14:paraId="271BA319"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Dearbháin shóisialta</w:t>
            </w:r>
          </w:p>
        </w:tc>
      </w:tr>
    </w:tbl>
    <w:p w14:paraId="1DE8B865" w14:textId="77777777" w:rsidR="004C1C63" w:rsidRPr="005C4E62" w:rsidRDefault="007B5294" w:rsidP="00E27219">
      <w:pPr>
        <w:pStyle w:val="NumPar2"/>
        <w:numPr>
          <w:ilvl w:val="1"/>
          <w:numId w:val="5"/>
        </w:numPr>
        <w:ind w:left="709" w:hanging="709"/>
      </w:pPr>
      <w:r>
        <w:t>Cuir in iúl na catagóirí áirithe tomhaltóirí aonair a bhfuil an beart cabhrach dírithe orthu, agus sonraigh na cúinsí airgeadais lena dtugtar údar le cabhair a dhámhachtain ar chúiseanna sóisialta (</w:t>
      </w:r>
      <w:r>
        <w:rPr>
          <w:i/>
        </w:rPr>
        <w:t>e.g.</w:t>
      </w:r>
      <w:r>
        <w:t xml:space="preserve"> teaghlaigh ar ioncam íseal, mic léinn, daltaí, etc.) agus na critéir oibiachtúla a úsáidtear chun tomhaltóirí incháilithe a shainaithint</w:t>
      </w:r>
      <w:r w:rsidRPr="005C4E62">
        <w:rPr>
          <w:rStyle w:val="FootnoteReference"/>
        </w:rPr>
        <w:footnoteReference w:id="8"/>
      </w:r>
      <w:r>
        <w:t xml:space="preserve">. </w:t>
      </w:r>
    </w:p>
    <w:p w14:paraId="03F6B7C3" w14:textId="77777777" w:rsidR="004C1C63" w:rsidRPr="005C4E62" w:rsidRDefault="004C1C63" w:rsidP="004C1C63">
      <w:pPr>
        <w:pStyle w:val="Text2"/>
        <w:tabs>
          <w:tab w:val="clear" w:pos="2161"/>
          <w:tab w:val="left" w:leader="dot" w:pos="9072"/>
        </w:tabs>
        <w:spacing w:before="120" w:after="120"/>
        <w:ind w:left="709"/>
      </w:pPr>
      <w:r>
        <w:tab/>
      </w:r>
    </w:p>
    <w:p w14:paraId="2AF468BE" w14:textId="77777777" w:rsidR="007B5294" w:rsidRPr="005C4E62" w:rsidRDefault="004C1C63" w:rsidP="00E27219">
      <w:pPr>
        <w:pStyle w:val="NumPar2"/>
        <w:numPr>
          <w:ilvl w:val="1"/>
          <w:numId w:val="5"/>
        </w:numPr>
        <w:ind w:left="709" w:hanging="709"/>
      </w:pPr>
      <w:r>
        <w:t>Soláthair meastachán ar líon na dtomhaltóirí a d’fhéadfadh leas a bhaint as an mbeart cabhrach.</w:t>
      </w:r>
    </w:p>
    <w:p w14:paraId="7D62FDA3" w14:textId="77777777" w:rsidR="007B5294" w:rsidRPr="005C4E62" w:rsidRDefault="007B5294" w:rsidP="009F1CC8">
      <w:pPr>
        <w:pStyle w:val="Text2"/>
        <w:tabs>
          <w:tab w:val="clear" w:pos="2161"/>
          <w:tab w:val="left" w:leader="dot" w:pos="9072"/>
        </w:tabs>
        <w:spacing w:before="120" w:after="120"/>
        <w:ind w:left="709"/>
      </w:pPr>
      <w:r>
        <w:tab/>
      </w:r>
    </w:p>
    <w:p w14:paraId="59A95465" w14:textId="77777777" w:rsidR="004C1C63" w:rsidRPr="005C4E62" w:rsidRDefault="004C1C63" w:rsidP="00E27219">
      <w:pPr>
        <w:pStyle w:val="NumPar2"/>
        <w:numPr>
          <w:ilvl w:val="1"/>
          <w:numId w:val="5"/>
        </w:numPr>
        <w:ind w:left="709" w:hanging="709"/>
      </w:pPr>
      <w:r>
        <w:t>Cuir in iúl na soláthraithe seirbhíse incháilithe.</w:t>
      </w:r>
    </w:p>
    <w:p w14:paraId="50177C09" w14:textId="77777777" w:rsidR="004C1C63" w:rsidRPr="005C4E62" w:rsidRDefault="004C1C63" w:rsidP="004C1C63">
      <w:pPr>
        <w:pStyle w:val="Text2"/>
        <w:tabs>
          <w:tab w:val="clear" w:pos="2161"/>
          <w:tab w:val="left" w:leader="dot" w:pos="9072"/>
        </w:tabs>
        <w:spacing w:before="120" w:after="120"/>
        <w:ind w:left="709"/>
      </w:pPr>
      <w:r>
        <w:tab/>
      </w:r>
    </w:p>
    <w:p w14:paraId="2FFE3AD7" w14:textId="77777777" w:rsidR="00237B1B" w:rsidRPr="005C4E62" w:rsidRDefault="00237B1B" w:rsidP="00E27219">
      <w:pPr>
        <w:pStyle w:val="NumPar2"/>
        <w:numPr>
          <w:ilvl w:val="1"/>
          <w:numId w:val="5"/>
        </w:numPr>
        <w:ind w:left="709" w:hanging="709"/>
      </w:pPr>
      <w:r>
        <w:t>Sonraigh na seirbhísí incháilithe a chumhdaítear leis an mbeart cabhrach (</w:t>
      </w:r>
      <w:r>
        <w:rPr>
          <w:i/>
        </w:rPr>
        <w:t>e.g.</w:t>
      </w:r>
      <w:r>
        <w:t xml:space="preserve"> maidir le luas íoslódála, luas uaslódála, etc.) agus mínigh conas a shainaithin d’údaráis na seirbhísí sin.</w:t>
      </w:r>
    </w:p>
    <w:p w14:paraId="47240E37" w14:textId="77777777" w:rsidR="00237B1B" w:rsidRPr="005C4E62" w:rsidRDefault="00237B1B" w:rsidP="00237B1B">
      <w:pPr>
        <w:pStyle w:val="Text2"/>
        <w:tabs>
          <w:tab w:val="clear" w:pos="2161"/>
          <w:tab w:val="left" w:leader="dot" w:pos="9072"/>
        </w:tabs>
        <w:spacing w:before="120" w:after="120"/>
        <w:ind w:left="709"/>
      </w:pPr>
      <w:r>
        <w:tab/>
      </w:r>
    </w:p>
    <w:p w14:paraId="4D423217" w14:textId="77777777" w:rsidR="00042ACA" w:rsidRPr="005C4E62" w:rsidRDefault="00710B4A" w:rsidP="00042ACA">
      <w:pPr>
        <w:pStyle w:val="NumPar2"/>
        <w:numPr>
          <w:ilvl w:val="1"/>
          <w:numId w:val="5"/>
        </w:numPr>
        <w:ind w:left="709" w:hanging="709"/>
      </w:pPr>
      <w:r>
        <w:t>Sonraigh conas a úsáidfear na dearbháin agus tabhair sonraí sonracha</w:t>
      </w:r>
      <w:r w:rsidRPr="005C4E62">
        <w:rPr>
          <w:rStyle w:val="FootnoteReference"/>
        </w:rPr>
        <w:footnoteReference w:id="9"/>
      </w:r>
      <w:r>
        <w:t>:</w:t>
      </w:r>
    </w:p>
    <w:p w14:paraId="7F887B96"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Síntiús le seirbhísí leathanbhanda nua. Sonraí:</w:t>
      </w:r>
    </w:p>
    <w:p w14:paraId="31FA2487" w14:textId="77777777" w:rsidR="00485681" w:rsidRPr="005C4E62" w:rsidRDefault="00485681" w:rsidP="006E6AE1">
      <w:pPr>
        <w:pStyle w:val="NumPar2"/>
        <w:tabs>
          <w:tab w:val="clear" w:pos="360"/>
        </w:tabs>
        <w:ind w:left="709" w:firstLine="0"/>
      </w:pPr>
      <w:r>
        <w:t xml:space="preserve">………………………………………………………………………………………….. </w:t>
      </w:r>
    </w:p>
    <w:p w14:paraId="64580C68"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Síntiúis atá acu cheana a choinneáil. Sonraí: </w:t>
      </w:r>
    </w:p>
    <w:p w14:paraId="20E0E8EB" w14:textId="77777777" w:rsidR="00485681" w:rsidRPr="005C4E62" w:rsidRDefault="00485681" w:rsidP="006E6AE1">
      <w:pPr>
        <w:pStyle w:val="NumPar2"/>
        <w:tabs>
          <w:tab w:val="clear" w:pos="360"/>
        </w:tabs>
        <w:ind w:left="709" w:firstLine="0"/>
      </w:pPr>
      <w:r>
        <w:t>…………………………………………………………………………………………...</w:t>
      </w:r>
    </w:p>
    <w:p w14:paraId="6F5451DD"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Eile. Sonraí:</w:t>
      </w:r>
    </w:p>
    <w:p w14:paraId="10D58AF7" w14:textId="77777777" w:rsidR="00485681" w:rsidRPr="005C4E62" w:rsidRDefault="00485681" w:rsidP="006E6AE1">
      <w:pPr>
        <w:pStyle w:val="NumPar2"/>
        <w:tabs>
          <w:tab w:val="clear" w:pos="360"/>
        </w:tabs>
        <w:ind w:left="709" w:firstLine="0"/>
      </w:pPr>
      <w:r>
        <w:t>…………………………………………………………..…………………………….....</w:t>
      </w:r>
    </w:p>
    <w:p w14:paraId="6B40ECFC" w14:textId="77777777" w:rsidR="007B5294" w:rsidRPr="005C4E62" w:rsidRDefault="007B5294" w:rsidP="00E27219">
      <w:pPr>
        <w:pStyle w:val="NumPar2"/>
        <w:numPr>
          <w:ilvl w:val="1"/>
          <w:numId w:val="5"/>
        </w:numPr>
        <w:ind w:left="709" w:hanging="709"/>
      </w:pPr>
      <w:r>
        <w:t>Liostaigh na costais incháilithe a chumhdaítear leis an mbeart cabhrach</w:t>
      </w:r>
      <w:r w:rsidRPr="005C4E62">
        <w:rPr>
          <w:rStyle w:val="FootnoteReference"/>
        </w:rPr>
        <w:footnoteReference w:id="10"/>
      </w:r>
      <w:r>
        <w:t>.</w:t>
      </w:r>
    </w:p>
    <w:p w14:paraId="34D075C9" w14:textId="77777777" w:rsidR="007B5294" w:rsidRPr="005C4E62" w:rsidRDefault="007B5294" w:rsidP="007B5294">
      <w:pPr>
        <w:pStyle w:val="Text2"/>
        <w:tabs>
          <w:tab w:val="clear" w:pos="2161"/>
          <w:tab w:val="left" w:leader="dot" w:pos="9072"/>
        </w:tabs>
        <w:spacing w:before="120" w:after="120"/>
        <w:ind w:left="709"/>
      </w:pPr>
      <w:r>
        <w:tab/>
      </w:r>
    </w:p>
    <w:p w14:paraId="3C436BC6" w14:textId="77777777" w:rsidR="00E0556B" w:rsidRPr="005C4E62" w:rsidRDefault="00E0556B" w:rsidP="00E0556B">
      <w:pPr>
        <w:pStyle w:val="NumPar2"/>
        <w:numPr>
          <w:ilvl w:val="1"/>
          <w:numId w:val="5"/>
        </w:numPr>
        <w:ind w:left="709" w:hanging="709"/>
      </w:pPr>
      <w:r>
        <w:t xml:space="preserve">Léirigh fad uasta an dearbháin </w:t>
      </w:r>
      <w:r>
        <w:br/>
        <w:t>(más ann dó).</w:t>
      </w:r>
    </w:p>
    <w:p w14:paraId="018A56E9" w14:textId="77777777" w:rsidR="00E0556B" w:rsidRPr="005C4E62" w:rsidRDefault="00E0556B" w:rsidP="002E43A3">
      <w:pPr>
        <w:pStyle w:val="Text2"/>
        <w:tabs>
          <w:tab w:val="clear" w:pos="2161"/>
          <w:tab w:val="left" w:leader="dot" w:pos="9072"/>
        </w:tabs>
        <w:spacing w:before="120" w:after="120"/>
        <w:ind w:left="709"/>
      </w:pPr>
      <w:r>
        <w:lastRenderedPageBreak/>
        <w:tab/>
      </w:r>
    </w:p>
    <w:p w14:paraId="3334E32A" w14:textId="77777777" w:rsidR="00237B1B" w:rsidRPr="005C4E62" w:rsidRDefault="00237B1B" w:rsidP="00E27219">
      <w:pPr>
        <w:pStyle w:val="NumPar2"/>
        <w:numPr>
          <w:ilvl w:val="1"/>
          <w:numId w:val="5"/>
        </w:numPr>
        <w:ind w:left="709" w:hanging="709"/>
      </w:pPr>
      <w:r>
        <w:t xml:space="preserve">Cuir in iúl foirm agus méid na ndearbhán, agus sonraigh conas a socraíodh an méid sin agus céatadán chostas an tsíntiúis a chumhdaítear leis an dearbhán. </w:t>
      </w:r>
    </w:p>
    <w:p w14:paraId="0EFB96C8" w14:textId="77777777" w:rsidR="00237B1B" w:rsidRPr="005C4E62" w:rsidRDefault="00237B1B" w:rsidP="00237B1B">
      <w:pPr>
        <w:pStyle w:val="Text2"/>
        <w:tabs>
          <w:tab w:val="clear" w:pos="2161"/>
          <w:tab w:val="left" w:leader="dot" w:pos="9072"/>
        </w:tabs>
        <w:spacing w:before="120" w:after="120"/>
        <w:ind w:left="709"/>
      </w:pPr>
      <w:r>
        <w:tab/>
      </w:r>
    </w:p>
    <w:p w14:paraId="64D43170" w14:textId="77777777" w:rsidR="00E101F1" w:rsidRPr="005C4E62" w:rsidRDefault="00E101F1" w:rsidP="00E27219">
      <w:pPr>
        <w:pStyle w:val="NumPar2"/>
        <w:numPr>
          <w:ilvl w:val="1"/>
          <w:numId w:val="5"/>
        </w:numPr>
        <w:ind w:left="709" w:hanging="709"/>
        <w:rPr>
          <w:iCs/>
        </w:rPr>
      </w:pPr>
      <w:r>
        <w:t>Mínigh má chomhlíonann agus conas a chomhlíonann an beart cabhrach prionsabal na neodrachta teicneolaíche</w:t>
      </w:r>
      <w:r w:rsidRPr="005C4E62">
        <w:rPr>
          <w:rStyle w:val="FootnoteReference"/>
          <w:iCs/>
        </w:rPr>
        <w:footnoteReference w:id="11"/>
      </w:r>
      <w:r>
        <w:t>.</w:t>
      </w:r>
    </w:p>
    <w:p w14:paraId="3B796F6A" w14:textId="77777777" w:rsidR="00E101F1" w:rsidRPr="005C4E62" w:rsidRDefault="00E101F1" w:rsidP="00E101F1">
      <w:pPr>
        <w:pStyle w:val="Text2"/>
        <w:tabs>
          <w:tab w:val="clear" w:pos="2161"/>
          <w:tab w:val="left" w:leader="dot" w:pos="9072"/>
        </w:tabs>
        <w:spacing w:before="120" w:after="120"/>
        <w:ind w:left="709"/>
      </w:pPr>
      <w:r>
        <w:tab/>
      </w:r>
    </w:p>
    <w:p w14:paraId="3CB40FDF" w14:textId="77777777" w:rsidR="00C90B4D" w:rsidRPr="005C4E62" w:rsidRDefault="00C90B4D" w:rsidP="00C90B4D">
      <w:pPr>
        <w:pStyle w:val="NumPar2"/>
        <w:numPr>
          <w:ilvl w:val="1"/>
          <w:numId w:val="5"/>
        </w:numPr>
        <w:ind w:left="709" w:hanging="709"/>
        <w:rPr>
          <w:iCs/>
        </w:rPr>
      </w:pPr>
      <w:r>
        <w:t>Chun a léiriú go n-áirithítear leis an mbeart cabhrach go gcaithfear le gach soláthraí seirbhíse féideartha go cothrom agus go dtairgfear an rogha is leithne is féidir de sholáthraithe do thomhaltóirí freisin</w:t>
      </w:r>
      <w:r w:rsidR="00E101F1" w:rsidRPr="005C4E62">
        <w:rPr>
          <w:rStyle w:val="FootnoteReference"/>
          <w:iCs/>
        </w:rPr>
        <w:footnoteReference w:id="12"/>
      </w:r>
      <w:r>
        <w:t>, deimhnigh an méid seo a leanas (agus tabhair sonraí ábhartha)</w:t>
      </w:r>
      <w:r w:rsidRPr="005C4E62">
        <w:rPr>
          <w:rStyle w:val="FootnoteReference"/>
        </w:rPr>
        <w:footnoteReference w:id="13"/>
      </w:r>
      <w:r>
        <w:t xml:space="preserve">: </w:t>
      </w:r>
    </w:p>
    <w:p w14:paraId="62D1BA19" w14:textId="77777777" w:rsidR="00C90B4D" w:rsidRPr="005C4E62" w:rsidRDefault="00C90B4D" w:rsidP="00C90B4D">
      <w:pPr>
        <w:pStyle w:val="NumPar2"/>
        <w:numPr>
          <w:ilvl w:val="4"/>
          <w:numId w:val="1"/>
        </w:numPr>
        <w:tabs>
          <w:tab w:val="clear" w:pos="1800"/>
        </w:tabs>
        <w:ind w:left="1418" w:hanging="709"/>
      </w:pPr>
      <w:r>
        <w:t>Cuirfear clárlann ar líne de gach soláthraí seirbhíse incháilithe (nó ardán malartach coibhéiseach) chun feidhme.</w:t>
      </w:r>
    </w:p>
    <w:p w14:paraId="22DD33FD" w14:textId="77777777" w:rsidR="00C90B4D" w:rsidRPr="005C4E62" w:rsidRDefault="00C90B4D" w:rsidP="00C90B4D">
      <w:pPr>
        <w:pStyle w:val="Text2"/>
        <w:tabs>
          <w:tab w:val="clear" w:pos="2161"/>
          <w:tab w:val="left" w:leader="dot" w:pos="9072"/>
        </w:tabs>
        <w:spacing w:before="120" w:after="120"/>
        <w:ind w:left="709"/>
      </w:pPr>
      <w:r>
        <w:tab/>
      </w:r>
    </w:p>
    <w:p w14:paraId="1B2041C3" w14:textId="77777777" w:rsidR="00C90B4D" w:rsidRPr="005C4E62" w:rsidRDefault="00C90B4D" w:rsidP="00C90B4D">
      <w:pPr>
        <w:pStyle w:val="NumPar2"/>
        <w:numPr>
          <w:ilvl w:val="4"/>
          <w:numId w:val="1"/>
        </w:numPr>
        <w:tabs>
          <w:tab w:val="clear" w:pos="1800"/>
        </w:tabs>
        <w:ind w:left="1418" w:hanging="709"/>
      </w:pPr>
      <w:r>
        <w:t xml:space="preserve">Tá saorchead ag tomhaltóirí dul i gcomhairle leis an gclárlann. </w:t>
      </w:r>
    </w:p>
    <w:p w14:paraId="3F8788F1" w14:textId="77777777" w:rsidR="00C90B4D" w:rsidRPr="005C4E62" w:rsidRDefault="00C90B4D" w:rsidP="00C90B4D">
      <w:pPr>
        <w:pStyle w:val="Text2"/>
        <w:tabs>
          <w:tab w:val="clear" w:pos="2161"/>
          <w:tab w:val="left" w:leader="dot" w:pos="9072"/>
        </w:tabs>
        <w:spacing w:before="120" w:after="120"/>
        <w:ind w:left="709"/>
      </w:pPr>
      <w:r>
        <w:tab/>
      </w:r>
    </w:p>
    <w:p w14:paraId="4D9D5ABE" w14:textId="77777777" w:rsidR="00C90B4D" w:rsidRPr="005C4E62" w:rsidRDefault="00C90B4D" w:rsidP="00C90B4D">
      <w:pPr>
        <w:pStyle w:val="NumPar2"/>
        <w:numPr>
          <w:ilvl w:val="4"/>
          <w:numId w:val="1"/>
        </w:numPr>
        <w:tabs>
          <w:tab w:val="clear" w:pos="1800"/>
        </w:tabs>
        <w:ind w:left="1418" w:hanging="709"/>
      </w:pPr>
      <w:r>
        <w:t>Féadfaidh gach gnóthas atá in ann na seirbhísí leathanbhanda incháilithe a sholáthar a iarraidh go gcuirfear é san áireamh sa chlárlann (nó ar an ardán malartach a roghnófar).</w:t>
      </w:r>
    </w:p>
    <w:p w14:paraId="28AF1905" w14:textId="77777777" w:rsidR="00E101F1" w:rsidRPr="005C4E62" w:rsidRDefault="00C90B4D" w:rsidP="00C90B4D">
      <w:pPr>
        <w:pStyle w:val="Text2"/>
        <w:tabs>
          <w:tab w:val="clear" w:pos="2161"/>
          <w:tab w:val="left" w:leader="dot" w:pos="9072"/>
        </w:tabs>
        <w:spacing w:before="120" w:after="120"/>
        <w:ind w:left="709"/>
      </w:pPr>
      <w:r>
        <w:tab/>
        <w:t xml:space="preserve"> </w:t>
      </w:r>
    </w:p>
    <w:p w14:paraId="605FA12B" w14:textId="77777777" w:rsidR="00C90B4D" w:rsidRPr="005C4E62" w:rsidRDefault="00C90B4D" w:rsidP="00C90B4D">
      <w:pPr>
        <w:pStyle w:val="NumPar2"/>
        <w:numPr>
          <w:ilvl w:val="4"/>
          <w:numId w:val="1"/>
        </w:numPr>
        <w:tabs>
          <w:tab w:val="clear" w:pos="1800"/>
        </w:tabs>
        <w:ind w:left="1418" w:hanging="709"/>
      </w:pPr>
      <w:r>
        <w:t>Soláthraítear faisnéis bhreise leis an gclárlann (nó leis an ardán malartach a roghnaítear) chun cuidiú le tomhaltóirí (</w:t>
      </w:r>
      <w:r>
        <w:rPr>
          <w:i/>
        </w:rPr>
        <w:t>e.g.</w:t>
      </w:r>
      <w:r>
        <w:t xml:space="preserve"> cineál na seirbhísí a sholáthraíonn gnóthais éagsúla, etc.). Más ann di, léirigh an fhaisnéis bhreise a cuireadh ar fáil.</w:t>
      </w:r>
    </w:p>
    <w:p w14:paraId="4FB6CBFB" w14:textId="77777777" w:rsidR="00E101F1" w:rsidRPr="005C4E62" w:rsidRDefault="00E101F1" w:rsidP="00E101F1">
      <w:pPr>
        <w:pStyle w:val="Text2"/>
        <w:tabs>
          <w:tab w:val="clear" w:pos="2161"/>
          <w:tab w:val="left" w:leader="dot" w:pos="9072"/>
        </w:tabs>
        <w:spacing w:before="120" w:after="120"/>
        <w:ind w:left="709"/>
      </w:pPr>
      <w:r>
        <w:tab/>
      </w:r>
    </w:p>
    <w:p w14:paraId="32BC4276" w14:textId="77777777" w:rsidR="00D1408F" w:rsidRPr="005C4E62" w:rsidRDefault="00D1408F" w:rsidP="009A1814">
      <w:pPr>
        <w:pStyle w:val="NumPar2"/>
        <w:numPr>
          <w:ilvl w:val="1"/>
          <w:numId w:val="5"/>
        </w:numPr>
        <w:ind w:left="709" w:hanging="709"/>
      </w:pPr>
      <w:r>
        <w:t>Mínigh go mionsonraithe nós imeachta cur chun feidhme an bhirt cabhrach.</w:t>
      </w:r>
    </w:p>
    <w:p w14:paraId="7B4E8061" w14:textId="77777777" w:rsidR="00D1408F" w:rsidRPr="005C4E62" w:rsidRDefault="00D1408F" w:rsidP="00D1408F">
      <w:pPr>
        <w:pStyle w:val="Text2"/>
        <w:tabs>
          <w:tab w:val="clear" w:pos="2161"/>
          <w:tab w:val="left" w:leader="dot" w:pos="9072"/>
        </w:tabs>
        <w:spacing w:before="120" w:after="120"/>
        <w:ind w:left="709"/>
      </w:pPr>
      <w:r>
        <w:tab/>
      </w:r>
    </w:p>
    <w:p w14:paraId="0DA00F70" w14:textId="77777777" w:rsidR="00D1408F" w:rsidRPr="005C4E62" w:rsidRDefault="00D1408F" w:rsidP="009A1814">
      <w:pPr>
        <w:pStyle w:val="NumPar2"/>
        <w:numPr>
          <w:ilvl w:val="1"/>
          <w:numId w:val="5"/>
        </w:numPr>
        <w:ind w:left="709" w:hanging="709"/>
      </w:pPr>
      <w:r>
        <w:t>Comhairliúchán poiblí</w:t>
      </w:r>
      <w:r w:rsidRPr="005C4E62">
        <w:rPr>
          <w:rStyle w:val="FootnoteReference"/>
        </w:rPr>
        <w:footnoteReference w:id="14"/>
      </w:r>
      <w:r>
        <w:t>. Tabhair an fhaisnéis seo a leanas:</w:t>
      </w:r>
    </w:p>
    <w:p w14:paraId="507CFB73"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Dáta tosaithe agus deiridh gach comhairliúcháin phoiblí a rinneadh. </w:t>
      </w:r>
    </w:p>
    <w:p w14:paraId="65C75AB8" w14:textId="77777777" w:rsidR="00D1408F" w:rsidRPr="005C4E62" w:rsidRDefault="00D1408F" w:rsidP="00D1408F">
      <w:pPr>
        <w:pStyle w:val="Text2"/>
        <w:tabs>
          <w:tab w:val="clear" w:pos="2161"/>
          <w:tab w:val="left" w:leader="dot" w:pos="9072"/>
        </w:tabs>
        <w:spacing w:before="120" w:after="120"/>
        <w:ind w:left="709"/>
      </w:pPr>
      <w:r>
        <w:tab/>
      </w:r>
    </w:p>
    <w:p w14:paraId="2BF02CEC"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Ábhar gach comhairliúcháin phoiblí. </w:t>
      </w:r>
    </w:p>
    <w:p w14:paraId="37F818AD" w14:textId="77777777" w:rsidR="00D1408F" w:rsidRPr="005C4E62" w:rsidRDefault="00D1408F" w:rsidP="00D1408F">
      <w:pPr>
        <w:pStyle w:val="Text2"/>
        <w:tabs>
          <w:tab w:val="clear" w:pos="2161"/>
          <w:tab w:val="left" w:leader="dot" w:pos="9072"/>
        </w:tabs>
        <w:spacing w:before="120" w:after="120"/>
        <w:ind w:left="709"/>
      </w:pPr>
      <w:r>
        <w:tab/>
      </w:r>
    </w:p>
    <w:p w14:paraId="43D76E81" w14:textId="77777777" w:rsidR="00D1408F" w:rsidRPr="005C4E62" w:rsidRDefault="00D1408F" w:rsidP="00D46D21">
      <w:pPr>
        <w:pStyle w:val="Text2"/>
        <w:numPr>
          <w:ilvl w:val="4"/>
          <w:numId w:val="10"/>
        </w:numPr>
        <w:tabs>
          <w:tab w:val="clear" w:pos="1800"/>
          <w:tab w:val="clear" w:pos="2161"/>
        </w:tabs>
        <w:spacing w:after="120"/>
        <w:ind w:left="1418" w:hanging="709"/>
      </w:pPr>
      <w:r>
        <w:t>Suíomh Idirlín atá inrochtana go poiblí (ar an leibhéal réigiúnach agus/nó náisiúnta) inar foilsíodh an comhairliúchán.</w:t>
      </w:r>
    </w:p>
    <w:p w14:paraId="3AB7138B" w14:textId="77777777" w:rsidR="00D1408F" w:rsidRPr="005C4E62" w:rsidRDefault="00D1408F" w:rsidP="00D1408F">
      <w:pPr>
        <w:pStyle w:val="Text2"/>
        <w:tabs>
          <w:tab w:val="clear" w:pos="2161"/>
          <w:tab w:val="left" w:leader="dot" w:pos="9072"/>
        </w:tabs>
        <w:spacing w:before="120" w:after="120"/>
        <w:ind w:left="709"/>
      </w:pPr>
      <w:r>
        <w:tab/>
      </w:r>
    </w:p>
    <w:p w14:paraId="1C759CAE" w14:textId="77777777" w:rsidR="00D1408F" w:rsidRPr="005C4E62" w:rsidRDefault="00D1408F" w:rsidP="00D46D21">
      <w:pPr>
        <w:pStyle w:val="Text2"/>
        <w:numPr>
          <w:ilvl w:val="4"/>
          <w:numId w:val="10"/>
        </w:numPr>
        <w:tabs>
          <w:tab w:val="clear" w:pos="1800"/>
          <w:tab w:val="clear" w:pos="2161"/>
        </w:tabs>
        <w:spacing w:after="120"/>
        <w:ind w:left="1418" w:hanging="709"/>
      </w:pPr>
      <w:r>
        <w:lastRenderedPageBreak/>
        <w:t>Achoimre ar na príomhbharúlacha a chuir rannpháirtithe isteach i ngach comhairliúchán poiblí, agus sonraigh conas ar tugadh aghaidh orthu.</w:t>
      </w:r>
    </w:p>
    <w:p w14:paraId="6708893D" w14:textId="77777777" w:rsidR="00D1408F" w:rsidRPr="005C4E62" w:rsidRDefault="00D1408F" w:rsidP="00D1408F">
      <w:pPr>
        <w:pStyle w:val="Text2"/>
        <w:tabs>
          <w:tab w:val="clear" w:pos="2161"/>
          <w:tab w:val="left" w:leader="dot" w:pos="9072"/>
        </w:tabs>
        <w:spacing w:before="120" w:after="120"/>
        <w:ind w:left="709"/>
      </w:pPr>
      <w:r>
        <w:tab/>
      </w:r>
    </w:p>
    <w:p w14:paraId="4D85D4AF" w14:textId="77777777" w:rsidR="00D1408F" w:rsidRPr="005C4E62" w:rsidRDefault="00D1408F" w:rsidP="009A1814">
      <w:pPr>
        <w:pStyle w:val="NumPar2"/>
        <w:numPr>
          <w:ilvl w:val="1"/>
          <w:numId w:val="5"/>
        </w:numPr>
        <w:ind w:left="709" w:hanging="709"/>
      </w:pPr>
      <w:r>
        <w:t>Léirigh cé acu a chuirfear nó nach gcuirfear coimircí breise chun feidhme chun mí‑úsáid fhéideartha na ndearbhán sóisialta a sheachaint. Más fíor sin , tabhair sonraí</w:t>
      </w:r>
      <w:r w:rsidRPr="005C4E62">
        <w:rPr>
          <w:rStyle w:val="FootnoteReference"/>
        </w:rPr>
        <w:footnoteReference w:id="15"/>
      </w:r>
      <w:r>
        <w:t>.</w:t>
      </w:r>
    </w:p>
    <w:p w14:paraId="223D0A27" w14:textId="77777777" w:rsidR="00D1408F" w:rsidRPr="005C4E62" w:rsidRDefault="00D1408F" w:rsidP="00D1408F">
      <w:pPr>
        <w:pStyle w:val="Text2"/>
        <w:tabs>
          <w:tab w:val="clear" w:pos="2161"/>
          <w:tab w:val="left" w:leader="dot" w:pos="9072"/>
        </w:tabs>
        <w:spacing w:before="120" w:after="120"/>
        <w:ind w:left="709"/>
      </w:pPr>
      <w:r>
        <w:tab/>
      </w:r>
    </w:p>
    <w:p w14:paraId="1ABB4613" w14:textId="77777777" w:rsidR="00D1408F" w:rsidRPr="005C4E62" w:rsidRDefault="00D1408F" w:rsidP="009A1814">
      <w:pPr>
        <w:pStyle w:val="NumPar2"/>
        <w:numPr>
          <w:ilvl w:val="1"/>
          <w:numId w:val="5"/>
        </w:numPr>
        <w:ind w:left="709" w:hanging="709"/>
      </w:pPr>
      <w:r>
        <w:t xml:space="preserve">Léirigh cé acu a fhoráiltear leis an mbeart cabhrach do rialacha sonracha maidir le bainistiú an tsíntiúis, maidir le, </w:t>
      </w:r>
      <w:r>
        <w:rPr>
          <w:i/>
        </w:rPr>
        <w:t>inter alia</w:t>
      </w:r>
      <w:r>
        <w:t>, luathfhoirceannadh an tsíntiúis, an fhéidearthacht an síntiús a aistriú chuig soláthraí eile le linn na tréimhse a chumhdaítear leis an dearbhán (más amhlaidh atá, cad iad na coinníollacha atá i gceist leis sin), leanúint den síntiús tar éis don dearbhán dul in éag. Má fhoráiltear, tabhair sonraí.</w:t>
      </w:r>
    </w:p>
    <w:p w14:paraId="1D7BFA75"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25AB29ED" w14:textId="77777777" w:rsidTr="00796043">
        <w:tc>
          <w:tcPr>
            <w:tcW w:w="9286" w:type="dxa"/>
            <w:shd w:val="clear" w:color="auto" w:fill="D9D9D9"/>
          </w:tcPr>
          <w:p w14:paraId="38440CC8"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Dearbháin nascachta</w:t>
            </w:r>
          </w:p>
        </w:tc>
      </w:tr>
    </w:tbl>
    <w:p w14:paraId="327437B3" w14:textId="77777777" w:rsidR="004D559F" w:rsidRPr="005C4E62" w:rsidRDefault="004D559F" w:rsidP="00450B69">
      <w:pPr>
        <w:pStyle w:val="NumPar2"/>
        <w:numPr>
          <w:ilvl w:val="1"/>
          <w:numId w:val="41"/>
        </w:numPr>
        <w:ind w:left="709" w:hanging="709"/>
      </w:pPr>
      <w:r>
        <w:t>Léirigh an cineál úsáideora deiridh ar a ndírítear leis an mbeart.</w:t>
      </w:r>
    </w:p>
    <w:p w14:paraId="2F899642"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Tomhaltóirí  </w:t>
      </w:r>
      <w:r>
        <w:tab/>
      </w:r>
      <w:r>
        <w:tab/>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Gnólachtaí  </w:t>
      </w:r>
    </w:p>
    <w:p w14:paraId="4C563FB6" w14:textId="77777777" w:rsidR="009A1814" w:rsidRPr="005C4E62" w:rsidRDefault="009A1814" w:rsidP="009A1814">
      <w:pPr>
        <w:pStyle w:val="NumPar2"/>
        <w:numPr>
          <w:ilvl w:val="1"/>
          <w:numId w:val="41"/>
        </w:numPr>
        <w:ind w:left="709" w:hanging="709"/>
      </w:pPr>
      <w:r>
        <w:t xml:space="preserve">Mínigh na coinníollacha incháilitheachta d’úsáideoirí deiridh chun dearbháin nascachta a fháil. </w:t>
      </w:r>
    </w:p>
    <w:p w14:paraId="23D70BE0" w14:textId="77777777" w:rsidR="009A1814" w:rsidRPr="005C4E62" w:rsidRDefault="009A1814" w:rsidP="009A1814">
      <w:pPr>
        <w:pStyle w:val="Text2"/>
        <w:tabs>
          <w:tab w:val="clear" w:pos="2161"/>
          <w:tab w:val="left" w:leader="dot" w:pos="9072"/>
        </w:tabs>
        <w:spacing w:before="120" w:after="120"/>
        <w:ind w:left="709"/>
      </w:pPr>
      <w:r>
        <w:tab/>
      </w:r>
    </w:p>
    <w:p w14:paraId="0BEF534A" w14:textId="77777777" w:rsidR="009A1814" w:rsidRPr="005C4E62" w:rsidRDefault="009A1814" w:rsidP="009A1814">
      <w:pPr>
        <w:pStyle w:val="NumPar2"/>
        <w:numPr>
          <w:ilvl w:val="1"/>
          <w:numId w:val="41"/>
        </w:numPr>
        <w:ind w:left="709" w:hanging="709"/>
      </w:pPr>
      <w:r>
        <w:t>Soláthair meastachán ar líon na n-úsáideoirí deiridh a d’fhéadfadh leas a bhaint as an mbeart cabhrach.</w:t>
      </w:r>
    </w:p>
    <w:p w14:paraId="775AF939" w14:textId="77777777" w:rsidR="009A1814" w:rsidRPr="005C4E62" w:rsidRDefault="009A1814" w:rsidP="009A1814">
      <w:pPr>
        <w:pStyle w:val="Text2"/>
        <w:tabs>
          <w:tab w:val="clear" w:pos="2161"/>
          <w:tab w:val="left" w:leader="dot" w:pos="9072"/>
        </w:tabs>
        <w:spacing w:before="120" w:after="120"/>
        <w:ind w:left="709"/>
      </w:pPr>
      <w:r>
        <w:tab/>
      </w:r>
    </w:p>
    <w:p w14:paraId="7817FA83" w14:textId="77777777" w:rsidR="00710B4A" w:rsidRPr="005C4E62" w:rsidRDefault="00710B4A" w:rsidP="00710B4A">
      <w:pPr>
        <w:pStyle w:val="NumPar2"/>
        <w:numPr>
          <w:ilvl w:val="1"/>
          <w:numId w:val="41"/>
        </w:numPr>
        <w:ind w:left="709" w:hanging="709"/>
      </w:pPr>
      <w:r>
        <w:t>Cuir in iúl na soláthraithe seirbhíse incháilithe.</w:t>
      </w:r>
    </w:p>
    <w:p w14:paraId="4AF268B4" w14:textId="77777777" w:rsidR="00710B4A" w:rsidRPr="005C4E62" w:rsidRDefault="00710B4A" w:rsidP="00710B4A">
      <w:pPr>
        <w:pStyle w:val="Text2"/>
        <w:tabs>
          <w:tab w:val="clear" w:pos="2161"/>
          <w:tab w:val="left" w:leader="dot" w:pos="9072"/>
        </w:tabs>
        <w:spacing w:before="120" w:after="120"/>
        <w:ind w:left="709"/>
      </w:pPr>
      <w:r>
        <w:tab/>
      </w:r>
    </w:p>
    <w:p w14:paraId="50A797A2" w14:textId="77777777" w:rsidR="009A1814" w:rsidRPr="005C4E62" w:rsidRDefault="009A1814" w:rsidP="009A1814">
      <w:pPr>
        <w:pStyle w:val="NumPar2"/>
        <w:numPr>
          <w:ilvl w:val="1"/>
          <w:numId w:val="41"/>
        </w:numPr>
        <w:ind w:left="709" w:hanging="709"/>
      </w:pPr>
      <w:r>
        <w:t>Sonraigh na seirbhísí incháilithe a chumhdaítear leis an mbeart cabhrach (</w:t>
      </w:r>
      <w:r>
        <w:rPr>
          <w:i/>
        </w:rPr>
        <w:t>e.g.</w:t>
      </w:r>
      <w:r>
        <w:t xml:space="preserve"> maidir le luas íoslódála, luas uaslódála, etc.) agus mínigh conas a shainaithin d’údaráis na seirbhísí sin. Maidir leis sin, sonraigh riachtanais úsáideoirí deiridh ar féidir aghaidh a thabhairt orthu trí naisc a sholáthraíonn na seirbhísí incháilithe, agus cuir fianaise thacaíochta infhíoraithe isteach ina leith sin (</w:t>
      </w:r>
      <w:r>
        <w:rPr>
          <w:i/>
        </w:rPr>
        <w:t>e.g.</w:t>
      </w:r>
      <w:r>
        <w:t xml:space="preserve"> suirbhéanna ar thomhaltóirí, staidéir neamhspleácha)</w:t>
      </w:r>
      <w:r w:rsidR="00F47AC0" w:rsidRPr="005C4E62">
        <w:rPr>
          <w:rStyle w:val="FootnoteReference"/>
        </w:rPr>
        <w:footnoteReference w:id="16"/>
      </w:r>
      <w:r>
        <w:t>.</w:t>
      </w:r>
    </w:p>
    <w:p w14:paraId="4870FE50" w14:textId="77777777" w:rsidR="009A1814" w:rsidRPr="005C4E62" w:rsidRDefault="009A1814" w:rsidP="009A1814">
      <w:pPr>
        <w:pStyle w:val="Text2"/>
        <w:tabs>
          <w:tab w:val="clear" w:pos="2161"/>
          <w:tab w:val="left" w:leader="dot" w:pos="9072"/>
        </w:tabs>
        <w:spacing w:before="120" w:after="120"/>
        <w:ind w:left="709"/>
      </w:pPr>
      <w:r>
        <w:tab/>
      </w:r>
    </w:p>
    <w:p w14:paraId="31D92273" w14:textId="77777777" w:rsidR="00710B4A" w:rsidRPr="005C4E62" w:rsidRDefault="00710B4A" w:rsidP="009A1814">
      <w:pPr>
        <w:pStyle w:val="NumPar2"/>
        <w:numPr>
          <w:ilvl w:val="1"/>
          <w:numId w:val="41"/>
        </w:numPr>
        <w:ind w:left="709" w:hanging="709"/>
      </w:pPr>
      <w:r>
        <w:t>Sonraigh conas a úsáidfear na dearbháin agus tabhair sonraí sonracha. Ina theannta sin, deimhnigh nach féidir na dearbháin a úsáid chun síntiúis atá acu cheana a choinneáil</w:t>
      </w:r>
      <w:r w:rsidR="00F47AC0" w:rsidRPr="005C4E62">
        <w:rPr>
          <w:rStyle w:val="FootnoteReference"/>
        </w:rPr>
        <w:footnoteReference w:id="17"/>
      </w:r>
      <w:r>
        <w:t>.</w:t>
      </w:r>
    </w:p>
    <w:p w14:paraId="720B5204"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Síntiús le seirbhísí leathanbhanda nua. Sonraí:</w:t>
      </w:r>
    </w:p>
    <w:p w14:paraId="37566528" w14:textId="77777777" w:rsidR="00042ACA" w:rsidRPr="005C4E62" w:rsidRDefault="00042ACA" w:rsidP="00042ACA">
      <w:pPr>
        <w:pStyle w:val="NumPar2"/>
        <w:tabs>
          <w:tab w:val="clear" w:pos="360"/>
        </w:tabs>
        <w:ind w:left="709" w:firstLine="0"/>
      </w:pPr>
      <w:r>
        <w:t xml:space="preserve">………………………………………………………………………………………….. </w:t>
      </w:r>
    </w:p>
    <w:p w14:paraId="08737332" w14:textId="77777777" w:rsidR="00042ACA" w:rsidRPr="005C4E62" w:rsidRDefault="00042ACA" w:rsidP="00042ACA">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Síntiúis atá acu cheana a uasghrádú. Sonraí: </w:t>
      </w:r>
    </w:p>
    <w:p w14:paraId="5016F977" w14:textId="77777777" w:rsidR="00042ACA" w:rsidRPr="005C4E62" w:rsidRDefault="00042ACA" w:rsidP="00042ACA">
      <w:pPr>
        <w:pStyle w:val="NumPar2"/>
        <w:tabs>
          <w:tab w:val="clear" w:pos="360"/>
        </w:tabs>
        <w:ind w:left="709" w:firstLine="0"/>
      </w:pPr>
      <w:r>
        <w:t>…………………………………………………………………………………………...</w:t>
      </w:r>
    </w:p>
    <w:p w14:paraId="1C6D1BD4"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Deimhniú nach féidir na dearbháin a úsáid chun síntiúis atá acu cheana a choinneáil. Sonraí:</w:t>
      </w:r>
    </w:p>
    <w:p w14:paraId="20D16670" w14:textId="77777777" w:rsidR="00710B4A" w:rsidRPr="005C4E62" w:rsidRDefault="00710B4A" w:rsidP="00710B4A">
      <w:pPr>
        <w:pStyle w:val="Text2"/>
        <w:tabs>
          <w:tab w:val="clear" w:pos="2161"/>
          <w:tab w:val="left" w:leader="dot" w:pos="9072"/>
        </w:tabs>
        <w:spacing w:before="120" w:after="120"/>
        <w:ind w:left="709"/>
      </w:pPr>
      <w:r>
        <w:tab/>
      </w:r>
    </w:p>
    <w:p w14:paraId="1C53A909" w14:textId="77777777" w:rsidR="009A1814" w:rsidRPr="005C4E62" w:rsidRDefault="009A1814" w:rsidP="009A1814">
      <w:pPr>
        <w:pStyle w:val="NumPar2"/>
        <w:numPr>
          <w:ilvl w:val="1"/>
          <w:numId w:val="41"/>
        </w:numPr>
        <w:ind w:left="709" w:hanging="709"/>
      </w:pPr>
      <w:r>
        <w:t>Liostaigh na costais incháilithe a chumhdaítear leis an mbeart cabhrach</w:t>
      </w:r>
      <w:r w:rsidR="00F47AC0" w:rsidRPr="005C4E62">
        <w:rPr>
          <w:rStyle w:val="FootnoteReference"/>
        </w:rPr>
        <w:footnoteReference w:id="18"/>
      </w:r>
      <w:r>
        <w:t>.</w:t>
      </w:r>
    </w:p>
    <w:p w14:paraId="508889A6" w14:textId="77777777" w:rsidR="00E0556B" w:rsidRPr="005C4E62" w:rsidRDefault="00E0556B" w:rsidP="00450B69">
      <w:pPr>
        <w:pStyle w:val="Text2"/>
        <w:tabs>
          <w:tab w:val="clear" w:pos="2161"/>
          <w:tab w:val="left" w:leader="dot" w:pos="9072"/>
        </w:tabs>
        <w:spacing w:before="120" w:after="120"/>
        <w:ind w:left="709"/>
      </w:pPr>
      <w:r>
        <w:tab/>
      </w:r>
    </w:p>
    <w:p w14:paraId="211574CE" w14:textId="77777777" w:rsidR="009A1814" w:rsidRPr="005C4E62" w:rsidRDefault="009A1814" w:rsidP="009A1814">
      <w:pPr>
        <w:pStyle w:val="NumPar2"/>
        <w:numPr>
          <w:ilvl w:val="1"/>
          <w:numId w:val="41"/>
        </w:numPr>
        <w:ind w:left="709" w:hanging="709"/>
      </w:pPr>
      <w:r>
        <w:t>Cuir in iúl foirm agus méid na ndearbhán, agus sonraigh conas a socraíodh an méid sin agus céatadán chostas an tsíntiúis a chumhdaítear leis an dearbhán)</w:t>
      </w:r>
      <w:r w:rsidR="00F47AC0" w:rsidRPr="005C4E62">
        <w:rPr>
          <w:rStyle w:val="FootnoteReference"/>
        </w:rPr>
        <w:footnoteReference w:id="19"/>
      </w:r>
      <w:r>
        <w:t xml:space="preserve">. </w:t>
      </w:r>
    </w:p>
    <w:p w14:paraId="4F2ED1F6" w14:textId="77777777" w:rsidR="009A1814" w:rsidRPr="005C4E62" w:rsidRDefault="009A1814" w:rsidP="009A1814">
      <w:pPr>
        <w:pStyle w:val="Text2"/>
        <w:tabs>
          <w:tab w:val="clear" w:pos="2161"/>
          <w:tab w:val="left" w:leader="dot" w:pos="9072"/>
        </w:tabs>
        <w:spacing w:before="120" w:after="120"/>
        <w:ind w:left="709"/>
      </w:pPr>
      <w:r>
        <w:tab/>
      </w:r>
    </w:p>
    <w:p w14:paraId="52399D03" w14:textId="77777777" w:rsidR="009A1814" w:rsidRPr="005C4E62" w:rsidRDefault="009A1814" w:rsidP="009A1814">
      <w:pPr>
        <w:pStyle w:val="NumPar2"/>
        <w:numPr>
          <w:ilvl w:val="1"/>
          <w:numId w:val="41"/>
        </w:numPr>
        <w:ind w:left="709" w:hanging="709"/>
        <w:rPr>
          <w:iCs/>
        </w:rPr>
      </w:pPr>
      <w:r>
        <w:t>Mínigh má chomhlíonann agus conas a chomhlíonann an beart cabhrach prionsabal na neodrachta teicneolaíche</w:t>
      </w:r>
      <w:r w:rsidR="00F47AC0" w:rsidRPr="005C4E62">
        <w:rPr>
          <w:rStyle w:val="FootnoteReference"/>
          <w:iCs/>
        </w:rPr>
        <w:footnoteReference w:id="20"/>
      </w:r>
      <w:r>
        <w:t>.</w:t>
      </w:r>
    </w:p>
    <w:p w14:paraId="07496358" w14:textId="77777777" w:rsidR="009A1814" w:rsidRPr="005C4E62" w:rsidRDefault="009A1814" w:rsidP="009A1814">
      <w:pPr>
        <w:pStyle w:val="Text2"/>
        <w:tabs>
          <w:tab w:val="clear" w:pos="2161"/>
          <w:tab w:val="left" w:leader="dot" w:pos="9072"/>
        </w:tabs>
        <w:spacing w:before="120" w:after="120"/>
        <w:ind w:left="709"/>
      </w:pPr>
      <w:r>
        <w:tab/>
      </w:r>
    </w:p>
    <w:p w14:paraId="2574E5FC" w14:textId="77777777" w:rsidR="009A1814" w:rsidRPr="005C4E62" w:rsidRDefault="009A1814" w:rsidP="009A1814">
      <w:pPr>
        <w:pStyle w:val="NumPar2"/>
        <w:numPr>
          <w:ilvl w:val="1"/>
          <w:numId w:val="41"/>
        </w:numPr>
        <w:ind w:left="709" w:hanging="709"/>
        <w:rPr>
          <w:iCs/>
        </w:rPr>
      </w:pPr>
      <w:r>
        <w:t>Chun a léiriú go n-áirithítear leis an mbeart cabhrach go gcaithfear le gach soláthraí seirbhíse féideartha go cothrom agus go dtairgfear an rogha is leithne is féidir de sholáthraithe do thomhaltóirí freisin, deimhnigh an méid seo a leanas (agus tabhair sonraí ábhartha)</w:t>
      </w:r>
      <w:r w:rsidR="00F47AC0" w:rsidRPr="005C4E62">
        <w:rPr>
          <w:rStyle w:val="FootnoteReference"/>
        </w:rPr>
        <w:footnoteReference w:id="21"/>
      </w:r>
      <w:r>
        <w:t xml:space="preserve">: </w:t>
      </w:r>
    </w:p>
    <w:p w14:paraId="10A7C52C" w14:textId="77777777" w:rsidR="009A1814" w:rsidRPr="005C4E62" w:rsidRDefault="009A1814" w:rsidP="004C1C63">
      <w:pPr>
        <w:pStyle w:val="NumPar2"/>
        <w:numPr>
          <w:ilvl w:val="4"/>
          <w:numId w:val="42"/>
        </w:numPr>
        <w:tabs>
          <w:tab w:val="clear" w:pos="1800"/>
        </w:tabs>
        <w:ind w:left="1418" w:hanging="709"/>
      </w:pPr>
      <w:r>
        <w:t>Cuirfear clárlann ar líne de gach soláthraí seirbhíse incháilithe (nó ardán malartach coibhéiseach) chun feidhme.</w:t>
      </w:r>
    </w:p>
    <w:p w14:paraId="0F43ED8C" w14:textId="77777777" w:rsidR="009A1814" w:rsidRPr="005C4E62" w:rsidRDefault="009A1814" w:rsidP="009A1814">
      <w:pPr>
        <w:pStyle w:val="Text2"/>
        <w:tabs>
          <w:tab w:val="clear" w:pos="2161"/>
          <w:tab w:val="left" w:leader="dot" w:pos="9072"/>
        </w:tabs>
        <w:spacing w:before="120" w:after="120"/>
        <w:ind w:left="709"/>
      </w:pPr>
      <w:r>
        <w:tab/>
      </w:r>
    </w:p>
    <w:p w14:paraId="3BFCCF0E" w14:textId="77777777" w:rsidR="009A1814" w:rsidRPr="005C4E62" w:rsidRDefault="009A1814" w:rsidP="004C1C63">
      <w:pPr>
        <w:pStyle w:val="NumPar2"/>
        <w:numPr>
          <w:ilvl w:val="4"/>
          <w:numId w:val="42"/>
        </w:numPr>
        <w:tabs>
          <w:tab w:val="clear" w:pos="1800"/>
        </w:tabs>
        <w:ind w:left="1418" w:hanging="709"/>
      </w:pPr>
      <w:r>
        <w:t xml:space="preserve">Tá saorchead ag tomhaltóirí dul i gcomhairle leis an gclárlann. </w:t>
      </w:r>
    </w:p>
    <w:p w14:paraId="6CA01297" w14:textId="77777777" w:rsidR="009A1814" w:rsidRPr="005C4E62" w:rsidRDefault="009A1814" w:rsidP="009A1814">
      <w:pPr>
        <w:pStyle w:val="Text2"/>
        <w:tabs>
          <w:tab w:val="clear" w:pos="2161"/>
          <w:tab w:val="left" w:leader="dot" w:pos="9072"/>
        </w:tabs>
        <w:spacing w:before="120" w:after="120"/>
        <w:ind w:left="709"/>
      </w:pPr>
      <w:r>
        <w:tab/>
      </w:r>
    </w:p>
    <w:p w14:paraId="53F62822" w14:textId="77777777" w:rsidR="009A1814" w:rsidRPr="005C4E62" w:rsidRDefault="009A1814" w:rsidP="00D46D21">
      <w:pPr>
        <w:pStyle w:val="NumPar2"/>
        <w:numPr>
          <w:ilvl w:val="4"/>
          <w:numId w:val="42"/>
        </w:numPr>
        <w:tabs>
          <w:tab w:val="clear" w:pos="1800"/>
        </w:tabs>
        <w:ind w:left="1418" w:hanging="709"/>
      </w:pPr>
      <w:r>
        <w:t>Féadfaidh gach gnóthas atá in ann na seirbhísí leathanbhanda incháilithe a sholáthar a iarraidh go gcuirfear é san áireamh sa chlárlann (nó ar an ardán malartach a roghnófar).</w:t>
      </w:r>
    </w:p>
    <w:p w14:paraId="256E952B" w14:textId="77777777" w:rsidR="009A1814" w:rsidRPr="005C4E62" w:rsidRDefault="009A1814" w:rsidP="009A1814">
      <w:pPr>
        <w:pStyle w:val="Text2"/>
        <w:tabs>
          <w:tab w:val="clear" w:pos="2161"/>
          <w:tab w:val="left" w:leader="dot" w:pos="9072"/>
        </w:tabs>
        <w:spacing w:before="120" w:after="120"/>
        <w:ind w:left="709"/>
      </w:pPr>
      <w:r>
        <w:tab/>
        <w:t xml:space="preserve"> </w:t>
      </w:r>
    </w:p>
    <w:p w14:paraId="1E5D4CEB" w14:textId="77777777" w:rsidR="009A1814" w:rsidRPr="005C4E62" w:rsidRDefault="009A1814" w:rsidP="004C1C63">
      <w:pPr>
        <w:pStyle w:val="NumPar2"/>
        <w:numPr>
          <w:ilvl w:val="4"/>
          <w:numId w:val="42"/>
        </w:numPr>
        <w:tabs>
          <w:tab w:val="clear" w:pos="1800"/>
        </w:tabs>
        <w:ind w:left="1418" w:hanging="709"/>
      </w:pPr>
      <w:r>
        <w:t>Soláthraítear faisnéis bhreise leis an gclárlann (nó leis an ardán malartach a roghnaítear) chun cuidiú le tomhaltóirí (</w:t>
      </w:r>
      <w:r>
        <w:rPr>
          <w:i/>
        </w:rPr>
        <w:t>e.g.</w:t>
      </w:r>
      <w:r>
        <w:t xml:space="preserve"> cineál na seirbhísí a sholáthraíonn gnóthais éagsúla, etc.). Más ann di, léirigh an fhaisnéis bhreise a cuireadh ar fáil.</w:t>
      </w:r>
    </w:p>
    <w:p w14:paraId="7C5C92FB" w14:textId="77777777" w:rsidR="009A1814" w:rsidRPr="005C4E62" w:rsidRDefault="009A1814" w:rsidP="009A1814">
      <w:pPr>
        <w:pStyle w:val="Text2"/>
        <w:tabs>
          <w:tab w:val="clear" w:pos="2161"/>
          <w:tab w:val="left" w:leader="dot" w:pos="9072"/>
        </w:tabs>
        <w:spacing w:before="120" w:after="120"/>
        <w:ind w:left="709"/>
      </w:pPr>
      <w:r>
        <w:tab/>
      </w:r>
    </w:p>
    <w:p w14:paraId="067FAF8F" w14:textId="77777777" w:rsidR="009A1814" w:rsidRPr="005C4E62" w:rsidRDefault="009A1814" w:rsidP="004C1C63">
      <w:pPr>
        <w:pStyle w:val="NumPar2"/>
        <w:numPr>
          <w:ilvl w:val="1"/>
          <w:numId w:val="41"/>
        </w:numPr>
        <w:ind w:left="709" w:hanging="709"/>
      </w:pPr>
      <w:r>
        <w:t>Mínigh go mionsonraithe nós imeachta cur chun feidhme an bhirt cabhrach.</w:t>
      </w:r>
    </w:p>
    <w:p w14:paraId="6B7EA48A" w14:textId="77777777" w:rsidR="004D559F" w:rsidRPr="005C4E62" w:rsidRDefault="004D559F" w:rsidP="00450B69">
      <w:pPr>
        <w:pStyle w:val="Text2"/>
        <w:tabs>
          <w:tab w:val="clear" w:pos="2161"/>
          <w:tab w:val="left" w:leader="dot" w:pos="9072"/>
        </w:tabs>
        <w:spacing w:before="120" w:after="120"/>
        <w:ind w:left="709"/>
      </w:pPr>
      <w:r>
        <w:tab/>
      </w:r>
    </w:p>
    <w:p w14:paraId="747B26AF" w14:textId="77777777" w:rsidR="009A1814" w:rsidRPr="005C4E62" w:rsidRDefault="009A1814" w:rsidP="004C1C63">
      <w:pPr>
        <w:pStyle w:val="NumPar2"/>
        <w:numPr>
          <w:ilvl w:val="1"/>
          <w:numId w:val="41"/>
        </w:numPr>
        <w:ind w:left="709" w:hanging="709"/>
      </w:pPr>
      <w:r>
        <w:t>Comhairliúchán poiblí. Tabhair an fhaisnéis seo a leanas</w:t>
      </w:r>
      <w:r w:rsidR="00E217F7" w:rsidRPr="005C4E62">
        <w:rPr>
          <w:rStyle w:val="FootnoteReference"/>
        </w:rPr>
        <w:footnoteReference w:id="22"/>
      </w:r>
      <w:r>
        <w:t>:</w:t>
      </w:r>
    </w:p>
    <w:p w14:paraId="3387FEC9" w14:textId="77777777" w:rsidR="009A1814" w:rsidRPr="005C4E62" w:rsidRDefault="009A1814" w:rsidP="00B17940">
      <w:pPr>
        <w:pStyle w:val="Text2"/>
        <w:numPr>
          <w:ilvl w:val="4"/>
          <w:numId w:val="48"/>
        </w:numPr>
        <w:tabs>
          <w:tab w:val="clear" w:pos="2161"/>
        </w:tabs>
        <w:spacing w:after="120"/>
        <w:ind w:hanging="949"/>
      </w:pPr>
      <w:r>
        <w:t xml:space="preserve">Dáta tosaithe agus deiridh gach comhairliúcháin phoiblí a rinneadh. </w:t>
      </w:r>
    </w:p>
    <w:p w14:paraId="03463E90" w14:textId="77777777" w:rsidR="009A1814" w:rsidRPr="005C4E62" w:rsidRDefault="009A1814" w:rsidP="009A1814">
      <w:pPr>
        <w:pStyle w:val="Text2"/>
        <w:tabs>
          <w:tab w:val="clear" w:pos="2161"/>
          <w:tab w:val="left" w:leader="dot" w:pos="9072"/>
        </w:tabs>
        <w:spacing w:before="120" w:after="120"/>
        <w:ind w:left="709"/>
      </w:pPr>
      <w:r>
        <w:lastRenderedPageBreak/>
        <w:tab/>
      </w:r>
    </w:p>
    <w:p w14:paraId="38DAD01D" w14:textId="77777777" w:rsidR="009A1814" w:rsidRPr="005C4E62" w:rsidRDefault="009A1814" w:rsidP="00B17940">
      <w:pPr>
        <w:pStyle w:val="Text2"/>
        <w:numPr>
          <w:ilvl w:val="4"/>
          <w:numId w:val="48"/>
        </w:numPr>
        <w:tabs>
          <w:tab w:val="clear" w:pos="2161"/>
        </w:tabs>
        <w:spacing w:after="120"/>
        <w:ind w:left="1418" w:hanging="709"/>
      </w:pPr>
      <w:r>
        <w:t xml:space="preserve">Ábhar gach comhairliúcháin phoiblí. </w:t>
      </w:r>
    </w:p>
    <w:p w14:paraId="3D6EAC0C" w14:textId="77777777" w:rsidR="009A1814" w:rsidRPr="005C4E62" w:rsidRDefault="009A1814" w:rsidP="009A1814">
      <w:pPr>
        <w:pStyle w:val="Text2"/>
        <w:tabs>
          <w:tab w:val="clear" w:pos="2161"/>
          <w:tab w:val="left" w:leader="dot" w:pos="9072"/>
        </w:tabs>
        <w:spacing w:before="120" w:after="120"/>
        <w:ind w:left="709"/>
      </w:pPr>
      <w:r>
        <w:tab/>
      </w:r>
    </w:p>
    <w:p w14:paraId="59CB2C16" w14:textId="77777777" w:rsidR="009A1814" w:rsidRPr="005C4E62" w:rsidRDefault="009A1814" w:rsidP="00B17940">
      <w:pPr>
        <w:pStyle w:val="Text2"/>
        <w:numPr>
          <w:ilvl w:val="4"/>
          <w:numId w:val="48"/>
        </w:numPr>
        <w:tabs>
          <w:tab w:val="clear" w:pos="2161"/>
        </w:tabs>
        <w:spacing w:after="120"/>
        <w:ind w:left="1418" w:hanging="709"/>
      </w:pPr>
      <w:r>
        <w:t>Suíomh Idirlín atá inrochtana go poiblí (ar an leibhéal réigiúnach agus/nó náisiúnta) inar foilsíodh an comhairliúchán.</w:t>
      </w:r>
    </w:p>
    <w:p w14:paraId="62673F20" w14:textId="77777777" w:rsidR="009A1814" w:rsidRPr="005C4E62" w:rsidRDefault="009A1814" w:rsidP="009A1814">
      <w:pPr>
        <w:pStyle w:val="Text2"/>
        <w:tabs>
          <w:tab w:val="clear" w:pos="2161"/>
          <w:tab w:val="left" w:leader="dot" w:pos="9072"/>
        </w:tabs>
        <w:spacing w:before="120" w:after="120"/>
        <w:ind w:left="709"/>
      </w:pPr>
      <w:r>
        <w:tab/>
      </w:r>
    </w:p>
    <w:p w14:paraId="2DEDA77C" w14:textId="77777777" w:rsidR="009A1814" w:rsidRPr="005C4E62" w:rsidRDefault="009A1814" w:rsidP="00B17940">
      <w:pPr>
        <w:pStyle w:val="Text2"/>
        <w:numPr>
          <w:ilvl w:val="4"/>
          <w:numId w:val="48"/>
        </w:numPr>
        <w:tabs>
          <w:tab w:val="clear" w:pos="2161"/>
        </w:tabs>
        <w:spacing w:after="120"/>
        <w:ind w:left="1418" w:hanging="709"/>
      </w:pPr>
      <w:r>
        <w:t>Achoimre ar na príomhbharúlacha a chuir rannpháirtithe isteach i ngach comhairliúchán poiblí, agus sonraigh conas ar tugadh aghaidh orthu.</w:t>
      </w:r>
    </w:p>
    <w:p w14:paraId="113F195D" w14:textId="77777777" w:rsidR="009A1814" w:rsidRPr="005C4E62" w:rsidRDefault="009A1814" w:rsidP="009A1814">
      <w:pPr>
        <w:pStyle w:val="Text2"/>
        <w:tabs>
          <w:tab w:val="clear" w:pos="2161"/>
          <w:tab w:val="left" w:leader="dot" w:pos="9072"/>
        </w:tabs>
        <w:spacing w:before="120" w:after="120"/>
        <w:ind w:left="709"/>
      </w:pPr>
      <w:r>
        <w:tab/>
      </w:r>
    </w:p>
    <w:p w14:paraId="3CBCCC0B" w14:textId="77777777" w:rsidR="009A1814" w:rsidRPr="005C4E62" w:rsidRDefault="009A1814" w:rsidP="004C1C63">
      <w:pPr>
        <w:pStyle w:val="NumPar2"/>
        <w:numPr>
          <w:ilvl w:val="1"/>
          <w:numId w:val="41"/>
        </w:numPr>
        <w:ind w:left="709" w:hanging="709"/>
      </w:pPr>
      <w:r>
        <w:t>Léirigh cé acu a chuirfear nó nach gcuirfear coimircí breise chun feidhme chun mí‑úsáid fhéideartha na ndearbhán sóisialta a sheachaint. Más fíor sin, tabhair sonraí</w:t>
      </w:r>
      <w:r w:rsidRPr="005C4E62">
        <w:rPr>
          <w:rStyle w:val="FootnoteReference"/>
        </w:rPr>
        <w:footnoteReference w:id="23"/>
      </w:r>
      <w:r>
        <w:t>.</w:t>
      </w:r>
    </w:p>
    <w:p w14:paraId="31EC91DF" w14:textId="77777777" w:rsidR="009A1814" w:rsidRPr="005C4E62" w:rsidRDefault="009A1814" w:rsidP="009A1814">
      <w:pPr>
        <w:pStyle w:val="Text2"/>
        <w:tabs>
          <w:tab w:val="clear" w:pos="2161"/>
          <w:tab w:val="left" w:leader="dot" w:pos="9072"/>
        </w:tabs>
        <w:spacing w:before="120" w:after="120"/>
        <w:ind w:left="709"/>
      </w:pPr>
      <w:r>
        <w:tab/>
      </w:r>
    </w:p>
    <w:p w14:paraId="5BA4E39D" w14:textId="77777777" w:rsidR="009A1814" w:rsidRPr="005C4E62" w:rsidRDefault="009A1814" w:rsidP="004C1C63">
      <w:pPr>
        <w:pStyle w:val="NumPar2"/>
        <w:numPr>
          <w:ilvl w:val="1"/>
          <w:numId w:val="41"/>
        </w:numPr>
        <w:ind w:left="709" w:hanging="709"/>
      </w:pPr>
      <w:r>
        <w:t xml:space="preserve">Léirigh cé acu a fhoráiltear leis an mbeart cabhrach do rialacha sonracha maidir le bainistiú an tsíntiúis, maidir le, </w:t>
      </w:r>
      <w:r>
        <w:rPr>
          <w:i/>
        </w:rPr>
        <w:t>inter alia</w:t>
      </w:r>
      <w:r>
        <w:t>, luathfhoirceannadh an tsíntiúis, an fhéidearthacht an síntiús a aistriú chuig soláthraí eile le linn na tréimhse a chumhdaítear leis an dearbhán (más amhlaidh atá, cad iad na coinníollacha atá i gceist leis sin), leanúint den síntiús tar éis don dearbhán dul in éag. Má fhoráiltear, tabhair sonraí.</w:t>
      </w:r>
    </w:p>
    <w:p w14:paraId="5FBCE270" w14:textId="77777777" w:rsidR="009A1814" w:rsidRPr="005C4E62" w:rsidRDefault="009A1814" w:rsidP="009A1814">
      <w:pPr>
        <w:pStyle w:val="Text2"/>
        <w:tabs>
          <w:tab w:val="clear" w:pos="2161"/>
          <w:tab w:val="left" w:leader="dot" w:pos="9072"/>
        </w:tabs>
        <w:spacing w:before="120" w:after="120"/>
        <w:ind w:left="709"/>
      </w:pPr>
      <w:r>
        <w:tab/>
      </w:r>
    </w:p>
    <w:p w14:paraId="6C47CBCF" w14:textId="77777777" w:rsidR="00807BE5" w:rsidRPr="005C4E62" w:rsidRDefault="004C1C63" w:rsidP="00F47AC0">
      <w:pPr>
        <w:pStyle w:val="NumPar2"/>
        <w:numPr>
          <w:ilvl w:val="1"/>
          <w:numId w:val="41"/>
        </w:numPr>
        <w:ind w:left="709" w:hanging="709"/>
      </w:pPr>
      <w:r>
        <w:t>Cuir in iúl na gníomhaíochtaí eacnamaíocha a éascófar leis an mbeart cabhrach trí nascacht agus rochtain ar sheirbhísí leathanbhanda feidhmiúla a mhéadú, agus mínigh an chaoi a dtacaítear le forbairt na ngníomhaíochtaí sin</w:t>
      </w:r>
      <w:r w:rsidR="00807BE5" w:rsidRPr="005C4E62">
        <w:rPr>
          <w:rStyle w:val="FootnoteReference"/>
        </w:rPr>
        <w:footnoteReference w:id="24"/>
      </w:r>
      <w:r>
        <w:t>.</w:t>
      </w:r>
    </w:p>
    <w:p w14:paraId="1962BE56" w14:textId="77777777" w:rsidR="00807BE5" w:rsidRPr="005C4E62" w:rsidRDefault="00807BE5" w:rsidP="00807BE5">
      <w:pPr>
        <w:pStyle w:val="Text2"/>
        <w:tabs>
          <w:tab w:val="clear" w:pos="2161"/>
          <w:tab w:val="left" w:leader="dot" w:pos="9072"/>
        </w:tabs>
        <w:spacing w:before="120" w:after="120"/>
        <w:ind w:left="709"/>
      </w:pPr>
      <w:r>
        <w:tab/>
      </w:r>
    </w:p>
    <w:p w14:paraId="7C2C9FB6" w14:textId="77777777" w:rsidR="00D46D21" w:rsidRPr="005C4E62" w:rsidRDefault="00F47AC0" w:rsidP="00D46D21">
      <w:pPr>
        <w:pStyle w:val="NumPar2"/>
        <w:numPr>
          <w:ilvl w:val="1"/>
          <w:numId w:val="41"/>
        </w:numPr>
        <w:ind w:left="709" w:hanging="709"/>
      </w:pPr>
      <w:r>
        <w:t>Soláthair fianaise maidir le héifeacht dreasachta an bhirt cabhrach</w:t>
      </w:r>
      <w:r w:rsidRPr="005C4E62">
        <w:rPr>
          <w:rStyle w:val="FootnoteReference"/>
        </w:rPr>
        <w:footnoteReference w:id="25"/>
      </w:r>
      <w:r>
        <w:t>.</w:t>
      </w:r>
    </w:p>
    <w:p w14:paraId="56F80B57" w14:textId="77777777" w:rsidR="00D46D21" w:rsidRPr="005C4E62" w:rsidRDefault="00D46D21" w:rsidP="00D46D21">
      <w:pPr>
        <w:pStyle w:val="Text2"/>
        <w:tabs>
          <w:tab w:val="clear" w:pos="2161"/>
          <w:tab w:val="left" w:leader="dot" w:pos="9072"/>
        </w:tabs>
        <w:spacing w:before="120" w:after="120"/>
        <w:ind w:left="709"/>
      </w:pPr>
      <w:r>
        <w:tab/>
      </w:r>
    </w:p>
    <w:p w14:paraId="04D7FD1F" w14:textId="77777777" w:rsidR="00F47AC0" w:rsidRPr="005C4E62" w:rsidRDefault="00F47AC0" w:rsidP="00F47AC0">
      <w:pPr>
        <w:pStyle w:val="NumPar2"/>
        <w:numPr>
          <w:ilvl w:val="1"/>
          <w:numId w:val="41"/>
        </w:numPr>
        <w:ind w:left="709" w:hanging="709"/>
      </w:pPr>
      <w:r>
        <w:t>Deimhnigh nach bhfuil aon sárú ar fhorálacha ná ar phrionsabail ghinearálta dhlí an Aontais i gceist leis an mbeart cabhrach, leis na coinníollacha a ghabhann leis (lena n-áirítear a mhodh maoiniúcháin i gcás inar cuid dhílis den chabhair é an modh sin) nó leis an ngníomhaíocht a mhaoinítear leis.</w:t>
      </w:r>
    </w:p>
    <w:p w14:paraId="6D16530B"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Is fíor sin</w:t>
      </w:r>
      <w:r>
        <w:tab/>
      </w:r>
      <w:r>
        <w:tab/>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Ní fíor sin. Sa chás seo, tabhair mínithe…………..</w:t>
      </w:r>
    </w:p>
    <w:p w14:paraId="0C7CC376" w14:textId="77777777" w:rsidR="00C9528F" w:rsidRPr="005C4E62" w:rsidRDefault="00C9528F" w:rsidP="00F47AC0">
      <w:pPr>
        <w:pStyle w:val="NumPar2"/>
        <w:numPr>
          <w:ilvl w:val="1"/>
          <w:numId w:val="41"/>
        </w:numPr>
        <w:ind w:left="709" w:hanging="709"/>
      </w:pPr>
      <w:r>
        <w:t>Mínigh cén fáth nach bhfuil bearta malartacha ar Státchabhair (</w:t>
      </w:r>
      <w:r>
        <w:rPr>
          <w:i/>
        </w:rPr>
        <w:t>e.g.</w:t>
      </w:r>
      <w:r>
        <w:t>, bearta riaracháin agus rialála, ionstraimí margadhbhunaithe, iasachtaí, bearta cánach) in ann aghaidh a thabhairt ar chuspóir nó ar chuspóirí an bhirt cabhrach</w:t>
      </w:r>
      <w:r w:rsidR="006C4335" w:rsidRPr="005C4E62">
        <w:rPr>
          <w:rStyle w:val="FootnoteReference"/>
        </w:rPr>
        <w:footnoteReference w:id="26"/>
      </w:r>
      <w:r>
        <w:t>.</w:t>
      </w:r>
    </w:p>
    <w:p w14:paraId="29634017" w14:textId="77777777" w:rsidR="003759A4" w:rsidRPr="005C4E62" w:rsidRDefault="00C9528F" w:rsidP="00C9528F">
      <w:pPr>
        <w:pStyle w:val="Text2"/>
        <w:tabs>
          <w:tab w:val="clear" w:pos="2161"/>
          <w:tab w:val="left" w:leader="dot" w:pos="9072"/>
        </w:tabs>
        <w:spacing w:before="120" w:after="120"/>
        <w:ind w:left="709"/>
      </w:pPr>
      <w:r>
        <w:tab/>
      </w:r>
    </w:p>
    <w:p w14:paraId="5F9E6B00" w14:textId="77777777" w:rsidR="00E217F7" w:rsidRPr="005C4E62" w:rsidRDefault="00E217F7" w:rsidP="00E217F7">
      <w:pPr>
        <w:pStyle w:val="NumPar2"/>
        <w:numPr>
          <w:ilvl w:val="1"/>
          <w:numId w:val="41"/>
        </w:numPr>
        <w:ind w:left="709" w:hanging="709"/>
        <w:rPr>
          <w:iCs/>
        </w:rPr>
      </w:pPr>
      <w:r>
        <w:t xml:space="preserve">Cuir isteach measúnú margaidh ina mbeidh na sonraí seo a leanas: (i) measúnú ar an riosca go dtabharfaidh an beart cabhrach buntáiste díréireach – ar an leibhéal miondíola agus/nó ar an leibhéal mórdhíola – do roinnt soláthraithe, rud a dhéanann </w:t>
      </w:r>
      <w:r>
        <w:lastRenderedPageBreak/>
        <w:t>dochar do sholáthraithe eile, rud a d’fhéadfadh ceannasacht margaidh (áitiúla) a atreisiú; (ii) measúnú ar an ngá iarbhír atá le dearbhán nascachta a chur chun feidhme trí chomparáid a dhéanamh idir an cás sa limistéar nó sna limistéir idirghabhála agus an cás i limistéir eile den Bhallstát nó den Aontas; (iii) anailís ar na treochtaí maidir le glacadh seirbhísí incháilithe ag úsáideoirí deiridh</w:t>
      </w:r>
      <w:r w:rsidRPr="005C4E62">
        <w:rPr>
          <w:rStyle w:val="FootnoteReference"/>
          <w:iCs/>
        </w:rPr>
        <w:footnoteReference w:id="27"/>
      </w:r>
      <w:r>
        <w:t>.</w:t>
      </w:r>
    </w:p>
    <w:p w14:paraId="5B7BC520" w14:textId="77777777" w:rsidR="00E217F7" w:rsidRPr="005C4E62" w:rsidRDefault="00E217F7" w:rsidP="00E217F7">
      <w:pPr>
        <w:pStyle w:val="Text2"/>
        <w:tabs>
          <w:tab w:val="clear" w:pos="2161"/>
          <w:tab w:val="left" w:leader="dot" w:pos="9072"/>
        </w:tabs>
        <w:spacing w:before="120" w:after="120"/>
        <w:ind w:left="709"/>
      </w:pPr>
      <w:r>
        <w:tab/>
      </w:r>
    </w:p>
    <w:p w14:paraId="36464C92" w14:textId="77777777" w:rsidR="004D559F" w:rsidRPr="005C4E62" w:rsidRDefault="004D559F" w:rsidP="004D559F">
      <w:pPr>
        <w:pStyle w:val="NumPar2"/>
        <w:numPr>
          <w:ilvl w:val="1"/>
          <w:numId w:val="41"/>
        </w:numPr>
        <w:ind w:left="709" w:hanging="709"/>
      </w:pPr>
      <w:r>
        <w:t>Léirigh an bhfuil aon duine de sholáthraithe incháilithe na seirbhísí leathanbhanda comhtháite go hingearach agus an bhfuil sciar os cionn 25 % den mhargadh miondíola aige.</w:t>
      </w:r>
    </w:p>
    <w:p w14:paraId="41F43EC0"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Tá</w:t>
      </w:r>
      <w:r>
        <w:tab/>
      </w:r>
      <w:r>
        <w:tab/>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 xml:space="preserve">Níl. </w:t>
      </w:r>
    </w:p>
    <w:p w14:paraId="5218310D" w14:textId="77777777" w:rsidR="004D559F" w:rsidRPr="005C4E62" w:rsidRDefault="004D559F" w:rsidP="004D559F">
      <w:pPr>
        <w:pStyle w:val="NumPar2"/>
        <w:numPr>
          <w:ilvl w:val="1"/>
          <w:numId w:val="41"/>
        </w:numPr>
        <w:ind w:left="709" w:hanging="709"/>
      </w:pPr>
      <w:r>
        <w:t>I gcás ina bhfuil an freagra ar an gceist roimhe seo dearfach, deimhnigh go dtairgfidh aon duine de na soláthraithe seirbhísí leathanbhanda atá comhtháite go hingearach agus a bhfuil sciar os cionn 25 % den mhargadh miondíola aige, ar an margadh comhfhreagrach rochtana mórdhíola, táirgí rochtana mórdhíola ar ar a mbonn a bheidh aon iarrthóir rochtana in ann na seirbhísí incháilithe a sholáthar faoi choinníollacha oscailte, trédhearcacha agus neamh-idirdhealaitheacha.</w:t>
      </w:r>
    </w:p>
    <w:p w14:paraId="051EAFBF"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Is fíor sin</w:t>
      </w:r>
      <w:r>
        <w:tab/>
      </w:r>
      <w:r>
        <w:tab/>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 xml:space="preserve">Ní fíor sin. </w:t>
      </w:r>
    </w:p>
    <w:p w14:paraId="0548D4B5" w14:textId="77777777" w:rsidR="00E217F7" w:rsidRPr="005C4E62" w:rsidRDefault="00E217F7" w:rsidP="004D559F">
      <w:pPr>
        <w:pStyle w:val="NumPar2"/>
        <w:numPr>
          <w:ilvl w:val="1"/>
          <w:numId w:val="41"/>
        </w:numPr>
        <w:ind w:left="709" w:hanging="709"/>
      </w:pPr>
      <w:r>
        <w:t>Léirigh fad an bhirt cabhrach agus tréimhse bailíochta na ndearbhán don úsáideoir deiridh aonair</w:t>
      </w:r>
      <w:r w:rsidRPr="005C4E62">
        <w:rPr>
          <w:vertAlign w:val="superscript"/>
        </w:rPr>
        <w:footnoteReference w:id="28"/>
      </w:r>
      <w:r>
        <w:t>.</w:t>
      </w:r>
    </w:p>
    <w:p w14:paraId="5614DE92" w14:textId="77777777" w:rsidR="00E217F7" w:rsidRPr="005C4E62" w:rsidRDefault="00E217F7" w:rsidP="004D559F">
      <w:pPr>
        <w:pStyle w:val="Text2"/>
        <w:tabs>
          <w:tab w:val="clear" w:pos="2161"/>
          <w:tab w:val="left" w:leader="dot" w:pos="9072"/>
        </w:tabs>
        <w:spacing w:before="120" w:after="120"/>
        <w:ind w:left="709"/>
      </w:pPr>
      <w:r>
        <w:tab/>
      </w:r>
    </w:p>
    <w:p w14:paraId="79AB776E" w14:textId="77777777" w:rsidR="00AA0B7A" w:rsidRPr="005C4E62" w:rsidRDefault="00AA0B7A" w:rsidP="00AA0B7A">
      <w:pPr>
        <w:pStyle w:val="NumPar2"/>
        <w:numPr>
          <w:ilvl w:val="1"/>
          <w:numId w:val="41"/>
        </w:numPr>
        <w:ind w:left="709" w:hanging="709"/>
      </w:pPr>
      <w:r>
        <w:t>Mínigh cé na héifeachtaí diúltacha féideartha ar an iomaíocht agus ar an trádáil a d’fhéadfadh a bheith ag an mbeart cabhrach agus cé na gnéithe i gceapadh an bhirt a d’fhéadfadh na rioscaí sin a íoslaghdú.</w:t>
      </w:r>
    </w:p>
    <w:p w14:paraId="4211A27C"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606614E5" w14:textId="77777777" w:rsidTr="00E27219">
        <w:tc>
          <w:tcPr>
            <w:tcW w:w="9356" w:type="dxa"/>
            <w:shd w:val="clear" w:color="auto" w:fill="D9D9D9"/>
          </w:tcPr>
          <w:p w14:paraId="39933BB3"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Faisnéis eile (is infheidhme maidir le dearbháin shóisialta agus nascachta araon)</w:t>
            </w:r>
          </w:p>
        </w:tc>
      </w:tr>
    </w:tbl>
    <w:p w14:paraId="473C9159" w14:textId="77777777" w:rsidR="00A15706" w:rsidRPr="005C4E62" w:rsidRDefault="00215029" w:rsidP="001B5649">
      <w:pPr>
        <w:pStyle w:val="NumPar2"/>
        <w:numPr>
          <w:ilvl w:val="1"/>
          <w:numId w:val="44"/>
        </w:numPr>
        <w:ind w:left="709" w:hanging="709"/>
      </w:pPr>
      <w:r>
        <w:t>Mínigh an ról atá ag an údarás rialála náisiúnta maidir leis an mbeart cabhrach a cheapadh, a chur chun feidhme agus faireachán a dhéanamh air.</w:t>
      </w:r>
    </w:p>
    <w:p w14:paraId="79A0DC58" w14:textId="77777777" w:rsidR="00E217F7" w:rsidRPr="005C4E62" w:rsidRDefault="00E217F7" w:rsidP="00E217F7">
      <w:pPr>
        <w:pStyle w:val="Text2"/>
        <w:tabs>
          <w:tab w:val="clear" w:pos="2161"/>
          <w:tab w:val="left" w:leader="dot" w:pos="9072"/>
        </w:tabs>
        <w:spacing w:before="120" w:after="120"/>
        <w:ind w:left="709"/>
      </w:pPr>
      <w:r>
        <w:tab/>
      </w:r>
    </w:p>
    <w:p w14:paraId="2B321415" w14:textId="77777777" w:rsidR="00A15706" w:rsidRPr="005C4E62" w:rsidRDefault="00A15706" w:rsidP="00AA0B7A">
      <w:pPr>
        <w:pStyle w:val="NumPar2"/>
        <w:numPr>
          <w:ilvl w:val="1"/>
          <w:numId w:val="44"/>
        </w:numPr>
        <w:ind w:left="709" w:hanging="709"/>
      </w:pPr>
      <w:r>
        <w:t>Tuairiscigh tuairim an údaráis rialála náisiúnta maidir leis an mbeart cabhrach (má tá sé ar fáil).</w:t>
      </w:r>
    </w:p>
    <w:p w14:paraId="3B3923B3" w14:textId="77777777" w:rsidR="00A15706" w:rsidRPr="005C4E62" w:rsidRDefault="00A15706" w:rsidP="00A15706">
      <w:pPr>
        <w:pStyle w:val="Text2"/>
        <w:tabs>
          <w:tab w:val="clear" w:pos="2161"/>
          <w:tab w:val="left" w:leader="dot" w:pos="9072"/>
        </w:tabs>
        <w:spacing w:before="120" w:after="120"/>
        <w:ind w:left="709"/>
      </w:pPr>
      <w:r>
        <w:tab/>
      </w:r>
    </w:p>
    <w:p w14:paraId="1A1B5B1A" w14:textId="77777777" w:rsidR="00A15706" w:rsidRPr="005C4E62" w:rsidRDefault="00A15706" w:rsidP="00AA0B7A">
      <w:pPr>
        <w:pStyle w:val="NumPar2"/>
        <w:numPr>
          <w:ilvl w:val="1"/>
          <w:numId w:val="44"/>
        </w:numPr>
        <w:ind w:left="709" w:hanging="709"/>
      </w:pPr>
      <w:r>
        <w:t>Tuairiscigh tuairim an Údaráis Iomaíochta Náisiúnta maidir leis an mbeart cabhrach (má tá sé ar fáil).</w:t>
      </w:r>
    </w:p>
    <w:p w14:paraId="2682BC74" w14:textId="77777777" w:rsidR="00A15706" w:rsidRPr="005C4E62" w:rsidRDefault="009D198A" w:rsidP="00E217F7">
      <w:pPr>
        <w:pStyle w:val="Text2"/>
        <w:tabs>
          <w:tab w:val="clear" w:pos="2161"/>
          <w:tab w:val="left" w:leader="dot" w:pos="9072"/>
        </w:tabs>
        <w:spacing w:before="120" w:after="120"/>
        <w:ind w:left="709"/>
      </w:pPr>
      <w:r>
        <w:tab/>
      </w:r>
    </w:p>
    <w:p w14:paraId="008476FA" w14:textId="77777777" w:rsidR="00DE2831" w:rsidRPr="005C4E62" w:rsidRDefault="00DE2831" w:rsidP="00AA0B7A">
      <w:pPr>
        <w:pStyle w:val="NumPar2"/>
        <w:numPr>
          <w:ilvl w:val="1"/>
          <w:numId w:val="44"/>
        </w:numPr>
        <w:ind w:left="709" w:hanging="709"/>
      </w:pPr>
      <w:r>
        <w:t xml:space="preserve">Trédhearcacht. </w:t>
      </w:r>
    </w:p>
    <w:p w14:paraId="74D4F736" w14:textId="77777777" w:rsidR="00153D1B" w:rsidRPr="005C4E62" w:rsidRDefault="00A72D4E" w:rsidP="00E27219">
      <w:pPr>
        <w:pStyle w:val="NumPar2"/>
        <w:numPr>
          <w:ilvl w:val="0"/>
          <w:numId w:val="33"/>
        </w:numPr>
        <w:ind w:left="1418" w:hanging="709"/>
      </w:pPr>
      <w:r>
        <w:t xml:space="preserve">Deimhnigh go bhfoilseoidh an Ballstát (i) téacs iomlán an chinnidh lena bhformheastar an beart cabhrach agus a fhorálacha cur chun feidhme (nó nasc leo), agus (ii) faisnéis maidir le gach dámhachtain cabhrach aonair ar mó í ná </w:t>
      </w:r>
      <w:r>
        <w:lastRenderedPageBreak/>
        <w:t>EUR 100 000, i gcomhréir le hIarscríbhinn II</w:t>
      </w:r>
      <w:r w:rsidR="00DE2831" w:rsidRPr="005C4E62">
        <w:rPr>
          <w:rStyle w:val="FootnoteReference"/>
          <w:iCs/>
        </w:rPr>
        <w:footnoteReference w:id="29"/>
      </w:r>
      <w:r>
        <w:t xml:space="preserve"> (laistigh de 6 mhí ón dáta a dámhadh an chabhair nó, le haghaidh cabhrach i bhfoirm buntáistí cánach, laistigh de 1 bhliain amháin ón dáta a bheidh an dearbhú cánach dlite)</w:t>
      </w:r>
      <w:r w:rsidR="00DE2831" w:rsidRPr="005C4E62">
        <w:rPr>
          <w:rStyle w:val="FootnoteReference"/>
          <w:iCs/>
        </w:rPr>
        <w:footnoteReference w:id="30"/>
      </w:r>
      <w:r>
        <w:t>,</w:t>
      </w:r>
    </w:p>
    <w:p w14:paraId="291CBAC5"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I modúl an Choimisiúin maidir le trédhearcacht dámhachtana</w:t>
      </w:r>
      <w:r w:rsidRPr="005C4E62">
        <w:rPr>
          <w:rStyle w:val="FootnoteReference"/>
        </w:rPr>
        <w:footnoteReference w:id="31"/>
      </w:r>
      <w:r>
        <w:t>.</w:t>
      </w:r>
    </w:p>
    <w:p w14:paraId="4E35E903"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Ar shuíomh gréasáin cuimsitheach Státchabhrach (agus tabhair an seoladh gréasáin ábhartha). Sa chás sin, sonraigh cé acu an suíomh gréasáin náisiúnta nó réigiúnach é</w:t>
      </w:r>
      <w:r w:rsidRPr="005C4E62">
        <w:rPr>
          <w:rStyle w:val="FootnoteReference"/>
        </w:rPr>
        <w:footnoteReference w:id="32"/>
      </w:r>
      <w:r>
        <w:t xml:space="preserve"> agus cé acu an cheadaítear rochtain éasca ar an bhfaisnéis atá cláraithe ar shuíomh gréasáin na cabhrach (</w:t>
      </w:r>
      <w:r>
        <w:rPr>
          <w:i/>
        </w:rPr>
        <w:t>i.e.</w:t>
      </w:r>
      <w:r>
        <w:t>, ní mór cead a bheith ag an bpobal i gcoitinne rochtain a fháil ar an suíomh gréasáin gan srianta)</w:t>
      </w:r>
      <w:r w:rsidR="00DE2831" w:rsidRPr="005C4E62">
        <w:rPr>
          <w:rStyle w:val="FootnoteReference"/>
        </w:rPr>
        <w:footnoteReference w:id="33"/>
      </w:r>
      <w:r>
        <w:t>.</w:t>
      </w:r>
    </w:p>
    <w:p w14:paraId="053902F1" w14:textId="77777777" w:rsidR="008B2C0A" w:rsidRPr="005C4E62" w:rsidRDefault="008B2C0A" w:rsidP="00D46D21">
      <w:pPr>
        <w:pStyle w:val="Text2"/>
        <w:tabs>
          <w:tab w:val="clear" w:pos="2161"/>
          <w:tab w:val="left" w:leader="dot" w:pos="9072"/>
        </w:tabs>
        <w:spacing w:before="120" w:after="120"/>
        <w:ind w:left="709"/>
      </w:pPr>
      <w:r>
        <w:tab/>
      </w:r>
    </w:p>
    <w:p w14:paraId="77328BC6" w14:textId="77777777" w:rsidR="00DE2831" w:rsidRPr="005C4E62" w:rsidRDefault="00DE2831" w:rsidP="00E27219">
      <w:pPr>
        <w:pStyle w:val="NumPar2"/>
        <w:numPr>
          <w:ilvl w:val="0"/>
          <w:numId w:val="33"/>
        </w:numPr>
        <w:ind w:left="1418" w:hanging="709"/>
      </w:pPr>
      <w:r>
        <w:t>Deimhnigh go mbeidh an fhaisnéis faoi phointe 4.4. ar fáil ar feadh 10 mbliana ar a laghad ón dáta a dámhadh an chabhair, go bhfoilseofar í i bhformáid sonraí scarbhileoige neamhdhílsithe, lena bhféadfar na sonraí a chuardach, a asbhaint, a íoslódáil agus a fhoilsiú go héasca ar an idirlíon (mar shampla, i bhformáid CSV nó XML).</w:t>
      </w:r>
    </w:p>
    <w:p w14:paraId="69291BEB"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Beidh</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Ní bheidh</w:t>
      </w:r>
    </w:p>
    <w:p w14:paraId="69210346" w14:textId="77777777" w:rsidR="00DE2831" w:rsidRPr="005C4E62" w:rsidRDefault="00DE2831" w:rsidP="00E27219">
      <w:pPr>
        <w:pStyle w:val="NumPar2"/>
        <w:numPr>
          <w:ilvl w:val="0"/>
          <w:numId w:val="33"/>
        </w:numPr>
        <w:ind w:left="1418" w:hanging="709"/>
      </w:pPr>
      <w:r>
        <w:t>Deimhnigh, i gcás cabhair atá neamhdhleathach ach a chinntear a bheith comhoiriúnach dá éis sin, go bhfoilseofar an fhaisnéis ábhartha ar shuíomh gréasáin Státchabhrach (lena sonraítear an seoladh gréasáin ábhartha) laistigh de 6 mhí ón dáta a rinne an Coimisiún cinneadh lena ndearbhaítear go bhfuil an chabhair comhoiriúnach</w:t>
      </w:r>
      <w:r w:rsidRPr="005C4E62">
        <w:rPr>
          <w:rStyle w:val="FootnoteReference"/>
        </w:rPr>
        <w:footnoteReference w:id="34"/>
      </w:r>
      <w:r>
        <w:t>.</w:t>
      </w:r>
    </w:p>
    <w:p w14:paraId="32878CC4"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Foilseofar</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Ní fhoilseofar</w:t>
      </w:r>
    </w:p>
    <w:p w14:paraId="15300A1B" w14:textId="77777777" w:rsidR="004879A7" w:rsidRPr="005C4E62" w:rsidRDefault="004879A7" w:rsidP="00D46D21">
      <w:pPr>
        <w:pStyle w:val="NumPar2"/>
        <w:numPr>
          <w:ilvl w:val="1"/>
          <w:numId w:val="44"/>
        </w:numPr>
        <w:ind w:left="709" w:hanging="709"/>
      </w:pPr>
      <w:r>
        <w:t>Tuairisciú. Deimhnigh go gcuirfidh d’údaráis (i) tuarascálacha bliantúla faoi bhráid an Choimisiúin maidir le gach beart a fhormheastar faoi na Treoirlínte Leathanbhanda, agus (ii) tuarascáil gach 2 bhliain ina mbeidh faisnéis bhunriachtanach faoin mbeart cabhrach a fhormheastar faoi na Treoirlínte Leathanbhanda, i gcomhréir le hIarscríbhinn III a ghabhann leis na Treoirlínte Leathanbhanda céanna</w:t>
      </w:r>
      <w:r w:rsidRPr="005C4E62">
        <w:rPr>
          <w:rStyle w:val="FootnoteReference"/>
        </w:rPr>
        <w:footnoteReference w:id="35"/>
      </w:r>
      <w:r>
        <w:t>.</w:t>
      </w:r>
    </w:p>
    <w:p w14:paraId="6F006B8C" w14:textId="77777777" w:rsidR="004879A7" w:rsidRPr="005C4E62" w:rsidRDefault="004879A7" w:rsidP="004879A7">
      <w:pPr>
        <w:pStyle w:val="Text2"/>
        <w:tabs>
          <w:tab w:val="clear" w:pos="2161"/>
          <w:tab w:val="left" w:leader="dot" w:pos="9072"/>
        </w:tabs>
        <w:spacing w:before="120" w:after="120"/>
        <w:ind w:left="709"/>
      </w:pPr>
      <w:r>
        <w:tab/>
      </w:r>
    </w:p>
    <w:p w14:paraId="7E2ACD78" w14:textId="77777777" w:rsidR="004879A7" w:rsidRPr="005C4E62" w:rsidRDefault="004879A7" w:rsidP="00AA0B7A">
      <w:pPr>
        <w:pStyle w:val="NumPar2"/>
        <w:numPr>
          <w:ilvl w:val="1"/>
          <w:numId w:val="44"/>
        </w:numPr>
        <w:ind w:left="709" w:hanging="709"/>
      </w:pPr>
      <w:r>
        <w:t>Faireachán. Deimhnigh go gcoinneoidh d’údaráis – ar feadh 10 mbliana ó dháta um dheonú na cabhrach – taifid mhionsonraithe maidir leis na bearta cabhrach uile, ina mbeidh an fhaisnéis uile is gá lena dheimhniú go gcomhlíontar na coinníollacha comhoiriúnachta uile a leagtar amach sna Treoirlínte Leathanbhanda, agus go ngeallann sé iad a sholáthar don Choimisiún arna iarraidh sin dó</w:t>
      </w:r>
      <w:r w:rsidRPr="005C4E62">
        <w:rPr>
          <w:rStyle w:val="FootnoteReference"/>
        </w:rPr>
        <w:footnoteReference w:id="36"/>
      </w:r>
      <w:r>
        <w:t>.</w:t>
      </w:r>
    </w:p>
    <w:p w14:paraId="4B197F49" w14:textId="77777777" w:rsidR="00DE2831" w:rsidRPr="005C4E62" w:rsidRDefault="004879A7" w:rsidP="004879A7">
      <w:pPr>
        <w:pStyle w:val="Text2"/>
        <w:tabs>
          <w:tab w:val="clear" w:pos="2161"/>
          <w:tab w:val="left" w:leader="dot" w:pos="9072"/>
        </w:tabs>
        <w:spacing w:before="120" w:after="120"/>
        <w:ind w:left="709"/>
      </w:pPr>
      <w:r>
        <w:tab/>
      </w:r>
    </w:p>
    <w:p w14:paraId="2C34F5C1" w14:textId="77777777" w:rsidR="00C04E88" w:rsidRPr="005C4E62" w:rsidRDefault="00691333" w:rsidP="00AA0B7A">
      <w:pPr>
        <w:pStyle w:val="NumPar2"/>
        <w:numPr>
          <w:ilvl w:val="1"/>
          <w:numId w:val="44"/>
        </w:numPr>
        <w:ind w:left="709" w:hanging="709"/>
        <w:rPr>
          <w:i/>
        </w:rPr>
      </w:pPr>
      <w:r>
        <w:t xml:space="preserve">Léirigh cé acu a mheastar nó nach meastar an beart cabhrach le haghaidh plean meastóireachta </w:t>
      </w:r>
      <w:r>
        <w:rPr>
          <w:i/>
        </w:rPr>
        <w:t>ex post</w:t>
      </w:r>
      <w:r>
        <w:t xml:space="preserve">. </w:t>
      </w:r>
    </w:p>
    <w:p w14:paraId="06C4A59D" w14:textId="77777777" w:rsidR="00C04E88" w:rsidRPr="005C4E62" w:rsidRDefault="00C04E88" w:rsidP="00D46D21">
      <w:pPr>
        <w:pStyle w:val="Text2"/>
        <w:tabs>
          <w:tab w:val="clear" w:pos="2161"/>
          <w:tab w:val="left" w:leader="dot" w:pos="9072"/>
        </w:tabs>
        <w:spacing w:before="120" w:after="120"/>
        <w:ind w:left="709"/>
        <w:rPr>
          <w:szCs w:val="20"/>
        </w:rPr>
      </w:pPr>
      <w:r w:rsidRPr="005C4E62">
        <w:lastRenderedPageBreak/>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Ní mheastar. Mínigh an chúis go measann tú nach bhfuil na critéir don phlean meastóireachta </w:t>
      </w:r>
      <w:r>
        <w:rPr>
          <w:i/>
        </w:rPr>
        <w:t>ex post</w:t>
      </w:r>
      <w:r>
        <w:t xml:space="preserve"> comhlánaithe. </w:t>
      </w:r>
    </w:p>
    <w:p w14:paraId="411229DD" w14:textId="77777777" w:rsidR="00C04E88" w:rsidRPr="005C4E62" w:rsidRDefault="00C04E88" w:rsidP="00C04E88">
      <w:pPr>
        <w:pStyle w:val="Text2"/>
        <w:tabs>
          <w:tab w:val="clear" w:pos="2161"/>
          <w:tab w:val="left" w:leader="dot" w:pos="9072"/>
        </w:tabs>
        <w:spacing w:before="120" w:after="120"/>
        <w:ind w:left="709"/>
      </w:pPr>
      <w:r>
        <w:tab/>
      </w:r>
    </w:p>
    <w:p w14:paraId="70DCD51B"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 xml:space="preserve"> Meastar. Má mheastar, léirigh de réir na gcritéar a meastar an beart cabhrach le haghaidh meastóireacht </w:t>
      </w:r>
      <w:r>
        <w:rPr>
          <w:i/>
        </w:rPr>
        <w:t>ex post</w:t>
      </w:r>
      <w:r>
        <w:t xml:space="preserve"> agus soláthair an fhaisnéis ábhartha maidir leis an bplean meastóireachta </w:t>
      </w:r>
      <w:r>
        <w:rPr>
          <w:i/>
        </w:rPr>
        <w:t>ex post</w:t>
      </w:r>
      <w:r>
        <w:t xml:space="preserve"> a thuairiscítear i roinn 8 de na Treoirlínte Leathanbhanda.</w:t>
      </w:r>
    </w:p>
    <w:p w14:paraId="62E85422" w14:textId="77777777" w:rsidR="007B33E6" w:rsidRPr="005C4E62" w:rsidRDefault="00691333" w:rsidP="007B33E6">
      <w:pPr>
        <w:pStyle w:val="Text2"/>
        <w:tabs>
          <w:tab w:val="clear" w:pos="2161"/>
          <w:tab w:val="left" w:leader="dot" w:pos="9072"/>
        </w:tabs>
        <w:spacing w:before="120" w:after="120"/>
        <w:ind w:left="709"/>
      </w:pPr>
      <w:r>
        <w:tab/>
      </w:r>
    </w:p>
    <w:p w14:paraId="05F088C7" w14:textId="77777777" w:rsidR="007B33E6" w:rsidRPr="005C4E62" w:rsidRDefault="007B33E6" w:rsidP="00AA0B7A">
      <w:pPr>
        <w:pStyle w:val="NumPar2"/>
        <w:numPr>
          <w:ilvl w:val="1"/>
          <w:numId w:val="44"/>
        </w:numPr>
        <w:ind w:left="709" w:hanging="709"/>
        <w:rPr>
          <w:b/>
          <w:bCs/>
        </w:rPr>
      </w:pPr>
      <w:r>
        <w:t>Léirigh aon fhaisnéis eile atá ábhartha maidir le measúnú a dhéanamh ar an mbeart cabhrach faoi na</w:t>
      </w:r>
      <w:r>
        <w:rPr>
          <w:i/>
        </w:rPr>
        <w:t xml:space="preserve"> </w:t>
      </w:r>
      <w:r>
        <w:t>Treoirlínte Leathanbhanda</w:t>
      </w:r>
      <w:r>
        <w:rPr>
          <w:i/>
        </w:rPr>
        <w:t xml:space="preserve"> </w:t>
      </w:r>
      <w:r>
        <w:t>nó aon fhaisnéis eile atá ábhartha ó thaobh rialacha an Aontais maidir le hiomaíocht agus maidir leis an margadh inmheánach.</w:t>
      </w:r>
    </w:p>
    <w:p w14:paraId="77BBE766" w14:textId="77777777" w:rsidR="007D7D41" w:rsidRPr="005C4E62" w:rsidRDefault="002A52F0" w:rsidP="00657CA5">
      <w:pPr>
        <w:tabs>
          <w:tab w:val="left" w:leader="dot" w:pos="9072"/>
        </w:tabs>
        <w:spacing w:before="120" w:after="240"/>
        <w:ind w:left="709"/>
        <w:jc w:val="both"/>
      </w:pPr>
      <w:r>
        <w:tab/>
      </w:r>
      <w:r>
        <w:tab/>
      </w:r>
    </w:p>
    <w:p w14:paraId="7EA91B3A" w14:textId="77777777" w:rsidR="00C04E88" w:rsidRPr="005C4E62" w:rsidRDefault="00C04E88" w:rsidP="00AA0B7A">
      <w:pPr>
        <w:pStyle w:val="NumPar2"/>
        <w:numPr>
          <w:ilvl w:val="1"/>
          <w:numId w:val="44"/>
        </w:numPr>
        <w:ind w:left="709" w:hanging="709"/>
        <w:rPr>
          <w:iCs/>
          <w:noProof/>
        </w:rPr>
      </w:pPr>
      <w:r>
        <w:t>Léirigh cé acu atá faisnéis faoi rún sa bhileog faisnéise forlíontaí seo nár cheart a nochtadh do thríú páirtithe</w:t>
      </w:r>
      <w:r w:rsidRPr="005C4E62">
        <w:rPr>
          <w:szCs w:val="20"/>
          <w:vertAlign w:val="superscript"/>
          <w:lang w:val="en-IE" w:eastAsia="en-US"/>
        </w:rPr>
        <w:footnoteReference w:id="37"/>
      </w:r>
      <w:r>
        <w:t>.</w:t>
      </w:r>
    </w:p>
    <w:p w14:paraId="388684EB"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5E4ACD">
        <w:rPr>
          <w:b/>
        </w:rPr>
      </w:r>
      <w:r w:rsidR="005E4ACD">
        <w:rPr>
          <w:b/>
        </w:rPr>
        <w:fldChar w:fldCharType="separate"/>
      </w:r>
      <w:r w:rsidRPr="005C4E62">
        <w:rPr>
          <w:b/>
        </w:rPr>
        <w:fldChar w:fldCharType="end"/>
      </w:r>
      <w:r>
        <w:rPr>
          <w:b/>
        </w:rPr>
        <w:t xml:space="preserve"> </w:t>
      </w:r>
      <w:r>
        <w:t>Tá. Má tá, léirigh an fhaisnéis rúnda agus tabhair cúiseanna leis an rúndacht.</w:t>
      </w:r>
    </w:p>
    <w:p w14:paraId="1BA60729"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5E4ACD">
        <w:rPr>
          <w:b/>
        </w:rPr>
      </w:r>
      <w:r w:rsidR="005E4ACD">
        <w:rPr>
          <w:b/>
        </w:rPr>
        <w:fldChar w:fldCharType="separate"/>
      </w:r>
      <w:r w:rsidRPr="005C4E62">
        <w:rPr>
          <w:b/>
        </w:rPr>
        <w:fldChar w:fldCharType="end"/>
      </w:r>
      <w:r>
        <w:rPr>
          <w:b/>
        </w:rPr>
        <w:t xml:space="preserve"> </w:t>
      </w:r>
      <w:r>
        <w:t>Níl.</w:t>
      </w:r>
    </w:p>
    <w:p w14:paraId="4B6D76ED" w14:textId="77777777" w:rsidR="00152F0E" w:rsidRPr="005C4E62" w:rsidRDefault="00152F0E" w:rsidP="00AA0B7A">
      <w:pPr>
        <w:pStyle w:val="NumPar2"/>
        <w:numPr>
          <w:ilvl w:val="1"/>
          <w:numId w:val="44"/>
        </w:numPr>
        <w:ind w:left="709" w:hanging="709"/>
        <w:rPr>
          <w:iCs/>
          <w:noProof/>
        </w:rPr>
      </w:pPr>
      <w:r>
        <w:t>Deimhnigh nach gcumhdaítear an beart cabhrach le hAirteagal 52c de Rialachán Ginearálta</w:t>
      </w:r>
      <w:r w:rsidR="00FC09A8" w:rsidRPr="005C4E62">
        <w:rPr>
          <w:rStyle w:val="FootnoteReference"/>
        </w:rPr>
        <w:footnoteReference w:id="38"/>
      </w:r>
      <w:r>
        <w:t xml:space="preserve"> maidir le Blocdhíolúine ná leis an Rialachán </w:t>
      </w:r>
      <w:r>
        <w:rPr>
          <w:i/>
        </w:rPr>
        <w:t>De Minimis</w:t>
      </w:r>
      <w:r w:rsidR="00C04E88" w:rsidRPr="005C4E62">
        <w:rPr>
          <w:rStyle w:val="FootnoteReference"/>
        </w:rPr>
        <w:footnoteReference w:id="39"/>
      </w:r>
      <w:r>
        <w:t>.</w:t>
      </w:r>
    </w:p>
    <w:p w14:paraId="4178436E"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5E4ACD">
        <w:fldChar w:fldCharType="separate"/>
      </w:r>
      <w:r w:rsidRPr="005C4E62">
        <w:fldChar w:fldCharType="end"/>
      </w:r>
      <w:r>
        <w:tab/>
        <w:t>Cumhdaítear</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5E4ACD">
        <w:fldChar w:fldCharType="separate"/>
      </w:r>
      <w:r w:rsidR="008B2C0A" w:rsidRPr="005C4E62">
        <w:fldChar w:fldCharType="end"/>
      </w:r>
      <w:r>
        <w:tab/>
        <w:t>Ní chumhdaítear</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1D200" w14:textId="77777777" w:rsidR="00327EA6" w:rsidRDefault="00327EA6" w:rsidP="007B33E6">
      <w:r>
        <w:separator/>
      </w:r>
    </w:p>
  </w:endnote>
  <w:endnote w:type="continuationSeparator" w:id="0">
    <w:p w14:paraId="7CF8D68F"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D2960" w14:textId="77777777" w:rsidR="00327EA6" w:rsidRDefault="00327EA6" w:rsidP="007B33E6">
      <w:r>
        <w:separator/>
      </w:r>
    </w:p>
  </w:footnote>
  <w:footnote w:type="continuationSeparator" w:id="0">
    <w:p w14:paraId="006EEE8A" w14:textId="77777777" w:rsidR="00327EA6" w:rsidRDefault="00327EA6" w:rsidP="007B33E6">
      <w:r>
        <w:continuationSeparator/>
      </w:r>
    </w:p>
  </w:footnote>
  <w:footnote w:id="1">
    <w:p w14:paraId="517AD236" w14:textId="77777777" w:rsidR="007B33E6" w:rsidRPr="005C4E62" w:rsidRDefault="007B33E6" w:rsidP="007B33E6">
      <w:pPr>
        <w:pStyle w:val="FootnoteText"/>
        <w:rPr>
          <w:i/>
        </w:rPr>
      </w:pPr>
      <w:r>
        <w:rPr>
          <w:rStyle w:val="FootnoteReference"/>
        </w:rPr>
        <w:footnoteRef/>
      </w:r>
      <w:r>
        <w:tab/>
        <w:t xml:space="preserve">Treoirlínte maidir le Státchabhair le haghaidh líonraí leathanbhanda (IO </w:t>
      </w:r>
      <w:r>
        <w:rPr>
          <w:color w:val="000000"/>
          <w:sz w:val="19"/>
        </w:rPr>
        <w:t>C 36, 31.1.2023, lch. 1)</w:t>
      </w:r>
      <w:r>
        <w:t>.</w:t>
      </w:r>
    </w:p>
  </w:footnote>
  <w:footnote w:id="2">
    <w:p w14:paraId="6FDF469E" w14:textId="77777777" w:rsidR="001507A9" w:rsidRPr="005C4E62" w:rsidRDefault="001507A9">
      <w:pPr>
        <w:pStyle w:val="FootnoteText"/>
      </w:pPr>
      <w:r>
        <w:rPr>
          <w:rStyle w:val="FootnoteReference"/>
        </w:rPr>
        <w:footnoteRef/>
      </w:r>
      <w:r>
        <w:t xml:space="preserve"> </w:t>
      </w:r>
      <w:r>
        <w:tab/>
        <w:t>Míreanna 177-179.</w:t>
      </w:r>
    </w:p>
  </w:footnote>
  <w:footnote w:id="3">
    <w:p w14:paraId="63A515E8" w14:textId="77777777" w:rsidR="001507A9" w:rsidRPr="005C4E62" w:rsidRDefault="001507A9">
      <w:pPr>
        <w:pStyle w:val="FootnoteText"/>
      </w:pPr>
      <w:r>
        <w:rPr>
          <w:rStyle w:val="FootnoteReference"/>
        </w:rPr>
        <w:footnoteRef/>
      </w:r>
      <w:r>
        <w:t xml:space="preserve"> </w:t>
      </w:r>
      <w:r>
        <w:tab/>
        <w:t>Mír 181.</w:t>
      </w:r>
    </w:p>
  </w:footnote>
  <w:footnote w:id="4">
    <w:p w14:paraId="4F463E85" w14:textId="77777777" w:rsidR="001507A9" w:rsidRPr="005C4E62" w:rsidRDefault="001507A9">
      <w:pPr>
        <w:pStyle w:val="FootnoteText"/>
      </w:pPr>
      <w:r>
        <w:rPr>
          <w:rStyle w:val="FootnoteReference"/>
        </w:rPr>
        <w:footnoteRef/>
      </w:r>
      <w:r>
        <w:t xml:space="preserve"> </w:t>
      </w:r>
      <w:r>
        <w:tab/>
        <w:t>Mír 189.</w:t>
      </w:r>
    </w:p>
  </w:footnote>
  <w:footnote w:id="5">
    <w:p w14:paraId="54D95AF8" w14:textId="77777777" w:rsidR="006F5901" w:rsidRPr="005C4E62" w:rsidRDefault="006F5901" w:rsidP="006F5901">
      <w:pPr>
        <w:pStyle w:val="FootnoteText"/>
      </w:pPr>
      <w:r>
        <w:rPr>
          <w:rStyle w:val="FootnoteReference"/>
        </w:rPr>
        <w:footnoteRef/>
      </w:r>
      <w:r>
        <w:tab/>
      </w:r>
      <w:r>
        <w:rPr>
          <w:i/>
        </w:rPr>
        <w:t>E.g.</w:t>
      </w:r>
      <w:r>
        <w:t xml:space="preserve">, Cinneadh (AE) 2022/2481 ó Pharlaimint na hEorpa agus ón gComhairle an 14 Nollaig 2022 lena mbunaítear Clár Beartais 2030 don Deacáid Dhigiteach (IO L 323, 19.12.2022, lch. 4). </w:t>
      </w:r>
    </w:p>
  </w:footnote>
  <w:footnote w:id="6">
    <w:p w14:paraId="3183B017" w14:textId="77777777" w:rsidR="001507A9" w:rsidRPr="005C4E62" w:rsidRDefault="001507A9" w:rsidP="001507A9">
      <w:pPr>
        <w:pStyle w:val="FootnoteText"/>
      </w:pPr>
      <w:r>
        <w:rPr>
          <w:rStyle w:val="FootnoteReference"/>
        </w:rPr>
        <w:footnoteRef/>
      </w:r>
      <w:r>
        <w:t xml:space="preserve"> </w:t>
      </w:r>
      <w:r>
        <w:tab/>
        <w:t>Mír 175.</w:t>
      </w:r>
    </w:p>
  </w:footnote>
  <w:footnote w:id="7">
    <w:p w14:paraId="24072D96" w14:textId="77777777" w:rsidR="005A7B71" w:rsidRPr="005C4E62" w:rsidRDefault="005A7B71">
      <w:pPr>
        <w:pStyle w:val="FootnoteText"/>
        <w:rPr>
          <w:i/>
          <w:iCs/>
        </w:rPr>
      </w:pPr>
      <w:r>
        <w:rPr>
          <w:rStyle w:val="FootnoteReference"/>
        </w:rPr>
        <w:footnoteRef/>
      </w:r>
      <w:r>
        <w:tab/>
        <w:t>Míreanna 19(j) agus (k). Féach freisin mír 20, an abairt dheireanach.</w:t>
      </w:r>
    </w:p>
  </w:footnote>
  <w:footnote w:id="8">
    <w:p w14:paraId="426C950E" w14:textId="77777777" w:rsidR="007B5294" w:rsidRPr="005C4E62" w:rsidRDefault="007B5294" w:rsidP="007B5294">
      <w:pPr>
        <w:pStyle w:val="FootnoteText"/>
      </w:pPr>
      <w:r>
        <w:rPr>
          <w:rStyle w:val="FootnoteReference"/>
        </w:rPr>
        <w:footnoteRef/>
      </w:r>
      <w:r>
        <w:t xml:space="preserve"> </w:t>
      </w:r>
      <w:r>
        <w:tab/>
        <w:t>Mír 182.</w:t>
      </w:r>
    </w:p>
  </w:footnote>
  <w:footnote w:id="9">
    <w:p w14:paraId="5A9F1173" w14:textId="77777777" w:rsidR="00710B4A" w:rsidRPr="005C4E62" w:rsidRDefault="00710B4A" w:rsidP="00710B4A">
      <w:pPr>
        <w:pStyle w:val="FootnoteText"/>
      </w:pPr>
      <w:r>
        <w:rPr>
          <w:rStyle w:val="FootnoteReference"/>
        </w:rPr>
        <w:footnoteRef/>
      </w:r>
      <w:r>
        <w:t xml:space="preserve"> </w:t>
      </w:r>
      <w:r>
        <w:tab/>
        <w:t>Mír 184.</w:t>
      </w:r>
    </w:p>
  </w:footnote>
  <w:footnote w:id="10">
    <w:p w14:paraId="236D610A" w14:textId="77777777" w:rsidR="007B5294" w:rsidRPr="005C4E62" w:rsidRDefault="007B5294" w:rsidP="007B5294">
      <w:pPr>
        <w:pStyle w:val="FootnoteText"/>
      </w:pPr>
      <w:r>
        <w:rPr>
          <w:rStyle w:val="FootnoteReference"/>
        </w:rPr>
        <w:footnoteRef/>
      </w:r>
      <w:r>
        <w:t xml:space="preserve"> </w:t>
      </w:r>
      <w:r>
        <w:tab/>
        <w:t xml:space="preserve">Mír 183. </w:t>
      </w:r>
    </w:p>
  </w:footnote>
  <w:footnote w:id="11">
    <w:p w14:paraId="36308491" w14:textId="77777777" w:rsidR="00E101F1" w:rsidRPr="005C4E62" w:rsidRDefault="00E101F1" w:rsidP="00E101F1">
      <w:pPr>
        <w:pStyle w:val="FootnoteText"/>
      </w:pPr>
      <w:r>
        <w:rPr>
          <w:rStyle w:val="FootnoteReference"/>
        </w:rPr>
        <w:footnoteRef/>
      </w:r>
      <w:r>
        <w:t xml:space="preserve"> </w:t>
      </w:r>
      <w:r>
        <w:tab/>
        <w:t>Mír 185.</w:t>
      </w:r>
    </w:p>
  </w:footnote>
  <w:footnote w:id="12">
    <w:p w14:paraId="7E5A7089" w14:textId="77777777" w:rsidR="00E101F1" w:rsidRPr="005C4E62" w:rsidRDefault="00E101F1" w:rsidP="00E101F1">
      <w:pPr>
        <w:pStyle w:val="FootnoteText"/>
      </w:pPr>
      <w:r>
        <w:rPr>
          <w:rStyle w:val="FootnoteReference"/>
        </w:rPr>
        <w:footnoteRef/>
      </w:r>
      <w:r>
        <w:t xml:space="preserve"> </w:t>
      </w:r>
      <w:r>
        <w:tab/>
        <w:t>Mír 185.</w:t>
      </w:r>
    </w:p>
  </w:footnote>
  <w:footnote w:id="13">
    <w:p w14:paraId="6E9C2B02" w14:textId="77777777" w:rsidR="00C90B4D" w:rsidRPr="005C4E62" w:rsidRDefault="00C90B4D" w:rsidP="00C90B4D">
      <w:pPr>
        <w:pStyle w:val="FootnoteText"/>
      </w:pPr>
      <w:r>
        <w:rPr>
          <w:rStyle w:val="FootnoteReference"/>
        </w:rPr>
        <w:footnoteRef/>
      </w:r>
      <w:r>
        <w:t xml:space="preserve"> </w:t>
      </w:r>
      <w:r>
        <w:tab/>
        <w:t>Mír 185.</w:t>
      </w:r>
    </w:p>
  </w:footnote>
  <w:footnote w:id="14">
    <w:p w14:paraId="782AD3A6" w14:textId="77777777" w:rsidR="00D1408F" w:rsidRPr="005C4E62" w:rsidRDefault="00D1408F">
      <w:pPr>
        <w:pStyle w:val="FootnoteText"/>
      </w:pPr>
      <w:r>
        <w:rPr>
          <w:rStyle w:val="FootnoteReference"/>
        </w:rPr>
        <w:footnoteRef/>
      </w:r>
      <w:r>
        <w:tab/>
        <w:t>Mír 186.</w:t>
      </w:r>
    </w:p>
  </w:footnote>
  <w:footnote w:id="15">
    <w:p w14:paraId="1E06851D" w14:textId="77777777" w:rsidR="00D1408F" w:rsidRPr="005C4E62" w:rsidRDefault="00D1408F">
      <w:pPr>
        <w:pStyle w:val="FootnoteText"/>
      </w:pPr>
      <w:r>
        <w:rPr>
          <w:rStyle w:val="FootnoteReference"/>
        </w:rPr>
        <w:footnoteRef/>
      </w:r>
      <w:r>
        <w:t xml:space="preserve"> </w:t>
      </w:r>
      <w:r>
        <w:tab/>
        <w:t>Mír 187.</w:t>
      </w:r>
    </w:p>
  </w:footnote>
  <w:footnote w:id="16">
    <w:p w14:paraId="7B2D5C1C" w14:textId="77777777" w:rsidR="00F47AC0" w:rsidRPr="005C4E62" w:rsidRDefault="00F47AC0">
      <w:pPr>
        <w:pStyle w:val="FootnoteText"/>
      </w:pPr>
      <w:r>
        <w:rPr>
          <w:rStyle w:val="FootnoteReference"/>
        </w:rPr>
        <w:footnoteRef/>
      </w:r>
      <w:r>
        <w:t xml:space="preserve"> </w:t>
      </w:r>
      <w:r>
        <w:tab/>
        <w:t>Mír 194.</w:t>
      </w:r>
    </w:p>
  </w:footnote>
  <w:footnote w:id="17">
    <w:p w14:paraId="16338F51" w14:textId="77777777" w:rsidR="00F47AC0" w:rsidRPr="005C4E62" w:rsidRDefault="00F47AC0">
      <w:pPr>
        <w:pStyle w:val="FootnoteText"/>
      </w:pPr>
      <w:r>
        <w:rPr>
          <w:rStyle w:val="FootnoteReference"/>
        </w:rPr>
        <w:footnoteRef/>
      </w:r>
      <w:r>
        <w:t xml:space="preserve"> </w:t>
      </w:r>
      <w:r>
        <w:tab/>
        <w:t>Mír 195.</w:t>
      </w:r>
    </w:p>
  </w:footnote>
  <w:footnote w:id="18">
    <w:p w14:paraId="530DD4B1" w14:textId="77777777" w:rsidR="00F47AC0" w:rsidRPr="005C4E62" w:rsidRDefault="00F47AC0">
      <w:pPr>
        <w:pStyle w:val="FootnoteText"/>
      </w:pPr>
      <w:r>
        <w:rPr>
          <w:rStyle w:val="FootnoteReference"/>
        </w:rPr>
        <w:footnoteRef/>
      </w:r>
      <w:r>
        <w:t xml:space="preserve"> </w:t>
      </w:r>
      <w:r>
        <w:tab/>
        <w:t>Mír 193.</w:t>
      </w:r>
    </w:p>
  </w:footnote>
  <w:footnote w:id="19">
    <w:p w14:paraId="54A561F7" w14:textId="77777777" w:rsidR="00F47AC0" w:rsidRPr="005C4E62" w:rsidRDefault="00F47AC0">
      <w:pPr>
        <w:pStyle w:val="FootnoteText"/>
      </w:pPr>
      <w:r>
        <w:rPr>
          <w:rStyle w:val="FootnoteReference"/>
        </w:rPr>
        <w:footnoteRef/>
      </w:r>
      <w:r>
        <w:t xml:space="preserve"> </w:t>
      </w:r>
      <w:r>
        <w:tab/>
        <w:t>Mír 193.</w:t>
      </w:r>
    </w:p>
  </w:footnote>
  <w:footnote w:id="20">
    <w:p w14:paraId="67AC2E80" w14:textId="77777777" w:rsidR="00F47AC0" w:rsidRPr="005C4E62" w:rsidRDefault="00F47AC0">
      <w:pPr>
        <w:pStyle w:val="FootnoteText"/>
      </w:pPr>
      <w:r>
        <w:rPr>
          <w:rStyle w:val="FootnoteReference"/>
        </w:rPr>
        <w:footnoteRef/>
      </w:r>
      <w:r>
        <w:t xml:space="preserve"> </w:t>
      </w:r>
      <w:r>
        <w:tab/>
        <w:t>Mír 196. Féach freisin mír 194.</w:t>
      </w:r>
    </w:p>
  </w:footnote>
  <w:footnote w:id="21">
    <w:p w14:paraId="5380C24F" w14:textId="77777777" w:rsidR="00F47AC0" w:rsidRPr="005C4E62" w:rsidRDefault="00F47AC0">
      <w:pPr>
        <w:pStyle w:val="FootnoteText"/>
      </w:pPr>
      <w:r>
        <w:rPr>
          <w:rStyle w:val="FootnoteReference"/>
        </w:rPr>
        <w:footnoteRef/>
      </w:r>
      <w:r>
        <w:t xml:space="preserve"> </w:t>
      </w:r>
      <w:r>
        <w:tab/>
        <w:t>Mír 196.</w:t>
      </w:r>
    </w:p>
  </w:footnote>
  <w:footnote w:id="22">
    <w:p w14:paraId="0DAB3A6D" w14:textId="77777777" w:rsidR="00E217F7" w:rsidRPr="005C4E62" w:rsidRDefault="00E217F7">
      <w:pPr>
        <w:pStyle w:val="FootnoteText"/>
      </w:pPr>
      <w:r>
        <w:rPr>
          <w:rStyle w:val="FootnoteReference"/>
        </w:rPr>
        <w:footnoteRef/>
      </w:r>
      <w:r>
        <w:t xml:space="preserve"> </w:t>
      </w:r>
      <w:r>
        <w:tab/>
        <w:t>Mír 198.</w:t>
      </w:r>
    </w:p>
  </w:footnote>
  <w:footnote w:id="23">
    <w:p w14:paraId="7CED2662" w14:textId="77777777" w:rsidR="009A1814" w:rsidRPr="005C4E62" w:rsidRDefault="009A1814" w:rsidP="009A1814">
      <w:pPr>
        <w:pStyle w:val="FootnoteText"/>
      </w:pPr>
      <w:r>
        <w:rPr>
          <w:rStyle w:val="FootnoteReference"/>
        </w:rPr>
        <w:footnoteRef/>
      </w:r>
      <w:r>
        <w:t xml:space="preserve"> </w:t>
      </w:r>
      <w:r>
        <w:tab/>
        <w:t>Mír 187.</w:t>
      </w:r>
    </w:p>
  </w:footnote>
  <w:footnote w:id="24">
    <w:p w14:paraId="30E6860C" w14:textId="77777777" w:rsidR="00807BE5" w:rsidRPr="005C4E62" w:rsidRDefault="00807BE5" w:rsidP="00807BE5">
      <w:pPr>
        <w:pStyle w:val="FootnoteText"/>
      </w:pPr>
      <w:r>
        <w:rPr>
          <w:rStyle w:val="FootnoteReference"/>
        </w:rPr>
        <w:footnoteRef/>
      </w:r>
      <w:r>
        <w:t xml:space="preserve"> </w:t>
      </w:r>
      <w:r>
        <w:tab/>
        <w:t>Mír 191.</w:t>
      </w:r>
    </w:p>
  </w:footnote>
  <w:footnote w:id="25">
    <w:p w14:paraId="16B14B5C" w14:textId="77777777" w:rsidR="00F47AC0" w:rsidRPr="005C4E62" w:rsidRDefault="00F47AC0" w:rsidP="00F47AC0">
      <w:pPr>
        <w:pStyle w:val="FootnoteText"/>
      </w:pPr>
      <w:r>
        <w:rPr>
          <w:rStyle w:val="FootnoteReference"/>
        </w:rPr>
        <w:footnoteRef/>
      </w:r>
      <w:r>
        <w:t xml:space="preserve"> </w:t>
      </w:r>
      <w:r>
        <w:tab/>
        <w:t>Mír 192. Le haghaidh sainmhíniú ar éifeacht dreasachta, féach mír 38.</w:t>
      </w:r>
    </w:p>
  </w:footnote>
  <w:footnote w:id="26">
    <w:p w14:paraId="2AA4C976" w14:textId="77777777" w:rsidR="006C4335" w:rsidRPr="005C4E62" w:rsidRDefault="006C4335">
      <w:pPr>
        <w:pStyle w:val="FootnoteText"/>
      </w:pPr>
      <w:r>
        <w:rPr>
          <w:rStyle w:val="FootnoteReference"/>
        </w:rPr>
        <w:footnoteRef/>
      </w:r>
      <w:r>
        <w:t xml:space="preserve"> </w:t>
      </w:r>
      <w:r>
        <w:tab/>
        <w:t>Mír 194.</w:t>
      </w:r>
    </w:p>
  </w:footnote>
  <w:footnote w:id="27">
    <w:p w14:paraId="0ED180D2" w14:textId="77777777" w:rsidR="00E217F7" w:rsidRPr="005C4E62" w:rsidRDefault="00E217F7">
      <w:pPr>
        <w:pStyle w:val="FootnoteText"/>
      </w:pPr>
      <w:r>
        <w:rPr>
          <w:rStyle w:val="FootnoteReference"/>
        </w:rPr>
        <w:footnoteRef/>
      </w:r>
      <w:r>
        <w:t xml:space="preserve"> </w:t>
      </w:r>
      <w:r>
        <w:tab/>
        <w:t>Mír 197. Féach freisin mír 195.</w:t>
      </w:r>
    </w:p>
  </w:footnote>
  <w:footnote w:id="28">
    <w:p w14:paraId="1647C0AC" w14:textId="77777777" w:rsidR="00E217F7" w:rsidRPr="005C4E62" w:rsidRDefault="00E217F7">
      <w:pPr>
        <w:pStyle w:val="FootnoteText"/>
      </w:pPr>
      <w:r>
        <w:rPr>
          <w:rStyle w:val="FootnoteReference"/>
        </w:rPr>
        <w:footnoteRef/>
      </w:r>
      <w:r>
        <w:t xml:space="preserve"> </w:t>
      </w:r>
      <w:r>
        <w:tab/>
        <w:t>Mír 200.</w:t>
      </w:r>
    </w:p>
  </w:footnote>
  <w:footnote w:id="29">
    <w:p w14:paraId="59B74BCB" w14:textId="77777777" w:rsidR="00DE2831" w:rsidRPr="005C4E62" w:rsidRDefault="00DE2831">
      <w:pPr>
        <w:pStyle w:val="FootnoteText"/>
      </w:pPr>
      <w:r>
        <w:rPr>
          <w:rStyle w:val="FootnoteReference"/>
        </w:rPr>
        <w:footnoteRef/>
      </w:r>
      <w:r>
        <w:t xml:space="preserve"> </w:t>
      </w:r>
      <w:r>
        <w:tab/>
        <w:t>Mír 202.</w:t>
      </w:r>
    </w:p>
  </w:footnote>
  <w:footnote w:id="30">
    <w:p w14:paraId="67E38542" w14:textId="77777777" w:rsidR="00DE2831" w:rsidRPr="005C4E62" w:rsidRDefault="00DE2831">
      <w:pPr>
        <w:pStyle w:val="FootnoteText"/>
      </w:pPr>
      <w:r>
        <w:rPr>
          <w:rStyle w:val="FootnoteReference"/>
        </w:rPr>
        <w:footnoteRef/>
      </w:r>
      <w:r>
        <w:t xml:space="preserve"> </w:t>
      </w:r>
      <w:r>
        <w:tab/>
        <w:t>Mír 203.</w:t>
      </w:r>
    </w:p>
  </w:footnote>
  <w:footnote w:id="31">
    <w:p w14:paraId="1E7C1F01" w14:textId="77777777" w:rsidR="00153D1B" w:rsidRPr="005C4E62" w:rsidRDefault="00153D1B">
      <w:pPr>
        <w:pStyle w:val="FootnoteText"/>
      </w:pPr>
      <w:r>
        <w:rPr>
          <w:rStyle w:val="FootnoteReference"/>
        </w:rPr>
        <w:footnoteRef/>
      </w:r>
      <w:r>
        <w:t xml:space="preserve"> </w:t>
      </w:r>
      <w:r>
        <w:tab/>
        <w:t xml:space="preserve">Ar fáil ag: </w:t>
      </w:r>
      <w:hyperlink r:id="rId1" w:history="1">
        <w:r>
          <w:rPr>
            <w:rStyle w:val="Hyperlink"/>
          </w:rPr>
          <w:t>https://webgate.ec.europa.eu/competition/transparency/public?lang=ga</w:t>
        </w:r>
      </w:hyperlink>
      <w:r>
        <w:t xml:space="preserve">. </w:t>
      </w:r>
    </w:p>
  </w:footnote>
  <w:footnote w:id="32">
    <w:p w14:paraId="1ABE1DAA" w14:textId="77777777" w:rsidR="00153D1B" w:rsidRPr="005C4E62" w:rsidRDefault="00153D1B">
      <w:pPr>
        <w:pStyle w:val="FootnoteText"/>
      </w:pPr>
      <w:r>
        <w:rPr>
          <w:rStyle w:val="FootnoteReference"/>
        </w:rPr>
        <w:footnoteRef/>
      </w:r>
      <w:r>
        <w:t xml:space="preserve"> </w:t>
      </w:r>
      <w:r>
        <w:tab/>
        <w:t>Mír 202.</w:t>
      </w:r>
    </w:p>
  </w:footnote>
  <w:footnote w:id="33">
    <w:p w14:paraId="0A84D45C" w14:textId="77777777" w:rsidR="00DE2831" w:rsidRPr="005C4E62" w:rsidRDefault="00DE2831" w:rsidP="00DE2831">
      <w:pPr>
        <w:pStyle w:val="FootnoteText"/>
      </w:pPr>
      <w:r>
        <w:rPr>
          <w:rStyle w:val="FootnoteReference"/>
        </w:rPr>
        <w:footnoteRef/>
      </w:r>
      <w:r>
        <w:t xml:space="preserve"> </w:t>
      </w:r>
      <w:r>
        <w:tab/>
        <w:t>Mír 204.</w:t>
      </w:r>
    </w:p>
  </w:footnote>
  <w:footnote w:id="34">
    <w:p w14:paraId="24D3797B" w14:textId="77777777" w:rsidR="00DE2831" w:rsidRPr="005C4E62" w:rsidRDefault="00DE2831" w:rsidP="00DE2831">
      <w:pPr>
        <w:pStyle w:val="FootnoteText"/>
      </w:pPr>
      <w:r>
        <w:rPr>
          <w:rStyle w:val="FootnoteReference"/>
        </w:rPr>
        <w:footnoteRef/>
      </w:r>
      <w:r>
        <w:t xml:space="preserve"> </w:t>
      </w:r>
      <w:r>
        <w:tab/>
        <w:t>Mír 204.</w:t>
      </w:r>
    </w:p>
  </w:footnote>
  <w:footnote w:id="35">
    <w:p w14:paraId="5FE83607" w14:textId="77777777" w:rsidR="004879A7" w:rsidRPr="005C4E62" w:rsidRDefault="004879A7">
      <w:pPr>
        <w:pStyle w:val="FootnoteText"/>
      </w:pPr>
      <w:r>
        <w:rPr>
          <w:rStyle w:val="FootnoteReference"/>
        </w:rPr>
        <w:footnoteRef/>
      </w:r>
      <w:r>
        <w:t xml:space="preserve"> </w:t>
      </w:r>
      <w:r>
        <w:tab/>
        <w:t>Míreanna 207-208.</w:t>
      </w:r>
    </w:p>
  </w:footnote>
  <w:footnote w:id="36">
    <w:p w14:paraId="6A6D9C48" w14:textId="77777777" w:rsidR="004879A7" w:rsidRPr="005C4E62" w:rsidRDefault="004879A7">
      <w:pPr>
        <w:pStyle w:val="FootnoteText"/>
      </w:pPr>
      <w:r>
        <w:rPr>
          <w:rStyle w:val="FootnoteReference"/>
        </w:rPr>
        <w:footnoteRef/>
      </w:r>
      <w:r>
        <w:t xml:space="preserve"> </w:t>
      </w:r>
      <w:r>
        <w:tab/>
        <w:t>Mír 209.</w:t>
      </w:r>
    </w:p>
  </w:footnote>
  <w:footnote w:id="37">
    <w:p w14:paraId="0A116C06" w14:textId="77777777" w:rsidR="00C04E88" w:rsidRPr="005C4E62" w:rsidRDefault="00C04E88" w:rsidP="00C04E88">
      <w:pPr>
        <w:pStyle w:val="FootnoteText"/>
      </w:pPr>
      <w:r>
        <w:rPr>
          <w:rStyle w:val="FootnoteReference"/>
        </w:rPr>
        <w:footnoteRef/>
      </w:r>
      <w:r>
        <w:tab/>
        <w:t>Chun treoir a fháil féach Airteagal 339 CFAE ina dtagraítear ‘d’</w:t>
      </w:r>
      <w:r>
        <w:rPr>
          <w:i/>
        </w:rPr>
        <w:t>fhaisnéis a bhaineann le gnóthais, lena gcaidreamh gnó nó le comhdhéanamh a gcostas</w:t>
      </w:r>
      <w:r>
        <w:t>’. Tá sainmhíniú ginearálta déanta ag cúirteanna an Aontais ar ‘</w:t>
      </w:r>
      <w:r>
        <w:rPr>
          <w:i/>
        </w:rPr>
        <w:t>rúin ghnó</w:t>
      </w:r>
      <w:r>
        <w:t>’ mar fhaisnéis ‘</w:t>
      </w:r>
      <w:r>
        <w:rPr>
          <w:i/>
        </w:rPr>
        <w:t>lena bhféadfaí dochar tromchúiseach a dhéanamh do leas an duine a sholáthair an fhaisnéis dá nochtfaí an fhaisnéis don phobal nó fiú dá ndéanfaí an fhaisnéis a tharchur chuig duine seachas an duine a sholáthair í</w:t>
      </w:r>
      <w:r>
        <w:t xml:space="preserve">’ i gCás T‑353/94  </w:t>
      </w:r>
      <w:r>
        <w:rPr>
          <w:i/>
        </w:rPr>
        <w:t>Postbank</w:t>
      </w:r>
      <w:r>
        <w:t xml:space="preserve"> v an </w:t>
      </w:r>
      <w:r>
        <w:rPr>
          <w:i/>
        </w:rPr>
        <w:t>Coimisiún</w:t>
      </w:r>
      <w:r>
        <w:t xml:space="preserve"> </w:t>
      </w:r>
      <w:r>
        <w:rPr>
          <w:rStyle w:val="outputecliaff"/>
        </w:rPr>
        <w:t>ECLI:EU:T:1996:119, mír 87.</w:t>
      </w:r>
    </w:p>
  </w:footnote>
  <w:footnote w:id="38">
    <w:p w14:paraId="5969CAF1" w14:textId="77777777" w:rsidR="00FC09A8" w:rsidRPr="005C4E62" w:rsidRDefault="00FC09A8" w:rsidP="00FC09A8">
      <w:pPr>
        <w:pStyle w:val="FootnoteText"/>
      </w:pPr>
      <w:r>
        <w:rPr>
          <w:rStyle w:val="FootnoteReference"/>
        </w:rPr>
        <w:footnoteRef/>
      </w:r>
      <w:r>
        <w:tab/>
        <w:t>Rialachán (AE) Uimh. 651/2014 ón gCoimisiún an 17 Meitheamh 2014 lena ndearbhaítear go bhfuil catagóirí áirithe cabhrach comhoiriúnach leis an margadh inmheánach i gcur i bhfeidhm Airteagal 107 agus Airteagal 108 den Chonradh (IO L 187, 26.6.2014, lch. 1), arna leasú.</w:t>
      </w:r>
    </w:p>
  </w:footnote>
  <w:footnote w:id="39">
    <w:p w14:paraId="4A9B5232" w14:textId="77777777" w:rsidR="00C04E88" w:rsidRPr="00FC09A8" w:rsidRDefault="00C04E88" w:rsidP="00C04E88">
      <w:pPr>
        <w:pStyle w:val="FootnoteText"/>
      </w:pPr>
      <w:r>
        <w:rPr>
          <w:rStyle w:val="FootnoteReference"/>
        </w:rPr>
        <w:footnoteRef/>
      </w:r>
      <w:r>
        <w:tab/>
        <w:t xml:space="preserve">Rialachán (AE) Uimh. 1407/2013 ón gCoimisiún an 18 Nollaig 2013 maidir le cur i bhfeidhm Airteagail 107 agus 108 den Chonradh ar Fheidhmiú an Aontais Eorpaigh maidir le cabhair </w:t>
      </w:r>
      <w:r>
        <w:rPr>
          <w:i/>
        </w:rPr>
        <w:t>de minimis</w:t>
      </w:r>
      <w:r>
        <w:t xml:space="preserve"> (IO L 352, 24.12.2013, lch. 1), arna leasú.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0CE4045"/>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7"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1"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2"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5"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6"/>
  </w:num>
  <w:num w:numId="4" w16cid:durableId="1096363254">
    <w:abstractNumId w:val="0"/>
  </w:num>
  <w:num w:numId="5" w16cid:durableId="534733717">
    <w:abstractNumId w:val="29"/>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2"/>
  </w:num>
  <w:num w:numId="11" w16cid:durableId="770707077">
    <w:abstractNumId w:val="8"/>
  </w:num>
  <w:num w:numId="12" w16cid:durableId="1062022620">
    <w:abstractNumId w:val="34"/>
  </w:num>
  <w:num w:numId="13" w16cid:durableId="1128751">
    <w:abstractNumId w:val="21"/>
  </w:num>
  <w:num w:numId="14" w16cid:durableId="1953514520">
    <w:abstractNumId w:val="38"/>
  </w:num>
  <w:num w:numId="15" w16cid:durableId="2143768770">
    <w:abstractNumId w:val="41"/>
  </w:num>
  <w:num w:numId="16" w16cid:durableId="1513300708">
    <w:abstractNumId w:val="7"/>
  </w:num>
  <w:num w:numId="17" w16cid:durableId="1235355958">
    <w:abstractNumId w:val="18"/>
  </w:num>
  <w:num w:numId="18" w16cid:durableId="2107579641">
    <w:abstractNumId w:val="20"/>
  </w:num>
  <w:num w:numId="19" w16cid:durableId="1092236615">
    <w:abstractNumId w:val="31"/>
  </w:num>
  <w:num w:numId="20" w16cid:durableId="412317650">
    <w:abstractNumId w:val="3"/>
  </w:num>
  <w:num w:numId="21" w16cid:durableId="2128500346">
    <w:abstractNumId w:val="32"/>
  </w:num>
  <w:num w:numId="22" w16cid:durableId="1447118299">
    <w:abstractNumId w:val="16"/>
  </w:num>
  <w:num w:numId="23" w16cid:durableId="580914879">
    <w:abstractNumId w:val="39"/>
  </w:num>
  <w:num w:numId="24" w16cid:durableId="1613895504">
    <w:abstractNumId w:val="15"/>
  </w:num>
  <w:num w:numId="25" w16cid:durableId="487525385">
    <w:abstractNumId w:val="37"/>
  </w:num>
  <w:num w:numId="26" w16cid:durableId="1541477428">
    <w:abstractNumId w:val="30"/>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3"/>
  </w:num>
  <w:num w:numId="32" w16cid:durableId="1408305502">
    <w:abstractNumId w:val="35"/>
  </w:num>
  <w:num w:numId="33" w16cid:durableId="2051685378">
    <w:abstractNumId w:val="4"/>
  </w:num>
  <w:num w:numId="34" w16cid:durableId="1172991327">
    <w:abstractNumId w:val="28"/>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4"/>
  </w:num>
  <w:num w:numId="40" w16cid:durableId="359168937">
    <w:abstractNumId w:val="19"/>
  </w:num>
  <w:num w:numId="41" w16cid:durableId="1688485660">
    <w:abstractNumId w:val="27"/>
  </w:num>
  <w:num w:numId="42" w16cid:durableId="1550023508">
    <w:abstractNumId w:val="13"/>
  </w:num>
  <w:num w:numId="43" w16cid:durableId="451440294">
    <w:abstractNumId w:val="17"/>
  </w:num>
  <w:num w:numId="44" w16cid:durableId="835000467">
    <w:abstractNumId w:val="6"/>
  </w:num>
  <w:num w:numId="45" w16cid:durableId="1931307487">
    <w:abstractNumId w:val="42"/>
  </w:num>
  <w:num w:numId="46" w16cid:durableId="1624653190">
    <w:abstractNumId w:val="11"/>
  </w:num>
  <w:num w:numId="47" w16cid:durableId="61217928">
    <w:abstractNumId w:val="25"/>
  </w:num>
  <w:num w:numId="48" w16cid:durableId="177054376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E4ACD"/>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17940"/>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A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ga-IE"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ga-IE"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ga-IE" w:eastAsia="en-US"/>
    </w:rPr>
  </w:style>
  <w:style w:type="paragraph" w:styleId="Header">
    <w:name w:val="header"/>
    <w:basedOn w:val="Normal"/>
    <w:link w:val="HeaderChar"/>
    <w:uiPriority w:val="99"/>
    <w:unhideWhenUsed/>
    <w:rsid w:val="005E4ACD"/>
    <w:pPr>
      <w:tabs>
        <w:tab w:val="center" w:pos="4513"/>
        <w:tab w:val="right" w:pos="9026"/>
      </w:tabs>
    </w:pPr>
  </w:style>
  <w:style w:type="character" w:customStyle="1" w:styleId="HeaderChar">
    <w:name w:val="Header Char"/>
    <w:basedOn w:val="DefaultParagraphFont"/>
    <w:link w:val="Header"/>
    <w:uiPriority w:val="99"/>
    <w:rsid w:val="005E4ACD"/>
    <w:rPr>
      <w:sz w:val="24"/>
      <w:lang w:eastAsia="en-US"/>
    </w:rPr>
  </w:style>
  <w:style w:type="paragraph" w:styleId="Footer">
    <w:name w:val="footer"/>
    <w:basedOn w:val="Normal"/>
    <w:link w:val="FooterChar"/>
    <w:uiPriority w:val="99"/>
    <w:unhideWhenUsed/>
    <w:rsid w:val="005E4ACD"/>
    <w:pPr>
      <w:tabs>
        <w:tab w:val="center" w:pos="4513"/>
        <w:tab w:val="right" w:pos="9026"/>
      </w:tabs>
    </w:pPr>
  </w:style>
  <w:style w:type="character" w:customStyle="1" w:styleId="FooterChar">
    <w:name w:val="Footer Char"/>
    <w:basedOn w:val="DefaultParagraphFont"/>
    <w:link w:val="Footer"/>
    <w:uiPriority w:val="99"/>
    <w:rsid w:val="005E4A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2462</Words>
  <Characters>13695</Characters>
  <Application>Microsoft Office Word</Application>
  <DocSecurity>0</DocSecurity>
  <Lines>311</Lines>
  <Paragraphs>134</Paragraphs>
  <ScaleCrop>false</ScaleCrop>
  <Company/>
  <LinksUpToDate>false</LinksUpToDate>
  <CharactersWithSpaces>16023</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2024-03-06T09:59:00Z</dcterms:created>
  <dcterms:modified xsi:type="dcterms:W3CDTF">2024-03-06T09:59:00Z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2024-03-06T09:59:19Z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afccb1f5-f4b7-4983-8a2a-6026fbd367cc</vt:lpwstr>
  </property>
  <property fmtid="{D5CDD505-2E9C-101B-9397-08002B2CF9AE}" pid="8" name="MSIP_Label_6bd9ddd1-4d20-43f6-abfa-fc3c07406f94_ContentBits">
    <vt:lpwstr>0</vt:lpwstr>
  </property>
</Properties>
</file>