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3E2B70AE" w14:textId="77777777" w:rsidTr="00466BC2">
        <w:trPr>
          <w:trHeight w:val="854"/>
        </w:trPr>
        <w:tc>
          <w:tcPr>
            <w:tcW w:w="9000" w:type="dxa"/>
            <w:tcBorders>
              <w:top w:val="single" w:sz="4" w:space="0" w:color="auto"/>
              <w:bottom w:val="single" w:sz="4" w:space="0" w:color="auto"/>
            </w:tcBorders>
            <w:shd w:val="pct15" w:color="auto" w:fill="FFFFFF"/>
          </w:tcPr>
          <w:p w14:paraId="523E6166"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Osa III.5 – Lisätietolomake</w:t>
            </w:r>
            <w:bookmarkEnd w:id="0"/>
            <w:bookmarkEnd w:id="1"/>
            <w:r>
              <w:rPr>
                <w:color w:val="auto"/>
              </w:rPr>
              <w:t xml:space="preserve"> – Valtiontuki käyttöä lisääville toimenpiteille</w:t>
            </w:r>
          </w:p>
        </w:tc>
      </w:tr>
    </w:tbl>
    <w:p w14:paraId="238E88E5" w14:textId="77777777" w:rsidR="007B33E6" w:rsidRPr="005C4E62" w:rsidRDefault="007B33E6" w:rsidP="001507A9">
      <w:pPr>
        <w:spacing w:before="240" w:after="240"/>
        <w:jc w:val="both"/>
        <w:rPr>
          <w:i/>
          <w:iCs/>
        </w:rPr>
      </w:pPr>
      <w:r>
        <w:rPr>
          <w:i/>
        </w:rPr>
        <w:t>Tätä lisätietolomaketta olisi käytettävä ilmoitettaessa käyttöä lisääville toimenpiteille myönnettävästä tuesta, joka kuuluu laajakaistaverkkojen valtiontukea koskevien komission suuntaviivojen</w:t>
      </w:r>
      <w:r w:rsidRPr="005C4E62">
        <w:rPr>
          <w:bCs/>
          <w:vertAlign w:val="superscript"/>
        </w:rPr>
        <w:footnoteReference w:id="1"/>
      </w:r>
      <w:r>
        <w:rPr>
          <w:i/>
        </w:rPr>
        <w:t xml:space="preserve"> (’laajakaistasuuntaviivojen’) soveltamisalaan.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1876307F" w14:textId="77777777" w:rsidTr="00646E8A">
        <w:tc>
          <w:tcPr>
            <w:tcW w:w="9286" w:type="dxa"/>
            <w:shd w:val="clear" w:color="auto" w:fill="D9D9D9"/>
          </w:tcPr>
          <w:p w14:paraId="2E26902F"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Yleiset tiedot</w:t>
            </w:r>
          </w:p>
        </w:tc>
      </w:tr>
    </w:tbl>
    <w:p w14:paraId="092F2E50" w14:textId="77777777" w:rsidR="007B33E6" w:rsidRPr="005C4E62" w:rsidRDefault="007B33E6" w:rsidP="00BE2CC4">
      <w:pPr>
        <w:pStyle w:val="NumPar2"/>
        <w:numPr>
          <w:ilvl w:val="1"/>
          <w:numId w:val="1"/>
        </w:numPr>
        <w:tabs>
          <w:tab w:val="clear" w:pos="1200"/>
        </w:tabs>
        <w:spacing w:before="240"/>
        <w:ind w:left="709"/>
      </w:pPr>
      <w:bookmarkStart w:id="2" w:name="_Ref152597077"/>
      <w:r>
        <w:t>Seikkaperäinen kuvaus tukitoimenpiteestä ja sen tavoitteista.</w:t>
      </w:r>
      <w:bookmarkEnd w:id="2"/>
    </w:p>
    <w:p w14:paraId="7210730C" w14:textId="77777777" w:rsidR="00515227" w:rsidRPr="005C4E62" w:rsidRDefault="00515227" w:rsidP="001507A9">
      <w:pPr>
        <w:pStyle w:val="Text2"/>
        <w:tabs>
          <w:tab w:val="clear" w:pos="2161"/>
          <w:tab w:val="left" w:leader="dot" w:pos="9072"/>
        </w:tabs>
        <w:spacing w:before="120" w:after="120"/>
        <w:ind w:left="709"/>
      </w:pPr>
      <w:r>
        <w:tab/>
      </w:r>
    </w:p>
    <w:p w14:paraId="7C1A9834" w14:textId="77777777" w:rsidR="001507A9" w:rsidRPr="005C4E62" w:rsidRDefault="001507A9" w:rsidP="001507A9">
      <w:pPr>
        <w:pStyle w:val="NumPar2"/>
        <w:numPr>
          <w:ilvl w:val="1"/>
          <w:numId w:val="1"/>
        </w:numPr>
        <w:tabs>
          <w:tab w:val="clear" w:pos="1200"/>
        </w:tabs>
        <w:ind w:left="709"/>
      </w:pPr>
      <w:r>
        <w:t>Miksi tukitoimenpide on mielestänne katsottava valtiontueksi?</w:t>
      </w:r>
      <w:r w:rsidRPr="005C4E62">
        <w:rPr>
          <w:rStyle w:val="FootnoteReference"/>
        </w:rPr>
        <w:footnoteReference w:id="2"/>
      </w:r>
    </w:p>
    <w:p w14:paraId="234E050B" w14:textId="77777777" w:rsidR="001507A9" w:rsidRPr="005C4E62" w:rsidRDefault="001507A9" w:rsidP="001507A9">
      <w:pPr>
        <w:pStyle w:val="Text2"/>
        <w:tabs>
          <w:tab w:val="clear" w:pos="2161"/>
          <w:tab w:val="left" w:leader="dot" w:pos="9072"/>
        </w:tabs>
        <w:spacing w:before="120" w:after="120"/>
        <w:ind w:left="709"/>
      </w:pPr>
      <w:r>
        <w:tab/>
      </w:r>
    </w:p>
    <w:p w14:paraId="03243E1B" w14:textId="77777777" w:rsidR="001507A9" w:rsidRPr="005C4E62" w:rsidRDefault="001507A9" w:rsidP="001507A9">
      <w:pPr>
        <w:pStyle w:val="NumPar2"/>
        <w:numPr>
          <w:ilvl w:val="1"/>
          <w:numId w:val="1"/>
        </w:numPr>
        <w:tabs>
          <w:tab w:val="clear" w:pos="1200"/>
        </w:tabs>
        <w:ind w:left="709"/>
      </w:pPr>
      <w:r>
        <w:t>Tukitoimenpiteessä on kyse</w:t>
      </w:r>
    </w:p>
    <w:p w14:paraId="206F53BF"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sosiaaliperusteisista arvoseteleistä</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liityntäarvoseteleistä</w:t>
      </w:r>
      <w:r w:rsidRPr="005C4E62">
        <w:rPr>
          <w:rStyle w:val="FootnoteReference"/>
          <w:lang w:bidi="si-LK"/>
        </w:rPr>
        <w:footnoteReference w:id="4"/>
      </w:r>
    </w:p>
    <w:p w14:paraId="69EC9A3B" w14:textId="77777777" w:rsidR="006F5901" w:rsidRPr="005C4E62" w:rsidRDefault="006F5901" w:rsidP="001507A9">
      <w:pPr>
        <w:pStyle w:val="NumPar2"/>
        <w:numPr>
          <w:ilvl w:val="1"/>
          <w:numId w:val="1"/>
        </w:numPr>
        <w:tabs>
          <w:tab w:val="clear" w:pos="1200"/>
        </w:tabs>
        <w:ind w:left="709"/>
      </w:pPr>
      <w:r>
        <w:t>Miten tukitoimenpide sopii yhteen kansallisen laajakaistastrategian sekä unionin digitalisaatiopolitiikan</w:t>
      </w:r>
      <w:r w:rsidRPr="005C4E62">
        <w:rPr>
          <w:rStyle w:val="FootnoteReference"/>
        </w:rPr>
        <w:footnoteReference w:id="5"/>
      </w:r>
      <w:r>
        <w:t xml:space="preserve"> ja ympäristötavoitteiden kanssa? </w:t>
      </w:r>
    </w:p>
    <w:p w14:paraId="34E5C418" w14:textId="77777777" w:rsidR="006F5901" w:rsidRPr="005C4E62" w:rsidRDefault="006F5901" w:rsidP="001507A9">
      <w:pPr>
        <w:pStyle w:val="Text2"/>
        <w:tabs>
          <w:tab w:val="clear" w:pos="2161"/>
          <w:tab w:val="left" w:leader="dot" w:pos="9072"/>
        </w:tabs>
        <w:spacing w:before="120" w:after="120"/>
        <w:ind w:left="709"/>
      </w:pPr>
      <w:r>
        <w:tab/>
      </w:r>
    </w:p>
    <w:p w14:paraId="6DA08D74" w14:textId="77777777" w:rsidR="00C66331" w:rsidRPr="005C4E62" w:rsidRDefault="00C66331" w:rsidP="001507A9">
      <w:pPr>
        <w:pStyle w:val="NumPar2"/>
        <w:numPr>
          <w:ilvl w:val="1"/>
          <w:numId w:val="1"/>
        </w:numPr>
        <w:tabs>
          <w:tab w:val="clear" w:pos="1200"/>
        </w:tabs>
        <w:ind w:left="709"/>
      </w:pPr>
      <w:r>
        <w:t>Mikä on tukitoimenpiteen peruste?</w:t>
      </w:r>
      <w:r w:rsidR="001507A9" w:rsidRPr="005C4E62">
        <w:rPr>
          <w:rStyle w:val="FootnoteReference"/>
        </w:rPr>
        <w:footnoteReference w:id="6"/>
      </w:r>
    </w:p>
    <w:p w14:paraId="435F98F2" w14:textId="77777777" w:rsidR="00C66331" w:rsidRPr="005C4E62" w:rsidRDefault="00C66331" w:rsidP="00EE53A9">
      <w:pPr>
        <w:pStyle w:val="NumPar2"/>
        <w:tabs>
          <w:tab w:val="clear" w:pos="360"/>
        </w:tabs>
        <w:ind w:left="709" w:firstLine="0"/>
        <w:jc w:val="left"/>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Laajakaistapalvelujen tilaamisen aiheuttamat taloudelliset vaikutukset. Tarkentakaa:……………………………………………………………….</w:t>
      </w:r>
    </w:p>
    <w:p w14:paraId="457B54DB" w14:textId="77777777" w:rsidR="00C66331" w:rsidRPr="005C4E62" w:rsidRDefault="00C66331" w:rsidP="00EE53A9">
      <w:pPr>
        <w:pStyle w:val="NumPar2"/>
        <w:tabs>
          <w:tab w:val="clear" w:pos="360"/>
        </w:tabs>
        <w:ind w:left="709" w:firstLine="0"/>
        <w:jc w:val="left"/>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Epätietoisuus laajakaistapalvelujen tilaamisen hyödyistä. Tarkentakaa:……………………………………………………………….</w:t>
      </w:r>
    </w:p>
    <w:p w14:paraId="27732057" w14:textId="77777777" w:rsidR="00C66331" w:rsidRPr="005C4E62" w:rsidRDefault="00C66331" w:rsidP="00EE53A9">
      <w:pPr>
        <w:pStyle w:val="NumPar2"/>
        <w:tabs>
          <w:tab w:val="clear" w:pos="360"/>
        </w:tabs>
        <w:ind w:left="709" w:firstLine="0"/>
        <w:jc w:val="left"/>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Muut syyt. Tarkentakaa:……………………………………………………………….</w:t>
      </w:r>
    </w:p>
    <w:p w14:paraId="06AC67BA" w14:textId="77777777" w:rsidR="007B33E6" w:rsidRPr="005C4E62" w:rsidRDefault="007B33E6" w:rsidP="001507A9">
      <w:pPr>
        <w:pStyle w:val="NumPar2"/>
        <w:numPr>
          <w:ilvl w:val="1"/>
          <w:numId w:val="1"/>
        </w:numPr>
        <w:tabs>
          <w:tab w:val="clear" w:pos="1200"/>
        </w:tabs>
        <w:ind w:left="709"/>
      </w:pPr>
      <w:r>
        <w:t>Tukitoimenpiteen konteksti (esim. laajakaistaverkkojen nykyinen kattavuus jäsenvaltiossa, laajakaistapalvelujen nykyinen käyttöaste) ja annettujen tietojen lähteet.</w:t>
      </w:r>
    </w:p>
    <w:p w14:paraId="1F13EDF0" w14:textId="77777777" w:rsidR="00B973C6" w:rsidRPr="005C4E62" w:rsidRDefault="00B973C6" w:rsidP="001507A9">
      <w:pPr>
        <w:pStyle w:val="Text2"/>
        <w:tabs>
          <w:tab w:val="clear" w:pos="2161"/>
          <w:tab w:val="left" w:leader="dot" w:pos="9072"/>
        </w:tabs>
        <w:spacing w:before="120" w:after="120"/>
        <w:ind w:left="709"/>
      </w:pPr>
      <w:r>
        <w:tab/>
      </w:r>
    </w:p>
    <w:p w14:paraId="5A9BDFD6" w14:textId="77777777" w:rsidR="005A7B71" w:rsidRPr="005C4E62" w:rsidRDefault="005A7B71" w:rsidP="001507A9">
      <w:pPr>
        <w:pStyle w:val="NumPar2"/>
        <w:numPr>
          <w:ilvl w:val="1"/>
          <w:numId w:val="1"/>
        </w:numPr>
        <w:tabs>
          <w:tab w:val="clear" w:pos="1200"/>
        </w:tabs>
        <w:ind w:left="709"/>
      </w:pPr>
      <w:r>
        <w:t>Viittaavatko kaikki tässä ilmoituksessa mainitut siirtonopeudet nopeuksiin ruuhka-aikaolosuhteissa</w:t>
      </w:r>
      <w:r w:rsidRPr="005C4E62">
        <w:rPr>
          <w:rStyle w:val="FootnoteReference"/>
        </w:rPr>
        <w:footnoteReference w:id="7"/>
      </w:r>
      <w:r>
        <w:t>?</w:t>
      </w:r>
    </w:p>
    <w:p w14:paraId="28E6F1CE"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A76638">
        <w:fldChar w:fldCharType="separate"/>
      </w:r>
      <w:r w:rsidR="00A63EE7" w:rsidRPr="005C4E62">
        <w:fldChar w:fldCharType="end"/>
      </w:r>
      <w:r>
        <w:tab/>
        <w:t>Ei</w:t>
      </w:r>
    </w:p>
    <w:p w14:paraId="3ED7363D" w14:textId="77777777" w:rsidR="005F2475" w:rsidRPr="005C4E62" w:rsidRDefault="007A2062" w:rsidP="005F2475">
      <w:pPr>
        <w:pStyle w:val="NumPar2"/>
        <w:numPr>
          <w:ilvl w:val="1"/>
          <w:numId w:val="1"/>
        </w:numPr>
        <w:tabs>
          <w:tab w:val="clear" w:pos="1200"/>
        </w:tabs>
        <w:ind w:left="709"/>
      </w:pPr>
      <w:r>
        <w:t>Jos saatavilla, toimittakaa seuraavat asiakirjat ja esittäkää kuvaus niiden sisällöstä:</w:t>
      </w:r>
    </w:p>
    <w:p w14:paraId="6148AA29" w14:textId="41502681" w:rsidR="005F2475" w:rsidRPr="005C4E62" w:rsidRDefault="005F2475" w:rsidP="005F2475">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Tukitoimenpiteen vaikutusten arviointi.................................................................</w:t>
      </w:r>
    </w:p>
    <w:p w14:paraId="3BB4C53B" w14:textId="7EC34399" w:rsidR="005F2475" w:rsidRPr="005C4E62" w:rsidRDefault="005F2475" w:rsidP="00EE53A9">
      <w:pPr>
        <w:pStyle w:val="NumPar2"/>
        <w:tabs>
          <w:tab w:val="clear" w:pos="360"/>
        </w:tabs>
        <w:ind w:left="709" w:firstLine="0"/>
        <w:jc w:val="left"/>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Vastaavien aikaisempien tukiohjelmien jälkiarviointisuunnitelmat</w:t>
      </w:r>
      <w:r w:rsidR="00EE53A9">
        <w:t>.</w:t>
      </w:r>
      <w:r>
        <w:t>...........................</w:t>
      </w:r>
    </w:p>
    <w:p w14:paraId="20FF3636"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Kontrafaktuaalinen analyysi, joka osoittaa, että toimenpiteellä on myönteisiä vaikutuksia verrattuna tilanteeseen ilman tukea.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281EAB71" w14:textId="77777777" w:rsidTr="00796043">
        <w:tc>
          <w:tcPr>
            <w:tcW w:w="9286" w:type="dxa"/>
            <w:shd w:val="clear" w:color="auto" w:fill="D9D9D9"/>
          </w:tcPr>
          <w:p w14:paraId="79CF7DEB"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Sosiaaliperusteiset arvosetelit</w:t>
            </w:r>
          </w:p>
        </w:tc>
      </w:tr>
    </w:tbl>
    <w:p w14:paraId="3BA3C653" w14:textId="240534FA" w:rsidR="004C1C63" w:rsidRPr="005C4E62" w:rsidRDefault="007B5294" w:rsidP="00E27219">
      <w:pPr>
        <w:pStyle w:val="NumPar2"/>
        <w:numPr>
          <w:ilvl w:val="1"/>
          <w:numId w:val="5"/>
        </w:numPr>
        <w:ind w:left="709" w:hanging="709"/>
      </w:pPr>
      <w:r>
        <w:t>Tukitoimenpiteen kohteena olevat kuluttajaryhmät, joiden taloudellinen tilanne oikeuttaa tuen myöntämisen sosiaalisista syistä (esim. pienituloiset perheet, opiskelijat, koululaiset jne.), sekä objektiiviset perusteet, joilla tukikelpoiset kuluttajat määritetään.</w:t>
      </w:r>
      <w:r w:rsidRPr="005C4E62">
        <w:rPr>
          <w:rStyle w:val="FootnoteReference"/>
        </w:rPr>
        <w:footnoteReference w:id="8"/>
      </w:r>
    </w:p>
    <w:p w14:paraId="14FC2171" w14:textId="77777777" w:rsidR="004C1C63" w:rsidRPr="005C4E62" w:rsidRDefault="004C1C63" w:rsidP="004C1C63">
      <w:pPr>
        <w:pStyle w:val="Text2"/>
        <w:tabs>
          <w:tab w:val="clear" w:pos="2161"/>
          <w:tab w:val="left" w:leader="dot" w:pos="9072"/>
        </w:tabs>
        <w:spacing w:before="120" w:after="120"/>
        <w:ind w:left="709"/>
      </w:pPr>
      <w:r>
        <w:tab/>
      </w:r>
    </w:p>
    <w:p w14:paraId="279BA3E0" w14:textId="77777777" w:rsidR="007B5294" w:rsidRPr="005C4E62" w:rsidRDefault="004C1C63" w:rsidP="00E27219">
      <w:pPr>
        <w:pStyle w:val="NumPar2"/>
        <w:numPr>
          <w:ilvl w:val="1"/>
          <w:numId w:val="5"/>
        </w:numPr>
        <w:ind w:left="709" w:hanging="709"/>
      </w:pPr>
      <w:r>
        <w:t>Arvio niiden kuluttajien määrästä, jotka voisivat kuulua tukitoimenpiteen piiriin.</w:t>
      </w:r>
    </w:p>
    <w:p w14:paraId="18EA8837" w14:textId="77777777" w:rsidR="007B5294" w:rsidRPr="005C4E62" w:rsidRDefault="007B5294" w:rsidP="009F1CC8">
      <w:pPr>
        <w:pStyle w:val="Text2"/>
        <w:tabs>
          <w:tab w:val="clear" w:pos="2161"/>
          <w:tab w:val="left" w:leader="dot" w:pos="9072"/>
        </w:tabs>
        <w:spacing w:before="120" w:after="120"/>
        <w:ind w:left="709"/>
      </w:pPr>
      <w:r>
        <w:tab/>
      </w:r>
    </w:p>
    <w:p w14:paraId="78787686" w14:textId="77777777" w:rsidR="004C1C63" w:rsidRPr="005C4E62" w:rsidRDefault="004C1C63" w:rsidP="00E27219">
      <w:pPr>
        <w:pStyle w:val="NumPar2"/>
        <w:numPr>
          <w:ilvl w:val="1"/>
          <w:numId w:val="5"/>
        </w:numPr>
        <w:ind w:left="709" w:hanging="709"/>
      </w:pPr>
      <w:r>
        <w:t>Tukikelpoiset palveluntarjoajat.</w:t>
      </w:r>
    </w:p>
    <w:p w14:paraId="4067FCFF" w14:textId="77777777" w:rsidR="004C1C63" w:rsidRPr="005C4E62" w:rsidRDefault="004C1C63" w:rsidP="004C1C63">
      <w:pPr>
        <w:pStyle w:val="Text2"/>
        <w:tabs>
          <w:tab w:val="clear" w:pos="2161"/>
          <w:tab w:val="left" w:leader="dot" w:pos="9072"/>
        </w:tabs>
        <w:spacing w:before="120" w:after="120"/>
        <w:ind w:left="709"/>
      </w:pPr>
      <w:r>
        <w:tab/>
      </w:r>
    </w:p>
    <w:p w14:paraId="7061A876" w14:textId="77777777" w:rsidR="00237B1B" w:rsidRPr="005C4E62" w:rsidRDefault="00237B1B" w:rsidP="00E27219">
      <w:pPr>
        <w:pStyle w:val="NumPar2"/>
        <w:numPr>
          <w:ilvl w:val="1"/>
          <w:numId w:val="5"/>
        </w:numPr>
        <w:ind w:left="709" w:hanging="709"/>
      </w:pPr>
      <w:r>
        <w:t>Tukitoimenpiteessä tukikelpoiset palvelut (kuvaajana esim. siirtonopeus verkosta käyttäjälle, siirtonopeus käyttäjältä verkkoon). Miten tukikelpoiset palvelut on valittu?</w:t>
      </w:r>
    </w:p>
    <w:p w14:paraId="6D88B14C" w14:textId="77777777" w:rsidR="00237B1B" w:rsidRPr="005C4E62" w:rsidRDefault="00237B1B" w:rsidP="00237B1B">
      <w:pPr>
        <w:pStyle w:val="Text2"/>
        <w:tabs>
          <w:tab w:val="clear" w:pos="2161"/>
          <w:tab w:val="left" w:leader="dot" w:pos="9072"/>
        </w:tabs>
        <w:spacing w:before="120" w:after="120"/>
        <w:ind w:left="709"/>
      </w:pPr>
      <w:r>
        <w:tab/>
      </w:r>
    </w:p>
    <w:p w14:paraId="3006A952" w14:textId="77777777" w:rsidR="00042ACA" w:rsidRPr="005C4E62" w:rsidRDefault="00710B4A" w:rsidP="00042ACA">
      <w:pPr>
        <w:pStyle w:val="NumPar2"/>
        <w:numPr>
          <w:ilvl w:val="1"/>
          <w:numId w:val="5"/>
        </w:numPr>
        <w:ind w:left="709" w:hanging="709"/>
      </w:pPr>
      <w:r>
        <w:t>Miten arvoseteleitä tullaan käyttämään?</w:t>
      </w:r>
      <w:r w:rsidRPr="005C4E62">
        <w:rPr>
          <w:rStyle w:val="FootnoteReference"/>
        </w:rPr>
        <w:footnoteReference w:id="9"/>
      </w:r>
    </w:p>
    <w:p w14:paraId="0A9A7A3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Uusien laajakaistapalvelujen tilaamiseen. Tarkentakaa:</w:t>
      </w:r>
    </w:p>
    <w:p w14:paraId="635072FD" w14:textId="77777777" w:rsidR="00485681" w:rsidRPr="005C4E62" w:rsidRDefault="00485681" w:rsidP="006E6AE1">
      <w:pPr>
        <w:pStyle w:val="NumPar2"/>
        <w:tabs>
          <w:tab w:val="clear" w:pos="360"/>
        </w:tabs>
        <w:ind w:left="709" w:firstLine="0"/>
      </w:pPr>
      <w:r>
        <w:t xml:space="preserve">………………………………………………………………………………………….. </w:t>
      </w:r>
    </w:p>
    <w:p w14:paraId="20584547"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Olemassa olevien tilausten ylläpitämiseen. Tarkentakaa: </w:t>
      </w:r>
    </w:p>
    <w:p w14:paraId="756687D0" w14:textId="77777777" w:rsidR="00485681" w:rsidRPr="005C4E62" w:rsidRDefault="00485681" w:rsidP="006E6AE1">
      <w:pPr>
        <w:pStyle w:val="NumPar2"/>
        <w:tabs>
          <w:tab w:val="clear" w:pos="360"/>
        </w:tabs>
        <w:ind w:left="709" w:firstLine="0"/>
      </w:pPr>
      <w:r>
        <w:t>…………………………………………………………………………………………...</w:t>
      </w:r>
    </w:p>
    <w:p w14:paraId="79751A4A"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Muut tarkoitukset. Tarkentakaa:</w:t>
      </w:r>
    </w:p>
    <w:p w14:paraId="1C7E8019" w14:textId="77777777" w:rsidR="00485681" w:rsidRPr="005C4E62" w:rsidRDefault="00485681" w:rsidP="006E6AE1">
      <w:pPr>
        <w:pStyle w:val="NumPar2"/>
        <w:tabs>
          <w:tab w:val="clear" w:pos="360"/>
        </w:tabs>
        <w:ind w:left="709" w:firstLine="0"/>
      </w:pPr>
      <w:r>
        <w:t>…………………………………………………………..…………………………….....</w:t>
      </w:r>
    </w:p>
    <w:p w14:paraId="3C04F242" w14:textId="77777777" w:rsidR="007B5294" w:rsidRPr="005C4E62" w:rsidRDefault="007B5294" w:rsidP="00E27219">
      <w:pPr>
        <w:pStyle w:val="NumPar2"/>
        <w:numPr>
          <w:ilvl w:val="1"/>
          <w:numId w:val="5"/>
        </w:numPr>
        <w:ind w:left="709" w:hanging="709"/>
      </w:pPr>
      <w:r>
        <w:t>Mitä tukikelpoisia kustannuksia tukitoimenpide kattaa?</w:t>
      </w:r>
      <w:r w:rsidRPr="005C4E62">
        <w:rPr>
          <w:rStyle w:val="FootnoteReference"/>
        </w:rPr>
        <w:footnoteReference w:id="10"/>
      </w:r>
    </w:p>
    <w:p w14:paraId="24CEAA24" w14:textId="77777777" w:rsidR="007B5294" w:rsidRPr="005C4E62" w:rsidRDefault="007B5294" w:rsidP="007B5294">
      <w:pPr>
        <w:pStyle w:val="Text2"/>
        <w:tabs>
          <w:tab w:val="clear" w:pos="2161"/>
          <w:tab w:val="left" w:leader="dot" w:pos="9072"/>
        </w:tabs>
        <w:spacing w:before="120" w:after="120"/>
        <w:ind w:left="709"/>
      </w:pPr>
      <w:r>
        <w:tab/>
      </w:r>
    </w:p>
    <w:p w14:paraId="2761EA97" w14:textId="77777777" w:rsidR="00E0556B" w:rsidRPr="005C4E62" w:rsidRDefault="00E0556B" w:rsidP="00E0556B">
      <w:pPr>
        <w:pStyle w:val="NumPar2"/>
        <w:numPr>
          <w:ilvl w:val="1"/>
          <w:numId w:val="5"/>
        </w:numPr>
        <w:ind w:left="709" w:hanging="709"/>
      </w:pPr>
      <w:r>
        <w:t>Arvosetelin voimassaoloaika (jos rajattu).</w:t>
      </w:r>
    </w:p>
    <w:p w14:paraId="72716F94" w14:textId="77777777" w:rsidR="00E0556B" w:rsidRPr="005C4E62" w:rsidRDefault="00E0556B" w:rsidP="002E43A3">
      <w:pPr>
        <w:pStyle w:val="Text2"/>
        <w:tabs>
          <w:tab w:val="clear" w:pos="2161"/>
          <w:tab w:val="left" w:leader="dot" w:pos="9072"/>
        </w:tabs>
        <w:spacing w:before="120" w:after="120"/>
        <w:ind w:left="709"/>
      </w:pPr>
      <w:r>
        <w:tab/>
      </w:r>
    </w:p>
    <w:p w14:paraId="04D280F9" w14:textId="76CE1FFA" w:rsidR="00237B1B" w:rsidRPr="005C4E62" w:rsidRDefault="00237B1B" w:rsidP="00E27219">
      <w:pPr>
        <w:pStyle w:val="NumPar2"/>
        <w:numPr>
          <w:ilvl w:val="1"/>
          <w:numId w:val="5"/>
        </w:numPr>
        <w:ind w:left="709" w:hanging="709"/>
      </w:pPr>
      <w:r>
        <w:t>Arvosetelien muoto ja arvo, arvon määritystapa ja arvosetelin kattama prosenttiosuus liittymän kustannuksista.</w:t>
      </w:r>
    </w:p>
    <w:p w14:paraId="1AAA7BD8" w14:textId="77777777" w:rsidR="00237B1B" w:rsidRPr="005C4E62" w:rsidRDefault="00237B1B" w:rsidP="00237B1B">
      <w:pPr>
        <w:pStyle w:val="Text2"/>
        <w:tabs>
          <w:tab w:val="clear" w:pos="2161"/>
          <w:tab w:val="left" w:leader="dot" w:pos="9072"/>
        </w:tabs>
        <w:spacing w:before="120" w:after="120"/>
        <w:ind w:left="709"/>
      </w:pPr>
      <w:r>
        <w:tab/>
      </w:r>
    </w:p>
    <w:p w14:paraId="195DC777" w14:textId="77777777" w:rsidR="00E101F1" w:rsidRPr="005C4E62" w:rsidRDefault="00E101F1" w:rsidP="00E27219">
      <w:pPr>
        <w:pStyle w:val="NumPar2"/>
        <w:numPr>
          <w:ilvl w:val="1"/>
          <w:numId w:val="5"/>
        </w:numPr>
        <w:ind w:left="709" w:hanging="709"/>
        <w:rPr>
          <w:iCs/>
        </w:rPr>
      </w:pPr>
      <w:r>
        <w:t>Onko tukitoimenpide teknologianeutraaliuden periaatteen mukainen? Tarkentakaa miksi.</w:t>
      </w:r>
      <w:r w:rsidRPr="005C4E62">
        <w:rPr>
          <w:rStyle w:val="FootnoteReference"/>
          <w:iCs/>
        </w:rPr>
        <w:footnoteReference w:id="11"/>
      </w:r>
    </w:p>
    <w:p w14:paraId="3DB9EA56" w14:textId="77777777" w:rsidR="00E101F1" w:rsidRPr="005C4E62" w:rsidRDefault="00E101F1" w:rsidP="00E101F1">
      <w:pPr>
        <w:pStyle w:val="Text2"/>
        <w:tabs>
          <w:tab w:val="clear" w:pos="2161"/>
          <w:tab w:val="left" w:leader="dot" w:pos="9072"/>
        </w:tabs>
        <w:spacing w:before="120" w:after="120"/>
        <w:ind w:left="709"/>
      </w:pPr>
      <w:r>
        <w:lastRenderedPageBreak/>
        <w:tab/>
      </w:r>
    </w:p>
    <w:p w14:paraId="205FB15F" w14:textId="5CADACC2" w:rsidR="00C90B4D" w:rsidRPr="005C4E62" w:rsidRDefault="00C90B4D" w:rsidP="00C90B4D">
      <w:pPr>
        <w:pStyle w:val="NumPar2"/>
        <w:numPr>
          <w:ilvl w:val="1"/>
          <w:numId w:val="5"/>
        </w:numPr>
        <w:ind w:left="709" w:hanging="709"/>
        <w:rPr>
          <w:iCs/>
        </w:rPr>
      </w:pPr>
      <w:r>
        <w:t>Sen osoittamiseksi, että tukitoimenpiteessä taataan kaikkien mahdollisten palveluntarjoajien tasavertainen kohtelu ja tarjotaan kuluttajille laajin mahdollinen valinnanvara liittymän tarjoajien suhteen</w:t>
      </w:r>
      <w:r w:rsidR="00E101F1" w:rsidRPr="005C4E62">
        <w:rPr>
          <w:rStyle w:val="FootnoteReference"/>
          <w:iCs/>
        </w:rPr>
        <w:footnoteReference w:id="12"/>
      </w:r>
      <w:r>
        <w:t>, vahvistakaa (esittäen asiaa koskevat tarkemmat tiedot) seuraavat seikat:</w:t>
      </w:r>
      <w:r w:rsidRPr="005C4E62">
        <w:rPr>
          <w:rStyle w:val="FootnoteReference"/>
        </w:rPr>
        <w:footnoteReference w:id="13"/>
      </w:r>
    </w:p>
    <w:p w14:paraId="122451F8" w14:textId="77777777" w:rsidR="00C90B4D" w:rsidRPr="005C4E62" w:rsidRDefault="00C90B4D" w:rsidP="00C90B4D">
      <w:pPr>
        <w:pStyle w:val="NumPar2"/>
        <w:numPr>
          <w:ilvl w:val="4"/>
          <w:numId w:val="1"/>
        </w:numPr>
        <w:tabs>
          <w:tab w:val="clear" w:pos="1800"/>
        </w:tabs>
        <w:ind w:left="1418" w:hanging="709"/>
      </w:pPr>
      <w:r>
        <w:t>Tukiohjelmassa tullaan luomaan verkkorekisteri kaikista tukikelpoisista palveluntarjoajista tai vastaava vaihtoehtoinen järjestelmä.</w:t>
      </w:r>
    </w:p>
    <w:p w14:paraId="16696360" w14:textId="77777777" w:rsidR="00C90B4D" w:rsidRPr="005C4E62" w:rsidRDefault="00C90B4D" w:rsidP="00C90B4D">
      <w:pPr>
        <w:pStyle w:val="Text2"/>
        <w:tabs>
          <w:tab w:val="clear" w:pos="2161"/>
          <w:tab w:val="left" w:leader="dot" w:pos="9072"/>
        </w:tabs>
        <w:spacing w:before="120" w:after="120"/>
        <w:ind w:left="709"/>
      </w:pPr>
      <w:r>
        <w:tab/>
      </w:r>
    </w:p>
    <w:p w14:paraId="641609E7" w14:textId="0DC980E5" w:rsidR="00C90B4D" w:rsidRPr="005C4E62" w:rsidRDefault="00C90B4D" w:rsidP="00C90B4D">
      <w:pPr>
        <w:pStyle w:val="NumPar2"/>
        <w:numPr>
          <w:ilvl w:val="4"/>
          <w:numId w:val="1"/>
        </w:numPr>
        <w:tabs>
          <w:tab w:val="clear" w:pos="1800"/>
        </w:tabs>
        <w:ind w:left="1418" w:hanging="709"/>
      </w:pPr>
      <w:r>
        <w:t>Kuluttajilla on vapaasti mahdollisuus hakea rekisteristä tietoja.</w:t>
      </w:r>
    </w:p>
    <w:p w14:paraId="3C86CD51" w14:textId="77777777" w:rsidR="00C90B4D" w:rsidRPr="005C4E62" w:rsidRDefault="00C90B4D" w:rsidP="00C90B4D">
      <w:pPr>
        <w:pStyle w:val="Text2"/>
        <w:tabs>
          <w:tab w:val="clear" w:pos="2161"/>
          <w:tab w:val="left" w:leader="dot" w:pos="9072"/>
        </w:tabs>
        <w:spacing w:before="120" w:after="120"/>
        <w:ind w:left="709"/>
      </w:pPr>
      <w:r>
        <w:tab/>
      </w:r>
    </w:p>
    <w:p w14:paraId="1A7F7392" w14:textId="77777777" w:rsidR="00C90B4D" w:rsidRPr="005C4E62" w:rsidRDefault="00C90B4D" w:rsidP="00C90B4D">
      <w:pPr>
        <w:pStyle w:val="NumPar2"/>
        <w:numPr>
          <w:ilvl w:val="4"/>
          <w:numId w:val="1"/>
        </w:numPr>
        <w:tabs>
          <w:tab w:val="clear" w:pos="1800"/>
        </w:tabs>
        <w:ind w:left="1418" w:hanging="709"/>
      </w:pPr>
      <w:r>
        <w:t>Kaikilla yrityksillä, jotka pystyvät tarjoamaan tukikelpoisia laajakaistapalveluja, on mahdollisuus päästä pyynnöstä mukaan rekisteriin tai vaihtoehtoiseen järjestelmään.</w:t>
      </w:r>
    </w:p>
    <w:p w14:paraId="26816508" w14:textId="77777777" w:rsidR="00E101F1" w:rsidRPr="005C4E62" w:rsidRDefault="00C90B4D" w:rsidP="00C90B4D">
      <w:pPr>
        <w:pStyle w:val="Text2"/>
        <w:tabs>
          <w:tab w:val="clear" w:pos="2161"/>
          <w:tab w:val="left" w:leader="dot" w:pos="9072"/>
        </w:tabs>
        <w:spacing w:before="120" w:after="120"/>
        <w:ind w:left="709"/>
      </w:pPr>
      <w:r>
        <w:tab/>
        <w:t xml:space="preserve"> </w:t>
      </w:r>
    </w:p>
    <w:p w14:paraId="4D0DB833" w14:textId="77777777" w:rsidR="00C90B4D" w:rsidRPr="005C4E62" w:rsidRDefault="00C90B4D" w:rsidP="00C90B4D">
      <w:pPr>
        <w:pStyle w:val="NumPar2"/>
        <w:numPr>
          <w:ilvl w:val="4"/>
          <w:numId w:val="1"/>
        </w:numPr>
        <w:tabs>
          <w:tab w:val="clear" w:pos="1800"/>
        </w:tabs>
        <w:ind w:left="1418" w:hanging="709"/>
      </w:pPr>
      <w:r>
        <w:t>Rekisterissä (tai valitussa vaihtoehtoisessa järjestelmässä) on kuluttajien avuksi myös muuta tietoa (esim. eri yritysten tarjoamien palvelujen tyypistä). Jos tällaista muuta tietoa on, millaista?</w:t>
      </w:r>
    </w:p>
    <w:p w14:paraId="226063A1" w14:textId="77777777" w:rsidR="00E101F1" w:rsidRPr="005C4E62" w:rsidRDefault="00E101F1" w:rsidP="00E101F1">
      <w:pPr>
        <w:pStyle w:val="Text2"/>
        <w:tabs>
          <w:tab w:val="clear" w:pos="2161"/>
          <w:tab w:val="left" w:leader="dot" w:pos="9072"/>
        </w:tabs>
        <w:spacing w:before="120" w:after="120"/>
        <w:ind w:left="709"/>
      </w:pPr>
      <w:r>
        <w:tab/>
      </w:r>
    </w:p>
    <w:p w14:paraId="66DAEEED" w14:textId="77777777" w:rsidR="00D1408F" w:rsidRPr="005C4E62" w:rsidRDefault="00D1408F" w:rsidP="009A1814">
      <w:pPr>
        <w:pStyle w:val="NumPar2"/>
        <w:numPr>
          <w:ilvl w:val="1"/>
          <w:numId w:val="5"/>
        </w:numPr>
        <w:ind w:left="709" w:hanging="709"/>
      </w:pPr>
      <w:r>
        <w:t>Seikkaperäinen kuvaus tukitoimenpiteen toteutustavasta:</w:t>
      </w:r>
    </w:p>
    <w:p w14:paraId="780CF953" w14:textId="77777777" w:rsidR="00D1408F" w:rsidRPr="005C4E62" w:rsidRDefault="00D1408F" w:rsidP="00D1408F">
      <w:pPr>
        <w:pStyle w:val="Text2"/>
        <w:tabs>
          <w:tab w:val="clear" w:pos="2161"/>
          <w:tab w:val="left" w:leader="dot" w:pos="9072"/>
        </w:tabs>
        <w:spacing w:before="120" w:after="120"/>
        <w:ind w:left="709"/>
      </w:pPr>
      <w:r>
        <w:tab/>
      </w:r>
    </w:p>
    <w:p w14:paraId="24C5CF54" w14:textId="77777777" w:rsidR="00D1408F" w:rsidRPr="005C4E62" w:rsidRDefault="00D1408F" w:rsidP="009A1814">
      <w:pPr>
        <w:pStyle w:val="NumPar2"/>
        <w:numPr>
          <w:ilvl w:val="1"/>
          <w:numId w:val="5"/>
        </w:numPr>
        <w:ind w:left="709" w:hanging="709"/>
      </w:pPr>
      <w:r>
        <w:t>Julkinen kuuleminen.</w:t>
      </w:r>
      <w:r w:rsidRPr="005C4E62">
        <w:rPr>
          <w:rStyle w:val="FootnoteReference"/>
        </w:rPr>
        <w:footnoteReference w:id="14"/>
      </w:r>
    </w:p>
    <w:p w14:paraId="53AF8BD4" w14:textId="066292AF" w:rsidR="00D1408F" w:rsidRPr="005C4E62" w:rsidRDefault="00D1408F" w:rsidP="00D46D21">
      <w:pPr>
        <w:pStyle w:val="Text2"/>
        <w:numPr>
          <w:ilvl w:val="4"/>
          <w:numId w:val="10"/>
        </w:numPr>
        <w:tabs>
          <w:tab w:val="clear" w:pos="1800"/>
          <w:tab w:val="clear" w:pos="2161"/>
        </w:tabs>
        <w:spacing w:after="120"/>
        <w:ind w:left="1418" w:hanging="709"/>
      </w:pPr>
      <w:r>
        <w:t>Kunkin toteutetun julkisen kuulemisen alkamis- ja päättymispäivä.</w:t>
      </w:r>
    </w:p>
    <w:p w14:paraId="10941458" w14:textId="77777777" w:rsidR="00D1408F" w:rsidRPr="005C4E62" w:rsidRDefault="00D1408F" w:rsidP="00D1408F">
      <w:pPr>
        <w:pStyle w:val="Text2"/>
        <w:tabs>
          <w:tab w:val="clear" w:pos="2161"/>
          <w:tab w:val="left" w:leader="dot" w:pos="9072"/>
        </w:tabs>
        <w:spacing w:before="120" w:after="120"/>
        <w:ind w:left="709"/>
      </w:pPr>
      <w:r>
        <w:tab/>
      </w:r>
    </w:p>
    <w:p w14:paraId="1BDD1CA8" w14:textId="0EA1ED9D" w:rsidR="00D1408F" w:rsidRPr="005C4E62" w:rsidRDefault="00D1408F" w:rsidP="00D46D21">
      <w:pPr>
        <w:pStyle w:val="Text2"/>
        <w:numPr>
          <w:ilvl w:val="4"/>
          <w:numId w:val="10"/>
        </w:numPr>
        <w:tabs>
          <w:tab w:val="clear" w:pos="1800"/>
          <w:tab w:val="clear" w:pos="2161"/>
        </w:tabs>
        <w:spacing w:after="120"/>
        <w:ind w:left="1418" w:hanging="709"/>
      </w:pPr>
      <w:r>
        <w:t>Kunkin julkisen kuulemisen sisältö.</w:t>
      </w:r>
    </w:p>
    <w:p w14:paraId="0CA124B6" w14:textId="77777777" w:rsidR="00D1408F" w:rsidRPr="005C4E62" w:rsidRDefault="00D1408F" w:rsidP="00D1408F">
      <w:pPr>
        <w:pStyle w:val="Text2"/>
        <w:tabs>
          <w:tab w:val="clear" w:pos="2161"/>
          <w:tab w:val="left" w:leader="dot" w:pos="9072"/>
        </w:tabs>
        <w:spacing w:before="120" w:after="120"/>
        <w:ind w:left="709"/>
      </w:pPr>
      <w:r>
        <w:tab/>
      </w:r>
    </w:p>
    <w:p w14:paraId="1D0A1F21" w14:textId="77777777" w:rsidR="00D1408F" w:rsidRPr="005C4E62" w:rsidRDefault="00D1408F" w:rsidP="00D46D21">
      <w:pPr>
        <w:pStyle w:val="Text2"/>
        <w:numPr>
          <w:ilvl w:val="4"/>
          <w:numId w:val="10"/>
        </w:numPr>
        <w:tabs>
          <w:tab w:val="clear" w:pos="1800"/>
          <w:tab w:val="clear" w:pos="2161"/>
        </w:tabs>
        <w:spacing w:after="120"/>
        <w:ind w:left="1418" w:hanging="709"/>
      </w:pPr>
      <w:r>
        <w:t>Julkinen (alueellisen tai valtakunnallisen tason) verkkosivusto, jolla kuuleminen julkaistiin.</w:t>
      </w:r>
    </w:p>
    <w:p w14:paraId="2858F3A1" w14:textId="77777777" w:rsidR="00D1408F" w:rsidRPr="005C4E62" w:rsidRDefault="00D1408F" w:rsidP="00D1408F">
      <w:pPr>
        <w:pStyle w:val="Text2"/>
        <w:tabs>
          <w:tab w:val="clear" w:pos="2161"/>
          <w:tab w:val="left" w:leader="dot" w:pos="9072"/>
        </w:tabs>
        <w:spacing w:before="120" w:after="120"/>
        <w:ind w:left="709"/>
      </w:pPr>
      <w:r>
        <w:tab/>
      </w:r>
    </w:p>
    <w:p w14:paraId="77873BA1" w14:textId="77777777" w:rsidR="00D1408F" w:rsidRPr="005C4E62" w:rsidRDefault="00D1408F" w:rsidP="00D46D21">
      <w:pPr>
        <w:pStyle w:val="Text2"/>
        <w:numPr>
          <w:ilvl w:val="4"/>
          <w:numId w:val="10"/>
        </w:numPr>
        <w:tabs>
          <w:tab w:val="clear" w:pos="1800"/>
          <w:tab w:val="clear" w:pos="2161"/>
        </w:tabs>
        <w:spacing w:after="120"/>
        <w:ind w:left="1418" w:hanging="709"/>
      </w:pPr>
      <w:r>
        <w:t>Yhteenveto kunkin kuulemisen osallistujien keskeisistä näkemyksistä ja kuvaus siitä, miten ne on otettu huomioon.</w:t>
      </w:r>
    </w:p>
    <w:p w14:paraId="1A078F05" w14:textId="77777777" w:rsidR="00D1408F" w:rsidRPr="005C4E62" w:rsidRDefault="00D1408F" w:rsidP="00D1408F">
      <w:pPr>
        <w:pStyle w:val="Text2"/>
        <w:tabs>
          <w:tab w:val="clear" w:pos="2161"/>
          <w:tab w:val="left" w:leader="dot" w:pos="9072"/>
        </w:tabs>
        <w:spacing w:before="120" w:after="120"/>
        <w:ind w:left="709"/>
      </w:pPr>
      <w:r>
        <w:tab/>
      </w:r>
    </w:p>
    <w:p w14:paraId="2F066C4A" w14:textId="336F00DC" w:rsidR="00D1408F" w:rsidRPr="005C4E62" w:rsidRDefault="00D1408F" w:rsidP="009A1814">
      <w:pPr>
        <w:pStyle w:val="NumPar2"/>
        <w:numPr>
          <w:ilvl w:val="1"/>
          <w:numId w:val="5"/>
        </w:numPr>
        <w:ind w:left="709" w:hanging="709"/>
      </w:pPr>
      <w:r>
        <w:t>Toteutetaanko varotoimia sosiaaliperusteisten arvosetelien väärinkäytön ehkäisemiseksi? Jos, niin millaisia</w:t>
      </w:r>
      <w:r w:rsidR="00EE53A9">
        <w:t>?</w:t>
      </w:r>
      <w:r w:rsidRPr="005C4E62">
        <w:rPr>
          <w:rStyle w:val="FootnoteReference"/>
        </w:rPr>
        <w:footnoteReference w:id="15"/>
      </w:r>
    </w:p>
    <w:p w14:paraId="24751293" w14:textId="77777777" w:rsidR="00D1408F" w:rsidRPr="005C4E62" w:rsidRDefault="00D1408F" w:rsidP="00D1408F">
      <w:pPr>
        <w:pStyle w:val="Text2"/>
        <w:tabs>
          <w:tab w:val="clear" w:pos="2161"/>
          <w:tab w:val="left" w:leader="dot" w:pos="9072"/>
        </w:tabs>
        <w:spacing w:before="120" w:after="120"/>
        <w:ind w:left="709"/>
      </w:pPr>
      <w:r>
        <w:tab/>
      </w:r>
    </w:p>
    <w:p w14:paraId="3A565404" w14:textId="77777777" w:rsidR="00D1408F" w:rsidRPr="005C4E62" w:rsidRDefault="00D1408F" w:rsidP="009A1814">
      <w:pPr>
        <w:pStyle w:val="NumPar2"/>
        <w:numPr>
          <w:ilvl w:val="1"/>
          <w:numId w:val="5"/>
        </w:numPr>
        <w:ind w:left="709" w:hanging="709"/>
      </w:pPr>
      <w:r>
        <w:t xml:space="preserve">Sisältyykö tukitoimenpiteeseen sääntöjä, jotka koskevat esimerkiksi liittymätilauksen ennenaikaista irtisanomista, mahdollisuutta siirtää liittymätilaus toiselle </w:t>
      </w:r>
      <w:r>
        <w:lastRenderedPageBreak/>
        <w:t>palveluntarjoajalle arvosetelin voimassaoloaikana (jos näin on, millä edellytyksillä) tai liittymätilauksen jatkamista arvosetelin voimassaolon päättymisen jälkeen? Jos, niin millaisia?</w:t>
      </w:r>
    </w:p>
    <w:p w14:paraId="1CE1E34A"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4B56A4F4" w14:textId="77777777" w:rsidTr="00796043">
        <w:tc>
          <w:tcPr>
            <w:tcW w:w="9286" w:type="dxa"/>
            <w:shd w:val="clear" w:color="auto" w:fill="D9D9D9"/>
          </w:tcPr>
          <w:p w14:paraId="20D94C73"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Liityntäarvosetelit</w:t>
            </w:r>
          </w:p>
        </w:tc>
      </w:tr>
    </w:tbl>
    <w:p w14:paraId="560301ED" w14:textId="77777777" w:rsidR="004D559F" w:rsidRPr="005C4E62" w:rsidRDefault="004D559F" w:rsidP="00450B69">
      <w:pPr>
        <w:pStyle w:val="NumPar2"/>
        <w:numPr>
          <w:ilvl w:val="1"/>
          <w:numId w:val="41"/>
        </w:numPr>
        <w:ind w:left="709" w:hanging="709"/>
      </w:pPr>
      <w:r>
        <w:t>Toimenpiteen kohteena olevien loppukäyttäjien tyyppi.</w:t>
      </w:r>
    </w:p>
    <w:p w14:paraId="4C6DC068" w14:textId="19EE1AB1"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Kuluttajat  </w:t>
      </w:r>
      <w:r>
        <w:tab/>
      </w: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Yritykset</w:t>
      </w:r>
    </w:p>
    <w:p w14:paraId="297B316C" w14:textId="5E82B3B8" w:rsidR="009A1814" w:rsidRPr="005C4E62" w:rsidRDefault="009A1814" w:rsidP="009A1814">
      <w:pPr>
        <w:pStyle w:val="NumPar2"/>
        <w:numPr>
          <w:ilvl w:val="1"/>
          <w:numId w:val="41"/>
        </w:numPr>
        <w:ind w:left="709" w:hanging="709"/>
      </w:pPr>
      <w:r>
        <w:t>Millä perustein loppukäyttäjät voivat saada liityntäarvoseteleitä?</w:t>
      </w:r>
    </w:p>
    <w:p w14:paraId="7623B554" w14:textId="77777777" w:rsidR="009A1814" w:rsidRPr="005C4E62" w:rsidRDefault="009A1814" w:rsidP="009A1814">
      <w:pPr>
        <w:pStyle w:val="Text2"/>
        <w:tabs>
          <w:tab w:val="clear" w:pos="2161"/>
          <w:tab w:val="left" w:leader="dot" w:pos="9072"/>
        </w:tabs>
        <w:spacing w:before="120" w:after="120"/>
        <w:ind w:left="709"/>
      </w:pPr>
      <w:r>
        <w:tab/>
      </w:r>
    </w:p>
    <w:p w14:paraId="52F04117" w14:textId="77777777" w:rsidR="009A1814" w:rsidRPr="005C4E62" w:rsidRDefault="009A1814" w:rsidP="009A1814">
      <w:pPr>
        <w:pStyle w:val="NumPar2"/>
        <w:numPr>
          <w:ilvl w:val="1"/>
          <w:numId w:val="41"/>
        </w:numPr>
        <w:ind w:left="709" w:hanging="709"/>
      </w:pPr>
      <w:r>
        <w:t>Arvio niiden loppukäyttäjien määrästä, jotka voisivat kuulua tukitoimenpiteen piiriin.</w:t>
      </w:r>
    </w:p>
    <w:p w14:paraId="65FDE6A5" w14:textId="77777777" w:rsidR="009A1814" w:rsidRPr="005C4E62" w:rsidRDefault="009A1814" w:rsidP="009A1814">
      <w:pPr>
        <w:pStyle w:val="Text2"/>
        <w:tabs>
          <w:tab w:val="clear" w:pos="2161"/>
          <w:tab w:val="left" w:leader="dot" w:pos="9072"/>
        </w:tabs>
        <w:spacing w:before="120" w:after="120"/>
        <w:ind w:left="709"/>
      </w:pPr>
      <w:r>
        <w:tab/>
      </w:r>
    </w:p>
    <w:p w14:paraId="5886393B" w14:textId="77777777" w:rsidR="00710B4A" w:rsidRPr="005C4E62" w:rsidRDefault="00710B4A" w:rsidP="00710B4A">
      <w:pPr>
        <w:pStyle w:val="NumPar2"/>
        <w:numPr>
          <w:ilvl w:val="1"/>
          <w:numId w:val="41"/>
        </w:numPr>
        <w:ind w:left="709" w:hanging="709"/>
      </w:pPr>
      <w:r>
        <w:t>Tukikelpoiset palveluntarjoajat.</w:t>
      </w:r>
    </w:p>
    <w:p w14:paraId="304E7EDA" w14:textId="77777777" w:rsidR="00710B4A" w:rsidRPr="005C4E62" w:rsidRDefault="00710B4A" w:rsidP="00710B4A">
      <w:pPr>
        <w:pStyle w:val="Text2"/>
        <w:tabs>
          <w:tab w:val="clear" w:pos="2161"/>
          <w:tab w:val="left" w:leader="dot" w:pos="9072"/>
        </w:tabs>
        <w:spacing w:before="120" w:after="120"/>
        <w:ind w:left="709"/>
      </w:pPr>
      <w:r>
        <w:tab/>
      </w:r>
    </w:p>
    <w:p w14:paraId="4E6532AF" w14:textId="77777777" w:rsidR="009A1814" w:rsidRPr="005C4E62" w:rsidRDefault="009A1814" w:rsidP="009A1814">
      <w:pPr>
        <w:pStyle w:val="NumPar2"/>
        <w:numPr>
          <w:ilvl w:val="1"/>
          <w:numId w:val="41"/>
        </w:numPr>
        <w:ind w:left="709" w:hanging="709"/>
      </w:pPr>
      <w:r>
        <w:t>Tukitoimenpiteessä tukikelpoiset palvelut (kuvaajana esim. siirtonopeus verkosta käyttäjälle, siirtonopeus käyttäjältä verkkoon). Miten tukikelpoiset palvelut on valittu? Loppukäyttäjien tarpeet, joihin voidaan vastata tukikelpoisilla liittymillä, ja asiaan liittyvä todennettavissa oleva näyttö (esim. kuluttajakyselyt, riippumattomat selvitykset).</w:t>
      </w:r>
      <w:r w:rsidR="00F47AC0" w:rsidRPr="005C4E62">
        <w:rPr>
          <w:rStyle w:val="FootnoteReference"/>
        </w:rPr>
        <w:footnoteReference w:id="16"/>
      </w:r>
    </w:p>
    <w:p w14:paraId="1B5633FA" w14:textId="77777777" w:rsidR="009A1814" w:rsidRPr="005C4E62" w:rsidRDefault="009A1814" w:rsidP="009A1814">
      <w:pPr>
        <w:pStyle w:val="Text2"/>
        <w:tabs>
          <w:tab w:val="clear" w:pos="2161"/>
          <w:tab w:val="left" w:leader="dot" w:pos="9072"/>
        </w:tabs>
        <w:spacing w:before="120" w:after="120"/>
        <w:ind w:left="709"/>
      </w:pPr>
      <w:r>
        <w:tab/>
      </w:r>
    </w:p>
    <w:p w14:paraId="5514AD79" w14:textId="77777777" w:rsidR="00710B4A" w:rsidRPr="005C4E62" w:rsidRDefault="00710B4A" w:rsidP="009A1814">
      <w:pPr>
        <w:pStyle w:val="NumPar2"/>
        <w:numPr>
          <w:ilvl w:val="1"/>
          <w:numId w:val="41"/>
        </w:numPr>
        <w:ind w:left="709" w:hanging="709"/>
      </w:pPr>
      <w:r>
        <w:t>Miten arvoseteleitä tullaan käyttämään? Vahvistakaa lisäksi, että arvoseteleitä ei voida käyttää nykyisten tilausten jatkamiseen.</w:t>
      </w:r>
      <w:r w:rsidR="00F47AC0" w:rsidRPr="005C4E62">
        <w:rPr>
          <w:rStyle w:val="FootnoteReference"/>
        </w:rPr>
        <w:footnoteReference w:id="17"/>
      </w:r>
    </w:p>
    <w:p w14:paraId="154FE8E1"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Uusien laajakaistapalvelujen tilaamiseen. Tarkentakaa:</w:t>
      </w:r>
    </w:p>
    <w:p w14:paraId="35A5C51F" w14:textId="77777777" w:rsidR="00042ACA" w:rsidRPr="005C4E62" w:rsidRDefault="00042ACA" w:rsidP="00042ACA">
      <w:pPr>
        <w:pStyle w:val="NumPar2"/>
        <w:tabs>
          <w:tab w:val="clear" w:pos="360"/>
        </w:tabs>
        <w:ind w:left="709" w:firstLine="0"/>
      </w:pPr>
      <w:r>
        <w:t xml:space="preserve">………………………………………………………………………………………….. </w:t>
      </w:r>
    </w:p>
    <w:p w14:paraId="338817BF"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Olemassa olevien tilausten vaihtamiseen parempiin. Tarkentakaa: </w:t>
      </w:r>
    </w:p>
    <w:p w14:paraId="0703B9EE" w14:textId="77777777" w:rsidR="00042ACA" w:rsidRPr="005C4E62" w:rsidRDefault="00042ACA" w:rsidP="00042ACA">
      <w:pPr>
        <w:pStyle w:val="NumPar2"/>
        <w:tabs>
          <w:tab w:val="clear" w:pos="360"/>
        </w:tabs>
        <w:ind w:left="709" w:firstLine="0"/>
      </w:pPr>
      <w:r>
        <w:t>…………………………………………………………………………………………...</w:t>
      </w:r>
    </w:p>
    <w:p w14:paraId="35009423"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Vahvistus siitä, että arvoseteleitä ei voida käyttää nykyisten tilausten jatkamiseen. Tarkentakaa:</w:t>
      </w:r>
    </w:p>
    <w:p w14:paraId="723FD0CA" w14:textId="77777777" w:rsidR="00710B4A" w:rsidRPr="005C4E62" w:rsidRDefault="00710B4A" w:rsidP="00710B4A">
      <w:pPr>
        <w:pStyle w:val="Text2"/>
        <w:tabs>
          <w:tab w:val="clear" w:pos="2161"/>
          <w:tab w:val="left" w:leader="dot" w:pos="9072"/>
        </w:tabs>
        <w:spacing w:before="120" w:after="120"/>
        <w:ind w:left="709"/>
      </w:pPr>
      <w:r>
        <w:tab/>
      </w:r>
    </w:p>
    <w:p w14:paraId="1539B991" w14:textId="77777777" w:rsidR="009A1814" w:rsidRPr="005C4E62" w:rsidRDefault="009A1814" w:rsidP="009A1814">
      <w:pPr>
        <w:pStyle w:val="NumPar2"/>
        <w:numPr>
          <w:ilvl w:val="1"/>
          <w:numId w:val="41"/>
        </w:numPr>
        <w:ind w:left="709" w:hanging="709"/>
      </w:pPr>
      <w:r>
        <w:t>Mitä tukikelpoisia kustannuksia tukitoimenpide kattaa?</w:t>
      </w:r>
      <w:r w:rsidR="00F47AC0" w:rsidRPr="005C4E62">
        <w:rPr>
          <w:rStyle w:val="FootnoteReference"/>
        </w:rPr>
        <w:footnoteReference w:id="18"/>
      </w:r>
    </w:p>
    <w:p w14:paraId="62909D9B" w14:textId="77777777" w:rsidR="00E0556B" w:rsidRPr="005C4E62" w:rsidRDefault="00E0556B" w:rsidP="00450B69">
      <w:pPr>
        <w:pStyle w:val="Text2"/>
        <w:tabs>
          <w:tab w:val="clear" w:pos="2161"/>
          <w:tab w:val="left" w:leader="dot" w:pos="9072"/>
        </w:tabs>
        <w:spacing w:before="120" w:after="120"/>
        <w:ind w:left="709"/>
      </w:pPr>
      <w:r>
        <w:tab/>
      </w:r>
    </w:p>
    <w:p w14:paraId="60FB2A69" w14:textId="57357541" w:rsidR="009A1814" w:rsidRPr="005C4E62" w:rsidRDefault="009A1814" w:rsidP="009A1814">
      <w:pPr>
        <w:pStyle w:val="NumPar2"/>
        <w:numPr>
          <w:ilvl w:val="1"/>
          <w:numId w:val="41"/>
        </w:numPr>
        <w:ind w:left="709" w:hanging="709"/>
      </w:pPr>
      <w:r>
        <w:t>Arvosetelien muoto ja arvo, arvon määritystapa ja arvosetelin kattama prosenttiosuus liittymän kustannuksista.</w:t>
      </w:r>
      <w:r w:rsidR="00F47AC0" w:rsidRPr="005C4E62">
        <w:rPr>
          <w:rStyle w:val="FootnoteReference"/>
        </w:rPr>
        <w:footnoteReference w:id="19"/>
      </w:r>
    </w:p>
    <w:p w14:paraId="1E96D597" w14:textId="77777777" w:rsidR="009A1814" w:rsidRPr="005C4E62" w:rsidRDefault="009A1814" w:rsidP="009A1814">
      <w:pPr>
        <w:pStyle w:val="Text2"/>
        <w:tabs>
          <w:tab w:val="clear" w:pos="2161"/>
          <w:tab w:val="left" w:leader="dot" w:pos="9072"/>
        </w:tabs>
        <w:spacing w:before="120" w:after="120"/>
        <w:ind w:left="709"/>
      </w:pPr>
      <w:r>
        <w:tab/>
      </w:r>
    </w:p>
    <w:p w14:paraId="1B8CB45C" w14:textId="77777777" w:rsidR="009A1814" w:rsidRPr="005C4E62" w:rsidRDefault="009A1814" w:rsidP="009A1814">
      <w:pPr>
        <w:pStyle w:val="NumPar2"/>
        <w:numPr>
          <w:ilvl w:val="1"/>
          <w:numId w:val="41"/>
        </w:numPr>
        <w:ind w:left="709" w:hanging="709"/>
        <w:rPr>
          <w:iCs/>
        </w:rPr>
      </w:pPr>
      <w:r>
        <w:lastRenderedPageBreak/>
        <w:t>Onko tukitoimenpide teknologianeutraaliuden periaatteen mukainen? Tarkentakaa miksi</w:t>
      </w:r>
      <w:r w:rsidR="00F47AC0" w:rsidRPr="005C4E62">
        <w:rPr>
          <w:rStyle w:val="FootnoteReference"/>
          <w:iCs/>
        </w:rPr>
        <w:footnoteReference w:id="20"/>
      </w:r>
    </w:p>
    <w:p w14:paraId="7FEFF13A" w14:textId="77777777" w:rsidR="009A1814" w:rsidRPr="005C4E62" w:rsidRDefault="009A1814" w:rsidP="009A1814">
      <w:pPr>
        <w:pStyle w:val="Text2"/>
        <w:tabs>
          <w:tab w:val="clear" w:pos="2161"/>
          <w:tab w:val="left" w:leader="dot" w:pos="9072"/>
        </w:tabs>
        <w:spacing w:before="120" w:after="120"/>
        <w:ind w:left="709"/>
      </w:pPr>
      <w:r>
        <w:tab/>
      </w:r>
    </w:p>
    <w:p w14:paraId="33064D09" w14:textId="38E02F88" w:rsidR="009A1814" w:rsidRPr="005C4E62" w:rsidRDefault="009A1814" w:rsidP="009A1814">
      <w:pPr>
        <w:pStyle w:val="NumPar2"/>
        <w:numPr>
          <w:ilvl w:val="1"/>
          <w:numId w:val="41"/>
        </w:numPr>
        <w:ind w:left="709" w:hanging="709"/>
        <w:rPr>
          <w:iCs/>
        </w:rPr>
      </w:pPr>
      <w:r>
        <w:t>Sen osoittamiseksi, että tukitoimenpiteessä taataan kaikkien mahdollisten palveluntarjoajien tasavertainen kohtelu ja tarjotaan kuluttajille laajin mahdollinen valinnanvara liittymän tarjoajien suhteen, vahvistakaa (esittäen asiaa koskevat tarkemmat tiedot) seuraavat seikat:</w:t>
      </w:r>
      <w:r w:rsidR="00F47AC0" w:rsidRPr="005C4E62">
        <w:rPr>
          <w:rStyle w:val="FootnoteReference"/>
        </w:rPr>
        <w:footnoteReference w:id="21"/>
      </w:r>
    </w:p>
    <w:p w14:paraId="13C61BA1" w14:textId="77777777" w:rsidR="009A1814" w:rsidRPr="005C4E62" w:rsidRDefault="009A1814" w:rsidP="004C1C63">
      <w:pPr>
        <w:pStyle w:val="NumPar2"/>
        <w:numPr>
          <w:ilvl w:val="4"/>
          <w:numId w:val="42"/>
        </w:numPr>
        <w:tabs>
          <w:tab w:val="clear" w:pos="1800"/>
        </w:tabs>
        <w:ind w:left="1418" w:hanging="709"/>
      </w:pPr>
      <w:r>
        <w:t>Tukiohjelmassa tullaan luomaan verkkorekisteri kaikista tukikelpoisista palveluntarjoajista tai vastaava vaihtoehtoinen järjestelmä.</w:t>
      </w:r>
    </w:p>
    <w:p w14:paraId="321E9C4C" w14:textId="77777777" w:rsidR="009A1814" w:rsidRPr="005C4E62" w:rsidRDefault="009A1814" w:rsidP="009A1814">
      <w:pPr>
        <w:pStyle w:val="Text2"/>
        <w:tabs>
          <w:tab w:val="clear" w:pos="2161"/>
          <w:tab w:val="left" w:leader="dot" w:pos="9072"/>
        </w:tabs>
        <w:spacing w:before="120" w:after="120"/>
        <w:ind w:left="709"/>
      </w:pPr>
      <w:r>
        <w:tab/>
      </w:r>
    </w:p>
    <w:p w14:paraId="5B5EDAE9" w14:textId="0B8C43FC" w:rsidR="009A1814" w:rsidRPr="005C4E62" w:rsidRDefault="009A1814" w:rsidP="004C1C63">
      <w:pPr>
        <w:pStyle w:val="NumPar2"/>
        <w:numPr>
          <w:ilvl w:val="4"/>
          <w:numId w:val="42"/>
        </w:numPr>
        <w:tabs>
          <w:tab w:val="clear" w:pos="1800"/>
        </w:tabs>
        <w:ind w:left="1418" w:hanging="709"/>
      </w:pPr>
      <w:r>
        <w:t>Kuluttajilla on vapaasti mahdollisuus hakea rekisteristä tietoja.</w:t>
      </w:r>
    </w:p>
    <w:p w14:paraId="61010B89" w14:textId="77777777" w:rsidR="009A1814" w:rsidRPr="005C4E62" w:rsidRDefault="009A1814" w:rsidP="009A1814">
      <w:pPr>
        <w:pStyle w:val="Text2"/>
        <w:tabs>
          <w:tab w:val="clear" w:pos="2161"/>
          <w:tab w:val="left" w:leader="dot" w:pos="9072"/>
        </w:tabs>
        <w:spacing w:before="120" w:after="120"/>
        <w:ind w:left="709"/>
      </w:pPr>
      <w:r>
        <w:tab/>
      </w:r>
    </w:p>
    <w:p w14:paraId="00248062" w14:textId="77777777" w:rsidR="009A1814" w:rsidRPr="005C4E62" w:rsidRDefault="009A1814" w:rsidP="00D46D21">
      <w:pPr>
        <w:pStyle w:val="NumPar2"/>
        <w:numPr>
          <w:ilvl w:val="4"/>
          <w:numId w:val="42"/>
        </w:numPr>
        <w:tabs>
          <w:tab w:val="clear" w:pos="1800"/>
        </w:tabs>
        <w:ind w:left="1418" w:hanging="709"/>
      </w:pPr>
      <w:r>
        <w:t>Kaikilla yrityksillä, jotka pystyvät tarjoamaan tukikelpoisia laajakaistapalveluja, on mahdollisuus päästä pyynnöstä mukaan rekisteriin tai vaihtoehtoiseen järjestelmään.</w:t>
      </w:r>
    </w:p>
    <w:p w14:paraId="135DDB83" w14:textId="77777777" w:rsidR="009A1814" w:rsidRPr="005C4E62" w:rsidRDefault="009A1814" w:rsidP="009A1814">
      <w:pPr>
        <w:pStyle w:val="Text2"/>
        <w:tabs>
          <w:tab w:val="clear" w:pos="2161"/>
          <w:tab w:val="left" w:leader="dot" w:pos="9072"/>
        </w:tabs>
        <w:spacing w:before="120" w:after="120"/>
        <w:ind w:left="709"/>
      </w:pPr>
      <w:r>
        <w:tab/>
        <w:t xml:space="preserve"> </w:t>
      </w:r>
    </w:p>
    <w:p w14:paraId="12BAF501" w14:textId="77777777" w:rsidR="009A1814" w:rsidRPr="005C4E62" w:rsidRDefault="009A1814" w:rsidP="004C1C63">
      <w:pPr>
        <w:pStyle w:val="NumPar2"/>
        <w:numPr>
          <w:ilvl w:val="4"/>
          <w:numId w:val="42"/>
        </w:numPr>
        <w:tabs>
          <w:tab w:val="clear" w:pos="1800"/>
        </w:tabs>
        <w:ind w:left="1418" w:hanging="709"/>
      </w:pPr>
      <w:r>
        <w:t>Rekisterissä (tai valitussa vaihtoehtoisessa järjestelmässä) on kuluttajien avuksi myös muuta tietoa (esim. eri yritysten tarjoamien palvelujen tyypistä). Jos tällaista muuta tietoa on, millaista?</w:t>
      </w:r>
    </w:p>
    <w:p w14:paraId="2955E2FD" w14:textId="77777777" w:rsidR="009A1814" w:rsidRPr="005C4E62" w:rsidRDefault="009A1814" w:rsidP="009A1814">
      <w:pPr>
        <w:pStyle w:val="Text2"/>
        <w:tabs>
          <w:tab w:val="clear" w:pos="2161"/>
          <w:tab w:val="left" w:leader="dot" w:pos="9072"/>
        </w:tabs>
        <w:spacing w:before="120" w:after="120"/>
        <w:ind w:left="709"/>
      </w:pPr>
      <w:r>
        <w:tab/>
      </w:r>
    </w:p>
    <w:p w14:paraId="5EF1D5B6" w14:textId="77777777" w:rsidR="009A1814" w:rsidRPr="005C4E62" w:rsidRDefault="009A1814" w:rsidP="004C1C63">
      <w:pPr>
        <w:pStyle w:val="NumPar2"/>
        <w:numPr>
          <w:ilvl w:val="1"/>
          <w:numId w:val="41"/>
        </w:numPr>
        <w:ind w:left="709" w:hanging="709"/>
      </w:pPr>
      <w:r>
        <w:t>Seikkaperäinen kuvaus tukitoimenpiteen toteutustavasta:</w:t>
      </w:r>
    </w:p>
    <w:p w14:paraId="7EA0964F" w14:textId="77777777" w:rsidR="004D559F" w:rsidRPr="005C4E62" w:rsidRDefault="004D559F" w:rsidP="00450B69">
      <w:pPr>
        <w:pStyle w:val="Text2"/>
        <w:tabs>
          <w:tab w:val="clear" w:pos="2161"/>
          <w:tab w:val="left" w:leader="dot" w:pos="9072"/>
        </w:tabs>
        <w:spacing w:before="120" w:after="120"/>
        <w:ind w:left="709"/>
      </w:pPr>
      <w:r>
        <w:tab/>
      </w:r>
    </w:p>
    <w:p w14:paraId="71B343D1" w14:textId="77777777" w:rsidR="009A1814" w:rsidRPr="005C4E62" w:rsidRDefault="009A1814" w:rsidP="004C1C63">
      <w:pPr>
        <w:pStyle w:val="NumPar2"/>
        <w:numPr>
          <w:ilvl w:val="1"/>
          <w:numId w:val="41"/>
        </w:numPr>
        <w:ind w:left="709" w:hanging="709"/>
      </w:pPr>
      <w:r>
        <w:t>Julkinen kuuleminen.</w:t>
      </w:r>
      <w:r w:rsidR="00E217F7" w:rsidRPr="005C4E62">
        <w:rPr>
          <w:rStyle w:val="FootnoteReference"/>
        </w:rPr>
        <w:footnoteReference w:id="22"/>
      </w:r>
    </w:p>
    <w:p w14:paraId="053D9128" w14:textId="1F18CA47" w:rsidR="009A1814" w:rsidRPr="005C4E62" w:rsidRDefault="009A1814" w:rsidP="00657E45">
      <w:pPr>
        <w:pStyle w:val="Text2"/>
        <w:numPr>
          <w:ilvl w:val="4"/>
          <w:numId w:val="48"/>
        </w:numPr>
        <w:tabs>
          <w:tab w:val="clear" w:pos="2161"/>
        </w:tabs>
        <w:spacing w:after="120"/>
        <w:ind w:hanging="1091"/>
      </w:pPr>
      <w:r>
        <w:t>Kunkin toteutetun julkisen kuulemisen alkamis- ja päättymispäivä.</w:t>
      </w:r>
    </w:p>
    <w:p w14:paraId="25F6521F" w14:textId="77777777" w:rsidR="009A1814" w:rsidRPr="005C4E62" w:rsidRDefault="009A1814" w:rsidP="009A1814">
      <w:pPr>
        <w:pStyle w:val="Text2"/>
        <w:tabs>
          <w:tab w:val="clear" w:pos="2161"/>
          <w:tab w:val="left" w:leader="dot" w:pos="9072"/>
        </w:tabs>
        <w:spacing w:before="120" w:after="120"/>
        <w:ind w:left="709"/>
      </w:pPr>
      <w:r>
        <w:tab/>
      </w:r>
    </w:p>
    <w:p w14:paraId="75B937A4" w14:textId="1514D452" w:rsidR="009A1814" w:rsidRPr="005C4E62" w:rsidRDefault="009A1814" w:rsidP="00657E45">
      <w:pPr>
        <w:pStyle w:val="Text2"/>
        <w:numPr>
          <w:ilvl w:val="4"/>
          <w:numId w:val="48"/>
        </w:numPr>
        <w:tabs>
          <w:tab w:val="clear" w:pos="2161"/>
        </w:tabs>
        <w:spacing w:after="120"/>
        <w:ind w:left="1418" w:hanging="709"/>
      </w:pPr>
      <w:r>
        <w:t>Kunkin julkisen kuulemisen sisältö.</w:t>
      </w:r>
    </w:p>
    <w:p w14:paraId="5D987A40" w14:textId="77777777" w:rsidR="009A1814" w:rsidRPr="005C4E62" w:rsidRDefault="009A1814" w:rsidP="009A1814">
      <w:pPr>
        <w:pStyle w:val="Text2"/>
        <w:tabs>
          <w:tab w:val="clear" w:pos="2161"/>
          <w:tab w:val="left" w:leader="dot" w:pos="9072"/>
        </w:tabs>
        <w:spacing w:before="120" w:after="120"/>
        <w:ind w:left="709"/>
      </w:pPr>
      <w:r>
        <w:tab/>
      </w:r>
    </w:p>
    <w:p w14:paraId="3D96C3D7" w14:textId="77777777" w:rsidR="009A1814" w:rsidRPr="005C4E62" w:rsidRDefault="009A1814" w:rsidP="00657E45">
      <w:pPr>
        <w:pStyle w:val="Text2"/>
        <w:numPr>
          <w:ilvl w:val="4"/>
          <w:numId w:val="48"/>
        </w:numPr>
        <w:tabs>
          <w:tab w:val="clear" w:pos="2161"/>
        </w:tabs>
        <w:spacing w:after="120"/>
        <w:ind w:left="1418" w:hanging="709"/>
      </w:pPr>
      <w:r>
        <w:t>Julkinen (alueellisen tai valtakunnallisen tason) verkkosivusto, jolla kuuleminen julkaistiin.</w:t>
      </w:r>
    </w:p>
    <w:p w14:paraId="5BE3D9BC" w14:textId="77777777" w:rsidR="009A1814" w:rsidRPr="005C4E62" w:rsidRDefault="009A1814" w:rsidP="009A1814">
      <w:pPr>
        <w:pStyle w:val="Text2"/>
        <w:tabs>
          <w:tab w:val="clear" w:pos="2161"/>
          <w:tab w:val="left" w:leader="dot" w:pos="9072"/>
        </w:tabs>
        <w:spacing w:before="120" w:after="120"/>
        <w:ind w:left="709"/>
      </w:pPr>
      <w:r>
        <w:tab/>
      </w:r>
    </w:p>
    <w:p w14:paraId="4F24D7D7" w14:textId="77777777" w:rsidR="009A1814" w:rsidRPr="005C4E62" w:rsidRDefault="009A1814" w:rsidP="00657E45">
      <w:pPr>
        <w:pStyle w:val="Text2"/>
        <w:numPr>
          <w:ilvl w:val="4"/>
          <w:numId w:val="48"/>
        </w:numPr>
        <w:tabs>
          <w:tab w:val="clear" w:pos="2161"/>
        </w:tabs>
        <w:spacing w:after="120"/>
        <w:ind w:left="1418" w:hanging="709"/>
      </w:pPr>
      <w:r>
        <w:t>Yhteenveto kunkin kuulemisen osallistujien keskeisistä näkemyksistä ja kuvaus siitä, miten ne on otettu huomioon.</w:t>
      </w:r>
    </w:p>
    <w:p w14:paraId="53792513" w14:textId="77777777" w:rsidR="009A1814" w:rsidRPr="005C4E62" w:rsidRDefault="009A1814" w:rsidP="009A1814">
      <w:pPr>
        <w:pStyle w:val="Text2"/>
        <w:tabs>
          <w:tab w:val="clear" w:pos="2161"/>
          <w:tab w:val="left" w:leader="dot" w:pos="9072"/>
        </w:tabs>
        <w:spacing w:before="120" w:after="120"/>
        <w:ind w:left="709"/>
      </w:pPr>
      <w:r>
        <w:tab/>
      </w:r>
    </w:p>
    <w:p w14:paraId="69903F2A" w14:textId="77777777" w:rsidR="009A1814" w:rsidRPr="005C4E62" w:rsidRDefault="009A1814" w:rsidP="004C1C63">
      <w:pPr>
        <w:pStyle w:val="NumPar2"/>
        <w:numPr>
          <w:ilvl w:val="1"/>
          <w:numId w:val="41"/>
        </w:numPr>
        <w:ind w:left="709" w:hanging="709"/>
      </w:pPr>
      <w:r>
        <w:t>Toteutetaanko varotoimia liityntäarvosetelien väärinkäytön ehkäisemiseksi? Jos, niin millaisia?</w:t>
      </w:r>
      <w:r w:rsidRPr="005C4E62">
        <w:rPr>
          <w:rStyle w:val="FootnoteReference"/>
        </w:rPr>
        <w:footnoteReference w:id="23"/>
      </w:r>
    </w:p>
    <w:p w14:paraId="5DD4125C" w14:textId="77777777" w:rsidR="009A1814" w:rsidRPr="005C4E62" w:rsidRDefault="009A1814" w:rsidP="009A1814">
      <w:pPr>
        <w:pStyle w:val="Text2"/>
        <w:tabs>
          <w:tab w:val="clear" w:pos="2161"/>
          <w:tab w:val="left" w:leader="dot" w:pos="9072"/>
        </w:tabs>
        <w:spacing w:before="120" w:after="120"/>
        <w:ind w:left="709"/>
      </w:pPr>
      <w:r>
        <w:tab/>
      </w:r>
    </w:p>
    <w:p w14:paraId="2BD1470A" w14:textId="77777777" w:rsidR="009A1814" w:rsidRPr="005C4E62" w:rsidRDefault="009A1814" w:rsidP="004C1C63">
      <w:pPr>
        <w:pStyle w:val="NumPar2"/>
        <w:numPr>
          <w:ilvl w:val="1"/>
          <w:numId w:val="41"/>
        </w:numPr>
        <w:ind w:left="709" w:hanging="709"/>
      </w:pPr>
      <w:r>
        <w:lastRenderedPageBreak/>
        <w:t>Sisältyykö tukitoimenpiteeseen sääntöjä, jotka koskevat esimerkiksi liittymätilauksen ennenaikaista irtisanomista, mahdollisuutta siirtää liittymätilaus toiselle palveluntarjoajalle arvosetelin voimassaoloaikana (jos näin on, millä edellytyksillä) tai liittymätilauksen jatkamista arvosetelin voimassaolon päättymisen jälkeen? Jos, niin millaisia?</w:t>
      </w:r>
    </w:p>
    <w:p w14:paraId="169F0887" w14:textId="77777777" w:rsidR="009A1814" w:rsidRPr="005C4E62" w:rsidRDefault="009A1814" w:rsidP="009A1814">
      <w:pPr>
        <w:pStyle w:val="Text2"/>
        <w:tabs>
          <w:tab w:val="clear" w:pos="2161"/>
          <w:tab w:val="left" w:leader="dot" w:pos="9072"/>
        </w:tabs>
        <w:spacing w:before="120" w:after="120"/>
        <w:ind w:left="709"/>
      </w:pPr>
      <w:r>
        <w:tab/>
      </w:r>
    </w:p>
    <w:p w14:paraId="6E16D7DD" w14:textId="77777777" w:rsidR="00807BE5" w:rsidRPr="005C4E62" w:rsidRDefault="004C1C63" w:rsidP="00F47AC0">
      <w:pPr>
        <w:pStyle w:val="NumPar2"/>
        <w:numPr>
          <w:ilvl w:val="1"/>
          <w:numId w:val="41"/>
        </w:numPr>
        <w:ind w:left="709" w:hanging="709"/>
      </w:pPr>
      <w:r>
        <w:t>Mitä taloudellista toimintaa tukitoimenpiteellä edistetään lisäämällä yhteyksiä ja pääsyä suorituskykyisiin laajakaistapalveluihin ja miten tällaisen toiminnan kehitystä edistetään?</w:t>
      </w:r>
      <w:r w:rsidR="00807BE5" w:rsidRPr="005C4E62">
        <w:rPr>
          <w:rStyle w:val="FootnoteReference"/>
        </w:rPr>
        <w:footnoteReference w:id="24"/>
      </w:r>
    </w:p>
    <w:p w14:paraId="7D643BA8" w14:textId="77777777" w:rsidR="00807BE5" w:rsidRPr="005C4E62" w:rsidRDefault="00807BE5" w:rsidP="00807BE5">
      <w:pPr>
        <w:pStyle w:val="Text2"/>
        <w:tabs>
          <w:tab w:val="clear" w:pos="2161"/>
          <w:tab w:val="left" w:leader="dot" w:pos="9072"/>
        </w:tabs>
        <w:spacing w:before="120" w:after="120"/>
        <w:ind w:left="709"/>
      </w:pPr>
      <w:r>
        <w:tab/>
      </w:r>
    </w:p>
    <w:p w14:paraId="09519E56" w14:textId="77777777" w:rsidR="00D46D21" w:rsidRPr="005C4E62" w:rsidRDefault="00F47AC0" w:rsidP="00D46D21">
      <w:pPr>
        <w:pStyle w:val="NumPar2"/>
        <w:numPr>
          <w:ilvl w:val="1"/>
          <w:numId w:val="41"/>
        </w:numPr>
        <w:ind w:left="709" w:hanging="709"/>
      </w:pPr>
      <w:r>
        <w:t>Tukitoimenpiteen kannustavan vaikutuksen osoittava näyttö.</w:t>
      </w:r>
      <w:r w:rsidRPr="005C4E62">
        <w:rPr>
          <w:rStyle w:val="FootnoteReference"/>
        </w:rPr>
        <w:footnoteReference w:id="25"/>
      </w:r>
    </w:p>
    <w:p w14:paraId="1B33F7ED" w14:textId="77777777" w:rsidR="00D46D21" w:rsidRPr="005C4E62" w:rsidRDefault="00D46D21" w:rsidP="00D46D21">
      <w:pPr>
        <w:pStyle w:val="Text2"/>
        <w:tabs>
          <w:tab w:val="clear" w:pos="2161"/>
          <w:tab w:val="left" w:leader="dot" w:pos="9072"/>
        </w:tabs>
        <w:spacing w:before="120" w:after="120"/>
        <w:ind w:left="709"/>
      </w:pPr>
      <w:r>
        <w:tab/>
      </w:r>
    </w:p>
    <w:p w14:paraId="33BAF8CB" w14:textId="77777777" w:rsidR="00F47AC0" w:rsidRPr="005C4E62" w:rsidRDefault="00F47AC0" w:rsidP="00F47AC0">
      <w:pPr>
        <w:pStyle w:val="NumPar2"/>
        <w:numPr>
          <w:ilvl w:val="1"/>
          <w:numId w:val="41"/>
        </w:numPr>
        <w:ind w:left="709" w:hanging="709"/>
      </w:pPr>
      <w:r>
        <w:t>Ovatko tukitoimenpide, sen myöntämisehdot (mukaan lukien rahoitusmuoto, jos se on erottamaton osa tukea) ja toiminnot, joita tuella rahoitetaan sellaisia, että ne eivät ole ristiriidassa minkään unionin oikeuden säännöksen tai yleisen periaatteen kanssa?</w:t>
      </w:r>
    </w:p>
    <w:p w14:paraId="26E75858" w14:textId="7216F548"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Ei. Täsmentäkää:…………..</w:t>
      </w:r>
      <w:r w:rsidR="00EE53A9">
        <w:t>.............................................</w:t>
      </w:r>
    </w:p>
    <w:p w14:paraId="1434DE38" w14:textId="77777777" w:rsidR="00C9528F" w:rsidRPr="005C4E62" w:rsidRDefault="00C9528F" w:rsidP="00F47AC0">
      <w:pPr>
        <w:pStyle w:val="NumPar2"/>
        <w:numPr>
          <w:ilvl w:val="1"/>
          <w:numId w:val="41"/>
        </w:numPr>
        <w:ind w:left="709" w:hanging="709"/>
      </w:pPr>
      <w:r>
        <w:t>Miksi tukitoimenpiteen tavoitteisiin ei voida päästä valtiontuelle vaihtoehtoisilla tavoilla (esim. hallinnolliset tai sääntelylliset toimenpiteet, markkinapohjaiset instrumentit, lainat, verotoimenpiteet)?</w:t>
      </w:r>
      <w:r w:rsidR="006C4335" w:rsidRPr="005C4E62">
        <w:rPr>
          <w:rStyle w:val="FootnoteReference"/>
        </w:rPr>
        <w:footnoteReference w:id="26"/>
      </w:r>
    </w:p>
    <w:p w14:paraId="4B3DD14D" w14:textId="77777777" w:rsidR="003759A4" w:rsidRPr="005C4E62" w:rsidRDefault="00C9528F" w:rsidP="00C9528F">
      <w:pPr>
        <w:pStyle w:val="Text2"/>
        <w:tabs>
          <w:tab w:val="clear" w:pos="2161"/>
          <w:tab w:val="left" w:leader="dot" w:pos="9072"/>
        </w:tabs>
        <w:spacing w:before="120" w:after="120"/>
        <w:ind w:left="709"/>
      </w:pPr>
      <w:r>
        <w:tab/>
      </w:r>
    </w:p>
    <w:p w14:paraId="1D935157" w14:textId="77777777" w:rsidR="00E217F7" w:rsidRPr="005C4E62" w:rsidRDefault="00E217F7" w:rsidP="00E217F7">
      <w:pPr>
        <w:pStyle w:val="NumPar2"/>
        <w:numPr>
          <w:ilvl w:val="1"/>
          <w:numId w:val="41"/>
        </w:numPr>
        <w:ind w:left="709" w:hanging="709"/>
        <w:rPr>
          <w:iCs/>
        </w:rPr>
      </w:pPr>
      <w:r>
        <w:t>Toimittakaa markkina-arviointi, joka sisältää seuraavat elementit: i) arvio riskistä, että tukitoimenpide antaa – vähittäis- ja/tai tukkutasolla – joillekin palveluntarjoajille kohtuutonta etua muiden kustannuksella mahdollisesti vahvistamalla (paikallista) määräävää markkina-asemaa, ii) arvio liityntäarvoseteliohjelman toteuttamisen todellisesta tarpeesta vertaamalla tilannetta intervention kohdealueella tilanteeseen jäsenvaltion tai unionin muilla alueilla ja iii) analyysi tukikelpoisten palvelujen käyttöönoton kehityssuuntauksista loppukäyttäjien keskuudessa.</w:t>
      </w:r>
      <w:r w:rsidRPr="005C4E62">
        <w:rPr>
          <w:rStyle w:val="FootnoteReference"/>
          <w:iCs/>
        </w:rPr>
        <w:footnoteReference w:id="27"/>
      </w:r>
    </w:p>
    <w:p w14:paraId="37A42C54" w14:textId="77777777" w:rsidR="00E217F7" w:rsidRPr="005C4E62" w:rsidRDefault="00E217F7" w:rsidP="00E217F7">
      <w:pPr>
        <w:pStyle w:val="Text2"/>
        <w:tabs>
          <w:tab w:val="clear" w:pos="2161"/>
          <w:tab w:val="left" w:leader="dot" w:pos="9072"/>
        </w:tabs>
        <w:spacing w:before="120" w:after="120"/>
        <w:ind w:left="709"/>
      </w:pPr>
      <w:r>
        <w:tab/>
      </w:r>
    </w:p>
    <w:p w14:paraId="3045756C" w14:textId="77777777" w:rsidR="004D559F" w:rsidRPr="005C4E62" w:rsidRDefault="004D559F" w:rsidP="004D559F">
      <w:pPr>
        <w:pStyle w:val="NumPar2"/>
        <w:numPr>
          <w:ilvl w:val="1"/>
          <w:numId w:val="41"/>
        </w:numPr>
        <w:ind w:left="709" w:hanging="709"/>
      </w:pPr>
      <w:r>
        <w:t>Onko jokin tukikelpoisista laajakaistapalveluntarjoajista vertikaalisesti integroitunut ja onko sen osuus vähittäismarkkinoista yli 25 prosenttia?</w:t>
      </w:r>
    </w:p>
    <w:p w14:paraId="73B68114" w14:textId="75CCB660"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Ei</w:t>
      </w:r>
    </w:p>
    <w:p w14:paraId="3B82DC18" w14:textId="77777777" w:rsidR="004D559F" w:rsidRPr="005C4E62" w:rsidRDefault="004D559F" w:rsidP="004D559F">
      <w:pPr>
        <w:pStyle w:val="NumPar2"/>
        <w:numPr>
          <w:ilvl w:val="1"/>
          <w:numId w:val="41"/>
        </w:numPr>
        <w:ind w:left="709" w:hanging="709"/>
      </w:pPr>
      <w:r>
        <w:t>Jos kyllä, tuleeko vertikaalisesti integroitunut ja vähittäismarkkinoilla yli 25 prosentin osuuden omaava laajakaistapalveluntarjoaja tarjoamaan avoimesti ja läpinäkyvin ja syrjimättömin ehdoin vastaavilla tukkutason käyttöoikeusmarkkinoilla tukkutason käyttöoikeustuotteita, joiden perusteella mikä tahansa käyttöoikeuden hakija voi tarjota tukikelpoisia palveluja?</w:t>
      </w:r>
    </w:p>
    <w:p w14:paraId="26425A10" w14:textId="497D7E61"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Ei</w:t>
      </w:r>
    </w:p>
    <w:p w14:paraId="5A85ED61" w14:textId="77777777" w:rsidR="00E217F7" w:rsidRPr="005C4E62" w:rsidRDefault="00E217F7" w:rsidP="004D559F">
      <w:pPr>
        <w:pStyle w:val="NumPar2"/>
        <w:numPr>
          <w:ilvl w:val="1"/>
          <w:numId w:val="41"/>
        </w:numPr>
        <w:ind w:left="709" w:hanging="709"/>
      </w:pPr>
      <w:r>
        <w:lastRenderedPageBreak/>
        <w:t>Ilmoittakaa tukitoimenpiteen kesto ja yksittäisten loppukäyttäjien arvosetelien voimassaoloaika.</w:t>
      </w:r>
      <w:r w:rsidRPr="005C4E62">
        <w:rPr>
          <w:vertAlign w:val="superscript"/>
        </w:rPr>
        <w:footnoteReference w:id="28"/>
      </w:r>
    </w:p>
    <w:p w14:paraId="5EF08CB6" w14:textId="77777777" w:rsidR="00E217F7" w:rsidRPr="005C4E62" w:rsidRDefault="00E217F7" w:rsidP="004D559F">
      <w:pPr>
        <w:pStyle w:val="Text2"/>
        <w:tabs>
          <w:tab w:val="clear" w:pos="2161"/>
          <w:tab w:val="left" w:leader="dot" w:pos="9072"/>
        </w:tabs>
        <w:spacing w:before="120" w:after="120"/>
        <w:ind w:left="709"/>
      </w:pPr>
      <w:r>
        <w:tab/>
      </w:r>
    </w:p>
    <w:p w14:paraId="4D53003A" w14:textId="77777777" w:rsidR="00AA0B7A" w:rsidRPr="005C4E62" w:rsidRDefault="00AA0B7A" w:rsidP="00AA0B7A">
      <w:pPr>
        <w:pStyle w:val="NumPar2"/>
        <w:numPr>
          <w:ilvl w:val="1"/>
          <w:numId w:val="41"/>
        </w:numPr>
        <w:ind w:left="709" w:hanging="709"/>
      </w:pPr>
      <w:r>
        <w:t>Millaisia mahdollisia kielteisiä vaikutuksia tukitoimenpiteellä voi olla kilpailuun ja kauppaan ja millä toimenpiteen piirteillä kyseiset riskit voitaisiin minimoida?</w:t>
      </w:r>
    </w:p>
    <w:p w14:paraId="043C904F"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0906AF2" w14:textId="77777777" w:rsidTr="00E27219">
        <w:tc>
          <w:tcPr>
            <w:tcW w:w="9356" w:type="dxa"/>
            <w:shd w:val="clear" w:color="auto" w:fill="D9D9D9"/>
          </w:tcPr>
          <w:p w14:paraId="2278D502"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Muut tiedot (sekä sosiaaliperusteisten että liityntäarvosetelien osalta)</w:t>
            </w:r>
          </w:p>
        </w:tc>
      </w:tr>
    </w:tbl>
    <w:p w14:paraId="0F6388C1" w14:textId="77777777" w:rsidR="00A15706" w:rsidRPr="005C4E62" w:rsidRDefault="00215029" w:rsidP="001B5649">
      <w:pPr>
        <w:pStyle w:val="NumPar2"/>
        <w:numPr>
          <w:ilvl w:val="1"/>
          <w:numId w:val="44"/>
        </w:numPr>
        <w:ind w:left="709" w:hanging="709"/>
      </w:pPr>
      <w:r>
        <w:t>Kuvatkaa kansallisen sääntelyviranomaisen rooli tukitoimenpiteen suunnittelussa, toteutuksessa ja seurannassa.</w:t>
      </w:r>
    </w:p>
    <w:p w14:paraId="7882087C" w14:textId="77777777" w:rsidR="00E217F7" w:rsidRPr="005C4E62" w:rsidRDefault="00E217F7" w:rsidP="00E217F7">
      <w:pPr>
        <w:pStyle w:val="Text2"/>
        <w:tabs>
          <w:tab w:val="clear" w:pos="2161"/>
          <w:tab w:val="left" w:leader="dot" w:pos="9072"/>
        </w:tabs>
        <w:spacing w:before="120" w:after="120"/>
        <w:ind w:left="709"/>
      </w:pPr>
      <w:r>
        <w:tab/>
      </w:r>
    </w:p>
    <w:p w14:paraId="2F8C7BFA" w14:textId="77777777" w:rsidR="00A15706" w:rsidRPr="005C4E62" w:rsidRDefault="00A15706" w:rsidP="00AA0B7A">
      <w:pPr>
        <w:pStyle w:val="NumPar2"/>
        <w:numPr>
          <w:ilvl w:val="1"/>
          <w:numId w:val="44"/>
        </w:numPr>
        <w:ind w:left="709" w:hanging="709"/>
      </w:pPr>
      <w:r>
        <w:t>Kansallisen sääntelyviranomaisen lausunto tukitoimenpiteestä (jos saatavilla):</w:t>
      </w:r>
    </w:p>
    <w:p w14:paraId="3B7CF445" w14:textId="77777777" w:rsidR="00A15706" w:rsidRPr="005C4E62" w:rsidRDefault="00A15706" w:rsidP="00A15706">
      <w:pPr>
        <w:pStyle w:val="Text2"/>
        <w:tabs>
          <w:tab w:val="clear" w:pos="2161"/>
          <w:tab w:val="left" w:leader="dot" w:pos="9072"/>
        </w:tabs>
        <w:spacing w:before="120" w:after="120"/>
        <w:ind w:left="709"/>
      </w:pPr>
      <w:r>
        <w:tab/>
      </w:r>
    </w:p>
    <w:p w14:paraId="43B3DBB9" w14:textId="77777777" w:rsidR="00A15706" w:rsidRPr="005C4E62" w:rsidRDefault="00A15706" w:rsidP="00AA0B7A">
      <w:pPr>
        <w:pStyle w:val="NumPar2"/>
        <w:numPr>
          <w:ilvl w:val="1"/>
          <w:numId w:val="44"/>
        </w:numPr>
        <w:ind w:left="709" w:hanging="709"/>
      </w:pPr>
      <w:r>
        <w:t>Kansallisen kilpailuviranomaisen lausunto tukitoimenpiteestä (jos saatavilla):</w:t>
      </w:r>
    </w:p>
    <w:p w14:paraId="66012E2F" w14:textId="77777777" w:rsidR="00A15706" w:rsidRPr="005C4E62" w:rsidRDefault="009D198A" w:rsidP="00E217F7">
      <w:pPr>
        <w:pStyle w:val="Text2"/>
        <w:tabs>
          <w:tab w:val="clear" w:pos="2161"/>
          <w:tab w:val="left" w:leader="dot" w:pos="9072"/>
        </w:tabs>
        <w:spacing w:before="120" w:after="120"/>
        <w:ind w:left="709"/>
      </w:pPr>
      <w:r>
        <w:tab/>
      </w:r>
    </w:p>
    <w:p w14:paraId="5655A314" w14:textId="77777777" w:rsidR="00DE2831" w:rsidRPr="005C4E62" w:rsidRDefault="00DE2831" w:rsidP="00AA0B7A">
      <w:pPr>
        <w:pStyle w:val="NumPar2"/>
        <w:numPr>
          <w:ilvl w:val="1"/>
          <w:numId w:val="44"/>
        </w:numPr>
        <w:ind w:left="709" w:hanging="709"/>
      </w:pPr>
      <w:r>
        <w:t xml:space="preserve">Läpinäkyvyys. </w:t>
      </w:r>
    </w:p>
    <w:p w14:paraId="2E5E2696" w14:textId="77777777" w:rsidR="00153D1B" w:rsidRPr="005C4E62" w:rsidRDefault="00A72D4E" w:rsidP="00E27219">
      <w:pPr>
        <w:pStyle w:val="NumPar2"/>
        <w:numPr>
          <w:ilvl w:val="0"/>
          <w:numId w:val="33"/>
        </w:numPr>
        <w:ind w:left="1418" w:hanging="709"/>
      </w:pPr>
      <w:r>
        <w:t>Vahvistakaa, että i) tukiohjelman hyväksymispäätöksen ja sen täytäntöönpanosääntöjen koko teksti tai linkki siihen ja ii) tiedot kustakin myönnetystä yli 100 000 euron suuruisesta yksittäisestä tuesta julkaistaan liitteen II mukaisesti</w:t>
      </w:r>
      <w:r w:rsidR="00DE2831" w:rsidRPr="005C4E62">
        <w:rPr>
          <w:rStyle w:val="FootnoteReference"/>
          <w:iCs/>
        </w:rPr>
        <w:footnoteReference w:id="29"/>
      </w:r>
      <w:r>
        <w:t xml:space="preserve"> (kuuden kuukauden kuluessa tuen myöntämisestä tai veroetuutena myönnettävän tuen tapauksessa vuoden kuluessa veroilmoituksen määräpäivästä)</w:t>
      </w:r>
      <w:r w:rsidR="00DE2831" w:rsidRPr="005C4E62">
        <w:rPr>
          <w:rStyle w:val="FootnoteReference"/>
          <w:iCs/>
        </w:rPr>
        <w:footnoteReference w:id="30"/>
      </w:r>
    </w:p>
    <w:p w14:paraId="6CFB06AE"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komission valtiontukien avoimuusmoduulissa</w:t>
      </w:r>
      <w:r w:rsidRPr="005C4E62">
        <w:rPr>
          <w:rStyle w:val="FootnoteReference"/>
        </w:rPr>
        <w:footnoteReference w:id="31"/>
      </w:r>
    </w:p>
    <w:p w14:paraId="753C3845"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kattavalla valtiontukisivustolla (ilmoittakaa osoite). Onko kyseessä kansallisen vai alueellisen tason verkkosivusto?</w:t>
      </w:r>
      <w:r w:rsidRPr="005C4E62">
        <w:rPr>
          <w:rStyle w:val="FootnoteReference"/>
        </w:rPr>
        <w:footnoteReference w:id="32"/>
      </w:r>
      <w:r>
        <w:t xml:space="preserve"> Ovatko tiedot sivustolla helposti löydettävissä? (Eli kenen tahansa on voitava käyttää verkkosivustoa rajoituksetta)</w:t>
      </w:r>
      <w:r w:rsidR="00DE2831" w:rsidRPr="005C4E62">
        <w:rPr>
          <w:rStyle w:val="FootnoteReference"/>
        </w:rPr>
        <w:footnoteReference w:id="33"/>
      </w:r>
      <w:r>
        <w:t>.</w:t>
      </w:r>
    </w:p>
    <w:p w14:paraId="2247A109" w14:textId="77777777" w:rsidR="008B2C0A" w:rsidRPr="005C4E62" w:rsidRDefault="008B2C0A" w:rsidP="00D46D21">
      <w:pPr>
        <w:pStyle w:val="Text2"/>
        <w:tabs>
          <w:tab w:val="clear" w:pos="2161"/>
          <w:tab w:val="left" w:leader="dot" w:pos="9072"/>
        </w:tabs>
        <w:spacing w:before="120" w:after="120"/>
        <w:ind w:left="709"/>
      </w:pPr>
      <w:r>
        <w:tab/>
      </w:r>
    </w:p>
    <w:p w14:paraId="30F99463" w14:textId="77777777" w:rsidR="00DE2831" w:rsidRPr="005C4E62" w:rsidRDefault="00DE2831" w:rsidP="00E27219">
      <w:pPr>
        <w:pStyle w:val="NumPar2"/>
        <w:numPr>
          <w:ilvl w:val="0"/>
          <w:numId w:val="33"/>
        </w:numPr>
        <w:ind w:left="1418" w:hanging="709"/>
      </w:pPr>
      <w:r>
        <w:t>Pidetäänkö kohdassa 4.4 tarkoitetut tiedot saatavilla vähintään kymmenen vuoden ajan tuen myöntämispäivästä ja julkaistaanko ne avoimessa taulukkomuodossa, jonka ansiosta tietoja voidaan hakea, poimia, ladata omalle koneelle ja julkaista helposti internetissä (esimerkiksi CSV- tai XML-muodossa)?</w:t>
      </w:r>
    </w:p>
    <w:p w14:paraId="71BE63B1"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 xml:space="preserve"> Ei</w:t>
      </w:r>
    </w:p>
    <w:p w14:paraId="30037350" w14:textId="77777777" w:rsidR="00DE2831" w:rsidRPr="005C4E62" w:rsidRDefault="00DE2831" w:rsidP="00E27219">
      <w:pPr>
        <w:pStyle w:val="NumPar2"/>
        <w:numPr>
          <w:ilvl w:val="0"/>
          <w:numId w:val="33"/>
        </w:numPr>
        <w:ind w:left="1418" w:hanging="709"/>
      </w:pPr>
      <w:r>
        <w:lastRenderedPageBreak/>
        <w:t>Jos on kyse sääntöjenvastaiseksi katsotusta tuesta, jonka kuitenkin myöhemmin todetaan soveltuvan sisämarkkinoille, julkaistaanko asiaa koskevat tiedot valtiontukisivustolla (ilmoittakaa osoite) kuuden kuukauden kuluessa sen päätöksen päivämäärästä, jolla komissio on todennut tuen sisämarkkinoille soveltuvaksi?</w:t>
      </w:r>
      <w:r w:rsidRPr="005C4E62">
        <w:rPr>
          <w:rStyle w:val="FootnoteReference"/>
        </w:rPr>
        <w:footnoteReference w:id="34"/>
      </w:r>
    </w:p>
    <w:p w14:paraId="0F6BA134"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 xml:space="preserve"> Ei</w:t>
      </w:r>
    </w:p>
    <w:p w14:paraId="2F13F2E7" w14:textId="77777777" w:rsidR="004879A7" w:rsidRPr="005C4E62" w:rsidRDefault="004879A7" w:rsidP="00D46D21">
      <w:pPr>
        <w:pStyle w:val="NumPar2"/>
        <w:numPr>
          <w:ilvl w:val="1"/>
          <w:numId w:val="44"/>
        </w:numPr>
        <w:ind w:left="709" w:hanging="709"/>
      </w:pPr>
      <w:r>
        <w:t>Raportointi. Vahvistakaa, että tulette toimittamaan komissiolle i) vuosittain raportit kustakin laajakaistasuuntaviivojen mukaisesti hyväksytystä tukitoimenpiteestä ja ii) joka toinen vuosi raportin, jossa on laajakaistasuuntaviivojen mukaisesti hyväksyttyjen tukitoimenpiteiden avaintiedot laajakaistasuuntaviivojen liitteen III mukaisesti.</w:t>
      </w:r>
      <w:r w:rsidRPr="005C4E62">
        <w:rPr>
          <w:rStyle w:val="FootnoteReference"/>
        </w:rPr>
        <w:footnoteReference w:id="35"/>
      </w:r>
    </w:p>
    <w:p w14:paraId="2B5A4570" w14:textId="77777777" w:rsidR="004879A7" w:rsidRPr="005C4E62" w:rsidRDefault="004879A7" w:rsidP="004879A7">
      <w:pPr>
        <w:pStyle w:val="Text2"/>
        <w:tabs>
          <w:tab w:val="clear" w:pos="2161"/>
          <w:tab w:val="left" w:leader="dot" w:pos="9072"/>
        </w:tabs>
        <w:spacing w:before="120" w:after="120"/>
        <w:ind w:left="709"/>
      </w:pPr>
      <w:r>
        <w:tab/>
      </w:r>
    </w:p>
    <w:p w14:paraId="41269209" w14:textId="77777777" w:rsidR="004879A7" w:rsidRPr="005C4E62" w:rsidRDefault="004879A7" w:rsidP="00AA0B7A">
      <w:pPr>
        <w:pStyle w:val="NumPar2"/>
        <w:numPr>
          <w:ilvl w:val="1"/>
          <w:numId w:val="44"/>
        </w:numPr>
        <w:ind w:left="709" w:hanging="709"/>
      </w:pPr>
      <w:r>
        <w:t>Seuranta. Vahvistakaa, että säilytätte – kymmenen vuoden ajan tuen myöntämispäivästä – kaikista tukitoimenpiteistä kaikki tarvittavat tiedot, joiden perusteella voidaan vahvistaa, että kaikki laajakaistasuuntaviivoissa esitetyt sisämarkkinoille soveltuvuuden edellytykset ovat täyttyneet, ja että sitoudutte toimittamaan tiedot pyynnöstä komissiolle.</w:t>
      </w:r>
      <w:r w:rsidRPr="005C4E62">
        <w:rPr>
          <w:rStyle w:val="FootnoteReference"/>
        </w:rPr>
        <w:footnoteReference w:id="36"/>
      </w:r>
    </w:p>
    <w:p w14:paraId="7FBD2D85" w14:textId="77777777" w:rsidR="00DE2831" w:rsidRPr="005C4E62" w:rsidRDefault="004879A7" w:rsidP="004879A7">
      <w:pPr>
        <w:pStyle w:val="Text2"/>
        <w:tabs>
          <w:tab w:val="clear" w:pos="2161"/>
          <w:tab w:val="left" w:leader="dot" w:pos="9072"/>
        </w:tabs>
        <w:spacing w:before="120" w:after="120"/>
        <w:ind w:left="709"/>
      </w:pPr>
      <w:r>
        <w:tab/>
      </w:r>
    </w:p>
    <w:p w14:paraId="178847BF" w14:textId="6E6632AA" w:rsidR="00C04E88" w:rsidRPr="005C4E62" w:rsidRDefault="00691333" w:rsidP="00AA0B7A">
      <w:pPr>
        <w:pStyle w:val="NumPar2"/>
        <w:numPr>
          <w:ilvl w:val="1"/>
          <w:numId w:val="44"/>
        </w:numPr>
        <w:ind w:left="709" w:hanging="709"/>
        <w:rPr>
          <w:i/>
        </w:rPr>
      </w:pPr>
      <w:r>
        <w:t>Onko tukitoimenpide ehdolla jälkiarviointisuunnitelmaan?</w:t>
      </w:r>
    </w:p>
    <w:p w14:paraId="62352AC0" w14:textId="61B2A562"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Ei. Miksi katsotte, että jälkiarviointisuunnitelmaan mukaan ottamisen kriteerit eivät täyty?</w:t>
      </w:r>
    </w:p>
    <w:p w14:paraId="2CB5E2B7" w14:textId="77777777" w:rsidR="00C04E88" w:rsidRPr="005C4E62" w:rsidRDefault="00C04E88" w:rsidP="00C04E88">
      <w:pPr>
        <w:pStyle w:val="Text2"/>
        <w:tabs>
          <w:tab w:val="clear" w:pos="2161"/>
          <w:tab w:val="left" w:leader="dot" w:pos="9072"/>
        </w:tabs>
        <w:spacing w:before="120" w:after="120"/>
        <w:ind w:left="709"/>
      </w:pPr>
      <w:r>
        <w:tab/>
      </w:r>
    </w:p>
    <w:p w14:paraId="58C74D96"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 xml:space="preserve"> Kyllä. Minkä kriteerien perusteella tukitoimenpide on ehdolla jälkiarviointiin? Antakaa asiaan liittyvät tiedot laajakaistasuuntaviivojen jaksossa 8 kuvatusta jälkiarviointisuunnitelmasta.</w:t>
      </w:r>
    </w:p>
    <w:p w14:paraId="70F85BCA" w14:textId="77777777" w:rsidR="007B33E6" w:rsidRPr="005C4E62" w:rsidRDefault="00691333" w:rsidP="007B33E6">
      <w:pPr>
        <w:pStyle w:val="Text2"/>
        <w:tabs>
          <w:tab w:val="clear" w:pos="2161"/>
          <w:tab w:val="left" w:leader="dot" w:pos="9072"/>
        </w:tabs>
        <w:spacing w:before="120" w:after="120"/>
        <w:ind w:left="709"/>
      </w:pPr>
      <w:r>
        <w:tab/>
      </w:r>
    </w:p>
    <w:p w14:paraId="02E64E98" w14:textId="77777777" w:rsidR="007B33E6" w:rsidRPr="005C4E62" w:rsidRDefault="007B33E6" w:rsidP="00AA0B7A">
      <w:pPr>
        <w:pStyle w:val="NumPar2"/>
        <w:numPr>
          <w:ilvl w:val="1"/>
          <w:numId w:val="44"/>
        </w:numPr>
        <w:ind w:left="709" w:hanging="709"/>
        <w:rPr>
          <w:b/>
          <w:bCs/>
        </w:rPr>
      </w:pPr>
      <w:r>
        <w:t>Esittäkää kaikki muut tiedot, jotka katsotte olennaisiksi arvioitaessa tukitoimenpidettä laajakaistasuuntaviivojen perusteella, ja muut tiedot, joilla on merkitystä unionin kilpailu- ja sisämarkkinasääntöjen kannalta.</w:t>
      </w:r>
    </w:p>
    <w:p w14:paraId="5861DA95" w14:textId="77777777" w:rsidR="007D7D41" w:rsidRPr="005C4E62" w:rsidRDefault="002A52F0" w:rsidP="00657CA5">
      <w:pPr>
        <w:tabs>
          <w:tab w:val="left" w:leader="dot" w:pos="9072"/>
        </w:tabs>
        <w:spacing w:before="120" w:after="240"/>
        <w:ind w:left="709"/>
        <w:jc w:val="both"/>
      </w:pPr>
      <w:r>
        <w:tab/>
      </w:r>
      <w:r>
        <w:tab/>
      </w:r>
    </w:p>
    <w:p w14:paraId="3D0B7D45" w14:textId="77777777" w:rsidR="00C04E88" w:rsidRPr="005C4E62" w:rsidRDefault="00C04E88" w:rsidP="00AA0B7A">
      <w:pPr>
        <w:pStyle w:val="NumPar2"/>
        <w:numPr>
          <w:ilvl w:val="1"/>
          <w:numId w:val="44"/>
        </w:numPr>
        <w:ind w:left="709" w:hanging="709"/>
        <w:rPr>
          <w:iCs/>
          <w:noProof/>
        </w:rPr>
      </w:pPr>
      <w:r>
        <w:t>Sisältääkö tämä lisätietolomake luottamuksellisia tietoja, joita ei pitäisi luovuttaa kolmansille osapuolille?</w:t>
      </w:r>
      <w:r w:rsidRPr="005C4E62">
        <w:rPr>
          <w:szCs w:val="20"/>
          <w:vertAlign w:val="superscript"/>
          <w:lang w:val="en-IE" w:eastAsia="en-US"/>
        </w:rPr>
        <w:footnoteReference w:id="37"/>
      </w:r>
    </w:p>
    <w:p w14:paraId="7CD18333"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A76638">
        <w:rPr>
          <w:b/>
        </w:rPr>
      </w:r>
      <w:r w:rsidR="00A76638">
        <w:rPr>
          <w:b/>
        </w:rPr>
        <w:fldChar w:fldCharType="separate"/>
      </w:r>
      <w:r w:rsidRPr="005C4E62">
        <w:rPr>
          <w:b/>
        </w:rPr>
        <w:fldChar w:fldCharType="end"/>
      </w:r>
      <w:r>
        <w:rPr>
          <w:b/>
        </w:rPr>
        <w:t xml:space="preserve"> </w:t>
      </w:r>
      <w:r>
        <w:t>Kyllä. Merkitkää luottamukselliset tiedot ja esittäkää luottamuksellisuuden syyt.</w:t>
      </w:r>
    </w:p>
    <w:p w14:paraId="0CA33224"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A76638">
        <w:rPr>
          <w:b/>
        </w:rPr>
      </w:r>
      <w:r w:rsidR="00A76638">
        <w:rPr>
          <w:b/>
        </w:rPr>
        <w:fldChar w:fldCharType="separate"/>
      </w:r>
      <w:r w:rsidRPr="005C4E62">
        <w:rPr>
          <w:b/>
        </w:rPr>
        <w:fldChar w:fldCharType="end"/>
      </w:r>
      <w:r>
        <w:rPr>
          <w:b/>
        </w:rPr>
        <w:t xml:space="preserve"> </w:t>
      </w:r>
      <w:r>
        <w:t>Ei</w:t>
      </w:r>
    </w:p>
    <w:p w14:paraId="6BC7573B" w14:textId="77777777" w:rsidR="00152F0E" w:rsidRPr="005C4E62" w:rsidRDefault="00152F0E" w:rsidP="00EE53A9">
      <w:pPr>
        <w:pStyle w:val="NumPar2"/>
        <w:numPr>
          <w:ilvl w:val="1"/>
          <w:numId w:val="44"/>
        </w:numPr>
        <w:ind w:left="709" w:hanging="709"/>
        <w:jc w:val="left"/>
        <w:rPr>
          <w:iCs/>
          <w:noProof/>
        </w:rPr>
      </w:pPr>
      <w:r>
        <w:lastRenderedPageBreak/>
        <w:t>Onko niin, että tukitoimenpide ei kuulu yleisen ryhmäpoikkeusasetuksen</w:t>
      </w:r>
      <w:r w:rsidR="00FC09A8" w:rsidRPr="005C4E62">
        <w:rPr>
          <w:rStyle w:val="FootnoteReference"/>
        </w:rPr>
        <w:footnoteReference w:id="38"/>
      </w:r>
      <w:r>
        <w:t xml:space="preserve"> 52 c artiklan tai </w:t>
      </w:r>
      <w:r>
        <w:rPr>
          <w:i/>
        </w:rPr>
        <w:t>de minimis</w:t>
      </w:r>
      <w:r>
        <w:t xml:space="preserve"> -asetuksen</w:t>
      </w:r>
      <w:r w:rsidR="00C04E88" w:rsidRPr="005C4E62">
        <w:rPr>
          <w:rStyle w:val="FootnoteReference"/>
        </w:rPr>
        <w:footnoteReference w:id="39"/>
      </w:r>
      <w:r>
        <w:t xml:space="preserve"> soveltamisalaan?</w:t>
      </w:r>
    </w:p>
    <w:p w14:paraId="596A6F90"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A76638">
        <w:fldChar w:fldCharType="separate"/>
      </w:r>
      <w:r w:rsidRPr="005C4E62">
        <w:fldChar w:fldCharType="end"/>
      </w:r>
      <w:r>
        <w:tab/>
        <w:t>Kyllä</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A76638">
        <w:fldChar w:fldCharType="separate"/>
      </w:r>
      <w:r w:rsidR="008B2C0A" w:rsidRPr="005C4E62">
        <w:fldChar w:fldCharType="end"/>
      </w:r>
      <w:r>
        <w:tab/>
        <w:t xml:space="preserve"> Ei</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69A5" w14:textId="77777777" w:rsidR="00327EA6" w:rsidRDefault="00327EA6" w:rsidP="007B33E6">
      <w:r>
        <w:separator/>
      </w:r>
    </w:p>
  </w:endnote>
  <w:endnote w:type="continuationSeparator" w:id="0">
    <w:p w14:paraId="419FF112"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B014" w14:textId="77777777" w:rsidR="00327EA6" w:rsidRDefault="00327EA6" w:rsidP="007B33E6">
      <w:r>
        <w:separator/>
      </w:r>
    </w:p>
  </w:footnote>
  <w:footnote w:type="continuationSeparator" w:id="0">
    <w:p w14:paraId="59119D0C" w14:textId="77777777" w:rsidR="00327EA6" w:rsidRDefault="00327EA6" w:rsidP="007B33E6">
      <w:r>
        <w:continuationSeparator/>
      </w:r>
    </w:p>
  </w:footnote>
  <w:footnote w:id="1">
    <w:p w14:paraId="4175B9EA" w14:textId="77777777" w:rsidR="007B33E6" w:rsidRPr="005C4E62" w:rsidRDefault="007B33E6" w:rsidP="007B33E6">
      <w:pPr>
        <w:pStyle w:val="FootnoteText"/>
        <w:rPr>
          <w:i/>
        </w:rPr>
      </w:pPr>
      <w:r>
        <w:rPr>
          <w:rStyle w:val="FootnoteReference"/>
        </w:rPr>
        <w:footnoteRef/>
      </w:r>
      <w:r>
        <w:tab/>
        <w:t>Suuntaviivat laajakaistaverkkojen valtiontuelle (</w:t>
      </w:r>
      <w:r>
        <w:rPr>
          <w:color w:val="000000"/>
          <w:sz w:val="19"/>
        </w:rPr>
        <w:t>EUVL C 36, 31.1.2023, s. 1</w:t>
      </w:r>
      <w:r>
        <w:t>).</w:t>
      </w:r>
    </w:p>
  </w:footnote>
  <w:footnote w:id="2">
    <w:p w14:paraId="5C6A1AD3" w14:textId="77777777" w:rsidR="001507A9" w:rsidRPr="005C4E62" w:rsidRDefault="001507A9">
      <w:pPr>
        <w:pStyle w:val="FootnoteText"/>
      </w:pPr>
      <w:r>
        <w:rPr>
          <w:rStyle w:val="FootnoteReference"/>
        </w:rPr>
        <w:footnoteRef/>
      </w:r>
      <w:r>
        <w:t xml:space="preserve"> </w:t>
      </w:r>
      <w:r>
        <w:tab/>
        <w:t>Kappaleet 177–179.</w:t>
      </w:r>
    </w:p>
  </w:footnote>
  <w:footnote w:id="3">
    <w:p w14:paraId="6D94022B" w14:textId="77777777" w:rsidR="001507A9" w:rsidRPr="005C4E62" w:rsidRDefault="001507A9">
      <w:pPr>
        <w:pStyle w:val="FootnoteText"/>
      </w:pPr>
      <w:r>
        <w:rPr>
          <w:rStyle w:val="FootnoteReference"/>
        </w:rPr>
        <w:footnoteRef/>
      </w:r>
      <w:r>
        <w:t xml:space="preserve"> </w:t>
      </w:r>
      <w:r>
        <w:tab/>
        <w:t>Kappale 181.</w:t>
      </w:r>
    </w:p>
  </w:footnote>
  <w:footnote w:id="4">
    <w:p w14:paraId="62240C94" w14:textId="77777777" w:rsidR="001507A9" w:rsidRPr="005C4E62" w:rsidRDefault="001507A9">
      <w:pPr>
        <w:pStyle w:val="FootnoteText"/>
      </w:pPr>
      <w:r>
        <w:rPr>
          <w:rStyle w:val="FootnoteReference"/>
        </w:rPr>
        <w:footnoteRef/>
      </w:r>
      <w:r>
        <w:t xml:space="preserve"> </w:t>
      </w:r>
      <w:r>
        <w:tab/>
        <w:t>Kappale 189.</w:t>
      </w:r>
    </w:p>
  </w:footnote>
  <w:footnote w:id="5">
    <w:p w14:paraId="1C036568" w14:textId="77777777" w:rsidR="006F5901" w:rsidRPr="005C4E62" w:rsidRDefault="006F5901" w:rsidP="006F5901">
      <w:pPr>
        <w:pStyle w:val="FootnoteText"/>
      </w:pPr>
      <w:r>
        <w:rPr>
          <w:rStyle w:val="FootnoteReference"/>
        </w:rPr>
        <w:footnoteRef/>
      </w:r>
      <w:r>
        <w:tab/>
        <w:t xml:space="preserve">Esim. Euroopan parlamentin ja neuvoston päätös (EU) 2022/2481, annettu 14 päivänä joulukuuta 2022, digitaalinen vuosikymmen 2030 -ohjelman perustamisesta (EUVL L 323, 19.12.2022, s. 4). </w:t>
      </w:r>
    </w:p>
  </w:footnote>
  <w:footnote w:id="6">
    <w:p w14:paraId="4955FFE0" w14:textId="77777777" w:rsidR="001507A9" w:rsidRPr="005C4E62" w:rsidRDefault="001507A9" w:rsidP="001507A9">
      <w:pPr>
        <w:pStyle w:val="FootnoteText"/>
      </w:pPr>
      <w:r>
        <w:rPr>
          <w:rStyle w:val="FootnoteReference"/>
        </w:rPr>
        <w:footnoteRef/>
      </w:r>
      <w:r>
        <w:t xml:space="preserve"> </w:t>
      </w:r>
      <w:r>
        <w:tab/>
        <w:t>Kappale 175.</w:t>
      </w:r>
    </w:p>
  </w:footnote>
  <w:footnote w:id="7">
    <w:p w14:paraId="03461DF4" w14:textId="77777777" w:rsidR="005A7B71" w:rsidRPr="005C4E62" w:rsidRDefault="005A7B71">
      <w:pPr>
        <w:pStyle w:val="FootnoteText"/>
        <w:rPr>
          <w:i/>
          <w:iCs/>
        </w:rPr>
      </w:pPr>
      <w:r>
        <w:rPr>
          <w:rStyle w:val="FootnoteReference"/>
        </w:rPr>
        <w:footnoteRef/>
      </w:r>
      <w:r>
        <w:t xml:space="preserve"> </w:t>
      </w:r>
      <w:r>
        <w:tab/>
        <w:t>Kappaleen 19 kohdat j) ja k). Ks. myös kappale 20, viimeinen virke.</w:t>
      </w:r>
    </w:p>
  </w:footnote>
  <w:footnote w:id="8">
    <w:p w14:paraId="33F7CA7F" w14:textId="77777777" w:rsidR="007B5294" w:rsidRPr="005C4E62" w:rsidRDefault="007B5294" w:rsidP="007B5294">
      <w:pPr>
        <w:pStyle w:val="FootnoteText"/>
      </w:pPr>
      <w:r>
        <w:rPr>
          <w:rStyle w:val="FootnoteReference"/>
        </w:rPr>
        <w:footnoteRef/>
      </w:r>
      <w:r>
        <w:t xml:space="preserve"> </w:t>
      </w:r>
      <w:r>
        <w:tab/>
        <w:t>Kappale 182.</w:t>
      </w:r>
    </w:p>
  </w:footnote>
  <w:footnote w:id="9">
    <w:p w14:paraId="44202E19" w14:textId="77777777" w:rsidR="00710B4A" w:rsidRPr="005C4E62" w:rsidRDefault="00710B4A" w:rsidP="00710B4A">
      <w:pPr>
        <w:pStyle w:val="FootnoteText"/>
      </w:pPr>
      <w:r>
        <w:rPr>
          <w:rStyle w:val="FootnoteReference"/>
        </w:rPr>
        <w:footnoteRef/>
      </w:r>
      <w:r>
        <w:t xml:space="preserve"> </w:t>
      </w:r>
      <w:r>
        <w:tab/>
        <w:t>Kappale 184.</w:t>
      </w:r>
    </w:p>
  </w:footnote>
  <w:footnote w:id="10">
    <w:p w14:paraId="21955C43" w14:textId="77777777" w:rsidR="007B5294" w:rsidRPr="005C4E62" w:rsidRDefault="007B5294" w:rsidP="007B5294">
      <w:pPr>
        <w:pStyle w:val="FootnoteText"/>
      </w:pPr>
      <w:r>
        <w:rPr>
          <w:rStyle w:val="FootnoteReference"/>
        </w:rPr>
        <w:footnoteRef/>
      </w:r>
      <w:r>
        <w:t xml:space="preserve"> </w:t>
      </w:r>
      <w:r>
        <w:tab/>
        <w:t xml:space="preserve">Kappale 183. </w:t>
      </w:r>
    </w:p>
  </w:footnote>
  <w:footnote w:id="11">
    <w:p w14:paraId="7A012E62" w14:textId="77777777" w:rsidR="00E101F1" w:rsidRPr="005C4E62" w:rsidRDefault="00E101F1" w:rsidP="00E101F1">
      <w:pPr>
        <w:pStyle w:val="FootnoteText"/>
      </w:pPr>
      <w:r>
        <w:rPr>
          <w:rStyle w:val="FootnoteReference"/>
        </w:rPr>
        <w:footnoteRef/>
      </w:r>
      <w:r>
        <w:t xml:space="preserve"> </w:t>
      </w:r>
      <w:r>
        <w:tab/>
        <w:t>Kappale 185.</w:t>
      </w:r>
    </w:p>
  </w:footnote>
  <w:footnote w:id="12">
    <w:p w14:paraId="1A5D60B6" w14:textId="77777777" w:rsidR="00E101F1" w:rsidRPr="005C4E62" w:rsidRDefault="00E101F1" w:rsidP="00E101F1">
      <w:pPr>
        <w:pStyle w:val="FootnoteText"/>
      </w:pPr>
      <w:r>
        <w:rPr>
          <w:rStyle w:val="FootnoteReference"/>
        </w:rPr>
        <w:footnoteRef/>
      </w:r>
      <w:r>
        <w:t xml:space="preserve"> </w:t>
      </w:r>
      <w:r>
        <w:tab/>
        <w:t>Kappale 185.</w:t>
      </w:r>
    </w:p>
  </w:footnote>
  <w:footnote w:id="13">
    <w:p w14:paraId="0B53EA61" w14:textId="77777777" w:rsidR="00C90B4D" w:rsidRPr="005C4E62" w:rsidRDefault="00C90B4D" w:rsidP="00C90B4D">
      <w:pPr>
        <w:pStyle w:val="FootnoteText"/>
      </w:pPr>
      <w:r>
        <w:rPr>
          <w:rStyle w:val="FootnoteReference"/>
        </w:rPr>
        <w:footnoteRef/>
      </w:r>
      <w:r>
        <w:t xml:space="preserve"> </w:t>
      </w:r>
      <w:r>
        <w:tab/>
        <w:t>Kappale 185.</w:t>
      </w:r>
    </w:p>
  </w:footnote>
  <w:footnote w:id="14">
    <w:p w14:paraId="2D5350EC" w14:textId="77777777" w:rsidR="00D1408F" w:rsidRPr="005C4E62" w:rsidRDefault="00D1408F">
      <w:pPr>
        <w:pStyle w:val="FootnoteText"/>
      </w:pPr>
      <w:r>
        <w:rPr>
          <w:rStyle w:val="FootnoteReference"/>
        </w:rPr>
        <w:footnoteRef/>
      </w:r>
      <w:r>
        <w:t xml:space="preserve"> </w:t>
      </w:r>
      <w:r>
        <w:tab/>
        <w:t>Kappale 186.</w:t>
      </w:r>
    </w:p>
  </w:footnote>
  <w:footnote w:id="15">
    <w:p w14:paraId="705444B9" w14:textId="77777777" w:rsidR="00D1408F" w:rsidRPr="005C4E62" w:rsidRDefault="00D1408F">
      <w:pPr>
        <w:pStyle w:val="FootnoteText"/>
      </w:pPr>
      <w:r>
        <w:rPr>
          <w:rStyle w:val="FootnoteReference"/>
        </w:rPr>
        <w:footnoteRef/>
      </w:r>
      <w:r>
        <w:t xml:space="preserve"> </w:t>
      </w:r>
      <w:r>
        <w:tab/>
        <w:t>Kappale 187.</w:t>
      </w:r>
    </w:p>
  </w:footnote>
  <w:footnote w:id="16">
    <w:p w14:paraId="6BDD68FC" w14:textId="77777777" w:rsidR="00F47AC0" w:rsidRPr="005C4E62" w:rsidRDefault="00F47AC0">
      <w:pPr>
        <w:pStyle w:val="FootnoteText"/>
      </w:pPr>
      <w:r>
        <w:rPr>
          <w:rStyle w:val="FootnoteReference"/>
        </w:rPr>
        <w:footnoteRef/>
      </w:r>
      <w:r>
        <w:t xml:space="preserve"> </w:t>
      </w:r>
      <w:r>
        <w:tab/>
        <w:t>Kappale 194.</w:t>
      </w:r>
    </w:p>
  </w:footnote>
  <w:footnote w:id="17">
    <w:p w14:paraId="28118E73" w14:textId="77777777" w:rsidR="00F47AC0" w:rsidRPr="005C4E62" w:rsidRDefault="00F47AC0">
      <w:pPr>
        <w:pStyle w:val="FootnoteText"/>
      </w:pPr>
      <w:r>
        <w:rPr>
          <w:rStyle w:val="FootnoteReference"/>
        </w:rPr>
        <w:footnoteRef/>
      </w:r>
      <w:r>
        <w:t xml:space="preserve"> </w:t>
      </w:r>
      <w:r>
        <w:tab/>
        <w:t>Kappale 195.</w:t>
      </w:r>
    </w:p>
  </w:footnote>
  <w:footnote w:id="18">
    <w:p w14:paraId="449291D7" w14:textId="77777777" w:rsidR="00F47AC0" w:rsidRPr="005C4E62" w:rsidRDefault="00F47AC0">
      <w:pPr>
        <w:pStyle w:val="FootnoteText"/>
      </w:pPr>
      <w:r>
        <w:rPr>
          <w:rStyle w:val="FootnoteReference"/>
        </w:rPr>
        <w:footnoteRef/>
      </w:r>
      <w:r>
        <w:t xml:space="preserve"> </w:t>
      </w:r>
      <w:r>
        <w:tab/>
        <w:t>Kappale 193.</w:t>
      </w:r>
    </w:p>
  </w:footnote>
  <w:footnote w:id="19">
    <w:p w14:paraId="45F1CA8F" w14:textId="77777777" w:rsidR="00F47AC0" w:rsidRPr="005C4E62" w:rsidRDefault="00F47AC0">
      <w:pPr>
        <w:pStyle w:val="FootnoteText"/>
      </w:pPr>
      <w:r>
        <w:rPr>
          <w:rStyle w:val="FootnoteReference"/>
        </w:rPr>
        <w:footnoteRef/>
      </w:r>
      <w:r>
        <w:t xml:space="preserve"> </w:t>
      </w:r>
      <w:r>
        <w:tab/>
        <w:t>Kappale 193.</w:t>
      </w:r>
    </w:p>
  </w:footnote>
  <w:footnote w:id="20">
    <w:p w14:paraId="67F4A78A" w14:textId="77777777" w:rsidR="00F47AC0" w:rsidRPr="005C4E62" w:rsidRDefault="00F47AC0">
      <w:pPr>
        <w:pStyle w:val="FootnoteText"/>
      </w:pPr>
      <w:r>
        <w:rPr>
          <w:rStyle w:val="FootnoteReference"/>
        </w:rPr>
        <w:footnoteRef/>
      </w:r>
      <w:r>
        <w:t xml:space="preserve"> </w:t>
      </w:r>
      <w:r>
        <w:tab/>
        <w:t>Kappale 196. Ks. myös kappale 194.</w:t>
      </w:r>
    </w:p>
  </w:footnote>
  <w:footnote w:id="21">
    <w:p w14:paraId="2FCC3FF0" w14:textId="77777777" w:rsidR="00F47AC0" w:rsidRPr="005C4E62" w:rsidRDefault="00F47AC0">
      <w:pPr>
        <w:pStyle w:val="FootnoteText"/>
      </w:pPr>
      <w:r>
        <w:rPr>
          <w:rStyle w:val="FootnoteReference"/>
        </w:rPr>
        <w:footnoteRef/>
      </w:r>
      <w:r>
        <w:t xml:space="preserve"> </w:t>
      </w:r>
      <w:r>
        <w:tab/>
        <w:t>Kappale 196.</w:t>
      </w:r>
    </w:p>
  </w:footnote>
  <w:footnote w:id="22">
    <w:p w14:paraId="49BD95C1" w14:textId="77777777" w:rsidR="00E217F7" w:rsidRPr="005C4E62" w:rsidRDefault="00E217F7">
      <w:pPr>
        <w:pStyle w:val="FootnoteText"/>
      </w:pPr>
      <w:r>
        <w:rPr>
          <w:rStyle w:val="FootnoteReference"/>
        </w:rPr>
        <w:footnoteRef/>
      </w:r>
      <w:r>
        <w:t xml:space="preserve"> </w:t>
      </w:r>
      <w:r>
        <w:tab/>
        <w:t>Kappale 198.</w:t>
      </w:r>
    </w:p>
  </w:footnote>
  <w:footnote w:id="23">
    <w:p w14:paraId="0926F677" w14:textId="77777777" w:rsidR="009A1814" w:rsidRPr="005C4E62" w:rsidRDefault="009A1814" w:rsidP="009A1814">
      <w:pPr>
        <w:pStyle w:val="FootnoteText"/>
      </w:pPr>
      <w:r>
        <w:rPr>
          <w:rStyle w:val="FootnoteReference"/>
        </w:rPr>
        <w:footnoteRef/>
      </w:r>
      <w:r>
        <w:t xml:space="preserve"> </w:t>
      </w:r>
      <w:r>
        <w:tab/>
        <w:t>Kappale 187.</w:t>
      </w:r>
    </w:p>
  </w:footnote>
  <w:footnote w:id="24">
    <w:p w14:paraId="36C9F58B" w14:textId="77777777" w:rsidR="00807BE5" w:rsidRPr="005C4E62" w:rsidRDefault="00807BE5" w:rsidP="00807BE5">
      <w:pPr>
        <w:pStyle w:val="FootnoteText"/>
      </w:pPr>
      <w:r>
        <w:rPr>
          <w:rStyle w:val="FootnoteReference"/>
        </w:rPr>
        <w:footnoteRef/>
      </w:r>
      <w:r>
        <w:t xml:space="preserve"> </w:t>
      </w:r>
      <w:r>
        <w:tab/>
        <w:t>Kappale 191.</w:t>
      </w:r>
    </w:p>
  </w:footnote>
  <w:footnote w:id="25">
    <w:p w14:paraId="7CDDA5D1" w14:textId="77777777" w:rsidR="00F47AC0" w:rsidRPr="005C4E62" w:rsidRDefault="00F47AC0" w:rsidP="00F47AC0">
      <w:pPr>
        <w:pStyle w:val="FootnoteText"/>
      </w:pPr>
      <w:r>
        <w:rPr>
          <w:rStyle w:val="FootnoteReference"/>
        </w:rPr>
        <w:footnoteRef/>
      </w:r>
      <w:r>
        <w:t xml:space="preserve"> </w:t>
      </w:r>
      <w:r>
        <w:tab/>
        <w:t>Kappale 192. Kannustavan vaikutuksen määritelmästä ks. kappale 38.</w:t>
      </w:r>
    </w:p>
  </w:footnote>
  <w:footnote w:id="26">
    <w:p w14:paraId="5E2F3856" w14:textId="77777777" w:rsidR="006C4335" w:rsidRPr="005C4E62" w:rsidRDefault="006C4335">
      <w:pPr>
        <w:pStyle w:val="FootnoteText"/>
      </w:pPr>
      <w:r>
        <w:rPr>
          <w:rStyle w:val="FootnoteReference"/>
        </w:rPr>
        <w:footnoteRef/>
      </w:r>
      <w:r>
        <w:t xml:space="preserve"> </w:t>
      </w:r>
      <w:r>
        <w:tab/>
        <w:t>Kappale 194.</w:t>
      </w:r>
    </w:p>
  </w:footnote>
  <w:footnote w:id="27">
    <w:p w14:paraId="54912D5B" w14:textId="77777777" w:rsidR="00E217F7" w:rsidRPr="005C4E62" w:rsidRDefault="00E217F7">
      <w:pPr>
        <w:pStyle w:val="FootnoteText"/>
      </w:pPr>
      <w:r>
        <w:rPr>
          <w:rStyle w:val="FootnoteReference"/>
        </w:rPr>
        <w:footnoteRef/>
      </w:r>
      <w:r>
        <w:t xml:space="preserve"> </w:t>
      </w:r>
      <w:r>
        <w:tab/>
        <w:t>Kappale 197. Ks. myös kappale 195.</w:t>
      </w:r>
    </w:p>
  </w:footnote>
  <w:footnote w:id="28">
    <w:p w14:paraId="6085EE66" w14:textId="77777777" w:rsidR="00E217F7" w:rsidRPr="005C4E62" w:rsidRDefault="00E217F7">
      <w:pPr>
        <w:pStyle w:val="FootnoteText"/>
      </w:pPr>
      <w:r>
        <w:rPr>
          <w:rStyle w:val="FootnoteReference"/>
        </w:rPr>
        <w:footnoteRef/>
      </w:r>
      <w:r>
        <w:t xml:space="preserve"> </w:t>
      </w:r>
      <w:r>
        <w:tab/>
        <w:t>Kappale 200.</w:t>
      </w:r>
    </w:p>
  </w:footnote>
  <w:footnote w:id="29">
    <w:p w14:paraId="0D179FF1" w14:textId="77777777" w:rsidR="00DE2831" w:rsidRPr="005C4E62" w:rsidRDefault="00DE2831">
      <w:pPr>
        <w:pStyle w:val="FootnoteText"/>
      </w:pPr>
      <w:r>
        <w:rPr>
          <w:rStyle w:val="FootnoteReference"/>
        </w:rPr>
        <w:footnoteRef/>
      </w:r>
      <w:r>
        <w:t xml:space="preserve"> </w:t>
      </w:r>
      <w:r>
        <w:tab/>
        <w:t>Kappale 202.</w:t>
      </w:r>
    </w:p>
  </w:footnote>
  <w:footnote w:id="30">
    <w:p w14:paraId="5E5F8EB5" w14:textId="77777777" w:rsidR="00DE2831" w:rsidRPr="005C4E62" w:rsidRDefault="00DE2831">
      <w:pPr>
        <w:pStyle w:val="FootnoteText"/>
      </w:pPr>
      <w:r>
        <w:rPr>
          <w:rStyle w:val="FootnoteReference"/>
        </w:rPr>
        <w:footnoteRef/>
      </w:r>
      <w:r>
        <w:t xml:space="preserve"> </w:t>
      </w:r>
      <w:r>
        <w:tab/>
        <w:t>Kappale 203.</w:t>
      </w:r>
    </w:p>
  </w:footnote>
  <w:footnote w:id="31">
    <w:p w14:paraId="12F28B66" w14:textId="77777777" w:rsidR="00153D1B" w:rsidRPr="005C4E62" w:rsidRDefault="00153D1B">
      <w:pPr>
        <w:pStyle w:val="FootnoteText"/>
      </w:pPr>
      <w:r>
        <w:rPr>
          <w:rStyle w:val="FootnoteReference"/>
        </w:rPr>
        <w:footnoteRef/>
      </w:r>
      <w:r>
        <w:t xml:space="preserve"> </w:t>
      </w:r>
      <w:r>
        <w:tab/>
      </w:r>
      <w:hyperlink r:id="rId1" w:history="1">
        <w:r>
          <w:rPr>
            <w:rStyle w:val="Hyperlink"/>
          </w:rPr>
          <w:t>https://webgate.ec.europa.eu/competition/transparency/public?lang=fi</w:t>
        </w:r>
      </w:hyperlink>
      <w:r>
        <w:t xml:space="preserve">. </w:t>
      </w:r>
    </w:p>
  </w:footnote>
  <w:footnote w:id="32">
    <w:p w14:paraId="7DDA9321" w14:textId="77777777" w:rsidR="00153D1B" w:rsidRPr="005C4E62" w:rsidRDefault="00153D1B">
      <w:pPr>
        <w:pStyle w:val="FootnoteText"/>
      </w:pPr>
      <w:r>
        <w:rPr>
          <w:rStyle w:val="FootnoteReference"/>
        </w:rPr>
        <w:footnoteRef/>
      </w:r>
      <w:r>
        <w:t xml:space="preserve"> </w:t>
      </w:r>
      <w:r>
        <w:tab/>
        <w:t>Kappale 202.</w:t>
      </w:r>
    </w:p>
  </w:footnote>
  <w:footnote w:id="33">
    <w:p w14:paraId="454B5957" w14:textId="77777777" w:rsidR="00DE2831" w:rsidRPr="005C4E62" w:rsidRDefault="00DE2831" w:rsidP="00DE2831">
      <w:pPr>
        <w:pStyle w:val="FootnoteText"/>
      </w:pPr>
      <w:r>
        <w:rPr>
          <w:rStyle w:val="FootnoteReference"/>
        </w:rPr>
        <w:footnoteRef/>
      </w:r>
      <w:r>
        <w:t xml:space="preserve"> </w:t>
      </w:r>
      <w:r>
        <w:tab/>
        <w:t>Kappale 204.</w:t>
      </w:r>
    </w:p>
  </w:footnote>
  <w:footnote w:id="34">
    <w:p w14:paraId="76AF3E49" w14:textId="77777777" w:rsidR="00DE2831" w:rsidRPr="005C4E62" w:rsidRDefault="00DE2831" w:rsidP="00DE2831">
      <w:pPr>
        <w:pStyle w:val="FootnoteText"/>
      </w:pPr>
      <w:r>
        <w:rPr>
          <w:rStyle w:val="FootnoteReference"/>
        </w:rPr>
        <w:footnoteRef/>
      </w:r>
      <w:r>
        <w:t xml:space="preserve"> </w:t>
      </w:r>
      <w:r>
        <w:tab/>
        <w:t>Kappale 204.</w:t>
      </w:r>
    </w:p>
  </w:footnote>
  <w:footnote w:id="35">
    <w:p w14:paraId="3BF57500" w14:textId="77777777" w:rsidR="004879A7" w:rsidRPr="005C4E62" w:rsidRDefault="004879A7">
      <w:pPr>
        <w:pStyle w:val="FootnoteText"/>
      </w:pPr>
      <w:r>
        <w:rPr>
          <w:rStyle w:val="FootnoteReference"/>
        </w:rPr>
        <w:footnoteRef/>
      </w:r>
      <w:r>
        <w:t xml:space="preserve"> </w:t>
      </w:r>
      <w:r>
        <w:tab/>
        <w:t>Kappaleet 207–208.</w:t>
      </w:r>
    </w:p>
  </w:footnote>
  <w:footnote w:id="36">
    <w:p w14:paraId="52964BDA" w14:textId="77777777" w:rsidR="004879A7" w:rsidRPr="005C4E62" w:rsidRDefault="004879A7">
      <w:pPr>
        <w:pStyle w:val="FootnoteText"/>
      </w:pPr>
      <w:r>
        <w:rPr>
          <w:rStyle w:val="FootnoteReference"/>
        </w:rPr>
        <w:footnoteRef/>
      </w:r>
      <w:r>
        <w:t xml:space="preserve"> </w:t>
      </w:r>
      <w:r>
        <w:tab/>
        <w:t>Kappale 209.</w:t>
      </w:r>
    </w:p>
  </w:footnote>
  <w:footnote w:id="37">
    <w:p w14:paraId="6AE8D5A4" w14:textId="77777777" w:rsidR="00C04E88" w:rsidRPr="005C4E62" w:rsidRDefault="00C04E88" w:rsidP="00C04E88">
      <w:pPr>
        <w:pStyle w:val="FootnoteText"/>
      </w:pPr>
      <w:r>
        <w:rPr>
          <w:rStyle w:val="FootnoteReference"/>
        </w:rPr>
        <w:footnoteRef/>
      </w:r>
      <w:r>
        <w:tab/>
        <w:t xml:space="preserve">Ks. SEUT-sopimuksen 339 artikla, jossa viitataan tietoihin ”yrityksistä taikka niiden liikesuhteista tai kustannustekijöistä”. Unionin tuomioistuimet ovat yleensä määritelleet ”liikesalaisuudet” tiedoiksi, ”joiden osalta ei ainoastaan niiden pelkkä ilmaiseminen yleisölle vaan myös jo niiden antaminen muulle oikeussubjektille kuin sille, joka on tiedon antanut, voi vakavasti vahingoittaa tiedon antaneen oikeussubjektin etuja” (asia T-353/94, </w:t>
      </w:r>
      <w:r>
        <w:rPr>
          <w:i/>
        </w:rPr>
        <w:t>Postbank</w:t>
      </w:r>
      <w:r>
        <w:t xml:space="preserve"> v. </w:t>
      </w:r>
      <w:r>
        <w:rPr>
          <w:i/>
        </w:rPr>
        <w:t>komissio</w:t>
      </w:r>
      <w:r>
        <w:t>, ECLI:EU:T:1996:119, kohta 87).</w:t>
      </w:r>
    </w:p>
  </w:footnote>
  <w:footnote w:id="38">
    <w:p w14:paraId="0158E08E" w14:textId="77777777" w:rsidR="00FC09A8" w:rsidRPr="005C4E62" w:rsidRDefault="00FC09A8" w:rsidP="00FC09A8">
      <w:pPr>
        <w:pStyle w:val="FootnoteText"/>
      </w:pPr>
      <w:r>
        <w:rPr>
          <w:rStyle w:val="FootnoteReference"/>
        </w:rPr>
        <w:footnoteRef/>
      </w:r>
      <w:r>
        <w:t xml:space="preserve"> </w:t>
      </w:r>
      <w:r>
        <w:tab/>
        <w:t>Komission asetus, annettu 17 päivänä kesäkuuta 2014, (EU) N:o 651/2014 tiettyjen tukimuotojen toteamisesta sisämarkkinoille soveltuviksi perussopimuksen 107 ja 108 artiklan mukaisesti (EUVL L 187, 26.6.2014, s. 1), sellaisena kuin se on muutettuna.</w:t>
      </w:r>
    </w:p>
  </w:footnote>
  <w:footnote w:id="39">
    <w:p w14:paraId="49AB5152" w14:textId="77777777" w:rsidR="00C04E88" w:rsidRPr="00FC09A8" w:rsidRDefault="00C04E88" w:rsidP="00C04E88">
      <w:pPr>
        <w:pStyle w:val="FootnoteText"/>
      </w:pPr>
      <w:r>
        <w:rPr>
          <w:rStyle w:val="FootnoteReference"/>
        </w:rPr>
        <w:footnoteRef/>
      </w:r>
      <w:r>
        <w:t xml:space="preserve"> </w:t>
      </w:r>
      <w:r>
        <w:tab/>
        <w:t>Komission asetus (EU) N:o 1407/2013, annettu 18 päivänä joulukuuta 2013, Euroopan unionin toiminnasta tehdyn sopimuksen 107 ja 108 artiklan soveltamisesta vähämerkityksiseen tukeen (EUVL L 352, 24.12.2013, s. 1), sellaisena kuin se on muutettuna.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84E0C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206376935">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57E4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76638"/>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E53A9"/>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1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fi-FI"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fi-FI"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fi-FI" w:eastAsia="en-US"/>
    </w:rPr>
  </w:style>
  <w:style w:type="paragraph" w:styleId="Header">
    <w:name w:val="header"/>
    <w:basedOn w:val="Normal"/>
    <w:link w:val="HeaderChar"/>
    <w:uiPriority w:val="99"/>
    <w:unhideWhenUsed/>
    <w:rsid w:val="00A76638"/>
    <w:pPr>
      <w:tabs>
        <w:tab w:val="center" w:pos="4513"/>
        <w:tab w:val="right" w:pos="9026"/>
      </w:tabs>
    </w:pPr>
  </w:style>
  <w:style w:type="character" w:customStyle="1" w:styleId="HeaderChar">
    <w:name w:val="Header Char"/>
    <w:basedOn w:val="DefaultParagraphFont"/>
    <w:link w:val="Header"/>
    <w:uiPriority w:val="99"/>
    <w:rsid w:val="00A76638"/>
    <w:rPr>
      <w:sz w:val="24"/>
      <w:lang w:eastAsia="en-US"/>
    </w:rPr>
  </w:style>
  <w:style w:type="paragraph" w:styleId="Footer">
    <w:name w:val="footer"/>
    <w:basedOn w:val="Normal"/>
    <w:link w:val="FooterChar"/>
    <w:uiPriority w:val="99"/>
    <w:unhideWhenUsed/>
    <w:rsid w:val="00A76638"/>
    <w:pPr>
      <w:tabs>
        <w:tab w:val="center" w:pos="4513"/>
        <w:tab w:val="right" w:pos="9026"/>
      </w:tabs>
    </w:pPr>
  </w:style>
  <w:style w:type="character" w:customStyle="1" w:styleId="FooterChar">
    <w:name w:val="Footer Char"/>
    <w:basedOn w:val="DefaultParagraphFont"/>
    <w:link w:val="Footer"/>
    <w:uiPriority w:val="99"/>
    <w:rsid w:val="00A7663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1362</Words>
  <Characters>12373</Characters>
  <Application>Microsoft Office Word</Application>
  <DocSecurity>0</DocSecurity>
  <Lines>281</Lines>
  <Paragraphs>127</Paragraphs>
  <ScaleCrop>false</ScaleCrop>
  <Company/>
  <LinksUpToDate>false</LinksUpToDate>
  <CharactersWithSpaces>13608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2024-03-06T09:55:00Z</dcterms:created>
  <dcterms:modified xsi:type="dcterms:W3CDTF">2024-03-06T09:55:00Z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2024-03-06T09:55:23Z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c80f80f8-88f9-4145-9851-e4a6fca461dc</vt:lpwstr>
  </property>
  <property fmtid="{D5CDD505-2E9C-101B-9397-08002B2CF9AE}" pid="8" name="MSIP_Label_6bd9ddd1-4d20-43f6-abfa-fc3c07406f94_ContentBits">
    <vt:lpwstr>0</vt:lpwstr>
  </property>
</Properties>
</file>