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629AE2A5" w14:textId="77777777" w:rsidTr="00466BC2">
        <w:trPr>
          <w:trHeight w:val="854"/>
        </w:trPr>
        <w:tc>
          <w:tcPr>
            <w:tcW w:w="9000" w:type="dxa"/>
            <w:tcBorders>
              <w:top w:val="single" w:sz="4" w:space="0" w:color="auto"/>
              <w:bottom w:val="single" w:sz="4" w:space="0" w:color="auto"/>
            </w:tcBorders>
            <w:shd w:val="pct15" w:color="auto" w:fill="FFFFFF"/>
          </w:tcPr>
          <w:p w14:paraId="03049A2A"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 xml:space="preserve">Μέρος III.5 — Συμπληρωματικό δελτίο πληροφοριών σχετικά με τις κρατικές ενισχύσεις </w:t>
            </w:r>
            <w:bookmarkEnd w:id="0"/>
            <w:bookmarkEnd w:id="1"/>
            <w:r>
              <w:rPr>
                <w:color w:val="auto"/>
              </w:rPr>
              <w:t>για μέτρα αφομοίωσης</w:t>
            </w:r>
          </w:p>
        </w:tc>
      </w:tr>
    </w:tbl>
    <w:p w14:paraId="6AF5C648" w14:textId="77777777" w:rsidR="007B33E6" w:rsidRPr="005C4E62" w:rsidRDefault="007B33E6" w:rsidP="001507A9">
      <w:pPr>
        <w:spacing w:before="240" w:after="240"/>
        <w:jc w:val="both"/>
        <w:rPr>
          <w:i/>
          <w:iCs/>
        </w:rPr>
      </w:pPr>
      <w:r>
        <w:rPr>
          <w:i/>
        </w:rPr>
        <w:t>Το παρόν συμπληρωματικό δελτίο πληροφοριών θα πρέπει να χρησιμοποιείται όσον αφορά κοινοποιήσεις ενισχύσεων για μέτρα αφομοίωσης που καλύπτονται από τις κατευθυντήριες γραμμές της Επιτροπής σχετικά με τις κρατικές ενισχύσεις για ευρυζωνικά δίκτυα</w:t>
      </w:r>
      <w:r w:rsidRPr="005C4E62">
        <w:rPr>
          <w:bCs/>
          <w:vertAlign w:val="superscript"/>
        </w:rPr>
        <w:footnoteReference w:id="1"/>
      </w:r>
      <w:r>
        <w:rPr>
          <w:i/>
        </w:rPr>
        <w:t xml:space="preserve"> (στο εξής: κατευθυντήριες γραμμές για τα ευρυζωνικά δίκτυα)</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21A26173" w14:textId="77777777" w:rsidTr="00646E8A">
        <w:tc>
          <w:tcPr>
            <w:tcW w:w="9286" w:type="dxa"/>
            <w:shd w:val="clear" w:color="auto" w:fill="D9D9D9"/>
          </w:tcPr>
          <w:p w14:paraId="71C4B00A" w14:textId="5D4FC139" w:rsidR="007B33E6" w:rsidRPr="005C4E62" w:rsidRDefault="006F2975" w:rsidP="006F2975">
            <w:pPr>
              <w:pStyle w:val="Heading4"/>
              <w:keepLines w:val="0"/>
              <w:tabs>
                <w:tab w:val="left" w:pos="720"/>
                <w:tab w:val="left" w:pos="1077"/>
                <w:tab w:val="left" w:pos="1440"/>
                <w:tab w:val="left" w:pos="1797"/>
              </w:tabs>
              <w:spacing w:before="240" w:after="240"/>
              <w:ind w:left="360" w:hanging="360"/>
              <w:jc w:val="center"/>
              <w:rPr>
                <w:rFonts w:ascii="Times New Roman" w:hAnsi="Times New Roman"/>
                <w:i w:val="0"/>
                <w:color w:val="auto"/>
              </w:rPr>
            </w:pPr>
            <w:r w:rsidRPr="005C4E62">
              <w:rPr>
                <w:rFonts w:ascii="Times New Roman" w:hAnsi="Times New Roman"/>
                <w:i w:val="0"/>
                <w:color w:val="auto"/>
              </w:rPr>
              <w:t>1.</w:t>
            </w:r>
            <w:r w:rsidRPr="005C4E62">
              <w:rPr>
                <w:rFonts w:ascii="Times New Roman" w:hAnsi="Times New Roman"/>
                <w:i w:val="0"/>
                <w:color w:val="auto"/>
              </w:rPr>
              <w:tab/>
            </w:r>
            <w:r w:rsidR="006F5901">
              <w:rPr>
                <w:rFonts w:ascii="Times New Roman" w:hAnsi="Times New Roman"/>
                <w:i w:val="0"/>
                <w:color w:val="auto"/>
              </w:rPr>
              <w:t>Γενικές πληροφορίες</w:t>
            </w:r>
          </w:p>
        </w:tc>
      </w:tr>
    </w:tbl>
    <w:p w14:paraId="6D814F51" w14:textId="374856F7" w:rsidR="007B33E6" w:rsidRPr="005C4E62" w:rsidRDefault="006F2975" w:rsidP="006F2975">
      <w:pPr>
        <w:pStyle w:val="NumPar2"/>
        <w:tabs>
          <w:tab w:val="clear" w:pos="360"/>
        </w:tabs>
        <w:spacing w:before="240"/>
        <w:ind w:left="709" w:hanging="720"/>
      </w:pPr>
      <w:bookmarkStart w:id="2" w:name="_Ref152597077"/>
      <w:r w:rsidRPr="005C4E62">
        <w:rPr>
          <w:b/>
        </w:rPr>
        <w:t>1.1.</w:t>
      </w:r>
      <w:r w:rsidRPr="005C4E62">
        <w:rPr>
          <w:b/>
        </w:rPr>
        <w:tab/>
      </w:r>
      <w:r w:rsidR="007B33E6">
        <w:t>Περιγράψτε λεπτομερώς το μέτρο ενίσχυσης και τους στόχους του.</w:t>
      </w:r>
      <w:bookmarkEnd w:id="2"/>
    </w:p>
    <w:p w14:paraId="14CCCEC3" w14:textId="77777777" w:rsidR="00515227" w:rsidRPr="005C4E62" w:rsidRDefault="00515227" w:rsidP="001507A9">
      <w:pPr>
        <w:pStyle w:val="Text2"/>
        <w:tabs>
          <w:tab w:val="clear" w:pos="2161"/>
          <w:tab w:val="left" w:leader="dot" w:pos="9072"/>
        </w:tabs>
        <w:spacing w:before="120" w:after="120"/>
        <w:ind w:left="709"/>
      </w:pPr>
      <w:r>
        <w:tab/>
      </w:r>
    </w:p>
    <w:p w14:paraId="1024DDE4" w14:textId="51369D96" w:rsidR="001507A9" w:rsidRPr="005C4E62" w:rsidRDefault="006F2975" w:rsidP="006F2975">
      <w:pPr>
        <w:pStyle w:val="NumPar2"/>
        <w:tabs>
          <w:tab w:val="clear" w:pos="360"/>
        </w:tabs>
        <w:ind w:left="709" w:hanging="720"/>
      </w:pPr>
      <w:r w:rsidRPr="005C4E62">
        <w:rPr>
          <w:b/>
        </w:rPr>
        <w:t>1.2.</w:t>
      </w:r>
      <w:r w:rsidRPr="005C4E62">
        <w:rPr>
          <w:b/>
        </w:rPr>
        <w:tab/>
      </w:r>
      <w:r w:rsidR="001507A9">
        <w:t>Εξηγήστε τον λόγο για τον οποίο, κατά την άποψή σας, το μέτρο ενίσχυσης συνιστά κρατική ενίσχυση</w:t>
      </w:r>
      <w:r w:rsidR="001507A9" w:rsidRPr="005C4E62">
        <w:rPr>
          <w:rStyle w:val="FootnoteReference"/>
        </w:rPr>
        <w:footnoteReference w:id="2"/>
      </w:r>
      <w:r w:rsidR="001507A9">
        <w:t>.</w:t>
      </w:r>
    </w:p>
    <w:p w14:paraId="71613F81" w14:textId="77777777" w:rsidR="001507A9" w:rsidRPr="005C4E62" w:rsidRDefault="001507A9" w:rsidP="001507A9">
      <w:pPr>
        <w:pStyle w:val="Text2"/>
        <w:tabs>
          <w:tab w:val="clear" w:pos="2161"/>
          <w:tab w:val="left" w:leader="dot" w:pos="9072"/>
        </w:tabs>
        <w:spacing w:before="120" w:after="120"/>
        <w:ind w:left="709"/>
      </w:pPr>
      <w:r>
        <w:tab/>
      </w:r>
    </w:p>
    <w:p w14:paraId="3ACE233C" w14:textId="27C1CF33" w:rsidR="001507A9" w:rsidRPr="005C4E62" w:rsidRDefault="006F2975" w:rsidP="006F2975">
      <w:pPr>
        <w:pStyle w:val="NumPar2"/>
        <w:tabs>
          <w:tab w:val="clear" w:pos="360"/>
        </w:tabs>
        <w:ind w:left="709" w:hanging="720"/>
      </w:pPr>
      <w:r w:rsidRPr="005C4E62">
        <w:rPr>
          <w:b/>
        </w:rPr>
        <w:t>1.3.</w:t>
      </w:r>
      <w:r w:rsidRPr="005C4E62">
        <w:rPr>
          <w:b/>
        </w:rPr>
        <w:tab/>
      </w:r>
      <w:r w:rsidR="001507A9">
        <w:t>Αναφέρετε αν το μέτρο ενίσχυσης συνίσταται σε:</w:t>
      </w:r>
    </w:p>
    <w:p w14:paraId="112A99E1"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Κοινωνικά κουπόνια</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Κουπόνια συνδεσιμότητας</w:t>
      </w:r>
      <w:r w:rsidRPr="005C4E62">
        <w:rPr>
          <w:rStyle w:val="FootnoteReference"/>
          <w:lang w:bidi="si-LK"/>
        </w:rPr>
        <w:footnoteReference w:id="4"/>
      </w:r>
    </w:p>
    <w:p w14:paraId="2A5E017D" w14:textId="10765C5B" w:rsidR="006F5901" w:rsidRPr="005C4E62" w:rsidRDefault="006F2975" w:rsidP="006F2975">
      <w:pPr>
        <w:pStyle w:val="NumPar2"/>
        <w:tabs>
          <w:tab w:val="clear" w:pos="360"/>
        </w:tabs>
        <w:ind w:left="709" w:hanging="720"/>
      </w:pPr>
      <w:r w:rsidRPr="005C4E62">
        <w:rPr>
          <w:b/>
        </w:rPr>
        <w:t>1.4.</w:t>
      </w:r>
      <w:r w:rsidRPr="005C4E62">
        <w:rPr>
          <w:b/>
        </w:rPr>
        <w:tab/>
      </w:r>
      <w:r w:rsidR="006F5901">
        <w:t>Εξηγήστε πώς το μέτρο ενίσχυσης συνάδει με την εθνική στρατηγική για την ευρυζωνικότητα, καθώς και με την ψηφιακή πολιτική και τους περιβαλλοντικούς στόχους της Ένωσης</w:t>
      </w:r>
      <w:r w:rsidR="006F5901" w:rsidRPr="005C4E62">
        <w:rPr>
          <w:rStyle w:val="FootnoteReference"/>
        </w:rPr>
        <w:footnoteReference w:id="5"/>
      </w:r>
      <w:r w:rsidR="006F5901">
        <w:t xml:space="preserve">. </w:t>
      </w:r>
    </w:p>
    <w:p w14:paraId="736BED73" w14:textId="77777777" w:rsidR="006F5901" w:rsidRPr="005C4E62" w:rsidRDefault="006F5901" w:rsidP="001507A9">
      <w:pPr>
        <w:pStyle w:val="Text2"/>
        <w:tabs>
          <w:tab w:val="clear" w:pos="2161"/>
          <w:tab w:val="left" w:leader="dot" w:pos="9072"/>
        </w:tabs>
        <w:spacing w:before="120" w:after="120"/>
        <w:ind w:left="709"/>
      </w:pPr>
      <w:r>
        <w:tab/>
      </w:r>
    </w:p>
    <w:p w14:paraId="0E815B34" w14:textId="5153A1E3" w:rsidR="00C66331" w:rsidRPr="005C4E62" w:rsidRDefault="006F2975" w:rsidP="006F2975">
      <w:pPr>
        <w:pStyle w:val="NumPar2"/>
        <w:tabs>
          <w:tab w:val="clear" w:pos="360"/>
        </w:tabs>
        <w:ind w:left="709" w:hanging="720"/>
      </w:pPr>
      <w:r w:rsidRPr="005C4E62">
        <w:rPr>
          <w:b/>
        </w:rPr>
        <w:t>1.5.</w:t>
      </w:r>
      <w:r w:rsidRPr="005C4E62">
        <w:rPr>
          <w:b/>
        </w:rPr>
        <w:tab/>
      </w:r>
      <w:r w:rsidR="00C66331">
        <w:t>Εξηγήστε αν ο λόγος για τον οποίο δικαιολογείται το μέτρο ενίσχυσης είναι</w:t>
      </w:r>
      <w:r w:rsidR="001507A9" w:rsidRPr="005C4E62">
        <w:rPr>
          <w:rStyle w:val="FootnoteReference"/>
        </w:rPr>
        <w:footnoteReference w:id="6"/>
      </w:r>
      <w:r w:rsidR="00C66331">
        <w:t>:</w:t>
      </w:r>
    </w:p>
    <w:p w14:paraId="13948846" w14:textId="7B679559"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Ο οικονομικός αντίκτυπος του κόστους συνδρομής σε ευρυζωνικές υπηρεσίες. Εάν ναι, παραθέστε λεπτομερή στοιχεία</w:t>
      </w:r>
      <w:r w:rsidR="00ED7715" w:rsidRPr="00CC3AC2">
        <w:t xml:space="preserve"> ……………………….</w:t>
      </w:r>
      <w:r>
        <w:t>………</w:t>
      </w:r>
      <w:r w:rsidR="00ED7715" w:rsidRPr="00CC3AC2">
        <w:t>……………………</w:t>
      </w:r>
    </w:p>
    <w:p w14:paraId="443CA99D"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Η άγνοια σχετικά με τα οφέλη που αποφέρει η συνδρομή σε ευρυζωνικές υπηρεσίες. Εάν ναι, παραθέστε λεπτομερή στοιχεία…………………………......................................</w:t>
      </w:r>
    </w:p>
    <w:p w14:paraId="6643D11D" w14:textId="77777777" w:rsidR="00C66331" w:rsidRPr="005C4E62" w:rsidRDefault="00C66331" w:rsidP="00A46A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Άλλοι λόγοι. Εάν ναι, παραθέστε λεπτομερή στοιχεία………………………………………….</w:t>
      </w:r>
    </w:p>
    <w:p w14:paraId="52BA20A6" w14:textId="2822924F" w:rsidR="007B33E6" w:rsidRPr="005C4E62" w:rsidRDefault="006F2975" w:rsidP="006F2975">
      <w:pPr>
        <w:pStyle w:val="NumPar2"/>
        <w:tabs>
          <w:tab w:val="clear" w:pos="360"/>
        </w:tabs>
        <w:ind w:left="709" w:hanging="720"/>
      </w:pPr>
      <w:r w:rsidRPr="005C4E62">
        <w:rPr>
          <w:b/>
        </w:rPr>
        <w:t>1.6.</w:t>
      </w:r>
      <w:r w:rsidRPr="005C4E62">
        <w:rPr>
          <w:b/>
        </w:rPr>
        <w:tab/>
      </w:r>
      <w:r w:rsidR="007B33E6">
        <w:t>Εξηγήστε το πλαίσιο του μέτρου ενίσχυσης (π.χ. τρέχον επίπεδο κάλυψης ευρυζωνικών δικτύων στο κράτος μέλος, τρέχον επίπεδο αφομοίωσης ευρυζωνικών υπηρεσιών), αναφέροντας τις πηγές των παρεχόμενων πληροφοριών.</w:t>
      </w:r>
    </w:p>
    <w:p w14:paraId="49835559" w14:textId="77777777" w:rsidR="00B973C6" w:rsidRPr="005C4E62" w:rsidRDefault="00B973C6" w:rsidP="001507A9">
      <w:pPr>
        <w:pStyle w:val="Text2"/>
        <w:tabs>
          <w:tab w:val="clear" w:pos="2161"/>
          <w:tab w:val="left" w:leader="dot" w:pos="9072"/>
        </w:tabs>
        <w:spacing w:before="120" w:after="120"/>
        <w:ind w:left="709"/>
      </w:pPr>
      <w:r>
        <w:tab/>
      </w:r>
    </w:p>
    <w:p w14:paraId="4E6E1764" w14:textId="17761579" w:rsidR="005A7B71" w:rsidRPr="005C4E62" w:rsidRDefault="006F2975" w:rsidP="006F2975">
      <w:pPr>
        <w:pStyle w:val="NumPar2"/>
        <w:tabs>
          <w:tab w:val="clear" w:pos="360"/>
        </w:tabs>
        <w:ind w:left="709" w:hanging="720"/>
      </w:pPr>
      <w:r w:rsidRPr="005C4E62">
        <w:rPr>
          <w:b/>
        </w:rPr>
        <w:lastRenderedPageBreak/>
        <w:t>1.7.</w:t>
      </w:r>
      <w:r w:rsidRPr="005C4E62">
        <w:rPr>
          <w:b/>
        </w:rPr>
        <w:tab/>
      </w:r>
      <w:r w:rsidR="005A7B71">
        <w:t>Επιβεβαιώστε ότι όλες οι ταχύτητες που αναφέρονται στην παρούσα κοινοποίηση νοούνται ως ταχύτητες υπό συνθήκες περιόδου αιχμής</w:t>
      </w:r>
      <w:r w:rsidR="005A7B71" w:rsidRPr="005C4E62">
        <w:rPr>
          <w:rStyle w:val="FootnoteReference"/>
        </w:rPr>
        <w:footnoteReference w:id="7"/>
      </w:r>
      <w:r w:rsidR="005A7B71">
        <w:t>.</w:t>
      </w:r>
    </w:p>
    <w:p w14:paraId="70842BEB"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Ναι</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C7355E">
        <w:fldChar w:fldCharType="separate"/>
      </w:r>
      <w:r w:rsidR="00A63EE7" w:rsidRPr="005C4E62">
        <w:fldChar w:fldCharType="end"/>
      </w:r>
      <w:r>
        <w:tab/>
        <w:t>Όχι</w:t>
      </w:r>
    </w:p>
    <w:p w14:paraId="1995D959" w14:textId="167EBF1A" w:rsidR="005F2475" w:rsidRPr="005C4E62" w:rsidRDefault="006F2975" w:rsidP="006F2975">
      <w:pPr>
        <w:pStyle w:val="NumPar2"/>
        <w:tabs>
          <w:tab w:val="clear" w:pos="360"/>
        </w:tabs>
        <w:ind w:left="709" w:hanging="720"/>
      </w:pPr>
      <w:r w:rsidRPr="005C4E62">
        <w:rPr>
          <w:b/>
        </w:rPr>
        <w:t>1.8.</w:t>
      </w:r>
      <w:r w:rsidRPr="005C4E62">
        <w:rPr>
          <w:b/>
        </w:rPr>
        <w:tab/>
      </w:r>
      <w:r w:rsidR="007A2062">
        <w:t>Εάν υπάρχουν, υποβάλετε τα ακόλουθα έγγραφα και περιγράψτε το περιεχόμενό τους.</w:t>
      </w:r>
    </w:p>
    <w:p w14:paraId="24BFF24B" w14:textId="6881711D"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Εκτίμηση επιπτώσεων του μέτρου ενίσχυσης……………………………………. </w:t>
      </w:r>
    </w:p>
    <w:p w14:paraId="72BEDB3E"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Σχέδια εκ των υστέρων αξιολόγησης παρόμοιων προγενέστερων καθεστώτων…………………………...</w:t>
      </w:r>
    </w:p>
    <w:p w14:paraId="1EEDDBFA"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Ανάλυση εναλλακτικών σεναρίων που να αποδεικνύει ότι το μέτρο επιφέρει θετικά αποτελέσματα σε σύγκριση με την κατάσταση που θα επικρατούσε χωρίς την ενίσχυση…………………………….....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385C1A81" w14:textId="77777777" w:rsidTr="00796043">
        <w:tc>
          <w:tcPr>
            <w:tcW w:w="9286" w:type="dxa"/>
            <w:shd w:val="clear" w:color="auto" w:fill="D9D9D9"/>
          </w:tcPr>
          <w:p w14:paraId="261CC270" w14:textId="2BA5E63F" w:rsidR="006F5901" w:rsidRPr="005C4E62" w:rsidRDefault="006F2975" w:rsidP="006F2975">
            <w:pPr>
              <w:pStyle w:val="Heading4"/>
              <w:keepLines w:val="0"/>
              <w:tabs>
                <w:tab w:val="left" w:pos="720"/>
                <w:tab w:val="left" w:pos="1077"/>
                <w:tab w:val="left" w:pos="1440"/>
                <w:tab w:val="left" w:pos="1797"/>
              </w:tabs>
              <w:spacing w:before="240" w:after="240"/>
              <w:ind w:left="360" w:hanging="360"/>
              <w:jc w:val="center"/>
              <w:rPr>
                <w:rFonts w:ascii="Times New Roman" w:hAnsi="Times New Roman"/>
                <w:i w:val="0"/>
                <w:color w:val="auto"/>
              </w:rPr>
            </w:pPr>
            <w:r w:rsidRPr="005C4E62">
              <w:rPr>
                <w:rFonts w:ascii="Times New Roman" w:hAnsi="Times New Roman"/>
                <w:i w:val="0"/>
                <w:color w:val="auto"/>
              </w:rPr>
              <w:t>2.</w:t>
            </w:r>
            <w:r w:rsidRPr="005C4E62">
              <w:rPr>
                <w:rFonts w:ascii="Times New Roman" w:hAnsi="Times New Roman"/>
                <w:i w:val="0"/>
                <w:color w:val="auto"/>
              </w:rPr>
              <w:tab/>
            </w:r>
            <w:r w:rsidR="001507A9">
              <w:rPr>
                <w:rFonts w:ascii="Times New Roman" w:hAnsi="Times New Roman"/>
                <w:i w:val="0"/>
                <w:color w:val="auto"/>
              </w:rPr>
              <w:t>Κοινωνικά κουπόνια</w:t>
            </w:r>
          </w:p>
        </w:tc>
      </w:tr>
    </w:tbl>
    <w:p w14:paraId="40719C35" w14:textId="7D406D16" w:rsidR="004C1C63" w:rsidRPr="005C4E62" w:rsidRDefault="006F2975" w:rsidP="006F2975">
      <w:pPr>
        <w:pStyle w:val="NumPar2"/>
        <w:tabs>
          <w:tab w:val="clear" w:pos="360"/>
        </w:tabs>
        <w:ind w:left="709" w:hanging="709"/>
      </w:pPr>
      <w:r w:rsidRPr="005C4E62">
        <w:rPr>
          <w:b/>
          <w:bCs/>
        </w:rPr>
        <w:t>2.1.</w:t>
      </w:r>
      <w:r w:rsidRPr="005C4E62">
        <w:rPr>
          <w:b/>
          <w:bCs/>
        </w:rPr>
        <w:tab/>
      </w:r>
      <w:r w:rsidR="007B5294">
        <w:t>Προσδιορίστε τις συγκεκριμένες κατηγορίες μεμονωμένων καταναλωτών τους οποίους αφορά το μέτρο ενίσχυσης, εξηγώντας την οικονομική κατάσταση που δικαιολογεί τη χορήγηση ενίσχυσης για κοινωνικούς λόγους (π.χ. οικογένειες χαμηλού εισοδήματος, σπουδαστές, μαθητές κ.λπ.), καθώς και τα αντικειμενικά κριτήρια που χρησιμοποιούνται για τον προσδιορισμό των επιλέξιμων καταναλωτών</w:t>
      </w:r>
      <w:r w:rsidR="007B5294" w:rsidRPr="005C4E62">
        <w:rPr>
          <w:rStyle w:val="FootnoteReference"/>
        </w:rPr>
        <w:footnoteReference w:id="8"/>
      </w:r>
      <w:r w:rsidR="007B5294">
        <w:t xml:space="preserve">. </w:t>
      </w:r>
    </w:p>
    <w:p w14:paraId="618272D2" w14:textId="77777777" w:rsidR="004C1C63" w:rsidRPr="005C4E62" w:rsidRDefault="004C1C63" w:rsidP="004C1C63">
      <w:pPr>
        <w:pStyle w:val="Text2"/>
        <w:tabs>
          <w:tab w:val="clear" w:pos="2161"/>
          <w:tab w:val="left" w:leader="dot" w:pos="9072"/>
        </w:tabs>
        <w:spacing w:before="120" w:after="120"/>
        <w:ind w:left="709"/>
      </w:pPr>
      <w:r>
        <w:tab/>
      </w:r>
    </w:p>
    <w:p w14:paraId="647BCCC3" w14:textId="6EB6FE23" w:rsidR="007B5294" w:rsidRPr="005C4E62" w:rsidRDefault="006F2975" w:rsidP="006F2975">
      <w:pPr>
        <w:pStyle w:val="NumPar2"/>
        <w:tabs>
          <w:tab w:val="clear" w:pos="360"/>
        </w:tabs>
        <w:ind w:left="709" w:hanging="709"/>
      </w:pPr>
      <w:r w:rsidRPr="005C4E62">
        <w:rPr>
          <w:b/>
          <w:bCs/>
        </w:rPr>
        <w:t>2.2.</w:t>
      </w:r>
      <w:r w:rsidRPr="005C4E62">
        <w:rPr>
          <w:b/>
          <w:bCs/>
        </w:rPr>
        <w:tab/>
      </w:r>
      <w:r w:rsidR="004C1C63">
        <w:t>Υποβάλετε εκτίμηση του αριθμού των καταναλωτών που θα μπορούσαν να ωφεληθούν από το μέτρο ενίσχυσης.</w:t>
      </w:r>
    </w:p>
    <w:p w14:paraId="7C6B32F2" w14:textId="77777777" w:rsidR="007B5294" w:rsidRPr="005C4E62" w:rsidRDefault="007B5294" w:rsidP="009F1CC8">
      <w:pPr>
        <w:pStyle w:val="Text2"/>
        <w:tabs>
          <w:tab w:val="clear" w:pos="2161"/>
          <w:tab w:val="left" w:leader="dot" w:pos="9072"/>
        </w:tabs>
        <w:spacing w:before="120" w:after="120"/>
        <w:ind w:left="709"/>
      </w:pPr>
      <w:r>
        <w:tab/>
      </w:r>
    </w:p>
    <w:p w14:paraId="378E7383" w14:textId="1C9A8397" w:rsidR="004C1C63" w:rsidRPr="005C4E62" w:rsidRDefault="006F2975" w:rsidP="006F2975">
      <w:pPr>
        <w:pStyle w:val="NumPar2"/>
        <w:tabs>
          <w:tab w:val="clear" w:pos="360"/>
        </w:tabs>
        <w:ind w:left="709" w:hanging="709"/>
      </w:pPr>
      <w:r w:rsidRPr="005C4E62">
        <w:rPr>
          <w:b/>
          <w:bCs/>
        </w:rPr>
        <w:t>2.3.</w:t>
      </w:r>
      <w:r w:rsidRPr="005C4E62">
        <w:rPr>
          <w:b/>
          <w:bCs/>
        </w:rPr>
        <w:tab/>
      </w:r>
      <w:r w:rsidR="004C1C63">
        <w:t>Προσδιορίστε τους επιλέξιμους παρόχους υπηρεσιών.</w:t>
      </w:r>
    </w:p>
    <w:p w14:paraId="6EF23D55" w14:textId="77777777" w:rsidR="004C1C63" w:rsidRPr="005C4E62" w:rsidRDefault="004C1C63" w:rsidP="004C1C63">
      <w:pPr>
        <w:pStyle w:val="Text2"/>
        <w:tabs>
          <w:tab w:val="clear" w:pos="2161"/>
          <w:tab w:val="left" w:leader="dot" w:pos="9072"/>
        </w:tabs>
        <w:spacing w:before="120" w:after="120"/>
        <w:ind w:left="709"/>
      </w:pPr>
      <w:r>
        <w:tab/>
      </w:r>
    </w:p>
    <w:p w14:paraId="5E27D06D" w14:textId="58F726DB" w:rsidR="00237B1B" w:rsidRPr="005C4E62" w:rsidRDefault="006F2975" w:rsidP="006F2975">
      <w:pPr>
        <w:pStyle w:val="NumPar2"/>
        <w:tabs>
          <w:tab w:val="clear" w:pos="360"/>
        </w:tabs>
        <w:ind w:left="709" w:hanging="709"/>
      </w:pPr>
      <w:r w:rsidRPr="005C4E62">
        <w:rPr>
          <w:b/>
          <w:bCs/>
        </w:rPr>
        <w:t>2.4.</w:t>
      </w:r>
      <w:r w:rsidRPr="005C4E62">
        <w:rPr>
          <w:b/>
          <w:bCs/>
        </w:rPr>
        <w:tab/>
      </w:r>
      <w:r w:rsidR="00237B1B">
        <w:t>Αναφέρετε τις επιλέξιμες υπηρεσίες που καλύπτονται από το μέτρο ενίσχυσης (π.χ. όσον αφορά την ταχύτητα καταφόρτωσης, την ταχύτητα αναφόρτωσης κ.λπ.) και εξηγήστε τον τρόπο με τον οποίο οι αρχές της χώρας σας προσδιόρισαν τις εν λόγω υπηρεσίες.</w:t>
      </w:r>
    </w:p>
    <w:p w14:paraId="3873CAD4" w14:textId="77777777" w:rsidR="00237B1B" w:rsidRPr="005C4E62" w:rsidRDefault="00237B1B" w:rsidP="00237B1B">
      <w:pPr>
        <w:pStyle w:val="Text2"/>
        <w:tabs>
          <w:tab w:val="clear" w:pos="2161"/>
          <w:tab w:val="left" w:leader="dot" w:pos="9072"/>
        </w:tabs>
        <w:spacing w:before="120" w:after="120"/>
        <w:ind w:left="709"/>
      </w:pPr>
      <w:r>
        <w:tab/>
      </w:r>
    </w:p>
    <w:p w14:paraId="4D38E9B4" w14:textId="295FBD8A" w:rsidR="00042ACA" w:rsidRPr="005C4E62" w:rsidRDefault="006F2975" w:rsidP="006F2975">
      <w:pPr>
        <w:pStyle w:val="NumPar2"/>
        <w:tabs>
          <w:tab w:val="clear" w:pos="360"/>
        </w:tabs>
        <w:ind w:left="709" w:hanging="709"/>
      </w:pPr>
      <w:r w:rsidRPr="005C4E62">
        <w:rPr>
          <w:b/>
          <w:bCs/>
        </w:rPr>
        <w:t>2.5.</w:t>
      </w:r>
      <w:r w:rsidRPr="005C4E62">
        <w:rPr>
          <w:b/>
          <w:bCs/>
        </w:rPr>
        <w:tab/>
      </w:r>
      <w:r w:rsidR="00710B4A">
        <w:t>Διευκρινίστε τον τρόπο με τον οποίο θα χρησιμοποιηθούν τα κουπόνια και παραθέστε συγκεκριμένα λεπτομερή στοιχεία</w:t>
      </w:r>
      <w:r w:rsidR="00710B4A" w:rsidRPr="005C4E62">
        <w:rPr>
          <w:rStyle w:val="FootnoteReference"/>
        </w:rPr>
        <w:footnoteReference w:id="9"/>
      </w:r>
      <w:r w:rsidR="00710B4A">
        <w:t>:</w:t>
      </w:r>
    </w:p>
    <w:p w14:paraId="1B6A6B32"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Συνδρομή σε νέες ευρυζωνικές υπηρεσίες. Λεπτομερή στοιχεία:</w:t>
      </w:r>
    </w:p>
    <w:p w14:paraId="5C9F179B" w14:textId="77777777" w:rsidR="00485681" w:rsidRPr="005C4E62" w:rsidRDefault="00485681" w:rsidP="006E6AE1">
      <w:pPr>
        <w:pStyle w:val="NumPar2"/>
        <w:tabs>
          <w:tab w:val="clear" w:pos="360"/>
        </w:tabs>
        <w:ind w:left="709" w:firstLine="0"/>
      </w:pPr>
      <w:r>
        <w:t xml:space="preserve">………………………………………………………………………………………….. </w:t>
      </w:r>
    </w:p>
    <w:p w14:paraId="5E598939"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Διατήρηση υφιστάμενων συνδρομών. Λεπτομερή στοιχεία: </w:t>
      </w:r>
    </w:p>
    <w:p w14:paraId="2BF22979" w14:textId="77777777" w:rsidR="00485681" w:rsidRPr="005C4E62" w:rsidRDefault="00485681" w:rsidP="006E6AE1">
      <w:pPr>
        <w:pStyle w:val="NumPar2"/>
        <w:tabs>
          <w:tab w:val="clear" w:pos="360"/>
        </w:tabs>
        <w:ind w:left="709" w:firstLine="0"/>
      </w:pPr>
      <w:r>
        <w:t>…………………………………………………………………………………………...</w:t>
      </w:r>
    </w:p>
    <w:p w14:paraId="042DD1AA"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Άλλα. Λεπτομερή στοιχεία:</w:t>
      </w:r>
    </w:p>
    <w:p w14:paraId="6CD11DE7" w14:textId="77777777" w:rsidR="00485681" w:rsidRPr="005C4E62" w:rsidRDefault="00485681" w:rsidP="006E6AE1">
      <w:pPr>
        <w:pStyle w:val="NumPar2"/>
        <w:tabs>
          <w:tab w:val="clear" w:pos="360"/>
        </w:tabs>
        <w:ind w:left="709" w:firstLine="0"/>
      </w:pPr>
      <w:r>
        <w:t>…………………………………………………………..…………………………….....</w:t>
      </w:r>
    </w:p>
    <w:p w14:paraId="2D751B22" w14:textId="5AF5F909" w:rsidR="007B5294" w:rsidRPr="005C4E62" w:rsidRDefault="006F2975" w:rsidP="006F2975">
      <w:pPr>
        <w:pStyle w:val="NumPar2"/>
        <w:tabs>
          <w:tab w:val="clear" w:pos="360"/>
        </w:tabs>
        <w:ind w:left="709" w:hanging="709"/>
      </w:pPr>
      <w:r w:rsidRPr="005C4E62">
        <w:rPr>
          <w:b/>
          <w:bCs/>
        </w:rPr>
        <w:lastRenderedPageBreak/>
        <w:t>2.6.</w:t>
      </w:r>
      <w:r w:rsidRPr="005C4E62">
        <w:rPr>
          <w:b/>
          <w:bCs/>
        </w:rPr>
        <w:tab/>
      </w:r>
      <w:r w:rsidR="007B5294">
        <w:t>Παραθέστε σε κατάλογο τις επιλέξιμες δαπάνες που καλύπτονται από το μέτρο ενίσχυσης</w:t>
      </w:r>
      <w:r w:rsidR="007B5294" w:rsidRPr="005C4E62">
        <w:rPr>
          <w:rStyle w:val="FootnoteReference"/>
        </w:rPr>
        <w:footnoteReference w:id="10"/>
      </w:r>
      <w:r w:rsidR="007B5294">
        <w:t>.</w:t>
      </w:r>
    </w:p>
    <w:p w14:paraId="009EB6B4" w14:textId="77777777" w:rsidR="007B5294" w:rsidRPr="005C4E62" w:rsidRDefault="007B5294" w:rsidP="007B5294">
      <w:pPr>
        <w:pStyle w:val="Text2"/>
        <w:tabs>
          <w:tab w:val="clear" w:pos="2161"/>
          <w:tab w:val="left" w:leader="dot" w:pos="9072"/>
        </w:tabs>
        <w:spacing w:before="120" w:after="120"/>
        <w:ind w:left="709"/>
      </w:pPr>
      <w:r>
        <w:tab/>
      </w:r>
    </w:p>
    <w:p w14:paraId="63D3D894" w14:textId="4CB1C596" w:rsidR="00E0556B" w:rsidRPr="005C4E62" w:rsidRDefault="006F2975" w:rsidP="006F2975">
      <w:pPr>
        <w:pStyle w:val="NumPar2"/>
        <w:tabs>
          <w:tab w:val="clear" w:pos="360"/>
        </w:tabs>
        <w:ind w:left="709" w:hanging="709"/>
      </w:pPr>
      <w:r w:rsidRPr="005C4E62">
        <w:rPr>
          <w:b/>
          <w:bCs/>
        </w:rPr>
        <w:t>2.7.</w:t>
      </w:r>
      <w:r w:rsidRPr="005C4E62">
        <w:rPr>
          <w:b/>
          <w:bCs/>
        </w:rPr>
        <w:tab/>
      </w:r>
      <w:r w:rsidR="00E0556B">
        <w:t xml:space="preserve">Αναφέρετε τη μέγιστη διάρκεια του κουπονιού </w:t>
      </w:r>
      <w:r w:rsidR="00E0556B">
        <w:br/>
        <w:t>(εάν υπάρχει).</w:t>
      </w:r>
    </w:p>
    <w:p w14:paraId="512880A7" w14:textId="77777777" w:rsidR="00E0556B" w:rsidRPr="005C4E62" w:rsidRDefault="00E0556B" w:rsidP="002E43A3">
      <w:pPr>
        <w:pStyle w:val="Text2"/>
        <w:tabs>
          <w:tab w:val="clear" w:pos="2161"/>
          <w:tab w:val="left" w:leader="dot" w:pos="9072"/>
        </w:tabs>
        <w:spacing w:before="120" w:after="120"/>
        <w:ind w:left="709"/>
      </w:pPr>
      <w:r>
        <w:tab/>
      </w:r>
    </w:p>
    <w:p w14:paraId="19DC78A3" w14:textId="1B2A9C10" w:rsidR="00237B1B" w:rsidRPr="005C4E62" w:rsidRDefault="006F2975" w:rsidP="006F2975">
      <w:pPr>
        <w:pStyle w:val="NumPar2"/>
        <w:tabs>
          <w:tab w:val="clear" w:pos="360"/>
        </w:tabs>
        <w:ind w:left="709" w:hanging="709"/>
      </w:pPr>
      <w:r w:rsidRPr="005C4E62">
        <w:rPr>
          <w:b/>
          <w:bCs/>
        </w:rPr>
        <w:t>2.8.</w:t>
      </w:r>
      <w:r w:rsidRPr="005C4E62">
        <w:rPr>
          <w:b/>
          <w:bCs/>
        </w:rPr>
        <w:tab/>
      </w:r>
      <w:r w:rsidR="00237B1B">
        <w:t xml:space="preserve">Αναφέρετε τη μορφή και το ποσό των κουπονιών, διευκρινίζοντας τον τρόπο καθορισμού του εν λόγω ποσού και το ποσοστό του κόστους συνδρομής που καλύπτεται από το κουπόνι. </w:t>
      </w:r>
    </w:p>
    <w:p w14:paraId="3A0CC342" w14:textId="77777777" w:rsidR="00237B1B" w:rsidRPr="005C4E62" w:rsidRDefault="00237B1B" w:rsidP="00237B1B">
      <w:pPr>
        <w:pStyle w:val="Text2"/>
        <w:tabs>
          <w:tab w:val="clear" w:pos="2161"/>
          <w:tab w:val="left" w:leader="dot" w:pos="9072"/>
        </w:tabs>
        <w:spacing w:before="120" w:after="120"/>
        <w:ind w:left="709"/>
      </w:pPr>
      <w:r>
        <w:tab/>
      </w:r>
    </w:p>
    <w:p w14:paraId="16AB7DBE" w14:textId="2DE09115" w:rsidR="00E101F1" w:rsidRPr="005C4E62" w:rsidRDefault="006F2975" w:rsidP="006F2975">
      <w:pPr>
        <w:pStyle w:val="NumPar2"/>
        <w:tabs>
          <w:tab w:val="clear" w:pos="360"/>
        </w:tabs>
        <w:ind w:left="709" w:hanging="709"/>
        <w:rPr>
          <w:iCs/>
        </w:rPr>
      </w:pPr>
      <w:r w:rsidRPr="005C4E62">
        <w:rPr>
          <w:b/>
          <w:bCs/>
          <w:iCs/>
        </w:rPr>
        <w:t>2.9.</w:t>
      </w:r>
      <w:r w:rsidRPr="005C4E62">
        <w:rPr>
          <w:b/>
          <w:bCs/>
          <w:iCs/>
        </w:rPr>
        <w:tab/>
      </w:r>
      <w:r w:rsidR="00E101F1">
        <w:t>Εξηγήστε αν και με ποιον τρόπο το μέτρο ενίσχυσης συμμορφώνεται με την αρχή της τεχνολογικής ουδετερότητας</w:t>
      </w:r>
      <w:r w:rsidR="00E101F1" w:rsidRPr="005C4E62">
        <w:rPr>
          <w:rStyle w:val="FootnoteReference"/>
          <w:iCs/>
        </w:rPr>
        <w:footnoteReference w:id="11"/>
      </w:r>
      <w:r w:rsidR="00E101F1">
        <w:t>.</w:t>
      </w:r>
    </w:p>
    <w:p w14:paraId="4C038F6E" w14:textId="77777777" w:rsidR="00E101F1" w:rsidRPr="005C4E62" w:rsidRDefault="00E101F1" w:rsidP="00E101F1">
      <w:pPr>
        <w:pStyle w:val="Text2"/>
        <w:tabs>
          <w:tab w:val="clear" w:pos="2161"/>
          <w:tab w:val="left" w:leader="dot" w:pos="9072"/>
        </w:tabs>
        <w:spacing w:before="120" w:after="120"/>
        <w:ind w:left="709"/>
      </w:pPr>
      <w:r>
        <w:tab/>
      </w:r>
    </w:p>
    <w:p w14:paraId="3FA24BA6" w14:textId="55475DA6" w:rsidR="00C90B4D" w:rsidRPr="005C4E62" w:rsidRDefault="006F2975" w:rsidP="006F2975">
      <w:pPr>
        <w:pStyle w:val="NumPar2"/>
        <w:tabs>
          <w:tab w:val="clear" w:pos="360"/>
        </w:tabs>
        <w:ind w:left="709" w:hanging="709"/>
        <w:rPr>
          <w:iCs/>
        </w:rPr>
      </w:pPr>
      <w:r w:rsidRPr="005C4E62">
        <w:rPr>
          <w:b/>
          <w:bCs/>
          <w:iCs/>
        </w:rPr>
        <w:t>2.10.</w:t>
      </w:r>
      <w:r w:rsidRPr="005C4E62">
        <w:rPr>
          <w:b/>
          <w:bCs/>
          <w:iCs/>
        </w:rPr>
        <w:tab/>
      </w:r>
      <w:r w:rsidR="00C90B4D">
        <w:t>Για να αποδείξετε ότι το μέτρο ενίσχυσης διασφαλίζει την ίση μεταχείριση όλων των πιθανών παρόχων υπηρεσιών και προσφέρει στους καταναλωτές την ευρύτερη δυνατή επιλογή παρόχων</w:t>
      </w:r>
      <w:r w:rsidR="00E101F1" w:rsidRPr="005C4E62">
        <w:rPr>
          <w:rStyle w:val="FootnoteReference"/>
          <w:iCs/>
        </w:rPr>
        <w:footnoteReference w:id="12"/>
      </w:r>
      <w:r w:rsidR="00C90B4D">
        <w:t>, επιβεβαιώστε (παρέχοντας σχετικές λεπτομέρειες) ότι</w:t>
      </w:r>
      <w:r w:rsidR="00C90B4D" w:rsidRPr="005C4E62">
        <w:rPr>
          <w:rStyle w:val="FootnoteReference"/>
        </w:rPr>
        <w:footnoteReference w:id="13"/>
      </w:r>
      <w:r w:rsidR="00C90B4D">
        <w:t xml:space="preserve">: </w:t>
      </w:r>
    </w:p>
    <w:p w14:paraId="503CED3B" w14:textId="6D211F55" w:rsidR="00C90B4D" w:rsidRPr="005C4E62" w:rsidRDefault="006F2975" w:rsidP="006F2975">
      <w:pPr>
        <w:pStyle w:val="NumPar2"/>
        <w:tabs>
          <w:tab w:val="clear" w:pos="360"/>
        </w:tabs>
        <w:ind w:left="1418" w:hanging="709"/>
      </w:pPr>
      <w:r>
        <w:t>α</w:t>
      </w:r>
      <w:r w:rsidRPr="005C4E62">
        <w:t>)</w:t>
      </w:r>
      <w:r w:rsidRPr="005C4E62">
        <w:tab/>
      </w:r>
      <w:r w:rsidR="00C90B4D">
        <w:t>Θα εφαρμοστεί διαδικτυακό μητρώο όλων των επιλέξιμων παρόχων υπηρεσιών (ή ισοδύναμη εναλλακτική πλατφόρμα).</w:t>
      </w:r>
    </w:p>
    <w:p w14:paraId="4C65C6AD" w14:textId="77777777" w:rsidR="00C90B4D" w:rsidRPr="005C4E62" w:rsidRDefault="00C90B4D" w:rsidP="00C90B4D">
      <w:pPr>
        <w:pStyle w:val="Text2"/>
        <w:tabs>
          <w:tab w:val="clear" w:pos="2161"/>
          <w:tab w:val="left" w:leader="dot" w:pos="9072"/>
        </w:tabs>
        <w:spacing w:before="120" w:after="120"/>
        <w:ind w:left="709"/>
      </w:pPr>
      <w:r>
        <w:tab/>
      </w:r>
    </w:p>
    <w:p w14:paraId="7783B74E" w14:textId="0F19F1F5" w:rsidR="00C90B4D" w:rsidRPr="005C4E62" w:rsidRDefault="006F2975" w:rsidP="006F2975">
      <w:pPr>
        <w:pStyle w:val="NumPar2"/>
        <w:tabs>
          <w:tab w:val="clear" w:pos="360"/>
        </w:tabs>
        <w:ind w:left="1418" w:hanging="709"/>
      </w:pPr>
      <w:r>
        <w:t>β</w:t>
      </w:r>
      <w:r w:rsidRPr="005C4E62">
        <w:t>)</w:t>
      </w:r>
      <w:r w:rsidRPr="005C4E62">
        <w:tab/>
      </w:r>
      <w:r w:rsidR="00C90B4D">
        <w:t xml:space="preserve">Οι καταναλωτές έχουν τη δυνατότητα να συμβουλεύονται το μητρώο. </w:t>
      </w:r>
    </w:p>
    <w:p w14:paraId="131C3116" w14:textId="77777777" w:rsidR="00C90B4D" w:rsidRPr="005C4E62" w:rsidRDefault="00C90B4D" w:rsidP="00C90B4D">
      <w:pPr>
        <w:pStyle w:val="Text2"/>
        <w:tabs>
          <w:tab w:val="clear" w:pos="2161"/>
          <w:tab w:val="left" w:leader="dot" w:pos="9072"/>
        </w:tabs>
        <w:spacing w:before="120" w:after="120"/>
        <w:ind w:left="709"/>
      </w:pPr>
      <w:r>
        <w:tab/>
      </w:r>
    </w:p>
    <w:p w14:paraId="3B93D54F" w14:textId="38F1C9BA" w:rsidR="00C90B4D" w:rsidRPr="005C4E62" w:rsidRDefault="006F2975" w:rsidP="006F2975">
      <w:pPr>
        <w:pStyle w:val="NumPar2"/>
        <w:tabs>
          <w:tab w:val="clear" w:pos="360"/>
        </w:tabs>
        <w:ind w:left="1418" w:hanging="709"/>
      </w:pPr>
      <w:r>
        <w:t>γ</w:t>
      </w:r>
      <w:r w:rsidRPr="005C4E62">
        <w:t>)</w:t>
      </w:r>
      <w:r w:rsidRPr="005C4E62">
        <w:tab/>
      </w:r>
      <w:r w:rsidR="00C90B4D">
        <w:t>Όλες οι επιχειρήσεις που είναι σε θέση να παρέχουν τις επιλέξιμες ευρυζωνικές υπηρεσίες μπορούν να ζητήσουν να συμπεριληφθούν στο μητρώο (ή στην εναλλακτική πλατφόρμα που έχει επιλεγεί).</w:t>
      </w:r>
    </w:p>
    <w:p w14:paraId="316B1A02" w14:textId="77777777" w:rsidR="00E101F1" w:rsidRPr="005C4E62" w:rsidRDefault="00C90B4D" w:rsidP="00C90B4D">
      <w:pPr>
        <w:pStyle w:val="Text2"/>
        <w:tabs>
          <w:tab w:val="clear" w:pos="2161"/>
          <w:tab w:val="left" w:leader="dot" w:pos="9072"/>
        </w:tabs>
        <w:spacing w:before="120" w:after="120"/>
        <w:ind w:left="709"/>
      </w:pPr>
      <w:r>
        <w:tab/>
        <w:t xml:space="preserve"> </w:t>
      </w:r>
    </w:p>
    <w:p w14:paraId="74D17E30" w14:textId="1BB3D4AC" w:rsidR="00C90B4D" w:rsidRPr="005C4E62" w:rsidRDefault="006F2975" w:rsidP="006F2975">
      <w:pPr>
        <w:pStyle w:val="NumPar2"/>
        <w:tabs>
          <w:tab w:val="clear" w:pos="360"/>
        </w:tabs>
        <w:ind w:left="1418" w:hanging="709"/>
      </w:pPr>
      <w:r>
        <w:t>δ</w:t>
      </w:r>
      <w:r w:rsidRPr="005C4E62">
        <w:t>)</w:t>
      </w:r>
      <w:r w:rsidRPr="005C4E62">
        <w:tab/>
      </w:r>
      <w:r w:rsidR="00C90B4D">
        <w:t>Το μητρώο (ή η εναλλακτική πλατφόρμα που έχει επιλεγεί) παρέχει πρόσθετες πληροφορίες για να συνδράμει τους καταναλωτές (π.χ. είδος της υπηρεσίας που παρέχεται από τις διάφορες επιχειρήσεις κ.λπ.). Εάν ναι, αναφέρετε τις πρόσθετες πληροφορίες που παρέχονται.</w:t>
      </w:r>
    </w:p>
    <w:p w14:paraId="23E2F1DF" w14:textId="77777777" w:rsidR="00E101F1" w:rsidRPr="005C4E62" w:rsidRDefault="00E101F1" w:rsidP="00E101F1">
      <w:pPr>
        <w:pStyle w:val="Text2"/>
        <w:tabs>
          <w:tab w:val="clear" w:pos="2161"/>
          <w:tab w:val="left" w:leader="dot" w:pos="9072"/>
        </w:tabs>
        <w:spacing w:before="120" w:after="120"/>
        <w:ind w:left="709"/>
      </w:pPr>
      <w:r>
        <w:tab/>
      </w:r>
    </w:p>
    <w:p w14:paraId="5465CA5B" w14:textId="77D4BE1E" w:rsidR="00D1408F" w:rsidRPr="005C4E62" w:rsidRDefault="006F2975" w:rsidP="006F2975">
      <w:pPr>
        <w:pStyle w:val="NumPar2"/>
        <w:tabs>
          <w:tab w:val="clear" w:pos="360"/>
        </w:tabs>
        <w:ind w:left="709" w:hanging="709"/>
      </w:pPr>
      <w:r w:rsidRPr="005C4E62">
        <w:rPr>
          <w:b/>
          <w:bCs/>
        </w:rPr>
        <w:t>2.11.</w:t>
      </w:r>
      <w:r w:rsidRPr="005C4E62">
        <w:rPr>
          <w:b/>
          <w:bCs/>
        </w:rPr>
        <w:tab/>
      </w:r>
      <w:r w:rsidR="00D1408F">
        <w:t>Εξηγήστε λεπτομερώς τη διαδικασία εκτέλεσης του μέτρου ενίσχυσης.</w:t>
      </w:r>
    </w:p>
    <w:p w14:paraId="6010F6CC" w14:textId="77777777" w:rsidR="00D1408F" w:rsidRPr="005C4E62" w:rsidRDefault="00D1408F" w:rsidP="00D1408F">
      <w:pPr>
        <w:pStyle w:val="Text2"/>
        <w:tabs>
          <w:tab w:val="clear" w:pos="2161"/>
          <w:tab w:val="left" w:leader="dot" w:pos="9072"/>
        </w:tabs>
        <w:spacing w:before="120" w:after="120"/>
        <w:ind w:left="709"/>
      </w:pPr>
      <w:r>
        <w:tab/>
      </w:r>
    </w:p>
    <w:p w14:paraId="05D8E5FA" w14:textId="4F6BDB9C" w:rsidR="00D1408F" w:rsidRPr="005C4E62" w:rsidRDefault="006F2975" w:rsidP="006F2975">
      <w:pPr>
        <w:pStyle w:val="NumPar2"/>
        <w:tabs>
          <w:tab w:val="clear" w:pos="360"/>
        </w:tabs>
        <w:ind w:left="709" w:hanging="709"/>
      </w:pPr>
      <w:r w:rsidRPr="005C4E62">
        <w:rPr>
          <w:b/>
          <w:bCs/>
        </w:rPr>
        <w:t>2.12.</w:t>
      </w:r>
      <w:r w:rsidRPr="005C4E62">
        <w:rPr>
          <w:b/>
          <w:bCs/>
        </w:rPr>
        <w:tab/>
      </w:r>
      <w:r w:rsidR="00D1408F">
        <w:t>Δημόσια διαβούλευση</w:t>
      </w:r>
      <w:r w:rsidR="00D1408F" w:rsidRPr="005C4E62">
        <w:rPr>
          <w:rStyle w:val="FootnoteReference"/>
        </w:rPr>
        <w:footnoteReference w:id="14"/>
      </w:r>
      <w:r w:rsidR="00D1408F">
        <w:t>. Παραθέστε τις ακόλουθες πληροφορίες:</w:t>
      </w:r>
    </w:p>
    <w:p w14:paraId="6CFB5094" w14:textId="405AB388" w:rsidR="00D1408F" w:rsidRPr="005C4E62" w:rsidRDefault="005F5DB2" w:rsidP="006F2975">
      <w:pPr>
        <w:pStyle w:val="Text2"/>
        <w:tabs>
          <w:tab w:val="clear" w:pos="2161"/>
        </w:tabs>
        <w:spacing w:after="120"/>
        <w:ind w:left="1418" w:hanging="709"/>
      </w:pPr>
      <w:r>
        <w:t>α</w:t>
      </w:r>
      <w:r w:rsidR="006F2975" w:rsidRPr="005C4E62">
        <w:t>)</w:t>
      </w:r>
      <w:r w:rsidR="006F2975" w:rsidRPr="005C4E62">
        <w:tab/>
      </w:r>
      <w:r w:rsidR="00D1408F">
        <w:t xml:space="preserve">Ημερομηνία έναρξης και λήξης κάθε δημόσιας διαβούλευσης που διενεργείται. </w:t>
      </w:r>
    </w:p>
    <w:p w14:paraId="004F36C7" w14:textId="77777777" w:rsidR="00D1408F" w:rsidRPr="005C4E62" w:rsidRDefault="00D1408F" w:rsidP="00D1408F">
      <w:pPr>
        <w:pStyle w:val="Text2"/>
        <w:tabs>
          <w:tab w:val="clear" w:pos="2161"/>
          <w:tab w:val="left" w:leader="dot" w:pos="9072"/>
        </w:tabs>
        <w:spacing w:before="120" w:after="120"/>
        <w:ind w:left="709"/>
      </w:pPr>
      <w:r>
        <w:tab/>
      </w:r>
    </w:p>
    <w:p w14:paraId="79F53141" w14:textId="68C7420C" w:rsidR="00D1408F" w:rsidRPr="005C4E62" w:rsidRDefault="005F5DB2" w:rsidP="006F2975">
      <w:pPr>
        <w:pStyle w:val="Text2"/>
        <w:tabs>
          <w:tab w:val="clear" w:pos="2161"/>
        </w:tabs>
        <w:spacing w:after="120"/>
        <w:ind w:left="1418" w:hanging="709"/>
      </w:pPr>
      <w:r>
        <w:t>β</w:t>
      </w:r>
      <w:r w:rsidR="006F2975" w:rsidRPr="005C4E62">
        <w:t>)</w:t>
      </w:r>
      <w:r w:rsidR="006F2975" w:rsidRPr="005C4E62">
        <w:tab/>
      </w:r>
      <w:r w:rsidR="00D1408F">
        <w:t xml:space="preserve">Περιεχόμενο κάθε δημόσιας διαβούλευσης. </w:t>
      </w:r>
    </w:p>
    <w:p w14:paraId="4E6F76F6" w14:textId="77777777" w:rsidR="00D1408F" w:rsidRPr="005C4E62" w:rsidRDefault="00D1408F" w:rsidP="00D1408F">
      <w:pPr>
        <w:pStyle w:val="Text2"/>
        <w:tabs>
          <w:tab w:val="clear" w:pos="2161"/>
          <w:tab w:val="left" w:leader="dot" w:pos="9072"/>
        </w:tabs>
        <w:spacing w:before="120" w:after="120"/>
        <w:ind w:left="709"/>
      </w:pPr>
      <w:r>
        <w:lastRenderedPageBreak/>
        <w:tab/>
      </w:r>
    </w:p>
    <w:p w14:paraId="25339642" w14:textId="1CA6E93E" w:rsidR="00D1408F" w:rsidRPr="005C4E62" w:rsidRDefault="005F5DB2" w:rsidP="006F2975">
      <w:pPr>
        <w:pStyle w:val="Text2"/>
        <w:tabs>
          <w:tab w:val="clear" w:pos="2161"/>
        </w:tabs>
        <w:spacing w:after="120"/>
        <w:ind w:left="1418" w:hanging="709"/>
      </w:pPr>
      <w:r>
        <w:t>γ</w:t>
      </w:r>
      <w:r w:rsidR="006F2975" w:rsidRPr="005C4E62">
        <w:t>)</w:t>
      </w:r>
      <w:r w:rsidR="006F2975" w:rsidRPr="005C4E62">
        <w:tab/>
      </w:r>
      <w:r w:rsidR="00D1408F">
        <w:t>Δημόσια προσβάσιμος ιστότοπος (σε περιφερειακό και/ή εθνικό επίπεδο) όπου δημοσιεύτηκε η διαβούλευση.</w:t>
      </w:r>
    </w:p>
    <w:p w14:paraId="4718221D" w14:textId="77777777" w:rsidR="00D1408F" w:rsidRPr="005C4E62" w:rsidRDefault="00D1408F" w:rsidP="00D1408F">
      <w:pPr>
        <w:pStyle w:val="Text2"/>
        <w:tabs>
          <w:tab w:val="clear" w:pos="2161"/>
          <w:tab w:val="left" w:leader="dot" w:pos="9072"/>
        </w:tabs>
        <w:spacing w:before="120" w:after="120"/>
        <w:ind w:left="709"/>
      </w:pPr>
      <w:r>
        <w:tab/>
      </w:r>
    </w:p>
    <w:p w14:paraId="03E19EF6" w14:textId="02307D65" w:rsidR="00D1408F" w:rsidRPr="005C4E62" w:rsidRDefault="005F5DB2" w:rsidP="006F2975">
      <w:pPr>
        <w:pStyle w:val="Text2"/>
        <w:tabs>
          <w:tab w:val="clear" w:pos="2161"/>
        </w:tabs>
        <w:spacing w:after="120"/>
        <w:ind w:left="1418" w:hanging="709"/>
      </w:pPr>
      <w:r>
        <w:t>δ</w:t>
      </w:r>
      <w:r w:rsidR="006F2975" w:rsidRPr="005C4E62">
        <w:t>)</w:t>
      </w:r>
      <w:r w:rsidR="006F2975" w:rsidRPr="005C4E62">
        <w:tab/>
      </w:r>
      <w:r w:rsidR="00D1408F">
        <w:t>Σύνοψη των κύριων παρατηρήσεων που υπέβαλαν οι συμμετέχοντες σε κάθε δημόσια διαβούλευση και προσδιορισμός του τρόπου αντιμετώπισής τους.</w:t>
      </w:r>
    </w:p>
    <w:p w14:paraId="019BF07A" w14:textId="77777777" w:rsidR="00D1408F" w:rsidRPr="005C4E62" w:rsidRDefault="00D1408F" w:rsidP="00D1408F">
      <w:pPr>
        <w:pStyle w:val="Text2"/>
        <w:tabs>
          <w:tab w:val="clear" w:pos="2161"/>
          <w:tab w:val="left" w:leader="dot" w:pos="9072"/>
        </w:tabs>
        <w:spacing w:before="120" w:after="120"/>
        <w:ind w:left="709"/>
      </w:pPr>
      <w:r>
        <w:tab/>
      </w:r>
    </w:p>
    <w:p w14:paraId="56653922" w14:textId="7DC18049" w:rsidR="00D1408F" w:rsidRPr="005C4E62" w:rsidRDefault="006F2975" w:rsidP="006F2975">
      <w:pPr>
        <w:pStyle w:val="NumPar2"/>
        <w:tabs>
          <w:tab w:val="clear" w:pos="360"/>
        </w:tabs>
        <w:ind w:left="709" w:hanging="709"/>
      </w:pPr>
      <w:r w:rsidRPr="005C4E62">
        <w:rPr>
          <w:b/>
          <w:bCs/>
        </w:rPr>
        <w:t>2.13.</w:t>
      </w:r>
      <w:r w:rsidRPr="005C4E62">
        <w:rPr>
          <w:b/>
          <w:bCs/>
        </w:rPr>
        <w:tab/>
      </w:r>
      <w:r w:rsidR="00D1408F">
        <w:t>Αναφέρετε αν θα εφαρμοστούν πρόσθετες ασφαλιστικές δικλείδες για την αποφυγή πιθανής κατάχρησης των κοινωνικών κουπονιών. Εάν ναι, παραθέστε λεπτομερή στοιχεία</w:t>
      </w:r>
      <w:r w:rsidR="00D1408F" w:rsidRPr="005C4E62">
        <w:rPr>
          <w:rStyle w:val="FootnoteReference"/>
        </w:rPr>
        <w:footnoteReference w:id="15"/>
      </w:r>
      <w:r w:rsidR="00D1408F">
        <w:t>.</w:t>
      </w:r>
    </w:p>
    <w:p w14:paraId="044DABC4" w14:textId="77777777" w:rsidR="00D1408F" w:rsidRPr="005C4E62" w:rsidRDefault="00D1408F" w:rsidP="00D1408F">
      <w:pPr>
        <w:pStyle w:val="Text2"/>
        <w:tabs>
          <w:tab w:val="clear" w:pos="2161"/>
          <w:tab w:val="left" w:leader="dot" w:pos="9072"/>
        </w:tabs>
        <w:spacing w:before="120" w:after="120"/>
        <w:ind w:left="709"/>
      </w:pPr>
      <w:r>
        <w:tab/>
      </w:r>
    </w:p>
    <w:p w14:paraId="32C3380D" w14:textId="1529C043" w:rsidR="00D1408F" w:rsidRPr="005C4E62" w:rsidRDefault="006F2975" w:rsidP="006F2975">
      <w:pPr>
        <w:pStyle w:val="NumPar2"/>
        <w:tabs>
          <w:tab w:val="clear" w:pos="360"/>
        </w:tabs>
        <w:ind w:left="709" w:hanging="709"/>
      </w:pPr>
      <w:r w:rsidRPr="005C4E62">
        <w:rPr>
          <w:b/>
          <w:bCs/>
        </w:rPr>
        <w:t>2.14.</w:t>
      </w:r>
      <w:r w:rsidRPr="005C4E62">
        <w:rPr>
          <w:b/>
          <w:bCs/>
        </w:rPr>
        <w:tab/>
      </w:r>
      <w:r w:rsidR="00D1408F">
        <w:t>Αναφέρετε αν το μέτρο ενίσχυσης προβλέπει ειδικούς κανόνες σχετικά με τη διαχείριση της συνδρομής, όσον αφορά, μεταξύ άλλων, τον πρόωρο τερματισμό της συνδρομής, τη δυνατότητα μεταφοράς της συνδρομής σε άλλον πάροχο κατά τη διάρκεια της περιόδου που καλύπτεται από το κουπόνι (εάν ναι, υπό ποιες προϋποθέσεις), τη συνέχιση της συνδρομής μετά τη λήξη του κουπονιού. Εάν ναι, παραθέστε λεπτομερή στοιχεία.</w:t>
      </w:r>
    </w:p>
    <w:p w14:paraId="064A06E5"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058DC53D" w14:textId="77777777" w:rsidTr="00796043">
        <w:tc>
          <w:tcPr>
            <w:tcW w:w="9286" w:type="dxa"/>
            <w:shd w:val="clear" w:color="auto" w:fill="D9D9D9"/>
          </w:tcPr>
          <w:p w14:paraId="60F72D32" w14:textId="06E187F7" w:rsidR="006F5901" w:rsidRPr="005C4E62" w:rsidRDefault="006F2975" w:rsidP="006F2975">
            <w:pPr>
              <w:pStyle w:val="Heading4"/>
              <w:keepLines w:val="0"/>
              <w:tabs>
                <w:tab w:val="left" w:pos="720"/>
                <w:tab w:val="left" w:pos="1077"/>
                <w:tab w:val="left" w:pos="1440"/>
                <w:tab w:val="left" w:pos="1797"/>
              </w:tabs>
              <w:spacing w:before="240" w:after="240"/>
              <w:ind w:left="360" w:hanging="360"/>
              <w:jc w:val="center"/>
              <w:rPr>
                <w:rFonts w:ascii="Times New Roman" w:hAnsi="Times New Roman"/>
                <w:i w:val="0"/>
                <w:color w:val="auto"/>
              </w:rPr>
            </w:pPr>
            <w:r w:rsidRPr="005C4E62">
              <w:rPr>
                <w:rFonts w:ascii="Times New Roman" w:hAnsi="Times New Roman"/>
                <w:i w:val="0"/>
                <w:color w:val="auto"/>
              </w:rPr>
              <w:t>3.</w:t>
            </w:r>
            <w:r w:rsidRPr="005C4E62">
              <w:rPr>
                <w:rFonts w:ascii="Times New Roman" w:hAnsi="Times New Roman"/>
                <w:i w:val="0"/>
                <w:color w:val="auto"/>
              </w:rPr>
              <w:tab/>
            </w:r>
            <w:r w:rsidR="008D40BF">
              <w:rPr>
                <w:rFonts w:ascii="Times New Roman" w:hAnsi="Times New Roman"/>
                <w:i w:val="0"/>
                <w:color w:val="auto"/>
              </w:rPr>
              <w:t>Κουπόνια συνδεσιμότητας</w:t>
            </w:r>
          </w:p>
        </w:tc>
      </w:tr>
    </w:tbl>
    <w:p w14:paraId="2AD4621E" w14:textId="49B38426" w:rsidR="004D559F" w:rsidRPr="005C4E62" w:rsidRDefault="006F2975" w:rsidP="006F2975">
      <w:pPr>
        <w:pStyle w:val="NumPar2"/>
        <w:tabs>
          <w:tab w:val="clear" w:pos="360"/>
        </w:tabs>
        <w:ind w:left="709" w:hanging="709"/>
      </w:pPr>
      <w:r w:rsidRPr="005C4E62">
        <w:rPr>
          <w:b/>
          <w:bCs/>
        </w:rPr>
        <w:t>3.1.</w:t>
      </w:r>
      <w:r w:rsidRPr="005C4E62">
        <w:rPr>
          <w:b/>
          <w:bCs/>
        </w:rPr>
        <w:tab/>
      </w:r>
      <w:r w:rsidR="004D559F">
        <w:t>Αναφέρετε το είδος των τελικών χρηστών στους οποίους στοχεύει το μέτρο.</w:t>
      </w:r>
    </w:p>
    <w:p w14:paraId="30C4F224"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Καταναλωτές  </w:t>
      </w:r>
      <w:r>
        <w:tab/>
      </w:r>
      <w:r>
        <w:tab/>
      </w: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Επιχειρήσεις  </w:t>
      </w:r>
    </w:p>
    <w:p w14:paraId="0E8A0F5F" w14:textId="0B013DFB" w:rsidR="009A1814" w:rsidRPr="005C4E62" w:rsidRDefault="006F2975" w:rsidP="006F2975">
      <w:pPr>
        <w:pStyle w:val="NumPar2"/>
        <w:tabs>
          <w:tab w:val="clear" w:pos="360"/>
        </w:tabs>
        <w:ind w:left="709" w:hanging="709"/>
      </w:pPr>
      <w:r w:rsidRPr="005C4E62">
        <w:rPr>
          <w:b/>
          <w:bCs/>
        </w:rPr>
        <w:t>3.2.</w:t>
      </w:r>
      <w:r w:rsidRPr="005C4E62">
        <w:rPr>
          <w:b/>
          <w:bCs/>
        </w:rPr>
        <w:tab/>
      </w:r>
      <w:r w:rsidR="009A1814">
        <w:t xml:space="preserve">Εξηγήστε τους όρους επιλεξιμότητας για τη λήψη κουπονιών συνδεσιμότητας από τους τελικούς χρήστες. </w:t>
      </w:r>
    </w:p>
    <w:p w14:paraId="617C5D24" w14:textId="77777777" w:rsidR="009A1814" w:rsidRPr="005C4E62" w:rsidRDefault="009A1814" w:rsidP="009A1814">
      <w:pPr>
        <w:pStyle w:val="Text2"/>
        <w:tabs>
          <w:tab w:val="clear" w:pos="2161"/>
          <w:tab w:val="left" w:leader="dot" w:pos="9072"/>
        </w:tabs>
        <w:spacing w:before="120" w:after="120"/>
        <w:ind w:left="709"/>
      </w:pPr>
      <w:r>
        <w:tab/>
      </w:r>
    </w:p>
    <w:p w14:paraId="7B0E1FAB" w14:textId="2EE464F1" w:rsidR="009A1814" w:rsidRPr="005C4E62" w:rsidRDefault="006F2975" w:rsidP="006F2975">
      <w:pPr>
        <w:pStyle w:val="NumPar2"/>
        <w:tabs>
          <w:tab w:val="clear" w:pos="360"/>
        </w:tabs>
        <w:ind w:left="709" w:hanging="709"/>
      </w:pPr>
      <w:r w:rsidRPr="005C4E62">
        <w:rPr>
          <w:b/>
          <w:bCs/>
        </w:rPr>
        <w:t>3.3.</w:t>
      </w:r>
      <w:r w:rsidRPr="005C4E62">
        <w:rPr>
          <w:b/>
          <w:bCs/>
        </w:rPr>
        <w:tab/>
      </w:r>
      <w:r w:rsidR="009A1814">
        <w:t>Υποβάλετε εκτίμηση του αριθμού των τελικών χρηστών που θα μπορούσαν να ωφεληθούν από το μέτρο ενίσχυσης.</w:t>
      </w:r>
    </w:p>
    <w:p w14:paraId="67E1CB0B" w14:textId="77777777" w:rsidR="009A1814" w:rsidRPr="005C4E62" w:rsidRDefault="009A1814" w:rsidP="009A1814">
      <w:pPr>
        <w:pStyle w:val="Text2"/>
        <w:tabs>
          <w:tab w:val="clear" w:pos="2161"/>
          <w:tab w:val="left" w:leader="dot" w:pos="9072"/>
        </w:tabs>
        <w:spacing w:before="120" w:after="120"/>
        <w:ind w:left="709"/>
      </w:pPr>
      <w:r>
        <w:tab/>
      </w:r>
    </w:p>
    <w:p w14:paraId="5C3762CD" w14:textId="22BFB08A" w:rsidR="00710B4A" w:rsidRPr="005C4E62" w:rsidRDefault="006F2975" w:rsidP="006F2975">
      <w:pPr>
        <w:pStyle w:val="NumPar2"/>
        <w:tabs>
          <w:tab w:val="clear" w:pos="360"/>
        </w:tabs>
        <w:ind w:left="709" w:hanging="709"/>
      </w:pPr>
      <w:r w:rsidRPr="005C4E62">
        <w:rPr>
          <w:b/>
          <w:bCs/>
        </w:rPr>
        <w:t>3.4.</w:t>
      </w:r>
      <w:r w:rsidRPr="005C4E62">
        <w:rPr>
          <w:b/>
          <w:bCs/>
        </w:rPr>
        <w:tab/>
      </w:r>
      <w:r w:rsidR="00710B4A">
        <w:t>Προσδιορίστε τους επιλέξιμους παρόχους υπηρεσιών.</w:t>
      </w:r>
    </w:p>
    <w:p w14:paraId="53D62B56" w14:textId="77777777" w:rsidR="00710B4A" w:rsidRPr="005C4E62" w:rsidRDefault="00710B4A" w:rsidP="00710B4A">
      <w:pPr>
        <w:pStyle w:val="Text2"/>
        <w:tabs>
          <w:tab w:val="clear" w:pos="2161"/>
          <w:tab w:val="left" w:leader="dot" w:pos="9072"/>
        </w:tabs>
        <w:spacing w:before="120" w:after="120"/>
        <w:ind w:left="709"/>
      </w:pPr>
      <w:r>
        <w:tab/>
      </w:r>
    </w:p>
    <w:p w14:paraId="5A496C6A" w14:textId="6FE79803" w:rsidR="009A1814" w:rsidRPr="005C4E62" w:rsidRDefault="006F2975" w:rsidP="006F2975">
      <w:pPr>
        <w:pStyle w:val="NumPar2"/>
        <w:tabs>
          <w:tab w:val="clear" w:pos="360"/>
        </w:tabs>
        <w:ind w:left="709" w:hanging="709"/>
      </w:pPr>
      <w:r w:rsidRPr="005C4E62">
        <w:rPr>
          <w:b/>
          <w:bCs/>
        </w:rPr>
        <w:t>3.5.</w:t>
      </w:r>
      <w:r w:rsidRPr="005C4E62">
        <w:rPr>
          <w:b/>
          <w:bCs/>
        </w:rPr>
        <w:tab/>
      </w:r>
      <w:r w:rsidR="009A1814">
        <w:t>Αναφέρετε τις επιλέξιμες υπηρεσίες που καλύπτονται από το μέτρο ενίσχυσης (π.χ. όσον αφορά την ταχύτητα καταφόρτωσης, την ταχύτητα αναφόρτωσης κ.λπ.) και εξηγήστε τον τρόπο με τον οποίο οι αρχές της χώρας σας προσδιόρισαν τις εν λόγω υπηρεσίες. Στο πλαίσιο αυτό, αναφέρετε τις ανάγκες των τελικών χρηστών τις οποίες μπορούν να ικανοποιήσουν οι συνδέσεις που παρέχουν τις επιλέξιμες υπηρεσίες, υποβάλλοντας επαληθεύσιμα αποδεικτικά στοιχεία (π.χ. έρευνες καταναλωτών, ανεξάρτητες μελέτες)</w:t>
      </w:r>
      <w:r w:rsidR="00F47AC0" w:rsidRPr="005C4E62">
        <w:rPr>
          <w:rStyle w:val="FootnoteReference"/>
        </w:rPr>
        <w:footnoteReference w:id="16"/>
      </w:r>
      <w:r w:rsidR="009A1814">
        <w:t>.</w:t>
      </w:r>
    </w:p>
    <w:p w14:paraId="4DD1071B" w14:textId="77777777" w:rsidR="009A1814" w:rsidRPr="005C4E62" w:rsidRDefault="009A1814" w:rsidP="009A1814">
      <w:pPr>
        <w:pStyle w:val="Text2"/>
        <w:tabs>
          <w:tab w:val="clear" w:pos="2161"/>
          <w:tab w:val="left" w:leader="dot" w:pos="9072"/>
        </w:tabs>
        <w:spacing w:before="120" w:after="120"/>
        <w:ind w:left="709"/>
      </w:pPr>
      <w:r>
        <w:tab/>
      </w:r>
    </w:p>
    <w:p w14:paraId="670A8686" w14:textId="5E65512A" w:rsidR="00710B4A" w:rsidRPr="005C4E62" w:rsidRDefault="006F2975" w:rsidP="006F2975">
      <w:pPr>
        <w:pStyle w:val="NumPar2"/>
        <w:tabs>
          <w:tab w:val="clear" w:pos="360"/>
        </w:tabs>
        <w:ind w:left="709" w:hanging="709"/>
      </w:pPr>
      <w:r w:rsidRPr="005C4E62">
        <w:rPr>
          <w:b/>
          <w:bCs/>
        </w:rPr>
        <w:lastRenderedPageBreak/>
        <w:t>3.6.</w:t>
      </w:r>
      <w:r w:rsidRPr="005C4E62">
        <w:rPr>
          <w:b/>
          <w:bCs/>
        </w:rPr>
        <w:tab/>
      </w:r>
      <w:r w:rsidR="00710B4A">
        <w:t>Διευκρινίστε τον τρόπο με τον οποίο θα χρησιμοποιηθούν τα κουπόνια και παραθέστε συγκεκριμένα λεπτομερή στοιχεία Επιπλέον, επιβεβαιώστε ότι τα κουπόνια δεν μπορούν να χρησιμοποιηθούν για τη διατήρηση υφιστάμενων συνδρομών</w:t>
      </w:r>
      <w:r w:rsidR="00F47AC0" w:rsidRPr="005C4E62">
        <w:rPr>
          <w:rStyle w:val="FootnoteReference"/>
        </w:rPr>
        <w:footnoteReference w:id="17"/>
      </w:r>
      <w:r w:rsidR="00710B4A">
        <w:t>.</w:t>
      </w:r>
    </w:p>
    <w:p w14:paraId="19D7BC37"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Συνδρομή σε νέες ευρυζωνικές υπηρεσίες. Λεπτομερή στοιχεία:</w:t>
      </w:r>
    </w:p>
    <w:p w14:paraId="045C554A" w14:textId="77777777" w:rsidR="00042ACA" w:rsidRPr="005C4E62" w:rsidRDefault="00042ACA" w:rsidP="00042ACA">
      <w:pPr>
        <w:pStyle w:val="NumPar2"/>
        <w:tabs>
          <w:tab w:val="clear" w:pos="360"/>
        </w:tabs>
        <w:ind w:left="709" w:firstLine="0"/>
      </w:pPr>
      <w:r>
        <w:t xml:space="preserve">………………………………………………………………………………………….. </w:t>
      </w:r>
    </w:p>
    <w:p w14:paraId="65409A0C"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Αναβάθμιση υφιστάμενων συνδρομών. Λεπτομερή στοιχεία: </w:t>
      </w:r>
    </w:p>
    <w:p w14:paraId="7A62B7F7" w14:textId="77777777" w:rsidR="00042ACA" w:rsidRPr="005C4E62" w:rsidRDefault="00042ACA" w:rsidP="00042ACA">
      <w:pPr>
        <w:pStyle w:val="NumPar2"/>
        <w:tabs>
          <w:tab w:val="clear" w:pos="360"/>
        </w:tabs>
        <w:ind w:left="709" w:firstLine="0"/>
      </w:pPr>
      <w:r>
        <w:t>…………………………………………………………………………………………...</w:t>
      </w:r>
    </w:p>
    <w:p w14:paraId="3838775E"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Επιβεβαίωση ότι τα κουπόνια δεν μπορούν να χρησιμοποιηθούν για τη διατήρηση υφιστάμενων συνδρομών. Λεπτομερή στοιχεία:</w:t>
      </w:r>
    </w:p>
    <w:p w14:paraId="694815B5" w14:textId="77777777" w:rsidR="00710B4A" w:rsidRPr="005C4E62" w:rsidRDefault="00710B4A" w:rsidP="00710B4A">
      <w:pPr>
        <w:pStyle w:val="Text2"/>
        <w:tabs>
          <w:tab w:val="clear" w:pos="2161"/>
          <w:tab w:val="left" w:leader="dot" w:pos="9072"/>
        </w:tabs>
        <w:spacing w:before="120" w:after="120"/>
        <w:ind w:left="709"/>
      </w:pPr>
      <w:r>
        <w:tab/>
      </w:r>
    </w:p>
    <w:p w14:paraId="0D75A250" w14:textId="4320DA59" w:rsidR="009A1814" w:rsidRPr="005C4E62" w:rsidRDefault="006F2975" w:rsidP="006F2975">
      <w:pPr>
        <w:pStyle w:val="NumPar2"/>
        <w:tabs>
          <w:tab w:val="clear" w:pos="360"/>
        </w:tabs>
        <w:ind w:left="709" w:hanging="709"/>
      </w:pPr>
      <w:r w:rsidRPr="005C4E62">
        <w:rPr>
          <w:b/>
          <w:bCs/>
        </w:rPr>
        <w:t>3.7.</w:t>
      </w:r>
      <w:r w:rsidRPr="005C4E62">
        <w:rPr>
          <w:b/>
          <w:bCs/>
        </w:rPr>
        <w:tab/>
      </w:r>
      <w:r w:rsidR="009A1814">
        <w:t>Παραθέστε σε κατάλογο τις επιλέξιμες δαπάνες που καλύπτονται από το μέτρο ενίσχυσης</w:t>
      </w:r>
      <w:r w:rsidR="00F47AC0" w:rsidRPr="005C4E62">
        <w:rPr>
          <w:rStyle w:val="FootnoteReference"/>
        </w:rPr>
        <w:footnoteReference w:id="18"/>
      </w:r>
      <w:r w:rsidR="009A1814">
        <w:t>.</w:t>
      </w:r>
    </w:p>
    <w:p w14:paraId="74E09D91" w14:textId="77777777" w:rsidR="00E0556B" w:rsidRPr="005C4E62" w:rsidRDefault="00E0556B" w:rsidP="00450B69">
      <w:pPr>
        <w:pStyle w:val="Text2"/>
        <w:tabs>
          <w:tab w:val="clear" w:pos="2161"/>
          <w:tab w:val="left" w:leader="dot" w:pos="9072"/>
        </w:tabs>
        <w:spacing w:before="120" w:after="120"/>
        <w:ind w:left="709"/>
      </w:pPr>
      <w:r>
        <w:tab/>
      </w:r>
    </w:p>
    <w:p w14:paraId="6809C0F4" w14:textId="0281A844" w:rsidR="009A1814" w:rsidRPr="005C4E62" w:rsidRDefault="006F2975" w:rsidP="006F2975">
      <w:pPr>
        <w:pStyle w:val="NumPar2"/>
        <w:tabs>
          <w:tab w:val="clear" w:pos="360"/>
        </w:tabs>
        <w:ind w:left="709" w:hanging="709"/>
      </w:pPr>
      <w:r w:rsidRPr="005C4E62">
        <w:rPr>
          <w:b/>
          <w:bCs/>
        </w:rPr>
        <w:t>3.8.</w:t>
      </w:r>
      <w:r w:rsidRPr="005C4E62">
        <w:rPr>
          <w:b/>
          <w:bCs/>
        </w:rPr>
        <w:tab/>
      </w:r>
      <w:r w:rsidR="009A1814">
        <w:t>Αναφέρετε τη μορφή και το ποσό των κουπονιών, διευκρινίζοντας τον τρόπο καθορισμού του εν λόγω ποσού και το ποσοστό του κόστους συνδρομής που καλύπτεται από το κουπόνι</w:t>
      </w:r>
      <w:r w:rsidR="00F47AC0" w:rsidRPr="005C4E62">
        <w:rPr>
          <w:rStyle w:val="FootnoteReference"/>
        </w:rPr>
        <w:footnoteReference w:id="19"/>
      </w:r>
      <w:r w:rsidR="009A1814">
        <w:t xml:space="preserve">. </w:t>
      </w:r>
    </w:p>
    <w:p w14:paraId="593C4574" w14:textId="77777777" w:rsidR="009A1814" w:rsidRPr="005C4E62" w:rsidRDefault="009A1814" w:rsidP="009A1814">
      <w:pPr>
        <w:pStyle w:val="Text2"/>
        <w:tabs>
          <w:tab w:val="clear" w:pos="2161"/>
          <w:tab w:val="left" w:leader="dot" w:pos="9072"/>
        </w:tabs>
        <w:spacing w:before="120" w:after="120"/>
        <w:ind w:left="709"/>
      </w:pPr>
      <w:r>
        <w:tab/>
      </w:r>
    </w:p>
    <w:p w14:paraId="784153CC" w14:textId="11C660F1" w:rsidR="009A1814" w:rsidRPr="005C4E62" w:rsidRDefault="006F2975" w:rsidP="006F2975">
      <w:pPr>
        <w:pStyle w:val="NumPar2"/>
        <w:tabs>
          <w:tab w:val="clear" w:pos="360"/>
        </w:tabs>
        <w:ind w:left="709" w:hanging="709"/>
        <w:rPr>
          <w:iCs/>
        </w:rPr>
      </w:pPr>
      <w:r w:rsidRPr="005C4E62">
        <w:rPr>
          <w:b/>
          <w:bCs/>
          <w:iCs/>
        </w:rPr>
        <w:t>3.9.</w:t>
      </w:r>
      <w:r w:rsidRPr="005C4E62">
        <w:rPr>
          <w:b/>
          <w:bCs/>
          <w:iCs/>
        </w:rPr>
        <w:tab/>
      </w:r>
      <w:r w:rsidR="009A1814">
        <w:t>Εξηγήστε αν και με ποιον τρόπο το μέτρο ενίσχυσης συμμορφώνεται με την αρχή της τεχνολογικής ουδετερότητας</w:t>
      </w:r>
      <w:r w:rsidR="00F47AC0" w:rsidRPr="005C4E62">
        <w:rPr>
          <w:rStyle w:val="FootnoteReference"/>
          <w:iCs/>
        </w:rPr>
        <w:footnoteReference w:id="20"/>
      </w:r>
      <w:r w:rsidR="009A1814">
        <w:t>.</w:t>
      </w:r>
    </w:p>
    <w:p w14:paraId="7D389F15" w14:textId="77777777" w:rsidR="009A1814" w:rsidRPr="005C4E62" w:rsidRDefault="009A1814" w:rsidP="009A1814">
      <w:pPr>
        <w:pStyle w:val="Text2"/>
        <w:tabs>
          <w:tab w:val="clear" w:pos="2161"/>
          <w:tab w:val="left" w:leader="dot" w:pos="9072"/>
        </w:tabs>
        <w:spacing w:before="120" w:after="120"/>
        <w:ind w:left="709"/>
      </w:pPr>
      <w:r>
        <w:tab/>
      </w:r>
    </w:p>
    <w:p w14:paraId="003BF114" w14:textId="07D85876" w:rsidR="009A1814" w:rsidRPr="005C4E62" w:rsidRDefault="006F2975" w:rsidP="006F2975">
      <w:pPr>
        <w:pStyle w:val="NumPar2"/>
        <w:tabs>
          <w:tab w:val="clear" w:pos="360"/>
        </w:tabs>
        <w:ind w:left="709" w:hanging="709"/>
        <w:rPr>
          <w:iCs/>
        </w:rPr>
      </w:pPr>
      <w:r w:rsidRPr="005C4E62">
        <w:rPr>
          <w:b/>
          <w:bCs/>
          <w:iCs/>
        </w:rPr>
        <w:t>3.10.</w:t>
      </w:r>
      <w:r w:rsidRPr="005C4E62">
        <w:rPr>
          <w:b/>
          <w:bCs/>
          <w:iCs/>
        </w:rPr>
        <w:tab/>
      </w:r>
      <w:r w:rsidR="009A1814">
        <w:t>Για να αποδείξετε ότι το μέτρο ενίσχυσης διασφαλίζει την ίση μεταχείριση όλων των πιθανών παρόχων υπηρεσιών και προσφέρει στους καταναλωτές την ευρύτερη δυνατή επιλογή παρόχων, επιβεβαιώστε (παρέχοντας σχετικές λεπτομέρειες) ότι</w:t>
      </w:r>
      <w:r w:rsidR="00F47AC0" w:rsidRPr="005C4E62">
        <w:rPr>
          <w:rStyle w:val="FootnoteReference"/>
        </w:rPr>
        <w:footnoteReference w:id="21"/>
      </w:r>
      <w:r w:rsidR="009A1814">
        <w:t xml:space="preserve">: </w:t>
      </w:r>
    </w:p>
    <w:p w14:paraId="169C36E7" w14:textId="6C0B7CCB" w:rsidR="009A1814" w:rsidRPr="005C4E62" w:rsidRDefault="003D3AB5" w:rsidP="006F2975">
      <w:pPr>
        <w:pStyle w:val="NumPar2"/>
        <w:tabs>
          <w:tab w:val="clear" w:pos="360"/>
        </w:tabs>
        <w:ind w:left="1418" w:hanging="709"/>
      </w:pPr>
      <w:r>
        <w:t>α</w:t>
      </w:r>
      <w:r w:rsidR="006F2975" w:rsidRPr="005C4E62">
        <w:t>)</w:t>
      </w:r>
      <w:r w:rsidR="006F2975" w:rsidRPr="005C4E62">
        <w:tab/>
      </w:r>
      <w:r w:rsidR="009A1814">
        <w:t>Θα εφαρμοστεί διαδικτυακό μητρώο όλων των επιλέξιμων παρόχων υπηρεσιών (ή ισοδύναμη εναλλακτική πλατφόρμα).</w:t>
      </w:r>
    </w:p>
    <w:p w14:paraId="01F2FCF6" w14:textId="77777777" w:rsidR="009A1814" w:rsidRPr="005C4E62" w:rsidRDefault="009A1814" w:rsidP="009A1814">
      <w:pPr>
        <w:pStyle w:val="Text2"/>
        <w:tabs>
          <w:tab w:val="clear" w:pos="2161"/>
          <w:tab w:val="left" w:leader="dot" w:pos="9072"/>
        </w:tabs>
        <w:spacing w:before="120" w:after="120"/>
        <w:ind w:left="709"/>
      </w:pPr>
      <w:r>
        <w:tab/>
      </w:r>
    </w:p>
    <w:p w14:paraId="61DF1E52" w14:textId="09C65D1C" w:rsidR="009A1814" w:rsidRPr="005C4E62" w:rsidRDefault="003D3AB5" w:rsidP="006F2975">
      <w:pPr>
        <w:pStyle w:val="NumPar2"/>
        <w:tabs>
          <w:tab w:val="clear" w:pos="360"/>
        </w:tabs>
        <w:ind w:left="1418" w:hanging="709"/>
      </w:pPr>
      <w:r>
        <w:t>β</w:t>
      </w:r>
      <w:r w:rsidR="006F2975" w:rsidRPr="005C4E62">
        <w:t>)</w:t>
      </w:r>
      <w:r w:rsidR="006F2975" w:rsidRPr="005C4E62">
        <w:tab/>
      </w:r>
      <w:r w:rsidR="009A1814">
        <w:t xml:space="preserve">Οι καταναλωτές έχουν τη δυνατότητα να συμβουλεύονται το μητρώο. </w:t>
      </w:r>
    </w:p>
    <w:p w14:paraId="479B2197" w14:textId="77777777" w:rsidR="009A1814" w:rsidRPr="005C4E62" w:rsidRDefault="009A1814" w:rsidP="009A1814">
      <w:pPr>
        <w:pStyle w:val="Text2"/>
        <w:tabs>
          <w:tab w:val="clear" w:pos="2161"/>
          <w:tab w:val="left" w:leader="dot" w:pos="9072"/>
        </w:tabs>
        <w:spacing w:before="120" w:after="120"/>
        <w:ind w:left="709"/>
      </w:pPr>
      <w:r>
        <w:tab/>
      </w:r>
    </w:p>
    <w:p w14:paraId="25646CD5" w14:textId="1879676E" w:rsidR="009A1814" w:rsidRPr="005C4E62" w:rsidRDefault="003D3AB5" w:rsidP="006F2975">
      <w:pPr>
        <w:pStyle w:val="NumPar2"/>
        <w:tabs>
          <w:tab w:val="clear" w:pos="360"/>
        </w:tabs>
        <w:ind w:left="1418" w:hanging="709"/>
      </w:pPr>
      <w:r>
        <w:t>γ</w:t>
      </w:r>
      <w:r w:rsidR="006F2975" w:rsidRPr="005C4E62">
        <w:t>)</w:t>
      </w:r>
      <w:r w:rsidR="006F2975" w:rsidRPr="005C4E62">
        <w:tab/>
      </w:r>
      <w:r w:rsidR="009A1814">
        <w:t>Όλες οι επιχειρήσεις που είναι σε θέση να παρέχουν τις επιλέξιμες ευρυζωνικές υπηρεσίες μπορούν να ζητήσουν να συμπεριληφθούν στο μητρώο (ή στην εναλλακτική πλατφόρμα που έχει επιλεγεί).</w:t>
      </w:r>
    </w:p>
    <w:p w14:paraId="18AFEC17" w14:textId="77777777" w:rsidR="009A1814" w:rsidRPr="005C4E62" w:rsidRDefault="009A1814" w:rsidP="009A1814">
      <w:pPr>
        <w:pStyle w:val="Text2"/>
        <w:tabs>
          <w:tab w:val="clear" w:pos="2161"/>
          <w:tab w:val="left" w:leader="dot" w:pos="9072"/>
        </w:tabs>
        <w:spacing w:before="120" w:after="120"/>
        <w:ind w:left="709"/>
      </w:pPr>
      <w:r>
        <w:tab/>
        <w:t xml:space="preserve"> </w:t>
      </w:r>
    </w:p>
    <w:p w14:paraId="3000F77D" w14:textId="5FE370C3" w:rsidR="009A1814" w:rsidRPr="005C4E62" w:rsidRDefault="003D3AB5" w:rsidP="006F2975">
      <w:pPr>
        <w:pStyle w:val="NumPar2"/>
        <w:tabs>
          <w:tab w:val="clear" w:pos="360"/>
        </w:tabs>
        <w:ind w:left="1418" w:hanging="709"/>
      </w:pPr>
      <w:bookmarkStart w:id="3" w:name="_Hlk159246812"/>
      <w:r>
        <w:t>δ</w:t>
      </w:r>
      <w:bookmarkEnd w:id="3"/>
      <w:r w:rsidR="006F2975" w:rsidRPr="005C4E62">
        <w:t>)</w:t>
      </w:r>
      <w:r w:rsidR="006F2975" w:rsidRPr="005C4E62">
        <w:tab/>
      </w:r>
      <w:r w:rsidR="009A1814">
        <w:t>Το μητρώο (ή η εναλλακτική πλατφόρμα που έχει επιλεγεί) παρέχει πρόσθετες πληροφορίες για να συνδράμει τους καταναλωτές (π.χ. είδος της υπηρεσίας που παρέχεται από τις διάφορες επιχειρήσεις κ.λπ.). Εάν ναι, αναφέρετε τις πρόσθετες πληροφορίες που παρέχονται.</w:t>
      </w:r>
    </w:p>
    <w:p w14:paraId="302334AD" w14:textId="77777777" w:rsidR="009A1814" w:rsidRPr="005C4E62" w:rsidRDefault="009A1814" w:rsidP="009A1814">
      <w:pPr>
        <w:pStyle w:val="Text2"/>
        <w:tabs>
          <w:tab w:val="clear" w:pos="2161"/>
          <w:tab w:val="left" w:leader="dot" w:pos="9072"/>
        </w:tabs>
        <w:spacing w:before="120" w:after="120"/>
        <w:ind w:left="709"/>
      </w:pPr>
      <w:r>
        <w:lastRenderedPageBreak/>
        <w:tab/>
      </w:r>
    </w:p>
    <w:p w14:paraId="51A8A883" w14:textId="059DD6E0" w:rsidR="009A1814" w:rsidRPr="005C4E62" w:rsidRDefault="006F2975" w:rsidP="006F2975">
      <w:pPr>
        <w:pStyle w:val="NumPar2"/>
        <w:tabs>
          <w:tab w:val="clear" w:pos="360"/>
        </w:tabs>
        <w:ind w:left="709" w:hanging="709"/>
      </w:pPr>
      <w:r w:rsidRPr="005C4E62">
        <w:rPr>
          <w:b/>
          <w:bCs/>
        </w:rPr>
        <w:t>3.11.</w:t>
      </w:r>
      <w:r w:rsidRPr="005C4E62">
        <w:rPr>
          <w:b/>
          <w:bCs/>
        </w:rPr>
        <w:tab/>
      </w:r>
      <w:r w:rsidR="009A1814">
        <w:t>Εξηγήστε λεπτομερώς τη διαδικασία εκτέλεσης του μέτρου ενίσχυσης.</w:t>
      </w:r>
    </w:p>
    <w:p w14:paraId="4E55975C" w14:textId="77777777" w:rsidR="004D559F" w:rsidRPr="005C4E62" w:rsidRDefault="004D559F" w:rsidP="00450B69">
      <w:pPr>
        <w:pStyle w:val="Text2"/>
        <w:tabs>
          <w:tab w:val="clear" w:pos="2161"/>
          <w:tab w:val="left" w:leader="dot" w:pos="9072"/>
        </w:tabs>
        <w:spacing w:before="120" w:after="120"/>
        <w:ind w:left="709"/>
      </w:pPr>
      <w:r>
        <w:tab/>
      </w:r>
    </w:p>
    <w:p w14:paraId="449C823B" w14:textId="3B2E9884" w:rsidR="009A1814" w:rsidRPr="005C4E62" w:rsidRDefault="006F2975" w:rsidP="006F2975">
      <w:pPr>
        <w:pStyle w:val="NumPar2"/>
        <w:tabs>
          <w:tab w:val="clear" w:pos="360"/>
        </w:tabs>
        <w:ind w:left="709" w:hanging="709"/>
      </w:pPr>
      <w:r w:rsidRPr="005C4E62">
        <w:rPr>
          <w:b/>
          <w:bCs/>
        </w:rPr>
        <w:t>3.12.</w:t>
      </w:r>
      <w:r w:rsidRPr="005C4E62">
        <w:rPr>
          <w:b/>
          <w:bCs/>
        </w:rPr>
        <w:tab/>
      </w:r>
      <w:r w:rsidR="009A1814">
        <w:t>Δημόσια διαβούλευση. Παραθέστε τις ακόλουθες πληροφορίες</w:t>
      </w:r>
      <w:r w:rsidR="00E217F7" w:rsidRPr="005C4E62">
        <w:rPr>
          <w:rStyle w:val="FootnoteReference"/>
        </w:rPr>
        <w:footnoteReference w:id="22"/>
      </w:r>
      <w:r w:rsidR="009A1814">
        <w:t>:</w:t>
      </w:r>
    </w:p>
    <w:p w14:paraId="433CFB28" w14:textId="6BED0DF9" w:rsidR="009A1814" w:rsidRPr="005C4E62" w:rsidRDefault="00CC3AC2" w:rsidP="006F2975">
      <w:pPr>
        <w:pStyle w:val="Text2"/>
        <w:tabs>
          <w:tab w:val="clear" w:pos="2161"/>
        </w:tabs>
        <w:spacing w:after="120"/>
        <w:ind w:left="1418" w:hanging="709"/>
      </w:pPr>
      <w:r>
        <w:t>α</w:t>
      </w:r>
      <w:r w:rsidR="006F2975" w:rsidRPr="005C4E62">
        <w:t>)</w:t>
      </w:r>
      <w:r w:rsidR="006F2975" w:rsidRPr="005C4E62">
        <w:tab/>
      </w:r>
      <w:r w:rsidR="009A1814">
        <w:t xml:space="preserve">Ημερομηνία έναρξης και λήξης κάθε δημόσιας διαβούλευσης που διενεργείται. </w:t>
      </w:r>
    </w:p>
    <w:p w14:paraId="157C12B0" w14:textId="77777777" w:rsidR="009A1814" w:rsidRPr="005C4E62" w:rsidRDefault="009A1814" w:rsidP="009A1814">
      <w:pPr>
        <w:pStyle w:val="Text2"/>
        <w:tabs>
          <w:tab w:val="clear" w:pos="2161"/>
          <w:tab w:val="left" w:leader="dot" w:pos="9072"/>
        </w:tabs>
        <w:spacing w:before="120" w:after="120"/>
        <w:ind w:left="709"/>
      </w:pPr>
      <w:r>
        <w:tab/>
      </w:r>
    </w:p>
    <w:p w14:paraId="53E5A5A8" w14:textId="14162FE5" w:rsidR="009A1814" w:rsidRPr="005C4E62" w:rsidRDefault="00CC3AC2" w:rsidP="006F2975">
      <w:pPr>
        <w:pStyle w:val="Text2"/>
        <w:tabs>
          <w:tab w:val="clear" w:pos="2161"/>
        </w:tabs>
        <w:spacing w:after="120"/>
        <w:ind w:left="1418" w:hanging="709"/>
      </w:pPr>
      <w:r>
        <w:t>β</w:t>
      </w:r>
      <w:r w:rsidR="006F2975" w:rsidRPr="005C4E62">
        <w:t>)</w:t>
      </w:r>
      <w:r w:rsidR="006F2975" w:rsidRPr="005C4E62">
        <w:tab/>
      </w:r>
      <w:r w:rsidR="009A1814">
        <w:t xml:space="preserve">Περιεχόμενο κάθε δημόσιας διαβούλευσης. </w:t>
      </w:r>
    </w:p>
    <w:p w14:paraId="2C10EEF5" w14:textId="77777777" w:rsidR="009A1814" w:rsidRPr="005C4E62" w:rsidRDefault="009A1814" w:rsidP="009A1814">
      <w:pPr>
        <w:pStyle w:val="Text2"/>
        <w:tabs>
          <w:tab w:val="clear" w:pos="2161"/>
          <w:tab w:val="left" w:leader="dot" w:pos="9072"/>
        </w:tabs>
        <w:spacing w:before="120" w:after="120"/>
        <w:ind w:left="709"/>
      </w:pPr>
      <w:r>
        <w:tab/>
      </w:r>
    </w:p>
    <w:p w14:paraId="20ABE713" w14:textId="3B47121B" w:rsidR="009A1814" w:rsidRPr="005C4E62" w:rsidRDefault="00CC3AC2" w:rsidP="006F2975">
      <w:pPr>
        <w:pStyle w:val="Text2"/>
        <w:tabs>
          <w:tab w:val="clear" w:pos="2161"/>
        </w:tabs>
        <w:spacing w:after="120"/>
        <w:ind w:left="1418" w:hanging="709"/>
      </w:pPr>
      <w:r>
        <w:t>γ</w:t>
      </w:r>
      <w:r w:rsidR="006F2975" w:rsidRPr="005C4E62">
        <w:t>)</w:t>
      </w:r>
      <w:r w:rsidR="006F2975" w:rsidRPr="005C4E62">
        <w:tab/>
      </w:r>
      <w:r w:rsidR="009A1814">
        <w:t>Δημόσια προσβάσιμος ιστότοπος (σε περιφερειακό και/ή εθνικό επίπεδο) όπου δημοσιεύτηκε η διαβούλευση.</w:t>
      </w:r>
    </w:p>
    <w:p w14:paraId="7DCC94F9" w14:textId="77777777" w:rsidR="009A1814" w:rsidRPr="005C4E62" w:rsidRDefault="009A1814" w:rsidP="009A1814">
      <w:pPr>
        <w:pStyle w:val="Text2"/>
        <w:tabs>
          <w:tab w:val="clear" w:pos="2161"/>
          <w:tab w:val="left" w:leader="dot" w:pos="9072"/>
        </w:tabs>
        <w:spacing w:before="120" w:after="120"/>
        <w:ind w:left="709"/>
      </w:pPr>
      <w:r>
        <w:tab/>
      </w:r>
    </w:p>
    <w:p w14:paraId="2C7C02D4" w14:textId="6C5358B8" w:rsidR="009A1814" w:rsidRPr="005C4E62" w:rsidRDefault="00CC3AC2" w:rsidP="006F2975">
      <w:pPr>
        <w:pStyle w:val="Text2"/>
        <w:tabs>
          <w:tab w:val="clear" w:pos="2161"/>
        </w:tabs>
        <w:spacing w:after="120"/>
        <w:ind w:left="1418" w:hanging="709"/>
      </w:pPr>
      <w:r>
        <w:t>δ</w:t>
      </w:r>
      <w:r w:rsidR="006F2975" w:rsidRPr="005C4E62">
        <w:t>)</w:t>
      </w:r>
      <w:r w:rsidR="006F2975" w:rsidRPr="005C4E62">
        <w:tab/>
      </w:r>
      <w:r w:rsidR="009A1814">
        <w:t>Σύνοψη των κύριων παρατηρήσεων που υπέβαλαν οι συμμετέχοντες σε κάθε δημόσια διαβούλευση και προσδιορισμός του τρόπου αντιμετώπισής τους.</w:t>
      </w:r>
    </w:p>
    <w:p w14:paraId="2C8547EC" w14:textId="77777777" w:rsidR="009A1814" w:rsidRPr="005C4E62" w:rsidRDefault="009A1814" w:rsidP="009A1814">
      <w:pPr>
        <w:pStyle w:val="Text2"/>
        <w:tabs>
          <w:tab w:val="clear" w:pos="2161"/>
          <w:tab w:val="left" w:leader="dot" w:pos="9072"/>
        </w:tabs>
        <w:spacing w:before="120" w:after="120"/>
        <w:ind w:left="709"/>
      </w:pPr>
      <w:r>
        <w:tab/>
      </w:r>
    </w:p>
    <w:p w14:paraId="1024F876" w14:textId="34232F74" w:rsidR="009A1814" w:rsidRPr="005C4E62" w:rsidRDefault="006F2975" w:rsidP="006F2975">
      <w:pPr>
        <w:pStyle w:val="NumPar2"/>
        <w:tabs>
          <w:tab w:val="clear" w:pos="360"/>
        </w:tabs>
        <w:ind w:left="709" w:hanging="709"/>
      </w:pPr>
      <w:r w:rsidRPr="005C4E62">
        <w:rPr>
          <w:b/>
          <w:bCs/>
        </w:rPr>
        <w:t>3.13.</w:t>
      </w:r>
      <w:r w:rsidRPr="005C4E62">
        <w:rPr>
          <w:b/>
          <w:bCs/>
        </w:rPr>
        <w:tab/>
      </w:r>
      <w:r w:rsidR="009A1814">
        <w:t>Αναφέρετε αν θα εφαρμοστούν πρόσθετες ασφαλιστικές δικλείδες για την αποφυγή πιθανής κατάχρησης των κουπονιών συνδεσιμότητας. Εάν ναι, παραθέστε λεπτομερή στοιχεία</w:t>
      </w:r>
      <w:r w:rsidR="009A1814" w:rsidRPr="005C4E62">
        <w:rPr>
          <w:rStyle w:val="FootnoteReference"/>
        </w:rPr>
        <w:footnoteReference w:id="23"/>
      </w:r>
      <w:r w:rsidR="009A1814">
        <w:t>.</w:t>
      </w:r>
    </w:p>
    <w:p w14:paraId="755C8488" w14:textId="77777777" w:rsidR="009A1814" w:rsidRPr="005C4E62" w:rsidRDefault="009A1814" w:rsidP="009A1814">
      <w:pPr>
        <w:pStyle w:val="Text2"/>
        <w:tabs>
          <w:tab w:val="clear" w:pos="2161"/>
          <w:tab w:val="left" w:leader="dot" w:pos="9072"/>
        </w:tabs>
        <w:spacing w:before="120" w:after="120"/>
        <w:ind w:left="709"/>
      </w:pPr>
      <w:r>
        <w:tab/>
      </w:r>
    </w:p>
    <w:p w14:paraId="7955420D" w14:textId="3C7A1FCF" w:rsidR="009A1814" w:rsidRPr="005C4E62" w:rsidRDefault="006F2975" w:rsidP="006F2975">
      <w:pPr>
        <w:pStyle w:val="NumPar2"/>
        <w:tabs>
          <w:tab w:val="clear" w:pos="360"/>
        </w:tabs>
        <w:ind w:left="709" w:hanging="709"/>
      </w:pPr>
      <w:r w:rsidRPr="005C4E62">
        <w:rPr>
          <w:b/>
          <w:bCs/>
        </w:rPr>
        <w:t>3.14.</w:t>
      </w:r>
      <w:r w:rsidRPr="005C4E62">
        <w:rPr>
          <w:b/>
          <w:bCs/>
        </w:rPr>
        <w:tab/>
      </w:r>
      <w:r w:rsidR="009A1814">
        <w:t>Αναφέρετε αν το μέτρο ενίσχυσης προβλέπει ειδικούς κανόνες σχετικά με τη διαχείριση της συνδρομής, όσον αφορά, μεταξύ άλλων, τον πρόωρο τερματισμό της συνδρομής, τη δυνατότητα μεταφοράς της συνδρομής σε άλλον πάροχο κατά τη διάρκεια της περιόδου που καλύπτεται από το κουπόνι (εάν ναι, υπό ποιες προϋποθέσεις), τη συνέχιση της συνδρομής μετά τη λήξη του κουπονιού. Εάν ναι, παραθέστε λεπτομερή στοιχεία.</w:t>
      </w:r>
    </w:p>
    <w:p w14:paraId="56D3D53F" w14:textId="77777777" w:rsidR="009A1814" w:rsidRPr="005C4E62" w:rsidRDefault="009A1814" w:rsidP="009A1814">
      <w:pPr>
        <w:pStyle w:val="Text2"/>
        <w:tabs>
          <w:tab w:val="clear" w:pos="2161"/>
          <w:tab w:val="left" w:leader="dot" w:pos="9072"/>
        </w:tabs>
        <w:spacing w:before="120" w:after="120"/>
        <w:ind w:left="709"/>
      </w:pPr>
      <w:r>
        <w:tab/>
      </w:r>
    </w:p>
    <w:p w14:paraId="17A8BAB7" w14:textId="49221B32" w:rsidR="00807BE5" w:rsidRPr="005C4E62" w:rsidRDefault="006F2975" w:rsidP="006F2975">
      <w:pPr>
        <w:pStyle w:val="NumPar2"/>
        <w:tabs>
          <w:tab w:val="clear" w:pos="360"/>
        </w:tabs>
        <w:ind w:left="709" w:hanging="709"/>
      </w:pPr>
      <w:r w:rsidRPr="005C4E62">
        <w:rPr>
          <w:b/>
          <w:bCs/>
        </w:rPr>
        <w:t>3.15.</w:t>
      </w:r>
      <w:r w:rsidRPr="005C4E62">
        <w:rPr>
          <w:b/>
          <w:bCs/>
        </w:rPr>
        <w:tab/>
      </w:r>
      <w:r w:rsidR="004C1C63">
        <w:t>Προσδιορίστε τις οικονομικές δραστηριότητες που θα διευκολυνθούν από το μέτρο ενίσχυσης μέσω της αύξησης της συνδεσιμότητας και της πρόσβασης σε ευρυζωνικές υπηρεσίες υψηλών επιδόσεων, και εξηγήστε τον τρόπο με τον οποίο υποστηρίζεται η ανάπτυξη των εν λόγω δραστηριοτήτων</w:t>
      </w:r>
      <w:r w:rsidR="00807BE5" w:rsidRPr="005C4E62">
        <w:rPr>
          <w:rStyle w:val="FootnoteReference"/>
        </w:rPr>
        <w:footnoteReference w:id="24"/>
      </w:r>
      <w:r w:rsidR="004C1C63">
        <w:t>.</w:t>
      </w:r>
    </w:p>
    <w:p w14:paraId="3F0FB661" w14:textId="77777777" w:rsidR="00807BE5" w:rsidRPr="005C4E62" w:rsidRDefault="00807BE5" w:rsidP="00807BE5">
      <w:pPr>
        <w:pStyle w:val="Text2"/>
        <w:tabs>
          <w:tab w:val="clear" w:pos="2161"/>
          <w:tab w:val="left" w:leader="dot" w:pos="9072"/>
        </w:tabs>
        <w:spacing w:before="120" w:after="120"/>
        <w:ind w:left="709"/>
      </w:pPr>
      <w:r>
        <w:tab/>
      </w:r>
    </w:p>
    <w:p w14:paraId="58D46E0B" w14:textId="2EDF573A" w:rsidR="00D46D21" w:rsidRPr="005C4E62" w:rsidRDefault="006F2975" w:rsidP="006F2975">
      <w:pPr>
        <w:pStyle w:val="NumPar2"/>
        <w:tabs>
          <w:tab w:val="clear" w:pos="360"/>
        </w:tabs>
        <w:ind w:left="709" w:hanging="709"/>
      </w:pPr>
      <w:r w:rsidRPr="005C4E62">
        <w:rPr>
          <w:b/>
          <w:bCs/>
        </w:rPr>
        <w:t>3.16.</w:t>
      </w:r>
      <w:r w:rsidRPr="005C4E62">
        <w:rPr>
          <w:b/>
          <w:bCs/>
        </w:rPr>
        <w:tab/>
      </w:r>
      <w:r w:rsidR="00F47AC0">
        <w:t>Παραθέστε αποδεικτικά στοιχεία για τον χαρακτήρα κινήτρου του μέτρου ενίσχυσης</w:t>
      </w:r>
      <w:r w:rsidR="00F47AC0" w:rsidRPr="005C4E62">
        <w:rPr>
          <w:rStyle w:val="FootnoteReference"/>
        </w:rPr>
        <w:footnoteReference w:id="25"/>
      </w:r>
      <w:r w:rsidR="00F47AC0">
        <w:t>.</w:t>
      </w:r>
    </w:p>
    <w:p w14:paraId="688E8EC9" w14:textId="77777777" w:rsidR="00D46D21" w:rsidRPr="005C4E62" w:rsidRDefault="00D46D21" w:rsidP="00D46D21">
      <w:pPr>
        <w:pStyle w:val="Text2"/>
        <w:tabs>
          <w:tab w:val="clear" w:pos="2161"/>
          <w:tab w:val="left" w:leader="dot" w:pos="9072"/>
        </w:tabs>
        <w:spacing w:before="120" w:after="120"/>
        <w:ind w:left="709"/>
      </w:pPr>
      <w:r>
        <w:tab/>
      </w:r>
    </w:p>
    <w:p w14:paraId="40089959" w14:textId="50217702" w:rsidR="00F47AC0" w:rsidRPr="005C4E62" w:rsidRDefault="006F2975" w:rsidP="006F2975">
      <w:pPr>
        <w:pStyle w:val="NumPar2"/>
        <w:tabs>
          <w:tab w:val="clear" w:pos="360"/>
        </w:tabs>
        <w:ind w:left="709" w:hanging="709"/>
      </w:pPr>
      <w:r w:rsidRPr="005C4E62">
        <w:rPr>
          <w:b/>
          <w:bCs/>
        </w:rPr>
        <w:t>3.17.</w:t>
      </w:r>
      <w:r w:rsidRPr="005C4E62">
        <w:rPr>
          <w:b/>
          <w:bCs/>
        </w:rPr>
        <w:tab/>
      </w:r>
      <w:r w:rsidR="00F47AC0">
        <w:t>Επιβεβαιώστε ότι το μέτρο κρατικής ενίσχυσης, οι όροι που το συνοδεύουν (συμπεριλαμβανομένης της μεθόδου χρηματοδότησης, όταν η μέθοδος αυτή αποτελεί αναπόσπαστο μέρος της ενίσχυσης) ή η δραστηριότητα την οποία χρηματοδοτεί δεν συνεπάγεται παραβίαση των διατάξεων ή των γενικών αρχών του ενωσιακού δικαίου.</w:t>
      </w:r>
    </w:p>
    <w:p w14:paraId="24EFCD7D" w14:textId="77777777" w:rsidR="00F47AC0" w:rsidRPr="005C4E62" w:rsidRDefault="00F47AC0" w:rsidP="00F47AC0">
      <w:pPr>
        <w:pStyle w:val="Text2"/>
        <w:tabs>
          <w:tab w:val="clear" w:pos="2161"/>
        </w:tabs>
        <w:spacing w:before="120" w:after="120"/>
        <w:ind w:left="709"/>
      </w:pPr>
      <w:r w:rsidRPr="005C4E62">
        <w:lastRenderedPageBreak/>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Ναι</w:t>
      </w:r>
      <w:r>
        <w:tab/>
      </w:r>
      <w:r>
        <w:tab/>
      </w: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Όχι. Σε αυτήν την περίπτωση, παραθέστε επεξηγήσεις…………..</w:t>
      </w:r>
    </w:p>
    <w:p w14:paraId="1EAB0C4E" w14:textId="7BB454AD" w:rsidR="00C9528F" w:rsidRPr="005C4E62" w:rsidRDefault="006F2975" w:rsidP="006F2975">
      <w:pPr>
        <w:pStyle w:val="NumPar2"/>
        <w:tabs>
          <w:tab w:val="clear" w:pos="360"/>
        </w:tabs>
        <w:ind w:left="709" w:hanging="709"/>
      </w:pPr>
      <w:r w:rsidRPr="005C4E62">
        <w:rPr>
          <w:b/>
          <w:bCs/>
        </w:rPr>
        <w:t>3.18.</w:t>
      </w:r>
      <w:r w:rsidRPr="005C4E62">
        <w:rPr>
          <w:b/>
          <w:bCs/>
        </w:rPr>
        <w:tab/>
      </w:r>
      <w:r w:rsidR="00C9528F">
        <w:t>Εξηγήστε τους λόγους για τους οποίους εναλλακτικά μέτρα αντί των κρατικών ενισχύσεων (π.χ. διοικητικά και κανονιστικά μέτρα, αγορακεντρικά μέσα, δάνεια, φορολογικά μέτρα) δεν είναι ικανά να επιτύχουν τον στόχο ή τους στόχους του μέτρου ενίσχυσης</w:t>
      </w:r>
      <w:r w:rsidR="006C4335" w:rsidRPr="005C4E62">
        <w:rPr>
          <w:rStyle w:val="FootnoteReference"/>
        </w:rPr>
        <w:footnoteReference w:id="26"/>
      </w:r>
      <w:r w:rsidR="00C9528F">
        <w:t>.</w:t>
      </w:r>
    </w:p>
    <w:p w14:paraId="2303C249" w14:textId="77777777" w:rsidR="003759A4" w:rsidRPr="005C4E62" w:rsidRDefault="00C9528F" w:rsidP="00C9528F">
      <w:pPr>
        <w:pStyle w:val="Text2"/>
        <w:tabs>
          <w:tab w:val="clear" w:pos="2161"/>
          <w:tab w:val="left" w:leader="dot" w:pos="9072"/>
        </w:tabs>
        <w:spacing w:before="120" w:after="120"/>
        <w:ind w:left="709"/>
      </w:pPr>
      <w:r>
        <w:tab/>
      </w:r>
    </w:p>
    <w:p w14:paraId="62413BF7" w14:textId="25AD12BB" w:rsidR="00E217F7" w:rsidRPr="005C4E62" w:rsidRDefault="006F2975" w:rsidP="006F2975">
      <w:pPr>
        <w:pStyle w:val="NumPar2"/>
        <w:tabs>
          <w:tab w:val="clear" w:pos="360"/>
        </w:tabs>
        <w:ind w:left="709" w:hanging="709"/>
        <w:rPr>
          <w:iCs/>
        </w:rPr>
      </w:pPr>
      <w:r w:rsidRPr="005C4E62">
        <w:rPr>
          <w:b/>
          <w:bCs/>
          <w:iCs/>
        </w:rPr>
        <w:t>3.19.</w:t>
      </w:r>
      <w:r w:rsidRPr="005C4E62">
        <w:rPr>
          <w:b/>
          <w:bCs/>
          <w:iCs/>
        </w:rPr>
        <w:tab/>
      </w:r>
      <w:r w:rsidR="00E217F7">
        <w:t>Υποβάλετε αξιολόγηση της αγοράς που να περιλαμβάνει: i) αξιολόγηση του κινδύνου να παράσχει το μέτρο ενίσχυσης δυσανάλογο πλεονέκτημα —σε επίπεδο λιανικής και/ή χονδρικής— σε ορισμένους παρόχους σε βάρος άλλων, ενισχύοντας έτσι, ενδεχομένως, τη δεσπόζουσα θέση τους στην (τοπική) αγορά· ii) αξιολόγηση της πραγματικής ανάγκης εφαρμογής συστήματος κουπονιών συνδεσιμότητας, μέσω της σύγκρισης της κατάστασης στην περιοχή ή στις περιοχές παρέμβασης με την κατάσταση σε άλλες περιοχές του κράτους μέλους ή της Ένωσης· iii) ανάλυση των τάσεων όσον αφορά την αφομοίωση των επιλέξιμων υπηρεσιών από τους τελικούς χρήστες</w:t>
      </w:r>
      <w:r w:rsidR="00E217F7" w:rsidRPr="005C4E62">
        <w:rPr>
          <w:rStyle w:val="FootnoteReference"/>
          <w:iCs/>
        </w:rPr>
        <w:footnoteReference w:id="27"/>
      </w:r>
      <w:r w:rsidR="00E217F7">
        <w:t>.</w:t>
      </w:r>
    </w:p>
    <w:p w14:paraId="7BA65D93" w14:textId="77777777" w:rsidR="00E217F7" w:rsidRPr="005C4E62" w:rsidRDefault="00E217F7" w:rsidP="00E217F7">
      <w:pPr>
        <w:pStyle w:val="Text2"/>
        <w:tabs>
          <w:tab w:val="clear" w:pos="2161"/>
          <w:tab w:val="left" w:leader="dot" w:pos="9072"/>
        </w:tabs>
        <w:spacing w:before="120" w:after="120"/>
        <w:ind w:left="709"/>
      </w:pPr>
      <w:r>
        <w:tab/>
      </w:r>
    </w:p>
    <w:p w14:paraId="3860D15B" w14:textId="216E75E2" w:rsidR="004D559F" w:rsidRPr="005C4E62" w:rsidRDefault="006F2975" w:rsidP="006F2975">
      <w:pPr>
        <w:pStyle w:val="NumPar2"/>
        <w:tabs>
          <w:tab w:val="clear" w:pos="360"/>
        </w:tabs>
        <w:ind w:left="709" w:hanging="709"/>
      </w:pPr>
      <w:r w:rsidRPr="005C4E62">
        <w:rPr>
          <w:b/>
          <w:bCs/>
        </w:rPr>
        <w:t>3.20.</w:t>
      </w:r>
      <w:r w:rsidRPr="005C4E62">
        <w:rPr>
          <w:b/>
          <w:bCs/>
        </w:rPr>
        <w:tab/>
      </w:r>
      <w:r w:rsidR="004D559F">
        <w:t>Αναφέρετε αν κάποιος από τους επιλέξιμους παρόχους ευρυζωνικών υπηρεσιών είναι κάθετα ολοκληρωμένος και έχει μερίδιο λιανικής αγοράς άνω του 25 %.</w:t>
      </w:r>
    </w:p>
    <w:p w14:paraId="754C5AC2"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Ναι</w:t>
      </w:r>
      <w:r>
        <w:tab/>
      </w:r>
      <w:r>
        <w:tab/>
      </w: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 xml:space="preserve">Όχι. </w:t>
      </w:r>
    </w:p>
    <w:p w14:paraId="0D42C85B" w14:textId="01186F32" w:rsidR="004D559F" w:rsidRPr="005C4E62" w:rsidRDefault="006F2975" w:rsidP="006F2975">
      <w:pPr>
        <w:pStyle w:val="NumPar2"/>
        <w:tabs>
          <w:tab w:val="clear" w:pos="360"/>
        </w:tabs>
        <w:ind w:left="709" w:hanging="709"/>
      </w:pPr>
      <w:r w:rsidRPr="005C4E62">
        <w:rPr>
          <w:b/>
          <w:bCs/>
        </w:rPr>
        <w:t>3.21.</w:t>
      </w:r>
      <w:r w:rsidRPr="005C4E62">
        <w:rPr>
          <w:b/>
          <w:bCs/>
        </w:rPr>
        <w:tab/>
      </w:r>
      <w:r w:rsidR="004D559F">
        <w:t>Σε περίπτωση θετικής απάντησης στην προηγούμενη ερώτηση, επιβεβαιώστε ότι κάθε πάροχος ευρυζωνικών υπηρεσιών που είναι κάθετα ολοκληρωμένος και έχει μερίδιο αγοράς λιανικής άνω του 25 % θα προσφέρει, στην αντίστοιχη αγορά χονδρικής πρόσβασης, προϊόντα χονδρικής πρόσβασης βάσει των οποίων κάθε αιτών πρόσβαση θα είναι σε θέση να παρέχει τις επιλέξιμες υπηρεσίες υπό ανοικτούς, διαφανείς και άνευ διακρίσεων όρους.</w:t>
      </w:r>
    </w:p>
    <w:p w14:paraId="560CF28B"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Ναι</w:t>
      </w:r>
      <w:r>
        <w:tab/>
      </w:r>
      <w:r>
        <w:tab/>
      </w: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 xml:space="preserve">Όχι. </w:t>
      </w:r>
    </w:p>
    <w:p w14:paraId="49C1B422" w14:textId="04B3CEFD" w:rsidR="00E217F7" w:rsidRPr="005C4E62" w:rsidRDefault="006F2975" w:rsidP="006F2975">
      <w:pPr>
        <w:pStyle w:val="NumPar2"/>
        <w:tabs>
          <w:tab w:val="clear" w:pos="360"/>
        </w:tabs>
        <w:ind w:left="709" w:hanging="709"/>
      </w:pPr>
      <w:r w:rsidRPr="005C4E62">
        <w:rPr>
          <w:b/>
          <w:bCs/>
        </w:rPr>
        <w:t>3.22.</w:t>
      </w:r>
      <w:r w:rsidRPr="005C4E62">
        <w:rPr>
          <w:b/>
          <w:bCs/>
        </w:rPr>
        <w:tab/>
      </w:r>
      <w:r w:rsidR="00E217F7">
        <w:t>Αναφέρετε τη διάρκεια του μέτρου ενίσχυσης και την περίοδο ισχύος των κουπονιών για μεμονωμένους τελικούς χρήστες</w:t>
      </w:r>
      <w:r w:rsidR="00E217F7" w:rsidRPr="005C4E62">
        <w:rPr>
          <w:vertAlign w:val="superscript"/>
        </w:rPr>
        <w:footnoteReference w:id="28"/>
      </w:r>
      <w:r w:rsidR="00E217F7">
        <w:t>.</w:t>
      </w:r>
    </w:p>
    <w:p w14:paraId="27285CF0" w14:textId="77777777" w:rsidR="00E217F7" w:rsidRPr="005C4E62" w:rsidRDefault="00E217F7" w:rsidP="004D559F">
      <w:pPr>
        <w:pStyle w:val="Text2"/>
        <w:tabs>
          <w:tab w:val="clear" w:pos="2161"/>
          <w:tab w:val="left" w:leader="dot" w:pos="9072"/>
        </w:tabs>
        <w:spacing w:before="120" w:after="120"/>
        <w:ind w:left="709"/>
      </w:pPr>
      <w:r>
        <w:tab/>
      </w:r>
    </w:p>
    <w:p w14:paraId="52821BD5" w14:textId="7A9D6EE2" w:rsidR="00AA0B7A" w:rsidRPr="005C4E62" w:rsidRDefault="006F2975" w:rsidP="006F2975">
      <w:pPr>
        <w:pStyle w:val="NumPar2"/>
        <w:tabs>
          <w:tab w:val="clear" w:pos="360"/>
        </w:tabs>
        <w:ind w:left="709" w:hanging="709"/>
      </w:pPr>
      <w:r w:rsidRPr="005C4E62">
        <w:rPr>
          <w:b/>
          <w:bCs/>
        </w:rPr>
        <w:t>3.23.</w:t>
      </w:r>
      <w:r w:rsidRPr="005C4E62">
        <w:rPr>
          <w:b/>
          <w:bCs/>
        </w:rPr>
        <w:tab/>
      </w:r>
      <w:r w:rsidR="00AA0B7A">
        <w:t>Αναλύστε τις δυνητικές αρνητικές επιπτώσεις που ενδέχεται να έχει το μέτρο ενίσχυσης στον ανταγωνισμό και στο εμπόριο, καθώς και τα στοιχεία του σχεδιασμού του μέτρου που θα μπορούσαν να ελαχιστοποιήσουν τους κινδύνους αυτούς.</w:t>
      </w:r>
    </w:p>
    <w:p w14:paraId="6472A081"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1E1C1AEA" w14:textId="77777777" w:rsidTr="00E27219">
        <w:tc>
          <w:tcPr>
            <w:tcW w:w="9356" w:type="dxa"/>
            <w:shd w:val="clear" w:color="auto" w:fill="D9D9D9"/>
          </w:tcPr>
          <w:p w14:paraId="1C8464CF" w14:textId="61CFC3F5" w:rsidR="00215029" w:rsidRPr="005C4E62" w:rsidRDefault="006F2975" w:rsidP="006F2975">
            <w:pPr>
              <w:pStyle w:val="Heading4"/>
              <w:keepLines w:val="0"/>
              <w:tabs>
                <w:tab w:val="left" w:pos="720"/>
                <w:tab w:val="left" w:pos="1077"/>
                <w:tab w:val="left" w:pos="1440"/>
                <w:tab w:val="left" w:pos="1797"/>
              </w:tabs>
              <w:spacing w:before="240" w:after="240"/>
              <w:ind w:left="360" w:hanging="360"/>
              <w:jc w:val="center"/>
              <w:rPr>
                <w:rFonts w:ascii="Times New Roman" w:hAnsi="Times New Roman"/>
                <w:i w:val="0"/>
                <w:color w:val="auto"/>
              </w:rPr>
            </w:pPr>
            <w:r w:rsidRPr="005C4E62">
              <w:rPr>
                <w:rFonts w:ascii="Times New Roman" w:hAnsi="Times New Roman"/>
                <w:i w:val="0"/>
                <w:color w:val="auto"/>
              </w:rPr>
              <w:t>4.</w:t>
            </w:r>
            <w:r w:rsidRPr="005C4E62">
              <w:rPr>
                <w:rFonts w:ascii="Times New Roman" w:hAnsi="Times New Roman"/>
                <w:i w:val="0"/>
                <w:color w:val="auto"/>
              </w:rPr>
              <w:tab/>
            </w:r>
            <w:r w:rsidR="00AA0B7A">
              <w:rPr>
                <w:rFonts w:ascii="Times New Roman" w:hAnsi="Times New Roman"/>
                <w:i w:val="0"/>
                <w:color w:val="auto"/>
              </w:rPr>
              <w:t>Άλλες πληροφορίες (που ισχύουν τόσο για τα κοινωνικά κουπόνια όσο και για τα κουπόνια συνδεσιμότητας)</w:t>
            </w:r>
          </w:p>
        </w:tc>
      </w:tr>
    </w:tbl>
    <w:p w14:paraId="374141F3" w14:textId="5D460236" w:rsidR="00A15706" w:rsidRPr="005C4E62" w:rsidRDefault="006F2975" w:rsidP="006F2975">
      <w:pPr>
        <w:pStyle w:val="NumPar2"/>
        <w:tabs>
          <w:tab w:val="clear" w:pos="360"/>
        </w:tabs>
        <w:ind w:left="709" w:hanging="709"/>
      </w:pPr>
      <w:r w:rsidRPr="005C4E62">
        <w:rPr>
          <w:b/>
          <w:bCs/>
          <w:iCs/>
        </w:rPr>
        <w:t>4.1.</w:t>
      </w:r>
      <w:r w:rsidRPr="005C4E62">
        <w:rPr>
          <w:b/>
          <w:bCs/>
          <w:iCs/>
        </w:rPr>
        <w:tab/>
      </w:r>
      <w:r w:rsidR="00215029">
        <w:t>Αναλύστε τον ρόλο που διαδραματίζει η ΕΡΑ στον σχεδιασμό, την εφαρμογή και την παρακολούθηση του μέτρου ενίσχυσης.</w:t>
      </w:r>
    </w:p>
    <w:p w14:paraId="5D8BD0EE" w14:textId="77777777" w:rsidR="00E217F7" w:rsidRPr="005C4E62" w:rsidRDefault="00E217F7" w:rsidP="00E217F7">
      <w:pPr>
        <w:pStyle w:val="Text2"/>
        <w:tabs>
          <w:tab w:val="clear" w:pos="2161"/>
          <w:tab w:val="left" w:leader="dot" w:pos="9072"/>
        </w:tabs>
        <w:spacing w:before="120" w:after="120"/>
        <w:ind w:left="709"/>
      </w:pPr>
      <w:r>
        <w:lastRenderedPageBreak/>
        <w:tab/>
      </w:r>
    </w:p>
    <w:p w14:paraId="57DB2981" w14:textId="647AFCED" w:rsidR="00A15706" w:rsidRPr="005C4E62" w:rsidRDefault="006F2975" w:rsidP="006F2975">
      <w:pPr>
        <w:pStyle w:val="NumPar2"/>
        <w:tabs>
          <w:tab w:val="clear" w:pos="360"/>
        </w:tabs>
        <w:ind w:left="709" w:hanging="709"/>
      </w:pPr>
      <w:r w:rsidRPr="005C4E62">
        <w:rPr>
          <w:b/>
          <w:bCs/>
          <w:iCs/>
        </w:rPr>
        <w:t>4.2.</w:t>
      </w:r>
      <w:r w:rsidRPr="005C4E62">
        <w:rPr>
          <w:b/>
          <w:bCs/>
          <w:iCs/>
        </w:rPr>
        <w:tab/>
      </w:r>
      <w:r w:rsidR="00A15706">
        <w:t>Αναφέρετε τη γνώμη της ΕΡΑ σχετικά με το μέτρο ενίσχυσης (εάν υπάρχει).</w:t>
      </w:r>
    </w:p>
    <w:p w14:paraId="0DD41B0C" w14:textId="77777777" w:rsidR="00A15706" w:rsidRPr="005C4E62" w:rsidRDefault="00A15706" w:rsidP="00A15706">
      <w:pPr>
        <w:pStyle w:val="Text2"/>
        <w:tabs>
          <w:tab w:val="clear" w:pos="2161"/>
          <w:tab w:val="left" w:leader="dot" w:pos="9072"/>
        </w:tabs>
        <w:spacing w:before="120" w:after="120"/>
        <w:ind w:left="709"/>
      </w:pPr>
      <w:r>
        <w:tab/>
      </w:r>
    </w:p>
    <w:p w14:paraId="1D1E6564" w14:textId="4CF81644" w:rsidR="00A15706" w:rsidRPr="005C4E62" w:rsidRDefault="006F2975" w:rsidP="006F2975">
      <w:pPr>
        <w:pStyle w:val="NumPar2"/>
        <w:tabs>
          <w:tab w:val="clear" w:pos="360"/>
        </w:tabs>
        <w:ind w:left="709" w:hanging="709"/>
      </w:pPr>
      <w:r w:rsidRPr="005C4E62">
        <w:rPr>
          <w:b/>
          <w:bCs/>
          <w:iCs/>
        </w:rPr>
        <w:t>4.3.</w:t>
      </w:r>
      <w:r w:rsidRPr="005C4E62">
        <w:rPr>
          <w:b/>
          <w:bCs/>
          <w:iCs/>
        </w:rPr>
        <w:tab/>
      </w:r>
      <w:r w:rsidR="00A15706">
        <w:t>Αναφέρετε τη γνώμη της εθνικής αρχής ανταγωνισμού σχετικά με το μέτρο ενίσχυσης (εάν υπάρχει).</w:t>
      </w:r>
    </w:p>
    <w:p w14:paraId="3224727D" w14:textId="77777777" w:rsidR="00A15706" w:rsidRPr="005C4E62" w:rsidRDefault="009D198A" w:rsidP="00E217F7">
      <w:pPr>
        <w:pStyle w:val="Text2"/>
        <w:tabs>
          <w:tab w:val="clear" w:pos="2161"/>
          <w:tab w:val="left" w:leader="dot" w:pos="9072"/>
        </w:tabs>
        <w:spacing w:before="120" w:after="120"/>
        <w:ind w:left="709"/>
      </w:pPr>
      <w:r>
        <w:tab/>
      </w:r>
    </w:p>
    <w:p w14:paraId="3B48F1FD" w14:textId="4F42B3C9" w:rsidR="00DE2831" w:rsidRPr="005C4E62" w:rsidRDefault="006F2975" w:rsidP="006F2975">
      <w:pPr>
        <w:pStyle w:val="NumPar2"/>
        <w:tabs>
          <w:tab w:val="clear" w:pos="360"/>
        </w:tabs>
        <w:ind w:left="709" w:hanging="709"/>
      </w:pPr>
      <w:r w:rsidRPr="005C4E62">
        <w:rPr>
          <w:b/>
          <w:bCs/>
          <w:iCs/>
        </w:rPr>
        <w:t>4.4.</w:t>
      </w:r>
      <w:r w:rsidRPr="005C4E62">
        <w:rPr>
          <w:b/>
          <w:bCs/>
          <w:iCs/>
        </w:rPr>
        <w:tab/>
      </w:r>
      <w:r w:rsidR="00DE2831">
        <w:t xml:space="preserve">Διαφάνεια. </w:t>
      </w:r>
    </w:p>
    <w:p w14:paraId="787842CF" w14:textId="6456ED50" w:rsidR="00153D1B" w:rsidRPr="005C4E62" w:rsidRDefault="001F47B1" w:rsidP="006F2975">
      <w:pPr>
        <w:pStyle w:val="NumPar2"/>
        <w:tabs>
          <w:tab w:val="clear" w:pos="360"/>
        </w:tabs>
        <w:ind w:left="1418" w:hanging="709"/>
      </w:pPr>
      <w:r>
        <w:t>α</w:t>
      </w:r>
      <w:r w:rsidR="006F2975" w:rsidRPr="005C4E62">
        <w:t>)</w:t>
      </w:r>
      <w:r w:rsidR="006F2975" w:rsidRPr="005C4E62">
        <w:tab/>
      </w:r>
      <w:r w:rsidR="00A72D4E">
        <w:t>Επιβεβαιώστε ότι το κράτος μέλος θα δημοσιεύσει i) το πλήρες κείμενο της απόφασης έγκρισης του μέτρου ενίσχυσης και των σχετικών διατάξεων εφαρμογής (ή σχετικό σύνδεσμο), και ii) πληροφορίες σχετικά με κάθε μεμονωμένη ενίσχυση που χορηγήθηκε και υπερβαίνει τα 100 000 EUR, σύμφωνα με το παράρτημα II</w:t>
      </w:r>
      <w:r w:rsidR="00DE2831" w:rsidRPr="005C4E62">
        <w:rPr>
          <w:rStyle w:val="FootnoteReference"/>
          <w:iCs/>
        </w:rPr>
        <w:footnoteReference w:id="29"/>
      </w:r>
      <w:r w:rsidR="00A72D4E">
        <w:t xml:space="preserve"> (εντός 6 μηνών από την ημερομηνία χορήγησης της ενίσχυσης ή, για ενισχύσεις υπό μορφή φορολογικών πλεονεκτημάτων, εντός 1 έτους από τη λήξη της προθεσμίας υποβολής της φορολογικής δήλωσης)</w:t>
      </w:r>
      <w:r w:rsidR="00DE2831" w:rsidRPr="005C4E62">
        <w:rPr>
          <w:rStyle w:val="FootnoteReference"/>
          <w:iCs/>
        </w:rPr>
        <w:footnoteReference w:id="30"/>
      </w:r>
      <w:r w:rsidR="00A72D4E">
        <w:t>,</w:t>
      </w:r>
    </w:p>
    <w:p w14:paraId="38A7FF7A" w14:textId="4A0B5901"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w:t>
      </w:r>
      <w:r w:rsidR="001F47B1">
        <w:t>σ</w:t>
      </w:r>
      <w:r>
        <w:t>την εφαρμογή Transparency Award Module της Επιτροπής</w:t>
      </w:r>
      <w:r w:rsidRPr="005C4E62">
        <w:rPr>
          <w:rStyle w:val="FootnoteReference"/>
        </w:rPr>
        <w:footnoteReference w:id="31"/>
      </w:r>
      <w:r>
        <w:t>.</w:t>
      </w:r>
    </w:p>
    <w:p w14:paraId="2000C3F6" w14:textId="499C0458"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w:t>
      </w:r>
      <w:r w:rsidR="001F47B1">
        <w:t>σ</w:t>
      </w:r>
      <w:r>
        <w:t>ε εμπεριστατωμένο δικτυακό τόπο για τις κρατικές ενισχύσεις (παρέχοντας τη σχετική διαδικτυακή διεύθυνση). Στην περίπτωση αυτή, διευκρινίστε αν πρόκειται για εθνικό ή περιφερειακό δικτυακό τόπο</w:t>
      </w:r>
      <w:r w:rsidRPr="005C4E62">
        <w:rPr>
          <w:rStyle w:val="FootnoteReference"/>
        </w:rPr>
        <w:footnoteReference w:id="32"/>
      </w:r>
      <w:r>
        <w:t xml:space="preserve"> και αν είναι δυνατή η εύκολη πρόσβαση στις πληροφορίες που είναι καταχωρισμένες στον δικτυακό τόπο για τις ενισχύσεις (δηλαδή το ευρύ κοινό πρέπει να έχει πρόσβαση στον δικτυακό τόπο χωρίς περιορισμούς)</w:t>
      </w:r>
      <w:r w:rsidR="00DE2831" w:rsidRPr="005C4E62">
        <w:rPr>
          <w:rStyle w:val="FootnoteReference"/>
        </w:rPr>
        <w:footnoteReference w:id="33"/>
      </w:r>
      <w:r>
        <w:t>.</w:t>
      </w:r>
    </w:p>
    <w:p w14:paraId="586A89A2" w14:textId="77777777" w:rsidR="008B2C0A" w:rsidRPr="005C4E62" w:rsidRDefault="008B2C0A" w:rsidP="00D46D21">
      <w:pPr>
        <w:pStyle w:val="Text2"/>
        <w:tabs>
          <w:tab w:val="clear" w:pos="2161"/>
          <w:tab w:val="left" w:leader="dot" w:pos="9072"/>
        </w:tabs>
        <w:spacing w:before="120" w:after="120"/>
        <w:ind w:left="709"/>
      </w:pPr>
      <w:r>
        <w:tab/>
      </w:r>
    </w:p>
    <w:p w14:paraId="0A2F00D1" w14:textId="4305C93F" w:rsidR="00DE2831" w:rsidRPr="005C4E62" w:rsidRDefault="001F47B1" w:rsidP="006F2975">
      <w:pPr>
        <w:pStyle w:val="NumPar2"/>
        <w:tabs>
          <w:tab w:val="clear" w:pos="360"/>
        </w:tabs>
        <w:ind w:left="1418" w:hanging="709"/>
      </w:pPr>
      <w:r>
        <w:t>β</w:t>
      </w:r>
      <w:r w:rsidR="006F2975" w:rsidRPr="005C4E62">
        <w:t>)</w:t>
      </w:r>
      <w:r w:rsidR="006F2975" w:rsidRPr="005C4E62">
        <w:tab/>
      </w:r>
      <w:r w:rsidR="00DE2831">
        <w:t>Επιβεβαιώστε ότι οι πληροφορίες του σημείου 4.4 θα είναι διαθέσιμες για τουλάχιστον 10 έτη από την ημερομηνία χορήγησης της ενίσχυσης, θα δημοσιεύονται σε κοινόχρηστο μορφότυπο δεδομένων λογιστικού φύλλου που επιτρέπει την αναζήτηση, την εξαγωγή, την καταφόρτωση και την εύκολη δημοσίευση στο διαδίκτυο (για παράδειγμα, σε μορφότυπο CSV ή XML).</w:t>
      </w:r>
    </w:p>
    <w:p w14:paraId="483F1A28"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Ναι</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 xml:space="preserve"> Όχι</w:t>
      </w:r>
    </w:p>
    <w:p w14:paraId="37DB4E44" w14:textId="61F61D30" w:rsidR="00DE2831" w:rsidRPr="005C4E62" w:rsidRDefault="001F47B1" w:rsidP="006F2975">
      <w:pPr>
        <w:pStyle w:val="NumPar2"/>
        <w:tabs>
          <w:tab w:val="clear" w:pos="360"/>
        </w:tabs>
        <w:ind w:left="1418" w:hanging="709"/>
      </w:pPr>
      <w:r>
        <w:t>γ</w:t>
      </w:r>
      <w:r w:rsidR="006F2975" w:rsidRPr="005C4E62">
        <w:t>)</w:t>
      </w:r>
      <w:r w:rsidR="006F2975" w:rsidRPr="005C4E62">
        <w:tab/>
      </w:r>
      <w:r w:rsidR="00DE2831">
        <w:t>Επιβεβαιώστε ότι, για τις ενισχύσεις που είναι παράνομες αλλά στη συνέχεια κρίθηκαν συμβατές, οι σχετικές πληροφορίες δημοσιεύονται σε δικτυακό τόπο για τις κρατικές ενισχύσεις (αναφέροντας τη σχετική διαδικτυακή διεύθυνση) εντός 6 μηνών από την ημερομηνία έκδοσης της απόφασης της Επιτροπής με την οποία η ενίσχυση κηρύχθηκε συμβατή</w:t>
      </w:r>
      <w:r w:rsidR="00DE2831" w:rsidRPr="005C4E62">
        <w:rPr>
          <w:rStyle w:val="FootnoteReference"/>
        </w:rPr>
        <w:footnoteReference w:id="34"/>
      </w:r>
      <w:r w:rsidR="00DE2831">
        <w:t>.</w:t>
      </w:r>
    </w:p>
    <w:p w14:paraId="73566975"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Ναι</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 xml:space="preserve"> Όχι</w:t>
      </w:r>
    </w:p>
    <w:p w14:paraId="551896C7" w14:textId="55F83031" w:rsidR="004879A7" w:rsidRPr="005C4E62" w:rsidRDefault="006F2975" w:rsidP="006F2975">
      <w:pPr>
        <w:pStyle w:val="NumPar2"/>
        <w:tabs>
          <w:tab w:val="clear" w:pos="360"/>
        </w:tabs>
        <w:ind w:left="709" w:hanging="709"/>
      </w:pPr>
      <w:r w:rsidRPr="005C4E62">
        <w:rPr>
          <w:b/>
          <w:bCs/>
          <w:iCs/>
        </w:rPr>
        <w:t>4.5.</w:t>
      </w:r>
      <w:r w:rsidRPr="005C4E62">
        <w:rPr>
          <w:b/>
          <w:bCs/>
          <w:iCs/>
        </w:rPr>
        <w:tab/>
      </w:r>
      <w:r w:rsidR="004879A7">
        <w:t xml:space="preserve">Υποβολή εκθέσεων. Επιβεβαιώστε ότι οι αρχές της χώρας σας θα υποβάλλουν στην Επιτροπή i) ετήσιες εκθέσεις για κάθε μέτρο που εγκρίνεται βάσει των κατευθυντήριων γραμμών για τα ευρυζωνικά δίκτυα, και ii) έκθεση ανά διετία η οποία </w:t>
      </w:r>
      <w:r w:rsidR="004879A7">
        <w:lastRenderedPageBreak/>
        <w:t>περιέχει βασικές πληροφορίες σχετικά με το μέτρο ενίσχυσης που εγκρίνεται βάσει των κατευθυντήριων γραμμών για τα ευρυζωνικά δίκτυα, σύμφωνα με το παράρτημα III των ίδιων κατευθυντήριων γραμμών</w:t>
      </w:r>
      <w:r w:rsidR="004879A7" w:rsidRPr="005C4E62">
        <w:rPr>
          <w:rStyle w:val="FootnoteReference"/>
        </w:rPr>
        <w:footnoteReference w:id="35"/>
      </w:r>
      <w:r w:rsidR="004879A7">
        <w:t>.</w:t>
      </w:r>
    </w:p>
    <w:p w14:paraId="2B5D3213" w14:textId="77777777" w:rsidR="004879A7" w:rsidRPr="005C4E62" w:rsidRDefault="004879A7" w:rsidP="004879A7">
      <w:pPr>
        <w:pStyle w:val="Text2"/>
        <w:tabs>
          <w:tab w:val="clear" w:pos="2161"/>
          <w:tab w:val="left" w:leader="dot" w:pos="9072"/>
        </w:tabs>
        <w:spacing w:before="120" w:after="120"/>
        <w:ind w:left="709"/>
      </w:pPr>
      <w:r>
        <w:tab/>
      </w:r>
    </w:p>
    <w:p w14:paraId="3156DE51" w14:textId="2973AE73" w:rsidR="004879A7" w:rsidRPr="005C4E62" w:rsidRDefault="006F2975" w:rsidP="006F2975">
      <w:pPr>
        <w:pStyle w:val="NumPar2"/>
        <w:tabs>
          <w:tab w:val="clear" w:pos="360"/>
        </w:tabs>
        <w:ind w:left="709" w:hanging="709"/>
      </w:pPr>
      <w:r w:rsidRPr="005C4E62">
        <w:rPr>
          <w:b/>
          <w:bCs/>
          <w:iCs/>
        </w:rPr>
        <w:t>4.6.</w:t>
      </w:r>
      <w:r w:rsidRPr="005C4E62">
        <w:rPr>
          <w:b/>
          <w:bCs/>
          <w:iCs/>
        </w:rPr>
        <w:tab/>
      </w:r>
      <w:r w:rsidR="004879A7">
        <w:t>Παρακολούθηση. Επιβεβαιώστε ότι οι αρχές της χώρας σας θα τηρούν —για 10 έτη από την ημερομηνία χορήγησης της ενίσχυσης— λεπτομερή αρχεία σχετικά με όλα τα μέτρα ενίσχυσης, τα οποία περιέχουν όλες τις πληροφορίες που είναι αναγκαίες για να διαπιστωθεί ότι πληρούνται όλες οι προϋποθέσεις συμβατότητας που καθορίζονται στις κατευθυντήριες γραμμές για τα ευρυζωνικά δίκτυα, και ότι δεσμεύονται να τα παρέχουν στην Επιτροπή κατόπιν σχετικού αιτήματος</w:t>
      </w:r>
      <w:r w:rsidR="004879A7" w:rsidRPr="005C4E62">
        <w:rPr>
          <w:rStyle w:val="FootnoteReference"/>
        </w:rPr>
        <w:footnoteReference w:id="36"/>
      </w:r>
      <w:r w:rsidR="004879A7">
        <w:t>.</w:t>
      </w:r>
    </w:p>
    <w:p w14:paraId="6C9B93FA" w14:textId="77777777" w:rsidR="00DE2831" w:rsidRPr="005C4E62" w:rsidRDefault="004879A7" w:rsidP="004879A7">
      <w:pPr>
        <w:pStyle w:val="Text2"/>
        <w:tabs>
          <w:tab w:val="clear" w:pos="2161"/>
          <w:tab w:val="left" w:leader="dot" w:pos="9072"/>
        </w:tabs>
        <w:spacing w:before="120" w:after="120"/>
        <w:ind w:left="709"/>
      </w:pPr>
      <w:r>
        <w:tab/>
      </w:r>
    </w:p>
    <w:p w14:paraId="2788D3C2" w14:textId="31F54563" w:rsidR="00C04E88" w:rsidRPr="005C4E62" w:rsidRDefault="006F2975" w:rsidP="006F2975">
      <w:pPr>
        <w:pStyle w:val="NumPar2"/>
        <w:tabs>
          <w:tab w:val="clear" w:pos="360"/>
        </w:tabs>
        <w:ind w:left="709" w:hanging="709"/>
        <w:rPr>
          <w:i/>
        </w:rPr>
      </w:pPr>
      <w:r w:rsidRPr="005C4E62">
        <w:rPr>
          <w:b/>
          <w:bCs/>
          <w:iCs/>
        </w:rPr>
        <w:t>4.7.</w:t>
      </w:r>
      <w:r w:rsidRPr="005C4E62">
        <w:rPr>
          <w:b/>
          <w:bCs/>
          <w:iCs/>
        </w:rPr>
        <w:tab/>
      </w:r>
      <w:r w:rsidR="00691333">
        <w:t xml:space="preserve">Αναφέρετε αν εξετάζεται το ενδεχόμενο σχεδίου εκ των υστέρων αξιολόγησης του μέτρου ενίσχυσης. </w:t>
      </w:r>
    </w:p>
    <w:p w14:paraId="47308FB8"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Όχι. Εξηγήστε για ποιον λόγο θεωρείτε ότι δεν πληρούνται τα κριτήρια για σχέδιο εκ των υστέρων αξιολόγησης. </w:t>
      </w:r>
    </w:p>
    <w:p w14:paraId="2D06624F" w14:textId="77777777" w:rsidR="00C04E88" w:rsidRPr="005C4E62" w:rsidRDefault="00C04E88" w:rsidP="00C04E88">
      <w:pPr>
        <w:pStyle w:val="Text2"/>
        <w:tabs>
          <w:tab w:val="clear" w:pos="2161"/>
          <w:tab w:val="left" w:leader="dot" w:pos="9072"/>
        </w:tabs>
        <w:spacing w:before="120" w:after="120"/>
        <w:ind w:left="709"/>
      </w:pPr>
      <w:r>
        <w:tab/>
      </w:r>
    </w:p>
    <w:p w14:paraId="68F629B8"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 xml:space="preserve"> Ναι. Αναφέρετε τα κριτήρια βάσει των οποίων εξετάζεται το ενδεχόμενο εκ των υστέρων αξιολόγησης του μέτρου ενίσχυσης και παραθέστε τις σχετικές πληροφορίες για το σχέδιο εκ των υστέρων αξιολόγησης που περιγράφεται στην ενότητα 8 των κατευθυντήριων γραμμών για τα ευρυζωνικά δίκτυα.</w:t>
      </w:r>
    </w:p>
    <w:p w14:paraId="46AB5A73" w14:textId="77777777" w:rsidR="007B33E6" w:rsidRPr="005C4E62" w:rsidRDefault="00691333" w:rsidP="007B33E6">
      <w:pPr>
        <w:pStyle w:val="Text2"/>
        <w:tabs>
          <w:tab w:val="clear" w:pos="2161"/>
          <w:tab w:val="left" w:leader="dot" w:pos="9072"/>
        </w:tabs>
        <w:spacing w:before="120" w:after="120"/>
        <w:ind w:left="709"/>
      </w:pPr>
      <w:r>
        <w:tab/>
      </w:r>
    </w:p>
    <w:p w14:paraId="36B9C91E" w14:textId="4D0ACA07" w:rsidR="007B33E6" w:rsidRPr="005C4E62" w:rsidRDefault="006F2975" w:rsidP="006F2975">
      <w:pPr>
        <w:pStyle w:val="NumPar2"/>
        <w:tabs>
          <w:tab w:val="clear" w:pos="360"/>
        </w:tabs>
        <w:ind w:left="709" w:hanging="709"/>
        <w:rPr>
          <w:b/>
          <w:bCs/>
        </w:rPr>
      </w:pPr>
      <w:r w:rsidRPr="005C4E62">
        <w:rPr>
          <w:b/>
          <w:bCs/>
          <w:iCs/>
        </w:rPr>
        <w:t>4.8.</w:t>
      </w:r>
      <w:r w:rsidRPr="005C4E62">
        <w:rPr>
          <w:b/>
          <w:bCs/>
          <w:iCs/>
        </w:rPr>
        <w:tab/>
      </w:r>
      <w:r w:rsidR="007B33E6">
        <w:t>Αναφέρετε κάθε άλλη πληροφορία που είναι συναφή για την αξιολόγηση του μέτρου ενίσχυσης με βάση τις κατευθυντήριες γραμμές για τα ευρυζωνικά δίκτυα ή οποιαδήποτε άλλη πληροφορία είναι συναφής από την άποψη των ενωσιακών κανόνων για τον ανταγωνισμό και την ενιαία αγορά.</w:t>
      </w:r>
    </w:p>
    <w:p w14:paraId="1065477D" w14:textId="77777777" w:rsidR="007D7D41" w:rsidRPr="005C4E62" w:rsidRDefault="002A52F0" w:rsidP="00657CA5">
      <w:pPr>
        <w:tabs>
          <w:tab w:val="left" w:leader="dot" w:pos="9072"/>
        </w:tabs>
        <w:spacing w:before="120" w:after="240"/>
        <w:ind w:left="709"/>
        <w:jc w:val="both"/>
      </w:pPr>
      <w:r>
        <w:tab/>
      </w:r>
      <w:r>
        <w:tab/>
      </w:r>
    </w:p>
    <w:p w14:paraId="187433BF" w14:textId="6E8A5C7B" w:rsidR="00C04E88" w:rsidRPr="005C4E62" w:rsidRDefault="006F2975" w:rsidP="006F2975">
      <w:pPr>
        <w:pStyle w:val="NumPar2"/>
        <w:tabs>
          <w:tab w:val="clear" w:pos="360"/>
        </w:tabs>
        <w:ind w:left="709" w:hanging="709"/>
        <w:rPr>
          <w:iCs/>
          <w:noProof/>
        </w:rPr>
      </w:pPr>
      <w:r w:rsidRPr="005C4E62">
        <w:rPr>
          <w:b/>
          <w:bCs/>
          <w:iCs/>
          <w:noProof/>
        </w:rPr>
        <w:t>4.9.</w:t>
      </w:r>
      <w:r w:rsidRPr="005C4E62">
        <w:rPr>
          <w:b/>
          <w:bCs/>
          <w:iCs/>
          <w:noProof/>
        </w:rPr>
        <w:tab/>
      </w:r>
      <w:r w:rsidR="00C04E88">
        <w:t>Αναφέρετε αν το παρόν συμπληρωματικό δελτίο πληροφοριών περιέχει πληροφορίες εμπιστευτικού χαρακτήρα οι οποίες δεν θα πρέπει να δημοσιοποιηθούν σε τρίτα μέρη</w:t>
      </w:r>
      <w:r w:rsidR="00C04E88" w:rsidRPr="005C4E62">
        <w:rPr>
          <w:szCs w:val="20"/>
          <w:vertAlign w:val="superscript"/>
          <w:lang w:val="en-IE" w:eastAsia="en-US"/>
        </w:rPr>
        <w:footnoteReference w:id="37"/>
      </w:r>
      <w:r w:rsidR="00C04E88">
        <w:t>.</w:t>
      </w:r>
    </w:p>
    <w:p w14:paraId="3CF1D5BE"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C7355E">
        <w:rPr>
          <w:b/>
        </w:rPr>
      </w:r>
      <w:r w:rsidR="00C7355E">
        <w:rPr>
          <w:b/>
        </w:rPr>
        <w:fldChar w:fldCharType="separate"/>
      </w:r>
      <w:r w:rsidRPr="005C4E62">
        <w:rPr>
          <w:b/>
        </w:rPr>
        <w:fldChar w:fldCharType="end"/>
      </w:r>
      <w:r>
        <w:rPr>
          <w:b/>
        </w:rPr>
        <w:t xml:space="preserve"> </w:t>
      </w:r>
      <w:r>
        <w:t>Ναι. Εάν ναι, αναφέρετε τις πληροφορίες εμπιστευτικού χαρακτήρα και αιτιολογήστε την εμπιστευτικότητά τους.</w:t>
      </w:r>
    </w:p>
    <w:p w14:paraId="24A1AC12"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C7355E">
        <w:rPr>
          <w:b/>
        </w:rPr>
      </w:r>
      <w:r w:rsidR="00C7355E">
        <w:rPr>
          <w:b/>
        </w:rPr>
        <w:fldChar w:fldCharType="separate"/>
      </w:r>
      <w:r w:rsidRPr="005C4E62">
        <w:rPr>
          <w:b/>
        </w:rPr>
        <w:fldChar w:fldCharType="end"/>
      </w:r>
      <w:r>
        <w:rPr>
          <w:b/>
        </w:rPr>
        <w:t xml:space="preserve"> </w:t>
      </w:r>
      <w:r>
        <w:t>Όχι.</w:t>
      </w:r>
    </w:p>
    <w:p w14:paraId="69530468" w14:textId="23EA4CA0" w:rsidR="00152F0E" w:rsidRPr="005C4E62" w:rsidRDefault="006F2975" w:rsidP="006F2975">
      <w:pPr>
        <w:pStyle w:val="NumPar2"/>
        <w:tabs>
          <w:tab w:val="clear" w:pos="360"/>
        </w:tabs>
        <w:ind w:left="709" w:hanging="709"/>
        <w:rPr>
          <w:iCs/>
          <w:noProof/>
        </w:rPr>
      </w:pPr>
      <w:r w:rsidRPr="005C4E62">
        <w:rPr>
          <w:b/>
          <w:bCs/>
          <w:iCs/>
          <w:noProof/>
        </w:rPr>
        <w:t>4.10.</w:t>
      </w:r>
      <w:r w:rsidRPr="005C4E62">
        <w:rPr>
          <w:b/>
          <w:bCs/>
          <w:iCs/>
          <w:noProof/>
        </w:rPr>
        <w:tab/>
      </w:r>
      <w:r w:rsidR="00152F0E">
        <w:t>Επιβεβαιώστε ότι το μέτρο ενίσχυσης δεν καλύπτεται από το άρθρο 52γ του γενικού κανονισμού απαλλαγής κατά κατηγορία</w:t>
      </w:r>
      <w:r w:rsidR="00FC09A8" w:rsidRPr="005C4E62">
        <w:rPr>
          <w:rStyle w:val="FootnoteReference"/>
        </w:rPr>
        <w:footnoteReference w:id="38"/>
      </w:r>
      <w:r w:rsidR="00152F0E">
        <w:t xml:space="preserve"> ή από τον κανονισμό de minimis</w:t>
      </w:r>
      <w:r w:rsidR="00C04E88" w:rsidRPr="005C4E62">
        <w:rPr>
          <w:rStyle w:val="FootnoteReference"/>
        </w:rPr>
        <w:footnoteReference w:id="39"/>
      </w:r>
      <w:r w:rsidR="00152F0E">
        <w:t>.</w:t>
      </w:r>
    </w:p>
    <w:p w14:paraId="30DCE9C4" w14:textId="77777777" w:rsidR="00657CA5" w:rsidRDefault="00FC09A8" w:rsidP="00C04E88">
      <w:pPr>
        <w:spacing w:before="120" w:after="240"/>
        <w:ind w:firstLine="709"/>
        <w:jc w:val="both"/>
      </w:pPr>
      <w:r w:rsidRPr="005C4E62">
        <w:lastRenderedPageBreak/>
        <w:fldChar w:fldCharType="begin">
          <w:ffData>
            <w:name w:val="Check1"/>
            <w:enabled/>
            <w:calcOnExit w:val="0"/>
            <w:checkBox>
              <w:sizeAuto/>
              <w:default w:val="0"/>
            </w:checkBox>
          </w:ffData>
        </w:fldChar>
      </w:r>
      <w:r w:rsidRPr="005C4E62">
        <w:instrText xml:space="preserve"> FORMCHECKBOX </w:instrText>
      </w:r>
      <w:r w:rsidR="00C7355E">
        <w:fldChar w:fldCharType="separate"/>
      </w:r>
      <w:r w:rsidRPr="005C4E62">
        <w:fldChar w:fldCharType="end"/>
      </w:r>
      <w:r>
        <w:tab/>
        <w:t>Ναι</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C7355E">
        <w:fldChar w:fldCharType="separate"/>
      </w:r>
      <w:r w:rsidR="008B2C0A" w:rsidRPr="005C4E62">
        <w:fldChar w:fldCharType="end"/>
      </w:r>
      <w:r>
        <w:tab/>
        <w:t xml:space="preserve"> Όχι</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9DF4F" w14:textId="77777777" w:rsidR="00327EA6" w:rsidRDefault="00327EA6" w:rsidP="007B33E6">
      <w:r>
        <w:separator/>
      </w:r>
    </w:p>
  </w:endnote>
  <w:endnote w:type="continuationSeparator" w:id="0">
    <w:p w14:paraId="3D58FF0C"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E92C0" w14:textId="77777777" w:rsidR="00327EA6" w:rsidRDefault="00327EA6" w:rsidP="007B33E6">
      <w:r>
        <w:separator/>
      </w:r>
    </w:p>
  </w:footnote>
  <w:footnote w:type="continuationSeparator" w:id="0">
    <w:p w14:paraId="2F2418C4" w14:textId="77777777" w:rsidR="00327EA6" w:rsidRDefault="00327EA6" w:rsidP="007B33E6">
      <w:r>
        <w:continuationSeparator/>
      </w:r>
    </w:p>
  </w:footnote>
  <w:footnote w:id="1">
    <w:p w14:paraId="7EADE280" w14:textId="77777777" w:rsidR="007B33E6" w:rsidRPr="005C4E62" w:rsidRDefault="007B33E6" w:rsidP="007B33E6">
      <w:pPr>
        <w:pStyle w:val="FootnoteText"/>
        <w:rPr>
          <w:i/>
        </w:rPr>
      </w:pPr>
      <w:r>
        <w:rPr>
          <w:rStyle w:val="FootnoteReference"/>
        </w:rPr>
        <w:footnoteRef/>
      </w:r>
      <w:r>
        <w:tab/>
        <w:t xml:space="preserve">Κατευθυντήριες γραμμές σχετικά με τις κρατικές ενισχύσεις για ευρυζωνικά δίκτυα (ΕΕ </w:t>
      </w:r>
      <w:r>
        <w:rPr>
          <w:color w:val="000000"/>
          <w:sz w:val="19"/>
        </w:rPr>
        <w:t>C 36 της 31.1.2023, σ. 1)</w:t>
      </w:r>
      <w:r>
        <w:t>.</w:t>
      </w:r>
    </w:p>
  </w:footnote>
  <w:footnote w:id="2">
    <w:p w14:paraId="6FD73225" w14:textId="77777777" w:rsidR="001507A9" w:rsidRPr="005C4E62" w:rsidRDefault="001507A9">
      <w:pPr>
        <w:pStyle w:val="FootnoteText"/>
      </w:pPr>
      <w:r>
        <w:rPr>
          <w:rStyle w:val="FootnoteReference"/>
        </w:rPr>
        <w:footnoteRef/>
      </w:r>
      <w:r>
        <w:t xml:space="preserve"> </w:t>
      </w:r>
      <w:r>
        <w:tab/>
        <w:t>Παράγραφοι 177-179.</w:t>
      </w:r>
    </w:p>
  </w:footnote>
  <w:footnote w:id="3">
    <w:p w14:paraId="2DABBA24" w14:textId="77777777" w:rsidR="001507A9" w:rsidRPr="005C4E62" w:rsidRDefault="001507A9">
      <w:pPr>
        <w:pStyle w:val="FootnoteText"/>
      </w:pPr>
      <w:r>
        <w:rPr>
          <w:rStyle w:val="FootnoteReference"/>
        </w:rPr>
        <w:footnoteRef/>
      </w:r>
      <w:r>
        <w:t xml:space="preserve"> </w:t>
      </w:r>
      <w:r>
        <w:tab/>
        <w:t>Παράγραφος 181.</w:t>
      </w:r>
    </w:p>
  </w:footnote>
  <w:footnote w:id="4">
    <w:p w14:paraId="3010C4EE" w14:textId="77777777" w:rsidR="001507A9" w:rsidRPr="005C4E62" w:rsidRDefault="001507A9">
      <w:pPr>
        <w:pStyle w:val="FootnoteText"/>
      </w:pPr>
      <w:r>
        <w:rPr>
          <w:rStyle w:val="FootnoteReference"/>
        </w:rPr>
        <w:footnoteRef/>
      </w:r>
      <w:r>
        <w:t xml:space="preserve"> </w:t>
      </w:r>
      <w:r>
        <w:tab/>
        <w:t>Παράγραφος 189.</w:t>
      </w:r>
    </w:p>
  </w:footnote>
  <w:footnote w:id="5">
    <w:p w14:paraId="0E5FADBD" w14:textId="77777777" w:rsidR="006F5901" w:rsidRPr="005C4E62" w:rsidRDefault="006F5901" w:rsidP="006F5901">
      <w:pPr>
        <w:pStyle w:val="FootnoteText"/>
      </w:pPr>
      <w:r>
        <w:rPr>
          <w:rStyle w:val="FootnoteReference"/>
        </w:rPr>
        <w:footnoteRef/>
      </w:r>
      <w:r>
        <w:tab/>
        <w:t xml:space="preserve">Π.χ. απόφαση (ΕΕ) 2022/2481 του Ευρωπαϊκού Κοινοβουλίου και του Συμβουλίου, της 14ης Δεκεμβρίου 2022, για τη θέσπιση του προγράμματος πολιτικής 2030 «Ψηφιακή Δεκαετία» (ΕΕ L 323 της 19.12.2022, σ. 4). </w:t>
      </w:r>
    </w:p>
  </w:footnote>
  <w:footnote w:id="6">
    <w:p w14:paraId="0798E5E2" w14:textId="77777777" w:rsidR="001507A9" w:rsidRPr="005C4E62" w:rsidRDefault="001507A9" w:rsidP="001507A9">
      <w:pPr>
        <w:pStyle w:val="FootnoteText"/>
      </w:pPr>
      <w:r>
        <w:rPr>
          <w:rStyle w:val="FootnoteReference"/>
        </w:rPr>
        <w:footnoteRef/>
      </w:r>
      <w:r>
        <w:t xml:space="preserve"> </w:t>
      </w:r>
      <w:r>
        <w:tab/>
        <w:t>Παράγραφος 175.</w:t>
      </w:r>
    </w:p>
  </w:footnote>
  <w:footnote w:id="7">
    <w:p w14:paraId="0FB7C7C0" w14:textId="77777777" w:rsidR="005A7B71" w:rsidRPr="005C4E62" w:rsidRDefault="005A7B71">
      <w:pPr>
        <w:pStyle w:val="FootnoteText"/>
        <w:rPr>
          <w:i/>
          <w:iCs/>
        </w:rPr>
      </w:pPr>
      <w:r>
        <w:rPr>
          <w:rStyle w:val="FootnoteReference"/>
        </w:rPr>
        <w:footnoteRef/>
      </w:r>
      <w:r>
        <w:t xml:space="preserve"> </w:t>
      </w:r>
      <w:r>
        <w:tab/>
        <w:t>Παράγραφος 19 στοιχεία ι) και ια). Βλ. επίσης παράγραφο 20, τελευταία περίοδο.</w:t>
      </w:r>
    </w:p>
  </w:footnote>
  <w:footnote w:id="8">
    <w:p w14:paraId="1876D084" w14:textId="77777777" w:rsidR="007B5294" w:rsidRPr="005C4E62" w:rsidRDefault="007B5294" w:rsidP="007B5294">
      <w:pPr>
        <w:pStyle w:val="FootnoteText"/>
      </w:pPr>
      <w:r>
        <w:rPr>
          <w:rStyle w:val="FootnoteReference"/>
        </w:rPr>
        <w:footnoteRef/>
      </w:r>
      <w:r>
        <w:t xml:space="preserve"> </w:t>
      </w:r>
      <w:r>
        <w:tab/>
        <w:t>Παράγραφος 182.</w:t>
      </w:r>
    </w:p>
  </w:footnote>
  <w:footnote w:id="9">
    <w:p w14:paraId="212A2189" w14:textId="77777777" w:rsidR="00710B4A" w:rsidRPr="005C4E62" w:rsidRDefault="00710B4A" w:rsidP="00710B4A">
      <w:pPr>
        <w:pStyle w:val="FootnoteText"/>
      </w:pPr>
      <w:r>
        <w:rPr>
          <w:rStyle w:val="FootnoteReference"/>
        </w:rPr>
        <w:footnoteRef/>
      </w:r>
      <w:r>
        <w:t xml:space="preserve"> </w:t>
      </w:r>
      <w:r>
        <w:tab/>
        <w:t>Παράγραφος 184.</w:t>
      </w:r>
    </w:p>
  </w:footnote>
  <w:footnote w:id="10">
    <w:p w14:paraId="6855467B" w14:textId="77777777" w:rsidR="007B5294" w:rsidRPr="005C4E62" w:rsidRDefault="007B5294" w:rsidP="007B5294">
      <w:pPr>
        <w:pStyle w:val="FootnoteText"/>
      </w:pPr>
      <w:r>
        <w:rPr>
          <w:rStyle w:val="FootnoteReference"/>
        </w:rPr>
        <w:footnoteRef/>
      </w:r>
      <w:r>
        <w:t xml:space="preserve"> </w:t>
      </w:r>
      <w:r>
        <w:tab/>
        <w:t xml:space="preserve">Παράγραφος 183. </w:t>
      </w:r>
    </w:p>
  </w:footnote>
  <w:footnote w:id="11">
    <w:p w14:paraId="2A7DC1FD" w14:textId="77777777" w:rsidR="00E101F1" w:rsidRPr="005C4E62" w:rsidRDefault="00E101F1" w:rsidP="00E101F1">
      <w:pPr>
        <w:pStyle w:val="FootnoteText"/>
      </w:pPr>
      <w:r>
        <w:rPr>
          <w:rStyle w:val="FootnoteReference"/>
        </w:rPr>
        <w:footnoteRef/>
      </w:r>
      <w:r>
        <w:t xml:space="preserve"> </w:t>
      </w:r>
      <w:r>
        <w:tab/>
        <w:t>Παράγραφος 185.</w:t>
      </w:r>
    </w:p>
  </w:footnote>
  <w:footnote w:id="12">
    <w:p w14:paraId="3587D091" w14:textId="77777777" w:rsidR="00E101F1" w:rsidRPr="005C4E62" w:rsidRDefault="00E101F1" w:rsidP="00E101F1">
      <w:pPr>
        <w:pStyle w:val="FootnoteText"/>
      </w:pPr>
      <w:r>
        <w:rPr>
          <w:rStyle w:val="FootnoteReference"/>
        </w:rPr>
        <w:footnoteRef/>
      </w:r>
      <w:r>
        <w:t xml:space="preserve"> </w:t>
      </w:r>
      <w:r>
        <w:tab/>
        <w:t>Παράγραφος 185.</w:t>
      </w:r>
    </w:p>
  </w:footnote>
  <w:footnote w:id="13">
    <w:p w14:paraId="3659135B" w14:textId="77777777" w:rsidR="00C90B4D" w:rsidRPr="005C4E62" w:rsidRDefault="00C90B4D" w:rsidP="00C90B4D">
      <w:pPr>
        <w:pStyle w:val="FootnoteText"/>
      </w:pPr>
      <w:r>
        <w:rPr>
          <w:rStyle w:val="FootnoteReference"/>
        </w:rPr>
        <w:footnoteRef/>
      </w:r>
      <w:r>
        <w:t xml:space="preserve"> </w:t>
      </w:r>
      <w:r>
        <w:tab/>
        <w:t>Παράγραφος 185.</w:t>
      </w:r>
    </w:p>
  </w:footnote>
  <w:footnote w:id="14">
    <w:p w14:paraId="12486B3E" w14:textId="77777777" w:rsidR="00D1408F" w:rsidRPr="005C4E62" w:rsidRDefault="00D1408F">
      <w:pPr>
        <w:pStyle w:val="FootnoteText"/>
      </w:pPr>
      <w:r>
        <w:rPr>
          <w:rStyle w:val="FootnoteReference"/>
        </w:rPr>
        <w:footnoteRef/>
      </w:r>
      <w:r>
        <w:t xml:space="preserve"> </w:t>
      </w:r>
      <w:r>
        <w:tab/>
        <w:t>Παράγραφος 186.</w:t>
      </w:r>
    </w:p>
  </w:footnote>
  <w:footnote w:id="15">
    <w:p w14:paraId="7F46F38D" w14:textId="77777777" w:rsidR="00D1408F" w:rsidRPr="005C4E62" w:rsidRDefault="00D1408F">
      <w:pPr>
        <w:pStyle w:val="FootnoteText"/>
      </w:pPr>
      <w:r>
        <w:rPr>
          <w:rStyle w:val="FootnoteReference"/>
        </w:rPr>
        <w:footnoteRef/>
      </w:r>
      <w:r>
        <w:t xml:space="preserve"> </w:t>
      </w:r>
      <w:r>
        <w:tab/>
        <w:t>Παράγραφος 187.</w:t>
      </w:r>
    </w:p>
  </w:footnote>
  <w:footnote w:id="16">
    <w:p w14:paraId="5FFA53BE" w14:textId="77777777" w:rsidR="00F47AC0" w:rsidRPr="005C4E62" w:rsidRDefault="00F47AC0">
      <w:pPr>
        <w:pStyle w:val="FootnoteText"/>
      </w:pPr>
      <w:r>
        <w:rPr>
          <w:rStyle w:val="FootnoteReference"/>
        </w:rPr>
        <w:footnoteRef/>
      </w:r>
      <w:r>
        <w:t xml:space="preserve"> </w:t>
      </w:r>
      <w:r>
        <w:tab/>
        <w:t>Παράγραφος 194.</w:t>
      </w:r>
    </w:p>
  </w:footnote>
  <w:footnote w:id="17">
    <w:p w14:paraId="216B930A" w14:textId="77777777" w:rsidR="00F47AC0" w:rsidRPr="005C4E62" w:rsidRDefault="00F47AC0">
      <w:pPr>
        <w:pStyle w:val="FootnoteText"/>
      </w:pPr>
      <w:r>
        <w:rPr>
          <w:rStyle w:val="FootnoteReference"/>
        </w:rPr>
        <w:footnoteRef/>
      </w:r>
      <w:r>
        <w:t xml:space="preserve"> </w:t>
      </w:r>
      <w:r>
        <w:tab/>
        <w:t>Παράγραφος 195.</w:t>
      </w:r>
    </w:p>
  </w:footnote>
  <w:footnote w:id="18">
    <w:p w14:paraId="36F4B981" w14:textId="77777777" w:rsidR="00F47AC0" w:rsidRPr="005C4E62" w:rsidRDefault="00F47AC0">
      <w:pPr>
        <w:pStyle w:val="FootnoteText"/>
      </w:pPr>
      <w:r>
        <w:rPr>
          <w:rStyle w:val="FootnoteReference"/>
        </w:rPr>
        <w:footnoteRef/>
      </w:r>
      <w:r>
        <w:t xml:space="preserve"> </w:t>
      </w:r>
      <w:r>
        <w:tab/>
        <w:t>Παράγραφος 193.</w:t>
      </w:r>
    </w:p>
  </w:footnote>
  <w:footnote w:id="19">
    <w:p w14:paraId="657D5FA7" w14:textId="77777777" w:rsidR="00F47AC0" w:rsidRPr="005C4E62" w:rsidRDefault="00F47AC0">
      <w:pPr>
        <w:pStyle w:val="FootnoteText"/>
      </w:pPr>
      <w:r>
        <w:rPr>
          <w:rStyle w:val="FootnoteReference"/>
        </w:rPr>
        <w:footnoteRef/>
      </w:r>
      <w:r>
        <w:t xml:space="preserve"> </w:t>
      </w:r>
      <w:r>
        <w:tab/>
        <w:t>Παράγραφος 193.</w:t>
      </w:r>
    </w:p>
  </w:footnote>
  <w:footnote w:id="20">
    <w:p w14:paraId="15CB890D" w14:textId="77777777" w:rsidR="00F47AC0" w:rsidRPr="005C4E62" w:rsidRDefault="00F47AC0">
      <w:pPr>
        <w:pStyle w:val="FootnoteText"/>
      </w:pPr>
      <w:r>
        <w:rPr>
          <w:rStyle w:val="FootnoteReference"/>
        </w:rPr>
        <w:footnoteRef/>
      </w:r>
      <w:r>
        <w:t xml:space="preserve"> </w:t>
      </w:r>
      <w:r>
        <w:tab/>
        <w:t>Παράγραφος 196. Βλ. επίσης παράγραφο 194.</w:t>
      </w:r>
    </w:p>
  </w:footnote>
  <w:footnote w:id="21">
    <w:p w14:paraId="3C55631B" w14:textId="77777777" w:rsidR="00F47AC0" w:rsidRPr="005C4E62" w:rsidRDefault="00F47AC0">
      <w:pPr>
        <w:pStyle w:val="FootnoteText"/>
      </w:pPr>
      <w:r>
        <w:rPr>
          <w:rStyle w:val="FootnoteReference"/>
        </w:rPr>
        <w:footnoteRef/>
      </w:r>
      <w:r>
        <w:t xml:space="preserve"> </w:t>
      </w:r>
      <w:r>
        <w:tab/>
        <w:t>Παράγραφος 196.</w:t>
      </w:r>
    </w:p>
  </w:footnote>
  <w:footnote w:id="22">
    <w:p w14:paraId="32C7E32B" w14:textId="77777777" w:rsidR="00E217F7" w:rsidRPr="005C4E62" w:rsidRDefault="00E217F7">
      <w:pPr>
        <w:pStyle w:val="FootnoteText"/>
      </w:pPr>
      <w:r>
        <w:rPr>
          <w:rStyle w:val="FootnoteReference"/>
        </w:rPr>
        <w:footnoteRef/>
      </w:r>
      <w:r>
        <w:t xml:space="preserve"> </w:t>
      </w:r>
      <w:r>
        <w:tab/>
        <w:t>Παράγραφος 198.</w:t>
      </w:r>
    </w:p>
  </w:footnote>
  <w:footnote w:id="23">
    <w:p w14:paraId="3962B2BA" w14:textId="77777777" w:rsidR="009A1814" w:rsidRPr="005C4E62" w:rsidRDefault="009A1814" w:rsidP="009A1814">
      <w:pPr>
        <w:pStyle w:val="FootnoteText"/>
      </w:pPr>
      <w:r>
        <w:rPr>
          <w:rStyle w:val="FootnoteReference"/>
        </w:rPr>
        <w:footnoteRef/>
      </w:r>
      <w:r>
        <w:t xml:space="preserve"> </w:t>
      </w:r>
      <w:r>
        <w:tab/>
        <w:t>Παράγραφος 187.</w:t>
      </w:r>
    </w:p>
  </w:footnote>
  <w:footnote w:id="24">
    <w:p w14:paraId="1A6F55B3" w14:textId="77777777" w:rsidR="00807BE5" w:rsidRPr="005C4E62" w:rsidRDefault="00807BE5" w:rsidP="00807BE5">
      <w:pPr>
        <w:pStyle w:val="FootnoteText"/>
      </w:pPr>
      <w:r>
        <w:rPr>
          <w:rStyle w:val="FootnoteReference"/>
        </w:rPr>
        <w:footnoteRef/>
      </w:r>
      <w:r>
        <w:t xml:space="preserve"> </w:t>
      </w:r>
      <w:r>
        <w:tab/>
        <w:t>Παράγραφος 191.</w:t>
      </w:r>
    </w:p>
  </w:footnote>
  <w:footnote w:id="25">
    <w:p w14:paraId="3C377C7C" w14:textId="77777777" w:rsidR="00F47AC0" w:rsidRPr="005C4E62" w:rsidRDefault="00F47AC0" w:rsidP="00F47AC0">
      <w:pPr>
        <w:pStyle w:val="FootnoteText"/>
      </w:pPr>
      <w:r>
        <w:rPr>
          <w:rStyle w:val="FootnoteReference"/>
        </w:rPr>
        <w:footnoteRef/>
      </w:r>
      <w:r>
        <w:t xml:space="preserve"> </w:t>
      </w:r>
      <w:r>
        <w:tab/>
        <w:t>Παράγραφος 192. Για τον ορισμό του χαρακτήρα κινήτρου, βλ. παράγραφο 38.</w:t>
      </w:r>
    </w:p>
  </w:footnote>
  <w:footnote w:id="26">
    <w:p w14:paraId="37AF6D53" w14:textId="77777777" w:rsidR="006C4335" w:rsidRPr="005C4E62" w:rsidRDefault="006C4335">
      <w:pPr>
        <w:pStyle w:val="FootnoteText"/>
      </w:pPr>
      <w:r>
        <w:rPr>
          <w:rStyle w:val="FootnoteReference"/>
        </w:rPr>
        <w:footnoteRef/>
      </w:r>
      <w:r>
        <w:t xml:space="preserve"> </w:t>
      </w:r>
      <w:r>
        <w:tab/>
        <w:t>Παράγραφος 194.</w:t>
      </w:r>
    </w:p>
  </w:footnote>
  <w:footnote w:id="27">
    <w:p w14:paraId="6001DF8B" w14:textId="77777777" w:rsidR="00E217F7" w:rsidRPr="005C4E62" w:rsidRDefault="00E217F7">
      <w:pPr>
        <w:pStyle w:val="FootnoteText"/>
      </w:pPr>
      <w:r>
        <w:rPr>
          <w:rStyle w:val="FootnoteReference"/>
        </w:rPr>
        <w:footnoteRef/>
      </w:r>
      <w:r>
        <w:t xml:space="preserve"> </w:t>
      </w:r>
      <w:r>
        <w:tab/>
        <w:t>Παράγραφος 197. Βλ. επίσης παράγραφο 195.</w:t>
      </w:r>
    </w:p>
  </w:footnote>
  <w:footnote w:id="28">
    <w:p w14:paraId="42E9C1E5" w14:textId="77777777" w:rsidR="00E217F7" w:rsidRPr="005C4E62" w:rsidRDefault="00E217F7">
      <w:pPr>
        <w:pStyle w:val="FootnoteText"/>
      </w:pPr>
      <w:r>
        <w:rPr>
          <w:rStyle w:val="FootnoteReference"/>
        </w:rPr>
        <w:footnoteRef/>
      </w:r>
      <w:r>
        <w:t xml:space="preserve"> </w:t>
      </w:r>
      <w:r>
        <w:tab/>
        <w:t>Παράγραφος 200.</w:t>
      </w:r>
    </w:p>
  </w:footnote>
  <w:footnote w:id="29">
    <w:p w14:paraId="1CC04556" w14:textId="77777777" w:rsidR="00DE2831" w:rsidRPr="005C4E62" w:rsidRDefault="00DE2831">
      <w:pPr>
        <w:pStyle w:val="FootnoteText"/>
      </w:pPr>
      <w:r>
        <w:rPr>
          <w:rStyle w:val="FootnoteReference"/>
        </w:rPr>
        <w:footnoteRef/>
      </w:r>
      <w:r>
        <w:t xml:space="preserve"> </w:t>
      </w:r>
      <w:r>
        <w:tab/>
        <w:t>Παράγραφος 202.</w:t>
      </w:r>
    </w:p>
  </w:footnote>
  <w:footnote w:id="30">
    <w:p w14:paraId="1730B13D" w14:textId="77777777" w:rsidR="00DE2831" w:rsidRPr="005C4E62" w:rsidRDefault="00DE2831">
      <w:pPr>
        <w:pStyle w:val="FootnoteText"/>
      </w:pPr>
      <w:r>
        <w:rPr>
          <w:rStyle w:val="FootnoteReference"/>
        </w:rPr>
        <w:footnoteRef/>
      </w:r>
      <w:r>
        <w:t xml:space="preserve"> </w:t>
      </w:r>
      <w:r>
        <w:tab/>
        <w:t>Παράγραφος 203.</w:t>
      </w:r>
    </w:p>
  </w:footnote>
  <w:footnote w:id="31">
    <w:p w14:paraId="420C1F17" w14:textId="77777777" w:rsidR="00153D1B" w:rsidRPr="005C4E62" w:rsidRDefault="00153D1B">
      <w:pPr>
        <w:pStyle w:val="FootnoteText"/>
      </w:pPr>
      <w:r>
        <w:rPr>
          <w:rStyle w:val="FootnoteReference"/>
        </w:rPr>
        <w:footnoteRef/>
      </w:r>
      <w:r>
        <w:t xml:space="preserve"> </w:t>
      </w:r>
      <w:r>
        <w:tab/>
        <w:t xml:space="preserve">Διατίθεται στη διεύθυνση: </w:t>
      </w:r>
      <w:hyperlink r:id="rId1" w:history="1">
        <w:r>
          <w:rPr>
            <w:rStyle w:val="Hyperlink"/>
          </w:rPr>
          <w:t>https://webgate.ec.europa.eu/competition/transparency/public?lang=el</w:t>
        </w:r>
      </w:hyperlink>
      <w:r>
        <w:t xml:space="preserve">. </w:t>
      </w:r>
    </w:p>
  </w:footnote>
  <w:footnote w:id="32">
    <w:p w14:paraId="66119C74" w14:textId="77777777" w:rsidR="00153D1B" w:rsidRPr="005C4E62" w:rsidRDefault="00153D1B">
      <w:pPr>
        <w:pStyle w:val="FootnoteText"/>
      </w:pPr>
      <w:r>
        <w:rPr>
          <w:rStyle w:val="FootnoteReference"/>
        </w:rPr>
        <w:footnoteRef/>
      </w:r>
      <w:r>
        <w:t xml:space="preserve"> </w:t>
      </w:r>
      <w:r>
        <w:tab/>
        <w:t>Παράγραφος 202.</w:t>
      </w:r>
    </w:p>
  </w:footnote>
  <w:footnote w:id="33">
    <w:p w14:paraId="4CAC0BF2" w14:textId="77777777" w:rsidR="00DE2831" w:rsidRPr="005C4E62" w:rsidRDefault="00DE2831" w:rsidP="00DE2831">
      <w:pPr>
        <w:pStyle w:val="FootnoteText"/>
      </w:pPr>
      <w:r>
        <w:rPr>
          <w:rStyle w:val="FootnoteReference"/>
        </w:rPr>
        <w:footnoteRef/>
      </w:r>
      <w:r>
        <w:t xml:space="preserve"> </w:t>
      </w:r>
      <w:r>
        <w:tab/>
        <w:t>Παράγραφος 204.</w:t>
      </w:r>
    </w:p>
  </w:footnote>
  <w:footnote w:id="34">
    <w:p w14:paraId="7F531BC7" w14:textId="77777777" w:rsidR="00DE2831" w:rsidRPr="005C4E62" w:rsidRDefault="00DE2831" w:rsidP="00DE2831">
      <w:pPr>
        <w:pStyle w:val="FootnoteText"/>
      </w:pPr>
      <w:r>
        <w:rPr>
          <w:rStyle w:val="FootnoteReference"/>
        </w:rPr>
        <w:footnoteRef/>
      </w:r>
      <w:r>
        <w:t xml:space="preserve"> </w:t>
      </w:r>
      <w:r>
        <w:tab/>
        <w:t>Παράγραφος 204.</w:t>
      </w:r>
    </w:p>
  </w:footnote>
  <w:footnote w:id="35">
    <w:p w14:paraId="325D8B78" w14:textId="77777777" w:rsidR="004879A7" w:rsidRPr="005C4E62" w:rsidRDefault="004879A7">
      <w:pPr>
        <w:pStyle w:val="FootnoteText"/>
      </w:pPr>
      <w:r>
        <w:rPr>
          <w:rStyle w:val="FootnoteReference"/>
        </w:rPr>
        <w:footnoteRef/>
      </w:r>
      <w:r>
        <w:t xml:space="preserve"> </w:t>
      </w:r>
      <w:r>
        <w:tab/>
        <w:t>Παράγραφοι 207-208.</w:t>
      </w:r>
    </w:p>
  </w:footnote>
  <w:footnote w:id="36">
    <w:p w14:paraId="49BC3CE8" w14:textId="77777777" w:rsidR="004879A7" w:rsidRPr="005C4E62" w:rsidRDefault="004879A7">
      <w:pPr>
        <w:pStyle w:val="FootnoteText"/>
      </w:pPr>
      <w:r>
        <w:rPr>
          <w:rStyle w:val="FootnoteReference"/>
        </w:rPr>
        <w:footnoteRef/>
      </w:r>
      <w:r>
        <w:t xml:space="preserve"> </w:t>
      </w:r>
      <w:r>
        <w:tab/>
        <w:t>Παράγραφος 209.</w:t>
      </w:r>
    </w:p>
  </w:footnote>
  <w:footnote w:id="37">
    <w:p w14:paraId="5579609A" w14:textId="77777777" w:rsidR="00C04E88" w:rsidRPr="005C4E62" w:rsidRDefault="00C04E88" w:rsidP="00C04E88">
      <w:pPr>
        <w:pStyle w:val="FootnoteText"/>
      </w:pPr>
      <w:r>
        <w:rPr>
          <w:rStyle w:val="FootnoteReference"/>
        </w:rPr>
        <w:footnoteRef/>
      </w:r>
      <w:r>
        <w:tab/>
        <w:t>Για καθοδήγηση, βλ. άρθρο 339 της ΣΛΕΕ που αναφέρεται σε «πληροφορίες σχετικές με επιχειρήσεις που αφορούν τις εμπορικές τους σχέσεις και τα κοστολογικά τους στοιχεία». Τα δικαστήρια της Ένωσης έχουν γενικώς καθορίσει τα «επιχειρηματικά απόρρητα» ως πληροφοριακά στοιχεία «των οποίων όχι μόνο η κοινολόγηση αλλά και η απλή διαβίβαση σε υποκείμενο δικαίου άλλο από εκείνο που παρέσχε το στοιχείο μπορεί να προκαλέσει σοβαρή βλάβη στα συμφέροντα του υποκειμένου αυτού» στην υπόθεση T-353/94, Postbank κατά Επιτροπής, ECLI:EU:T:1996:119, σκέψη 87.</w:t>
      </w:r>
    </w:p>
  </w:footnote>
  <w:footnote w:id="38">
    <w:p w14:paraId="2C7BE95C" w14:textId="77777777" w:rsidR="00FC09A8" w:rsidRPr="005C4E62" w:rsidRDefault="00FC09A8" w:rsidP="00FC09A8">
      <w:pPr>
        <w:pStyle w:val="FootnoteText"/>
      </w:pPr>
      <w:r>
        <w:rPr>
          <w:rStyle w:val="FootnoteReference"/>
        </w:rPr>
        <w:footnoteRef/>
      </w:r>
      <w:r>
        <w:t xml:space="preserve"> </w:t>
      </w:r>
      <w:r>
        <w:tab/>
        <w:t>Κανονισμός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(ΕΕ L 187 της 26.6.2014, σ. 1), όπως τροποποιήθηκε.</w:t>
      </w:r>
    </w:p>
  </w:footnote>
  <w:footnote w:id="39">
    <w:p w14:paraId="28B43A1A" w14:textId="77777777" w:rsidR="00C04E88" w:rsidRPr="00FC09A8" w:rsidRDefault="00C04E88" w:rsidP="00C04E88">
      <w:pPr>
        <w:pStyle w:val="FootnoteText"/>
      </w:pPr>
      <w:r>
        <w:rPr>
          <w:rStyle w:val="FootnoteReference"/>
        </w:rPr>
        <w:footnoteRef/>
      </w:r>
      <w:r>
        <w:t xml:space="preserve"> </w:t>
      </w:r>
      <w:r>
        <w:tab/>
        <w:t>Κανονισμός (ΕΕ) αριθ. 1407/2013 της Επιτροπής,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(ΕΕ L 352 της 24.12.2013, σ.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39"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0"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2"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3"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4"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6"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2"/>
  </w:num>
  <w:num w:numId="7" w16cid:durableId="882642859">
    <w:abstractNumId w:val="10"/>
  </w:num>
  <w:num w:numId="8" w16cid:durableId="1107656495">
    <w:abstractNumId w:val="5"/>
  </w:num>
  <w:num w:numId="9" w16cid:durableId="238832995">
    <w:abstractNumId w:val="45"/>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0"/>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8"/>
  </w:num>
  <w:num w:numId="24" w16cid:durableId="1613895504">
    <w:abstractNumId w:val="14"/>
  </w:num>
  <w:num w:numId="25" w16cid:durableId="487525385">
    <w:abstractNumId w:val="36"/>
  </w:num>
  <w:num w:numId="26" w16cid:durableId="1541477428">
    <w:abstractNumId w:val="29"/>
  </w:num>
  <w:num w:numId="27" w16cid:durableId="1427270664">
    <w:abstractNumId w:val="39"/>
  </w:num>
  <w:num w:numId="28" w16cid:durableId="736056889">
    <w:abstractNumId w:val="9"/>
  </w:num>
  <w:num w:numId="29" w16cid:durableId="47460274">
    <w:abstractNumId w:val="43"/>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4"/>
  </w:num>
  <w:num w:numId="38" w16cid:durableId="765658691">
    <w:abstractNumId w:val="46"/>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1"/>
  </w:num>
  <w:num w:numId="46" w16cid:durableId="1624653190">
    <w:abstractNumId w:val="11"/>
  </w:num>
  <w:num w:numId="47" w16cid:durableId="61217928">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7B1"/>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D3AB5"/>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5F5DB2"/>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2975"/>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13ED4"/>
    <w:rsid w:val="0092048A"/>
    <w:rsid w:val="009300C8"/>
    <w:rsid w:val="00933728"/>
    <w:rsid w:val="009526B2"/>
    <w:rsid w:val="00954EBE"/>
    <w:rsid w:val="009642EB"/>
    <w:rsid w:val="009A1814"/>
    <w:rsid w:val="009D198A"/>
    <w:rsid w:val="009D74EF"/>
    <w:rsid w:val="009F18E1"/>
    <w:rsid w:val="009F1CC8"/>
    <w:rsid w:val="00A15706"/>
    <w:rsid w:val="00A33E52"/>
    <w:rsid w:val="00A46A75"/>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7355E"/>
    <w:rsid w:val="00C86C01"/>
    <w:rsid w:val="00C86E6D"/>
    <w:rsid w:val="00C90B4D"/>
    <w:rsid w:val="00C911FF"/>
    <w:rsid w:val="00C9528F"/>
    <w:rsid w:val="00CC3AC2"/>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D7715"/>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l-GR"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el-GR"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el-GR"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el-GR" w:eastAsia="en-US"/>
    </w:rPr>
  </w:style>
  <w:style w:type="paragraph" w:styleId="Header">
    <w:name w:val="header"/>
    <w:basedOn w:val="Normal"/>
    <w:link w:val="HeaderChar"/>
    <w:uiPriority w:val="99"/>
    <w:unhideWhenUsed/>
    <w:rsid w:val="00C7355E"/>
    <w:pPr>
      <w:tabs>
        <w:tab w:val="center" w:pos="4513"/>
        <w:tab w:val="right" w:pos="9026"/>
      </w:tabs>
    </w:pPr>
  </w:style>
  <w:style w:type="character" w:customStyle="1" w:styleId="HeaderChar">
    <w:name w:val="Header Char"/>
    <w:basedOn w:val="DefaultParagraphFont"/>
    <w:link w:val="Header"/>
    <w:uiPriority w:val="99"/>
    <w:rsid w:val="00C7355E"/>
    <w:rPr>
      <w:sz w:val="24"/>
      <w:lang w:eastAsia="en-US"/>
    </w:rPr>
  </w:style>
  <w:style w:type="paragraph" w:styleId="Footer">
    <w:name w:val="footer"/>
    <w:basedOn w:val="Normal"/>
    <w:link w:val="FooterChar"/>
    <w:uiPriority w:val="99"/>
    <w:unhideWhenUsed/>
    <w:rsid w:val="00C7355E"/>
    <w:pPr>
      <w:tabs>
        <w:tab w:val="center" w:pos="4513"/>
        <w:tab w:val="right" w:pos="9026"/>
      </w:tabs>
    </w:pPr>
  </w:style>
  <w:style w:type="character" w:customStyle="1" w:styleId="FooterChar">
    <w:name w:val="Footer Char"/>
    <w:basedOn w:val="DefaultParagraphFont"/>
    <w:link w:val="Footer"/>
    <w:uiPriority w:val="99"/>
    <w:rsid w:val="00C7355E"/>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2391</Words>
  <Characters>14612</Characters>
  <Application>Microsoft Office Word</Application>
  <DocSecurity>0</DocSecurity>
  <Lines>339</Lines>
  <Paragraphs>136</Paragraphs>
  <ScaleCrop>false</ScaleCrop>
  <Company/>
  <LinksUpToDate>false</LinksUpToDate>
  <CharactersWithSpaces>16867</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2024-03-06T09:51:00Z</dcterms:created>
  <dcterms:modified xsi:type="dcterms:W3CDTF">2024-03-06T09:51:00Z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2024-03-06T09:51:17Z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3456da56-9170-4756-95c2-6bfa16a95ac0</vt:lpwstr>
  </property>
  <property fmtid="{D5CDD505-2E9C-101B-9397-08002B2CF9AE}" pid="8" name="MSIP_Label_6bd9ddd1-4d20-43f6-abfa-fc3c07406f94_ContentBits">
    <vt:lpwstr>0</vt:lpwstr>
  </property>
</Properties>
</file>