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03A1FF53" w14:textId="77777777" w:rsidTr="00466BC2">
        <w:trPr>
          <w:trHeight w:val="854"/>
        </w:trPr>
        <w:tc>
          <w:tcPr>
            <w:tcW w:w="9000" w:type="dxa"/>
            <w:tcBorders>
              <w:top w:val="single" w:sz="4" w:space="0" w:color="auto"/>
              <w:bottom w:val="single" w:sz="4" w:space="0" w:color="auto"/>
            </w:tcBorders>
            <w:shd w:val="pct15" w:color="auto" w:fill="FFFFFF"/>
          </w:tcPr>
          <w:p w14:paraId="0110FC0C"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Del III.5 - Supplerende informationsskema om statsstøtte </w:t>
            </w:r>
            <w:bookmarkEnd w:id="0"/>
            <w:bookmarkEnd w:id="1"/>
            <w:r>
              <w:rPr>
                <w:color w:val="auto"/>
              </w:rPr>
              <w:t>til foranstaltninger til udbredelse af tjenester</w:t>
            </w:r>
          </w:p>
        </w:tc>
      </w:tr>
    </w:tbl>
    <w:p w14:paraId="78CCD802" w14:textId="77777777" w:rsidR="007B33E6" w:rsidRPr="005C4E62" w:rsidRDefault="007B33E6" w:rsidP="001507A9">
      <w:pPr>
        <w:spacing w:before="240" w:after="240"/>
        <w:jc w:val="both"/>
        <w:rPr>
          <w:i/>
          <w:iCs/>
        </w:rPr>
      </w:pPr>
      <w:r>
        <w:rPr>
          <w:i/>
        </w:rPr>
        <w:t>Dette supplerende informationsskema anvendes til anmeldelse af støtte til foranstaltninger til udbredelse af tjenester, som er omfattet af Kommissionens retningslinjer for statsstøtte til bredbåndsnet</w:t>
      </w:r>
      <w:r w:rsidRPr="005C4E62">
        <w:rPr>
          <w:bCs/>
          <w:vertAlign w:val="superscript"/>
        </w:rPr>
        <w:footnoteReference w:id="1"/>
      </w:r>
      <w:r>
        <w:rPr>
          <w:i/>
        </w:rPr>
        <w:t xml:space="preserve"> ("bredbåndsretningslinjerne")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25E9631A" w14:textId="77777777" w:rsidTr="00646E8A">
        <w:tc>
          <w:tcPr>
            <w:tcW w:w="9286" w:type="dxa"/>
            <w:shd w:val="clear" w:color="auto" w:fill="D9D9D9"/>
          </w:tcPr>
          <w:p w14:paraId="6587CDA7"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Generelle oplysninger</w:t>
            </w:r>
          </w:p>
        </w:tc>
      </w:tr>
    </w:tbl>
    <w:p w14:paraId="058B9159" w14:textId="77777777" w:rsidR="007B33E6" w:rsidRPr="005C4E62" w:rsidRDefault="007B33E6" w:rsidP="00BE2CC4">
      <w:pPr>
        <w:pStyle w:val="NumPar2"/>
        <w:numPr>
          <w:ilvl w:val="1"/>
          <w:numId w:val="1"/>
        </w:numPr>
        <w:tabs>
          <w:tab w:val="clear" w:pos="1200"/>
        </w:tabs>
        <w:spacing w:before="240"/>
        <w:ind w:left="709"/>
      </w:pPr>
      <w:bookmarkStart w:id="2" w:name="_Ref152597077"/>
      <w:r>
        <w:t>Giv en detaljeret beskrivelse af støtteforanstaltningen og formålene hermed</w:t>
      </w:r>
      <w:bookmarkEnd w:id="2"/>
    </w:p>
    <w:p w14:paraId="5653BFF3" w14:textId="77777777" w:rsidR="00515227" w:rsidRPr="005C4E62" w:rsidRDefault="00515227" w:rsidP="001507A9">
      <w:pPr>
        <w:pStyle w:val="Text2"/>
        <w:tabs>
          <w:tab w:val="clear" w:pos="2161"/>
          <w:tab w:val="left" w:leader="dot" w:pos="9072"/>
        </w:tabs>
        <w:spacing w:before="120" w:after="120"/>
        <w:ind w:left="709"/>
      </w:pPr>
      <w:r>
        <w:tab/>
      </w:r>
    </w:p>
    <w:p w14:paraId="65F7A517" w14:textId="77777777" w:rsidR="001507A9" w:rsidRPr="005C4E62" w:rsidRDefault="001507A9" w:rsidP="001507A9">
      <w:pPr>
        <w:pStyle w:val="NumPar2"/>
        <w:numPr>
          <w:ilvl w:val="1"/>
          <w:numId w:val="1"/>
        </w:numPr>
        <w:tabs>
          <w:tab w:val="clear" w:pos="1200"/>
        </w:tabs>
        <w:ind w:left="709"/>
      </w:pPr>
      <w:r>
        <w:t>Redegør for, hvorfor støtteforanstaltningen angiveligt udgør statsstøtte</w:t>
      </w:r>
      <w:r w:rsidRPr="005C4E62">
        <w:rPr>
          <w:rStyle w:val="FootnoteReference"/>
        </w:rPr>
        <w:footnoteReference w:id="2"/>
      </w:r>
    </w:p>
    <w:p w14:paraId="68855F0F" w14:textId="77777777" w:rsidR="001507A9" w:rsidRPr="005C4E62" w:rsidRDefault="001507A9" w:rsidP="001507A9">
      <w:pPr>
        <w:pStyle w:val="Text2"/>
        <w:tabs>
          <w:tab w:val="clear" w:pos="2161"/>
          <w:tab w:val="left" w:leader="dot" w:pos="9072"/>
        </w:tabs>
        <w:spacing w:before="120" w:after="120"/>
        <w:ind w:left="709"/>
      </w:pPr>
      <w:r>
        <w:tab/>
      </w:r>
    </w:p>
    <w:p w14:paraId="5F9CBE61" w14:textId="77777777" w:rsidR="001507A9" w:rsidRPr="005C4E62" w:rsidRDefault="001507A9" w:rsidP="001507A9">
      <w:pPr>
        <w:pStyle w:val="NumPar2"/>
        <w:numPr>
          <w:ilvl w:val="1"/>
          <w:numId w:val="1"/>
        </w:numPr>
        <w:tabs>
          <w:tab w:val="clear" w:pos="1200"/>
        </w:tabs>
        <w:ind w:left="709"/>
      </w:pPr>
      <w:r>
        <w:t>Angiv, om støtteforanstaltningen består af:</w:t>
      </w:r>
    </w:p>
    <w:p w14:paraId="1B4079B7"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sociale vouchere</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konnektivitetsvouchere</w:t>
      </w:r>
      <w:r w:rsidRPr="005C4E62">
        <w:rPr>
          <w:rStyle w:val="FootnoteReference"/>
          <w:lang w:bidi="si-LK"/>
        </w:rPr>
        <w:footnoteReference w:id="4"/>
      </w:r>
    </w:p>
    <w:p w14:paraId="138A193B" w14:textId="77777777" w:rsidR="006F5901" w:rsidRPr="005C4E62" w:rsidRDefault="006F5901" w:rsidP="001507A9">
      <w:pPr>
        <w:pStyle w:val="NumPar2"/>
        <w:numPr>
          <w:ilvl w:val="1"/>
          <w:numId w:val="1"/>
        </w:numPr>
        <w:tabs>
          <w:tab w:val="clear" w:pos="1200"/>
        </w:tabs>
        <w:ind w:left="709"/>
      </w:pPr>
      <w:r>
        <w:t>Beskriv, hvordan støtteforanstaltningen indgår i den nationale bredbåndsstrategi og EU's digitale mål og miljømål</w:t>
      </w:r>
      <w:r w:rsidRPr="005C4E62">
        <w:rPr>
          <w:rStyle w:val="FootnoteReference"/>
        </w:rPr>
        <w:footnoteReference w:id="5"/>
      </w:r>
      <w:r>
        <w:t xml:space="preserve"> </w:t>
      </w:r>
    </w:p>
    <w:p w14:paraId="33F6A54E" w14:textId="77777777" w:rsidR="006F5901" w:rsidRPr="005C4E62" w:rsidRDefault="006F5901" w:rsidP="001507A9">
      <w:pPr>
        <w:pStyle w:val="Text2"/>
        <w:tabs>
          <w:tab w:val="clear" w:pos="2161"/>
          <w:tab w:val="left" w:leader="dot" w:pos="9072"/>
        </w:tabs>
        <w:spacing w:before="120" w:after="120"/>
        <w:ind w:left="709"/>
      </w:pPr>
      <w:r>
        <w:tab/>
      </w:r>
    </w:p>
    <w:p w14:paraId="18307602" w14:textId="77777777" w:rsidR="00C66331" w:rsidRPr="005C4E62" w:rsidRDefault="00C66331" w:rsidP="001507A9">
      <w:pPr>
        <w:pStyle w:val="NumPar2"/>
        <w:numPr>
          <w:ilvl w:val="1"/>
          <w:numId w:val="1"/>
        </w:numPr>
        <w:tabs>
          <w:tab w:val="clear" w:pos="1200"/>
        </w:tabs>
        <w:ind w:left="709"/>
      </w:pPr>
      <w:r>
        <w:t>Er støtten begrundet i</w:t>
      </w:r>
      <w:r w:rsidR="001507A9" w:rsidRPr="005C4E62">
        <w:rPr>
          <w:rStyle w:val="FootnoteReference"/>
        </w:rPr>
        <w:footnoteReference w:id="6"/>
      </w:r>
      <w:r>
        <w:t>:</w:t>
      </w:r>
    </w:p>
    <w:p w14:paraId="162BE7F2"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de økonomiske konsekvenser af omkostningerne ved at abonnere på bredbåndstjenester. Oplys nærmere……………………………………………………………….</w:t>
      </w:r>
    </w:p>
    <w:p w14:paraId="2D6DF1C0"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manglende kendskab til de fordele, som abonnementet på bredbåndstjenester vil medføre. Oplys nærmere………………………….......................................</w:t>
      </w:r>
    </w:p>
    <w:p w14:paraId="6DE02D7C"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andet. Oplys nærmere………………………………………….</w:t>
      </w:r>
    </w:p>
    <w:p w14:paraId="4C3DECFA" w14:textId="77777777" w:rsidR="007B33E6" w:rsidRPr="005C4E62" w:rsidRDefault="007B33E6" w:rsidP="001507A9">
      <w:pPr>
        <w:pStyle w:val="NumPar2"/>
        <w:numPr>
          <w:ilvl w:val="1"/>
          <w:numId w:val="1"/>
        </w:numPr>
        <w:tabs>
          <w:tab w:val="clear" w:pos="1200"/>
        </w:tabs>
        <w:ind w:left="709"/>
      </w:pPr>
      <w:r>
        <w:t>Redegør for baggrunden for støtteforanstaltningen (f.eks. bredbåndsnettets nuværende dækning i medlemsstaten, nuværende udbredelse af bredbåndstjenester), og angiv kilder til oplysningerne</w:t>
      </w:r>
    </w:p>
    <w:p w14:paraId="7EB90144" w14:textId="77777777" w:rsidR="00B973C6" w:rsidRPr="005C4E62" w:rsidRDefault="00B973C6" w:rsidP="001507A9">
      <w:pPr>
        <w:pStyle w:val="Text2"/>
        <w:tabs>
          <w:tab w:val="clear" w:pos="2161"/>
          <w:tab w:val="left" w:leader="dot" w:pos="9072"/>
        </w:tabs>
        <w:spacing w:before="120" w:after="120"/>
        <w:ind w:left="709"/>
      </w:pPr>
      <w:r>
        <w:tab/>
      </w:r>
    </w:p>
    <w:p w14:paraId="1A7294BA" w14:textId="77777777" w:rsidR="005A7B71" w:rsidRPr="005C4E62" w:rsidRDefault="005A7B71" w:rsidP="001507A9">
      <w:pPr>
        <w:pStyle w:val="NumPar2"/>
        <w:numPr>
          <w:ilvl w:val="1"/>
          <w:numId w:val="1"/>
        </w:numPr>
        <w:tabs>
          <w:tab w:val="clear" w:pos="1200"/>
        </w:tabs>
        <w:ind w:left="709"/>
      </w:pPr>
      <w:r>
        <w:t>Bekræft, at alle hastigheder i denne anmeldelse skal forstås som hastigheder under spidsbelastningsvilkår</w:t>
      </w:r>
      <w:r w:rsidRPr="005C4E62">
        <w:rPr>
          <w:rStyle w:val="FootnoteReference"/>
        </w:rPr>
        <w:footnoteReference w:id="7"/>
      </w:r>
    </w:p>
    <w:p w14:paraId="38C06356"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CF6305">
        <w:fldChar w:fldCharType="separate"/>
      </w:r>
      <w:r w:rsidR="00A63EE7" w:rsidRPr="005C4E62">
        <w:fldChar w:fldCharType="end"/>
      </w:r>
      <w:r>
        <w:tab/>
        <w:t>nej</w:t>
      </w:r>
    </w:p>
    <w:p w14:paraId="47AFA3D2" w14:textId="77777777" w:rsidR="005F2475" w:rsidRPr="005C4E62" w:rsidRDefault="007A2062" w:rsidP="005F2475">
      <w:pPr>
        <w:pStyle w:val="NumPar2"/>
        <w:numPr>
          <w:ilvl w:val="1"/>
          <w:numId w:val="1"/>
        </w:numPr>
        <w:tabs>
          <w:tab w:val="clear" w:pos="1200"/>
        </w:tabs>
        <w:ind w:left="709"/>
      </w:pPr>
      <w:r>
        <w:lastRenderedPageBreak/>
        <w:t>Vedhæft følgende dokumenter (hvis de foreligger), og opsummér indholdet</w:t>
      </w:r>
    </w:p>
    <w:p w14:paraId="382C975E"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konsekvensanalyse af foranstaltningen………………………………………………. </w:t>
      </w:r>
    </w:p>
    <w:p w14:paraId="21B7B017"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efterfølgende evalueringer af lignende tidligere ordninger…………………………...</w:t>
      </w:r>
    </w:p>
    <w:p w14:paraId="1EEB2C03"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kontrafaktiske analyser, der påviser, at foranstaltningen har positive virkninger sammenlignet med, hvad der ville være sket uden støtten…………………………….....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1FDC61C0" w14:textId="77777777" w:rsidTr="00796043">
        <w:tc>
          <w:tcPr>
            <w:tcW w:w="9286" w:type="dxa"/>
            <w:shd w:val="clear" w:color="auto" w:fill="D9D9D9"/>
          </w:tcPr>
          <w:p w14:paraId="3F0437C5"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Sociale vouchers</w:t>
            </w:r>
          </w:p>
        </w:tc>
      </w:tr>
    </w:tbl>
    <w:p w14:paraId="649ECCC7" w14:textId="77777777" w:rsidR="004C1C63" w:rsidRPr="005C4E62" w:rsidRDefault="007B5294" w:rsidP="00E27219">
      <w:pPr>
        <w:pStyle w:val="NumPar2"/>
        <w:numPr>
          <w:ilvl w:val="1"/>
          <w:numId w:val="5"/>
        </w:numPr>
        <w:ind w:left="709" w:hanging="709"/>
      </w:pPr>
      <w:r>
        <w:t>Angiv de særlige kategorier af individuelle forbrugere, som støtteforanstaltningen er rettet mod, samt de økonomiske forhold, der berettiger tildeling af støtte af sociale årsager (f.eks. lavindkomstfamilier, studerende, elever osv), og beskriv, hvilke objektive kriterier der er anvendt til at identificere de pågældende forbrugere</w:t>
      </w:r>
      <w:r w:rsidRPr="005C4E62">
        <w:rPr>
          <w:rStyle w:val="FootnoteReference"/>
        </w:rPr>
        <w:footnoteReference w:id="8"/>
      </w:r>
      <w:r>
        <w:t xml:space="preserve"> </w:t>
      </w:r>
    </w:p>
    <w:p w14:paraId="3B22D9D1" w14:textId="77777777" w:rsidR="004C1C63" w:rsidRPr="005C4E62" w:rsidRDefault="004C1C63" w:rsidP="004C1C63">
      <w:pPr>
        <w:pStyle w:val="Text2"/>
        <w:tabs>
          <w:tab w:val="clear" w:pos="2161"/>
          <w:tab w:val="left" w:leader="dot" w:pos="9072"/>
        </w:tabs>
        <w:spacing w:before="120" w:after="120"/>
        <w:ind w:left="709"/>
      </w:pPr>
      <w:r>
        <w:tab/>
      </w:r>
    </w:p>
    <w:p w14:paraId="430AF381" w14:textId="77777777" w:rsidR="007B5294" w:rsidRPr="005C4E62" w:rsidRDefault="004C1C63" w:rsidP="00E27219">
      <w:pPr>
        <w:pStyle w:val="NumPar2"/>
        <w:numPr>
          <w:ilvl w:val="1"/>
          <w:numId w:val="5"/>
        </w:numPr>
        <w:ind w:left="709" w:hanging="709"/>
      </w:pPr>
      <w:r>
        <w:t>Giv et skøn over antallet af forbrugere, der kan blive omfattet af støtteforanstaltningen</w:t>
      </w:r>
    </w:p>
    <w:p w14:paraId="162C67C5" w14:textId="77777777" w:rsidR="007B5294" w:rsidRPr="005C4E62" w:rsidRDefault="007B5294" w:rsidP="009F1CC8">
      <w:pPr>
        <w:pStyle w:val="Text2"/>
        <w:tabs>
          <w:tab w:val="clear" w:pos="2161"/>
          <w:tab w:val="left" w:leader="dot" w:pos="9072"/>
        </w:tabs>
        <w:spacing w:before="120" w:after="120"/>
        <w:ind w:left="709"/>
      </w:pPr>
      <w:r>
        <w:tab/>
      </w:r>
    </w:p>
    <w:p w14:paraId="4095A41E" w14:textId="77777777" w:rsidR="004C1C63" w:rsidRPr="005C4E62" w:rsidRDefault="004C1C63" w:rsidP="00E27219">
      <w:pPr>
        <w:pStyle w:val="NumPar2"/>
        <w:numPr>
          <w:ilvl w:val="1"/>
          <w:numId w:val="5"/>
        </w:numPr>
        <w:ind w:left="709" w:hanging="709"/>
      </w:pPr>
      <w:r>
        <w:t>Identificér de støtteberettigede tjenesteudbydere</w:t>
      </w:r>
    </w:p>
    <w:p w14:paraId="47C5EB8A" w14:textId="77777777" w:rsidR="004C1C63" w:rsidRPr="005C4E62" w:rsidRDefault="004C1C63" w:rsidP="004C1C63">
      <w:pPr>
        <w:pStyle w:val="Text2"/>
        <w:tabs>
          <w:tab w:val="clear" w:pos="2161"/>
          <w:tab w:val="left" w:leader="dot" w:pos="9072"/>
        </w:tabs>
        <w:spacing w:before="120" w:after="120"/>
        <w:ind w:left="709"/>
      </w:pPr>
      <w:r>
        <w:tab/>
      </w:r>
    </w:p>
    <w:p w14:paraId="0EE9E268" w14:textId="77777777" w:rsidR="00237B1B" w:rsidRPr="005C4E62" w:rsidRDefault="00237B1B" w:rsidP="00E27219">
      <w:pPr>
        <w:pStyle w:val="NumPar2"/>
        <w:numPr>
          <w:ilvl w:val="1"/>
          <w:numId w:val="5"/>
        </w:numPr>
        <w:ind w:left="709" w:hanging="709"/>
      </w:pPr>
      <w:r>
        <w:t>Angiv, hvilke støtteberettigede tjenester der er omfattet af støtteforanstaltningen (f.eks. med hensyn til downloadhastighed, uploadhastighed osv.), og redegør for, hvordan myndighederne har identificeret disse tjenester</w:t>
      </w:r>
    </w:p>
    <w:p w14:paraId="3D9F5805" w14:textId="77777777" w:rsidR="00237B1B" w:rsidRPr="005C4E62" w:rsidRDefault="00237B1B" w:rsidP="00237B1B">
      <w:pPr>
        <w:pStyle w:val="Text2"/>
        <w:tabs>
          <w:tab w:val="clear" w:pos="2161"/>
          <w:tab w:val="left" w:leader="dot" w:pos="9072"/>
        </w:tabs>
        <w:spacing w:before="120" w:after="120"/>
        <w:ind w:left="709"/>
      </w:pPr>
      <w:r>
        <w:tab/>
      </w:r>
    </w:p>
    <w:p w14:paraId="2500800D" w14:textId="77777777" w:rsidR="00042ACA" w:rsidRPr="005C4E62" w:rsidRDefault="00710B4A" w:rsidP="00042ACA">
      <w:pPr>
        <w:pStyle w:val="NumPar2"/>
        <w:numPr>
          <w:ilvl w:val="1"/>
          <w:numId w:val="5"/>
        </w:numPr>
        <w:ind w:left="709" w:hanging="709"/>
      </w:pPr>
      <w:r>
        <w:t>Angiv, hvad voucherne vil blive brugt til, og oplys nærmere</w:t>
      </w:r>
      <w:r w:rsidRPr="005C4E62">
        <w:rPr>
          <w:rStyle w:val="FootnoteReference"/>
        </w:rPr>
        <w:footnoteReference w:id="9"/>
      </w:r>
      <w:r>
        <w:t>:</w:t>
      </w:r>
    </w:p>
    <w:p w14:paraId="1F3D2A19"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abonnere på nye bredbåndstjenester. Oplys nærmere:</w:t>
      </w:r>
    </w:p>
    <w:p w14:paraId="0884BD7A" w14:textId="77777777" w:rsidR="00485681" w:rsidRPr="005C4E62" w:rsidRDefault="00485681" w:rsidP="006E6AE1">
      <w:pPr>
        <w:pStyle w:val="NumPar2"/>
        <w:tabs>
          <w:tab w:val="clear" w:pos="360"/>
        </w:tabs>
        <w:ind w:left="709" w:firstLine="0"/>
      </w:pPr>
      <w:r>
        <w:t xml:space="preserve">………………………………………………………………………………………….. </w:t>
      </w:r>
    </w:p>
    <w:p w14:paraId="6765B43B"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opretholde eksisterende abonnementer. Oplys nærmere: </w:t>
      </w:r>
    </w:p>
    <w:p w14:paraId="43C01D24" w14:textId="77777777" w:rsidR="00485681" w:rsidRPr="005C4E62" w:rsidRDefault="00485681" w:rsidP="006E6AE1">
      <w:pPr>
        <w:pStyle w:val="NumPar2"/>
        <w:tabs>
          <w:tab w:val="clear" w:pos="360"/>
        </w:tabs>
        <w:ind w:left="709" w:firstLine="0"/>
      </w:pPr>
      <w:r>
        <w:t>…………………………………………………………………………………………...</w:t>
      </w:r>
    </w:p>
    <w:p w14:paraId="3C2AC286"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andet. Oplys nærmere:</w:t>
      </w:r>
    </w:p>
    <w:p w14:paraId="4F755D5B" w14:textId="77777777" w:rsidR="00485681" w:rsidRPr="005C4E62" w:rsidRDefault="00485681" w:rsidP="006E6AE1">
      <w:pPr>
        <w:pStyle w:val="NumPar2"/>
        <w:tabs>
          <w:tab w:val="clear" w:pos="360"/>
        </w:tabs>
        <w:ind w:left="709" w:firstLine="0"/>
      </w:pPr>
      <w:r>
        <w:t>…………………………………………………………..…………………………….....</w:t>
      </w:r>
    </w:p>
    <w:p w14:paraId="648B3B42" w14:textId="77777777" w:rsidR="007B5294" w:rsidRPr="005C4E62" w:rsidRDefault="007B5294" w:rsidP="00E27219">
      <w:pPr>
        <w:pStyle w:val="NumPar2"/>
        <w:numPr>
          <w:ilvl w:val="1"/>
          <w:numId w:val="5"/>
        </w:numPr>
        <w:ind w:left="709" w:hanging="709"/>
      </w:pPr>
      <w:r>
        <w:t>Angiv, hvilke støtteberettigede omkostninger der er omfattet af støtteforanstaltningen</w:t>
      </w:r>
      <w:r w:rsidRPr="005C4E62">
        <w:rPr>
          <w:rStyle w:val="FootnoteReference"/>
        </w:rPr>
        <w:footnoteReference w:id="10"/>
      </w:r>
    </w:p>
    <w:p w14:paraId="4C6D2C97" w14:textId="77777777" w:rsidR="007B5294" w:rsidRPr="005C4E62" w:rsidRDefault="007B5294" w:rsidP="007B5294">
      <w:pPr>
        <w:pStyle w:val="Text2"/>
        <w:tabs>
          <w:tab w:val="clear" w:pos="2161"/>
          <w:tab w:val="left" w:leader="dot" w:pos="9072"/>
        </w:tabs>
        <w:spacing w:before="120" w:after="120"/>
        <w:ind w:left="709"/>
      </w:pPr>
      <w:r>
        <w:tab/>
      </w:r>
    </w:p>
    <w:p w14:paraId="13547FFD" w14:textId="77777777" w:rsidR="00E0556B" w:rsidRPr="005C4E62" w:rsidRDefault="00E0556B" w:rsidP="00E0556B">
      <w:pPr>
        <w:pStyle w:val="NumPar2"/>
        <w:numPr>
          <w:ilvl w:val="1"/>
          <w:numId w:val="5"/>
        </w:numPr>
        <w:ind w:left="709" w:hanging="709"/>
      </w:pPr>
      <w:r>
        <w:t xml:space="preserve">Angiv voucherens maksimale løbetid </w:t>
      </w:r>
      <w:r>
        <w:br/>
        <w:t>(hvis relevant)</w:t>
      </w:r>
    </w:p>
    <w:p w14:paraId="2BBECC4D" w14:textId="77777777" w:rsidR="00E0556B" w:rsidRPr="005C4E62" w:rsidRDefault="00E0556B" w:rsidP="002E43A3">
      <w:pPr>
        <w:pStyle w:val="Text2"/>
        <w:tabs>
          <w:tab w:val="clear" w:pos="2161"/>
          <w:tab w:val="left" w:leader="dot" w:pos="9072"/>
        </w:tabs>
        <w:spacing w:before="120" w:after="120"/>
        <w:ind w:left="709"/>
      </w:pPr>
      <w:r>
        <w:tab/>
      </w:r>
    </w:p>
    <w:p w14:paraId="51B07313" w14:textId="77777777" w:rsidR="00237B1B" w:rsidRPr="005C4E62" w:rsidRDefault="00237B1B" w:rsidP="00E27219">
      <w:pPr>
        <w:pStyle w:val="NumPar2"/>
        <w:numPr>
          <w:ilvl w:val="1"/>
          <w:numId w:val="5"/>
        </w:numPr>
        <w:ind w:left="709" w:hanging="709"/>
      </w:pPr>
      <w:r>
        <w:lastRenderedPageBreak/>
        <w:t xml:space="preserve">Angiv formatet og beløbet for voucheren, idet der redegøres for, hvordan dette beløb er fastsat. Angiv, hvor stor en del af abonnementsudgiften voucheren dækker (i procent) </w:t>
      </w:r>
    </w:p>
    <w:p w14:paraId="793B7637" w14:textId="77777777" w:rsidR="00237B1B" w:rsidRPr="005C4E62" w:rsidRDefault="00237B1B" w:rsidP="00237B1B">
      <w:pPr>
        <w:pStyle w:val="Text2"/>
        <w:tabs>
          <w:tab w:val="clear" w:pos="2161"/>
          <w:tab w:val="left" w:leader="dot" w:pos="9072"/>
        </w:tabs>
        <w:spacing w:before="120" w:after="120"/>
        <w:ind w:left="709"/>
      </w:pPr>
      <w:r>
        <w:tab/>
      </w:r>
    </w:p>
    <w:p w14:paraId="793325C5" w14:textId="77777777" w:rsidR="00E101F1" w:rsidRPr="005C4E62" w:rsidRDefault="00E101F1" w:rsidP="00E27219">
      <w:pPr>
        <w:pStyle w:val="NumPar2"/>
        <w:numPr>
          <w:ilvl w:val="1"/>
          <w:numId w:val="5"/>
        </w:numPr>
        <w:ind w:left="709" w:hanging="709"/>
        <w:rPr>
          <w:iCs/>
        </w:rPr>
      </w:pPr>
      <w:r>
        <w:t>Redegør for, om og hvordan støtteforanstaltningen overholder princippet om teknologineutralitet</w:t>
      </w:r>
      <w:r w:rsidRPr="005C4E62">
        <w:rPr>
          <w:rStyle w:val="FootnoteReference"/>
          <w:iCs/>
        </w:rPr>
        <w:footnoteReference w:id="11"/>
      </w:r>
    </w:p>
    <w:p w14:paraId="3A3CF845" w14:textId="77777777" w:rsidR="00E101F1" w:rsidRPr="005C4E62" w:rsidRDefault="00E101F1" w:rsidP="00E101F1">
      <w:pPr>
        <w:pStyle w:val="Text2"/>
        <w:tabs>
          <w:tab w:val="clear" w:pos="2161"/>
          <w:tab w:val="left" w:leader="dot" w:pos="9072"/>
        </w:tabs>
        <w:spacing w:before="120" w:after="120"/>
        <w:ind w:left="709"/>
      </w:pPr>
      <w:r>
        <w:tab/>
      </w:r>
    </w:p>
    <w:p w14:paraId="500D32BA" w14:textId="77777777" w:rsidR="00C90B4D" w:rsidRPr="005C4E62" w:rsidRDefault="00C90B4D" w:rsidP="00C90B4D">
      <w:pPr>
        <w:pStyle w:val="NumPar2"/>
        <w:numPr>
          <w:ilvl w:val="1"/>
          <w:numId w:val="5"/>
        </w:numPr>
        <w:ind w:left="709" w:hanging="709"/>
        <w:rPr>
          <w:iCs/>
        </w:rPr>
      </w:pPr>
      <w:r>
        <w:t>For at påvise, at støtteforanstaltningen sikrer ligebehandling af alle de mulige tjenesteudbydere og giver forbrugerne det bredest mulige udvalg af leverandører</w:t>
      </w:r>
      <w:r w:rsidR="00E101F1" w:rsidRPr="005C4E62">
        <w:rPr>
          <w:rStyle w:val="FootnoteReference"/>
          <w:iCs/>
        </w:rPr>
        <w:footnoteReference w:id="12"/>
      </w:r>
      <w:r>
        <w:t>, bekræftes følgende (med angivelse af de relevante oplysninger)</w:t>
      </w:r>
      <w:r w:rsidRPr="005C4E62">
        <w:rPr>
          <w:rStyle w:val="FootnoteReference"/>
        </w:rPr>
        <w:footnoteReference w:id="13"/>
      </w:r>
      <w:r>
        <w:t xml:space="preserve">: </w:t>
      </w:r>
    </w:p>
    <w:p w14:paraId="255FE43C" w14:textId="77777777" w:rsidR="00C90B4D" w:rsidRPr="005C4E62" w:rsidRDefault="00C90B4D" w:rsidP="00C90B4D">
      <w:pPr>
        <w:pStyle w:val="NumPar2"/>
        <w:numPr>
          <w:ilvl w:val="4"/>
          <w:numId w:val="1"/>
        </w:numPr>
        <w:tabs>
          <w:tab w:val="clear" w:pos="1800"/>
        </w:tabs>
        <w:ind w:left="1418" w:hanging="709"/>
      </w:pPr>
      <w:r>
        <w:t>der oprettes et onlineregister over alle støtteberettigede tjenesteudbydere (eller en tilsvarende alternativ platform)</w:t>
      </w:r>
    </w:p>
    <w:p w14:paraId="6AC3A364" w14:textId="77777777" w:rsidR="00C90B4D" w:rsidRPr="005C4E62" w:rsidRDefault="00C90B4D" w:rsidP="00C90B4D">
      <w:pPr>
        <w:pStyle w:val="Text2"/>
        <w:tabs>
          <w:tab w:val="clear" w:pos="2161"/>
          <w:tab w:val="left" w:leader="dot" w:pos="9072"/>
        </w:tabs>
        <w:spacing w:before="120" w:after="120"/>
        <w:ind w:left="709"/>
      </w:pPr>
      <w:r>
        <w:tab/>
      </w:r>
    </w:p>
    <w:p w14:paraId="6E602C1C" w14:textId="77777777" w:rsidR="00C90B4D" w:rsidRPr="005C4E62" w:rsidRDefault="00C90B4D" w:rsidP="00C90B4D">
      <w:pPr>
        <w:pStyle w:val="NumPar2"/>
        <w:numPr>
          <w:ilvl w:val="4"/>
          <w:numId w:val="1"/>
        </w:numPr>
        <w:tabs>
          <w:tab w:val="clear" w:pos="1800"/>
        </w:tabs>
        <w:ind w:left="1418" w:hanging="709"/>
      </w:pPr>
      <w:r>
        <w:t xml:space="preserve">forbrugerne har fri adgang til registret </w:t>
      </w:r>
    </w:p>
    <w:p w14:paraId="7A8926E1" w14:textId="77777777" w:rsidR="00C90B4D" w:rsidRPr="005C4E62" w:rsidRDefault="00C90B4D" w:rsidP="00C90B4D">
      <w:pPr>
        <w:pStyle w:val="Text2"/>
        <w:tabs>
          <w:tab w:val="clear" w:pos="2161"/>
          <w:tab w:val="left" w:leader="dot" w:pos="9072"/>
        </w:tabs>
        <w:spacing w:before="120" w:after="120"/>
        <w:ind w:left="709"/>
      </w:pPr>
      <w:r>
        <w:tab/>
      </w:r>
    </w:p>
    <w:p w14:paraId="7AA5778D" w14:textId="77777777" w:rsidR="00C90B4D" w:rsidRPr="005C4E62" w:rsidRDefault="00C90B4D" w:rsidP="00C90B4D">
      <w:pPr>
        <w:pStyle w:val="NumPar2"/>
        <w:numPr>
          <w:ilvl w:val="4"/>
          <w:numId w:val="1"/>
        </w:numPr>
        <w:tabs>
          <w:tab w:val="clear" w:pos="1800"/>
        </w:tabs>
        <w:ind w:left="1418" w:hanging="709"/>
      </w:pPr>
      <w:r>
        <w:t>alle virksomheder, der er i stand til at levere de støtteberettigede bredbåndstjenester, kan anmode om registrering i registret (eller på den alternative platform)</w:t>
      </w:r>
    </w:p>
    <w:p w14:paraId="38E85921" w14:textId="77777777" w:rsidR="00E101F1" w:rsidRPr="005C4E62" w:rsidRDefault="00C90B4D" w:rsidP="00C90B4D">
      <w:pPr>
        <w:pStyle w:val="Text2"/>
        <w:tabs>
          <w:tab w:val="clear" w:pos="2161"/>
          <w:tab w:val="left" w:leader="dot" w:pos="9072"/>
        </w:tabs>
        <w:spacing w:before="120" w:after="120"/>
        <w:ind w:left="709"/>
      </w:pPr>
      <w:r>
        <w:tab/>
        <w:t xml:space="preserve"> </w:t>
      </w:r>
    </w:p>
    <w:p w14:paraId="44B01909" w14:textId="77777777" w:rsidR="00C90B4D" w:rsidRPr="005C4E62" w:rsidRDefault="00C90B4D" w:rsidP="00C90B4D">
      <w:pPr>
        <w:pStyle w:val="NumPar2"/>
        <w:numPr>
          <w:ilvl w:val="4"/>
          <w:numId w:val="1"/>
        </w:numPr>
        <w:tabs>
          <w:tab w:val="clear" w:pos="1800"/>
        </w:tabs>
        <w:ind w:left="1418" w:hanging="709"/>
      </w:pPr>
      <w:r>
        <w:t>registret (eller den alternative platform) stiller yderligere oplysninger til rådighed for forbrugerne (f.eks. typen af tjenester de forskellige virksomheder yder osv.). Angiv, hvilke yderligere oplysninger der er tale om</w:t>
      </w:r>
    </w:p>
    <w:p w14:paraId="32BD4423" w14:textId="77777777" w:rsidR="00E101F1" w:rsidRPr="005C4E62" w:rsidRDefault="00E101F1" w:rsidP="00E101F1">
      <w:pPr>
        <w:pStyle w:val="Text2"/>
        <w:tabs>
          <w:tab w:val="clear" w:pos="2161"/>
          <w:tab w:val="left" w:leader="dot" w:pos="9072"/>
        </w:tabs>
        <w:spacing w:before="120" w:after="120"/>
        <w:ind w:left="709"/>
      </w:pPr>
      <w:r>
        <w:tab/>
      </w:r>
    </w:p>
    <w:p w14:paraId="21EBD2B3" w14:textId="77777777" w:rsidR="00D1408F" w:rsidRPr="005C4E62" w:rsidRDefault="00D1408F" w:rsidP="009A1814">
      <w:pPr>
        <w:pStyle w:val="NumPar2"/>
        <w:numPr>
          <w:ilvl w:val="1"/>
          <w:numId w:val="5"/>
        </w:numPr>
        <w:ind w:left="709" w:hanging="709"/>
      </w:pPr>
      <w:r>
        <w:t>Giv en detaljeret beskrivelse af støtteforanstaltningens gennemførelsesprocedure</w:t>
      </w:r>
    </w:p>
    <w:p w14:paraId="6EFEEAA7" w14:textId="77777777" w:rsidR="00D1408F" w:rsidRPr="005C4E62" w:rsidRDefault="00D1408F" w:rsidP="00D1408F">
      <w:pPr>
        <w:pStyle w:val="Text2"/>
        <w:tabs>
          <w:tab w:val="clear" w:pos="2161"/>
          <w:tab w:val="left" w:leader="dot" w:pos="9072"/>
        </w:tabs>
        <w:spacing w:before="120" w:after="120"/>
        <w:ind w:left="709"/>
      </w:pPr>
      <w:r>
        <w:tab/>
      </w:r>
    </w:p>
    <w:p w14:paraId="447CE967" w14:textId="77777777" w:rsidR="00D1408F" w:rsidRPr="005C4E62" w:rsidRDefault="00D1408F" w:rsidP="009A1814">
      <w:pPr>
        <w:pStyle w:val="NumPar2"/>
        <w:numPr>
          <w:ilvl w:val="1"/>
          <w:numId w:val="5"/>
        </w:numPr>
        <w:ind w:left="709" w:hanging="709"/>
      </w:pPr>
      <w:r>
        <w:t>Offentlig høring</w:t>
      </w:r>
      <w:r w:rsidRPr="005C4E62">
        <w:rPr>
          <w:rStyle w:val="FootnoteReference"/>
        </w:rPr>
        <w:footnoteReference w:id="14"/>
      </w:r>
      <w:r>
        <w:t>: Oplys følgende:</w:t>
      </w:r>
    </w:p>
    <w:p w14:paraId="0712DB14"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start- og slutdatoen for hver afholdt offentlig høring </w:t>
      </w:r>
    </w:p>
    <w:p w14:paraId="796B4CC1" w14:textId="77777777" w:rsidR="00D1408F" w:rsidRPr="005C4E62" w:rsidRDefault="00D1408F" w:rsidP="00D1408F">
      <w:pPr>
        <w:pStyle w:val="Text2"/>
        <w:tabs>
          <w:tab w:val="clear" w:pos="2161"/>
          <w:tab w:val="left" w:leader="dot" w:pos="9072"/>
        </w:tabs>
        <w:spacing w:before="120" w:after="120"/>
        <w:ind w:left="709"/>
      </w:pPr>
      <w:r>
        <w:tab/>
      </w:r>
    </w:p>
    <w:p w14:paraId="246C74B0" w14:textId="77777777" w:rsidR="00D1408F" w:rsidRPr="005C4E62" w:rsidRDefault="00D1408F" w:rsidP="00D46D21">
      <w:pPr>
        <w:pStyle w:val="Text2"/>
        <w:numPr>
          <w:ilvl w:val="4"/>
          <w:numId w:val="10"/>
        </w:numPr>
        <w:tabs>
          <w:tab w:val="clear" w:pos="1800"/>
          <w:tab w:val="clear" w:pos="2161"/>
        </w:tabs>
        <w:spacing w:after="120"/>
        <w:ind w:left="1418" w:hanging="709"/>
      </w:pPr>
      <w:r>
        <w:t xml:space="preserve">indholdet af hver offentlig høring </w:t>
      </w:r>
    </w:p>
    <w:p w14:paraId="6FC53F0E" w14:textId="77777777" w:rsidR="00D1408F" w:rsidRPr="005C4E62" w:rsidRDefault="00D1408F" w:rsidP="00D1408F">
      <w:pPr>
        <w:pStyle w:val="Text2"/>
        <w:tabs>
          <w:tab w:val="clear" w:pos="2161"/>
          <w:tab w:val="left" w:leader="dot" w:pos="9072"/>
        </w:tabs>
        <w:spacing w:before="120" w:after="120"/>
        <w:ind w:left="709"/>
      </w:pPr>
      <w:r>
        <w:tab/>
      </w:r>
    </w:p>
    <w:p w14:paraId="7D10E1FC" w14:textId="77777777" w:rsidR="00D1408F" w:rsidRPr="005C4E62" w:rsidRDefault="00D1408F" w:rsidP="00D46D21">
      <w:pPr>
        <w:pStyle w:val="Text2"/>
        <w:numPr>
          <w:ilvl w:val="4"/>
          <w:numId w:val="10"/>
        </w:numPr>
        <w:tabs>
          <w:tab w:val="clear" w:pos="1800"/>
          <w:tab w:val="clear" w:pos="2161"/>
        </w:tabs>
        <w:spacing w:after="120"/>
        <w:ind w:left="1418" w:hanging="709"/>
      </w:pPr>
      <w:r>
        <w:t>det offentligt tilgængelige websted (regionalt og/eller nationalt), hvor høringen blev offentliggjort</w:t>
      </w:r>
    </w:p>
    <w:p w14:paraId="0BBA81F4" w14:textId="77777777" w:rsidR="00D1408F" w:rsidRPr="005C4E62" w:rsidRDefault="00D1408F" w:rsidP="00D1408F">
      <w:pPr>
        <w:pStyle w:val="Text2"/>
        <w:tabs>
          <w:tab w:val="clear" w:pos="2161"/>
          <w:tab w:val="left" w:leader="dot" w:pos="9072"/>
        </w:tabs>
        <w:spacing w:before="120" w:after="120"/>
        <w:ind w:left="709"/>
      </w:pPr>
      <w:r>
        <w:tab/>
      </w:r>
    </w:p>
    <w:p w14:paraId="0D18156E" w14:textId="77777777" w:rsidR="00D1408F" w:rsidRPr="005C4E62" w:rsidRDefault="00D1408F" w:rsidP="00D46D21">
      <w:pPr>
        <w:pStyle w:val="Text2"/>
        <w:numPr>
          <w:ilvl w:val="4"/>
          <w:numId w:val="10"/>
        </w:numPr>
        <w:tabs>
          <w:tab w:val="clear" w:pos="1800"/>
          <w:tab w:val="clear" w:pos="2161"/>
        </w:tabs>
        <w:spacing w:after="120"/>
        <w:ind w:left="1418" w:hanging="709"/>
      </w:pPr>
      <w:r>
        <w:t>en opsummering af de vigtigste bemærkninger fra bidragyderne til hver offentlig høring med angivelse af, hvordan der er taget højde herfor</w:t>
      </w:r>
    </w:p>
    <w:p w14:paraId="6FFAE1BE" w14:textId="77777777" w:rsidR="00D1408F" w:rsidRPr="005C4E62" w:rsidRDefault="00D1408F" w:rsidP="00D1408F">
      <w:pPr>
        <w:pStyle w:val="Text2"/>
        <w:tabs>
          <w:tab w:val="clear" w:pos="2161"/>
          <w:tab w:val="left" w:leader="dot" w:pos="9072"/>
        </w:tabs>
        <w:spacing w:before="120" w:after="120"/>
        <w:ind w:left="709"/>
      </w:pPr>
      <w:r>
        <w:tab/>
      </w:r>
    </w:p>
    <w:p w14:paraId="06B32C7D" w14:textId="77777777" w:rsidR="00D1408F" w:rsidRPr="005C4E62" w:rsidRDefault="00D1408F" w:rsidP="009A1814">
      <w:pPr>
        <w:pStyle w:val="NumPar2"/>
        <w:numPr>
          <w:ilvl w:val="1"/>
          <w:numId w:val="5"/>
        </w:numPr>
        <w:ind w:left="709" w:hanging="709"/>
      </w:pPr>
      <w:r>
        <w:lastRenderedPageBreak/>
        <w:t>Angiv, om der er anvendt yderligere sikkerhedsforanstaltninger for at undgå eventuelt misbrug af sociale vouchere. Hvis ja gives der nærmere oplysninger herom</w:t>
      </w:r>
      <w:r w:rsidRPr="005C4E62">
        <w:rPr>
          <w:rStyle w:val="FootnoteReference"/>
        </w:rPr>
        <w:footnoteReference w:id="15"/>
      </w:r>
    </w:p>
    <w:p w14:paraId="22BE71A2" w14:textId="77777777" w:rsidR="00D1408F" w:rsidRPr="005C4E62" w:rsidRDefault="00D1408F" w:rsidP="00D1408F">
      <w:pPr>
        <w:pStyle w:val="Text2"/>
        <w:tabs>
          <w:tab w:val="clear" w:pos="2161"/>
          <w:tab w:val="left" w:leader="dot" w:pos="9072"/>
        </w:tabs>
        <w:spacing w:before="120" w:after="120"/>
        <w:ind w:left="709"/>
      </w:pPr>
      <w:r>
        <w:tab/>
      </w:r>
    </w:p>
    <w:p w14:paraId="7F1A0C7E" w14:textId="77777777" w:rsidR="00D1408F" w:rsidRPr="005C4E62" w:rsidRDefault="00D1408F" w:rsidP="009A1814">
      <w:pPr>
        <w:pStyle w:val="NumPar2"/>
        <w:numPr>
          <w:ilvl w:val="1"/>
          <w:numId w:val="5"/>
        </w:numPr>
        <w:ind w:left="709" w:hanging="709"/>
      </w:pPr>
      <w:r>
        <w:t>Angiv, om støtteforanstaltningen indeholder bestemte regler om administration af abonnementer, bl.a. med hensyn til førtidig opsigelse af abonnementet, mulighed for at flytte abonnement til en anden udbyder i voucherens gyldighedsperiode (i givet fald på hvilke betingelser), videreførelse af abonnementet efter voucherens udløb. Oplys nærmere</w:t>
      </w:r>
    </w:p>
    <w:p w14:paraId="255E4A44"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05397E1B" w14:textId="77777777" w:rsidTr="00796043">
        <w:tc>
          <w:tcPr>
            <w:tcW w:w="9286" w:type="dxa"/>
            <w:shd w:val="clear" w:color="auto" w:fill="D9D9D9"/>
          </w:tcPr>
          <w:p w14:paraId="2D53DC5C"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Konnektivitetsvouchere</w:t>
            </w:r>
          </w:p>
        </w:tc>
      </w:tr>
    </w:tbl>
    <w:p w14:paraId="09A78CA2" w14:textId="77777777" w:rsidR="004D559F" w:rsidRPr="005C4E62" w:rsidRDefault="004D559F" w:rsidP="00450B69">
      <w:pPr>
        <w:pStyle w:val="NumPar2"/>
        <w:numPr>
          <w:ilvl w:val="1"/>
          <w:numId w:val="41"/>
        </w:numPr>
        <w:ind w:left="709" w:hanging="709"/>
      </w:pPr>
      <w:r>
        <w:t>Angiv, hvilke slutbrugere foranstaltningen henvender sig til</w:t>
      </w:r>
    </w:p>
    <w:p w14:paraId="7BCAC684"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forbrugere  </w:t>
      </w:r>
      <w:r>
        <w:tab/>
      </w: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virksomheder  </w:t>
      </w:r>
    </w:p>
    <w:p w14:paraId="2D2EA17A" w14:textId="77777777" w:rsidR="009A1814" w:rsidRPr="005C4E62" w:rsidRDefault="009A1814" w:rsidP="009A1814">
      <w:pPr>
        <w:pStyle w:val="NumPar2"/>
        <w:numPr>
          <w:ilvl w:val="1"/>
          <w:numId w:val="41"/>
        </w:numPr>
        <w:ind w:left="709" w:hanging="709"/>
      </w:pPr>
      <w:r>
        <w:t xml:space="preserve">Beskriv betingelserne for slutbrugernes adgang til konnektivitetsvouchere </w:t>
      </w:r>
    </w:p>
    <w:p w14:paraId="70F591F8" w14:textId="77777777" w:rsidR="009A1814" w:rsidRPr="005C4E62" w:rsidRDefault="009A1814" w:rsidP="009A1814">
      <w:pPr>
        <w:pStyle w:val="Text2"/>
        <w:tabs>
          <w:tab w:val="clear" w:pos="2161"/>
          <w:tab w:val="left" w:leader="dot" w:pos="9072"/>
        </w:tabs>
        <w:spacing w:before="120" w:after="120"/>
        <w:ind w:left="709"/>
      </w:pPr>
      <w:r>
        <w:tab/>
      </w:r>
    </w:p>
    <w:p w14:paraId="17EDD055" w14:textId="77777777" w:rsidR="009A1814" w:rsidRPr="005C4E62" w:rsidRDefault="009A1814" w:rsidP="009A1814">
      <w:pPr>
        <w:pStyle w:val="NumPar2"/>
        <w:numPr>
          <w:ilvl w:val="1"/>
          <w:numId w:val="41"/>
        </w:numPr>
        <w:ind w:left="709" w:hanging="709"/>
      </w:pPr>
      <w:r>
        <w:t>Giv et skøn over antallet af slutbrugere, der kan blive omfattet af støtteforanstaltningen</w:t>
      </w:r>
    </w:p>
    <w:p w14:paraId="195DFC76" w14:textId="77777777" w:rsidR="009A1814" w:rsidRPr="005C4E62" w:rsidRDefault="009A1814" w:rsidP="009A1814">
      <w:pPr>
        <w:pStyle w:val="Text2"/>
        <w:tabs>
          <w:tab w:val="clear" w:pos="2161"/>
          <w:tab w:val="left" w:leader="dot" w:pos="9072"/>
        </w:tabs>
        <w:spacing w:before="120" w:after="120"/>
        <w:ind w:left="709"/>
      </w:pPr>
      <w:r>
        <w:tab/>
      </w:r>
    </w:p>
    <w:p w14:paraId="45AAFB75" w14:textId="77777777" w:rsidR="00710B4A" w:rsidRPr="005C4E62" w:rsidRDefault="00710B4A" w:rsidP="00710B4A">
      <w:pPr>
        <w:pStyle w:val="NumPar2"/>
        <w:numPr>
          <w:ilvl w:val="1"/>
          <w:numId w:val="41"/>
        </w:numPr>
        <w:ind w:left="709" w:hanging="709"/>
      </w:pPr>
      <w:r>
        <w:t>Identificér de støtteberettigede tjenesteudbydere</w:t>
      </w:r>
    </w:p>
    <w:p w14:paraId="4B7D8102" w14:textId="77777777" w:rsidR="00710B4A" w:rsidRPr="005C4E62" w:rsidRDefault="00710B4A" w:rsidP="00710B4A">
      <w:pPr>
        <w:pStyle w:val="Text2"/>
        <w:tabs>
          <w:tab w:val="clear" w:pos="2161"/>
          <w:tab w:val="left" w:leader="dot" w:pos="9072"/>
        </w:tabs>
        <w:spacing w:before="120" w:after="120"/>
        <w:ind w:left="709"/>
      </w:pPr>
      <w:r>
        <w:tab/>
      </w:r>
    </w:p>
    <w:p w14:paraId="28CB0AD6" w14:textId="77777777" w:rsidR="009A1814" w:rsidRPr="005C4E62" w:rsidRDefault="009A1814" w:rsidP="009A1814">
      <w:pPr>
        <w:pStyle w:val="NumPar2"/>
        <w:numPr>
          <w:ilvl w:val="1"/>
          <w:numId w:val="41"/>
        </w:numPr>
        <w:ind w:left="709" w:hanging="709"/>
      </w:pPr>
      <w:r>
        <w:t>Angiv, hvilke støtteberettigede tjenester der er omfattet af støtteforanstaltningen (f.eks. med hensyn til downloadhastighed, uploadhastighed osv.), og redegør for, hvordan myndighederne har identificeret disse tjenester. I den forbindelse angives det, hvilke behov hos slutbrugerne der vil blive dækket ved forbindelser, der leverer de støtteberettigede tjenester, idet der gives verificerbar dokumentation herfor (f.eks. forbrugerundersøgelser, uafhængige undersøgelser)</w:t>
      </w:r>
      <w:r w:rsidR="00F47AC0" w:rsidRPr="005C4E62">
        <w:rPr>
          <w:rStyle w:val="FootnoteReference"/>
        </w:rPr>
        <w:footnoteReference w:id="16"/>
      </w:r>
    </w:p>
    <w:p w14:paraId="106B76CE" w14:textId="77777777" w:rsidR="009A1814" w:rsidRPr="005C4E62" w:rsidRDefault="009A1814" w:rsidP="009A1814">
      <w:pPr>
        <w:pStyle w:val="Text2"/>
        <w:tabs>
          <w:tab w:val="clear" w:pos="2161"/>
          <w:tab w:val="left" w:leader="dot" w:pos="9072"/>
        </w:tabs>
        <w:spacing w:before="120" w:after="120"/>
        <w:ind w:left="709"/>
      </w:pPr>
      <w:r>
        <w:tab/>
      </w:r>
    </w:p>
    <w:p w14:paraId="05B9861F" w14:textId="77777777" w:rsidR="00710B4A" w:rsidRPr="005C4E62" w:rsidRDefault="00710B4A" w:rsidP="009A1814">
      <w:pPr>
        <w:pStyle w:val="NumPar2"/>
        <w:numPr>
          <w:ilvl w:val="1"/>
          <w:numId w:val="41"/>
        </w:numPr>
        <w:ind w:left="709" w:hanging="709"/>
      </w:pPr>
      <w:r>
        <w:t>Angiv, hvad voucherne vil blive brugt til, og oplys nærmere. Bekræft også, at voucheren ikke må bruges til at opretholde eksisterende abonnementer</w:t>
      </w:r>
      <w:r w:rsidR="00F47AC0" w:rsidRPr="005C4E62">
        <w:rPr>
          <w:rStyle w:val="FootnoteReference"/>
        </w:rPr>
        <w:footnoteReference w:id="17"/>
      </w:r>
    </w:p>
    <w:p w14:paraId="395AF91A"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abonnere på nye bredbåndstjenester. Oplys nærmere:</w:t>
      </w:r>
    </w:p>
    <w:p w14:paraId="721329DE" w14:textId="77777777" w:rsidR="00042ACA" w:rsidRPr="005C4E62" w:rsidRDefault="00042ACA" w:rsidP="00042ACA">
      <w:pPr>
        <w:pStyle w:val="NumPar2"/>
        <w:tabs>
          <w:tab w:val="clear" w:pos="360"/>
        </w:tabs>
        <w:ind w:left="709" w:firstLine="0"/>
      </w:pPr>
      <w:r>
        <w:t xml:space="preserve">………………………………………………………………………………………….. </w:t>
      </w:r>
    </w:p>
    <w:p w14:paraId="643A182A"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opgradering af eksisterende abonnementer. Oplys nærmere: </w:t>
      </w:r>
    </w:p>
    <w:p w14:paraId="23BE0077" w14:textId="77777777" w:rsidR="00042ACA" w:rsidRPr="005C4E62" w:rsidRDefault="00042ACA" w:rsidP="00042ACA">
      <w:pPr>
        <w:pStyle w:val="NumPar2"/>
        <w:tabs>
          <w:tab w:val="clear" w:pos="360"/>
        </w:tabs>
        <w:ind w:left="709" w:firstLine="0"/>
      </w:pPr>
      <w:r>
        <w:t>…………………………………………………………………………………………...</w:t>
      </w:r>
    </w:p>
    <w:p w14:paraId="4B249CB6"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bekræft, at voucheren ikke må bruges til at opretholde eksisterende abonnementer. Oplys nærmere:</w:t>
      </w:r>
    </w:p>
    <w:p w14:paraId="569CD6E5" w14:textId="77777777" w:rsidR="00710B4A" w:rsidRPr="005C4E62" w:rsidRDefault="00710B4A" w:rsidP="00710B4A">
      <w:pPr>
        <w:pStyle w:val="Text2"/>
        <w:tabs>
          <w:tab w:val="clear" w:pos="2161"/>
          <w:tab w:val="left" w:leader="dot" w:pos="9072"/>
        </w:tabs>
        <w:spacing w:before="120" w:after="120"/>
        <w:ind w:left="709"/>
      </w:pPr>
      <w:r>
        <w:tab/>
      </w:r>
    </w:p>
    <w:p w14:paraId="59ECF4CB" w14:textId="77777777" w:rsidR="009A1814" w:rsidRPr="005C4E62" w:rsidRDefault="009A1814" w:rsidP="009A1814">
      <w:pPr>
        <w:pStyle w:val="NumPar2"/>
        <w:numPr>
          <w:ilvl w:val="1"/>
          <w:numId w:val="41"/>
        </w:numPr>
        <w:ind w:left="709" w:hanging="709"/>
      </w:pPr>
      <w:r>
        <w:lastRenderedPageBreak/>
        <w:t>Angiv, hvilke støtteberettigede omkostninger der er omfattet af støtteforanstaltningen</w:t>
      </w:r>
      <w:r w:rsidR="00F47AC0" w:rsidRPr="005C4E62">
        <w:rPr>
          <w:rStyle w:val="FootnoteReference"/>
        </w:rPr>
        <w:footnoteReference w:id="18"/>
      </w:r>
    </w:p>
    <w:p w14:paraId="7277F545" w14:textId="77777777" w:rsidR="00E0556B" w:rsidRPr="005C4E62" w:rsidRDefault="00E0556B" w:rsidP="00450B69">
      <w:pPr>
        <w:pStyle w:val="Text2"/>
        <w:tabs>
          <w:tab w:val="clear" w:pos="2161"/>
          <w:tab w:val="left" w:leader="dot" w:pos="9072"/>
        </w:tabs>
        <w:spacing w:before="120" w:after="120"/>
        <w:ind w:left="709"/>
      </w:pPr>
      <w:r>
        <w:tab/>
      </w:r>
    </w:p>
    <w:p w14:paraId="7F095CFC" w14:textId="77777777" w:rsidR="009A1814" w:rsidRPr="005C4E62" w:rsidRDefault="009A1814" w:rsidP="009A1814">
      <w:pPr>
        <w:pStyle w:val="NumPar2"/>
        <w:numPr>
          <w:ilvl w:val="1"/>
          <w:numId w:val="41"/>
        </w:numPr>
        <w:ind w:left="709" w:hanging="709"/>
      </w:pPr>
      <w:r>
        <w:t>Angiv formatet og beløbet for voucheren, idet der redegøres for, hvordan dette beløb er fastsat. Angiv, hvor stor en del af abonnementsudgiften voucheren dækker (i procent)</w:t>
      </w:r>
      <w:r w:rsidR="00F47AC0" w:rsidRPr="005C4E62">
        <w:rPr>
          <w:rStyle w:val="FootnoteReference"/>
        </w:rPr>
        <w:footnoteReference w:id="19"/>
      </w:r>
      <w:r>
        <w:t xml:space="preserve"> </w:t>
      </w:r>
    </w:p>
    <w:p w14:paraId="254138BE" w14:textId="77777777" w:rsidR="009A1814" w:rsidRPr="005C4E62" w:rsidRDefault="009A1814" w:rsidP="009A1814">
      <w:pPr>
        <w:pStyle w:val="Text2"/>
        <w:tabs>
          <w:tab w:val="clear" w:pos="2161"/>
          <w:tab w:val="left" w:leader="dot" w:pos="9072"/>
        </w:tabs>
        <w:spacing w:before="120" w:after="120"/>
        <w:ind w:left="709"/>
      </w:pPr>
      <w:r>
        <w:tab/>
      </w:r>
    </w:p>
    <w:p w14:paraId="522A9AFA" w14:textId="77777777" w:rsidR="009A1814" w:rsidRPr="005C4E62" w:rsidRDefault="009A1814" w:rsidP="009A1814">
      <w:pPr>
        <w:pStyle w:val="NumPar2"/>
        <w:numPr>
          <w:ilvl w:val="1"/>
          <w:numId w:val="41"/>
        </w:numPr>
        <w:ind w:left="709" w:hanging="709"/>
        <w:rPr>
          <w:iCs/>
        </w:rPr>
      </w:pPr>
      <w:r>
        <w:t>Redegør for, om og hvordan støtteforanstaltningen overholder princippet om teknologineutralitet</w:t>
      </w:r>
      <w:r w:rsidR="00F47AC0" w:rsidRPr="005C4E62">
        <w:rPr>
          <w:rStyle w:val="FootnoteReference"/>
          <w:iCs/>
        </w:rPr>
        <w:footnoteReference w:id="20"/>
      </w:r>
    </w:p>
    <w:p w14:paraId="47884D60" w14:textId="77777777" w:rsidR="009A1814" w:rsidRPr="005C4E62" w:rsidRDefault="009A1814" w:rsidP="009A1814">
      <w:pPr>
        <w:pStyle w:val="Text2"/>
        <w:tabs>
          <w:tab w:val="clear" w:pos="2161"/>
          <w:tab w:val="left" w:leader="dot" w:pos="9072"/>
        </w:tabs>
        <w:spacing w:before="120" w:after="120"/>
        <w:ind w:left="709"/>
      </w:pPr>
      <w:r>
        <w:tab/>
      </w:r>
    </w:p>
    <w:p w14:paraId="530D2C92" w14:textId="77777777" w:rsidR="009A1814" w:rsidRPr="005C4E62" w:rsidRDefault="009A1814" w:rsidP="009A1814">
      <w:pPr>
        <w:pStyle w:val="NumPar2"/>
        <w:numPr>
          <w:ilvl w:val="1"/>
          <w:numId w:val="41"/>
        </w:numPr>
        <w:ind w:left="709" w:hanging="709"/>
        <w:rPr>
          <w:iCs/>
        </w:rPr>
      </w:pPr>
      <w:r>
        <w:t>For at påvise, at støtteforanstaltningen sikrer ligebehandling af alle de mulige tjenesteudbydere og giver forbrugerne det bredest mulige udvalg af leverandører, bekræftes følgende (med angivelse af de relevante oplysninger)</w:t>
      </w:r>
      <w:r w:rsidR="00F47AC0" w:rsidRPr="005C4E62">
        <w:rPr>
          <w:rStyle w:val="FootnoteReference"/>
        </w:rPr>
        <w:footnoteReference w:id="21"/>
      </w:r>
      <w:r>
        <w:t xml:space="preserve">: </w:t>
      </w:r>
    </w:p>
    <w:p w14:paraId="3B73CEEE" w14:textId="77777777" w:rsidR="009A1814" w:rsidRPr="005C4E62" w:rsidRDefault="009A1814" w:rsidP="004C1C63">
      <w:pPr>
        <w:pStyle w:val="NumPar2"/>
        <w:numPr>
          <w:ilvl w:val="4"/>
          <w:numId w:val="42"/>
        </w:numPr>
        <w:tabs>
          <w:tab w:val="clear" w:pos="1800"/>
        </w:tabs>
        <w:ind w:left="1418" w:hanging="709"/>
      </w:pPr>
      <w:r>
        <w:t>der oprettes et onlineregister over alle støtteberettigede tjenesteudbydere (eller en tilsvarende alternativ platform)</w:t>
      </w:r>
    </w:p>
    <w:p w14:paraId="64D65DE5" w14:textId="77777777" w:rsidR="009A1814" w:rsidRPr="005C4E62" w:rsidRDefault="009A1814" w:rsidP="009A1814">
      <w:pPr>
        <w:pStyle w:val="Text2"/>
        <w:tabs>
          <w:tab w:val="clear" w:pos="2161"/>
          <w:tab w:val="left" w:leader="dot" w:pos="9072"/>
        </w:tabs>
        <w:spacing w:before="120" w:after="120"/>
        <w:ind w:left="709"/>
      </w:pPr>
      <w:r>
        <w:tab/>
      </w:r>
    </w:p>
    <w:p w14:paraId="0EDD0771" w14:textId="77777777" w:rsidR="009A1814" w:rsidRPr="005C4E62" w:rsidRDefault="009A1814" w:rsidP="004C1C63">
      <w:pPr>
        <w:pStyle w:val="NumPar2"/>
        <w:numPr>
          <w:ilvl w:val="4"/>
          <w:numId w:val="42"/>
        </w:numPr>
        <w:tabs>
          <w:tab w:val="clear" w:pos="1800"/>
        </w:tabs>
        <w:ind w:left="1418" w:hanging="709"/>
      </w:pPr>
      <w:r>
        <w:t xml:space="preserve">forbrugerne har fri adgang til registret </w:t>
      </w:r>
    </w:p>
    <w:p w14:paraId="50732715" w14:textId="77777777" w:rsidR="009A1814" w:rsidRPr="005C4E62" w:rsidRDefault="009A1814" w:rsidP="009A1814">
      <w:pPr>
        <w:pStyle w:val="Text2"/>
        <w:tabs>
          <w:tab w:val="clear" w:pos="2161"/>
          <w:tab w:val="left" w:leader="dot" w:pos="9072"/>
        </w:tabs>
        <w:spacing w:before="120" w:after="120"/>
        <w:ind w:left="709"/>
      </w:pPr>
      <w:r>
        <w:tab/>
      </w:r>
    </w:p>
    <w:p w14:paraId="6CAF30D6" w14:textId="77777777" w:rsidR="009A1814" w:rsidRPr="005C4E62" w:rsidRDefault="009A1814" w:rsidP="00D46D21">
      <w:pPr>
        <w:pStyle w:val="NumPar2"/>
        <w:numPr>
          <w:ilvl w:val="4"/>
          <w:numId w:val="42"/>
        </w:numPr>
        <w:tabs>
          <w:tab w:val="clear" w:pos="1800"/>
        </w:tabs>
        <w:ind w:left="1418" w:hanging="709"/>
      </w:pPr>
      <w:r>
        <w:t>alle virksomheder, der er i stand til at levere de støtteberettigede bredbåndstjenester, kan anmode om registrering i registret (eller på den alternative platform)</w:t>
      </w:r>
    </w:p>
    <w:p w14:paraId="17F16447" w14:textId="77777777" w:rsidR="009A1814" w:rsidRPr="005C4E62" w:rsidRDefault="009A1814" w:rsidP="009A1814">
      <w:pPr>
        <w:pStyle w:val="Text2"/>
        <w:tabs>
          <w:tab w:val="clear" w:pos="2161"/>
          <w:tab w:val="left" w:leader="dot" w:pos="9072"/>
        </w:tabs>
        <w:spacing w:before="120" w:after="120"/>
        <w:ind w:left="709"/>
      </w:pPr>
      <w:r>
        <w:tab/>
        <w:t xml:space="preserve"> </w:t>
      </w:r>
    </w:p>
    <w:p w14:paraId="22A0A5E0" w14:textId="77777777" w:rsidR="009A1814" w:rsidRPr="005C4E62" w:rsidRDefault="009A1814" w:rsidP="004C1C63">
      <w:pPr>
        <w:pStyle w:val="NumPar2"/>
        <w:numPr>
          <w:ilvl w:val="4"/>
          <w:numId w:val="42"/>
        </w:numPr>
        <w:tabs>
          <w:tab w:val="clear" w:pos="1800"/>
        </w:tabs>
        <w:ind w:left="1418" w:hanging="709"/>
      </w:pPr>
      <w:r>
        <w:t>registret (eller den alternative platform) stiller yderligere oplysninger til rådighed for forbrugerne (f.eks. typen af tjenester de forskellige virksomheder yder osv.). Angiv, hvilke yderligere oplysninger der er tale om</w:t>
      </w:r>
    </w:p>
    <w:p w14:paraId="0808510E" w14:textId="77777777" w:rsidR="009A1814" w:rsidRPr="005C4E62" w:rsidRDefault="009A1814" w:rsidP="009A1814">
      <w:pPr>
        <w:pStyle w:val="Text2"/>
        <w:tabs>
          <w:tab w:val="clear" w:pos="2161"/>
          <w:tab w:val="left" w:leader="dot" w:pos="9072"/>
        </w:tabs>
        <w:spacing w:before="120" w:after="120"/>
        <w:ind w:left="709"/>
      </w:pPr>
      <w:r>
        <w:tab/>
      </w:r>
    </w:p>
    <w:p w14:paraId="421A2EEC" w14:textId="77777777" w:rsidR="009A1814" w:rsidRPr="005C4E62" w:rsidRDefault="009A1814" w:rsidP="004C1C63">
      <w:pPr>
        <w:pStyle w:val="NumPar2"/>
        <w:numPr>
          <w:ilvl w:val="1"/>
          <w:numId w:val="41"/>
        </w:numPr>
        <w:ind w:left="709" w:hanging="709"/>
      </w:pPr>
      <w:r>
        <w:t>Giv en detaljeret beskrivelse af støtteforanstaltningens gennemførelsesprocedure</w:t>
      </w:r>
    </w:p>
    <w:p w14:paraId="0186ED5A" w14:textId="77777777" w:rsidR="004D559F" w:rsidRPr="005C4E62" w:rsidRDefault="004D559F" w:rsidP="00450B69">
      <w:pPr>
        <w:pStyle w:val="Text2"/>
        <w:tabs>
          <w:tab w:val="clear" w:pos="2161"/>
          <w:tab w:val="left" w:leader="dot" w:pos="9072"/>
        </w:tabs>
        <w:spacing w:before="120" w:after="120"/>
        <w:ind w:left="709"/>
      </w:pPr>
      <w:r>
        <w:tab/>
      </w:r>
    </w:p>
    <w:p w14:paraId="304C5277" w14:textId="77777777" w:rsidR="009A1814" w:rsidRPr="005C4E62" w:rsidRDefault="009A1814" w:rsidP="004C1C63">
      <w:pPr>
        <w:pStyle w:val="NumPar2"/>
        <w:numPr>
          <w:ilvl w:val="1"/>
          <w:numId w:val="41"/>
        </w:numPr>
        <w:ind w:left="709" w:hanging="709"/>
      </w:pPr>
      <w:r>
        <w:t>Offentlig høring: Oplys følgende</w:t>
      </w:r>
      <w:r w:rsidR="00E217F7" w:rsidRPr="005C4E62">
        <w:rPr>
          <w:rStyle w:val="FootnoteReference"/>
        </w:rPr>
        <w:footnoteReference w:id="22"/>
      </w:r>
      <w:r>
        <w:t>:</w:t>
      </w:r>
    </w:p>
    <w:p w14:paraId="7B045E9E" w14:textId="77777777" w:rsidR="009A1814" w:rsidRPr="005C4E62" w:rsidRDefault="009A1814" w:rsidP="0007146D">
      <w:pPr>
        <w:pStyle w:val="Text2"/>
        <w:numPr>
          <w:ilvl w:val="4"/>
          <w:numId w:val="48"/>
        </w:numPr>
        <w:tabs>
          <w:tab w:val="clear" w:pos="2161"/>
        </w:tabs>
        <w:spacing w:after="120"/>
        <w:ind w:hanging="1091"/>
      </w:pPr>
      <w:r>
        <w:t xml:space="preserve">start- og slutdatoen for hver afholdt offentlig høring </w:t>
      </w:r>
    </w:p>
    <w:p w14:paraId="71AED25D" w14:textId="77777777" w:rsidR="009A1814" w:rsidRPr="005C4E62" w:rsidRDefault="009A1814" w:rsidP="009A1814">
      <w:pPr>
        <w:pStyle w:val="Text2"/>
        <w:tabs>
          <w:tab w:val="clear" w:pos="2161"/>
          <w:tab w:val="left" w:leader="dot" w:pos="9072"/>
        </w:tabs>
        <w:spacing w:before="120" w:after="120"/>
        <w:ind w:left="709"/>
      </w:pPr>
      <w:r>
        <w:tab/>
      </w:r>
    </w:p>
    <w:p w14:paraId="5AC91EDD" w14:textId="77777777" w:rsidR="009A1814" w:rsidRPr="005C4E62" w:rsidRDefault="009A1814" w:rsidP="0007146D">
      <w:pPr>
        <w:pStyle w:val="Text2"/>
        <w:numPr>
          <w:ilvl w:val="4"/>
          <w:numId w:val="48"/>
        </w:numPr>
        <w:tabs>
          <w:tab w:val="clear" w:pos="2161"/>
        </w:tabs>
        <w:spacing w:after="120"/>
        <w:ind w:left="1418" w:hanging="709"/>
      </w:pPr>
      <w:r>
        <w:t xml:space="preserve">indholdet af hver offentlig høring </w:t>
      </w:r>
    </w:p>
    <w:p w14:paraId="70B1DF78" w14:textId="77777777" w:rsidR="009A1814" w:rsidRPr="005C4E62" w:rsidRDefault="009A1814" w:rsidP="009A1814">
      <w:pPr>
        <w:pStyle w:val="Text2"/>
        <w:tabs>
          <w:tab w:val="clear" w:pos="2161"/>
          <w:tab w:val="left" w:leader="dot" w:pos="9072"/>
        </w:tabs>
        <w:spacing w:before="120" w:after="120"/>
        <w:ind w:left="709"/>
      </w:pPr>
      <w:r>
        <w:tab/>
      </w:r>
    </w:p>
    <w:p w14:paraId="72D700F7" w14:textId="77777777" w:rsidR="009A1814" w:rsidRPr="005C4E62" w:rsidRDefault="009A1814" w:rsidP="0007146D">
      <w:pPr>
        <w:pStyle w:val="Text2"/>
        <w:numPr>
          <w:ilvl w:val="4"/>
          <w:numId w:val="48"/>
        </w:numPr>
        <w:tabs>
          <w:tab w:val="clear" w:pos="2161"/>
        </w:tabs>
        <w:spacing w:after="120"/>
        <w:ind w:left="1418" w:hanging="709"/>
      </w:pPr>
      <w:r>
        <w:t>det offentligt tilgængelige websted (regionalt og/eller nationalt), hvor høringen blev offentliggjort</w:t>
      </w:r>
    </w:p>
    <w:p w14:paraId="3D4D0608" w14:textId="77777777" w:rsidR="009A1814" w:rsidRPr="005C4E62" w:rsidRDefault="009A1814" w:rsidP="009A1814">
      <w:pPr>
        <w:pStyle w:val="Text2"/>
        <w:tabs>
          <w:tab w:val="clear" w:pos="2161"/>
          <w:tab w:val="left" w:leader="dot" w:pos="9072"/>
        </w:tabs>
        <w:spacing w:before="120" w:after="120"/>
        <w:ind w:left="709"/>
      </w:pPr>
      <w:r>
        <w:lastRenderedPageBreak/>
        <w:tab/>
      </w:r>
    </w:p>
    <w:p w14:paraId="4EED35F3" w14:textId="77777777" w:rsidR="009A1814" w:rsidRPr="005C4E62" w:rsidRDefault="009A1814" w:rsidP="0007146D">
      <w:pPr>
        <w:pStyle w:val="Text2"/>
        <w:numPr>
          <w:ilvl w:val="4"/>
          <w:numId w:val="48"/>
        </w:numPr>
        <w:tabs>
          <w:tab w:val="clear" w:pos="2161"/>
        </w:tabs>
        <w:spacing w:after="120"/>
        <w:ind w:left="1418" w:hanging="709"/>
      </w:pPr>
      <w:r>
        <w:t>en opsummering af de vigtigste bemærkninger fra bidragyderne til hver offentlig høring med angivelse af, hvordan der er taget højde herfor</w:t>
      </w:r>
    </w:p>
    <w:p w14:paraId="7D3B8B55" w14:textId="77777777" w:rsidR="009A1814" w:rsidRPr="005C4E62" w:rsidRDefault="009A1814" w:rsidP="009A1814">
      <w:pPr>
        <w:pStyle w:val="Text2"/>
        <w:tabs>
          <w:tab w:val="clear" w:pos="2161"/>
          <w:tab w:val="left" w:leader="dot" w:pos="9072"/>
        </w:tabs>
        <w:spacing w:before="120" w:after="120"/>
        <w:ind w:left="709"/>
      </w:pPr>
      <w:r>
        <w:tab/>
      </w:r>
    </w:p>
    <w:p w14:paraId="705D36D5" w14:textId="77777777" w:rsidR="009A1814" w:rsidRPr="005C4E62" w:rsidRDefault="009A1814" w:rsidP="004C1C63">
      <w:pPr>
        <w:pStyle w:val="NumPar2"/>
        <w:numPr>
          <w:ilvl w:val="1"/>
          <w:numId w:val="41"/>
        </w:numPr>
        <w:ind w:left="709" w:hanging="709"/>
      </w:pPr>
      <w:r>
        <w:t>Angiv, om der er anvendt yderligere sikkerhedsforanstaltninger for at undgå eventuelt misbrug af konnektivitetsvouchere. Hvis ja gives der nærmere oplysninger herom</w:t>
      </w:r>
      <w:r w:rsidRPr="005C4E62">
        <w:rPr>
          <w:rStyle w:val="FootnoteReference"/>
        </w:rPr>
        <w:footnoteReference w:id="23"/>
      </w:r>
    </w:p>
    <w:p w14:paraId="430D8C6E" w14:textId="77777777" w:rsidR="009A1814" w:rsidRPr="005C4E62" w:rsidRDefault="009A1814" w:rsidP="009A1814">
      <w:pPr>
        <w:pStyle w:val="Text2"/>
        <w:tabs>
          <w:tab w:val="clear" w:pos="2161"/>
          <w:tab w:val="left" w:leader="dot" w:pos="9072"/>
        </w:tabs>
        <w:spacing w:before="120" w:after="120"/>
        <w:ind w:left="709"/>
      </w:pPr>
      <w:r>
        <w:tab/>
      </w:r>
    </w:p>
    <w:p w14:paraId="79D125F5" w14:textId="77777777" w:rsidR="009A1814" w:rsidRPr="005C4E62" w:rsidRDefault="009A1814" w:rsidP="004C1C63">
      <w:pPr>
        <w:pStyle w:val="NumPar2"/>
        <w:numPr>
          <w:ilvl w:val="1"/>
          <w:numId w:val="41"/>
        </w:numPr>
        <w:ind w:left="709" w:hanging="709"/>
      </w:pPr>
      <w:r>
        <w:t>Angiv, om støtteforanstaltningen indeholder bestemte regler om administration af abonnementer, bl.a. med hensyn til førtidig opsigelse af abonnementet, mulighed for at flytte abonnement til en anden udbyder i voucherens gyldighedsperiode (i givet fald på hvilke betingelser), videreførelse af abonnementet efter voucherens udløb. Oplys nærmere</w:t>
      </w:r>
    </w:p>
    <w:p w14:paraId="67AA2B93" w14:textId="77777777" w:rsidR="009A1814" w:rsidRPr="005C4E62" w:rsidRDefault="009A1814" w:rsidP="009A1814">
      <w:pPr>
        <w:pStyle w:val="Text2"/>
        <w:tabs>
          <w:tab w:val="clear" w:pos="2161"/>
          <w:tab w:val="left" w:leader="dot" w:pos="9072"/>
        </w:tabs>
        <w:spacing w:before="120" w:after="120"/>
        <w:ind w:left="709"/>
      </w:pPr>
      <w:r>
        <w:tab/>
      </w:r>
    </w:p>
    <w:p w14:paraId="0656A51C" w14:textId="77777777" w:rsidR="00807BE5" w:rsidRPr="005C4E62" w:rsidRDefault="004C1C63" w:rsidP="00F47AC0">
      <w:pPr>
        <w:pStyle w:val="NumPar2"/>
        <w:numPr>
          <w:ilvl w:val="1"/>
          <w:numId w:val="41"/>
        </w:numPr>
        <w:ind w:left="709" w:hanging="709"/>
      </w:pPr>
      <w:r>
        <w:t>Angiv, hvilke økonomiske aktiviteter der vil blive fremmet ved støtteforanstaltningen som følge af en forøgelse af konnektiviteten og adgangen til højtydende bredbåndstjenester, og redegør for, hvordan foranstaltningen støtter udviklingen af de pågældende aktiviteter</w:t>
      </w:r>
      <w:r w:rsidR="00807BE5" w:rsidRPr="005C4E62">
        <w:rPr>
          <w:rStyle w:val="FootnoteReference"/>
        </w:rPr>
        <w:footnoteReference w:id="24"/>
      </w:r>
    </w:p>
    <w:p w14:paraId="4508DC91" w14:textId="77777777" w:rsidR="00807BE5" w:rsidRPr="005C4E62" w:rsidRDefault="00807BE5" w:rsidP="00807BE5">
      <w:pPr>
        <w:pStyle w:val="Text2"/>
        <w:tabs>
          <w:tab w:val="clear" w:pos="2161"/>
          <w:tab w:val="left" w:leader="dot" w:pos="9072"/>
        </w:tabs>
        <w:spacing w:before="120" w:after="120"/>
        <w:ind w:left="709"/>
      </w:pPr>
      <w:r>
        <w:tab/>
      </w:r>
    </w:p>
    <w:p w14:paraId="000285C4" w14:textId="77777777" w:rsidR="00D46D21" w:rsidRPr="005C4E62" w:rsidRDefault="00F47AC0" w:rsidP="00D46D21">
      <w:pPr>
        <w:pStyle w:val="NumPar2"/>
        <w:numPr>
          <w:ilvl w:val="1"/>
          <w:numId w:val="41"/>
        </w:numPr>
        <w:ind w:left="709" w:hanging="709"/>
      </w:pPr>
      <w:r>
        <w:t>Dokumentér støttens tilskyndelsesvirkning</w:t>
      </w:r>
      <w:r w:rsidRPr="005C4E62">
        <w:rPr>
          <w:rStyle w:val="FootnoteReference"/>
        </w:rPr>
        <w:footnoteReference w:id="25"/>
      </w:r>
    </w:p>
    <w:p w14:paraId="7BD25092" w14:textId="77777777" w:rsidR="00D46D21" w:rsidRPr="005C4E62" w:rsidRDefault="00D46D21" w:rsidP="00D46D21">
      <w:pPr>
        <w:pStyle w:val="Text2"/>
        <w:tabs>
          <w:tab w:val="clear" w:pos="2161"/>
          <w:tab w:val="left" w:leader="dot" w:pos="9072"/>
        </w:tabs>
        <w:spacing w:before="120" w:after="120"/>
        <w:ind w:left="709"/>
      </w:pPr>
      <w:r>
        <w:tab/>
      </w:r>
    </w:p>
    <w:p w14:paraId="4E69DCDD" w14:textId="77777777" w:rsidR="00F47AC0" w:rsidRPr="005C4E62" w:rsidRDefault="00F47AC0" w:rsidP="00F47AC0">
      <w:pPr>
        <w:pStyle w:val="NumPar2"/>
        <w:numPr>
          <w:ilvl w:val="1"/>
          <w:numId w:val="41"/>
        </w:numPr>
        <w:ind w:left="709" w:hanging="709"/>
      </w:pPr>
      <w:r>
        <w:t>Bekræft, at statsstøtteforanstaltningen, de betingelser, der er knyttet hertil (herunder dens finansieringsmetode, når den udgør en integreret del af støtten), eller den aktivitet, den finansierer, ikke medfører en overtrædelse af bestemmelser eller generelle principper i EU-retten</w:t>
      </w:r>
    </w:p>
    <w:p w14:paraId="4E4ADA3C"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nej. Redegør nærmere…………..</w:t>
      </w:r>
    </w:p>
    <w:p w14:paraId="28A3025F" w14:textId="77777777" w:rsidR="00C9528F" w:rsidRPr="005C4E62" w:rsidRDefault="00C9528F" w:rsidP="00F47AC0">
      <w:pPr>
        <w:pStyle w:val="NumPar2"/>
        <w:numPr>
          <w:ilvl w:val="1"/>
          <w:numId w:val="41"/>
        </w:numPr>
        <w:ind w:left="709" w:hanging="709"/>
      </w:pPr>
      <w:r>
        <w:t>Redegør for, hvorfor alternative foranstaltninger til statsstøtte (f.eks. administrative og lovgivningsmæssige foranstaltninger, markedsbaserede instrumenter, lån, skattemæssige foranstaltninger) ikke egner sig til at opfylde støtteforanstaltningens målsætning(er)</w:t>
      </w:r>
      <w:r w:rsidR="006C4335" w:rsidRPr="005C4E62">
        <w:rPr>
          <w:rStyle w:val="FootnoteReference"/>
        </w:rPr>
        <w:footnoteReference w:id="26"/>
      </w:r>
    </w:p>
    <w:p w14:paraId="109EB06F" w14:textId="77777777" w:rsidR="003759A4" w:rsidRPr="005C4E62" w:rsidRDefault="00C9528F" w:rsidP="00C9528F">
      <w:pPr>
        <w:pStyle w:val="Text2"/>
        <w:tabs>
          <w:tab w:val="clear" w:pos="2161"/>
          <w:tab w:val="left" w:leader="dot" w:pos="9072"/>
        </w:tabs>
        <w:spacing w:before="120" w:after="120"/>
        <w:ind w:left="709"/>
      </w:pPr>
      <w:r>
        <w:tab/>
      </w:r>
    </w:p>
    <w:p w14:paraId="32E35576" w14:textId="77777777" w:rsidR="00E217F7" w:rsidRPr="005C4E62" w:rsidRDefault="00E217F7" w:rsidP="00E217F7">
      <w:pPr>
        <w:pStyle w:val="NumPar2"/>
        <w:numPr>
          <w:ilvl w:val="1"/>
          <w:numId w:val="41"/>
        </w:numPr>
        <w:ind w:left="709" w:hanging="709"/>
        <w:rPr>
          <w:iCs/>
        </w:rPr>
      </w:pPr>
      <w:r>
        <w:t>Forelæg en markedsvurdering, der indeholder: i) en vurdering af risikoen for, at støtteforanstaltningen giver visse udbydere (på detail- og/eller engrosniveau) en uforholdsmæssig fordel på bekostning af andre og dermed styrker (lokal) markedsdominans, ii) en vurdering af det faktiske behov for at bruge konnektivitetsvouchere ved at sammenligne situationen i det eller de pågældende interventionsområder med situationen i andre områder i medlemsstaten eller i Unionen, iii) en analyse af tendenserne i slutbrugernes anvendelse af de støtteberettigede tjenester</w:t>
      </w:r>
      <w:r w:rsidRPr="005C4E62">
        <w:rPr>
          <w:rStyle w:val="FootnoteReference"/>
          <w:iCs/>
        </w:rPr>
        <w:footnoteReference w:id="27"/>
      </w:r>
    </w:p>
    <w:p w14:paraId="5652601D" w14:textId="77777777" w:rsidR="00E217F7" w:rsidRPr="005C4E62" w:rsidRDefault="00E217F7" w:rsidP="00E217F7">
      <w:pPr>
        <w:pStyle w:val="Text2"/>
        <w:tabs>
          <w:tab w:val="clear" w:pos="2161"/>
          <w:tab w:val="left" w:leader="dot" w:pos="9072"/>
        </w:tabs>
        <w:spacing w:before="120" w:after="120"/>
        <w:ind w:left="709"/>
      </w:pPr>
      <w:r>
        <w:lastRenderedPageBreak/>
        <w:tab/>
      </w:r>
    </w:p>
    <w:p w14:paraId="313E26FB" w14:textId="77777777" w:rsidR="004D559F" w:rsidRPr="005C4E62" w:rsidRDefault="004D559F" w:rsidP="004D559F">
      <w:pPr>
        <w:pStyle w:val="NumPar2"/>
        <w:numPr>
          <w:ilvl w:val="1"/>
          <w:numId w:val="41"/>
        </w:numPr>
        <w:ind w:left="709" w:hanging="709"/>
      </w:pPr>
      <w:r>
        <w:t>Angiv, om nogle af de støtteberettigede udbydere af bredbåndstjenester er vertikalt integreret og har en detailmarkedsandel på over 25 %</w:t>
      </w:r>
    </w:p>
    <w:p w14:paraId="386A3AFC" w14:textId="368423DC"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r>
      <w:r w:rsidR="00FA72B3">
        <w:t>n</w:t>
      </w:r>
      <w:r>
        <w:t xml:space="preserve">ej. </w:t>
      </w:r>
    </w:p>
    <w:p w14:paraId="5E659A2E" w14:textId="77777777" w:rsidR="004D559F" w:rsidRPr="005C4E62" w:rsidRDefault="004D559F" w:rsidP="004D559F">
      <w:pPr>
        <w:pStyle w:val="NumPar2"/>
        <w:numPr>
          <w:ilvl w:val="1"/>
          <w:numId w:val="41"/>
        </w:numPr>
        <w:ind w:left="709" w:hanging="709"/>
      </w:pPr>
      <w:r>
        <w:t>Hvis ja bekræftes det, at alle vertikalt integrerede udbydere af bredbåndstjenester, som har en detailmarkedsandel på over 25 %, på det tilsvarende engrosmarked vil tilbyde engrosadgangsprodukter, på grundlag af hvilke enhver adgangssøgende vil kunne levere de støtteberettigede tjenester på åbne, gennemsigtige og ikkediskriminerende vilkår</w:t>
      </w:r>
    </w:p>
    <w:p w14:paraId="7AD8BF3C"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 xml:space="preserve">nej </w:t>
      </w:r>
    </w:p>
    <w:p w14:paraId="682D498B" w14:textId="77777777" w:rsidR="00E217F7" w:rsidRPr="005C4E62" w:rsidRDefault="00E217F7" w:rsidP="004D559F">
      <w:pPr>
        <w:pStyle w:val="NumPar2"/>
        <w:numPr>
          <w:ilvl w:val="1"/>
          <w:numId w:val="41"/>
        </w:numPr>
        <w:ind w:left="709" w:hanging="709"/>
      </w:pPr>
      <w:r>
        <w:t>Angiv støtteforanstaltningens varighed og gyldighedsperioden for vouchere til individuelle slutbrugere</w:t>
      </w:r>
      <w:r w:rsidRPr="005C4E62">
        <w:rPr>
          <w:vertAlign w:val="superscript"/>
        </w:rPr>
        <w:footnoteReference w:id="28"/>
      </w:r>
    </w:p>
    <w:p w14:paraId="2C6B574D" w14:textId="77777777" w:rsidR="00E217F7" w:rsidRPr="005C4E62" w:rsidRDefault="00E217F7" w:rsidP="004D559F">
      <w:pPr>
        <w:pStyle w:val="Text2"/>
        <w:tabs>
          <w:tab w:val="clear" w:pos="2161"/>
          <w:tab w:val="left" w:leader="dot" w:pos="9072"/>
        </w:tabs>
        <w:spacing w:before="120" w:after="120"/>
        <w:ind w:left="709"/>
      </w:pPr>
      <w:r>
        <w:tab/>
      </w:r>
    </w:p>
    <w:p w14:paraId="2D00FDD7" w14:textId="77777777" w:rsidR="00AA0B7A" w:rsidRPr="005C4E62" w:rsidRDefault="00AA0B7A" w:rsidP="00AA0B7A">
      <w:pPr>
        <w:pStyle w:val="NumPar2"/>
        <w:numPr>
          <w:ilvl w:val="1"/>
          <w:numId w:val="41"/>
        </w:numPr>
        <w:ind w:left="709" w:hanging="709"/>
      </w:pPr>
      <w:r>
        <w:t>Redegør for støtteforanstaltningens potentielle negative virkninger for konkurrencen og samhandelen, og hvilke elementer i foranstaltningens udformning der vil kunne minimere disse risici</w:t>
      </w:r>
    </w:p>
    <w:p w14:paraId="1A16E4EB"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18D4A308" w14:textId="77777777" w:rsidTr="00E27219">
        <w:tc>
          <w:tcPr>
            <w:tcW w:w="9356" w:type="dxa"/>
            <w:shd w:val="clear" w:color="auto" w:fill="D9D9D9"/>
          </w:tcPr>
          <w:p w14:paraId="7B58CD9B"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Andre oplysninger (gælder både sociale vouchere og konnektivitetsvouchere)</w:t>
            </w:r>
          </w:p>
        </w:tc>
      </w:tr>
    </w:tbl>
    <w:p w14:paraId="307F16CA" w14:textId="77777777" w:rsidR="00A15706" w:rsidRPr="005C4E62" w:rsidRDefault="00215029" w:rsidP="001B5649">
      <w:pPr>
        <w:pStyle w:val="NumPar2"/>
        <w:numPr>
          <w:ilvl w:val="1"/>
          <w:numId w:val="44"/>
        </w:numPr>
        <w:ind w:left="709" w:hanging="709"/>
      </w:pPr>
      <w:r>
        <w:t>Redegør for, hvilken rolle den nationale tilsynsmyndighed spiller i forbindelse med udformningen, gennemførelsen og overvågningen af støtteforanstaltningen</w:t>
      </w:r>
    </w:p>
    <w:p w14:paraId="169A15A8" w14:textId="77777777" w:rsidR="00E217F7" w:rsidRPr="005C4E62" w:rsidRDefault="00E217F7" w:rsidP="00E217F7">
      <w:pPr>
        <w:pStyle w:val="Text2"/>
        <w:tabs>
          <w:tab w:val="clear" w:pos="2161"/>
          <w:tab w:val="left" w:leader="dot" w:pos="9072"/>
        </w:tabs>
        <w:spacing w:before="120" w:after="120"/>
        <w:ind w:left="709"/>
      </w:pPr>
      <w:r>
        <w:tab/>
      </w:r>
    </w:p>
    <w:p w14:paraId="303D9271" w14:textId="77777777" w:rsidR="00A15706" w:rsidRPr="005C4E62" w:rsidRDefault="00A15706" w:rsidP="00AA0B7A">
      <w:pPr>
        <w:pStyle w:val="NumPar2"/>
        <w:numPr>
          <w:ilvl w:val="1"/>
          <w:numId w:val="44"/>
        </w:numPr>
        <w:ind w:left="709" w:hanging="709"/>
      </w:pPr>
      <w:r>
        <w:t>Vedlæg den nationale tilsynsmyndigheds udtalelse om støtteforanstaltningen (hvis en sådan foreligger)</w:t>
      </w:r>
    </w:p>
    <w:p w14:paraId="4527CCAC" w14:textId="77777777" w:rsidR="00A15706" w:rsidRPr="005C4E62" w:rsidRDefault="00A15706" w:rsidP="00A15706">
      <w:pPr>
        <w:pStyle w:val="Text2"/>
        <w:tabs>
          <w:tab w:val="clear" w:pos="2161"/>
          <w:tab w:val="left" w:leader="dot" w:pos="9072"/>
        </w:tabs>
        <w:spacing w:before="120" w:after="120"/>
        <w:ind w:left="709"/>
      </w:pPr>
      <w:r>
        <w:tab/>
      </w:r>
    </w:p>
    <w:p w14:paraId="22E3B13C" w14:textId="77777777" w:rsidR="00A15706" w:rsidRPr="005C4E62" w:rsidRDefault="00A15706" w:rsidP="00AA0B7A">
      <w:pPr>
        <w:pStyle w:val="NumPar2"/>
        <w:numPr>
          <w:ilvl w:val="1"/>
          <w:numId w:val="44"/>
        </w:numPr>
        <w:ind w:left="709" w:hanging="709"/>
      </w:pPr>
      <w:r>
        <w:t>Vedlæg den nationale konkurrencemyndigheds udtalelse om støtteforanstaltningen (hvis en sådan foreligger)</w:t>
      </w:r>
    </w:p>
    <w:p w14:paraId="141320F8" w14:textId="77777777" w:rsidR="00A15706" w:rsidRPr="005C4E62" w:rsidRDefault="009D198A" w:rsidP="00E217F7">
      <w:pPr>
        <w:pStyle w:val="Text2"/>
        <w:tabs>
          <w:tab w:val="clear" w:pos="2161"/>
          <w:tab w:val="left" w:leader="dot" w:pos="9072"/>
        </w:tabs>
        <w:spacing w:before="120" w:after="120"/>
        <w:ind w:left="709"/>
      </w:pPr>
      <w:r>
        <w:tab/>
      </w:r>
    </w:p>
    <w:p w14:paraId="3CE47939" w14:textId="77777777" w:rsidR="00DE2831" w:rsidRPr="005C4E62" w:rsidRDefault="00DE2831" w:rsidP="00AA0B7A">
      <w:pPr>
        <w:pStyle w:val="NumPar2"/>
        <w:numPr>
          <w:ilvl w:val="1"/>
          <w:numId w:val="44"/>
        </w:numPr>
        <w:ind w:left="709" w:hanging="709"/>
      </w:pPr>
      <w:r>
        <w:t xml:space="preserve">Gennemsigtighed: </w:t>
      </w:r>
    </w:p>
    <w:p w14:paraId="240B6337" w14:textId="77777777" w:rsidR="00153D1B" w:rsidRPr="005C4E62" w:rsidRDefault="00A72D4E" w:rsidP="00E27219">
      <w:pPr>
        <w:pStyle w:val="NumPar2"/>
        <w:numPr>
          <w:ilvl w:val="0"/>
          <w:numId w:val="33"/>
        </w:numPr>
        <w:ind w:left="1418" w:hanging="709"/>
      </w:pPr>
      <w:r>
        <w:t>bekræft, at medlemsstaten vil offentliggøre i) den fulde ordlyd af afgørelsen om godkendelse af støtteforanstaltningen og gennemførelsesbestemmelserne hertil (eller et link til dem) og ii) oplysninger om hver individuel støttetildeling på over 100 000 EUR, jf. bilag II</w:t>
      </w:r>
      <w:r w:rsidR="00DE2831" w:rsidRPr="005C4E62">
        <w:rPr>
          <w:rStyle w:val="FootnoteReference"/>
          <w:iCs/>
        </w:rPr>
        <w:footnoteReference w:id="29"/>
      </w:r>
      <w:r>
        <w:t>, (senest seks måneder efter tildeling af støtten eller, for støtte ydet i form af skattemæssige fordele, senest et år efter udløbet af fristen for indgivelse af skatteangivelsen)</w:t>
      </w:r>
      <w:r w:rsidR="00DE2831" w:rsidRPr="005C4E62">
        <w:rPr>
          <w:rStyle w:val="FootnoteReference"/>
          <w:iCs/>
        </w:rPr>
        <w:footnoteReference w:id="30"/>
      </w:r>
      <w:r>
        <w:t>:</w:t>
      </w:r>
    </w:p>
    <w:p w14:paraId="63E9F0D9"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i Kommissionens modul for gennemsigtighed</w:t>
      </w:r>
      <w:r w:rsidRPr="005C4E62">
        <w:rPr>
          <w:rStyle w:val="FootnoteReference"/>
        </w:rPr>
        <w:footnoteReference w:id="31"/>
      </w:r>
    </w:p>
    <w:p w14:paraId="20C993B2" w14:textId="77777777" w:rsidR="00153D1B" w:rsidRPr="005C4E62" w:rsidRDefault="00153D1B" w:rsidP="00DE2831">
      <w:pPr>
        <w:pStyle w:val="Text2"/>
        <w:ind w:left="1407"/>
      </w:pPr>
      <w:r w:rsidRPr="005C4E62">
        <w:lastRenderedPageBreak/>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på et centralt nationalt eller regionalt statsstøttewebsted (med den relevante adresse). I givet fald angives det, om det er et nationalt eller et regionalt websted</w:t>
      </w:r>
      <w:r w:rsidRPr="005C4E62">
        <w:rPr>
          <w:rStyle w:val="FootnoteReference"/>
        </w:rPr>
        <w:footnoteReference w:id="32"/>
      </w:r>
      <w:r>
        <w:t>, og om der er let adgang til oplysningerne om støtten på webstedet (dvs. offentligheden skal have ubegrænset adgang til webstedet)</w:t>
      </w:r>
      <w:r w:rsidR="00DE2831" w:rsidRPr="005C4E62">
        <w:rPr>
          <w:rStyle w:val="FootnoteReference"/>
        </w:rPr>
        <w:footnoteReference w:id="33"/>
      </w:r>
    </w:p>
    <w:p w14:paraId="7033C57D" w14:textId="77777777" w:rsidR="008B2C0A" w:rsidRPr="005C4E62" w:rsidRDefault="008B2C0A" w:rsidP="00D46D21">
      <w:pPr>
        <w:pStyle w:val="Text2"/>
        <w:tabs>
          <w:tab w:val="clear" w:pos="2161"/>
          <w:tab w:val="left" w:leader="dot" w:pos="9072"/>
        </w:tabs>
        <w:spacing w:before="120" w:after="120"/>
        <w:ind w:left="709"/>
      </w:pPr>
      <w:r>
        <w:tab/>
      </w:r>
    </w:p>
    <w:p w14:paraId="0D2C4499" w14:textId="77777777" w:rsidR="00DE2831" w:rsidRPr="005C4E62" w:rsidRDefault="00DE2831" w:rsidP="00E27219">
      <w:pPr>
        <w:pStyle w:val="NumPar2"/>
        <w:numPr>
          <w:ilvl w:val="0"/>
          <w:numId w:val="33"/>
        </w:numPr>
        <w:ind w:left="1418" w:hanging="709"/>
      </w:pPr>
      <w:r>
        <w:t>bekræft, at oplysningerne i punkt 4.4 vil være tilgængelige i mindst 10 år fra datoen for støttetildelingen, og at de vil blive offentliggjort i et regnearksformat, der ikke er ejendomsretligt beskyttet, og som gør det muligt at søge på, udtrække og downloade data og letter offentliggørelsen af data på internettet (f.eks. i CSV- eller XML-format)</w:t>
      </w:r>
    </w:p>
    <w:p w14:paraId="7650628B"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 xml:space="preserve"> nej</w:t>
      </w:r>
    </w:p>
    <w:p w14:paraId="04E15AD9" w14:textId="77777777" w:rsidR="00DE2831" w:rsidRPr="005C4E62" w:rsidRDefault="00DE2831" w:rsidP="00E27219">
      <w:pPr>
        <w:pStyle w:val="NumPar2"/>
        <w:numPr>
          <w:ilvl w:val="0"/>
          <w:numId w:val="33"/>
        </w:numPr>
        <w:ind w:left="1418" w:hanging="709"/>
      </w:pPr>
      <w:r>
        <w:t>bekræft, at de relevante oplysninger vedrørende støtte, der er ulovlig, men efterfølgende erklæres forenelig, offentliggøres på et statsligt websted (med den relevante adresse) senest seks måneder efter datoen for Kommissionens afgørelse om at erklære støtten forenelig</w:t>
      </w:r>
      <w:r w:rsidRPr="005C4E62">
        <w:rPr>
          <w:rStyle w:val="FootnoteReference"/>
        </w:rPr>
        <w:footnoteReference w:id="34"/>
      </w:r>
    </w:p>
    <w:p w14:paraId="5466DD1F"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 xml:space="preserve"> nej</w:t>
      </w:r>
    </w:p>
    <w:p w14:paraId="093DC123" w14:textId="77777777" w:rsidR="004879A7" w:rsidRPr="005C4E62" w:rsidRDefault="004879A7" w:rsidP="00D46D21">
      <w:pPr>
        <w:pStyle w:val="NumPar2"/>
        <w:numPr>
          <w:ilvl w:val="1"/>
          <w:numId w:val="44"/>
        </w:numPr>
        <w:ind w:left="709" w:hanging="709"/>
      </w:pPr>
      <w:r>
        <w:t>Rapportering: Bekræft, at myndighederne vil forelægge Kommissionen i) årlige rapporter om hver foranstaltning, der godkendes inden for rammerne af bredbåndsretningslinjerne, og ii) en rapport hvert andet år med centrale oplysninger om de støtteforanstaltninger, der er godkendt inden for rammerne af bredbåndsretningslinjerne, i overensstemmelse med bilag III til nævnte retningslinjer</w:t>
      </w:r>
      <w:r w:rsidRPr="005C4E62">
        <w:rPr>
          <w:rStyle w:val="FootnoteReference"/>
        </w:rPr>
        <w:footnoteReference w:id="35"/>
      </w:r>
    </w:p>
    <w:p w14:paraId="21270B26" w14:textId="77777777" w:rsidR="004879A7" w:rsidRPr="005C4E62" w:rsidRDefault="004879A7" w:rsidP="004879A7">
      <w:pPr>
        <w:pStyle w:val="Text2"/>
        <w:tabs>
          <w:tab w:val="clear" w:pos="2161"/>
          <w:tab w:val="left" w:leader="dot" w:pos="9072"/>
        </w:tabs>
        <w:spacing w:before="120" w:after="120"/>
        <w:ind w:left="709"/>
      </w:pPr>
      <w:r>
        <w:tab/>
      </w:r>
    </w:p>
    <w:p w14:paraId="71E36374" w14:textId="77777777" w:rsidR="004879A7" w:rsidRPr="005C4E62" w:rsidRDefault="004879A7" w:rsidP="00AA0B7A">
      <w:pPr>
        <w:pStyle w:val="NumPar2"/>
        <w:numPr>
          <w:ilvl w:val="1"/>
          <w:numId w:val="44"/>
        </w:numPr>
        <w:ind w:left="709" w:hanging="709"/>
      </w:pPr>
      <w:r>
        <w:t>Overvågning: Bekræft, at myndighederne vil gemme detaljerede fortegnelser over alle støtteforanstaltninger i 10 år fra datoen for støttens tildeling. Fortegnelserne skal indeholde alle de oplysninger, der er nødvendige for at fastslå, at alle forenelighedsbetingelserne i bredbåndsretningslinjerne er opfyldt. Bekræft også, at myndighederne vil udlevere disse oplysninger til Kommissionen på dennes anmodning</w:t>
      </w:r>
      <w:r w:rsidRPr="005C4E62">
        <w:rPr>
          <w:rStyle w:val="FootnoteReference"/>
        </w:rPr>
        <w:footnoteReference w:id="36"/>
      </w:r>
    </w:p>
    <w:p w14:paraId="3B6B5140" w14:textId="77777777" w:rsidR="00DE2831" w:rsidRPr="005C4E62" w:rsidRDefault="004879A7" w:rsidP="004879A7">
      <w:pPr>
        <w:pStyle w:val="Text2"/>
        <w:tabs>
          <w:tab w:val="clear" w:pos="2161"/>
          <w:tab w:val="left" w:leader="dot" w:pos="9072"/>
        </w:tabs>
        <w:spacing w:before="120" w:after="120"/>
        <w:ind w:left="709"/>
      </w:pPr>
      <w:r>
        <w:tab/>
      </w:r>
    </w:p>
    <w:p w14:paraId="1F18E4AF" w14:textId="77777777" w:rsidR="00C04E88" w:rsidRPr="005C4E62" w:rsidRDefault="00691333" w:rsidP="00AA0B7A">
      <w:pPr>
        <w:pStyle w:val="NumPar2"/>
        <w:numPr>
          <w:ilvl w:val="1"/>
          <w:numId w:val="44"/>
        </w:numPr>
        <w:ind w:left="709" w:hanging="709"/>
        <w:rPr>
          <w:i/>
        </w:rPr>
      </w:pPr>
      <w:r>
        <w:t xml:space="preserve">Angiv, om der påtænkes foretaget en efterfølgende evaluering af støtteforanstaltningen </w:t>
      </w:r>
    </w:p>
    <w:p w14:paraId="1909DEA6"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nej. Redegør for, hvorfor kriteriet for efterfølgende evaluering angiveligt ikke er opfyldt </w:t>
      </w:r>
    </w:p>
    <w:p w14:paraId="2AAF4E50" w14:textId="77777777" w:rsidR="00C04E88" w:rsidRPr="005C4E62" w:rsidRDefault="00C04E88" w:rsidP="00C04E88">
      <w:pPr>
        <w:pStyle w:val="Text2"/>
        <w:tabs>
          <w:tab w:val="clear" w:pos="2161"/>
          <w:tab w:val="left" w:leader="dot" w:pos="9072"/>
        </w:tabs>
        <w:spacing w:before="120" w:after="120"/>
        <w:ind w:left="709"/>
      </w:pPr>
      <w:r>
        <w:tab/>
      </w:r>
    </w:p>
    <w:p w14:paraId="225C1BE5"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 xml:space="preserve"> ja. Angiv, hvilke kriterier der ligger til grund for beslutningen om at foretage efterfølgende evaluering, og forelæg alle relevante oplysninger om den plan for efterfølgende evaluering, der er beskrevet i afsnit 8 i bredbåndsretningslinjerne</w:t>
      </w:r>
    </w:p>
    <w:p w14:paraId="42A6E8F2" w14:textId="77777777" w:rsidR="007B33E6" w:rsidRPr="005C4E62" w:rsidRDefault="00691333" w:rsidP="007B33E6">
      <w:pPr>
        <w:pStyle w:val="Text2"/>
        <w:tabs>
          <w:tab w:val="clear" w:pos="2161"/>
          <w:tab w:val="left" w:leader="dot" w:pos="9072"/>
        </w:tabs>
        <w:spacing w:before="120" w:after="120"/>
        <w:ind w:left="709"/>
      </w:pPr>
      <w:r>
        <w:tab/>
      </w:r>
    </w:p>
    <w:p w14:paraId="18437411" w14:textId="77777777" w:rsidR="007B33E6" w:rsidRPr="005C4E62" w:rsidRDefault="007B33E6" w:rsidP="00AA0B7A">
      <w:pPr>
        <w:pStyle w:val="NumPar2"/>
        <w:numPr>
          <w:ilvl w:val="1"/>
          <w:numId w:val="44"/>
        </w:numPr>
        <w:ind w:left="709" w:hanging="709"/>
        <w:rPr>
          <w:b/>
          <w:bCs/>
        </w:rPr>
      </w:pPr>
      <w:r>
        <w:lastRenderedPageBreak/>
        <w:t>Angiv alle andre oplysninger, der anses for at være relevante for vurderingen af den støtteforanstaltning, der er omfattet af bredbåndsretningslinjerne, eller enhver anden oplysning, der er relevant i forhold til Unionens konkurrenceregler og regler for det indre marked</w:t>
      </w:r>
    </w:p>
    <w:p w14:paraId="6EC87615" w14:textId="77777777" w:rsidR="007D7D41" w:rsidRPr="005C4E62" w:rsidRDefault="002A52F0" w:rsidP="00657CA5">
      <w:pPr>
        <w:tabs>
          <w:tab w:val="left" w:leader="dot" w:pos="9072"/>
        </w:tabs>
        <w:spacing w:before="120" w:after="240"/>
        <w:ind w:left="709"/>
        <w:jc w:val="both"/>
      </w:pPr>
      <w:r>
        <w:tab/>
      </w:r>
      <w:r>
        <w:tab/>
      </w:r>
    </w:p>
    <w:p w14:paraId="1B66EF87" w14:textId="77777777" w:rsidR="00C04E88" w:rsidRPr="005C4E62" w:rsidRDefault="00C04E88" w:rsidP="00AA0B7A">
      <w:pPr>
        <w:pStyle w:val="NumPar2"/>
        <w:numPr>
          <w:ilvl w:val="1"/>
          <w:numId w:val="44"/>
        </w:numPr>
        <w:ind w:left="709" w:hanging="709"/>
        <w:rPr>
          <w:iCs/>
          <w:noProof/>
        </w:rPr>
      </w:pPr>
      <w:r>
        <w:t>Angiv, om dette supplerende informationsskema indeholder fortrolige oplysninger, som ikke bør videregives til tredjemand</w:t>
      </w:r>
      <w:r w:rsidRPr="005C4E62">
        <w:rPr>
          <w:szCs w:val="20"/>
          <w:vertAlign w:val="superscript"/>
          <w:lang w:val="en-IE" w:eastAsia="en-US"/>
        </w:rPr>
        <w:footnoteReference w:id="37"/>
      </w:r>
    </w:p>
    <w:p w14:paraId="56FFD719"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CF6305">
        <w:rPr>
          <w:b/>
        </w:rPr>
      </w:r>
      <w:r w:rsidR="00CF6305">
        <w:rPr>
          <w:b/>
        </w:rPr>
        <w:fldChar w:fldCharType="separate"/>
      </w:r>
      <w:r w:rsidRPr="005C4E62">
        <w:rPr>
          <w:b/>
        </w:rPr>
        <w:fldChar w:fldCharType="end"/>
      </w:r>
      <w:r>
        <w:rPr>
          <w:b/>
        </w:rPr>
        <w:t xml:space="preserve"> </w:t>
      </w:r>
      <w:r>
        <w:t>ja. Angiv de fortrolige oplysninger, og giv en begrundelse for, hvorfor de er fortrolige</w:t>
      </w:r>
    </w:p>
    <w:p w14:paraId="2FEBB7BE"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CF6305">
        <w:rPr>
          <w:b/>
        </w:rPr>
      </w:r>
      <w:r w:rsidR="00CF6305">
        <w:rPr>
          <w:b/>
        </w:rPr>
        <w:fldChar w:fldCharType="separate"/>
      </w:r>
      <w:r w:rsidRPr="005C4E62">
        <w:rPr>
          <w:b/>
        </w:rPr>
        <w:fldChar w:fldCharType="end"/>
      </w:r>
      <w:r>
        <w:rPr>
          <w:b/>
        </w:rPr>
        <w:t xml:space="preserve"> </w:t>
      </w:r>
      <w:r>
        <w:t>nej</w:t>
      </w:r>
    </w:p>
    <w:p w14:paraId="00F4CFD1" w14:textId="77777777" w:rsidR="00152F0E" w:rsidRPr="005C4E62" w:rsidRDefault="00152F0E" w:rsidP="00AA0B7A">
      <w:pPr>
        <w:pStyle w:val="NumPar2"/>
        <w:numPr>
          <w:ilvl w:val="1"/>
          <w:numId w:val="44"/>
        </w:numPr>
        <w:ind w:left="709" w:hanging="709"/>
        <w:rPr>
          <w:iCs/>
          <w:noProof/>
        </w:rPr>
      </w:pPr>
      <w:r>
        <w:t>Bekræft, at støtteforanstaltningen ikke er omfattet af artikel 52c i den generelle gruppefritagelsesforordning</w:t>
      </w:r>
      <w:r w:rsidR="00FC09A8" w:rsidRPr="005C4E62">
        <w:rPr>
          <w:rStyle w:val="FootnoteReference"/>
        </w:rPr>
        <w:footnoteReference w:id="38"/>
      </w:r>
      <w:r>
        <w:t xml:space="preserve"> eller af de minimis-forordningen</w:t>
      </w:r>
      <w:r w:rsidR="00C04E88" w:rsidRPr="005C4E62">
        <w:rPr>
          <w:rStyle w:val="FootnoteReference"/>
        </w:rPr>
        <w:footnoteReference w:id="39"/>
      </w:r>
    </w:p>
    <w:p w14:paraId="4AD52598"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CF6305">
        <w:fldChar w:fldCharType="separate"/>
      </w:r>
      <w:r w:rsidRPr="005C4E62">
        <w:fldChar w:fldCharType="end"/>
      </w:r>
      <w:r>
        <w:tab/>
        <w:t>ja</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CF6305">
        <w:fldChar w:fldCharType="separate"/>
      </w:r>
      <w:r w:rsidR="008B2C0A" w:rsidRPr="005C4E62">
        <w:fldChar w:fldCharType="end"/>
      </w:r>
      <w:r>
        <w:tab/>
        <w:t xml:space="preserve"> nej</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A24F4" w14:textId="77777777" w:rsidR="00327EA6" w:rsidRDefault="00327EA6" w:rsidP="007B33E6">
      <w:r>
        <w:separator/>
      </w:r>
    </w:p>
  </w:endnote>
  <w:endnote w:type="continuationSeparator" w:id="0">
    <w:p w14:paraId="792E180E"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119A6" w14:textId="77777777" w:rsidR="00327EA6" w:rsidRDefault="00327EA6" w:rsidP="007B33E6">
      <w:r>
        <w:separator/>
      </w:r>
    </w:p>
  </w:footnote>
  <w:footnote w:type="continuationSeparator" w:id="0">
    <w:p w14:paraId="52DDCB63" w14:textId="77777777" w:rsidR="00327EA6" w:rsidRDefault="00327EA6" w:rsidP="007B33E6">
      <w:r>
        <w:continuationSeparator/>
      </w:r>
    </w:p>
  </w:footnote>
  <w:footnote w:id="1">
    <w:p w14:paraId="51371C29" w14:textId="77777777" w:rsidR="007B33E6" w:rsidRPr="005C4E62" w:rsidRDefault="007B33E6" w:rsidP="007B33E6">
      <w:pPr>
        <w:pStyle w:val="FootnoteText"/>
        <w:rPr>
          <w:i/>
        </w:rPr>
      </w:pPr>
      <w:r>
        <w:rPr>
          <w:rStyle w:val="FootnoteReference"/>
        </w:rPr>
        <w:footnoteRef/>
      </w:r>
      <w:r>
        <w:tab/>
        <w:t xml:space="preserve">Retningslinjer for statsstøtte til bredbåndsnet (EUT </w:t>
      </w:r>
      <w:r>
        <w:rPr>
          <w:color w:val="000000"/>
          <w:sz w:val="19"/>
        </w:rPr>
        <w:t>C 36 af 31.1.2023, s. 1)</w:t>
      </w:r>
      <w:r>
        <w:t>.</w:t>
      </w:r>
    </w:p>
  </w:footnote>
  <w:footnote w:id="2">
    <w:p w14:paraId="4A403B24" w14:textId="77777777" w:rsidR="001507A9" w:rsidRPr="005C4E62" w:rsidRDefault="001507A9">
      <w:pPr>
        <w:pStyle w:val="FootnoteText"/>
      </w:pPr>
      <w:r>
        <w:rPr>
          <w:rStyle w:val="FootnoteReference"/>
        </w:rPr>
        <w:footnoteRef/>
      </w:r>
      <w:r>
        <w:t xml:space="preserve"> </w:t>
      </w:r>
      <w:r>
        <w:tab/>
        <w:t>Punkt 177-179.</w:t>
      </w:r>
    </w:p>
  </w:footnote>
  <w:footnote w:id="3">
    <w:p w14:paraId="1D29C3A6" w14:textId="77777777" w:rsidR="001507A9" w:rsidRPr="005C4E62" w:rsidRDefault="001507A9">
      <w:pPr>
        <w:pStyle w:val="FootnoteText"/>
      </w:pPr>
      <w:r>
        <w:rPr>
          <w:rStyle w:val="FootnoteReference"/>
        </w:rPr>
        <w:footnoteRef/>
      </w:r>
      <w:r>
        <w:t xml:space="preserve"> </w:t>
      </w:r>
      <w:r>
        <w:tab/>
        <w:t>Jf. punkt 181.</w:t>
      </w:r>
    </w:p>
  </w:footnote>
  <w:footnote w:id="4">
    <w:p w14:paraId="66437C89" w14:textId="77777777" w:rsidR="001507A9" w:rsidRPr="005C4E62" w:rsidRDefault="001507A9">
      <w:pPr>
        <w:pStyle w:val="FootnoteText"/>
      </w:pPr>
      <w:r>
        <w:rPr>
          <w:rStyle w:val="FootnoteReference"/>
        </w:rPr>
        <w:footnoteRef/>
      </w:r>
      <w:r>
        <w:t xml:space="preserve"> </w:t>
      </w:r>
      <w:r>
        <w:tab/>
        <w:t>Jf. punkt 189.</w:t>
      </w:r>
    </w:p>
  </w:footnote>
  <w:footnote w:id="5">
    <w:p w14:paraId="460D8DAE" w14:textId="77777777" w:rsidR="006F5901" w:rsidRPr="005C4E62" w:rsidRDefault="006F5901" w:rsidP="006F5901">
      <w:pPr>
        <w:pStyle w:val="FootnoteText"/>
      </w:pPr>
      <w:r>
        <w:rPr>
          <w:rStyle w:val="FootnoteReference"/>
        </w:rPr>
        <w:footnoteRef/>
      </w:r>
      <w:r>
        <w:tab/>
        <w:t xml:space="preserve">F.eks. Europa-Parlamentets og Rådets afgørelse (EU) 2022/2481 af 14. december 2022 om etablering af politikprogrammet for det digitale årti 2030 (EUT L 323 af 19.12.2022, s. 4). </w:t>
      </w:r>
    </w:p>
  </w:footnote>
  <w:footnote w:id="6">
    <w:p w14:paraId="110113FF" w14:textId="77777777" w:rsidR="001507A9" w:rsidRPr="005C4E62" w:rsidRDefault="001507A9" w:rsidP="001507A9">
      <w:pPr>
        <w:pStyle w:val="FootnoteText"/>
      </w:pPr>
      <w:r>
        <w:rPr>
          <w:rStyle w:val="FootnoteReference"/>
        </w:rPr>
        <w:footnoteRef/>
      </w:r>
      <w:r>
        <w:t xml:space="preserve"> </w:t>
      </w:r>
      <w:r>
        <w:tab/>
        <w:t>Jf. punkt 175.</w:t>
      </w:r>
    </w:p>
  </w:footnote>
  <w:footnote w:id="7">
    <w:p w14:paraId="7168D18F" w14:textId="77777777" w:rsidR="005A7B71" w:rsidRPr="005C4E62" w:rsidRDefault="005A7B71">
      <w:pPr>
        <w:pStyle w:val="FootnoteText"/>
        <w:rPr>
          <w:i/>
          <w:iCs/>
        </w:rPr>
      </w:pPr>
      <w:r>
        <w:rPr>
          <w:rStyle w:val="FootnoteReference"/>
        </w:rPr>
        <w:footnoteRef/>
      </w:r>
      <w:r>
        <w:t xml:space="preserve"> </w:t>
      </w:r>
      <w:r>
        <w:tab/>
        <w:t>Jf. punkt 19, litra j) og k). Se også punkt 20, sidste punktum.</w:t>
      </w:r>
    </w:p>
  </w:footnote>
  <w:footnote w:id="8">
    <w:p w14:paraId="5D3C566E" w14:textId="77777777" w:rsidR="007B5294" w:rsidRPr="005C4E62" w:rsidRDefault="007B5294" w:rsidP="007B5294">
      <w:pPr>
        <w:pStyle w:val="FootnoteText"/>
      </w:pPr>
      <w:r>
        <w:rPr>
          <w:rStyle w:val="FootnoteReference"/>
        </w:rPr>
        <w:footnoteRef/>
      </w:r>
      <w:r>
        <w:t xml:space="preserve"> </w:t>
      </w:r>
      <w:r>
        <w:tab/>
        <w:t>Jf. punkt 182.</w:t>
      </w:r>
    </w:p>
  </w:footnote>
  <w:footnote w:id="9">
    <w:p w14:paraId="6ECCA0FC" w14:textId="77777777" w:rsidR="00710B4A" w:rsidRPr="005C4E62" w:rsidRDefault="00710B4A" w:rsidP="00710B4A">
      <w:pPr>
        <w:pStyle w:val="FootnoteText"/>
      </w:pPr>
      <w:r>
        <w:rPr>
          <w:rStyle w:val="FootnoteReference"/>
        </w:rPr>
        <w:footnoteRef/>
      </w:r>
      <w:r>
        <w:t xml:space="preserve"> </w:t>
      </w:r>
      <w:r>
        <w:tab/>
        <w:t>Jf. punkt 184.</w:t>
      </w:r>
    </w:p>
  </w:footnote>
  <w:footnote w:id="10">
    <w:p w14:paraId="3B48DA62" w14:textId="77777777" w:rsidR="007B5294" w:rsidRPr="005C4E62" w:rsidRDefault="007B5294" w:rsidP="007B5294">
      <w:pPr>
        <w:pStyle w:val="FootnoteText"/>
      </w:pPr>
      <w:r>
        <w:rPr>
          <w:rStyle w:val="FootnoteReference"/>
        </w:rPr>
        <w:footnoteRef/>
      </w:r>
      <w:r>
        <w:t xml:space="preserve"> </w:t>
      </w:r>
      <w:r>
        <w:tab/>
        <w:t xml:space="preserve">Jf. punkt 183. </w:t>
      </w:r>
    </w:p>
  </w:footnote>
  <w:footnote w:id="11">
    <w:p w14:paraId="74EEBEBC" w14:textId="77777777" w:rsidR="00E101F1" w:rsidRPr="005C4E62" w:rsidRDefault="00E101F1" w:rsidP="00E101F1">
      <w:pPr>
        <w:pStyle w:val="FootnoteText"/>
      </w:pPr>
      <w:r>
        <w:rPr>
          <w:rStyle w:val="FootnoteReference"/>
        </w:rPr>
        <w:footnoteRef/>
      </w:r>
      <w:r>
        <w:t xml:space="preserve"> </w:t>
      </w:r>
      <w:r>
        <w:tab/>
        <w:t>Jf. punkt 185.</w:t>
      </w:r>
    </w:p>
  </w:footnote>
  <w:footnote w:id="12">
    <w:p w14:paraId="06182A09" w14:textId="77777777" w:rsidR="00E101F1" w:rsidRPr="005C4E62" w:rsidRDefault="00E101F1" w:rsidP="00E101F1">
      <w:pPr>
        <w:pStyle w:val="FootnoteText"/>
      </w:pPr>
      <w:r>
        <w:rPr>
          <w:rStyle w:val="FootnoteReference"/>
        </w:rPr>
        <w:footnoteRef/>
      </w:r>
      <w:r>
        <w:t xml:space="preserve"> </w:t>
      </w:r>
      <w:r>
        <w:tab/>
        <w:t>Jf. punkt 185.</w:t>
      </w:r>
    </w:p>
  </w:footnote>
  <w:footnote w:id="13">
    <w:p w14:paraId="681158EF" w14:textId="77777777" w:rsidR="00C90B4D" w:rsidRPr="005C4E62" w:rsidRDefault="00C90B4D" w:rsidP="00C90B4D">
      <w:pPr>
        <w:pStyle w:val="FootnoteText"/>
      </w:pPr>
      <w:r>
        <w:rPr>
          <w:rStyle w:val="FootnoteReference"/>
        </w:rPr>
        <w:footnoteRef/>
      </w:r>
      <w:r>
        <w:t xml:space="preserve"> </w:t>
      </w:r>
      <w:r>
        <w:tab/>
        <w:t>Jf. punkt 185.</w:t>
      </w:r>
    </w:p>
  </w:footnote>
  <w:footnote w:id="14">
    <w:p w14:paraId="7C8DB578" w14:textId="77777777" w:rsidR="00D1408F" w:rsidRPr="005C4E62" w:rsidRDefault="00D1408F">
      <w:pPr>
        <w:pStyle w:val="FootnoteText"/>
      </w:pPr>
      <w:r>
        <w:rPr>
          <w:rStyle w:val="FootnoteReference"/>
        </w:rPr>
        <w:footnoteRef/>
      </w:r>
      <w:r>
        <w:t xml:space="preserve"> </w:t>
      </w:r>
      <w:r>
        <w:tab/>
        <w:t>Jf. punkt 186.</w:t>
      </w:r>
    </w:p>
  </w:footnote>
  <w:footnote w:id="15">
    <w:p w14:paraId="6377A4F8" w14:textId="77777777" w:rsidR="00D1408F" w:rsidRPr="005C4E62" w:rsidRDefault="00D1408F">
      <w:pPr>
        <w:pStyle w:val="FootnoteText"/>
      </w:pPr>
      <w:r>
        <w:rPr>
          <w:rStyle w:val="FootnoteReference"/>
        </w:rPr>
        <w:footnoteRef/>
      </w:r>
      <w:r>
        <w:t xml:space="preserve"> </w:t>
      </w:r>
      <w:r>
        <w:tab/>
        <w:t>Jf. punkt 187.</w:t>
      </w:r>
    </w:p>
  </w:footnote>
  <w:footnote w:id="16">
    <w:p w14:paraId="000098FC" w14:textId="77777777" w:rsidR="00F47AC0" w:rsidRPr="005C4E62" w:rsidRDefault="00F47AC0">
      <w:pPr>
        <w:pStyle w:val="FootnoteText"/>
      </w:pPr>
      <w:r>
        <w:rPr>
          <w:rStyle w:val="FootnoteReference"/>
        </w:rPr>
        <w:footnoteRef/>
      </w:r>
      <w:r>
        <w:t xml:space="preserve"> </w:t>
      </w:r>
      <w:r>
        <w:tab/>
        <w:t>Jf. punkt 194.</w:t>
      </w:r>
    </w:p>
  </w:footnote>
  <w:footnote w:id="17">
    <w:p w14:paraId="31F9BBB0" w14:textId="77777777" w:rsidR="00F47AC0" w:rsidRPr="005C4E62" w:rsidRDefault="00F47AC0">
      <w:pPr>
        <w:pStyle w:val="FootnoteText"/>
      </w:pPr>
      <w:r>
        <w:rPr>
          <w:rStyle w:val="FootnoteReference"/>
        </w:rPr>
        <w:footnoteRef/>
      </w:r>
      <w:r>
        <w:t xml:space="preserve"> </w:t>
      </w:r>
      <w:r>
        <w:tab/>
        <w:t>Jf. punkt 195.</w:t>
      </w:r>
    </w:p>
  </w:footnote>
  <w:footnote w:id="18">
    <w:p w14:paraId="54A214FF" w14:textId="77777777" w:rsidR="00F47AC0" w:rsidRPr="005C4E62" w:rsidRDefault="00F47AC0">
      <w:pPr>
        <w:pStyle w:val="FootnoteText"/>
      </w:pPr>
      <w:r>
        <w:rPr>
          <w:rStyle w:val="FootnoteReference"/>
        </w:rPr>
        <w:footnoteRef/>
      </w:r>
      <w:r>
        <w:t xml:space="preserve"> </w:t>
      </w:r>
      <w:r>
        <w:tab/>
        <w:t>Jf. punkt 193.</w:t>
      </w:r>
    </w:p>
  </w:footnote>
  <w:footnote w:id="19">
    <w:p w14:paraId="690C5BE4" w14:textId="77777777" w:rsidR="00F47AC0" w:rsidRPr="005C4E62" w:rsidRDefault="00F47AC0">
      <w:pPr>
        <w:pStyle w:val="FootnoteText"/>
      </w:pPr>
      <w:r>
        <w:rPr>
          <w:rStyle w:val="FootnoteReference"/>
        </w:rPr>
        <w:footnoteRef/>
      </w:r>
      <w:r>
        <w:t xml:space="preserve"> </w:t>
      </w:r>
      <w:r>
        <w:tab/>
        <w:t>Jf. punkt 193.</w:t>
      </w:r>
    </w:p>
  </w:footnote>
  <w:footnote w:id="20">
    <w:p w14:paraId="1A2E3131" w14:textId="77777777" w:rsidR="00F47AC0" w:rsidRPr="005C4E62" w:rsidRDefault="00F47AC0">
      <w:pPr>
        <w:pStyle w:val="FootnoteText"/>
      </w:pPr>
      <w:r>
        <w:rPr>
          <w:rStyle w:val="FootnoteReference"/>
        </w:rPr>
        <w:footnoteRef/>
      </w:r>
      <w:r>
        <w:t xml:space="preserve"> </w:t>
      </w:r>
      <w:r>
        <w:tab/>
        <w:t>Jf. punkt 196. Se også punkt 194.</w:t>
      </w:r>
    </w:p>
  </w:footnote>
  <w:footnote w:id="21">
    <w:p w14:paraId="7921E5D6" w14:textId="77777777" w:rsidR="00F47AC0" w:rsidRPr="005C4E62" w:rsidRDefault="00F47AC0">
      <w:pPr>
        <w:pStyle w:val="FootnoteText"/>
      </w:pPr>
      <w:r>
        <w:rPr>
          <w:rStyle w:val="FootnoteReference"/>
        </w:rPr>
        <w:footnoteRef/>
      </w:r>
      <w:r>
        <w:t xml:space="preserve"> </w:t>
      </w:r>
      <w:r>
        <w:tab/>
        <w:t>Jf. punkt 196.</w:t>
      </w:r>
    </w:p>
  </w:footnote>
  <w:footnote w:id="22">
    <w:p w14:paraId="247B360F" w14:textId="77777777" w:rsidR="00E217F7" w:rsidRPr="005C4E62" w:rsidRDefault="00E217F7">
      <w:pPr>
        <w:pStyle w:val="FootnoteText"/>
      </w:pPr>
      <w:r>
        <w:rPr>
          <w:rStyle w:val="FootnoteReference"/>
        </w:rPr>
        <w:footnoteRef/>
      </w:r>
      <w:r>
        <w:t xml:space="preserve"> </w:t>
      </w:r>
      <w:r>
        <w:tab/>
        <w:t>Jf. punkt 198.</w:t>
      </w:r>
    </w:p>
  </w:footnote>
  <w:footnote w:id="23">
    <w:p w14:paraId="25D5A5E8" w14:textId="77777777" w:rsidR="009A1814" w:rsidRPr="005C4E62" w:rsidRDefault="009A1814" w:rsidP="009A1814">
      <w:pPr>
        <w:pStyle w:val="FootnoteText"/>
      </w:pPr>
      <w:r>
        <w:rPr>
          <w:rStyle w:val="FootnoteReference"/>
        </w:rPr>
        <w:footnoteRef/>
      </w:r>
      <w:r>
        <w:t xml:space="preserve"> </w:t>
      </w:r>
      <w:r>
        <w:tab/>
        <w:t>Jf. punkt 187.</w:t>
      </w:r>
    </w:p>
  </w:footnote>
  <w:footnote w:id="24">
    <w:p w14:paraId="104A8190" w14:textId="77777777" w:rsidR="00807BE5" w:rsidRPr="005C4E62" w:rsidRDefault="00807BE5" w:rsidP="00807BE5">
      <w:pPr>
        <w:pStyle w:val="FootnoteText"/>
      </w:pPr>
      <w:r>
        <w:rPr>
          <w:rStyle w:val="FootnoteReference"/>
        </w:rPr>
        <w:footnoteRef/>
      </w:r>
      <w:r>
        <w:t xml:space="preserve"> </w:t>
      </w:r>
      <w:r>
        <w:tab/>
        <w:t>Jf. punkt 191.</w:t>
      </w:r>
    </w:p>
  </w:footnote>
  <w:footnote w:id="25">
    <w:p w14:paraId="15592158" w14:textId="77777777" w:rsidR="00F47AC0" w:rsidRPr="005C4E62" w:rsidRDefault="00F47AC0" w:rsidP="00F47AC0">
      <w:pPr>
        <w:pStyle w:val="FootnoteText"/>
      </w:pPr>
      <w:r>
        <w:rPr>
          <w:rStyle w:val="FootnoteReference"/>
        </w:rPr>
        <w:footnoteRef/>
      </w:r>
      <w:r>
        <w:t xml:space="preserve"> </w:t>
      </w:r>
      <w:r>
        <w:tab/>
        <w:t>Jf. punkt 192. Se punkt 38 for en definition af tilskyndelsesvirkning.</w:t>
      </w:r>
    </w:p>
  </w:footnote>
  <w:footnote w:id="26">
    <w:p w14:paraId="1760F102" w14:textId="77777777" w:rsidR="006C4335" w:rsidRPr="005C4E62" w:rsidRDefault="006C4335">
      <w:pPr>
        <w:pStyle w:val="FootnoteText"/>
      </w:pPr>
      <w:r>
        <w:rPr>
          <w:rStyle w:val="FootnoteReference"/>
        </w:rPr>
        <w:footnoteRef/>
      </w:r>
      <w:r>
        <w:t xml:space="preserve"> </w:t>
      </w:r>
      <w:r>
        <w:tab/>
        <w:t>Jf. punkt 194.</w:t>
      </w:r>
    </w:p>
  </w:footnote>
  <w:footnote w:id="27">
    <w:p w14:paraId="7D0A8A80" w14:textId="77777777" w:rsidR="00E217F7" w:rsidRPr="005C4E62" w:rsidRDefault="00E217F7">
      <w:pPr>
        <w:pStyle w:val="FootnoteText"/>
      </w:pPr>
      <w:r>
        <w:rPr>
          <w:rStyle w:val="FootnoteReference"/>
        </w:rPr>
        <w:footnoteRef/>
      </w:r>
      <w:r>
        <w:t xml:space="preserve"> </w:t>
      </w:r>
      <w:r>
        <w:tab/>
        <w:t>Jf. punkt 197. Se også punkt 195.</w:t>
      </w:r>
    </w:p>
  </w:footnote>
  <w:footnote w:id="28">
    <w:p w14:paraId="18705A39" w14:textId="77777777" w:rsidR="00E217F7" w:rsidRPr="005C4E62" w:rsidRDefault="00E217F7">
      <w:pPr>
        <w:pStyle w:val="FootnoteText"/>
      </w:pPr>
      <w:r>
        <w:rPr>
          <w:rStyle w:val="FootnoteReference"/>
        </w:rPr>
        <w:footnoteRef/>
      </w:r>
      <w:r>
        <w:t xml:space="preserve"> </w:t>
      </w:r>
      <w:r>
        <w:tab/>
        <w:t>Jf. punkt 200.</w:t>
      </w:r>
    </w:p>
  </w:footnote>
  <w:footnote w:id="29">
    <w:p w14:paraId="2941EACA" w14:textId="77777777" w:rsidR="00DE2831" w:rsidRPr="005C4E62" w:rsidRDefault="00DE2831">
      <w:pPr>
        <w:pStyle w:val="FootnoteText"/>
      </w:pPr>
      <w:r>
        <w:rPr>
          <w:rStyle w:val="FootnoteReference"/>
        </w:rPr>
        <w:footnoteRef/>
      </w:r>
      <w:r>
        <w:t xml:space="preserve"> </w:t>
      </w:r>
      <w:r>
        <w:tab/>
        <w:t>Jf. punkt 202.</w:t>
      </w:r>
    </w:p>
  </w:footnote>
  <w:footnote w:id="30">
    <w:p w14:paraId="60D9160E" w14:textId="77777777" w:rsidR="00DE2831" w:rsidRPr="005C4E62" w:rsidRDefault="00DE2831">
      <w:pPr>
        <w:pStyle w:val="FootnoteText"/>
      </w:pPr>
      <w:r>
        <w:rPr>
          <w:rStyle w:val="FootnoteReference"/>
        </w:rPr>
        <w:footnoteRef/>
      </w:r>
      <w:r>
        <w:t xml:space="preserve"> </w:t>
      </w:r>
      <w:r>
        <w:tab/>
        <w:t>Jf. punkt 203.</w:t>
      </w:r>
    </w:p>
  </w:footnote>
  <w:footnote w:id="31">
    <w:p w14:paraId="03300CA7" w14:textId="77777777" w:rsidR="00153D1B" w:rsidRPr="005C4E62" w:rsidRDefault="00153D1B">
      <w:pPr>
        <w:pStyle w:val="FootnoteText"/>
      </w:pPr>
      <w:r>
        <w:rPr>
          <w:rStyle w:val="FootnoteReference"/>
        </w:rPr>
        <w:footnoteRef/>
      </w:r>
      <w:r>
        <w:t xml:space="preserve"> </w:t>
      </w:r>
      <w:r>
        <w:tab/>
        <w:t xml:space="preserve">Findes her: </w:t>
      </w:r>
      <w:hyperlink r:id="rId1" w:history="1">
        <w:r>
          <w:rPr>
            <w:rStyle w:val="Hyperlink"/>
          </w:rPr>
          <w:t>https://webgate.ec.europa.eu/competition/transparency/public</w:t>
        </w:r>
      </w:hyperlink>
      <w:r>
        <w:t xml:space="preserve">. </w:t>
      </w:r>
    </w:p>
  </w:footnote>
  <w:footnote w:id="32">
    <w:p w14:paraId="656215EB" w14:textId="77777777" w:rsidR="00153D1B" w:rsidRPr="005C4E62" w:rsidRDefault="00153D1B">
      <w:pPr>
        <w:pStyle w:val="FootnoteText"/>
      </w:pPr>
      <w:r>
        <w:rPr>
          <w:rStyle w:val="FootnoteReference"/>
        </w:rPr>
        <w:footnoteRef/>
      </w:r>
      <w:r>
        <w:t xml:space="preserve"> </w:t>
      </w:r>
      <w:r>
        <w:tab/>
        <w:t>Jf. punkt 202.</w:t>
      </w:r>
    </w:p>
  </w:footnote>
  <w:footnote w:id="33">
    <w:p w14:paraId="7EEFBB80" w14:textId="77777777" w:rsidR="00DE2831" w:rsidRPr="005C4E62" w:rsidRDefault="00DE2831" w:rsidP="00DE2831">
      <w:pPr>
        <w:pStyle w:val="FootnoteText"/>
      </w:pPr>
      <w:r>
        <w:rPr>
          <w:rStyle w:val="FootnoteReference"/>
        </w:rPr>
        <w:footnoteRef/>
      </w:r>
      <w:r>
        <w:t xml:space="preserve"> </w:t>
      </w:r>
      <w:r>
        <w:tab/>
        <w:t>Jf. punkt 204.</w:t>
      </w:r>
    </w:p>
  </w:footnote>
  <w:footnote w:id="34">
    <w:p w14:paraId="4DF91A41" w14:textId="77777777" w:rsidR="00DE2831" w:rsidRPr="005C4E62" w:rsidRDefault="00DE2831" w:rsidP="00DE2831">
      <w:pPr>
        <w:pStyle w:val="FootnoteText"/>
      </w:pPr>
      <w:r>
        <w:rPr>
          <w:rStyle w:val="FootnoteReference"/>
        </w:rPr>
        <w:footnoteRef/>
      </w:r>
      <w:r>
        <w:t xml:space="preserve"> </w:t>
      </w:r>
      <w:r>
        <w:tab/>
        <w:t>Jf. punkt 204.</w:t>
      </w:r>
    </w:p>
  </w:footnote>
  <w:footnote w:id="35">
    <w:p w14:paraId="68711A16" w14:textId="77777777" w:rsidR="004879A7" w:rsidRPr="005C4E62" w:rsidRDefault="004879A7">
      <w:pPr>
        <w:pStyle w:val="FootnoteText"/>
      </w:pPr>
      <w:r>
        <w:rPr>
          <w:rStyle w:val="FootnoteReference"/>
        </w:rPr>
        <w:footnoteRef/>
      </w:r>
      <w:r>
        <w:t xml:space="preserve"> </w:t>
      </w:r>
      <w:r>
        <w:tab/>
        <w:t>Punkt 207-208.</w:t>
      </w:r>
    </w:p>
  </w:footnote>
  <w:footnote w:id="36">
    <w:p w14:paraId="56029C1A" w14:textId="77777777" w:rsidR="004879A7" w:rsidRPr="005C4E62" w:rsidRDefault="004879A7">
      <w:pPr>
        <w:pStyle w:val="FootnoteText"/>
      </w:pPr>
      <w:r>
        <w:rPr>
          <w:rStyle w:val="FootnoteReference"/>
        </w:rPr>
        <w:footnoteRef/>
      </w:r>
      <w:r>
        <w:t xml:space="preserve"> </w:t>
      </w:r>
      <w:r>
        <w:tab/>
        <w:t>Jf. punkt 209.</w:t>
      </w:r>
    </w:p>
  </w:footnote>
  <w:footnote w:id="37">
    <w:p w14:paraId="3D2B70AE" w14:textId="77777777" w:rsidR="00C04E88" w:rsidRPr="005C4E62" w:rsidRDefault="00C04E88" w:rsidP="00C04E88">
      <w:pPr>
        <w:pStyle w:val="FootnoteText"/>
      </w:pPr>
      <w:r>
        <w:rPr>
          <w:rStyle w:val="FootnoteReference"/>
        </w:rPr>
        <w:footnoteRef/>
      </w:r>
      <w:r>
        <w:tab/>
        <w:t>Se artikel 339 i TEUF, der henviser til "oplysninger om virksomheder og om deres forretningsforbindelser eller omkostningsforhold". EU-domstolene har generelt defineret "forretningshemmeligheder" som oplysninger "hvor ikke blot deres videregivelse til offentligheden, men også den blotte omstændighed, at de tilsendes et andet retssubjekt end det, som har afgivet oplysningen, alvorligt kan skade sidstnævntes interesser" i sag T-353/94, Postbank mod Kommissionen ECLI:EU:T:1996:119, præmis 87.</w:t>
      </w:r>
    </w:p>
  </w:footnote>
  <w:footnote w:id="38">
    <w:p w14:paraId="468E97E1" w14:textId="77777777" w:rsidR="00FC09A8" w:rsidRPr="005C4E62" w:rsidRDefault="00FC09A8" w:rsidP="00FC09A8">
      <w:pPr>
        <w:pStyle w:val="FootnoteText"/>
      </w:pPr>
      <w:r>
        <w:rPr>
          <w:rStyle w:val="FootnoteReference"/>
        </w:rPr>
        <w:footnoteRef/>
      </w:r>
      <w:r>
        <w:tab/>
        <w:t>Kommissionens forordning (EU) nr. 651/2014 af 17. juni 2014 om visse kategorier af støttes forenelighed med det indre marked i henhold til traktatens artikel 107 og 108 (EUT L 187 af 26.6.2014, s. 1), som ændret.</w:t>
      </w:r>
    </w:p>
  </w:footnote>
  <w:footnote w:id="39">
    <w:p w14:paraId="67657651" w14:textId="77777777" w:rsidR="00C04E88" w:rsidRPr="00FC09A8" w:rsidRDefault="00C04E88" w:rsidP="00C04E88">
      <w:pPr>
        <w:pStyle w:val="FootnoteText"/>
      </w:pPr>
      <w:r>
        <w:rPr>
          <w:rStyle w:val="FootnoteReference"/>
        </w:rPr>
        <w:footnoteRef/>
      </w:r>
      <w:r>
        <w:tab/>
        <w:t>Kommissionens forordning (EU) nr. 1407/2013 af 18. december 2013 om anvendelse af artikel 107 og 108 i traktaten om Den Europæiske Unions funktionsmåde på de minimis-støtte (EUT L 352 af 24.12.2013, s. 1) som ændret.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E3E2F842"/>
    <w:lvl w:ilvl="0" w:tplc="FFFFFFFF">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2D44B80"/>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7"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1"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2" w15:restartNumberingAfterBreak="0">
    <w:nsid w:val="36256EBA"/>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2"/>
  </w:num>
  <w:num w:numId="11" w16cid:durableId="770707077">
    <w:abstractNumId w:val="8"/>
  </w:num>
  <w:num w:numId="12" w16cid:durableId="1062022620">
    <w:abstractNumId w:val="34"/>
  </w:num>
  <w:num w:numId="13" w16cid:durableId="1128751">
    <w:abstractNumId w:val="21"/>
  </w:num>
  <w:num w:numId="14" w16cid:durableId="1953514520">
    <w:abstractNumId w:val="38"/>
  </w:num>
  <w:num w:numId="15" w16cid:durableId="2143768770">
    <w:abstractNumId w:val="41"/>
  </w:num>
  <w:num w:numId="16" w16cid:durableId="1513300708">
    <w:abstractNumId w:val="7"/>
  </w:num>
  <w:num w:numId="17" w16cid:durableId="1235355958">
    <w:abstractNumId w:val="18"/>
  </w:num>
  <w:num w:numId="18" w16cid:durableId="2107579641">
    <w:abstractNumId w:val="20"/>
  </w:num>
  <w:num w:numId="19" w16cid:durableId="1092236615">
    <w:abstractNumId w:val="31"/>
  </w:num>
  <w:num w:numId="20" w16cid:durableId="412317650">
    <w:abstractNumId w:val="3"/>
  </w:num>
  <w:num w:numId="21" w16cid:durableId="2128500346">
    <w:abstractNumId w:val="32"/>
  </w:num>
  <w:num w:numId="22" w16cid:durableId="1447118299">
    <w:abstractNumId w:val="16"/>
  </w:num>
  <w:num w:numId="23" w16cid:durableId="580914879">
    <w:abstractNumId w:val="39"/>
  </w:num>
  <w:num w:numId="24" w16cid:durableId="1613895504">
    <w:abstractNumId w:val="14"/>
  </w:num>
  <w:num w:numId="25" w16cid:durableId="487525385">
    <w:abstractNumId w:val="37"/>
  </w:num>
  <w:num w:numId="26" w16cid:durableId="1541477428">
    <w:abstractNumId w:val="30"/>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3"/>
  </w:num>
  <w:num w:numId="32" w16cid:durableId="1408305502">
    <w:abstractNumId w:val="35"/>
  </w:num>
  <w:num w:numId="33" w16cid:durableId="2051685378">
    <w:abstractNumId w:val="4"/>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9"/>
  </w:num>
  <w:num w:numId="41" w16cid:durableId="1688485660">
    <w:abstractNumId w:val="27"/>
  </w:num>
  <w:num w:numId="42" w16cid:durableId="1550023508">
    <w:abstractNumId w:val="13"/>
  </w:num>
  <w:num w:numId="43" w16cid:durableId="451440294">
    <w:abstractNumId w:val="17"/>
  </w:num>
  <w:num w:numId="44" w16cid:durableId="835000467">
    <w:abstractNumId w:val="6"/>
  </w:num>
  <w:num w:numId="45" w16cid:durableId="1931307487">
    <w:abstractNumId w:val="42"/>
  </w:num>
  <w:num w:numId="46" w16cid:durableId="1624653190">
    <w:abstractNumId w:val="11"/>
  </w:num>
  <w:num w:numId="47" w16cid:durableId="61217928">
    <w:abstractNumId w:val="25"/>
  </w:num>
  <w:num w:numId="48" w16cid:durableId="1004938621">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7146D"/>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305"/>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A72B3"/>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da-DK"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da-DK"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da-DK" w:eastAsia="en-US"/>
    </w:rPr>
  </w:style>
  <w:style w:type="paragraph" w:styleId="Header">
    <w:name w:val="header"/>
    <w:basedOn w:val="Normal"/>
    <w:link w:val="HeaderChar"/>
    <w:uiPriority w:val="99"/>
    <w:unhideWhenUsed/>
    <w:rsid w:val="00CF6305"/>
    <w:pPr>
      <w:tabs>
        <w:tab w:val="center" w:pos="4513"/>
        <w:tab w:val="right" w:pos="9026"/>
      </w:tabs>
    </w:pPr>
  </w:style>
  <w:style w:type="character" w:customStyle="1" w:styleId="HeaderChar">
    <w:name w:val="Header Char"/>
    <w:basedOn w:val="DefaultParagraphFont"/>
    <w:link w:val="Header"/>
    <w:uiPriority w:val="99"/>
    <w:rsid w:val="00CF6305"/>
    <w:rPr>
      <w:sz w:val="24"/>
      <w:lang w:eastAsia="en-US"/>
    </w:rPr>
  </w:style>
  <w:style w:type="paragraph" w:styleId="Footer">
    <w:name w:val="footer"/>
    <w:basedOn w:val="Normal"/>
    <w:link w:val="FooterChar"/>
    <w:uiPriority w:val="99"/>
    <w:unhideWhenUsed/>
    <w:rsid w:val="00CF6305"/>
    <w:pPr>
      <w:tabs>
        <w:tab w:val="center" w:pos="4513"/>
        <w:tab w:val="right" w:pos="9026"/>
      </w:tabs>
    </w:pPr>
  </w:style>
  <w:style w:type="character" w:customStyle="1" w:styleId="FooterChar">
    <w:name w:val="Footer Char"/>
    <w:basedOn w:val="DefaultParagraphFont"/>
    <w:link w:val="Footer"/>
    <w:uiPriority w:val="99"/>
    <w:rsid w:val="00CF630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1923</Words>
  <Characters>13079</Characters>
  <Application>Microsoft Office Word</Application>
  <DocSecurity>0</DocSecurity>
  <Lines>304</Lines>
  <Paragraphs>131</Paragraphs>
  <ScaleCrop>false</ScaleCrop>
  <Company/>
  <LinksUpToDate>false</LinksUpToDate>
  <CharactersWithSpaces>14871</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2024-03-06T09:48:00Z</dcterms:created>
  <dcterms:modified xsi:type="dcterms:W3CDTF">2024-03-06T09:49:00Z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2024-03-06T09:49:01Z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5dd3ce79-6ec0-49b8-a89a-a5039ddb7e88</vt:lpwstr>
  </property>
  <property fmtid="{D5CDD505-2E9C-101B-9397-08002B2CF9AE}" pid="8" name="MSIP_Label_6bd9ddd1-4d20-43f6-abfa-fc3c07406f94_ContentBits">
    <vt:lpwstr>0</vt:lpwstr>
  </property>
</Properties>
</file>