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732251E9" w14:textId="77777777" w:rsidTr="00466BC2">
        <w:trPr>
          <w:trHeight w:val="854"/>
        </w:trPr>
        <w:tc>
          <w:tcPr>
            <w:tcW w:w="9000" w:type="dxa"/>
            <w:tcBorders>
              <w:top w:val="single" w:sz="4" w:space="0" w:color="auto"/>
              <w:bottom w:val="single" w:sz="4" w:space="0" w:color="auto"/>
            </w:tcBorders>
            <w:shd w:val="pct15" w:color="auto" w:fill="FFFFFF"/>
          </w:tcPr>
          <w:p w14:paraId="1C0E7EC7"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 xml:space="preserve">Část III.5 – Doplňkový informační list ke státní podpoře </w:t>
            </w:r>
            <w:bookmarkEnd w:id="0"/>
            <w:bookmarkEnd w:id="1"/>
            <w:r>
              <w:rPr>
                <w:color w:val="auto"/>
              </w:rPr>
              <w:t>na opatření směřující k vyššímu využití</w:t>
            </w:r>
          </w:p>
        </w:tc>
      </w:tr>
    </w:tbl>
    <w:p w14:paraId="06AD4BA3" w14:textId="77777777" w:rsidR="007B33E6" w:rsidRPr="005C4E62" w:rsidRDefault="007B33E6" w:rsidP="001507A9">
      <w:pPr>
        <w:spacing w:before="240" w:after="240"/>
        <w:jc w:val="both"/>
        <w:rPr>
          <w:i/>
          <w:iCs/>
        </w:rPr>
      </w:pPr>
      <w:r>
        <w:rPr>
          <w:i/>
        </w:rPr>
        <w:t>Tento doplňkový informační list musí být použit pro oznámení podpor na zavádění opatření směřujících k vyššímu využití, na něž se vztahují pokyny Komise ke státní podpoře pro širokopásmové sítě</w:t>
      </w:r>
      <w:r w:rsidRPr="005C4E62">
        <w:rPr>
          <w:bCs/>
          <w:vertAlign w:val="superscript"/>
        </w:rPr>
        <w:footnoteReference w:id="1"/>
      </w:r>
      <w:r>
        <w:rPr>
          <w:i/>
        </w:rPr>
        <w:t xml:space="preserve"> (dále jen „pokyny pro širokopásmové sítě</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7B33E6" w:rsidRPr="005C4E62" w14:paraId="1EDB4F14" w14:textId="77777777" w:rsidTr="00646E8A">
        <w:tc>
          <w:tcPr>
            <w:tcW w:w="9286" w:type="dxa"/>
            <w:shd w:val="clear" w:color="auto" w:fill="D9D9D9"/>
          </w:tcPr>
          <w:p w14:paraId="413B6696"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Všeobecné informace</w:t>
            </w:r>
          </w:p>
        </w:tc>
      </w:tr>
    </w:tbl>
    <w:p w14:paraId="5E7569C9" w14:textId="77777777" w:rsidR="007B33E6" w:rsidRPr="005C4E62" w:rsidRDefault="007B33E6" w:rsidP="00BE2CC4">
      <w:pPr>
        <w:pStyle w:val="NumPar2"/>
        <w:numPr>
          <w:ilvl w:val="1"/>
          <w:numId w:val="1"/>
        </w:numPr>
        <w:tabs>
          <w:tab w:val="clear" w:pos="1200"/>
        </w:tabs>
        <w:spacing w:before="240"/>
        <w:ind w:left="709"/>
      </w:pPr>
      <w:bookmarkStart w:id="2" w:name="_Ref152597077"/>
      <w:r>
        <w:t>Uveďte podrobný popis opatření podpory a jeho cílů.</w:t>
      </w:r>
      <w:bookmarkEnd w:id="2"/>
    </w:p>
    <w:p w14:paraId="596834B6" w14:textId="77777777" w:rsidR="00515227" w:rsidRPr="005C4E62" w:rsidRDefault="00515227" w:rsidP="001507A9">
      <w:pPr>
        <w:pStyle w:val="Text2"/>
        <w:tabs>
          <w:tab w:val="clear" w:pos="2161"/>
          <w:tab w:val="left" w:leader="dot" w:pos="9072"/>
        </w:tabs>
        <w:spacing w:before="120" w:after="120"/>
        <w:ind w:left="709"/>
      </w:pPr>
      <w:r>
        <w:tab/>
      </w:r>
    </w:p>
    <w:p w14:paraId="0DBB0B27" w14:textId="77777777" w:rsidR="001507A9" w:rsidRPr="005C4E62" w:rsidRDefault="001507A9" w:rsidP="001507A9">
      <w:pPr>
        <w:pStyle w:val="NumPar2"/>
        <w:numPr>
          <w:ilvl w:val="1"/>
          <w:numId w:val="1"/>
        </w:numPr>
        <w:tabs>
          <w:tab w:val="clear" w:pos="1200"/>
        </w:tabs>
        <w:ind w:left="709"/>
      </w:pPr>
      <w:r>
        <w:t>Vysvětlete, proč opatření podpory podle vašeho názoru představuje státní podporu</w:t>
      </w:r>
      <w:r w:rsidRPr="005C4E62">
        <w:rPr>
          <w:rStyle w:val="FootnoteReference"/>
        </w:rPr>
        <w:footnoteReference w:id="2"/>
      </w:r>
      <w:r>
        <w:t>.</w:t>
      </w:r>
    </w:p>
    <w:p w14:paraId="5BA79342" w14:textId="77777777" w:rsidR="001507A9" w:rsidRPr="005C4E62" w:rsidRDefault="001507A9" w:rsidP="001507A9">
      <w:pPr>
        <w:pStyle w:val="Text2"/>
        <w:tabs>
          <w:tab w:val="clear" w:pos="2161"/>
          <w:tab w:val="left" w:leader="dot" w:pos="9072"/>
        </w:tabs>
        <w:spacing w:before="120" w:after="120"/>
        <w:ind w:left="709"/>
      </w:pPr>
      <w:r>
        <w:tab/>
      </w:r>
    </w:p>
    <w:p w14:paraId="46C93EBE" w14:textId="77777777" w:rsidR="001507A9" w:rsidRPr="005C4E62" w:rsidRDefault="001507A9" w:rsidP="001507A9">
      <w:pPr>
        <w:pStyle w:val="NumPar2"/>
        <w:numPr>
          <w:ilvl w:val="1"/>
          <w:numId w:val="1"/>
        </w:numPr>
        <w:tabs>
          <w:tab w:val="clear" w:pos="1200"/>
        </w:tabs>
        <w:ind w:left="709"/>
      </w:pPr>
      <w:r>
        <w:t>Uveďte, zda opatření podpory spočívá v:</w:t>
      </w:r>
    </w:p>
    <w:p w14:paraId="3178CADA"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sociálních poukázkách</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poukázkách na konektivitu</w:t>
      </w:r>
      <w:r w:rsidRPr="005C4E62">
        <w:rPr>
          <w:rStyle w:val="FootnoteReference"/>
          <w:lang w:bidi="si-LK"/>
        </w:rPr>
        <w:footnoteReference w:id="4"/>
      </w:r>
    </w:p>
    <w:p w14:paraId="020AE025" w14:textId="77777777" w:rsidR="006F5901" w:rsidRPr="005C4E62" w:rsidRDefault="006F5901" w:rsidP="001507A9">
      <w:pPr>
        <w:pStyle w:val="NumPar2"/>
        <w:numPr>
          <w:ilvl w:val="1"/>
          <w:numId w:val="1"/>
        </w:numPr>
        <w:tabs>
          <w:tab w:val="clear" w:pos="1200"/>
        </w:tabs>
        <w:ind w:left="709"/>
      </w:pPr>
      <w:r>
        <w:t>Vysvětlete, nakolik je opatření podpory v souladu s národní strategií pro širokopásmové připojení a s cíli digitální politiky a environmentálními cíli Unie</w:t>
      </w:r>
      <w:r w:rsidRPr="005C4E62">
        <w:rPr>
          <w:rStyle w:val="FootnoteReference"/>
        </w:rPr>
        <w:footnoteReference w:id="5"/>
      </w:r>
      <w:r>
        <w:t xml:space="preserve">. </w:t>
      </w:r>
    </w:p>
    <w:p w14:paraId="7645A1D6" w14:textId="77777777" w:rsidR="006F5901" w:rsidRPr="005C4E62" w:rsidRDefault="006F5901" w:rsidP="001507A9">
      <w:pPr>
        <w:pStyle w:val="Text2"/>
        <w:tabs>
          <w:tab w:val="clear" w:pos="2161"/>
          <w:tab w:val="left" w:leader="dot" w:pos="9072"/>
        </w:tabs>
        <w:spacing w:before="120" w:after="120"/>
        <w:ind w:left="709"/>
      </w:pPr>
      <w:r>
        <w:tab/>
      </w:r>
    </w:p>
    <w:p w14:paraId="685E8A00" w14:textId="77777777" w:rsidR="00C66331" w:rsidRPr="005C4E62" w:rsidRDefault="00C66331" w:rsidP="001507A9">
      <w:pPr>
        <w:pStyle w:val="NumPar2"/>
        <w:numPr>
          <w:ilvl w:val="1"/>
          <w:numId w:val="1"/>
        </w:numPr>
        <w:tabs>
          <w:tab w:val="clear" w:pos="1200"/>
        </w:tabs>
        <w:ind w:left="709"/>
      </w:pPr>
      <w:r>
        <w:t>Vysvětlete, zda důvodem pro opatření podpory je</w:t>
      </w:r>
      <w:r w:rsidR="001507A9" w:rsidRPr="005C4E62">
        <w:rPr>
          <w:rStyle w:val="FootnoteReference"/>
        </w:rPr>
        <w:footnoteReference w:id="6"/>
      </w:r>
      <w:r>
        <w:t>:</w:t>
      </w:r>
    </w:p>
    <w:p w14:paraId="0DE10B21"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hospodářský dopad nákladů na účastnictví širokopásmových služeb. Pokud ano, uveďte podrobnosti.……………………………………………………………….</w:t>
      </w:r>
    </w:p>
    <w:p w14:paraId="0D749E66"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nedostatečné povědomí o výhodách, které účastnický přístup k širokopásmovým službám přináší. Pokud ano, uveďte podrobnosti.…………………………............................... </w:t>
      </w:r>
    </w:p>
    <w:p w14:paraId="4DED6561" w14:textId="77777777" w:rsidR="00C66331" w:rsidRPr="005C4E62" w:rsidRDefault="00C66331" w:rsidP="001507A9">
      <w:pPr>
        <w:pStyle w:val="NumPar2"/>
        <w:tabs>
          <w:tab w:val="clear" w:pos="360"/>
        </w:tabs>
        <w:ind w:firstLine="34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jiné důvody. Pokud ano, uveďte podrobnosti                                                           </w:t>
      </w:r>
    </w:p>
    <w:p w14:paraId="2757082A" w14:textId="77777777" w:rsidR="007B33E6" w:rsidRPr="005C4E62" w:rsidRDefault="007B33E6" w:rsidP="001507A9">
      <w:pPr>
        <w:pStyle w:val="NumPar2"/>
        <w:numPr>
          <w:ilvl w:val="1"/>
          <w:numId w:val="1"/>
        </w:numPr>
        <w:tabs>
          <w:tab w:val="clear" w:pos="1200"/>
        </w:tabs>
        <w:ind w:left="709"/>
      </w:pPr>
      <w:r>
        <w:t>Vysvětlete souvislosti opatření podpory (např. současnou úroveň pokrytí širokopásmovými sítěmi v členském státě, současnou úroveň využívání širokopásmových služeb) a uveďte zdroje poskytnutých informací.</w:t>
      </w:r>
    </w:p>
    <w:p w14:paraId="50E10980" w14:textId="77777777" w:rsidR="00B973C6" w:rsidRPr="005C4E62" w:rsidRDefault="00B973C6" w:rsidP="001507A9">
      <w:pPr>
        <w:pStyle w:val="Text2"/>
        <w:tabs>
          <w:tab w:val="clear" w:pos="2161"/>
          <w:tab w:val="left" w:leader="dot" w:pos="9072"/>
        </w:tabs>
        <w:spacing w:before="120" w:after="120"/>
        <w:ind w:left="709"/>
      </w:pPr>
      <w:r>
        <w:tab/>
      </w:r>
    </w:p>
    <w:p w14:paraId="64364FF6" w14:textId="77777777" w:rsidR="005A7B71" w:rsidRPr="005C4E62" w:rsidRDefault="005A7B71" w:rsidP="001507A9">
      <w:pPr>
        <w:pStyle w:val="NumPar2"/>
        <w:numPr>
          <w:ilvl w:val="1"/>
          <w:numId w:val="1"/>
        </w:numPr>
        <w:tabs>
          <w:tab w:val="clear" w:pos="1200"/>
        </w:tabs>
        <w:ind w:left="709"/>
      </w:pPr>
      <w:r>
        <w:t>Potvrďte, že všechny rychlosti uvedené v tomto oznámení jsou považovány za rychlosti za podmínek v době provozní špičky</w:t>
      </w:r>
      <w:r w:rsidRPr="005C4E62">
        <w:rPr>
          <w:rStyle w:val="FootnoteReference"/>
        </w:rPr>
        <w:footnoteReference w:id="7"/>
      </w:r>
      <w:r>
        <w:t>.</w:t>
      </w:r>
    </w:p>
    <w:p w14:paraId="12A66FC1"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873D72">
        <w:fldChar w:fldCharType="separate"/>
      </w:r>
      <w:r w:rsidR="00A63EE7" w:rsidRPr="005C4E62">
        <w:fldChar w:fldCharType="end"/>
      </w:r>
      <w:r>
        <w:tab/>
        <w:t>ne</w:t>
      </w:r>
    </w:p>
    <w:p w14:paraId="1619FB5C" w14:textId="77777777" w:rsidR="005F2475" w:rsidRPr="005C4E62" w:rsidRDefault="007A2062" w:rsidP="005F2475">
      <w:pPr>
        <w:pStyle w:val="NumPar2"/>
        <w:numPr>
          <w:ilvl w:val="1"/>
          <w:numId w:val="1"/>
        </w:numPr>
        <w:tabs>
          <w:tab w:val="clear" w:pos="1200"/>
        </w:tabs>
        <w:ind w:left="709"/>
      </w:pPr>
      <w:r>
        <w:lastRenderedPageBreak/>
        <w:t>Předložte tyto dokumenty, máte-li je k dispozici, a uveďte popis jejich obsahu.</w:t>
      </w:r>
    </w:p>
    <w:p w14:paraId="7DCCAD65"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posouzení dopadů opatření podpory………………………………………………. </w:t>
      </w:r>
    </w:p>
    <w:p w14:paraId="3024E5A4" w14:textId="77777777"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plány hodnocení </w:t>
      </w:r>
      <w:r>
        <w:rPr>
          <w:i/>
        </w:rPr>
        <w:t>ex post</w:t>
      </w:r>
      <w:r>
        <w:t xml:space="preserve"> podobných dřívějších režimů.................................</w:t>
      </w:r>
    </w:p>
    <w:p w14:paraId="128A986D"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srovnávací analýzu prokazující, že opatření má pozitivní účinky ve srovnání se situací bez podpory..........................................................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0E73D6A3" w14:textId="77777777" w:rsidTr="00796043">
        <w:tc>
          <w:tcPr>
            <w:tcW w:w="9286" w:type="dxa"/>
            <w:shd w:val="clear" w:color="auto" w:fill="D9D9D9"/>
          </w:tcPr>
          <w:p w14:paraId="6A064AE3"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Sociální poukázky</w:t>
            </w:r>
          </w:p>
        </w:tc>
      </w:tr>
    </w:tbl>
    <w:p w14:paraId="0CFDDB79" w14:textId="77777777" w:rsidR="004C1C63" w:rsidRPr="005C4E62" w:rsidRDefault="007B5294" w:rsidP="00E27219">
      <w:pPr>
        <w:pStyle w:val="NumPar2"/>
        <w:numPr>
          <w:ilvl w:val="1"/>
          <w:numId w:val="5"/>
        </w:numPr>
        <w:ind w:left="709" w:hanging="709"/>
      </w:pPr>
      <w:r>
        <w:t>Uveďte konkrétní kategorie jednotlivých spotřebitelů, na které se opatření podpory zaměřuje, a upřesněte finanční situaci, která odůvodňuje poskytnutí podpory ze sociálních důvodů (např. nízkopříjmové rodiny, studenti, žáci atd.), a objektivní kritéria použitá k určení způsobilých spotřebitelů</w:t>
      </w:r>
      <w:r w:rsidRPr="005C4E62">
        <w:rPr>
          <w:rStyle w:val="FootnoteReference"/>
        </w:rPr>
        <w:footnoteReference w:id="8"/>
      </w:r>
      <w:r>
        <w:t xml:space="preserve">. </w:t>
      </w:r>
    </w:p>
    <w:p w14:paraId="01D9638A" w14:textId="77777777" w:rsidR="004C1C63" w:rsidRPr="005C4E62" w:rsidRDefault="004C1C63" w:rsidP="004C1C63">
      <w:pPr>
        <w:pStyle w:val="Text2"/>
        <w:tabs>
          <w:tab w:val="clear" w:pos="2161"/>
          <w:tab w:val="left" w:leader="dot" w:pos="9072"/>
        </w:tabs>
        <w:spacing w:before="120" w:after="120"/>
        <w:ind w:left="709"/>
      </w:pPr>
      <w:r>
        <w:tab/>
      </w:r>
    </w:p>
    <w:p w14:paraId="0BCC498D" w14:textId="77777777" w:rsidR="007B5294" w:rsidRPr="005C4E62" w:rsidRDefault="004C1C63" w:rsidP="00E27219">
      <w:pPr>
        <w:pStyle w:val="NumPar2"/>
        <w:numPr>
          <w:ilvl w:val="1"/>
          <w:numId w:val="5"/>
        </w:numPr>
        <w:ind w:left="709" w:hanging="709"/>
      </w:pPr>
      <w:r>
        <w:t>Uveďte odhad počtu spotřebitelů, kteří by mohli opatření podpory využít.</w:t>
      </w:r>
    </w:p>
    <w:p w14:paraId="372E6457" w14:textId="77777777" w:rsidR="007B5294" w:rsidRPr="005C4E62" w:rsidRDefault="007B5294" w:rsidP="009F1CC8">
      <w:pPr>
        <w:pStyle w:val="Text2"/>
        <w:tabs>
          <w:tab w:val="clear" w:pos="2161"/>
          <w:tab w:val="left" w:leader="dot" w:pos="9072"/>
        </w:tabs>
        <w:spacing w:before="120" w:after="120"/>
        <w:ind w:left="709"/>
      </w:pPr>
      <w:r>
        <w:tab/>
      </w:r>
    </w:p>
    <w:p w14:paraId="09CC3E55" w14:textId="77777777" w:rsidR="004C1C63" w:rsidRPr="005C4E62" w:rsidRDefault="004C1C63" w:rsidP="00E27219">
      <w:pPr>
        <w:pStyle w:val="NumPar2"/>
        <w:numPr>
          <w:ilvl w:val="1"/>
          <w:numId w:val="5"/>
        </w:numPr>
        <w:ind w:left="709" w:hanging="709"/>
      </w:pPr>
      <w:r>
        <w:t>Uveďte způsobilé poskytovatele služeb.</w:t>
      </w:r>
    </w:p>
    <w:p w14:paraId="7B7FFA2C" w14:textId="77777777" w:rsidR="004C1C63" w:rsidRPr="005C4E62" w:rsidRDefault="004C1C63" w:rsidP="004C1C63">
      <w:pPr>
        <w:pStyle w:val="Text2"/>
        <w:tabs>
          <w:tab w:val="clear" w:pos="2161"/>
          <w:tab w:val="left" w:leader="dot" w:pos="9072"/>
        </w:tabs>
        <w:spacing w:before="120" w:after="120"/>
        <w:ind w:left="709"/>
      </w:pPr>
      <w:r>
        <w:tab/>
      </w:r>
    </w:p>
    <w:p w14:paraId="77AD6C22" w14:textId="77777777" w:rsidR="00237B1B" w:rsidRPr="005C4E62" w:rsidRDefault="00237B1B" w:rsidP="00E27219">
      <w:pPr>
        <w:pStyle w:val="NumPar2"/>
        <w:numPr>
          <w:ilvl w:val="1"/>
          <w:numId w:val="5"/>
        </w:numPr>
        <w:ind w:left="709" w:hanging="709"/>
      </w:pPr>
      <w:r>
        <w:t>Uveďte způsobilé služby, na které se opatření podpory vztahuje (např. z hlediska rychlosti stahování, rychlosti odesílání atd.), a vysvětlete, jak vaše orgány tyto služby identifikovaly.</w:t>
      </w:r>
    </w:p>
    <w:p w14:paraId="531A41D2" w14:textId="77777777" w:rsidR="00237B1B" w:rsidRPr="005C4E62" w:rsidRDefault="00237B1B" w:rsidP="00237B1B">
      <w:pPr>
        <w:pStyle w:val="Text2"/>
        <w:tabs>
          <w:tab w:val="clear" w:pos="2161"/>
          <w:tab w:val="left" w:leader="dot" w:pos="9072"/>
        </w:tabs>
        <w:spacing w:before="120" w:after="120"/>
        <w:ind w:left="709"/>
      </w:pPr>
      <w:r>
        <w:tab/>
      </w:r>
    </w:p>
    <w:p w14:paraId="315BFDAA" w14:textId="77777777" w:rsidR="00042ACA" w:rsidRPr="005C4E62" w:rsidRDefault="00710B4A" w:rsidP="00042ACA">
      <w:pPr>
        <w:pStyle w:val="NumPar2"/>
        <w:numPr>
          <w:ilvl w:val="1"/>
          <w:numId w:val="5"/>
        </w:numPr>
        <w:ind w:left="709" w:hanging="709"/>
      </w:pPr>
      <w:r>
        <w:t>Uveďte, jak se budou poukázky používat, a poskytněte konkrétní informace</w:t>
      </w:r>
      <w:r w:rsidRPr="005C4E62">
        <w:rPr>
          <w:rStyle w:val="FootnoteReference"/>
        </w:rPr>
        <w:footnoteReference w:id="9"/>
      </w:r>
      <w:r>
        <w:t>:</w:t>
      </w:r>
    </w:p>
    <w:p w14:paraId="311F3D92" w14:textId="4BF5A8EA"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w:t>
      </w:r>
      <w:r w:rsidR="007F705C">
        <w:t>Z</w:t>
      </w:r>
      <w:r>
        <w:t>ískání nových širokopásmových služeb. Podrobnosti:</w:t>
      </w:r>
    </w:p>
    <w:p w14:paraId="1689E993" w14:textId="77777777" w:rsidR="00485681" w:rsidRPr="005C4E62" w:rsidRDefault="00485681" w:rsidP="006E6AE1">
      <w:pPr>
        <w:pStyle w:val="NumPar2"/>
        <w:tabs>
          <w:tab w:val="clear" w:pos="360"/>
        </w:tabs>
        <w:ind w:left="709" w:firstLine="0"/>
      </w:pPr>
      <w:r>
        <w:t xml:space="preserve">………………………………………………………………………………………….. </w:t>
      </w:r>
    </w:p>
    <w:p w14:paraId="43D27695" w14:textId="74259EE0"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w:t>
      </w:r>
      <w:r w:rsidR="007F705C">
        <w:t>Z</w:t>
      </w:r>
      <w:r>
        <w:t xml:space="preserve">achování stávajících služeb. Podrobnosti: </w:t>
      </w:r>
    </w:p>
    <w:p w14:paraId="7C1C0539" w14:textId="77777777" w:rsidR="00485681" w:rsidRPr="005C4E62" w:rsidRDefault="00485681" w:rsidP="006E6AE1">
      <w:pPr>
        <w:pStyle w:val="NumPar2"/>
        <w:tabs>
          <w:tab w:val="clear" w:pos="360"/>
        </w:tabs>
        <w:ind w:left="709" w:firstLine="0"/>
      </w:pPr>
      <w:r>
        <w:t>…………………………………………………………………………………………...</w:t>
      </w:r>
    </w:p>
    <w:p w14:paraId="5A014667" w14:textId="3E18F6A2"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w:t>
      </w:r>
      <w:r w:rsidR="007F705C">
        <w:t>J</w:t>
      </w:r>
      <w:r>
        <w:t>inak. Podrobnosti:</w:t>
      </w:r>
    </w:p>
    <w:p w14:paraId="7DF6D06E" w14:textId="77777777" w:rsidR="00485681" w:rsidRPr="005C4E62" w:rsidRDefault="00485681" w:rsidP="006E6AE1">
      <w:pPr>
        <w:pStyle w:val="NumPar2"/>
        <w:tabs>
          <w:tab w:val="clear" w:pos="360"/>
        </w:tabs>
        <w:ind w:left="709" w:firstLine="0"/>
      </w:pPr>
      <w:r>
        <w:t>…………………………………………………………..…………………………….....</w:t>
      </w:r>
    </w:p>
    <w:p w14:paraId="00A70533" w14:textId="77777777" w:rsidR="007B5294" w:rsidRPr="005C4E62" w:rsidRDefault="007B5294" w:rsidP="00E27219">
      <w:pPr>
        <w:pStyle w:val="NumPar2"/>
        <w:numPr>
          <w:ilvl w:val="1"/>
          <w:numId w:val="5"/>
        </w:numPr>
        <w:ind w:left="709" w:hanging="709"/>
      </w:pPr>
      <w:r>
        <w:t>Uveďte způsobilé náklady, na které se opatření podpory vztahuje</w:t>
      </w:r>
      <w:r w:rsidRPr="005C4E62">
        <w:rPr>
          <w:rStyle w:val="FootnoteReference"/>
        </w:rPr>
        <w:footnoteReference w:id="10"/>
      </w:r>
      <w:r>
        <w:t>.</w:t>
      </w:r>
    </w:p>
    <w:p w14:paraId="227F251C" w14:textId="77777777" w:rsidR="007B5294" w:rsidRPr="005C4E62" w:rsidRDefault="007B5294" w:rsidP="007B5294">
      <w:pPr>
        <w:pStyle w:val="Text2"/>
        <w:tabs>
          <w:tab w:val="clear" w:pos="2161"/>
          <w:tab w:val="left" w:leader="dot" w:pos="9072"/>
        </w:tabs>
        <w:spacing w:before="120" w:after="120"/>
        <w:ind w:left="709"/>
      </w:pPr>
      <w:r>
        <w:tab/>
      </w:r>
    </w:p>
    <w:p w14:paraId="02BF63C4" w14:textId="77777777" w:rsidR="00E0556B" w:rsidRPr="005C4E62" w:rsidRDefault="00E0556B" w:rsidP="00E0556B">
      <w:pPr>
        <w:pStyle w:val="NumPar2"/>
        <w:numPr>
          <w:ilvl w:val="1"/>
          <w:numId w:val="5"/>
        </w:numPr>
        <w:ind w:left="709" w:hanging="709"/>
      </w:pPr>
      <w:r>
        <w:t xml:space="preserve">Uveďte maximální dobu platnosti poukázky </w:t>
      </w:r>
      <w:r>
        <w:br/>
        <w:t>(je-li stanovena).</w:t>
      </w:r>
    </w:p>
    <w:p w14:paraId="036304DA" w14:textId="77777777" w:rsidR="00E0556B" w:rsidRPr="005C4E62" w:rsidRDefault="00E0556B" w:rsidP="002E43A3">
      <w:pPr>
        <w:pStyle w:val="Text2"/>
        <w:tabs>
          <w:tab w:val="clear" w:pos="2161"/>
          <w:tab w:val="left" w:leader="dot" w:pos="9072"/>
        </w:tabs>
        <w:spacing w:before="120" w:after="120"/>
        <w:ind w:left="709"/>
      </w:pPr>
      <w:r>
        <w:tab/>
      </w:r>
    </w:p>
    <w:p w14:paraId="08BDC23B" w14:textId="77777777" w:rsidR="00237B1B" w:rsidRPr="005C4E62" w:rsidRDefault="00237B1B" w:rsidP="00E27219">
      <w:pPr>
        <w:pStyle w:val="NumPar2"/>
        <w:numPr>
          <w:ilvl w:val="1"/>
          <w:numId w:val="5"/>
        </w:numPr>
        <w:ind w:left="709" w:hanging="709"/>
      </w:pPr>
      <w:r>
        <w:t xml:space="preserve">Uveďte formu a částku poukázek a upřesněte, jak byla tato částka stanovena, a procento nákladů na služby, na které se poukázka vztahuje. </w:t>
      </w:r>
    </w:p>
    <w:p w14:paraId="72D10589" w14:textId="77777777" w:rsidR="00237B1B" w:rsidRPr="005C4E62" w:rsidRDefault="00237B1B" w:rsidP="00237B1B">
      <w:pPr>
        <w:pStyle w:val="Text2"/>
        <w:tabs>
          <w:tab w:val="clear" w:pos="2161"/>
          <w:tab w:val="left" w:leader="dot" w:pos="9072"/>
        </w:tabs>
        <w:spacing w:before="120" w:after="120"/>
        <w:ind w:left="709"/>
      </w:pPr>
      <w:r>
        <w:tab/>
      </w:r>
    </w:p>
    <w:p w14:paraId="57CE433B" w14:textId="77777777" w:rsidR="00E101F1" w:rsidRPr="005C4E62" w:rsidRDefault="00E101F1" w:rsidP="00E27219">
      <w:pPr>
        <w:pStyle w:val="NumPar2"/>
        <w:numPr>
          <w:ilvl w:val="1"/>
          <w:numId w:val="5"/>
        </w:numPr>
        <w:ind w:left="709" w:hanging="709"/>
        <w:rPr>
          <w:iCs/>
        </w:rPr>
      </w:pPr>
      <w:r>
        <w:lastRenderedPageBreak/>
        <w:t>Vysvětlete, zda a jak je opatření podpory v souladu se zásadou technologické neutrality</w:t>
      </w:r>
      <w:r w:rsidRPr="005C4E62">
        <w:rPr>
          <w:rStyle w:val="FootnoteReference"/>
          <w:iCs/>
        </w:rPr>
        <w:footnoteReference w:id="11"/>
      </w:r>
      <w:r>
        <w:t>.</w:t>
      </w:r>
    </w:p>
    <w:p w14:paraId="1EF623B3" w14:textId="77777777" w:rsidR="00E101F1" w:rsidRPr="005C4E62" w:rsidRDefault="00E101F1" w:rsidP="00E101F1">
      <w:pPr>
        <w:pStyle w:val="Text2"/>
        <w:tabs>
          <w:tab w:val="clear" w:pos="2161"/>
          <w:tab w:val="left" w:leader="dot" w:pos="9072"/>
        </w:tabs>
        <w:spacing w:before="120" w:after="120"/>
        <w:ind w:left="709"/>
      </w:pPr>
      <w:r>
        <w:tab/>
      </w:r>
    </w:p>
    <w:p w14:paraId="63C447C4" w14:textId="77777777" w:rsidR="00C90B4D" w:rsidRPr="005C4E62" w:rsidRDefault="00C90B4D" w:rsidP="00C90B4D">
      <w:pPr>
        <w:pStyle w:val="NumPar2"/>
        <w:numPr>
          <w:ilvl w:val="1"/>
          <w:numId w:val="5"/>
        </w:numPr>
        <w:ind w:left="709" w:hanging="709"/>
        <w:rPr>
          <w:iCs/>
        </w:rPr>
      </w:pPr>
      <w:r>
        <w:t>Abyste prokázali, že opatření podpory zajišťuje rovné zacházení se všemi možnými poskytovateli služeb a nabízí spotřebitelům co možná nejširší výběr dodavatelů</w:t>
      </w:r>
      <w:r w:rsidR="00E101F1" w:rsidRPr="005C4E62">
        <w:rPr>
          <w:rStyle w:val="FootnoteReference"/>
          <w:iCs/>
        </w:rPr>
        <w:footnoteReference w:id="12"/>
      </w:r>
      <w:r>
        <w:t>, potvrďte (s uvedením příslušných údajů), že</w:t>
      </w:r>
      <w:r w:rsidRPr="005C4E62">
        <w:rPr>
          <w:rStyle w:val="FootnoteReference"/>
        </w:rPr>
        <w:footnoteReference w:id="13"/>
      </w:r>
      <w:r>
        <w:t xml:space="preserve">: </w:t>
      </w:r>
    </w:p>
    <w:p w14:paraId="7C021DD0" w14:textId="77777777" w:rsidR="00C90B4D" w:rsidRPr="005C4E62" w:rsidRDefault="00C90B4D" w:rsidP="00C90B4D">
      <w:pPr>
        <w:pStyle w:val="NumPar2"/>
        <w:numPr>
          <w:ilvl w:val="4"/>
          <w:numId w:val="1"/>
        </w:numPr>
        <w:ind w:left="1418" w:hanging="709"/>
      </w:pPr>
      <w:r>
        <w:t>bude zřízen internetový rejstřík všech způsobilých poskytovatelů služeb (nebo rovnocenná alternativní platforma);</w:t>
      </w:r>
    </w:p>
    <w:p w14:paraId="783EBF2D" w14:textId="77777777" w:rsidR="00C90B4D" w:rsidRPr="005C4E62" w:rsidRDefault="00C90B4D" w:rsidP="00C90B4D">
      <w:pPr>
        <w:pStyle w:val="Text2"/>
        <w:tabs>
          <w:tab w:val="clear" w:pos="2161"/>
          <w:tab w:val="left" w:leader="dot" w:pos="9072"/>
        </w:tabs>
        <w:spacing w:before="120" w:after="120"/>
        <w:ind w:left="709"/>
      </w:pPr>
      <w:r>
        <w:tab/>
      </w:r>
    </w:p>
    <w:p w14:paraId="1A39230D" w14:textId="77777777" w:rsidR="00C90B4D" w:rsidRPr="005C4E62" w:rsidRDefault="00C90B4D" w:rsidP="00C90B4D">
      <w:pPr>
        <w:pStyle w:val="NumPar2"/>
        <w:numPr>
          <w:ilvl w:val="4"/>
          <w:numId w:val="1"/>
        </w:numPr>
        <w:ind w:left="1418" w:hanging="709"/>
      </w:pPr>
      <w:r>
        <w:t xml:space="preserve">spotřebitelé mohou do rejstříku volně nahlížet; </w:t>
      </w:r>
    </w:p>
    <w:p w14:paraId="1D026D63" w14:textId="77777777" w:rsidR="00C90B4D" w:rsidRPr="005C4E62" w:rsidRDefault="00C90B4D" w:rsidP="00C90B4D">
      <w:pPr>
        <w:pStyle w:val="Text2"/>
        <w:tabs>
          <w:tab w:val="clear" w:pos="2161"/>
          <w:tab w:val="left" w:leader="dot" w:pos="9072"/>
        </w:tabs>
        <w:spacing w:before="120" w:after="120"/>
        <w:ind w:left="709"/>
      </w:pPr>
      <w:r>
        <w:tab/>
      </w:r>
    </w:p>
    <w:p w14:paraId="012B2345" w14:textId="77777777" w:rsidR="00C90B4D" w:rsidRPr="005C4E62" w:rsidRDefault="00C90B4D" w:rsidP="00C90B4D">
      <w:pPr>
        <w:pStyle w:val="NumPar2"/>
        <w:numPr>
          <w:ilvl w:val="4"/>
          <w:numId w:val="1"/>
        </w:numPr>
        <w:ind w:left="1418" w:hanging="709"/>
      </w:pPr>
      <w:r>
        <w:t>o zařazení do rejstříku (nebo do zvolené alternativní platformy) mohou požádat všechny podniky schopné poskytovat způsobilé širokopásmové služby;</w:t>
      </w:r>
    </w:p>
    <w:p w14:paraId="6EF4B94C" w14:textId="77777777" w:rsidR="00E101F1" w:rsidRPr="005C4E62" w:rsidRDefault="00C90B4D" w:rsidP="00C90B4D">
      <w:pPr>
        <w:pStyle w:val="Text2"/>
        <w:tabs>
          <w:tab w:val="clear" w:pos="2161"/>
          <w:tab w:val="left" w:leader="dot" w:pos="9072"/>
        </w:tabs>
        <w:spacing w:before="120" w:after="120"/>
        <w:ind w:left="709"/>
      </w:pPr>
      <w:r>
        <w:tab/>
        <w:t xml:space="preserve"> </w:t>
      </w:r>
    </w:p>
    <w:p w14:paraId="3D759165" w14:textId="77777777" w:rsidR="00C90B4D" w:rsidRPr="005C4E62" w:rsidRDefault="00C90B4D" w:rsidP="00C90B4D">
      <w:pPr>
        <w:pStyle w:val="NumPar2"/>
        <w:numPr>
          <w:ilvl w:val="4"/>
          <w:numId w:val="1"/>
        </w:numPr>
        <w:ind w:left="1418" w:hanging="709"/>
      </w:pPr>
      <w:r>
        <w:t>tento rejstřík (nebo zvolená alternativní platforma) poskytuje rovněž dodatečné informace na pomoc spotřebitelům (např. údaje o typu služeb poskytovaných různými podniky atd.). Pokud ano, uveďte dodatečné poskytované informace.</w:t>
      </w:r>
    </w:p>
    <w:p w14:paraId="6257AD93" w14:textId="77777777" w:rsidR="00E101F1" w:rsidRPr="005C4E62" w:rsidRDefault="00E101F1" w:rsidP="00E101F1">
      <w:pPr>
        <w:pStyle w:val="Text2"/>
        <w:tabs>
          <w:tab w:val="clear" w:pos="2161"/>
          <w:tab w:val="left" w:leader="dot" w:pos="9072"/>
        </w:tabs>
        <w:spacing w:before="120" w:after="120"/>
        <w:ind w:left="709"/>
      </w:pPr>
      <w:r>
        <w:tab/>
      </w:r>
    </w:p>
    <w:p w14:paraId="58AAD118" w14:textId="77777777" w:rsidR="00D1408F" w:rsidRPr="005C4E62" w:rsidRDefault="00D1408F" w:rsidP="009A1814">
      <w:pPr>
        <w:pStyle w:val="NumPar2"/>
        <w:numPr>
          <w:ilvl w:val="1"/>
          <w:numId w:val="5"/>
        </w:numPr>
        <w:ind w:left="709" w:hanging="709"/>
      </w:pPr>
      <w:r>
        <w:t>Vysvětlete podrobně postup provádění opatření podpory.</w:t>
      </w:r>
    </w:p>
    <w:p w14:paraId="2C2466C1" w14:textId="77777777" w:rsidR="00D1408F" w:rsidRPr="005C4E62" w:rsidRDefault="00D1408F" w:rsidP="00D1408F">
      <w:pPr>
        <w:pStyle w:val="Text2"/>
        <w:tabs>
          <w:tab w:val="clear" w:pos="2161"/>
          <w:tab w:val="left" w:leader="dot" w:pos="9072"/>
        </w:tabs>
        <w:spacing w:before="120" w:after="120"/>
        <w:ind w:left="709"/>
      </w:pPr>
      <w:r>
        <w:tab/>
      </w:r>
    </w:p>
    <w:p w14:paraId="0B86B636" w14:textId="77777777" w:rsidR="00D1408F" w:rsidRPr="005C4E62" w:rsidRDefault="00D1408F" w:rsidP="009A1814">
      <w:pPr>
        <w:pStyle w:val="NumPar2"/>
        <w:numPr>
          <w:ilvl w:val="1"/>
          <w:numId w:val="5"/>
        </w:numPr>
        <w:ind w:left="709" w:hanging="709"/>
      </w:pPr>
      <w:r>
        <w:t>Veřejná konzultace</w:t>
      </w:r>
      <w:r w:rsidRPr="005C4E62">
        <w:rPr>
          <w:rStyle w:val="FootnoteReference"/>
        </w:rPr>
        <w:footnoteReference w:id="14"/>
      </w:r>
      <w:r>
        <w:t>. Uveďte tyto informace:</w:t>
      </w:r>
    </w:p>
    <w:p w14:paraId="4A08DCA8" w14:textId="77777777" w:rsidR="00D1408F" w:rsidRPr="005C4E62" w:rsidRDefault="00D1408F" w:rsidP="00D46D21">
      <w:pPr>
        <w:pStyle w:val="Text2"/>
        <w:numPr>
          <w:ilvl w:val="4"/>
          <w:numId w:val="10"/>
        </w:numPr>
        <w:tabs>
          <w:tab w:val="clear" w:pos="2161"/>
        </w:tabs>
        <w:spacing w:after="120"/>
        <w:ind w:left="1418" w:hanging="709"/>
      </w:pPr>
      <w:r>
        <w:t xml:space="preserve">datum zahájení a ukončení každé provedené veřejné konzultace; </w:t>
      </w:r>
    </w:p>
    <w:p w14:paraId="5105E4DC" w14:textId="77777777" w:rsidR="00D1408F" w:rsidRPr="005C4E62" w:rsidRDefault="00D1408F" w:rsidP="00D1408F">
      <w:pPr>
        <w:pStyle w:val="Text2"/>
        <w:tabs>
          <w:tab w:val="clear" w:pos="2161"/>
          <w:tab w:val="left" w:leader="dot" w:pos="9072"/>
        </w:tabs>
        <w:spacing w:before="120" w:after="120"/>
        <w:ind w:left="709"/>
      </w:pPr>
      <w:r>
        <w:tab/>
      </w:r>
    </w:p>
    <w:p w14:paraId="6A299EDE" w14:textId="77777777" w:rsidR="00D1408F" w:rsidRPr="005C4E62" w:rsidRDefault="00D1408F" w:rsidP="00D46D21">
      <w:pPr>
        <w:pStyle w:val="Text2"/>
        <w:numPr>
          <w:ilvl w:val="4"/>
          <w:numId w:val="10"/>
        </w:numPr>
        <w:tabs>
          <w:tab w:val="clear" w:pos="2161"/>
        </w:tabs>
        <w:spacing w:after="120"/>
        <w:ind w:left="1418" w:hanging="709"/>
      </w:pPr>
      <w:r>
        <w:t xml:space="preserve">obsah každé veřejné konzultace; </w:t>
      </w:r>
    </w:p>
    <w:p w14:paraId="59C08769" w14:textId="77777777" w:rsidR="00D1408F" w:rsidRPr="005C4E62" w:rsidRDefault="00D1408F" w:rsidP="00D1408F">
      <w:pPr>
        <w:pStyle w:val="Text2"/>
        <w:tabs>
          <w:tab w:val="clear" w:pos="2161"/>
          <w:tab w:val="left" w:leader="dot" w:pos="9072"/>
        </w:tabs>
        <w:spacing w:before="120" w:after="120"/>
        <w:ind w:left="709"/>
      </w:pPr>
      <w:r>
        <w:tab/>
      </w:r>
    </w:p>
    <w:p w14:paraId="4A179C0A" w14:textId="77777777" w:rsidR="00D1408F" w:rsidRPr="005C4E62" w:rsidRDefault="00D1408F" w:rsidP="00D46D21">
      <w:pPr>
        <w:pStyle w:val="Text2"/>
        <w:numPr>
          <w:ilvl w:val="4"/>
          <w:numId w:val="10"/>
        </w:numPr>
        <w:tabs>
          <w:tab w:val="clear" w:pos="2161"/>
        </w:tabs>
        <w:spacing w:after="120"/>
        <w:ind w:left="1418" w:hanging="709"/>
      </w:pPr>
      <w:r>
        <w:t>veřejně přístupné internetové stránky (na regionální a/nebo celostátní úrovni), na kterých byla konzultace zveřejněna;</w:t>
      </w:r>
    </w:p>
    <w:p w14:paraId="06C9FDC2" w14:textId="77777777" w:rsidR="00D1408F" w:rsidRPr="005C4E62" w:rsidRDefault="00D1408F" w:rsidP="00D1408F">
      <w:pPr>
        <w:pStyle w:val="Text2"/>
        <w:tabs>
          <w:tab w:val="clear" w:pos="2161"/>
          <w:tab w:val="left" w:leader="dot" w:pos="9072"/>
        </w:tabs>
        <w:spacing w:before="120" w:after="120"/>
        <w:ind w:left="709"/>
      </w:pPr>
      <w:r>
        <w:tab/>
      </w:r>
    </w:p>
    <w:p w14:paraId="0E18B1F4" w14:textId="77777777" w:rsidR="00D1408F" w:rsidRPr="005C4E62" w:rsidRDefault="00D1408F" w:rsidP="00D46D21">
      <w:pPr>
        <w:pStyle w:val="Text2"/>
        <w:numPr>
          <w:ilvl w:val="4"/>
          <w:numId w:val="10"/>
        </w:numPr>
        <w:tabs>
          <w:tab w:val="clear" w:pos="2161"/>
        </w:tabs>
        <w:spacing w:after="120"/>
        <w:ind w:left="1418" w:hanging="709"/>
      </w:pPr>
      <w:r>
        <w:t>rekapitulaci hlavních připomínek předložených přispěvateli v rámci každé veřejné konzultace s uvedením způsobu jejich řešení.</w:t>
      </w:r>
    </w:p>
    <w:p w14:paraId="646F9323" w14:textId="77777777" w:rsidR="00D1408F" w:rsidRPr="005C4E62" w:rsidRDefault="00D1408F" w:rsidP="00D1408F">
      <w:pPr>
        <w:pStyle w:val="Text2"/>
        <w:tabs>
          <w:tab w:val="clear" w:pos="2161"/>
          <w:tab w:val="left" w:leader="dot" w:pos="9072"/>
        </w:tabs>
        <w:spacing w:before="120" w:after="120"/>
        <w:ind w:left="709"/>
      </w:pPr>
      <w:r>
        <w:tab/>
      </w:r>
    </w:p>
    <w:p w14:paraId="276C9A15" w14:textId="77777777" w:rsidR="00D1408F" w:rsidRPr="005C4E62" w:rsidRDefault="00D1408F" w:rsidP="009A1814">
      <w:pPr>
        <w:pStyle w:val="NumPar2"/>
        <w:numPr>
          <w:ilvl w:val="1"/>
          <w:numId w:val="5"/>
        </w:numPr>
        <w:ind w:left="709" w:hanging="709"/>
      </w:pPr>
      <w:r>
        <w:t>Uveďte, zda budou zavedeny další záruky, které by zabránily možnému zneužití sociálních poukázek. Pokud ano, uveďte podrobnosti</w:t>
      </w:r>
      <w:r w:rsidRPr="005C4E62">
        <w:rPr>
          <w:rStyle w:val="FootnoteReference"/>
        </w:rPr>
        <w:footnoteReference w:id="15"/>
      </w:r>
      <w:r>
        <w:t>.</w:t>
      </w:r>
    </w:p>
    <w:p w14:paraId="0C5FCE7B" w14:textId="77777777" w:rsidR="00D1408F" w:rsidRPr="005C4E62" w:rsidRDefault="00D1408F" w:rsidP="00D1408F">
      <w:pPr>
        <w:pStyle w:val="Text2"/>
        <w:tabs>
          <w:tab w:val="clear" w:pos="2161"/>
          <w:tab w:val="left" w:leader="dot" w:pos="9072"/>
        </w:tabs>
        <w:spacing w:before="120" w:after="120"/>
        <w:ind w:left="709"/>
      </w:pPr>
      <w:r>
        <w:tab/>
      </w:r>
    </w:p>
    <w:p w14:paraId="5280F6A9" w14:textId="77777777" w:rsidR="00D1408F" w:rsidRPr="005C4E62" w:rsidRDefault="00D1408F" w:rsidP="009A1814">
      <w:pPr>
        <w:pStyle w:val="NumPar2"/>
        <w:numPr>
          <w:ilvl w:val="1"/>
          <w:numId w:val="5"/>
        </w:numPr>
        <w:ind w:left="709" w:hanging="709"/>
      </w:pPr>
      <w:r>
        <w:lastRenderedPageBreak/>
        <w:t>Uveďte, zda opatření podpory stanoví zvláštní pravidla týkající se správy účastnictví, mimo jiné s ohledem na předčasné ukončení účastnictví, možnost převodu účastnictví k jinému poskytovateli během období, na které se vztahuje poukaz (pokud ano, za jakých podmínek), pokračování účastnictví po skončení platnosti poukazu. Pokud ano, uveďte podrobnosti.</w:t>
      </w:r>
    </w:p>
    <w:p w14:paraId="38839127"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86"/>
      </w:tblGrid>
      <w:tr w:rsidR="006F5901" w:rsidRPr="005C4E62" w14:paraId="6866D858" w14:textId="77777777" w:rsidTr="00796043">
        <w:tc>
          <w:tcPr>
            <w:tcW w:w="9286" w:type="dxa"/>
            <w:shd w:val="clear" w:color="auto" w:fill="D9D9D9"/>
          </w:tcPr>
          <w:p w14:paraId="2A646441"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Poukázky na konektivitu</w:t>
            </w:r>
          </w:p>
        </w:tc>
      </w:tr>
    </w:tbl>
    <w:p w14:paraId="4C8693CA" w14:textId="77777777" w:rsidR="004D559F" w:rsidRPr="005C4E62" w:rsidRDefault="004D559F" w:rsidP="00450B69">
      <w:pPr>
        <w:pStyle w:val="NumPar2"/>
        <w:numPr>
          <w:ilvl w:val="1"/>
          <w:numId w:val="41"/>
        </w:numPr>
        <w:ind w:left="709" w:hanging="709"/>
      </w:pPr>
      <w:r>
        <w:t>Uveďte, na jaký typ koncových uživatelů je opatření zaměřeno.</w:t>
      </w:r>
    </w:p>
    <w:p w14:paraId="61E094D5"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spotřebitelé  </w:t>
      </w:r>
      <w:r>
        <w:tab/>
      </w: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podniky  </w:t>
      </w:r>
    </w:p>
    <w:p w14:paraId="7FBA9128" w14:textId="77777777" w:rsidR="009A1814" w:rsidRPr="005C4E62" w:rsidRDefault="009A1814" w:rsidP="009A1814">
      <w:pPr>
        <w:pStyle w:val="NumPar2"/>
        <w:numPr>
          <w:ilvl w:val="1"/>
          <w:numId w:val="41"/>
        </w:numPr>
        <w:ind w:left="709" w:hanging="709"/>
      </w:pPr>
      <w:r>
        <w:t xml:space="preserve">Vysvětlete podmínky způsobilosti koncových uživatelů, aby mohli získat poukázky na konektivitu. </w:t>
      </w:r>
    </w:p>
    <w:p w14:paraId="335FAD4F" w14:textId="77777777" w:rsidR="009A1814" w:rsidRPr="005C4E62" w:rsidRDefault="009A1814" w:rsidP="009A1814">
      <w:pPr>
        <w:pStyle w:val="Text2"/>
        <w:tabs>
          <w:tab w:val="clear" w:pos="2161"/>
          <w:tab w:val="left" w:leader="dot" w:pos="9072"/>
        </w:tabs>
        <w:spacing w:before="120" w:after="120"/>
        <w:ind w:left="709"/>
      </w:pPr>
      <w:r>
        <w:tab/>
      </w:r>
    </w:p>
    <w:p w14:paraId="78887A40" w14:textId="77777777" w:rsidR="009A1814" w:rsidRPr="005C4E62" w:rsidRDefault="009A1814" w:rsidP="009A1814">
      <w:pPr>
        <w:pStyle w:val="NumPar2"/>
        <w:numPr>
          <w:ilvl w:val="1"/>
          <w:numId w:val="41"/>
        </w:numPr>
        <w:ind w:left="709" w:hanging="709"/>
      </w:pPr>
      <w:r>
        <w:t>Uveďte odhad počtu koncových uživatelů, kteří by mohli opatření podpory využít.</w:t>
      </w:r>
    </w:p>
    <w:p w14:paraId="26C6DF30" w14:textId="77777777" w:rsidR="009A1814" w:rsidRPr="005C4E62" w:rsidRDefault="009A1814" w:rsidP="009A1814">
      <w:pPr>
        <w:pStyle w:val="Text2"/>
        <w:tabs>
          <w:tab w:val="clear" w:pos="2161"/>
          <w:tab w:val="left" w:leader="dot" w:pos="9072"/>
        </w:tabs>
        <w:spacing w:before="120" w:after="120"/>
        <w:ind w:left="709"/>
      </w:pPr>
      <w:r>
        <w:tab/>
      </w:r>
    </w:p>
    <w:p w14:paraId="366D0AAE" w14:textId="77777777" w:rsidR="00710B4A" w:rsidRPr="005C4E62" w:rsidRDefault="00710B4A" w:rsidP="00710B4A">
      <w:pPr>
        <w:pStyle w:val="NumPar2"/>
        <w:numPr>
          <w:ilvl w:val="1"/>
          <w:numId w:val="41"/>
        </w:numPr>
        <w:ind w:left="709" w:hanging="709"/>
      </w:pPr>
      <w:r>
        <w:t>Uveďte způsobilé poskytovatele služeb.</w:t>
      </w:r>
    </w:p>
    <w:p w14:paraId="103F91AD" w14:textId="77777777" w:rsidR="00710B4A" w:rsidRPr="005C4E62" w:rsidRDefault="00710B4A" w:rsidP="00710B4A">
      <w:pPr>
        <w:pStyle w:val="Text2"/>
        <w:tabs>
          <w:tab w:val="clear" w:pos="2161"/>
          <w:tab w:val="left" w:leader="dot" w:pos="9072"/>
        </w:tabs>
        <w:spacing w:before="120" w:after="120"/>
        <w:ind w:left="709"/>
      </w:pPr>
      <w:r>
        <w:tab/>
      </w:r>
    </w:p>
    <w:p w14:paraId="71C452DE" w14:textId="77777777" w:rsidR="009A1814" w:rsidRPr="005C4E62" w:rsidRDefault="009A1814" w:rsidP="009A1814">
      <w:pPr>
        <w:pStyle w:val="NumPar2"/>
        <w:numPr>
          <w:ilvl w:val="1"/>
          <w:numId w:val="41"/>
        </w:numPr>
        <w:ind w:left="709" w:hanging="709"/>
      </w:pPr>
      <w:r>
        <w:t>Uveďte způsobilé služby, na které se opatření podpory vztahuje (např. z hlediska rychlosti stahování, rychlosti odesílání atd.), a vysvětlete, jak vaše orgány tyto služby identifikovaly. V tomto ohledu uveďte potřeby koncových uživatelů, které mohou být uspokojeny prostřednictvím spojení poskytujících způsobilé služby, a předložte k tomu ověřitelné důkazy (např. spotřebitelské průzkumy, nezávislé studie)</w:t>
      </w:r>
      <w:r w:rsidR="00F47AC0" w:rsidRPr="005C4E62">
        <w:rPr>
          <w:rStyle w:val="FootnoteReference"/>
        </w:rPr>
        <w:footnoteReference w:id="16"/>
      </w:r>
      <w:r>
        <w:t>.</w:t>
      </w:r>
    </w:p>
    <w:p w14:paraId="13ABF142" w14:textId="77777777" w:rsidR="009A1814" w:rsidRPr="005C4E62" w:rsidRDefault="009A1814" w:rsidP="009A1814">
      <w:pPr>
        <w:pStyle w:val="Text2"/>
        <w:tabs>
          <w:tab w:val="clear" w:pos="2161"/>
          <w:tab w:val="left" w:leader="dot" w:pos="9072"/>
        </w:tabs>
        <w:spacing w:before="120" w:after="120"/>
        <w:ind w:left="709"/>
      </w:pPr>
      <w:r>
        <w:tab/>
      </w:r>
    </w:p>
    <w:p w14:paraId="465325F3" w14:textId="77777777" w:rsidR="00710B4A" w:rsidRPr="005C4E62" w:rsidRDefault="00710B4A" w:rsidP="009A1814">
      <w:pPr>
        <w:pStyle w:val="NumPar2"/>
        <w:numPr>
          <w:ilvl w:val="1"/>
          <w:numId w:val="41"/>
        </w:numPr>
        <w:ind w:left="709" w:hanging="709"/>
      </w:pPr>
      <w:r>
        <w:t>Uveďte, jak se budou poukázky používat, a poskytněte konkrétní informace. Kromě toho potvrďte, že poukázky nelze použít k zachování stávajících služeb</w:t>
      </w:r>
      <w:r w:rsidR="00F47AC0" w:rsidRPr="005C4E62">
        <w:rPr>
          <w:rStyle w:val="FootnoteReference"/>
        </w:rPr>
        <w:footnoteReference w:id="17"/>
      </w:r>
      <w:r>
        <w:t>.</w:t>
      </w:r>
    </w:p>
    <w:p w14:paraId="7EE3C539" w14:textId="29082F5C"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w:t>
      </w:r>
      <w:r w:rsidR="007F705C">
        <w:t>Z</w:t>
      </w:r>
      <w:r>
        <w:t>ískání nových širokopásmových služeb. Podrobnosti:</w:t>
      </w:r>
    </w:p>
    <w:p w14:paraId="031215C5" w14:textId="77777777" w:rsidR="00042ACA" w:rsidRPr="005C4E62" w:rsidRDefault="00042ACA" w:rsidP="00042ACA">
      <w:pPr>
        <w:pStyle w:val="NumPar2"/>
        <w:tabs>
          <w:tab w:val="clear" w:pos="360"/>
        </w:tabs>
        <w:ind w:left="709" w:firstLine="0"/>
      </w:pPr>
      <w:r>
        <w:t xml:space="preserve">………………………………………………………………………………………….. </w:t>
      </w:r>
    </w:p>
    <w:p w14:paraId="67D9D5FE" w14:textId="376CE42C"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w:t>
      </w:r>
      <w:r w:rsidR="007F705C">
        <w:t>V</w:t>
      </w:r>
      <w:r>
        <w:t xml:space="preserve">ylepšení úrovně stávajících služeb. Podrobnosti: </w:t>
      </w:r>
    </w:p>
    <w:p w14:paraId="2AF370A8" w14:textId="77777777" w:rsidR="00042ACA" w:rsidRPr="005C4E62" w:rsidRDefault="00042ACA" w:rsidP="00042ACA">
      <w:pPr>
        <w:pStyle w:val="NumPar2"/>
        <w:tabs>
          <w:tab w:val="clear" w:pos="360"/>
        </w:tabs>
        <w:ind w:left="709" w:firstLine="0"/>
      </w:pPr>
      <w:r>
        <w:t>…………………………………………………………………………………………...</w:t>
      </w:r>
    </w:p>
    <w:p w14:paraId="58359F6B"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Potvrzení, že poukázky nelze použít k zachování stávajících služeb. Podrobnosti:</w:t>
      </w:r>
    </w:p>
    <w:p w14:paraId="1C31A32A" w14:textId="77777777" w:rsidR="00710B4A" w:rsidRPr="005C4E62" w:rsidRDefault="00710B4A" w:rsidP="00710B4A">
      <w:pPr>
        <w:pStyle w:val="Text2"/>
        <w:tabs>
          <w:tab w:val="clear" w:pos="2161"/>
          <w:tab w:val="left" w:leader="dot" w:pos="9072"/>
        </w:tabs>
        <w:spacing w:before="120" w:after="120"/>
        <w:ind w:left="709"/>
      </w:pPr>
      <w:r>
        <w:tab/>
      </w:r>
    </w:p>
    <w:p w14:paraId="374D4D30" w14:textId="77777777" w:rsidR="009A1814" w:rsidRPr="005C4E62" w:rsidRDefault="009A1814" w:rsidP="009A1814">
      <w:pPr>
        <w:pStyle w:val="NumPar2"/>
        <w:numPr>
          <w:ilvl w:val="1"/>
          <w:numId w:val="41"/>
        </w:numPr>
        <w:ind w:left="709" w:hanging="709"/>
      </w:pPr>
      <w:r>
        <w:t>Uveďte způsobilé náklady, na které se opatření podpory vztahuje</w:t>
      </w:r>
      <w:r w:rsidR="00F47AC0" w:rsidRPr="005C4E62">
        <w:rPr>
          <w:rStyle w:val="FootnoteReference"/>
        </w:rPr>
        <w:footnoteReference w:id="18"/>
      </w:r>
      <w:r>
        <w:t>.</w:t>
      </w:r>
    </w:p>
    <w:p w14:paraId="2B96F67E" w14:textId="77777777" w:rsidR="00E0556B" w:rsidRPr="005C4E62" w:rsidRDefault="00E0556B" w:rsidP="00450B69">
      <w:pPr>
        <w:pStyle w:val="Text2"/>
        <w:tabs>
          <w:tab w:val="clear" w:pos="2161"/>
          <w:tab w:val="left" w:leader="dot" w:pos="9072"/>
        </w:tabs>
        <w:spacing w:before="120" w:after="120"/>
        <w:ind w:left="709"/>
      </w:pPr>
      <w:r>
        <w:tab/>
      </w:r>
    </w:p>
    <w:p w14:paraId="597B0142" w14:textId="77777777" w:rsidR="009A1814" w:rsidRPr="005C4E62" w:rsidRDefault="009A1814" w:rsidP="009A1814">
      <w:pPr>
        <w:pStyle w:val="NumPar2"/>
        <w:numPr>
          <w:ilvl w:val="1"/>
          <w:numId w:val="41"/>
        </w:numPr>
        <w:ind w:left="709" w:hanging="709"/>
      </w:pPr>
      <w:r>
        <w:t>Uveďte formu a částku poukázek a upřesněte, jak byla tato částka stanovena, a procento nákladů na služby, na které se poukázka vztahuje</w:t>
      </w:r>
      <w:r w:rsidR="00F47AC0" w:rsidRPr="005C4E62">
        <w:rPr>
          <w:rStyle w:val="FootnoteReference"/>
        </w:rPr>
        <w:footnoteReference w:id="19"/>
      </w:r>
      <w:r>
        <w:t xml:space="preserve">. </w:t>
      </w:r>
    </w:p>
    <w:p w14:paraId="5EEC37BD" w14:textId="77777777" w:rsidR="009A1814" w:rsidRPr="005C4E62" w:rsidRDefault="009A1814" w:rsidP="009A1814">
      <w:pPr>
        <w:pStyle w:val="Text2"/>
        <w:tabs>
          <w:tab w:val="clear" w:pos="2161"/>
          <w:tab w:val="left" w:leader="dot" w:pos="9072"/>
        </w:tabs>
        <w:spacing w:before="120" w:after="120"/>
        <w:ind w:left="709"/>
      </w:pPr>
      <w:r>
        <w:lastRenderedPageBreak/>
        <w:tab/>
      </w:r>
    </w:p>
    <w:p w14:paraId="272323AE" w14:textId="77777777" w:rsidR="009A1814" w:rsidRPr="005C4E62" w:rsidRDefault="009A1814" w:rsidP="009A1814">
      <w:pPr>
        <w:pStyle w:val="NumPar2"/>
        <w:numPr>
          <w:ilvl w:val="1"/>
          <w:numId w:val="41"/>
        </w:numPr>
        <w:ind w:left="709" w:hanging="709"/>
        <w:rPr>
          <w:iCs/>
        </w:rPr>
      </w:pPr>
      <w:r>
        <w:t>Vysvětlete, zda a jak je opatření podpory v souladu se zásadou technologické neutrality</w:t>
      </w:r>
      <w:r w:rsidR="00F47AC0" w:rsidRPr="005C4E62">
        <w:rPr>
          <w:rStyle w:val="FootnoteReference"/>
          <w:iCs/>
        </w:rPr>
        <w:footnoteReference w:id="20"/>
      </w:r>
      <w:r>
        <w:t>.</w:t>
      </w:r>
    </w:p>
    <w:p w14:paraId="0A1C91C5" w14:textId="77777777" w:rsidR="009A1814" w:rsidRPr="005C4E62" w:rsidRDefault="009A1814" w:rsidP="009A1814">
      <w:pPr>
        <w:pStyle w:val="Text2"/>
        <w:tabs>
          <w:tab w:val="clear" w:pos="2161"/>
          <w:tab w:val="left" w:leader="dot" w:pos="9072"/>
        </w:tabs>
        <w:spacing w:before="120" w:after="120"/>
        <w:ind w:left="709"/>
      </w:pPr>
      <w:r>
        <w:tab/>
      </w:r>
    </w:p>
    <w:p w14:paraId="0510F7F4" w14:textId="77777777" w:rsidR="009A1814" w:rsidRPr="005C4E62" w:rsidRDefault="009A1814" w:rsidP="009A1814">
      <w:pPr>
        <w:pStyle w:val="NumPar2"/>
        <w:numPr>
          <w:ilvl w:val="1"/>
          <w:numId w:val="41"/>
        </w:numPr>
        <w:ind w:left="709" w:hanging="709"/>
        <w:rPr>
          <w:iCs/>
        </w:rPr>
      </w:pPr>
      <w:r>
        <w:t>Abyste prokázali, že opatření podpory zajišťuje rovné zacházení se všemi možnými poskytovateli služeb a nabízí spotřebitelům co možná nejširší výběr dodavatelů, potvrďte (s uvedením příslušných údajů), že</w:t>
      </w:r>
      <w:r w:rsidR="00F47AC0" w:rsidRPr="005C4E62">
        <w:rPr>
          <w:rStyle w:val="FootnoteReference"/>
        </w:rPr>
        <w:footnoteReference w:id="21"/>
      </w:r>
      <w:r>
        <w:t xml:space="preserve">: </w:t>
      </w:r>
    </w:p>
    <w:p w14:paraId="770506C2" w14:textId="77777777" w:rsidR="009A1814" w:rsidRPr="005C4E62" w:rsidRDefault="009A1814" w:rsidP="004C1C63">
      <w:pPr>
        <w:pStyle w:val="NumPar2"/>
        <w:numPr>
          <w:ilvl w:val="4"/>
          <w:numId w:val="42"/>
        </w:numPr>
        <w:ind w:left="1418" w:hanging="709"/>
      </w:pPr>
      <w:r>
        <w:t>bude zřízen internetový rejstřík všech způsobilých poskytovatelů služeb (nebo rovnocenná alternativní platforma);</w:t>
      </w:r>
    </w:p>
    <w:p w14:paraId="16E12662" w14:textId="77777777" w:rsidR="009A1814" w:rsidRPr="005C4E62" w:rsidRDefault="009A1814" w:rsidP="009A1814">
      <w:pPr>
        <w:pStyle w:val="Text2"/>
        <w:tabs>
          <w:tab w:val="clear" w:pos="2161"/>
          <w:tab w:val="left" w:leader="dot" w:pos="9072"/>
        </w:tabs>
        <w:spacing w:before="120" w:after="120"/>
        <w:ind w:left="709"/>
      </w:pPr>
      <w:r>
        <w:tab/>
      </w:r>
    </w:p>
    <w:p w14:paraId="568A3246" w14:textId="77777777" w:rsidR="009A1814" w:rsidRPr="005C4E62" w:rsidRDefault="009A1814" w:rsidP="004C1C63">
      <w:pPr>
        <w:pStyle w:val="NumPar2"/>
        <w:numPr>
          <w:ilvl w:val="4"/>
          <w:numId w:val="42"/>
        </w:numPr>
        <w:ind w:left="1418" w:hanging="709"/>
      </w:pPr>
      <w:r>
        <w:t xml:space="preserve">spotřebitelé mohou do rejstříku volně nahlížet; </w:t>
      </w:r>
    </w:p>
    <w:p w14:paraId="0EB79BDF" w14:textId="77777777" w:rsidR="009A1814" w:rsidRPr="005C4E62" w:rsidRDefault="009A1814" w:rsidP="009A1814">
      <w:pPr>
        <w:pStyle w:val="Text2"/>
        <w:tabs>
          <w:tab w:val="clear" w:pos="2161"/>
          <w:tab w:val="left" w:leader="dot" w:pos="9072"/>
        </w:tabs>
        <w:spacing w:before="120" w:after="120"/>
        <w:ind w:left="709"/>
      </w:pPr>
      <w:r>
        <w:tab/>
      </w:r>
    </w:p>
    <w:p w14:paraId="34E377D4" w14:textId="77777777" w:rsidR="009A1814" w:rsidRPr="005C4E62" w:rsidRDefault="009A1814" w:rsidP="00D46D21">
      <w:pPr>
        <w:pStyle w:val="NumPar2"/>
        <w:numPr>
          <w:ilvl w:val="4"/>
          <w:numId w:val="42"/>
        </w:numPr>
        <w:ind w:left="1418" w:hanging="709"/>
      </w:pPr>
      <w:r>
        <w:t>o zařazení do rejstříku (nebo do zvolené alternativní platformy) mohou požádat všechny podniky schopné poskytovat způsobilé širokopásmové služby;</w:t>
      </w:r>
    </w:p>
    <w:p w14:paraId="1578D43D" w14:textId="77777777" w:rsidR="009A1814" w:rsidRPr="005C4E62" w:rsidRDefault="009A1814" w:rsidP="009A1814">
      <w:pPr>
        <w:pStyle w:val="Text2"/>
        <w:tabs>
          <w:tab w:val="clear" w:pos="2161"/>
          <w:tab w:val="left" w:leader="dot" w:pos="9072"/>
        </w:tabs>
        <w:spacing w:before="120" w:after="120"/>
        <w:ind w:left="709"/>
      </w:pPr>
      <w:r>
        <w:tab/>
        <w:t xml:space="preserve"> </w:t>
      </w:r>
    </w:p>
    <w:p w14:paraId="5772E1EE" w14:textId="77777777" w:rsidR="009A1814" w:rsidRPr="005C4E62" w:rsidRDefault="009A1814" w:rsidP="004C1C63">
      <w:pPr>
        <w:pStyle w:val="NumPar2"/>
        <w:numPr>
          <w:ilvl w:val="4"/>
          <w:numId w:val="42"/>
        </w:numPr>
        <w:ind w:left="1418" w:hanging="709"/>
      </w:pPr>
      <w:r>
        <w:t>tento rejstřík (nebo zvolená alternativní platforma) poskytuje rovněž dodatečné informace na pomoc spotřebitelům (např. údaje o typu služeb poskytovaných různými podniky atd.). Pokud ano, uveďte dodatečné poskytované informace.</w:t>
      </w:r>
    </w:p>
    <w:p w14:paraId="6D524305" w14:textId="77777777" w:rsidR="009A1814" w:rsidRPr="005C4E62" w:rsidRDefault="009A1814" w:rsidP="009A1814">
      <w:pPr>
        <w:pStyle w:val="Text2"/>
        <w:tabs>
          <w:tab w:val="clear" w:pos="2161"/>
          <w:tab w:val="left" w:leader="dot" w:pos="9072"/>
        </w:tabs>
        <w:spacing w:before="120" w:after="120"/>
        <w:ind w:left="709"/>
      </w:pPr>
      <w:r>
        <w:tab/>
      </w:r>
    </w:p>
    <w:p w14:paraId="07E215AC" w14:textId="77777777" w:rsidR="009A1814" w:rsidRPr="005C4E62" w:rsidRDefault="009A1814" w:rsidP="004C1C63">
      <w:pPr>
        <w:pStyle w:val="NumPar2"/>
        <w:numPr>
          <w:ilvl w:val="1"/>
          <w:numId w:val="41"/>
        </w:numPr>
        <w:ind w:left="709" w:hanging="709"/>
      </w:pPr>
      <w:r>
        <w:t>Vysvětlete podrobně postup provádění opatření podpory.</w:t>
      </w:r>
    </w:p>
    <w:p w14:paraId="07662EE5" w14:textId="77777777" w:rsidR="004D559F" w:rsidRPr="005C4E62" w:rsidRDefault="004D559F" w:rsidP="00450B69">
      <w:pPr>
        <w:pStyle w:val="Text2"/>
        <w:tabs>
          <w:tab w:val="clear" w:pos="2161"/>
          <w:tab w:val="left" w:leader="dot" w:pos="9072"/>
        </w:tabs>
        <w:spacing w:before="120" w:after="120"/>
        <w:ind w:left="709"/>
      </w:pPr>
      <w:r>
        <w:tab/>
      </w:r>
    </w:p>
    <w:p w14:paraId="7621BEA3" w14:textId="77777777" w:rsidR="009A1814" w:rsidRPr="005C4E62" w:rsidRDefault="009A1814" w:rsidP="004C1C63">
      <w:pPr>
        <w:pStyle w:val="NumPar2"/>
        <w:numPr>
          <w:ilvl w:val="1"/>
          <w:numId w:val="41"/>
        </w:numPr>
        <w:ind w:left="709" w:hanging="709"/>
      </w:pPr>
      <w:r>
        <w:t>Veřejné konzultace. Uveďte tyto informace</w:t>
      </w:r>
      <w:r w:rsidR="00E217F7" w:rsidRPr="005C4E62">
        <w:rPr>
          <w:rStyle w:val="FootnoteReference"/>
        </w:rPr>
        <w:footnoteReference w:id="22"/>
      </w:r>
      <w:r>
        <w:t>:</w:t>
      </w:r>
    </w:p>
    <w:p w14:paraId="079B5CF1" w14:textId="77777777" w:rsidR="009A1814" w:rsidRPr="005C4E62" w:rsidRDefault="009A1814" w:rsidP="00B5006F">
      <w:pPr>
        <w:pStyle w:val="Text2"/>
        <w:numPr>
          <w:ilvl w:val="4"/>
          <w:numId w:val="48"/>
        </w:numPr>
        <w:tabs>
          <w:tab w:val="clear" w:pos="2161"/>
        </w:tabs>
        <w:spacing w:after="120"/>
        <w:ind w:left="1418" w:hanging="709"/>
      </w:pPr>
      <w:r>
        <w:t xml:space="preserve">datum zahájení a ukončení každé provedené veřejné konzultace; </w:t>
      </w:r>
    </w:p>
    <w:p w14:paraId="6E49486A" w14:textId="77777777" w:rsidR="009A1814" w:rsidRPr="005C4E62" w:rsidRDefault="009A1814" w:rsidP="009A1814">
      <w:pPr>
        <w:pStyle w:val="Text2"/>
        <w:tabs>
          <w:tab w:val="clear" w:pos="2161"/>
          <w:tab w:val="left" w:leader="dot" w:pos="9072"/>
        </w:tabs>
        <w:spacing w:before="120" w:after="120"/>
        <w:ind w:left="709"/>
      </w:pPr>
      <w:r>
        <w:tab/>
      </w:r>
    </w:p>
    <w:p w14:paraId="0C6BF390" w14:textId="77777777" w:rsidR="009A1814" w:rsidRPr="005C4E62" w:rsidRDefault="009A1814" w:rsidP="00B5006F">
      <w:pPr>
        <w:pStyle w:val="Text2"/>
        <w:numPr>
          <w:ilvl w:val="4"/>
          <w:numId w:val="48"/>
        </w:numPr>
        <w:tabs>
          <w:tab w:val="clear" w:pos="2161"/>
        </w:tabs>
        <w:spacing w:after="120"/>
        <w:ind w:left="1418" w:hanging="709"/>
      </w:pPr>
      <w:r>
        <w:t xml:space="preserve">obsah každé veřejné konzultace; </w:t>
      </w:r>
    </w:p>
    <w:p w14:paraId="246B81E7" w14:textId="77777777" w:rsidR="009A1814" w:rsidRPr="005C4E62" w:rsidRDefault="009A1814" w:rsidP="009A1814">
      <w:pPr>
        <w:pStyle w:val="Text2"/>
        <w:tabs>
          <w:tab w:val="clear" w:pos="2161"/>
          <w:tab w:val="left" w:leader="dot" w:pos="9072"/>
        </w:tabs>
        <w:spacing w:before="120" w:after="120"/>
        <w:ind w:left="709"/>
      </w:pPr>
      <w:r>
        <w:tab/>
      </w:r>
    </w:p>
    <w:p w14:paraId="4B63434C" w14:textId="77777777" w:rsidR="009A1814" w:rsidRPr="005C4E62" w:rsidRDefault="009A1814" w:rsidP="00B5006F">
      <w:pPr>
        <w:pStyle w:val="Text2"/>
        <w:numPr>
          <w:ilvl w:val="4"/>
          <w:numId w:val="48"/>
        </w:numPr>
        <w:tabs>
          <w:tab w:val="clear" w:pos="2161"/>
        </w:tabs>
        <w:spacing w:after="120"/>
        <w:ind w:left="1418" w:hanging="709"/>
      </w:pPr>
      <w:r>
        <w:t>veřejně přístupné internetové stránky (na regionální a/nebo celostátní úrovni), na kterých byla konzultace zveřejněna;</w:t>
      </w:r>
    </w:p>
    <w:p w14:paraId="3A19A648" w14:textId="77777777" w:rsidR="009A1814" w:rsidRPr="005C4E62" w:rsidRDefault="009A1814" w:rsidP="009A1814">
      <w:pPr>
        <w:pStyle w:val="Text2"/>
        <w:tabs>
          <w:tab w:val="clear" w:pos="2161"/>
          <w:tab w:val="left" w:leader="dot" w:pos="9072"/>
        </w:tabs>
        <w:spacing w:before="120" w:after="120"/>
        <w:ind w:left="709"/>
      </w:pPr>
      <w:r>
        <w:tab/>
      </w:r>
    </w:p>
    <w:p w14:paraId="050CF2AC" w14:textId="77777777" w:rsidR="009A1814" w:rsidRPr="005C4E62" w:rsidRDefault="009A1814" w:rsidP="00B5006F">
      <w:pPr>
        <w:pStyle w:val="Text2"/>
        <w:numPr>
          <w:ilvl w:val="4"/>
          <w:numId w:val="48"/>
        </w:numPr>
        <w:tabs>
          <w:tab w:val="clear" w:pos="2161"/>
        </w:tabs>
        <w:spacing w:after="120"/>
        <w:ind w:left="1418" w:hanging="709"/>
      </w:pPr>
      <w:r>
        <w:t>rekapitulaci hlavních připomínek předložených přispěvateli v rámci každé veřejné konzultace s uvedením způsobu jejich řešení.</w:t>
      </w:r>
    </w:p>
    <w:p w14:paraId="5CC67425" w14:textId="77777777" w:rsidR="009A1814" w:rsidRPr="005C4E62" w:rsidRDefault="009A1814" w:rsidP="009A1814">
      <w:pPr>
        <w:pStyle w:val="Text2"/>
        <w:tabs>
          <w:tab w:val="clear" w:pos="2161"/>
          <w:tab w:val="left" w:leader="dot" w:pos="9072"/>
        </w:tabs>
        <w:spacing w:before="120" w:after="120"/>
        <w:ind w:left="709"/>
      </w:pPr>
      <w:r>
        <w:tab/>
      </w:r>
    </w:p>
    <w:p w14:paraId="44628A1B" w14:textId="77777777" w:rsidR="009A1814" w:rsidRPr="005C4E62" w:rsidRDefault="009A1814" w:rsidP="004C1C63">
      <w:pPr>
        <w:pStyle w:val="NumPar2"/>
        <w:numPr>
          <w:ilvl w:val="1"/>
          <w:numId w:val="41"/>
        </w:numPr>
        <w:ind w:left="709" w:hanging="709"/>
      </w:pPr>
      <w:r>
        <w:t>Uveďte, zda budou zavedeny další záruky, které by zabránily možnému zneužití poukázek na konektivitu. Pokud ano, uveďte podrobnosti</w:t>
      </w:r>
      <w:r w:rsidRPr="005C4E62">
        <w:rPr>
          <w:rStyle w:val="FootnoteReference"/>
        </w:rPr>
        <w:footnoteReference w:id="23"/>
      </w:r>
      <w:r>
        <w:t>.</w:t>
      </w:r>
    </w:p>
    <w:p w14:paraId="1358FF69" w14:textId="77777777" w:rsidR="009A1814" w:rsidRPr="005C4E62" w:rsidRDefault="009A1814" w:rsidP="009A1814">
      <w:pPr>
        <w:pStyle w:val="Text2"/>
        <w:tabs>
          <w:tab w:val="clear" w:pos="2161"/>
          <w:tab w:val="left" w:leader="dot" w:pos="9072"/>
        </w:tabs>
        <w:spacing w:before="120" w:after="120"/>
        <w:ind w:left="709"/>
      </w:pPr>
      <w:r>
        <w:tab/>
      </w:r>
    </w:p>
    <w:p w14:paraId="584B0B34" w14:textId="77777777" w:rsidR="009A1814" w:rsidRPr="005C4E62" w:rsidRDefault="009A1814" w:rsidP="004C1C63">
      <w:pPr>
        <w:pStyle w:val="NumPar2"/>
        <w:numPr>
          <w:ilvl w:val="1"/>
          <w:numId w:val="41"/>
        </w:numPr>
        <w:ind w:left="709" w:hanging="709"/>
      </w:pPr>
      <w:r>
        <w:lastRenderedPageBreak/>
        <w:t>Uveďte, zda opatření podpory stanoví zvláštní pravidla týkající se správy účastnictví, mimo jiné s ohledem na předčasné ukončení účastnictví, možnost převodu účastnictví k jinému poskytovateli během období, na které se vztahuje poukaz (pokud ano, za jakých podmínek), pokračování účastnictví po skončení platnosti poukazu. Pokud ano, uveďte podrobnosti.</w:t>
      </w:r>
    </w:p>
    <w:p w14:paraId="51F99C3C" w14:textId="77777777" w:rsidR="009A1814" w:rsidRPr="005C4E62" w:rsidRDefault="009A1814" w:rsidP="009A1814">
      <w:pPr>
        <w:pStyle w:val="Text2"/>
        <w:tabs>
          <w:tab w:val="clear" w:pos="2161"/>
          <w:tab w:val="left" w:leader="dot" w:pos="9072"/>
        </w:tabs>
        <w:spacing w:before="120" w:after="120"/>
        <w:ind w:left="709"/>
      </w:pPr>
      <w:r>
        <w:tab/>
      </w:r>
    </w:p>
    <w:p w14:paraId="6FEB9B89" w14:textId="77777777" w:rsidR="00807BE5" w:rsidRPr="005C4E62" w:rsidRDefault="004C1C63" w:rsidP="00F47AC0">
      <w:pPr>
        <w:pStyle w:val="NumPar2"/>
        <w:numPr>
          <w:ilvl w:val="1"/>
          <w:numId w:val="41"/>
        </w:numPr>
        <w:ind w:left="709" w:hanging="709"/>
      </w:pPr>
      <w:r>
        <w:t>Uveďte hospodářské činnosti, které budou opatřením podpory usnadněny, a to prostřednictvím zvýšení konektivity a přístupu k výkonným širokopásmovým službám, a vysvětlete, jak je rozvoj těchto činností podporován</w:t>
      </w:r>
      <w:r w:rsidR="00807BE5" w:rsidRPr="005C4E62">
        <w:rPr>
          <w:rStyle w:val="FootnoteReference"/>
        </w:rPr>
        <w:footnoteReference w:id="24"/>
      </w:r>
      <w:r>
        <w:t>.</w:t>
      </w:r>
    </w:p>
    <w:p w14:paraId="3CBACCA2" w14:textId="77777777" w:rsidR="00807BE5" w:rsidRPr="005C4E62" w:rsidRDefault="00807BE5" w:rsidP="00807BE5">
      <w:pPr>
        <w:pStyle w:val="Text2"/>
        <w:tabs>
          <w:tab w:val="clear" w:pos="2161"/>
          <w:tab w:val="left" w:leader="dot" w:pos="9072"/>
        </w:tabs>
        <w:spacing w:before="120" w:after="120"/>
        <w:ind w:left="709"/>
      </w:pPr>
      <w:r>
        <w:tab/>
      </w:r>
    </w:p>
    <w:p w14:paraId="6549320C" w14:textId="77777777" w:rsidR="00D46D21" w:rsidRPr="005C4E62" w:rsidRDefault="00F47AC0" w:rsidP="00D46D21">
      <w:pPr>
        <w:pStyle w:val="NumPar2"/>
        <w:numPr>
          <w:ilvl w:val="1"/>
          <w:numId w:val="41"/>
        </w:numPr>
        <w:ind w:left="709" w:hanging="709"/>
      </w:pPr>
      <w:r>
        <w:t>Uveďte důkazy o motivačním účinku opatření podpory</w:t>
      </w:r>
      <w:r w:rsidRPr="005C4E62">
        <w:rPr>
          <w:rStyle w:val="FootnoteReference"/>
        </w:rPr>
        <w:footnoteReference w:id="25"/>
      </w:r>
      <w:r>
        <w:t>.</w:t>
      </w:r>
    </w:p>
    <w:p w14:paraId="4411F656" w14:textId="77777777" w:rsidR="00D46D21" w:rsidRPr="005C4E62" w:rsidRDefault="00D46D21" w:rsidP="00D46D21">
      <w:pPr>
        <w:pStyle w:val="Text2"/>
        <w:tabs>
          <w:tab w:val="clear" w:pos="2161"/>
          <w:tab w:val="left" w:leader="dot" w:pos="9072"/>
        </w:tabs>
        <w:spacing w:before="120" w:after="120"/>
        <w:ind w:left="709"/>
      </w:pPr>
      <w:r>
        <w:tab/>
      </w:r>
    </w:p>
    <w:p w14:paraId="00242460" w14:textId="77777777" w:rsidR="00F47AC0" w:rsidRPr="005C4E62" w:rsidRDefault="00F47AC0" w:rsidP="00F47AC0">
      <w:pPr>
        <w:pStyle w:val="NumPar2"/>
        <w:numPr>
          <w:ilvl w:val="1"/>
          <w:numId w:val="41"/>
        </w:numPr>
        <w:ind w:left="709" w:hanging="709"/>
      </w:pPr>
      <w:r>
        <w:t>Potvrďte, že opatření podpory, podmínky, které jsou s ním spojeny (včetně způsobu financování, pokud je tento způsob nedílnou součástí podpory), nebo činnost, kterou tato podpora financuje, neznamenají porušení některého ustanovení nebo obecných zásad práva Unie.</w:t>
      </w:r>
    </w:p>
    <w:p w14:paraId="05943645"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ne. V tomto případě uveďte vysvětlení...............</w:t>
      </w:r>
    </w:p>
    <w:p w14:paraId="21F29BCF" w14:textId="77777777" w:rsidR="00C9528F" w:rsidRPr="005C4E62" w:rsidRDefault="00C9528F" w:rsidP="00F47AC0">
      <w:pPr>
        <w:pStyle w:val="NumPar2"/>
        <w:numPr>
          <w:ilvl w:val="1"/>
          <w:numId w:val="41"/>
        </w:numPr>
        <w:ind w:left="709" w:hanging="709"/>
      </w:pPr>
      <w:r>
        <w:t>Vysvětlete, proč nelze cíle (cílů) opatření podpory dosáhnout pomocí opatření alternativních ke státní podpoře (např. správní a regulační opatření, tržní nástroje, půjčky, daňová opatření)</w:t>
      </w:r>
      <w:r w:rsidR="006C4335" w:rsidRPr="005C4E62">
        <w:rPr>
          <w:rStyle w:val="FootnoteReference"/>
        </w:rPr>
        <w:footnoteReference w:id="26"/>
      </w:r>
      <w:r>
        <w:t>.</w:t>
      </w:r>
    </w:p>
    <w:p w14:paraId="73501286" w14:textId="77777777" w:rsidR="003759A4" w:rsidRPr="005C4E62" w:rsidRDefault="00C9528F" w:rsidP="00C9528F">
      <w:pPr>
        <w:pStyle w:val="Text2"/>
        <w:tabs>
          <w:tab w:val="clear" w:pos="2161"/>
          <w:tab w:val="left" w:leader="dot" w:pos="9072"/>
        </w:tabs>
        <w:spacing w:before="120" w:after="120"/>
        <w:ind w:left="709"/>
      </w:pPr>
      <w:r>
        <w:tab/>
      </w:r>
    </w:p>
    <w:p w14:paraId="61E38CC9" w14:textId="77777777" w:rsidR="00E217F7" w:rsidRPr="005C4E62" w:rsidRDefault="00E217F7" w:rsidP="00E217F7">
      <w:pPr>
        <w:pStyle w:val="NumPar2"/>
        <w:numPr>
          <w:ilvl w:val="1"/>
          <w:numId w:val="41"/>
        </w:numPr>
        <w:ind w:left="709" w:hanging="709"/>
        <w:rPr>
          <w:iCs/>
        </w:rPr>
      </w:pPr>
      <w:r>
        <w:t>Předložte posouzení trhu obsahující: i) posouzení rizika, že opatření podpory poskytuje některým poskytovatelům nepřiměřenou výhodu – na maloobchodní a/nebo velkoobchodní úrovni – na úkor jiných poskytovatelů a potenciálně posiluje (místní) dominantní postavení; ii) posouzení skutečné potřeby zavést poukázky na konektivitu, a to srovnáním situace v cílové oblasti či oblastech se situací v jiných oblastech členského státu nebo Unie; iii) analýzu trendů v užívání způsobilých služeb koncovými uživateli</w:t>
      </w:r>
      <w:r w:rsidRPr="005C4E62">
        <w:rPr>
          <w:rStyle w:val="FootnoteReference"/>
          <w:iCs/>
        </w:rPr>
        <w:footnoteReference w:id="27"/>
      </w:r>
      <w:r>
        <w:t>.</w:t>
      </w:r>
    </w:p>
    <w:p w14:paraId="719CE50A" w14:textId="77777777" w:rsidR="00E217F7" w:rsidRPr="005C4E62" w:rsidRDefault="00E217F7" w:rsidP="00E217F7">
      <w:pPr>
        <w:pStyle w:val="Text2"/>
        <w:tabs>
          <w:tab w:val="clear" w:pos="2161"/>
          <w:tab w:val="left" w:leader="dot" w:pos="9072"/>
        </w:tabs>
        <w:spacing w:before="120" w:after="120"/>
        <w:ind w:left="709"/>
      </w:pPr>
      <w:r>
        <w:tab/>
      </w:r>
    </w:p>
    <w:p w14:paraId="2B0BB1A9" w14:textId="77777777" w:rsidR="004D559F" w:rsidRPr="005C4E62" w:rsidRDefault="004D559F" w:rsidP="004D559F">
      <w:pPr>
        <w:pStyle w:val="NumPar2"/>
        <w:numPr>
          <w:ilvl w:val="1"/>
          <w:numId w:val="41"/>
        </w:numPr>
        <w:ind w:left="709" w:hanging="709"/>
      </w:pPr>
      <w:r>
        <w:t>Uveďte, zda je některý ze způsobilých poskytovatelů širokopásmových služeb vertikálně integrován a má podíl na maloobchodním trhu vyšší než 25 %.</w:t>
      </w:r>
    </w:p>
    <w:p w14:paraId="7AAB7223" w14:textId="294C3461"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 xml:space="preserve">ne </w:t>
      </w:r>
    </w:p>
    <w:p w14:paraId="1E46AF70" w14:textId="77777777" w:rsidR="004D559F" w:rsidRPr="005C4E62" w:rsidRDefault="004D559F" w:rsidP="004D559F">
      <w:pPr>
        <w:pStyle w:val="NumPar2"/>
        <w:numPr>
          <w:ilvl w:val="1"/>
          <w:numId w:val="41"/>
        </w:numPr>
        <w:ind w:left="709" w:hanging="709"/>
      </w:pPr>
      <w:r>
        <w:t>V případě kladné odpovědi na předchozí otázku potvrďte, že každý vertikálně integrovaný poskytovatel širokopásmových služeb, který má podíl na maloobchodním trhu vyšší než 25 %, bude na příslušném velkoobchodním trhu s přístupem nabízet produkty velkoobchodního přístupu, na základě kterých bude moci jakýkoli žadatel o přístup spolehlivě poskytovat způsobilé služby za otevřených, transparentních a nediskriminačních podmínek.</w:t>
      </w:r>
    </w:p>
    <w:p w14:paraId="18C525F2" w14:textId="6B823DEF"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 xml:space="preserve">ne </w:t>
      </w:r>
    </w:p>
    <w:p w14:paraId="5E4D689D" w14:textId="77777777" w:rsidR="00E217F7" w:rsidRPr="005C4E62" w:rsidRDefault="00E217F7" w:rsidP="004D559F">
      <w:pPr>
        <w:pStyle w:val="NumPar2"/>
        <w:numPr>
          <w:ilvl w:val="1"/>
          <w:numId w:val="41"/>
        </w:numPr>
        <w:ind w:left="709" w:hanging="709"/>
      </w:pPr>
      <w:r>
        <w:lastRenderedPageBreak/>
        <w:t>Uveďte dobu trvání opatření podpory a dobu platnosti poukázek pro jednotlivé konečné uživatele</w:t>
      </w:r>
      <w:r w:rsidRPr="005C4E62">
        <w:rPr>
          <w:vertAlign w:val="superscript"/>
        </w:rPr>
        <w:footnoteReference w:id="28"/>
      </w:r>
      <w:r>
        <w:t>.</w:t>
      </w:r>
    </w:p>
    <w:p w14:paraId="5AB3359C" w14:textId="77777777" w:rsidR="00E217F7" w:rsidRPr="005C4E62" w:rsidRDefault="00E217F7" w:rsidP="004D559F">
      <w:pPr>
        <w:pStyle w:val="Text2"/>
        <w:tabs>
          <w:tab w:val="clear" w:pos="2161"/>
          <w:tab w:val="left" w:leader="dot" w:pos="9072"/>
        </w:tabs>
        <w:spacing w:before="120" w:after="120"/>
        <w:ind w:left="709"/>
      </w:pPr>
      <w:r>
        <w:tab/>
      </w:r>
    </w:p>
    <w:p w14:paraId="281C9510" w14:textId="77777777" w:rsidR="00AA0B7A" w:rsidRPr="005C4E62" w:rsidRDefault="00AA0B7A" w:rsidP="00AA0B7A">
      <w:pPr>
        <w:pStyle w:val="NumPar2"/>
        <w:numPr>
          <w:ilvl w:val="1"/>
          <w:numId w:val="41"/>
        </w:numPr>
        <w:ind w:left="709" w:hanging="709"/>
      </w:pPr>
      <w:r>
        <w:t>Objasněte potenciální negativní účinky opatření podpory na hospodářskou soutěž a obchod a uveďte, které prvky návrhu opatření by mohly tato rizika snížit na minimum.</w:t>
      </w:r>
    </w:p>
    <w:p w14:paraId="6B8F5629"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34D9D274" w14:textId="77777777" w:rsidTr="00E27219">
        <w:tc>
          <w:tcPr>
            <w:tcW w:w="9356" w:type="dxa"/>
            <w:shd w:val="clear" w:color="auto" w:fill="D9D9D9"/>
          </w:tcPr>
          <w:p w14:paraId="74E94A71"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Další informace (vztahující se na sociální poukázky i poukázky na konektivitu)</w:t>
            </w:r>
          </w:p>
        </w:tc>
      </w:tr>
    </w:tbl>
    <w:p w14:paraId="236B7A4B" w14:textId="77777777" w:rsidR="00A15706" w:rsidRPr="005C4E62" w:rsidRDefault="00215029" w:rsidP="001B5649">
      <w:pPr>
        <w:pStyle w:val="NumPar2"/>
        <w:numPr>
          <w:ilvl w:val="1"/>
          <w:numId w:val="44"/>
        </w:numPr>
        <w:ind w:left="709" w:hanging="709"/>
      </w:pPr>
      <w:r>
        <w:t>Vysvětlete, jakou úlohu hraje při navrhování, provádění a sledování opatření podpory národní regulační orgán.</w:t>
      </w:r>
    </w:p>
    <w:p w14:paraId="6D3F5407" w14:textId="77777777" w:rsidR="00E217F7" w:rsidRPr="005C4E62" w:rsidRDefault="00E217F7" w:rsidP="00E217F7">
      <w:pPr>
        <w:pStyle w:val="Text2"/>
        <w:tabs>
          <w:tab w:val="clear" w:pos="2161"/>
          <w:tab w:val="left" w:leader="dot" w:pos="9072"/>
        </w:tabs>
        <w:spacing w:before="120" w:after="120"/>
        <w:ind w:left="709"/>
      </w:pPr>
      <w:r>
        <w:tab/>
      </w:r>
    </w:p>
    <w:p w14:paraId="31878701" w14:textId="77777777" w:rsidR="00A15706" w:rsidRPr="005C4E62" w:rsidRDefault="00A15706" w:rsidP="00AA0B7A">
      <w:pPr>
        <w:pStyle w:val="NumPar2"/>
        <w:numPr>
          <w:ilvl w:val="1"/>
          <w:numId w:val="44"/>
        </w:numPr>
        <w:ind w:left="709" w:hanging="709"/>
      </w:pPr>
      <w:r>
        <w:t>Uveďte stanovisko národního regulačního orgánu k opatření podpory (je-li k dispozici).</w:t>
      </w:r>
    </w:p>
    <w:p w14:paraId="375311F2" w14:textId="77777777" w:rsidR="00A15706" w:rsidRPr="005C4E62" w:rsidRDefault="00A15706" w:rsidP="00A15706">
      <w:pPr>
        <w:pStyle w:val="Text2"/>
        <w:tabs>
          <w:tab w:val="clear" w:pos="2161"/>
          <w:tab w:val="left" w:leader="dot" w:pos="9072"/>
        </w:tabs>
        <w:spacing w:before="120" w:after="120"/>
        <w:ind w:left="709"/>
      </w:pPr>
      <w:r>
        <w:tab/>
      </w:r>
    </w:p>
    <w:p w14:paraId="08E44FED" w14:textId="77777777" w:rsidR="00A15706" w:rsidRPr="005C4E62" w:rsidRDefault="00A15706" w:rsidP="00AA0B7A">
      <w:pPr>
        <w:pStyle w:val="NumPar2"/>
        <w:numPr>
          <w:ilvl w:val="1"/>
          <w:numId w:val="44"/>
        </w:numPr>
        <w:ind w:left="709" w:hanging="709"/>
      </w:pPr>
      <w:r>
        <w:t>Uveďte stanovisko vnitrostátního orgánu pro hospodářskou soutěž k opatření podpory (je-li k dispozici).</w:t>
      </w:r>
    </w:p>
    <w:p w14:paraId="39DAF6DD" w14:textId="77777777" w:rsidR="00A15706" w:rsidRPr="005C4E62" w:rsidRDefault="009D198A" w:rsidP="00E217F7">
      <w:pPr>
        <w:pStyle w:val="Text2"/>
        <w:tabs>
          <w:tab w:val="clear" w:pos="2161"/>
          <w:tab w:val="left" w:leader="dot" w:pos="9072"/>
        </w:tabs>
        <w:spacing w:before="120" w:after="120"/>
        <w:ind w:left="709"/>
      </w:pPr>
      <w:r>
        <w:tab/>
      </w:r>
    </w:p>
    <w:p w14:paraId="203D45DE" w14:textId="77777777" w:rsidR="00DE2831" w:rsidRPr="005C4E62" w:rsidRDefault="00DE2831" w:rsidP="00AA0B7A">
      <w:pPr>
        <w:pStyle w:val="NumPar2"/>
        <w:numPr>
          <w:ilvl w:val="1"/>
          <w:numId w:val="44"/>
        </w:numPr>
        <w:ind w:left="709" w:hanging="709"/>
      </w:pPr>
      <w:r>
        <w:t xml:space="preserve">Transparentnost. </w:t>
      </w:r>
    </w:p>
    <w:p w14:paraId="69AE175C" w14:textId="77777777" w:rsidR="00153D1B" w:rsidRPr="005C4E62" w:rsidRDefault="00A72D4E" w:rsidP="00E27219">
      <w:pPr>
        <w:pStyle w:val="NumPar2"/>
        <w:numPr>
          <w:ilvl w:val="0"/>
          <w:numId w:val="33"/>
        </w:numPr>
        <w:ind w:left="1418" w:hanging="709"/>
      </w:pPr>
      <w:r>
        <w:t>Potvrďte, že členský stát zveřejní i) úplné znění rozhodnutí o schválení opatření podpory a jeho prováděcí ustanovení (nebo odkaz na ně) a ii) informace o každé jednotlivé udělené podpoře přesahující 100 000 EUR v souladu s přílohou II</w:t>
      </w:r>
      <w:r w:rsidR="00DE2831" w:rsidRPr="005C4E62">
        <w:rPr>
          <w:rStyle w:val="FootnoteReference"/>
          <w:iCs/>
        </w:rPr>
        <w:footnoteReference w:id="29"/>
      </w:r>
      <w:r>
        <w:t xml:space="preserve"> (do šesti měsíců od data poskytnutí podpory, nebo v případě podpory v podobě daňových zvýhodnění do jednoho roku od lhůty k podání daňového přiznání)</w:t>
      </w:r>
      <w:r w:rsidR="00DE2831" w:rsidRPr="005C4E62">
        <w:rPr>
          <w:rStyle w:val="FootnoteReference"/>
          <w:iCs/>
        </w:rPr>
        <w:footnoteReference w:id="30"/>
      </w:r>
    </w:p>
    <w:p w14:paraId="56C309B9"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v modulu Komise pro transparentní přidělování státní podpory</w:t>
      </w:r>
      <w:r w:rsidRPr="005C4E62">
        <w:rPr>
          <w:rStyle w:val="FootnoteReference"/>
        </w:rPr>
        <w:footnoteReference w:id="31"/>
      </w:r>
      <w:r>
        <w:t>,</w:t>
      </w:r>
    </w:p>
    <w:p w14:paraId="1358EE3A"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na souhrnné internetové stránce o státní podpoře (s uvedením příslušné internetové adresy). V tomto případě uveďte, zda se jedná o vnitrostátní nebo regionální internetovou stránku</w:t>
      </w:r>
      <w:r w:rsidRPr="005C4E62">
        <w:rPr>
          <w:rStyle w:val="FootnoteReference"/>
        </w:rPr>
        <w:footnoteReference w:id="32"/>
      </w:r>
      <w:r>
        <w:t xml:space="preserve"> a zda jsou informace uvedené na internetové stránce podpory snadno přístupné (tj. široká veřejnost musí mít k takovým internetovým stránkám přístup bez jakýchkoli omezení)</w:t>
      </w:r>
      <w:r w:rsidR="00DE2831" w:rsidRPr="005C4E62">
        <w:rPr>
          <w:rStyle w:val="FootnoteReference"/>
        </w:rPr>
        <w:footnoteReference w:id="33"/>
      </w:r>
      <w:r>
        <w:t>.</w:t>
      </w:r>
    </w:p>
    <w:p w14:paraId="55B7EFC0" w14:textId="77777777" w:rsidR="008B2C0A" w:rsidRPr="005C4E62" w:rsidRDefault="008B2C0A" w:rsidP="00D46D21">
      <w:pPr>
        <w:pStyle w:val="Text2"/>
        <w:tabs>
          <w:tab w:val="clear" w:pos="2161"/>
          <w:tab w:val="left" w:leader="dot" w:pos="9072"/>
        </w:tabs>
        <w:spacing w:before="120" w:after="120"/>
        <w:ind w:left="709"/>
      </w:pPr>
      <w:r>
        <w:tab/>
      </w:r>
    </w:p>
    <w:p w14:paraId="0C7579EF" w14:textId="77777777" w:rsidR="00DE2831" w:rsidRPr="005C4E62" w:rsidRDefault="00DE2831" w:rsidP="00E27219">
      <w:pPr>
        <w:pStyle w:val="NumPar2"/>
        <w:numPr>
          <w:ilvl w:val="0"/>
          <w:numId w:val="33"/>
        </w:numPr>
        <w:ind w:left="1418" w:hanging="709"/>
      </w:pPr>
      <w:r>
        <w:t>Potvrďte, že informace uvedené v bodě 4.4 budou k dispozici po dobu nejméně deseti let ode dne, kdy byla podpora poskytnuta, budou zveřejněny v nechráněném tabulkovém formátu, který umožňuje efektivně vyhledávat, extrahovat a stahovat údaje a snadno je uveřejňovat na internetu (například ve formátu CSV nebo XML).</w:t>
      </w:r>
    </w:p>
    <w:p w14:paraId="11D38FDB" w14:textId="77777777" w:rsidR="00DE2831" w:rsidRPr="005C4E62" w:rsidRDefault="008B2C0A" w:rsidP="008B2C0A">
      <w:pPr>
        <w:pStyle w:val="Text2"/>
        <w:tabs>
          <w:tab w:val="clear" w:pos="2161"/>
        </w:tabs>
        <w:spacing w:before="120" w:after="120"/>
        <w:ind w:left="1407" w:firstLine="11"/>
      </w:pPr>
      <w:r w:rsidRPr="005C4E62">
        <w:lastRenderedPageBreak/>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ne</w:t>
      </w:r>
    </w:p>
    <w:p w14:paraId="7C4289B7" w14:textId="77777777" w:rsidR="00DE2831" w:rsidRPr="005C4E62" w:rsidRDefault="00DE2831" w:rsidP="00E27219">
      <w:pPr>
        <w:pStyle w:val="NumPar2"/>
        <w:numPr>
          <w:ilvl w:val="0"/>
          <w:numId w:val="33"/>
        </w:numPr>
        <w:ind w:left="1418" w:hanging="709"/>
      </w:pPr>
      <w:r>
        <w:t>Potvrďte, že v případě protiprávní podpory, která však byla následně shledána slučitelnou, musí být příslušné informace zveřejněny na internetové stránce věnované státní podpoře (s uvedením příslušné internetové adresy) do šesti měsíců ode dne rozhodnutí Komise, kterým se podpora prohlašuje za slučitelnou</w:t>
      </w:r>
      <w:r w:rsidRPr="005C4E62">
        <w:rPr>
          <w:rStyle w:val="FootnoteReference"/>
        </w:rPr>
        <w:footnoteReference w:id="34"/>
      </w:r>
      <w:r>
        <w:t>.</w:t>
      </w:r>
    </w:p>
    <w:p w14:paraId="1FAA246C"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ne</w:t>
      </w:r>
    </w:p>
    <w:p w14:paraId="5D440F49" w14:textId="77777777" w:rsidR="004879A7" w:rsidRPr="005C4E62" w:rsidRDefault="004879A7" w:rsidP="00D46D21">
      <w:pPr>
        <w:pStyle w:val="NumPar2"/>
        <w:numPr>
          <w:ilvl w:val="1"/>
          <w:numId w:val="44"/>
        </w:numPr>
        <w:ind w:left="709" w:hanging="709"/>
      </w:pPr>
      <w:r>
        <w:t>Podávání zpráv. Potvrďte, že vaše orgány budou předkládat Komisi i) výroční zprávy o každém opatření podpory schváleném podle pokynů pro širokopásmové sítě a ii) každé dva roky zprávu obsahující klíčové informace o opatření podpory schváleném podle pokynů pro širokopásmové sítě v souladu s přílohou III týchž pokynů pro širokopásmové sítě</w:t>
      </w:r>
      <w:r w:rsidRPr="005C4E62">
        <w:rPr>
          <w:rStyle w:val="FootnoteReference"/>
        </w:rPr>
        <w:footnoteReference w:id="35"/>
      </w:r>
      <w:r>
        <w:t>.</w:t>
      </w:r>
    </w:p>
    <w:p w14:paraId="170B4B5F" w14:textId="77777777" w:rsidR="004879A7" w:rsidRPr="005C4E62" w:rsidRDefault="004879A7" w:rsidP="004879A7">
      <w:pPr>
        <w:pStyle w:val="Text2"/>
        <w:tabs>
          <w:tab w:val="clear" w:pos="2161"/>
          <w:tab w:val="left" w:leader="dot" w:pos="9072"/>
        </w:tabs>
        <w:spacing w:before="120" w:after="120"/>
        <w:ind w:left="709"/>
      </w:pPr>
      <w:r>
        <w:tab/>
      </w:r>
    </w:p>
    <w:p w14:paraId="27574BE9" w14:textId="77777777" w:rsidR="004879A7" w:rsidRPr="005C4E62" w:rsidRDefault="004879A7" w:rsidP="00AA0B7A">
      <w:pPr>
        <w:pStyle w:val="NumPar2"/>
        <w:numPr>
          <w:ilvl w:val="1"/>
          <w:numId w:val="44"/>
        </w:numPr>
        <w:ind w:left="709" w:hanging="709"/>
      </w:pPr>
      <w:r>
        <w:t>Sledování. Potvrďte, že vaše orgány budou po dobu deseti let ode dne poskytnutí podpory uchovávat podrobné záznamy o všech opatřeních podpory, které budou obsahovat veškeré informace, podle nichž lze určit, zda jsou splněny všechny podmínky slučitelnosti stanovené v pokynech pro širokopásmové sítě, a že se zavazují poskytnout je na vyžádání Komisi</w:t>
      </w:r>
      <w:r w:rsidRPr="005C4E62">
        <w:rPr>
          <w:rStyle w:val="FootnoteReference"/>
        </w:rPr>
        <w:footnoteReference w:id="36"/>
      </w:r>
      <w:r>
        <w:t>.</w:t>
      </w:r>
    </w:p>
    <w:p w14:paraId="5B07FFA9" w14:textId="77777777" w:rsidR="00DE2831" w:rsidRPr="005C4E62" w:rsidRDefault="004879A7" w:rsidP="004879A7">
      <w:pPr>
        <w:pStyle w:val="Text2"/>
        <w:tabs>
          <w:tab w:val="clear" w:pos="2161"/>
          <w:tab w:val="left" w:leader="dot" w:pos="9072"/>
        </w:tabs>
        <w:spacing w:before="120" w:after="120"/>
        <w:ind w:left="709"/>
      </w:pPr>
      <w:r>
        <w:tab/>
      </w:r>
    </w:p>
    <w:p w14:paraId="5CE7E450" w14:textId="77777777" w:rsidR="00C04E88" w:rsidRPr="005C4E62" w:rsidRDefault="00691333" w:rsidP="00AA0B7A">
      <w:pPr>
        <w:pStyle w:val="NumPar2"/>
        <w:numPr>
          <w:ilvl w:val="1"/>
          <w:numId w:val="44"/>
        </w:numPr>
        <w:ind w:left="709" w:hanging="709"/>
        <w:rPr>
          <w:i/>
        </w:rPr>
      </w:pPr>
      <w:r>
        <w:t xml:space="preserve">Uveďte, zda je opatření podpory zvažováno pro plán hodnocení </w:t>
      </w:r>
      <w:r>
        <w:rPr>
          <w:i/>
        </w:rPr>
        <w:t>ex post</w:t>
      </w:r>
      <w:r>
        <w:t xml:space="preserve">. </w:t>
      </w:r>
    </w:p>
    <w:p w14:paraId="472EBCCF"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Ne. Vysvětlete, proč se domníváte, že kritéria pro plán hodnocení </w:t>
      </w:r>
      <w:r>
        <w:rPr>
          <w:i/>
        </w:rPr>
        <w:t>ex post</w:t>
      </w:r>
      <w:r>
        <w:t xml:space="preserve"> nejsou splněna. </w:t>
      </w:r>
    </w:p>
    <w:p w14:paraId="670E32AE" w14:textId="77777777" w:rsidR="00C04E88" w:rsidRPr="005C4E62" w:rsidRDefault="00C04E88" w:rsidP="00C04E88">
      <w:pPr>
        <w:pStyle w:val="Text2"/>
        <w:tabs>
          <w:tab w:val="clear" w:pos="2161"/>
          <w:tab w:val="left" w:leader="dot" w:pos="9072"/>
        </w:tabs>
        <w:spacing w:before="120" w:after="120"/>
        <w:ind w:left="709"/>
      </w:pPr>
      <w:r>
        <w:tab/>
      </w:r>
    </w:p>
    <w:p w14:paraId="26BB231E"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 xml:space="preserve"> Ano. Pokud ano, uveďte, podle jakých kritérií se opatření podpory zvažuje pro hodnocení </w:t>
      </w:r>
      <w:r>
        <w:rPr>
          <w:i/>
        </w:rPr>
        <w:t>ex post</w:t>
      </w:r>
      <w:r>
        <w:t xml:space="preserve">, a uveďte příslušné informace o plánu hodnocení </w:t>
      </w:r>
      <w:r>
        <w:rPr>
          <w:i/>
        </w:rPr>
        <w:t>ex post</w:t>
      </w:r>
      <w:r>
        <w:t xml:space="preserve"> popsaném v oddíle 8 pokynů pro širokopásmové sítě.</w:t>
      </w:r>
    </w:p>
    <w:p w14:paraId="743EEA92" w14:textId="77777777" w:rsidR="007B33E6" w:rsidRPr="005C4E62" w:rsidRDefault="00691333" w:rsidP="007B33E6">
      <w:pPr>
        <w:pStyle w:val="Text2"/>
        <w:tabs>
          <w:tab w:val="clear" w:pos="2161"/>
          <w:tab w:val="left" w:leader="dot" w:pos="9072"/>
        </w:tabs>
        <w:spacing w:before="120" w:after="120"/>
        <w:ind w:left="709"/>
      </w:pPr>
      <w:r>
        <w:tab/>
      </w:r>
    </w:p>
    <w:p w14:paraId="2CB9D77B" w14:textId="77777777" w:rsidR="007B33E6" w:rsidRPr="005C4E62" w:rsidRDefault="007B33E6" w:rsidP="00AA0B7A">
      <w:pPr>
        <w:pStyle w:val="NumPar2"/>
        <w:numPr>
          <w:ilvl w:val="1"/>
          <w:numId w:val="44"/>
        </w:numPr>
        <w:ind w:left="709" w:hanging="709"/>
        <w:rPr>
          <w:b/>
          <w:bCs/>
        </w:rPr>
      </w:pPr>
      <w:r>
        <w:t>Uveďte jakékoli další informace důležité pro posouzení opatření podpory podle pokynů k širokopásmovým sítím či jakékoli jiné informace, které jsou důležité z hlediska pravidel Unie v oblasti hospodářské soutěže a vnitřního trhu.</w:t>
      </w:r>
    </w:p>
    <w:p w14:paraId="708C47A6" w14:textId="77777777" w:rsidR="007D7D41" w:rsidRPr="005C4E62" w:rsidRDefault="002A52F0" w:rsidP="00657CA5">
      <w:pPr>
        <w:tabs>
          <w:tab w:val="left" w:leader="dot" w:pos="9072"/>
        </w:tabs>
        <w:spacing w:before="120" w:after="240"/>
        <w:ind w:left="709"/>
        <w:jc w:val="both"/>
      </w:pPr>
      <w:r>
        <w:tab/>
      </w:r>
      <w:r>
        <w:tab/>
      </w:r>
    </w:p>
    <w:p w14:paraId="50A58D76" w14:textId="77777777" w:rsidR="00C04E88" w:rsidRPr="005C4E62" w:rsidRDefault="00C04E88" w:rsidP="00AA0B7A">
      <w:pPr>
        <w:pStyle w:val="NumPar2"/>
        <w:numPr>
          <w:ilvl w:val="1"/>
          <w:numId w:val="44"/>
        </w:numPr>
        <w:ind w:left="709" w:hanging="709"/>
        <w:rPr>
          <w:iCs/>
          <w:noProof/>
        </w:rPr>
      </w:pPr>
      <w:r>
        <w:t>Uveďte, zda tento doplňkový informační list obsahuje důvěrné informace, které by neměly být sdělovány třetím stranám</w:t>
      </w:r>
      <w:r w:rsidRPr="005C4E62">
        <w:rPr>
          <w:szCs w:val="20"/>
          <w:vertAlign w:val="superscript"/>
          <w:lang w:val="en-IE" w:eastAsia="en-US"/>
        </w:rPr>
        <w:footnoteReference w:id="37"/>
      </w:r>
      <w:r>
        <w:t>.</w:t>
      </w:r>
    </w:p>
    <w:p w14:paraId="7A30BFE8" w14:textId="77777777" w:rsidR="00C04E88" w:rsidRPr="005C4E62" w:rsidRDefault="00C04E88" w:rsidP="00C04E88">
      <w:pPr>
        <w:pStyle w:val="Text2"/>
        <w:tabs>
          <w:tab w:val="clear" w:pos="2161"/>
        </w:tabs>
        <w:ind w:left="709" w:firstLine="11"/>
        <w:rPr>
          <w:szCs w:val="20"/>
        </w:rPr>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873D72">
        <w:rPr>
          <w:b/>
        </w:rPr>
      </w:r>
      <w:r w:rsidR="00873D72">
        <w:rPr>
          <w:b/>
        </w:rPr>
        <w:fldChar w:fldCharType="separate"/>
      </w:r>
      <w:r w:rsidRPr="005C4E62">
        <w:rPr>
          <w:b/>
        </w:rPr>
        <w:fldChar w:fldCharType="end"/>
      </w:r>
      <w:r>
        <w:rPr>
          <w:b/>
        </w:rPr>
        <w:t xml:space="preserve"> </w:t>
      </w:r>
      <w:r>
        <w:t>Ano. Pokud ano, uveďte, o jaké důvěrné informace se jedná, a zdůvodněte, proč jsou důvěrné.</w:t>
      </w:r>
    </w:p>
    <w:p w14:paraId="3B3F1188" w14:textId="77777777" w:rsidR="00C04E88" w:rsidRPr="005C4E62" w:rsidRDefault="00C04E88" w:rsidP="00C04E88">
      <w:pPr>
        <w:pStyle w:val="Text2"/>
        <w:tabs>
          <w:tab w:val="clear" w:pos="2161"/>
        </w:tabs>
        <w:ind w:left="709" w:firstLine="11"/>
      </w:pPr>
      <w:r w:rsidRPr="005C4E62">
        <w:rPr>
          <w:b/>
        </w:rPr>
        <w:lastRenderedPageBreak/>
        <w:fldChar w:fldCharType="begin">
          <w:ffData>
            <w:name w:val="Check1"/>
            <w:enabled/>
            <w:calcOnExit w:val="0"/>
            <w:checkBox>
              <w:sizeAuto/>
              <w:default w:val="0"/>
            </w:checkBox>
          </w:ffData>
        </w:fldChar>
      </w:r>
      <w:r w:rsidRPr="005C4E62">
        <w:rPr>
          <w:b/>
        </w:rPr>
        <w:instrText xml:space="preserve"> FORMCHECKBOX </w:instrText>
      </w:r>
      <w:r w:rsidR="00873D72">
        <w:rPr>
          <w:b/>
        </w:rPr>
      </w:r>
      <w:r w:rsidR="00873D72">
        <w:rPr>
          <w:b/>
        </w:rPr>
        <w:fldChar w:fldCharType="separate"/>
      </w:r>
      <w:r w:rsidRPr="005C4E62">
        <w:rPr>
          <w:b/>
        </w:rPr>
        <w:fldChar w:fldCharType="end"/>
      </w:r>
      <w:r>
        <w:rPr>
          <w:b/>
        </w:rPr>
        <w:t xml:space="preserve"> </w:t>
      </w:r>
      <w:r>
        <w:t>Ne.</w:t>
      </w:r>
    </w:p>
    <w:p w14:paraId="7D9057C2" w14:textId="77777777" w:rsidR="00152F0E" w:rsidRPr="005C4E62" w:rsidRDefault="00152F0E" w:rsidP="00AA0B7A">
      <w:pPr>
        <w:pStyle w:val="NumPar2"/>
        <w:numPr>
          <w:ilvl w:val="1"/>
          <w:numId w:val="44"/>
        </w:numPr>
        <w:ind w:left="709" w:hanging="709"/>
        <w:rPr>
          <w:iCs/>
          <w:noProof/>
        </w:rPr>
      </w:pPr>
      <w:r>
        <w:t>Potvrďte, že na opatření podpory se nevztahuje článek 52c obecného nařízení o blokových výjimkách</w:t>
      </w:r>
      <w:r w:rsidR="00FC09A8" w:rsidRPr="005C4E62">
        <w:rPr>
          <w:rStyle w:val="FootnoteReference"/>
        </w:rPr>
        <w:footnoteReference w:id="38"/>
      </w:r>
      <w:r>
        <w:t xml:space="preserve"> ani nařízení o podpoře </w:t>
      </w:r>
      <w:r>
        <w:rPr>
          <w:i/>
        </w:rPr>
        <w:t>de minimis</w:t>
      </w:r>
      <w:r w:rsidR="00C04E88" w:rsidRPr="005C4E62">
        <w:rPr>
          <w:rStyle w:val="FootnoteReference"/>
        </w:rPr>
        <w:footnoteReference w:id="39"/>
      </w:r>
      <w:r>
        <w:t>.</w:t>
      </w:r>
    </w:p>
    <w:p w14:paraId="2583A703"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873D72">
        <w:fldChar w:fldCharType="separate"/>
      </w:r>
      <w:r w:rsidRPr="005C4E62">
        <w:fldChar w:fldCharType="end"/>
      </w:r>
      <w:r>
        <w:tab/>
        <w:t>ano</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873D72">
        <w:fldChar w:fldCharType="separate"/>
      </w:r>
      <w:r w:rsidR="008B2C0A" w:rsidRPr="005C4E62">
        <w:fldChar w:fldCharType="end"/>
      </w:r>
      <w:r>
        <w:tab/>
        <w:t>ne</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164D" w14:textId="77777777" w:rsidR="00327EA6" w:rsidRDefault="00327EA6" w:rsidP="007B33E6">
      <w:r>
        <w:separator/>
      </w:r>
    </w:p>
  </w:endnote>
  <w:endnote w:type="continuationSeparator" w:id="0">
    <w:p w14:paraId="31B744C5"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E4FF7" w14:textId="77777777" w:rsidR="00327EA6" w:rsidRDefault="00327EA6" w:rsidP="007B33E6">
      <w:r>
        <w:separator/>
      </w:r>
    </w:p>
  </w:footnote>
  <w:footnote w:type="continuationSeparator" w:id="0">
    <w:p w14:paraId="5123DC51" w14:textId="77777777" w:rsidR="00327EA6" w:rsidRDefault="00327EA6" w:rsidP="007B33E6">
      <w:r>
        <w:continuationSeparator/>
      </w:r>
    </w:p>
  </w:footnote>
  <w:footnote w:id="1">
    <w:p w14:paraId="1633747B" w14:textId="77777777" w:rsidR="007B33E6" w:rsidRPr="005C4E62" w:rsidRDefault="007B33E6" w:rsidP="007B33E6">
      <w:pPr>
        <w:pStyle w:val="FootnoteText"/>
        <w:rPr>
          <w:i/>
        </w:rPr>
      </w:pPr>
      <w:r>
        <w:rPr>
          <w:rStyle w:val="FootnoteReference"/>
        </w:rPr>
        <w:footnoteRef/>
      </w:r>
      <w:r>
        <w:tab/>
        <w:t xml:space="preserve">Pokyny ke státní podpoře pro širokopásmové sítě (Úř. věst. </w:t>
      </w:r>
      <w:r>
        <w:rPr>
          <w:color w:val="000000"/>
          <w:sz w:val="19"/>
        </w:rPr>
        <w:t>C 36, 31.1.2023, s. 1)</w:t>
      </w:r>
      <w:r>
        <w:t>.</w:t>
      </w:r>
    </w:p>
  </w:footnote>
  <w:footnote w:id="2">
    <w:p w14:paraId="4F084D34" w14:textId="77777777" w:rsidR="001507A9" w:rsidRPr="005C4E62" w:rsidRDefault="001507A9">
      <w:pPr>
        <w:pStyle w:val="FootnoteText"/>
      </w:pPr>
      <w:r>
        <w:rPr>
          <w:rStyle w:val="FootnoteReference"/>
        </w:rPr>
        <w:footnoteRef/>
      </w:r>
      <w:r>
        <w:t xml:space="preserve"> </w:t>
      </w:r>
      <w:r>
        <w:tab/>
        <w:t>Body 177–179.</w:t>
      </w:r>
    </w:p>
  </w:footnote>
  <w:footnote w:id="3">
    <w:p w14:paraId="0C86986A" w14:textId="77777777" w:rsidR="001507A9" w:rsidRPr="005C4E62" w:rsidRDefault="001507A9">
      <w:pPr>
        <w:pStyle w:val="FootnoteText"/>
      </w:pPr>
      <w:r>
        <w:rPr>
          <w:rStyle w:val="FootnoteReference"/>
        </w:rPr>
        <w:footnoteRef/>
      </w:r>
      <w:r>
        <w:t xml:space="preserve"> </w:t>
      </w:r>
      <w:r>
        <w:tab/>
        <w:t>Bod 181.</w:t>
      </w:r>
    </w:p>
  </w:footnote>
  <w:footnote w:id="4">
    <w:p w14:paraId="2291C9CA" w14:textId="77777777" w:rsidR="001507A9" w:rsidRPr="005C4E62" w:rsidRDefault="001507A9">
      <w:pPr>
        <w:pStyle w:val="FootnoteText"/>
      </w:pPr>
      <w:r>
        <w:rPr>
          <w:rStyle w:val="FootnoteReference"/>
        </w:rPr>
        <w:footnoteRef/>
      </w:r>
      <w:r>
        <w:t xml:space="preserve"> </w:t>
      </w:r>
      <w:r>
        <w:tab/>
        <w:t>Bod 189.</w:t>
      </w:r>
    </w:p>
  </w:footnote>
  <w:footnote w:id="5">
    <w:p w14:paraId="4DF71576" w14:textId="77777777" w:rsidR="006F5901" w:rsidRPr="005C4E62" w:rsidRDefault="006F5901" w:rsidP="006F5901">
      <w:pPr>
        <w:pStyle w:val="FootnoteText"/>
      </w:pPr>
      <w:r>
        <w:rPr>
          <w:rStyle w:val="FootnoteReference"/>
        </w:rPr>
        <w:footnoteRef/>
      </w:r>
      <w:r>
        <w:tab/>
        <w:t xml:space="preserve">Např. rozhodnutí Evropského parlamentu a Rady (EU) 2022/2481 ze dne 14. prosince 2022, kterým se zavádí politický program Digitální dekáda 2030 (Úř. věst. L 323, 19.12.2022, s. 4). </w:t>
      </w:r>
    </w:p>
  </w:footnote>
  <w:footnote w:id="6">
    <w:p w14:paraId="1AFF29DC" w14:textId="77777777" w:rsidR="001507A9" w:rsidRPr="005C4E62" w:rsidRDefault="001507A9" w:rsidP="001507A9">
      <w:pPr>
        <w:pStyle w:val="FootnoteText"/>
      </w:pPr>
      <w:r>
        <w:rPr>
          <w:rStyle w:val="FootnoteReference"/>
        </w:rPr>
        <w:footnoteRef/>
      </w:r>
      <w:r>
        <w:t xml:space="preserve"> </w:t>
      </w:r>
      <w:r>
        <w:tab/>
        <w:t>Bod 175.</w:t>
      </w:r>
    </w:p>
  </w:footnote>
  <w:footnote w:id="7">
    <w:p w14:paraId="49F5962B" w14:textId="77777777" w:rsidR="005A7B71" w:rsidRPr="005C4E62" w:rsidRDefault="005A7B71">
      <w:pPr>
        <w:pStyle w:val="FootnoteText"/>
        <w:rPr>
          <w:i/>
          <w:iCs/>
        </w:rPr>
      </w:pPr>
      <w:r>
        <w:rPr>
          <w:rStyle w:val="FootnoteReference"/>
        </w:rPr>
        <w:footnoteRef/>
      </w:r>
      <w:r>
        <w:t xml:space="preserve"> </w:t>
      </w:r>
      <w:r>
        <w:tab/>
        <w:t>Bod 19 písm. j) a k). Viz rovněž bod 20 poslední věta.</w:t>
      </w:r>
    </w:p>
  </w:footnote>
  <w:footnote w:id="8">
    <w:p w14:paraId="6D8EC0C4" w14:textId="77777777" w:rsidR="007B5294" w:rsidRPr="005C4E62" w:rsidRDefault="007B5294" w:rsidP="007B5294">
      <w:pPr>
        <w:pStyle w:val="FootnoteText"/>
      </w:pPr>
      <w:r>
        <w:rPr>
          <w:rStyle w:val="FootnoteReference"/>
        </w:rPr>
        <w:footnoteRef/>
      </w:r>
      <w:r>
        <w:t xml:space="preserve"> </w:t>
      </w:r>
      <w:r>
        <w:tab/>
        <w:t>Bod 182.</w:t>
      </w:r>
    </w:p>
  </w:footnote>
  <w:footnote w:id="9">
    <w:p w14:paraId="1886148B" w14:textId="77777777" w:rsidR="00710B4A" w:rsidRPr="005C4E62" w:rsidRDefault="00710B4A" w:rsidP="00710B4A">
      <w:pPr>
        <w:pStyle w:val="FootnoteText"/>
      </w:pPr>
      <w:r>
        <w:rPr>
          <w:rStyle w:val="FootnoteReference"/>
        </w:rPr>
        <w:footnoteRef/>
      </w:r>
      <w:r>
        <w:t xml:space="preserve"> </w:t>
      </w:r>
      <w:r>
        <w:tab/>
        <w:t>Bod 184.</w:t>
      </w:r>
    </w:p>
  </w:footnote>
  <w:footnote w:id="10">
    <w:p w14:paraId="6ACEDD5A" w14:textId="77777777" w:rsidR="007B5294" w:rsidRPr="005C4E62" w:rsidRDefault="007B5294" w:rsidP="007B5294">
      <w:pPr>
        <w:pStyle w:val="FootnoteText"/>
      </w:pPr>
      <w:r>
        <w:rPr>
          <w:rStyle w:val="FootnoteReference"/>
        </w:rPr>
        <w:footnoteRef/>
      </w:r>
      <w:r>
        <w:t xml:space="preserve"> </w:t>
      </w:r>
      <w:r>
        <w:tab/>
        <w:t xml:space="preserve">Bod 183. </w:t>
      </w:r>
    </w:p>
  </w:footnote>
  <w:footnote w:id="11">
    <w:p w14:paraId="1D0EC321" w14:textId="77777777" w:rsidR="00E101F1" w:rsidRPr="005C4E62" w:rsidRDefault="00E101F1" w:rsidP="00E101F1">
      <w:pPr>
        <w:pStyle w:val="FootnoteText"/>
      </w:pPr>
      <w:r>
        <w:rPr>
          <w:rStyle w:val="FootnoteReference"/>
        </w:rPr>
        <w:footnoteRef/>
      </w:r>
      <w:r>
        <w:t xml:space="preserve"> </w:t>
      </w:r>
      <w:r>
        <w:tab/>
        <w:t>Bod 185.</w:t>
      </w:r>
    </w:p>
  </w:footnote>
  <w:footnote w:id="12">
    <w:p w14:paraId="5A607F29" w14:textId="77777777" w:rsidR="00E101F1" w:rsidRPr="005C4E62" w:rsidRDefault="00E101F1" w:rsidP="00E101F1">
      <w:pPr>
        <w:pStyle w:val="FootnoteText"/>
      </w:pPr>
      <w:r>
        <w:rPr>
          <w:rStyle w:val="FootnoteReference"/>
        </w:rPr>
        <w:footnoteRef/>
      </w:r>
      <w:r>
        <w:t xml:space="preserve"> </w:t>
      </w:r>
      <w:r>
        <w:tab/>
        <w:t>Bod 185.</w:t>
      </w:r>
    </w:p>
  </w:footnote>
  <w:footnote w:id="13">
    <w:p w14:paraId="42FB2E3F" w14:textId="77777777" w:rsidR="00C90B4D" w:rsidRPr="005C4E62" w:rsidRDefault="00C90B4D" w:rsidP="00C90B4D">
      <w:pPr>
        <w:pStyle w:val="FootnoteText"/>
      </w:pPr>
      <w:r>
        <w:rPr>
          <w:rStyle w:val="FootnoteReference"/>
        </w:rPr>
        <w:footnoteRef/>
      </w:r>
      <w:r>
        <w:t xml:space="preserve"> </w:t>
      </w:r>
      <w:r>
        <w:tab/>
        <w:t>Bod 185.</w:t>
      </w:r>
    </w:p>
  </w:footnote>
  <w:footnote w:id="14">
    <w:p w14:paraId="392A055F" w14:textId="77777777" w:rsidR="00D1408F" w:rsidRPr="005C4E62" w:rsidRDefault="00D1408F">
      <w:pPr>
        <w:pStyle w:val="FootnoteText"/>
      </w:pPr>
      <w:r>
        <w:rPr>
          <w:rStyle w:val="FootnoteReference"/>
        </w:rPr>
        <w:footnoteRef/>
      </w:r>
      <w:r>
        <w:t xml:space="preserve"> </w:t>
      </w:r>
      <w:r>
        <w:tab/>
        <w:t>Bod 186.</w:t>
      </w:r>
    </w:p>
  </w:footnote>
  <w:footnote w:id="15">
    <w:p w14:paraId="1C1CE93A" w14:textId="77777777" w:rsidR="00D1408F" w:rsidRPr="005C4E62" w:rsidRDefault="00D1408F">
      <w:pPr>
        <w:pStyle w:val="FootnoteText"/>
      </w:pPr>
      <w:r>
        <w:rPr>
          <w:rStyle w:val="FootnoteReference"/>
        </w:rPr>
        <w:footnoteRef/>
      </w:r>
      <w:r>
        <w:t xml:space="preserve"> </w:t>
      </w:r>
      <w:r>
        <w:tab/>
        <w:t>Bod 187.</w:t>
      </w:r>
    </w:p>
  </w:footnote>
  <w:footnote w:id="16">
    <w:p w14:paraId="1C2C1623" w14:textId="77777777" w:rsidR="00F47AC0" w:rsidRPr="005C4E62" w:rsidRDefault="00F47AC0">
      <w:pPr>
        <w:pStyle w:val="FootnoteText"/>
      </w:pPr>
      <w:r>
        <w:rPr>
          <w:rStyle w:val="FootnoteReference"/>
        </w:rPr>
        <w:footnoteRef/>
      </w:r>
      <w:r>
        <w:t xml:space="preserve"> </w:t>
      </w:r>
      <w:r>
        <w:tab/>
        <w:t>Bod 194.</w:t>
      </w:r>
    </w:p>
  </w:footnote>
  <w:footnote w:id="17">
    <w:p w14:paraId="6259FBCD" w14:textId="77777777" w:rsidR="00F47AC0" w:rsidRPr="005C4E62" w:rsidRDefault="00F47AC0">
      <w:pPr>
        <w:pStyle w:val="FootnoteText"/>
      </w:pPr>
      <w:r>
        <w:rPr>
          <w:rStyle w:val="FootnoteReference"/>
        </w:rPr>
        <w:footnoteRef/>
      </w:r>
      <w:r>
        <w:t xml:space="preserve"> </w:t>
      </w:r>
      <w:r>
        <w:tab/>
        <w:t>Bod 195.</w:t>
      </w:r>
    </w:p>
  </w:footnote>
  <w:footnote w:id="18">
    <w:p w14:paraId="311DE56E" w14:textId="77777777" w:rsidR="00F47AC0" w:rsidRPr="005C4E62" w:rsidRDefault="00F47AC0">
      <w:pPr>
        <w:pStyle w:val="FootnoteText"/>
      </w:pPr>
      <w:r>
        <w:rPr>
          <w:rStyle w:val="FootnoteReference"/>
        </w:rPr>
        <w:footnoteRef/>
      </w:r>
      <w:r>
        <w:t xml:space="preserve"> </w:t>
      </w:r>
      <w:r>
        <w:tab/>
        <w:t>Bod 193.</w:t>
      </w:r>
    </w:p>
  </w:footnote>
  <w:footnote w:id="19">
    <w:p w14:paraId="62F76D66" w14:textId="77777777" w:rsidR="00F47AC0" w:rsidRPr="005C4E62" w:rsidRDefault="00F47AC0">
      <w:pPr>
        <w:pStyle w:val="FootnoteText"/>
      </w:pPr>
      <w:r>
        <w:rPr>
          <w:rStyle w:val="FootnoteReference"/>
        </w:rPr>
        <w:footnoteRef/>
      </w:r>
      <w:r>
        <w:t xml:space="preserve"> </w:t>
      </w:r>
      <w:r>
        <w:tab/>
        <w:t>Bod 193.</w:t>
      </w:r>
    </w:p>
  </w:footnote>
  <w:footnote w:id="20">
    <w:p w14:paraId="492CC3FC" w14:textId="77777777" w:rsidR="00F47AC0" w:rsidRPr="005C4E62" w:rsidRDefault="00F47AC0">
      <w:pPr>
        <w:pStyle w:val="FootnoteText"/>
      </w:pPr>
      <w:r>
        <w:rPr>
          <w:rStyle w:val="FootnoteReference"/>
        </w:rPr>
        <w:footnoteRef/>
      </w:r>
      <w:r>
        <w:t xml:space="preserve"> </w:t>
      </w:r>
      <w:r>
        <w:tab/>
        <w:t>Bod 196. Viz rovněž bod 194.</w:t>
      </w:r>
    </w:p>
  </w:footnote>
  <w:footnote w:id="21">
    <w:p w14:paraId="556783E5" w14:textId="77777777" w:rsidR="00F47AC0" w:rsidRPr="005C4E62" w:rsidRDefault="00F47AC0">
      <w:pPr>
        <w:pStyle w:val="FootnoteText"/>
      </w:pPr>
      <w:r>
        <w:rPr>
          <w:rStyle w:val="FootnoteReference"/>
        </w:rPr>
        <w:footnoteRef/>
      </w:r>
      <w:r>
        <w:t xml:space="preserve"> </w:t>
      </w:r>
      <w:r>
        <w:tab/>
        <w:t>Bod 196.</w:t>
      </w:r>
    </w:p>
  </w:footnote>
  <w:footnote w:id="22">
    <w:p w14:paraId="7F3BD0DD" w14:textId="77777777" w:rsidR="00E217F7" w:rsidRPr="005C4E62" w:rsidRDefault="00E217F7">
      <w:pPr>
        <w:pStyle w:val="FootnoteText"/>
      </w:pPr>
      <w:r>
        <w:rPr>
          <w:rStyle w:val="FootnoteReference"/>
        </w:rPr>
        <w:footnoteRef/>
      </w:r>
      <w:r>
        <w:t xml:space="preserve"> </w:t>
      </w:r>
      <w:r>
        <w:tab/>
        <w:t>Bod 198.</w:t>
      </w:r>
    </w:p>
  </w:footnote>
  <w:footnote w:id="23">
    <w:p w14:paraId="34C8A4F9" w14:textId="77777777" w:rsidR="009A1814" w:rsidRPr="005C4E62" w:rsidRDefault="009A1814" w:rsidP="009A1814">
      <w:pPr>
        <w:pStyle w:val="FootnoteText"/>
      </w:pPr>
      <w:r>
        <w:rPr>
          <w:rStyle w:val="FootnoteReference"/>
        </w:rPr>
        <w:footnoteRef/>
      </w:r>
      <w:r>
        <w:t xml:space="preserve"> </w:t>
      </w:r>
      <w:r>
        <w:tab/>
        <w:t>Bod 187.</w:t>
      </w:r>
    </w:p>
  </w:footnote>
  <w:footnote w:id="24">
    <w:p w14:paraId="106DB382" w14:textId="77777777" w:rsidR="00807BE5" w:rsidRPr="005C4E62" w:rsidRDefault="00807BE5" w:rsidP="00807BE5">
      <w:pPr>
        <w:pStyle w:val="FootnoteText"/>
      </w:pPr>
      <w:r>
        <w:rPr>
          <w:rStyle w:val="FootnoteReference"/>
        </w:rPr>
        <w:footnoteRef/>
      </w:r>
      <w:r>
        <w:t xml:space="preserve"> </w:t>
      </w:r>
      <w:r>
        <w:tab/>
        <w:t>Bod 191.</w:t>
      </w:r>
    </w:p>
  </w:footnote>
  <w:footnote w:id="25">
    <w:p w14:paraId="5B8C4DE7" w14:textId="77777777" w:rsidR="00F47AC0" w:rsidRPr="005C4E62" w:rsidRDefault="00F47AC0" w:rsidP="00F47AC0">
      <w:pPr>
        <w:pStyle w:val="FootnoteText"/>
      </w:pPr>
      <w:r>
        <w:rPr>
          <w:rStyle w:val="FootnoteReference"/>
        </w:rPr>
        <w:footnoteRef/>
      </w:r>
      <w:r>
        <w:t xml:space="preserve"> </w:t>
      </w:r>
      <w:r>
        <w:tab/>
        <w:t>Bod 192. Definice motivačního účinku viz bod 38.</w:t>
      </w:r>
    </w:p>
  </w:footnote>
  <w:footnote w:id="26">
    <w:p w14:paraId="3095824B" w14:textId="77777777" w:rsidR="006C4335" w:rsidRPr="005C4E62" w:rsidRDefault="006C4335">
      <w:pPr>
        <w:pStyle w:val="FootnoteText"/>
      </w:pPr>
      <w:r>
        <w:rPr>
          <w:rStyle w:val="FootnoteReference"/>
        </w:rPr>
        <w:footnoteRef/>
      </w:r>
      <w:r>
        <w:t xml:space="preserve"> </w:t>
      </w:r>
      <w:r>
        <w:tab/>
        <w:t>Bod 194.</w:t>
      </w:r>
    </w:p>
  </w:footnote>
  <w:footnote w:id="27">
    <w:p w14:paraId="72B435E2" w14:textId="77777777" w:rsidR="00E217F7" w:rsidRPr="005C4E62" w:rsidRDefault="00E217F7">
      <w:pPr>
        <w:pStyle w:val="FootnoteText"/>
      </w:pPr>
      <w:r>
        <w:rPr>
          <w:rStyle w:val="FootnoteReference"/>
        </w:rPr>
        <w:footnoteRef/>
      </w:r>
      <w:r>
        <w:t xml:space="preserve"> </w:t>
      </w:r>
      <w:r>
        <w:tab/>
        <w:t>Bod 197. Viz rovněž bod 195.</w:t>
      </w:r>
    </w:p>
  </w:footnote>
  <w:footnote w:id="28">
    <w:p w14:paraId="0684199D" w14:textId="77777777" w:rsidR="00E217F7" w:rsidRPr="005C4E62" w:rsidRDefault="00E217F7">
      <w:pPr>
        <w:pStyle w:val="FootnoteText"/>
      </w:pPr>
      <w:r>
        <w:rPr>
          <w:rStyle w:val="FootnoteReference"/>
        </w:rPr>
        <w:footnoteRef/>
      </w:r>
      <w:r>
        <w:t xml:space="preserve"> </w:t>
      </w:r>
      <w:r>
        <w:tab/>
        <w:t>Bod 200.</w:t>
      </w:r>
    </w:p>
  </w:footnote>
  <w:footnote w:id="29">
    <w:p w14:paraId="14D74EEA" w14:textId="77777777" w:rsidR="00DE2831" w:rsidRPr="005C4E62" w:rsidRDefault="00DE2831">
      <w:pPr>
        <w:pStyle w:val="FootnoteText"/>
      </w:pPr>
      <w:r>
        <w:rPr>
          <w:rStyle w:val="FootnoteReference"/>
        </w:rPr>
        <w:footnoteRef/>
      </w:r>
      <w:r>
        <w:t xml:space="preserve"> </w:t>
      </w:r>
      <w:r>
        <w:tab/>
        <w:t>Bod 202.</w:t>
      </w:r>
    </w:p>
  </w:footnote>
  <w:footnote w:id="30">
    <w:p w14:paraId="22FB274C" w14:textId="77777777" w:rsidR="00DE2831" w:rsidRPr="005C4E62" w:rsidRDefault="00DE2831">
      <w:pPr>
        <w:pStyle w:val="FootnoteText"/>
      </w:pPr>
      <w:r>
        <w:rPr>
          <w:rStyle w:val="FootnoteReference"/>
        </w:rPr>
        <w:footnoteRef/>
      </w:r>
      <w:r>
        <w:t xml:space="preserve"> </w:t>
      </w:r>
      <w:r>
        <w:tab/>
        <w:t>Bod 203.</w:t>
      </w:r>
    </w:p>
  </w:footnote>
  <w:footnote w:id="31">
    <w:p w14:paraId="181F629B" w14:textId="77777777" w:rsidR="00153D1B" w:rsidRPr="005C4E62" w:rsidRDefault="00153D1B">
      <w:pPr>
        <w:pStyle w:val="FootnoteText"/>
      </w:pPr>
      <w:r>
        <w:rPr>
          <w:rStyle w:val="FootnoteReference"/>
        </w:rPr>
        <w:footnoteRef/>
      </w:r>
      <w:r>
        <w:t xml:space="preserve"> </w:t>
      </w:r>
      <w:r>
        <w:tab/>
        <w:t xml:space="preserve">K dispozici na adrese: </w:t>
      </w:r>
      <w:hyperlink r:id="rId1" w:history="1">
        <w:r>
          <w:rPr>
            <w:rStyle w:val="Hyperlink"/>
          </w:rPr>
          <w:t>https://webgate.ec.europa.eu/competition/transparency/public?lang=cs</w:t>
        </w:r>
      </w:hyperlink>
      <w:r>
        <w:t xml:space="preserve">. </w:t>
      </w:r>
    </w:p>
  </w:footnote>
  <w:footnote w:id="32">
    <w:p w14:paraId="07169F8A" w14:textId="77777777" w:rsidR="00153D1B" w:rsidRPr="005C4E62" w:rsidRDefault="00153D1B">
      <w:pPr>
        <w:pStyle w:val="FootnoteText"/>
      </w:pPr>
      <w:r>
        <w:rPr>
          <w:rStyle w:val="FootnoteReference"/>
        </w:rPr>
        <w:footnoteRef/>
      </w:r>
      <w:r>
        <w:t xml:space="preserve"> </w:t>
      </w:r>
      <w:r>
        <w:tab/>
        <w:t>Bod 202.</w:t>
      </w:r>
    </w:p>
  </w:footnote>
  <w:footnote w:id="33">
    <w:p w14:paraId="09F332B3" w14:textId="77777777" w:rsidR="00DE2831" w:rsidRPr="005C4E62" w:rsidRDefault="00DE2831" w:rsidP="00DE2831">
      <w:pPr>
        <w:pStyle w:val="FootnoteText"/>
      </w:pPr>
      <w:r>
        <w:rPr>
          <w:rStyle w:val="FootnoteReference"/>
        </w:rPr>
        <w:footnoteRef/>
      </w:r>
      <w:r>
        <w:t xml:space="preserve"> </w:t>
      </w:r>
      <w:r>
        <w:tab/>
        <w:t>Bod 204.</w:t>
      </w:r>
    </w:p>
  </w:footnote>
  <w:footnote w:id="34">
    <w:p w14:paraId="51ECAE08" w14:textId="77777777" w:rsidR="00DE2831" w:rsidRPr="005C4E62" w:rsidRDefault="00DE2831" w:rsidP="00DE2831">
      <w:pPr>
        <w:pStyle w:val="FootnoteText"/>
      </w:pPr>
      <w:r>
        <w:rPr>
          <w:rStyle w:val="FootnoteReference"/>
        </w:rPr>
        <w:footnoteRef/>
      </w:r>
      <w:r>
        <w:t xml:space="preserve"> </w:t>
      </w:r>
      <w:r>
        <w:tab/>
        <w:t>Bod 204.</w:t>
      </w:r>
    </w:p>
  </w:footnote>
  <w:footnote w:id="35">
    <w:p w14:paraId="7FDD3ACD" w14:textId="77777777" w:rsidR="004879A7" w:rsidRPr="005C4E62" w:rsidRDefault="004879A7">
      <w:pPr>
        <w:pStyle w:val="FootnoteText"/>
      </w:pPr>
      <w:r>
        <w:rPr>
          <w:rStyle w:val="FootnoteReference"/>
        </w:rPr>
        <w:footnoteRef/>
      </w:r>
      <w:r>
        <w:t xml:space="preserve"> </w:t>
      </w:r>
      <w:r>
        <w:tab/>
        <w:t>Body 207–208.</w:t>
      </w:r>
    </w:p>
  </w:footnote>
  <w:footnote w:id="36">
    <w:p w14:paraId="6525B8C4" w14:textId="77777777" w:rsidR="004879A7" w:rsidRPr="005C4E62" w:rsidRDefault="004879A7">
      <w:pPr>
        <w:pStyle w:val="FootnoteText"/>
      </w:pPr>
      <w:r>
        <w:rPr>
          <w:rStyle w:val="FootnoteReference"/>
        </w:rPr>
        <w:footnoteRef/>
      </w:r>
      <w:r>
        <w:t xml:space="preserve"> </w:t>
      </w:r>
      <w:r>
        <w:tab/>
        <w:t>Bod 209.</w:t>
      </w:r>
    </w:p>
  </w:footnote>
  <w:footnote w:id="37">
    <w:p w14:paraId="732E1F6D" w14:textId="77777777" w:rsidR="00C04E88" w:rsidRPr="005C4E62" w:rsidRDefault="00C04E88" w:rsidP="00C04E88">
      <w:pPr>
        <w:pStyle w:val="FootnoteText"/>
      </w:pPr>
      <w:r>
        <w:rPr>
          <w:rStyle w:val="FootnoteReference"/>
        </w:rPr>
        <w:footnoteRef/>
      </w:r>
      <w:r>
        <w:tab/>
        <w:t>Pokud jde o bližší informace, viz článek 339 SFEU, který odkazuje na „</w:t>
      </w:r>
      <w:r>
        <w:rPr>
          <w:i/>
        </w:rPr>
        <w:t>údaje o podnicích, o jejich obchodních stycích nebo o struktuře jejich nákladů</w:t>
      </w:r>
      <w:r>
        <w:t>“. Soudy Unie obvykle „</w:t>
      </w:r>
      <w:r>
        <w:rPr>
          <w:i/>
        </w:rPr>
        <w:t>obchodní tajemství</w:t>
      </w:r>
      <w:r>
        <w:t>“ definují jako informace, „</w:t>
      </w:r>
      <w:r>
        <w:rPr>
          <w:i/>
        </w:rPr>
        <w:t>jejichž zpřístupnění nejen veřejnosti, ale rovněž pouhé předání právnímu subjektu jinému, než je ten, který informace poskytl, může závažně poškodit jeho zájmy</w:t>
      </w:r>
      <w:r>
        <w:t xml:space="preserve">“, viz věc T-353/94 Postbank v. Komise, </w:t>
      </w:r>
      <w:r>
        <w:rPr>
          <w:rStyle w:val="outputecliaff"/>
        </w:rPr>
        <w:t>ECLI:EU:T:1996:119, bod 87.</w:t>
      </w:r>
    </w:p>
  </w:footnote>
  <w:footnote w:id="38">
    <w:p w14:paraId="4B788BD6" w14:textId="77777777" w:rsidR="00FC09A8" w:rsidRPr="005C4E62" w:rsidRDefault="00FC09A8" w:rsidP="00FC09A8">
      <w:pPr>
        <w:pStyle w:val="FootnoteText"/>
      </w:pPr>
      <w:r>
        <w:rPr>
          <w:rStyle w:val="FootnoteReference"/>
        </w:rPr>
        <w:footnoteRef/>
      </w:r>
      <w:r>
        <w:tab/>
        <w:t>Nařízení Komise (EU) č. 651/2014 ze dne 17. června 2014, kterým se v souladu s články 107 a 108 Smlouvy prohlašují určité kategorie podpory za slučitelné s vnitřním trhem (Úř. věst. L 187, 26.6.2014, s. 1), v platném znění.</w:t>
      </w:r>
    </w:p>
  </w:footnote>
  <w:footnote w:id="39">
    <w:p w14:paraId="6A9978AA" w14:textId="77777777" w:rsidR="00C04E88" w:rsidRPr="00FC09A8" w:rsidRDefault="00C04E88" w:rsidP="00C04E88">
      <w:pPr>
        <w:pStyle w:val="FootnoteText"/>
      </w:pPr>
      <w:r>
        <w:rPr>
          <w:rStyle w:val="FootnoteReference"/>
        </w:rPr>
        <w:footnoteRef/>
      </w:r>
      <w:r>
        <w:tab/>
        <w:t xml:space="preserve">Nařízení Komise (EU) č. 1407/2013 ze dne 18. prosince 2013 o použití článků 107 a 108 Smlouvy o fungování Evropské unie na podporu </w:t>
      </w:r>
      <w:r>
        <w:rPr>
          <w:i/>
        </w:rPr>
        <w:t>de minimis</w:t>
      </w:r>
      <w:r>
        <w:t xml:space="preserve"> (Úř. věst. L 352, 24.12.2013, s. 1), v platném znění.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DEC4A42C"/>
    <w:lvl w:ilvl="0" w:tplc="18090017">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FDAC4DD6"/>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D00E540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6868D27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1988F09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4"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467B40"/>
    <w:multiLevelType w:val="multilevel"/>
    <w:tmpl w:val="6E32DB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116CEE"/>
    <w:multiLevelType w:val="multilevel"/>
    <w:tmpl w:val="5F326A1E"/>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DA74FDF"/>
    <w:multiLevelType w:val="multilevel"/>
    <w:tmpl w:val="1988F09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ind w:left="1800" w:hanging="360"/>
      </w:p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num w:numId="1" w16cid:durableId="2114666477">
    <w:abstractNumId w:val="12"/>
  </w:num>
  <w:num w:numId="2" w16cid:durableId="828906325">
    <w:abstractNumId w:val="1"/>
  </w:num>
  <w:num w:numId="3" w16cid:durableId="1421607773">
    <w:abstractNumId w:val="25"/>
  </w:num>
  <w:num w:numId="4" w16cid:durableId="1096363254">
    <w:abstractNumId w:val="0"/>
  </w:num>
  <w:num w:numId="5" w16cid:durableId="534733717">
    <w:abstractNumId w:val="28"/>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4"/>
  </w:num>
  <w:num w:numId="13" w16cid:durableId="1128751">
    <w:abstractNumId w:val="20"/>
  </w:num>
  <w:num w:numId="14" w16cid:durableId="1953514520">
    <w:abstractNumId w:val="38"/>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1"/>
  </w:num>
  <w:num w:numId="20" w16cid:durableId="412317650">
    <w:abstractNumId w:val="3"/>
  </w:num>
  <w:num w:numId="21" w16cid:durableId="2128500346">
    <w:abstractNumId w:val="32"/>
  </w:num>
  <w:num w:numId="22" w16cid:durableId="1447118299">
    <w:abstractNumId w:val="15"/>
  </w:num>
  <w:num w:numId="23" w16cid:durableId="580914879">
    <w:abstractNumId w:val="39"/>
  </w:num>
  <w:num w:numId="24" w16cid:durableId="1613895504">
    <w:abstractNumId w:val="14"/>
  </w:num>
  <w:num w:numId="25" w16cid:durableId="487525385">
    <w:abstractNumId w:val="37"/>
  </w:num>
  <w:num w:numId="26" w16cid:durableId="1541477428">
    <w:abstractNumId w:val="29"/>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2"/>
  </w:num>
  <w:num w:numId="32" w16cid:durableId="1408305502">
    <w:abstractNumId w:val="35"/>
  </w:num>
  <w:num w:numId="33" w16cid:durableId="2051685378">
    <w:abstractNumId w:val="4"/>
  </w:num>
  <w:num w:numId="34" w16cid:durableId="1172991327">
    <w:abstractNumId w:val="27"/>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3"/>
  </w:num>
  <w:num w:numId="40" w16cid:durableId="359168937">
    <w:abstractNumId w:val="18"/>
  </w:num>
  <w:num w:numId="41" w16cid:durableId="1688485660">
    <w:abstractNumId w:val="26"/>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4"/>
  </w:num>
  <w:num w:numId="48" w16cid:durableId="13874926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94879"/>
    <w:rsid w:val="00197C21"/>
    <w:rsid w:val="001B38EF"/>
    <w:rsid w:val="001B5649"/>
    <w:rsid w:val="001B6DD1"/>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5D4C"/>
    <w:rsid w:val="0059327C"/>
    <w:rsid w:val="005979A7"/>
    <w:rsid w:val="005A5703"/>
    <w:rsid w:val="005A7B71"/>
    <w:rsid w:val="005C4E62"/>
    <w:rsid w:val="005C7A08"/>
    <w:rsid w:val="005F2475"/>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B33E6"/>
    <w:rsid w:val="007B5294"/>
    <w:rsid w:val="007D7D41"/>
    <w:rsid w:val="007E797D"/>
    <w:rsid w:val="007F705C"/>
    <w:rsid w:val="00807298"/>
    <w:rsid w:val="00807BE5"/>
    <w:rsid w:val="0085411F"/>
    <w:rsid w:val="00862A0C"/>
    <w:rsid w:val="008672C1"/>
    <w:rsid w:val="00873D72"/>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5006F"/>
    <w:rsid w:val="00B677F2"/>
    <w:rsid w:val="00B778A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A9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cs-CZ"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cs-CZ"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cs-CZ" w:eastAsia="en-US"/>
    </w:rPr>
  </w:style>
  <w:style w:type="paragraph" w:styleId="Header">
    <w:name w:val="header"/>
    <w:basedOn w:val="Normal"/>
    <w:link w:val="HeaderChar"/>
    <w:uiPriority w:val="99"/>
    <w:unhideWhenUsed/>
    <w:rsid w:val="00873D72"/>
    <w:pPr>
      <w:tabs>
        <w:tab w:val="center" w:pos="4513"/>
        <w:tab w:val="right" w:pos="9026"/>
      </w:tabs>
    </w:pPr>
  </w:style>
  <w:style w:type="character" w:customStyle="1" w:styleId="HeaderChar">
    <w:name w:val="Header Char"/>
    <w:basedOn w:val="DefaultParagraphFont"/>
    <w:link w:val="Header"/>
    <w:uiPriority w:val="99"/>
    <w:rsid w:val="00873D72"/>
    <w:rPr>
      <w:sz w:val="24"/>
      <w:lang w:eastAsia="en-US"/>
    </w:rPr>
  </w:style>
  <w:style w:type="paragraph" w:styleId="Footer">
    <w:name w:val="footer"/>
    <w:basedOn w:val="Normal"/>
    <w:link w:val="FooterChar"/>
    <w:uiPriority w:val="99"/>
    <w:unhideWhenUsed/>
    <w:rsid w:val="00873D72"/>
    <w:pPr>
      <w:tabs>
        <w:tab w:val="center" w:pos="4513"/>
        <w:tab w:val="right" w:pos="9026"/>
      </w:tabs>
    </w:pPr>
  </w:style>
  <w:style w:type="character" w:customStyle="1" w:styleId="FooterChar">
    <w:name w:val="Footer Char"/>
    <w:basedOn w:val="DefaultParagraphFont"/>
    <w:link w:val="Footer"/>
    <w:uiPriority w:val="99"/>
    <w:rsid w:val="00873D7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1970</Words>
  <Characters>12431</Characters>
  <Application>Microsoft Office Word</Application>
  <DocSecurity>0</DocSecurity>
  <Lines>289</Lines>
  <Paragraphs>133</Paragraphs>
  <ScaleCrop>false</ScaleCrop>
  <Company/>
  <LinksUpToDate>false</LinksUpToDate>
  <CharactersWithSpaces>14268</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2024-03-06T09:47:00Z</dcterms:created>
  <dcterms:modified xsi:type="dcterms:W3CDTF">2024-03-06T09:47:00Z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2024-03-06T09:47:44Z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5d0094d1-f9e4-483d-952d-aa559def6cdf</vt:lpwstr>
  </property>
  <property fmtid="{D5CDD505-2E9C-101B-9397-08002B2CF9AE}" pid="8" name="MSIP_Label_6bd9ddd1-4d20-43f6-abfa-fc3c07406f94_ContentBits">
    <vt:lpwstr>0</vt:lpwstr>
  </property>
</Properties>
</file>