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9DDCB" w14:textId="77777777" w:rsidR="00ED4E71" w:rsidRDefault="00ED4E71">
      <w:pPr>
        <w:pStyle w:val="Langue"/>
      </w:pPr>
      <w:r>
        <w:t>FR</w:t>
      </w:r>
    </w:p>
    <w:p w14:paraId="492E6F91" w14:textId="77777777" w:rsidR="00ED4E71" w:rsidRDefault="00ED4E71">
      <w:pPr>
        <w:pStyle w:val="Rfrenceinterne"/>
      </w:pPr>
      <w:r>
        <w:t>CL2023R0914FR0010020.0001.rtf</w:t>
      </w:r>
    </w:p>
    <w:p w14:paraId="157AD7B5" w14:textId="77777777" w:rsidR="00ED4E71" w:rsidRDefault="00ED4E71">
      <w:pPr>
        <w:adjustRightInd w:val="0"/>
        <w:spacing w:before="0" w:after="0"/>
        <w:jc w:val="left"/>
        <w:rPr>
          <w:lang w:val="en-US"/>
        </w:rPr>
        <w:sectPr w:rsidR="00ED4E71">
          <w:footerReference w:type="default" r:id="rId7"/>
          <w:pgSz w:w="11906" w:h="16838"/>
          <w:pgMar w:top="1134" w:right="1418" w:bottom="1134" w:left="1418" w:header="709" w:footer="709" w:gutter="0"/>
          <w:pgNumType w:start="0"/>
          <w:cols w:space="709"/>
        </w:sectPr>
      </w:pPr>
    </w:p>
    <w:p w14:paraId="24B1FFEA" w14:textId="77777777" w:rsidR="00ED4E71" w:rsidRDefault="00ED4E71">
      <w:pPr>
        <w:pStyle w:val="CRSeparator"/>
      </w:pPr>
    </w:p>
    <w:p w14:paraId="5BB38095" w14:textId="77777777" w:rsidR="00ED4E71" w:rsidRDefault="00ED4E71">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058C666" w14:textId="77777777" w:rsidR="00ED4E71" w:rsidRDefault="00ED4E71">
      <w:pPr>
        <w:pStyle w:val="Typedudocument"/>
      </w:pPr>
      <w:r>
        <w:t>RÈGLEMENT D’EXÉCUTION (UE) 2023/914 DE LA COMMISSION</w:t>
      </w:r>
    </w:p>
    <w:p w14:paraId="38BFEA9B" w14:textId="77777777" w:rsidR="00ED4E71" w:rsidRDefault="00ED4E71">
      <w:pPr>
        <w:pStyle w:val="Datedadoption"/>
      </w:pPr>
      <w:r>
        <w:t>du 20 avril 2023</w:t>
      </w:r>
    </w:p>
    <w:p w14:paraId="359814F3" w14:textId="77777777" w:rsidR="00ED4E71" w:rsidRDefault="00ED4E71">
      <w:pPr>
        <w:pStyle w:val="Titreobjet"/>
      </w:pPr>
      <w:r>
        <w:t>concernant la mise en œuvre du règlement (CE) n</w:t>
      </w:r>
      <w:r>
        <w:rPr>
          <w:vertAlign w:val="superscript"/>
        </w:rPr>
        <w:t>o</w:t>
      </w:r>
      <w:r>
        <w:t> 139/2004 du Conseil relatif au contrôle des concentrations entre entreprises et abrogeant le règlement (CE) n</w:t>
      </w:r>
      <w:r>
        <w:rPr>
          <w:vertAlign w:val="superscript"/>
        </w:rPr>
        <w:t>o</w:t>
      </w:r>
      <w:r>
        <w:t> 802/2004 de la Commission</w:t>
      </w:r>
    </w:p>
    <w:p w14:paraId="2668838C" w14:textId="77777777" w:rsidR="00ED4E71" w:rsidRDefault="00ED4E71">
      <w:pPr>
        <w:pStyle w:val="Sous-titreobjet"/>
      </w:pPr>
      <w:r>
        <w:t>(Texte présentant de l’intérêt pour l’EEE)</w:t>
      </w:r>
    </w:p>
    <w:p w14:paraId="128B6076" w14:textId="77777777" w:rsidR="00ED4E71" w:rsidRDefault="00ED4E71">
      <w:pPr>
        <w:pStyle w:val="SectionTitle"/>
      </w:pPr>
      <w:r>
        <w:t>CHAPITRE I</w:t>
      </w:r>
    </w:p>
    <w:p w14:paraId="0800571A" w14:textId="77777777" w:rsidR="00ED4E71" w:rsidRDefault="00ED4E71">
      <w:pPr>
        <w:pStyle w:val="SectionTitle"/>
      </w:pPr>
      <w:r>
        <w:rPr>
          <w:i/>
          <w:iCs/>
        </w:rPr>
        <w:t>CHAMP D’APPLICATION</w:t>
      </w:r>
    </w:p>
    <w:p w14:paraId="101A37D2" w14:textId="77777777" w:rsidR="00ED4E71" w:rsidRDefault="00ED4E71">
      <w:pPr>
        <w:pStyle w:val="Titrearticle"/>
      </w:pPr>
      <w:r>
        <w:t>Article premier</w:t>
      </w:r>
    </w:p>
    <w:p w14:paraId="58DC2FAE" w14:textId="77777777" w:rsidR="00ED4E71" w:rsidRDefault="00ED4E71">
      <w:r>
        <w:t>Le présent règlement s’applique au contrôle des concentrations effectué conformément au règlement (CE) n</w:t>
      </w:r>
      <w:r>
        <w:rPr>
          <w:vertAlign w:val="superscript"/>
        </w:rPr>
        <w:t>o</w:t>
      </w:r>
      <w:r>
        <w:t> 139/2004.</w:t>
      </w:r>
    </w:p>
    <w:p w14:paraId="121E0F7D" w14:textId="77777777" w:rsidR="00ED4E71" w:rsidRDefault="00ED4E71">
      <w:pPr>
        <w:pStyle w:val="SectionTitle"/>
      </w:pPr>
      <w:r>
        <w:t>CHAPITRE II</w:t>
      </w:r>
    </w:p>
    <w:p w14:paraId="2644E9C1" w14:textId="77777777" w:rsidR="00ED4E71" w:rsidRDefault="00ED4E71">
      <w:pPr>
        <w:pStyle w:val="SectionTitle"/>
      </w:pPr>
      <w:r>
        <w:rPr>
          <w:i/>
          <w:iCs/>
        </w:rPr>
        <w:t>NOTIFICATIONS ET AUTRES DOCUMENTS</w:t>
      </w:r>
    </w:p>
    <w:p w14:paraId="3CC8658F" w14:textId="77777777" w:rsidR="00ED4E71" w:rsidRDefault="00ED4E71">
      <w:pPr>
        <w:pStyle w:val="Titrearticle"/>
      </w:pPr>
      <w:r>
        <w:t>Article 2</w:t>
      </w:r>
    </w:p>
    <w:p w14:paraId="6EECED9F" w14:textId="77777777" w:rsidR="00ED4E71" w:rsidRDefault="00ED4E71">
      <w:pPr>
        <w:pStyle w:val="NormalCentered"/>
        <w:rPr>
          <w:b/>
          <w:bCs/>
        </w:rPr>
      </w:pPr>
      <w:r>
        <w:rPr>
          <w:b/>
          <w:bCs/>
        </w:rPr>
        <w:t>Personnes habilitées à déposer des notifications</w:t>
      </w:r>
    </w:p>
    <w:p w14:paraId="1264E254" w14:textId="77777777" w:rsidR="00ED4E71" w:rsidRDefault="00ED4E71">
      <w:r>
        <w:t>1.</w:t>
      </w:r>
      <w:r>
        <w:tab/>
        <w:t>L’obligation de notifier s’impose aux personnes ou entreprises visées à l’article 4, paragraphe 2, du règlement (CE) n</w:t>
      </w:r>
      <w:r>
        <w:rPr>
          <w:vertAlign w:val="superscript"/>
        </w:rPr>
        <w:t>o</w:t>
      </w:r>
      <w:r>
        <w:t> 139/2004.</w:t>
      </w:r>
    </w:p>
    <w:p w14:paraId="434B63D7" w14:textId="77777777" w:rsidR="00ED4E71" w:rsidRDefault="00ED4E71">
      <w:r>
        <w:t>2.</w:t>
      </w:r>
      <w:r>
        <w:tab/>
        <w:t>Lorsque la notification est signée par des représentants extérieurs mandatés de personnes ou d’entreprises, ces représentants doivent prouver par un écrit leur pouvoir de représentation.</w:t>
      </w:r>
    </w:p>
    <w:p w14:paraId="3E421934" w14:textId="77777777" w:rsidR="00ED4E71" w:rsidRDefault="00ED4E71">
      <w:pPr>
        <w:pStyle w:val="Titrearticle"/>
      </w:pPr>
      <w:r>
        <w:t>Article 3</w:t>
      </w:r>
    </w:p>
    <w:p w14:paraId="08CDC187" w14:textId="77777777" w:rsidR="00ED4E71" w:rsidRDefault="00ED4E71">
      <w:pPr>
        <w:pStyle w:val="NormalCentered"/>
        <w:rPr>
          <w:b/>
          <w:bCs/>
        </w:rPr>
      </w:pPr>
      <w:r>
        <w:rPr>
          <w:b/>
          <w:bCs/>
        </w:rPr>
        <w:t>Dépôt des notifications</w:t>
      </w:r>
    </w:p>
    <w:p w14:paraId="5885FF28" w14:textId="77777777" w:rsidR="00ED4E71" w:rsidRDefault="00ED4E71">
      <w:r>
        <w:t>1.</w:t>
      </w:r>
      <w:r>
        <w:tab/>
        <w:t>Les notifications sont déposées à l’aide du formulaire CO figurant à l’annexe I. Dans les conditions précisées à l’annexe II, les notifications peuvent être déposées à l’aide d’un formulaire CO simplifié figurant dans cette même annexe. Les notifications conjointes sont déposées à l’aide d’un seul et même formulaire.</w:t>
      </w:r>
    </w:p>
    <w:p w14:paraId="279A7454" w14:textId="77777777" w:rsidR="00ED4E71" w:rsidRDefault="00ED4E71">
      <w:r>
        <w:t>2.</w:t>
      </w:r>
      <w:r>
        <w:tab/>
        <w:t xml:space="preserve">Les formulaires visés au paragraphe 1 et tous les documents annexes pertinents sont soumis à la Commission conformément à l’article 22 et aux instructions publiées par la Commission au </w:t>
      </w:r>
      <w:r>
        <w:rPr>
          <w:i/>
          <w:iCs/>
        </w:rPr>
        <w:t>Journal officiel de l’Union européenne</w:t>
      </w:r>
      <w:r>
        <w:t>.</w:t>
      </w:r>
    </w:p>
    <w:p w14:paraId="6B6D8956" w14:textId="77777777" w:rsidR="00ED4E71" w:rsidRDefault="00ED4E71">
      <w:r>
        <w:t>3.</w:t>
      </w:r>
      <w:r>
        <w:tab/>
        <w:t>Les notifications sont rédigées dans une des langues officielles de l’Union. Pour les parties notifiantes, cette langue est dès lors la langue de procédure ainsi que de toute procédure ultérieure relative à la même opération de concentration. Les documents annexes sont déposés dans la langue originale. Si celle-ci n’est pas une des langues officielles de l’Union, une traduction dans la langue de procédure est jointe au document.</w:t>
      </w:r>
    </w:p>
    <w:p w14:paraId="643AABBD" w14:textId="77777777" w:rsidR="00ED4E71" w:rsidRDefault="00ED4E71">
      <w:r>
        <w:t>4.</w:t>
      </w:r>
      <w:r>
        <w:tab/>
        <w:t>Les notifications qui sont faites en application de l’article 57 de l’accord sur l’Espace économique européen peuvent aussi être rédigées dans une des langues officielles des États de l’Association européenne de libre-échange (AELE) ou dans la langue de travail de l’Autorité de surveillance de l’AELE. Lorsque la langue retenue n’est pas une langue officielle de l’Union, les parties notifiantes joignent à chaque document une traduction dans une des langues officielles de l’Union. La langue choisie pour la traduction détermine la langue de procédure utilisée par l’Union à l’égard des parties notifiantes.</w:t>
      </w:r>
    </w:p>
    <w:p w14:paraId="39DB6979" w14:textId="77777777" w:rsidR="00ED4E71" w:rsidRDefault="00ED4E71">
      <w:pPr>
        <w:pStyle w:val="Titrearticle"/>
      </w:pPr>
      <w:r>
        <w:t>Article 4</w:t>
      </w:r>
    </w:p>
    <w:p w14:paraId="316A0B71" w14:textId="77777777" w:rsidR="00ED4E71" w:rsidRDefault="00ED4E71">
      <w:pPr>
        <w:pStyle w:val="NormalCentered"/>
        <w:rPr>
          <w:b/>
          <w:bCs/>
        </w:rPr>
      </w:pPr>
      <w:r>
        <w:rPr>
          <w:b/>
          <w:bCs/>
        </w:rPr>
        <w:t>Renseignements et documents à communiquer</w:t>
      </w:r>
    </w:p>
    <w:p w14:paraId="4C45C8A3" w14:textId="77777777" w:rsidR="00ED4E71" w:rsidRDefault="00ED4E71">
      <w:r>
        <w:t>1.</w:t>
      </w:r>
      <w:r>
        <w:tab/>
        <w:t>Les notifications contiennent les renseignements et documents demandés dans les formulaires pertinents figurant aux annexes I et II du présent règlement. Les renseignements fournis doivent être exacts et complets.</w:t>
      </w:r>
    </w:p>
    <w:p w14:paraId="2C2F0635" w14:textId="77777777" w:rsidR="00ED4E71" w:rsidRDefault="00ED4E71">
      <w:r>
        <w:t>2.</w:t>
      </w:r>
      <w:r>
        <w:tab/>
        <w:t>La Commission peut, sur demande écrite des parties notifiantes, dispenser de l’obligation de communiquer un renseignement ou un document dans la notification, ainsi que de toute autre exigence définie aux annexes I et II, si le respect de ces obligations et exigences ne lui paraît pas nécessaire pour l’examen de l’affaire.</w:t>
      </w:r>
    </w:p>
    <w:p w14:paraId="230DF5CC" w14:textId="77777777" w:rsidR="00ED4E71" w:rsidRDefault="00ED4E71">
      <w:r>
        <w:t>3.</w:t>
      </w:r>
      <w:r>
        <w:tab/>
        <w:t>La Commission délivre sans délai aux parties notifiantes ou à leurs représentants un accusé de réception de la notification, ainsi que de toute réponse à une lettre qu’elle aura adressée en vertu de l’article 5, paragraphes 2 et 3.</w:t>
      </w:r>
    </w:p>
    <w:p w14:paraId="699B6514" w14:textId="77777777" w:rsidR="00ED4E71" w:rsidRDefault="00ED4E71">
      <w:pPr>
        <w:pStyle w:val="Titrearticle"/>
      </w:pPr>
      <w:r>
        <w:t>Article 5</w:t>
      </w:r>
    </w:p>
    <w:p w14:paraId="0981A588" w14:textId="77777777" w:rsidR="00ED4E71" w:rsidRDefault="00ED4E71">
      <w:pPr>
        <w:pStyle w:val="NormalCentered"/>
        <w:rPr>
          <w:b/>
          <w:bCs/>
        </w:rPr>
      </w:pPr>
      <w:r>
        <w:rPr>
          <w:b/>
          <w:bCs/>
        </w:rPr>
        <w:t>Prise d’effet des notifications</w:t>
      </w:r>
    </w:p>
    <w:p w14:paraId="4DB81026" w14:textId="77777777" w:rsidR="00ED4E71" w:rsidRDefault="00ED4E71">
      <w:r>
        <w:t>1.</w:t>
      </w:r>
      <w:r>
        <w:tab/>
        <w:t>Sans préjudice des paragraphes 2, 3 et 4, les notifications prennent effet à la date à laquelle elles sont reçues par la Commission.</w:t>
      </w:r>
    </w:p>
    <w:p w14:paraId="29504F0F" w14:textId="77777777" w:rsidR="00ED4E71" w:rsidRDefault="00ED4E71">
      <w:r>
        <w:t>2.</w:t>
      </w:r>
      <w:r>
        <w:tab/>
        <w:t>Si la Commission constate que les renseignements figurant dans la notification ou dans les documents annexes sont incomplets sur un point essentiel, elle en informe sans délai et par écrit les parties notifiantes ou leurs représentants. Dans ce cas, la notification prend effet à la date où la Commission reçoit les renseignements complets.</w:t>
      </w:r>
    </w:p>
    <w:p w14:paraId="08F5B058" w14:textId="77777777" w:rsidR="00ED4E71" w:rsidRDefault="00ED4E71">
      <w:r>
        <w:t>3.</w:t>
      </w:r>
      <w:r>
        <w:tab/>
        <w:t>Si les faits rapportés dans la notification subissent, après la notification, des modifications essentielles dont les parties notifiantes ont ou auraient dû avoir connaissance, ou font l’objet, après la notification, d’informations nouvelles dont les parties notifiantes ont ou auraient dû avoir connaissance et qui auraient dû être notifiées si elles avaient été connues au moment de la notification, ces modifications ou informations sont communiquées à la Commission sans délai. En pareil cas, lorsque ces modifications essentielles ou informations nouvelles peuvent influer de manière significative sur son appréciation de l’opération de concentration, la Commission peut considérer que la notification prend effet à la date de la réception des informations en question. La Commission en informe sans délai et par écrit les parties notifiantes ou leurs représentants.</w:t>
      </w:r>
    </w:p>
    <w:p w14:paraId="547AD4CB" w14:textId="77777777" w:rsidR="00ED4E71" w:rsidRDefault="00ED4E71">
      <w:r>
        <w:t>4.</w:t>
      </w:r>
      <w:r>
        <w:tab/>
        <w:t>Aux fins du présent article, les renseignements inexacts ou dénaturés sont considérés comme incomplets, sans préjudice de l’article 14, paragraphe 1, du règlement (CE) n</w:t>
      </w:r>
      <w:r>
        <w:rPr>
          <w:vertAlign w:val="superscript"/>
        </w:rPr>
        <w:t>o</w:t>
      </w:r>
      <w:r>
        <w:t> 139/2004.</w:t>
      </w:r>
    </w:p>
    <w:p w14:paraId="07424BC3" w14:textId="77777777" w:rsidR="00ED4E71" w:rsidRDefault="00ED4E71">
      <w:r>
        <w:t>5.</w:t>
      </w:r>
      <w:r>
        <w:tab/>
        <w:t>Lorsque la Commission publie le fait de la notification conformément à l’article 4, paragraphe 3, du règlement (CE) n</w:t>
      </w:r>
      <w:r>
        <w:rPr>
          <w:vertAlign w:val="superscript"/>
        </w:rPr>
        <w:t>o</w:t>
      </w:r>
      <w:r>
        <w:t> 139/2004, elle précise la date de réception de la notification. Si, par suite de l’application des paragraphes 2, 3 et 4 du présent article, la date de prise d’effet de la notification est postérieure à la date qui a été publiée, la Commission publie un nouvel avis indiquant la nouvelle date de prise d’effet.</w:t>
      </w:r>
    </w:p>
    <w:p w14:paraId="15612D6B" w14:textId="77777777" w:rsidR="00ED4E71" w:rsidRDefault="00ED4E71">
      <w:pPr>
        <w:pStyle w:val="Titrearticle"/>
      </w:pPr>
      <w:r>
        <w:t>Article 6</w:t>
      </w:r>
    </w:p>
    <w:p w14:paraId="4C18107A" w14:textId="77777777" w:rsidR="00ED4E71" w:rsidRDefault="00ED4E71">
      <w:pPr>
        <w:pStyle w:val="NormalCentered"/>
        <w:rPr>
          <w:b/>
          <w:bCs/>
        </w:rPr>
      </w:pPr>
      <w:r>
        <w:rPr>
          <w:b/>
          <w:bCs/>
        </w:rPr>
        <w:t>Dispositions spécifiques relatives aux mémoires motivés, aux compléments et aux certifications</w:t>
      </w:r>
    </w:p>
    <w:p w14:paraId="523CF169" w14:textId="77777777" w:rsidR="00ED4E71" w:rsidRDefault="00ED4E71">
      <w:r>
        <w:t>1.</w:t>
      </w:r>
      <w:r>
        <w:tab/>
        <w:t>Les mémoires motivés au sens de l’article 4, paragraphes 4 et 5, du règlement (CE) n</w:t>
      </w:r>
      <w:r>
        <w:rPr>
          <w:vertAlign w:val="superscript"/>
        </w:rPr>
        <w:t>o</w:t>
      </w:r>
      <w:r>
        <w:t> 139/2004 contiennent les renseignements et documents demandés à l’annexe III du présent règlement. Ces renseignements doivent être exacts et complets.</w:t>
      </w:r>
    </w:p>
    <w:p w14:paraId="070621DD" w14:textId="77777777" w:rsidR="00ED4E71" w:rsidRDefault="00ED4E71">
      <w:r>
        <w:t>2.</w:t>
      </w:r>
      <w:r>
        <w:tab/>
        <w:t>L’article 2, l’article 3, paragraphe 1, troisième phrase, l’article 3, paragraphes 2, 3 et 4, l’article 4, l’article 5, paragraphes 1 à 4, et l’article 22 du présent règlement s’appliquent mutatis mutandis aux mémoires motivés au sens de l’article 4, paragraphes 4 et 5, du règlement (CE) n</w:t>
      </w:r>
      <w:r>
        <w:rPr>
          <w:vertAlign w:val="superscript"/>
        </w:rPr>
        <w:t>o</w:t>
      </w:r>
      <w:r>
        <w:t> 139/2004.</w:t>
      </w:r>
    </w:p>
    <w:p w14:paraId="114DD129" w14:textId="77777777" w:rsidR="00ED4E71" w:rsidRDefault="00ED4E71">
      <w:r>
        <w:t>3.</w:t>
      </w:r>
      <w:r>
        <w:tab/>
        <w:t>L’article 2, l’article 3, paragraphe 1, troisième phrase, l’article 3, paragraphes 2, 3 et 4, l’article 4, l’article 5, paragraphes 1 à 4, et l’article 22 du présent règlement s’appliquent mutatis mutandis aux compléments des notifications et aux certifications au sens de l’article 10, paragraphe 5, du règlement (CE) n</w:t>
      </w:r>
      <w:r>
        <w:rPr>
          <w:vertAlign w:val="superscript"/>
        </w:rPr>
        <w:t>o</w:t>
      </w:r>
      <w:r>
        <w:t> 139/2004.</w:t>
      </w:r>
    </w:p>
    <w:p w14:paraId="715DDC5F" w14:textId="77777777" w:rsidR="00ED4E71" w:rsidRDefault="00ED4E71">
      <w:pPr>
        <w:pStyle w:val="SectionTitle"/>
      </w:pPr>
      <w:r>
        <w:t>CHAPITRE III</w:t>
      </w:r>
    </w:p>
    <w:p w14:paraId="38DC177B" w14:textId="77777777" w:rsidR="00ED4E71" w:rsidRDefault="00ED4E71">
      <w:pPr>
        <w:pStyle w:val="SectionTitle"/>
      </w:pPr>
      <w:r>
        <w:rPr>
          <w:i/>
          <w:iCs/>
        </w:rPr>
        <w:t>DÉLAIS</w:t>
      </w:r>
    </w:p>
    <w:p w14:paraId="6E7DA3F8" w14:textId="77777777" w:rsidR="00ED4E71" w:rsidRDefault="00ED4E71">
      <w:pPr>
        <w:pStyle w:val="Titrearticle"/>
      </w:pPr>
      <w:r>
        <w:t>Article 7</w:t>
      </w:r>
    </w:p>
    <w:p w14:paraId="65085C93" w14:textId="77777777" w:rsidR="00ED4E71" w:rsidRDefault="00ED4E71">
      <w:pPr>
        <w:pStyle w:val="NormalCentered"/>
        <w:rPr>
          <w:b/>
          <w:bCs/>
        </w:rPr>
      </w:pPr>
      <w:r>
        <w:rPr>
          <w:b/>
          <w:bCs/>
        </w:rPr>
        <w:t>Début des délais</w:t>
      </w:r>
    </w:p>
    <w:p w14:paraId="0CD45A6F" w14:textId="77777777" w:rsidR="00ED4E71" w:rsidRDefault="00ED4E71">
      <w:r>
        <w:t>Les délais courent à partir du jour ouvrable, tel que défini à l’article 24 du présent règlement, suivant l’événement auquel fait référence la disposition applicable du règlement (CE) n</w:t>
      </w:r>
      <w:r>
        <w:rPr>
          <w:vertAlign w:val="superscript"/>
        </w:rPr>
        <w:t>o</w:t>
      </w:r>
      <w:r>
        <w:t> 139/2004.</w:t>
      </w:r>
    </w:p>
    <w:p w14:paraId="499DFE6F" w14:textId="77777777" w:rsidR="00ED4E71" w:rsidRDefault="00ED4E71">
      <w:pPr>
        <w:pStyle w:val="Titrearticle"/>
      </w:pPr>
      <w:r>
        <w:t>Article 8</w:t>
      </w:r>
    </w:p>
    <w:p w14:paraId="4D36C54F" w14:textId="77777777" w:rsidR="00ED4E71" w:rsidRDefault="00ED4E71">
      <w:pPr>
        <w:pStyle w:val="NormalCentered"/>
        <w:rPr>
          <w:b/>
          <w:bCs/>
        </w:rPr>
      </w:pPr>
      <w:r>
        <w:rPr>
          <w:b/>
          <w:bCs/>
        </w:rPr>
        <w:t>Expiration des délais</w:t>
      </w:r>
    </w:p>
    <w:p w14:paraId="493C517F" w14:textId="77777777" w:rsidR="00ED4E71" w:rsidRDefault="00ED4E71">
      <w:r>
        <w:t>1.</w:t>
      </w:r>
      <w:r>
        <w:tab/>
        <w:t>Un délai calculé en jours ouvrables expire à la fin du dernier jour ouvrable.</w:t>
      </w:r>
    </w:p>
    <w:p w14:paraId="2A0F6143" w14:textId="77777777" w:rsidR="00ED4E71" w:rsidRDefault="00ED4E71">
      <w:r>
        <w:t>2.</w:t>
      </w:r>
      <w:r>
        <w:tab/>
        <w:t>Un délai fixé par la Commission en termes de date d’expiration expire à la fin du jour qui correspond à cette date.</w:t>
      </w:r>
    </w:p>
    <w:p w14:paraId="2B12FEF0" w14:textId="77777777" w:rsidR="00ED4E71" w:rsidRDefault="00ED4E71">
      <w:pPr>
        <w:pStyle w:val="Titrearticle"/>
      </w:pPr>
      <w:r>
        <w:t>Article 9</w:t>
      </w:r>
    </w:p>
    <w:p w14:paraId="12CB0E7D" w14:textId="77777777" w:rsidR="00ED4E71" w:rsidRDefault="00ED4E71">
      <w:pPr>
        <w:pStyle w:val="NormalCentered"/>
        <w:rPr>
          <w:b/>
          <w:bCs/>
        </w:rPr>
      </w:pPr>
      <w:r>
        <w:rPr>
          <w:b/>
          <w:bCs/>
        </w:rPr>
        <w:t>Suspension des délais</w:t>
      </w:r>
    </w:p>
    <w:p w14:paraId="12F787F6" w14:textId="77777777" w:rsidR="00ED4E71" w:rsidRDefault="00ED4E71">
      <w:r>
        <w:t>1.</w:t>
      </w:r>
      <w:r>
        <w:tab/>
        <w:t>Les délais visés à l’article 9, paragraphe 4, ainsi qu’à l’article 10, paragraphes 1 et 3, du règlement (CE) n</w:t>
      </w:r>
      <w:r>
        <w:rPr>
          <w:vertAlign w:val="superscript"/>
        </w:rPr>
        <w:t>o</w:t>
      </w:r>
      <w:r>
        <w:t> 139/2004 sont suspendus lorsque la Commission, en application de l’article 11, paragraphe 3, ou de l’article 13, paragraphe 4, dudit règlement, est contrainte d’adopter une décision pour l’un des motifs suivants:</w:t>
      </w:r>
    </w:p>
    <w:p w14:paraId="3D27A4D6" w14:textId="77777777" w:rsidR="00ED4E71" w:rsidRDefault="00ED4E71">
      <w:pPr>
        <w:pStyle w:val="Point0"/>
      </w:pPr>
      <w:r>
        <w:tab/>
        <w:t>a)</w:t>
      </w:r>
      <w:r>
        <w:tab/>
        <w:t>les renseignements que la Commission a demandés en vertu de l’article 11, paragraphe 2, du règlement (CE) n</w:t>
      </w:r>
      <w:r>
        <w:rPr>
          <w:vertAlign w:val="superscript"/>
        </w:rPr>
        <w:t>o</w:t>
      </w:r>
      <w:r>
        <w:t> 139/2004, à l’une des parties notifiantes ou à toute autre partie intéressée au sens de l’article 11 du présent règlement ne lui sont pas communiqués ou ne lui sont pas communiqués intégralement dans le délai qu’elle a fixé;</w:t>
      </w:r>
    </w:p>
    <w:p w14:paraId="34EB6F9F" w14:textId="77777777" w:rsidR="00ED4E71" w:rsidRDefault="00ED4E71">
      <w:pPr>
        <w:pStyle w:val="Point0"/>
      </w:pPr>
      <w:r>
        <w:tab/>
        <w:t>b)</w:t>
      </w:r>
      <w:r>
        <w:tab/>
        <w:t>les renseignements que la Commission a demandés en vertu de l’article 11, paragraphe 2, du règlement (CE) n</w:t>
      </w:r>
      <w:r>
        <w:rPr>
          <w:vertAlign w:val="superscript"/>
        </w:rPr>
        <w:t>o</w:t>
      </w:r>
      <w:r>
        <w:t> 139/2004, à un tiers ne lui sont pas communiqués ou ne lui sont pas communiqués intégralement dans le délai qu’elle a fixé, en raison de circonstances dont est responsable l’une des parties notifiantes ou toute autre partie intéressée au sens de l’article 11 du présent règlement;</w:t>
      </w:r>
    </w:p>
    <w:p w14:paraId="47260459" w14:textId="77777777" w:rsidR="00ED4E71" w:rsidRDefault="00ED4E71">
      <w:pPr>
        <w:pStyle w:val="Point0"/>
      </w:pPr>
      <w:r>
        <w:tab/>
        <w:t>c)</w:t>
      </w:r>
      <w:r>
        <w:tab/>
        <w:t>l’une des parties notifiantes ou toute autre partie intéressée, au sens de l’article 11 du présent règlement, a refusé de se soumettre à une inspection jugée nécessaire par la Commission en vertu de l’article 13, paragraphe 1, du règlement (CE) n</w:t>
      </w:r>
      <w:r>
        <w:rPr>
          <w:vertAlign w:val="superscript"/>
        </w:rPr>
        <w:t>o</w:t>
      </w:r>
      <w:r>
        <w:t> 139/2004, ou de coopérer à cette inspection conformément à l’article 13, paragraphe 2, dudit règlement;</w:t>
      </w:r>
    </w:p>
    <w:p w14:paraId="18819F27" w14:textId="77777777" w:rsidR="00ED4E71" w:rsidRDefault="00ED4E71">
      <w:pPr>
        <w:pStyle w:val="Point0"/>
      </w:pPr>
      <w:r>
        <w:tab/>
        <w:t>d)</w:t>
      </w:r>
      <w:r>
        <w:tab/>
        <w:t>les parties notifiantes ont omis d’informer la Commission de modifications essentielles des faits rapportés dans la notification ou de toute autre information nouvelle du type visé à l’article 5, paragraphe 3, du présent règlement.</w:t>
      </w:r>
    </w:p>
    <w:p w14:paraId="3FC36652" w14:textId="77777777" w:rsidR="00ED4E71" w:rsidRDefault="00ED4E71">
      <w:r>
        <w:t>2.</w:t>
      </w:r>
      <w:r>
        <w:tab/>
        <w:t>Les délais visés à l’article 9, paragraphe 4, ainsi qu’à l’article 10, paragraphes 1 et 3, du règlement (CE) n</w:t>
      </w:r>
      <w:r>
        <w:rPr>
          <w:vertAlign w:val="superscript"/>
        </w:rPr>
        <w:t>o</w:t>
      </w:r>
      <w:r>
        <w:t> 139/2004 sont suspendus lorsque la Commission doit prendre une décision en vertu de l’article 11, paragraphe 3, dudit règlement, sans passer par une simple demande de renseignements, en raison de circonstances dont une des entreprises parties à la concentration est responsable.</w:t>
      </w:r>
    </w:p>
    <w:p w14:paraId="463938BF" w14:textId="77777777" w:rsidR="00ED4E71" w:rsidRDefault="00ED4E71">
      <w:r>
        <w:t>3.</w:t>
      </w:r>
      <w:r>
        <w:tab/>
        <w:t>Les délais visés à l’article 9, paragraphe 4, ainsi qu’à l’article 10, paragraphes 1 et 3, du règlement (CE) n</w:t>
      </w:r>
      <w:r>
        <w:rPr>
          <w:vertAlign w:val="superscript"/>
        </w:rPr>
        <w:t>o</w:t>
      </w:r>
      <w:r>
        <w:t> 139/2004 sont suspendus:</w:t>
      </w:r>
    </w:p>
    <w:p w14:paraId="1C42D2E0" w14:textId="77777777" w:rsidR="00ED4E71" w:rsidRDefault="00ED4E71">
      <w:pPr>
        <w:pStyle w:val="Point0"/>
      </w:pPr>
      <w:r>
        <w:tab/>
        <w:t>a)</w:t>
      </w:r>
      <w:r>
        <w:tab/>
        <w:t>dans les cas visés au paragraphe 1, points a) et b), pendant la période comprise entre la fin du délai fixé dans la simple demande de renseignements et la réception des renseignements complets et exacts demandés par voie de décision ou le moment auquel la Commission informe les parties notifiantes que, compte tenu des résultats de son enquête en cours ou de l’évolution du marché, les renseignements demandés ne sont plus nécessaires;</w:t>
      </w:r>
    </w:p>
    <w:p w14:paraId="4AA0ACE6" w14:textId="77777777" w:rsidR="00ED4E71" w:rsidRDefault="00ED4E71">
      <w:pPr>
        <w:pStyle w:val="Point0"/>
      </w:pPr>
      <w:r>
        <w:tab/>
        <w:t>b)</w:t>
      </w:r>
      <w:r>
        <w:tab/>
        <w:t>dans les cas visés au paragraphe 1, point c), pendant la période comprise entre la tentative infructueuse de procéder à une inspection et l’aboutissement de l’inspection ordonnée par voie de décision ou le moment auquel la Commission informe les parties notifiantes que, compte tenu des résultats de son enquête en cours ou de l’évolution du marché, l’inspection ordonnée n’est plus nécessaire;</w:t>
      </w:r>
    </w:p>
    <w:p w14:paraId="1115BF03" w14:textId="77777777" w:rsidR="00ED4E71" w:rsidRDefault="00ED4E71">
      <w:pPr>
        <w:pStyle w:val="Point0"/>
      </w:pPr>
      <w:r>
        <w:tab/>
        <w:t>c)</w:t>
      </w:r>
      <w:r>
        <w:tab/>
        <w:t>dans les cas visés au paragraphe 1, point d), pendant la période comprise entre la modification des faits en question et la réception des renseignements complets et exacts;</w:t>
      </w:r>
    </w:p>
    <w:p w14:paraId="0A4D8633" w14:textId="77777777" w:rsidR="00ED4E71" w:rsidRDefault="00ED4E71">
      <w:pPr>
        <w:pStyle w:val="Point0"/>
      </w:pPr>
      <w:r>
        <w:tab/>
        <w:t>d)</w:t>
      </w:r>
      <w:r>
        <w:tab/>
        <w:t>dans les cas visés au paragraphe 2, pendant la période comprise entre la fin du délai fixé dans la décision et la réception des renseignements complets et exacts demandés par voie de décision ou le moment auquel la Commission informe les parties notifiantes que, compte tenu des résultats de son enquête en cours ou de l’évolution du marché, les renseignements demandés ne sont plus nécessaires.</w:t>
      </w:r>
    </w:p>
    <w:p w14:paraId="5B21F72A" w14:textId="77777777" w:rsidR="00ED4E71" w:rsidRDefault="00ED4E71">
      <w:r>
        <w:t>4.</w:t>
      </w:r>
      <w:r>
        <w:tab/>
        <w:t>La suspension des délais commence le jour ouvrable suivant celui de la survenance du motif de la suspension. Elle expire à la fin du jour de la disparition du motif de la suspension. Si ce jour n’est pas un jour ouvrable, la suspension expire à la fin du premier jour ouvrable qui suit.</w:t>
      </w:r>
    </w:p>
    <w:p w14:paraId="4113FFA4" w14:textId="77777777" w:rsidR="00ED4E71" w:rsidRDefault="00ED4E71">
      <w:r>
        <w:t>5.</w:t>
      </w:r>
      <w:r>
        <w:tab/>
        <w:t>La Commission traite, dans un délai raisonnable, toutes les données qu’elle a reçues dans le cadre de son enquête et qui pourraient lui permettre de juger que les renseignements demandés ou l’inspection ordonnée ne sont plus nécessaires, au sens du paragraphe 3, points a), b) et d).</w:t>
      </w:r>
    </w:p>
    <w:p w14:paraId="37431A4F" w14:textId="77777777" w:rsidR="00ED4E71" w:rsidRDefault="00ED4E71">
      <w:pPr>
        <w:pStyle w:val="Titrearticle"/>
      </w:pPr>
      <w:r>
        <w:t>Article 10</w:t>
      </w:r>
    </w:p>
    <w:p w14:paraId="24551979" w14:textId="77777777" w:rsidR="00ED4E71" w:rsidRDefault="00ED4E71">
      <w:pPr>
        <w:pStyle w:val="NormalCentered"/>
        <w:rPr>
          <w:b/>
          <w:bCs/>
        </w:rPr>
      </w:pPr>
      <w:r>
        <w:rPr>
          <w:b/>
          <w:bCs/>
        </w:rPr>
        <w:t>Respect des délais</w:t>
      </w:r>
    </w:p>
    <w:p w14:paraId="6FBF0973" w14:textId="77777777" w:rsidR="00ED4E71" w:rsidRDefault="00ED4E71">
      <w:r>
        <w:t>1.</w:t>
      </w:r>
      <w:r>
        <w:tab/>
        <w:t>Les délais visés à l’article 4, paragraphe 4, quatrième alinéa, à l’article 9, paragraphe 4, à l’article 10, paragraphes 1 et 3, ainsi qu’à l’article 22, paragraphe 3, du règlement (CE) n</w:t>
      </w:r>
      <w:r>
        <w:rPr>
          <w:vertAlign w:val="superscript"/>
        </w:rPr>
        <w:t>o</w:t>
      </w:r>
      <w:r>
        <w:t> 139/2004 sont considérés comme respectés lorsque la Commission a pris la décision concernée avant la fin de la période.</w:t>
      </w:r>
    </w:p>
    <w:p w14:paraId="0EDA8075" w14:textId="77777777" w:rsidR="00ED4E71" w:rsidRDefault="00ED4E71">
      <w:r>
        <w:t>2.</w:t>
      </w:r>
      <w:r>
        <w:tab/>
        <w:t>Les délais visés à l’article 4, paragraphe 4, deuxième alinéa, à l’article 4, paragraphe 5, troisième alinéa, à l’article 9, paragraphe 2, ainsi qu’à l’article 22, paragraphe 1, deuxième alinéa, et à l’article 22, paragraphe 2, deuxième alinéa, du règlement (CE) n</w:t>
      </w:r>
      <w:r>
        <w:rPr>
          <w:vertAlign w:val="superscript"/>
        </w:rPr>
        <w:t>o</w:t>
      </w:r>
      <w:r>
        <w:t> 139/2004 sont considérés comme respectés par un État membre concerné lorsque cet État membre informe la Commission par écrit ou présente la demande ou s’y joint par écrit, selon le cas, avant la fin de la période.</w:t>
      </w:r>
    </w:p>
    <w:p w14:paraId="6F7ECFC2" w14:textId="77777777" w:rsidR="00ED4E71" w:rsidRDefault="00ED4E71">
      <w:r>
        <w:t>3.</w:t>
      </w:r>
      <w:r>
        <w:tab/>
        <w:t>Le délai visé à l’article 9, paragraphe 6, du règlement (CE) n</w:t>
      </w:r>
      <w:r>
        <w:rPr>
          <w:vertAlign w:val="superscript"/>
        </w:rPr>
        <w:t>o</w:t>
      </w:r>
      <w:r>
        <w:t> 139/2004 est considéré comme respecté lorsque l’autorité compétente d’un État membre concerné informe les entreprises concernées de la manière prescrite dans ladite disposition avant la fin de la période.</w:t>
      </w:r>
    </w:p>
    <w:p w14:paraId="6EF53BB6" w14:textId="77777777" w:rsidR="00ED4E71" w:rsidRDefault="00ED4E71">
      <w:pPr>
        <w:pStyle w:val="SectionTitle"/>
      </w:pPr>
      <w:r>
        <w:t>CHAPITRE IV</w:t>
      </w:r>
    </w:p>
    <w:p w14:paraId="5100A73B" w14:textId="77777777" w:rsidR="00ED4E71" w:rsidRDefault="00ED4E71">
      <w:pPr>
        <w:pStyle w:val="SectionTitle"/>
      </w:pPr>
      <w:r>
        <w:t>EXERCICE DU DROIT D’ÊTRE ENTENDU ET AUDITIONS</w:t>
      </w:r>
    </w:p>
    <w:p w14:paraId="211C74DA" w14:textId="77777777" w:rsidR="00ED4E71" w:rsidRDefault="00ED4E71">
      <w:pPr>
        <w:pStyle w:val="Titrearticle"/>
      </w:pPr>
      <w:r>
        <w:t>Article 11</w:t>
      </w:r>
    </w:p>
    <w:p w14:paraId="5BBB90AE" w14:textId="77777777" w:rsidR="00ED4E71" w:rsidRDefault="00ED4E71">
      <w:pPr>
        <w:pStyle w:val="NormalCentered"/>
        <w:rPr>
          <w:b/>
          <w:bCs/>
        </w:rPr>
      </w:pPr>
      <w:r>
        <w:rPr>
          <w:b/>
          <w:bCs/>
        </w:rPr>
        <w:t>Parties et tiers à entendre</w:t>
      </w:r>
    </w:p>
    <w:p w14:paraId="45AA59F9" w14:textId="77777777" w:rsidR="00ED4E71" w:rsidRDefault="00ED4E71">
      <w:r>
        <w:t>Le droit d’être entendu en vertu de l’article 18 du règlement (CE) n</w:t>
      </w:r>
      <w:r>
        <w:rPr>
          <w:vertAlign w:val="superscript"/>
        </w:rPr>
        <w:t>o</w:t>
      </w:r>
      <w:r>
        <w:t> 139/2004 est ouvert aux parties et tiers définis comme suit:</w:t>
      </w:r>
    </w:p>
    <w:p w14:paraId="334A7B7A" w14:textId="77777777" w:rsidR="00ED4E71" w:rsidRDefault="00ED4E71">
      <w:pPr>
        <w:pStyle w:val="Point0"/>
      </w:pPr>
      <w:r>
        <w:tab/>
        <w:t>a)</w:t>
      </w:r>
      <w:r>
        <w:tab/>
        <w:t>les parties notifiantes, à savoir les personnes ou entreprises qui déposent une notification en vertu de l’article 4, paragraphe 2, du règlement (CE) n</w:t>
      </w:r>
      <w:r>
        <w:rPr>
          <w:vertAlign w:val="superscript"/>
        </w:rPr>
        <w:t>o</w:t>
      </w:r>
      <w:r>
        <w:t> 139/2004;</w:t>
      </w:r>
    </w:p>
    <w:p w14:paraId="4B6FBEE0" w14:textId="77777777" w:rsidR="00ED4E71" w:rsidRDefault="00ED4E71">
      <w:pPr>
        <w:pStyle w:val="Point0"/>
      </w:pPr>
      <w:r>
        <w:tab/>
        <w:t>b)</w:t>
      </w:r>
      <w:r>
        <w:tab/>
        <w:t>les autres parties intéressées, à savoir les parties au projet de concentration autres que les parties notifiantes, par exemple le vendeur ou l’entreprise qui est la cible de l’opération;</w:t>
      </w:r>
    </w:p>
    <w:p w14:paraId="18FA8320" w14:textId="77777777" w:rsidR="00ED4E71" w:rsidRDefault="00ED4E71">
      <w:pPr>
        <w:pStyle w:val="Point0"/>
      </w:pPr>
      <w:r>
        <w:tab/>
        <w:t>c)</w:t>
      </w:r>
      <w:r>
        <w:tab/>
        <w:t>les tiers, à savoir les personnes physiques ou morales justifiant d’un intérêt suffisant, notamment les clients, fournisseurs et concurrents au sens de l’article 18, paragraphe 4, deuxième phrase, du règlement (CE) n</w:t>
      </w:r>
      <w:r>
        <w:rPr>
          <w:vertAlign w:val="superscript"/>
        </w:rPr>
        <w:t>o</w:t>
      </w:r>
      <w:r>
        <w:t> 139/2004, ce qui est le cas notamment:</w:t>
      </w:r>
    </w:p>
    <w:p w14:paraId="5D851DBE" w14:textId="77777777" w:rsidR="00ED4E71" w:rsidRDefault="00ED4E71">
      <w:pPr>
        <w:pStyle w:val="Point1"/>
      </w:pPr>
      <w:r>
        <w:tab/>
        <w:t>i)</w:t>
      </w:r>
      <w:r>
        <w:tab/>
        <w:t>des membres des organes d’administration ou de direction des entreprises concernées et des représentants reconnus des travailleurs de ces entreprises,</w:t>
      </w:r>
    </w:p>
    <w:p w14:paraId="56D2E7ED" w14:textId="77777777" w:rsidR="00ED4E71" w:rsidRDefault="00ED4E71">
      <w:pPr>
        <w:pStyle w:val="Point1"/>
      </w:pPr>
      <w:r>
        <w:tab/>
        <w:t>ii)</w:t>
      </w:r>
      <w:r>
        <w:tab/>
        <w:t>des associations de consommateurs, lorsque le projet de concentration concerne des produits ou services utilisés par les consommateurs finals;</w:t>
      </w:r>
    </w:p>
    <w:p w14:paraId="74184A22" w14:textId="77777777" w:rsidR="00ED4E71" w:rsidRDefault="00ED4E71">
      <w:pPr>
        <w:pStyle w:val="Point0"/>
      </w:pPr>
      <w:r>
        <w:tab/>
        <w:t>d)</w:t>
      </w:r>
      <w:r>
        <w:tab/>
        <w:t>les parties à l’égard desquelles la Commission a l’intention de prendre une décision en vertu de l’article 14 ou l’article 15 du règlement (CE) n</w:t>
      </w:r>
      <w:r>
        <w:rPr>
          <w:vertAlign w:val="superscript"/>
        </w:rPr>
        <w:t>o</w:t>
      </w:r>
      <w:r>
        <w:t> 139/2004.</w:t>
      </w:r>
    </w:p>
    <w:p w14:paraId="62E0EECA" w14:textId="77777777" w:rsidR="00ED4E71" w:rsidRDefault="00ED4E71">
      <w:pPr>
        <w:pStyle w:val="Titrearticle"/>
      </w:pPr>
      <w:r>
        <w:t>Article 12</w:t>
      </w:r>
    </w:p>
    <w:p w14:paraId="6A359FB6" w14:textId="77777777" w:rsidR="00ED4E71" w:rsidRDefault="00ED4E71">
      <w:pPr>
        <w:pStyle w:val="NormalCentered"/>
        <w:rPr>
          <w:b/>
          <w:bCs/>
        </w:rPr>
      </w:pPr>
      <w:r>
        <w:rPr>
          <w:b/>
          <w:bCs/>
        </w:rPr>
        <w:t>Décisions concernant la suspension d’opérations de concentration</w:t>
      </w:r>
    </w:p>
    <w:p w14:paraId="263CEB46" w14:textId="77777777" w:rsidR="00ED4E71" w:rsidRDefault="00ED4E71">
      <w:r>
        <w:t>1.</w:t>
      </w:r>
      <w:r>
        <w:tab/>
        <w:t>Lorsque la Commission a l’intention de prendre, en vertu de l’article 7, paragraphe 3, du règlement (CE) n</w:t>
      </w:r>
      <w:r>
        <w:rPr>
          <w:vertAlign w:val="superscript"/>
        </w:rPr>
        <w:t>o</w:t>
      </w:r>
      <w:r>
        <w:t> 139/2004, une décision préjudiciable à l’une ou à plusieurs des parties, elle communique ses objections par écrit aux parties notifiantes et aux autres parties intéressées et leur fixe un délai pour lui faire connaître leur point de vue par écrit.</w:t>
      </w:r>
    </w:p>
    <w:p w14:paraId="0A1AB453" w14:textId="77777777" w:rsidR="00ED4E71" w:rsidRDefault="00ED4E71">
      <w:r>
        <w:t>2.</w:t>
      </w:r>
      <w:r>
        <w:tab/>
        <w:t>Lorsque, en vertu de l’article 18, paragraphe 2, du règlement (CE) n</w:t>
      </w:r>
      <w:r>
        <w:rPr>
          <w:vertAlign w:val="superscript"/>
        </w:rPr>
        <w:t>o</w:t>
      </w:r>
      <w:r>
        <w:t> 139/2004, la Commission prend à titre provisoire une décision au sens du paragraphe 1 du présent article, sans avoir donné aux parties notifiantes et aux autres parties intéressées l’occasion de lui faire connaître leur point de vue, elle leur communique sans délai le texte de cette décision provisoire et leur fixe un délai pour lui faire connaître leur point de vue par écrit.</w:t>
      </w:r>
    </w:p>
    <w:p w14:paraId="3D848A1A" w14:textId="77777777" w:rsidR="00ED4E71" w:rsidRDefault="00ED4E71">
      <w:r>
        <w:t>Lorsque les parties notifiantes et les autres parties intéressées ont fait connaître leur point de vue, la Commission prend une décision définitive qui abroge, modifie ou confirme la décision provisoire. Si les parties notifiantes et les autres parties intéressées n’ont pas fait connaître leur point de vue par écrit dans le délai imparti, la décision provisoire de la Commission devient définitive à l’expiration de ce délai.</w:t>
      </w:r>
    </w:p>
    <w:p w14:paraId="20B2D8E5" w14:textId="77777777" w:rsidR="00ED4E71" w:rsidRDefault="00ED4E71">
      <w:pPr>
        <w:pStyle w:val="Titrearticle"/>
      </w:pPr>
      <w:r>
        <w:t>Article 13</w:t>
      </w:r>
    </w:p>
    <w:p w14:paraId="08378DAE" w14:textId="77777777" w:rsidR="00ED4E71" w:rsidRDefault="00ED4E71">
      <w:pPr>
        <w:pStyle w:val="NormalCentered"/>
        <w:rPr>
          <w:b/>
          <w:bCs/>
        </w:rPr>
      </w:pPr>
      <w:r>
        <w:rPr>
          <w:b/>
          <w:bCs/>
        </w:rPr>
        <w:t>Décisions au fond</w:t>
      </w:r>
    </w:p>
    <w:p w14:paraId="5643006F" w14:textId="77777777" w:rsidR="00ED4E71" w:rsidRDefault="00ED4E71">
      <w:r>
        <w:t>1.</w:t>
      </w:r>
      <w:r>
        <w:tab/>
        <w:t>Lorsque la Commission envisage de prendre une décision en vertu de l’article 6, paragraphe 3, ou de l’article 8, paragraphes 2 à 6, du règlement (CE) n</w:t>
      </w:r>
      <w:r>
        <w:rPr>
          <w:vertAlign w:val="superscript"/>
        </w:rPr>
        <w:t>o</w:t>
      </w:r>
      <w:r>
        <w:t> 139/2004, elle procède, avant de consulter le comité consultatif, à l’audition des parties, conformément à l’article 18, paragraphes 1 et 3, dudit règlement.</w:t>
      </w:r>
    </w:p>
    <w:p w14:paraId="63749350" w14:textId="77777777" w:rsidR="00ED4E71" w:rsidRDefault="00ED4E71">
      <w:r>
        <w:t>L’article 12, paragraphe 2, du présent règlement s’applique mutatis mutandis lorsque, en application de l’article 18, paragraphe 2, du règlement (CE) n</w:t>
      </w:r>
      <w:r>
        <w:rPr>
          <w:vertAlign w:val="superscript"/>
        </w:rPr>
        <w:t>o</w:t>
      </w:r>
      <w:r>
        <w:t> 139/2004, la Commission a pris une décision en vertu de l’article 8, paragraphe 5, dudit règlement, à titre provisoire.</w:t>
      </w:r>
    </w:p>
    <w:p w14:paraId="0A4460F9" w14:textId="77777777" w:rsidR="00ED4E71" w:rsidRDefault="00ED4E71">
      <w:r>
        <w:t>2.</w:t>
      </w:r>
      <w:r>
        <w:tab/>
        <w:t>La Commission fait part de ses objections par écrit aux parties notifiantes dans une communication des griefs. À la suite de l’envoi d’une communication des griefs, la Commission peut adresser une ou plusieurs communication(s) des griefs complémentaire(s) aux parties notifiantes, si elle souhaite soulever de nouvelles objections ou modifier la nature intrinsèque des objections précédemment soulevées.</w:t>
      </w:r>
    </w:p>
    <w:p w14:paraId="7C48DC10" w14:textId="77777777" w:rsidR="00ED4E71" w:rsidRDefault="00ED4E71">
      <w:r>
        <w:t>Lorsqu’elle communique ses objections, la Commission indique aux parties notifiantes le délai dans lequel elles peuvent lui faire connaître leur point de vue par écrit.</w:t>
      </w:r>
    </w:p>
    <w:p w14:paraId="122F4714" w14:textId="77777777" w:rsidR="00ED4E71" w:rsidRDefault="00ED4E71">
      <w:r>
        <w:t>La Commission informe les autres parties intéressées par écrit des objections visées au premier alinéa et fixe le délai dans lequel ces parties peuvent lui faire connaître leur point de vue par écrit.</w:t>
      </w:r>
    </w:p>
    <w:p w14:paraId="3AC68815" w14:textId="77777777" w:rsidR="00ED4E71" w:rsidRDefault="00ED4E71">
      <w:r>
        <w:t>La Commission n’est pas tenue de prendre en considération les observations reçues après l’expiration d’un délai qu’elle a fixé.</w:t>
      </w:r>
    </w:p>
    <w:p w14:paraId="6D5F61D9" w14:textId="77777777" w:rsidR="00ED4E71" w:rsidRDefault="00ED4E71">
      <w:r>
        <w:t>3.</w:t>
      </w:r>
      <w:r>
        <w:tab/>
        <w:t xml:space="preserve">Dans leurs observations écrites, les parties auxquelles la Commission a fait part de ses objections ou qui ont été informées des objections retenues peuvent exposer tous les faits pertinents dont elles ont connaissance et joindre en annexe tous les documents utiles pour étayer ces faits. Elles peuvent aussi proposer que la Commission entende des personnes pouvant confirmer les faits invoqués. Elles présentent leurs observations à la Commission conformément à l’article 22 et aux instructions publiées par la Commission au </w:t>
      </w:r>
      <w:r>
        <w:rPr>
          <w:i/>
          <w:iCs/>
        </w:rPr>
        <w:t>Journal officiel de l’Union européenne</w:t>
      </w:r>
      <w:r>
        <w:t>. La Commission transmet sans délai des copies de ces observations écrites aux autorités compétentes des États membres.</w:t>
      </w:r>
    </w:p>
    <w:p w14:paraId="7F39A1F6" w14:textId="77777777" w:rsidR="00ED4E71" w:rsidRDefault="00ED4E71">
      <w:r>
        <w:t>4.</w:t>
      </w:r>
      <w:r>
        <w:tab/>
        <w:t>À la suite de l’adoption d’une communication des griefs, la Commission peut envoyer un exposé des faits aux parties notifiantes les informant des faits ou éléments nouveaux ou complémentaires qu’elle souhaite utiliser pour corroborer les objections déjà soulevées.</w:t>
      </w:r>
    </w:p>
    <w:p w14:paraId="61075C5E" w14:textId="77777777" w:rsidR="00ED4E71" w:rsidRDefault="00ED4E71">
      <w:r>
        <w:t>Lorsqu’elle communique son exposé des faits, la Commission indique aux parties notifiantes le délai dans lequel elles peuvent lui faire connaître leur point de vue par écrit.</w:t>
      </w:r>
    </w:p>
    <w:p w14:paraId="726F61AE" w14:textId="77777777" w:rsidR="00ED4E71" w:rsidRDefault="00ED4E71">
      <w:r>
        <w:t>5.</w:t>
      </w:r>
      <w:r>
        <w:tab/>
        <w:t>Lorsque la Commission envisage de prendre une décision en vertu de l’article 14 ou de l’article 15, du règlement (CE) n</w:t>
      </w:r>
      <w:r>
        <w:rPr>
          <w:vertAlign w:val="superscript"/>
        </w:rPr>
        <w:t>o</w:t>
      </w:r>
      <w:r>
        <w:t> 139/2004, elle procède, avant de consulter le comité consultatif, à l’audition des parties visées par cette décision, conformément à l’article 18, paragraphes 1 et 3, dudit règlement.</w:t>
      </w:r>
    </w:p>
    <w:p w14:paraId="360340C1" w14:textId="77777777" w:rsidR="00ED4E71" w:rsidRDefault="00ED4E71">
      <w:r>
        <w:t>La procédure prévue au paragraphe 2, premier et deuxième alinéas, et aux paragraphes 3 et 4, est applicable mutatis mutandis.</w:t>
      </w:r>
    </w:p>
    <w:p w14:paraId="35D7FF5C" w14:textId="77777777" w:rsidR="00ED4E71" w:rsidRDefault="00ED4E71">
      <w:pPr>
        <w:pStyle w:val="Titrearticle"/>
      </w:pPr>
      <w:r>
        <w:t>Article 14</w:t>
      </w:r>
    </w:p>
    <w:p w14:paraId="3A6C3EB2" w14:textId="77777777" w:rsidR="00ED4E71" w:rsidRDefault="00ED4E71">
      <w:pPr>
        <w:pStyle w:val="NormalCentered"/>
        <w:rPr>
          <w:b/>
          <w:bCs/>
        </w:rPr>
      </w:pPr>
      <w:r>
        <w:rPr>
          <w:b/>
          <w:bCs/>
        </w:rPr>
        <w:t>Auditions</w:t>
      </w:r>
    </w:p>
    <w:p w14:paraId="65ADF712" w14:textId="77777777" w:rsidR="00ED4E71" w:rsidRDefault="00ED4E71">
      <w:r>
        <w:t>1.</w:t>
      </w:r>
      <w:r>
        <w:tab/>
        <w:t>Lorsque la Commission envisage de prendre une décision en vertu de l’article 6, paragraphe 3, ou de l’article 8, paragraphes 2 à 6, du règlement (CE) n</w:t>
      </w:r>
      <w:r>
        <w:rPr>
          <w:vertAlign w:val="superscript"/>
        </w:rPr>
        <w:t>o</w:t>
      </w:r>
      <w:r>
        <w:t> 139/2004, elle donne aux parties notifiantes qui en auront fait la demande dans leurs observations écrites l’occasion de présenter leurs arguments dans le cadre d’une audition. Elle peut également, à d’autres stades de la procédure, leur donner l’occasion de lui faire connaître leur point de vue verbalement.</w:t>
      </w:r>
    </w:p>
    <w:p w14:paraId="5DEC6785" w14:textId="77777777" w:rsidR="00ED4E71" w:rsidRDefault="00ED4E71">
      <w:r>
        <w:t>2.</w:t>
      </w:r>
      <w:r>
        <w:tab/>
        <w:t>Lorsque la Commission envisage de prendre une décision en vertu de l’article 6, paragraphe 3, ou de l’article 8, paragraphes 2 à 6, du règlement (CE) n</w:t>
      </w:r>
      <w:r>
        <w:rPr>
          <w:vertAlign w:val="superscript"/>
        </w:rPr>
        <w:t>o</w:t>
      </w:r>
      <w:r>
        <w:t> 139/2004, elle donne aux autres parties intéressées qui en auront fait la demande dans leurs observations écrites l’occasion de présenter leurs arguments dans le cadre d’une audition. Elle peut également, à d’autres stades de la procédure, leur donner l’occasion de lui faire connaître leur point de vue verbalement.</w:t>
      </w:r>
    </w:p>
    <w:p w14:paraId="514C4E6E" w14:textId="77777777" w:rsidR="00ED4E71" w:rsidRDefault="00ED4E71">
      <w:r>
        <w:t>3.</w:t>
      </w:r>
      <w:r>
        <w:tab/>
        <w:t>Lorsque la Commission envisage de prendre une décision en vertu de l’article 14 ou de l’article 15, du règlement (CE) n</w:t>
      </w:r>
      <w:r>
        <w:rPr>
          <w:vertAlign w:val="superscript"/>
        </w:rPr>
        <w:t>o</w:t>
      </w:r>
      <w:r>
        <w:t> 139/2004, elle donne aux parties auxquelles elle envisage d’infliger une amende ou une astreinte, qui en auront fait la demande dans leurs observations écrites, l’occasion de présenter leurs arguments dans le cadre d’une audition. Elle peut également, à d’autres stades de la procédure, leur donner l’occasion de lui faire connaître leur point de vue verbalement.</w:t>
      </w:r>
    </w:p>
    <w:p w14:paraId="7769A820" w14:textId="77777777" w:rsidR="00ED4E71" w:rsidRDefault="00ED4E71">
      <w:pPr>
        <w:pStyle w:val="Titrearticle"/>
      </w:pPr>
      <w:r>
        <w:t>Article 15</w:t>
      </w:r>
    </w:p>
    <w:p w14:paraId="2B63CF7C" w14:textId="77777777" w:rsidR="00ED4E71" w:rsidRDefault="00ED4E71">
      <w:pPr>
        <w:pStyle w:val="NormalCentered"/>
        <w:rPr>
          <w:b/>
          <w:bCs/>
        </w:rPr>
      </w:pPr>
      <w:r>
        <w:rPr>
          <w:b/>
          <w:bCs/>
        </w:rPr>
        <w:t>Tenue des auditions</w:t>
      </w:r>
    </w:p>
    <w:p w14:paraId="2F1B8544" w14:textId="77777777" w:rsidR="00ED4E71" w:rsidRDefault="00ED4E71">
      <w:r>
        <w:t>1.</w:t>
      </w:r>
      <w:r>
        <w:tab/>
        <w:t>Les auditions sont conduites en toute indépendance par le conseiller-auditeur.</w:t>
      </w:r>
    </w:p>
    <w:p w14:paraId="4DD4448A" w14:textId="77777777" w:rsidR="00ED4E71" w:rsidRDefault="00ED4E71">
      <w:r>
        <w:t>2.</w:t>
      </w:r>
      <w:r>
        <w:tab/>
        <w:t>La Commission invite les personnes qui doivent être entendues à assister à l’audition à la date qu’elle fixe.</w:t>
      </w:r>
    </w:p>
    <w:p w14:paraId="63563CDF" w14:textId="77777777" w:rsidR="00ED4E71" w:rsidRDefault="00ED4E71">
      <w:r>
        <w:t>3.</w:t>
      </w:r>
      <w:r>
        <w:tab/>
        <w:t>La Commission invite les autorités compétentes des États membres à participer à l’audition.</w:t>
      </w:r>
    </w:p>
    <w:p w14:paraId="7E6A0F93" w14:textId="77777777" w:rsidR="00ED4E71" w:rsidRDefault="00ED4E71">
      <w:r>
        <w:t>4.</w:t>
      </w:r>
      <w:r>
        <w:tab/>
        <w:t>Les personnes invitées à se présenter comparaissent elles-mêmes ou sont représentées, selon le cas, par des représentants légaux ou statutaires. Les entreprises et les associations d’entreprises peuvent aussi être représentées par une personne dûment mandatée choisie parmi les membres de leur personnel permanent.</w:t>
      </w:r>
    </w:p>
    <w:p w14:paraId="45E46F11" w14:textId="77777777" w:rsidR="00ED4E71" w:rsidRDefault="00ED4E71">
      <w:r>
        <w:t>5.</w:t>
      </w:r>
      <w:r>
        <w:tab/>
        <w:t>Les personnes que la Commission entend peuvent être assistées par leurs conseillers juridiques ou par d’autres personnes qualifiées et dûment autorisées admises par le conseiller-auditeur.</w:t>
      </w:r>
    </w:p>
    <w:p w14:paraId="6785B1F8" w14:textId="77777777" w:rsidR="00ED4E71" w:rsidRDefault="00ED4E71">
      <w:r>
        <w:t>6.</w:t>
      </w:r>
      <w:r>
        <w:tab/>
        <w:t>Les auditions ne sont pas publiques. Chaque personne peut être entendue séparément ou en présence d’autres personnes invitées, en tenant compte de l’intérêt légitime des entreprises à ce que leurs secrets d’affaires et autres informations confidentielles soient protégés.</w:t>
      </w:r>
    </w:p>
    <w:p w14:paraId="0F096C49" w14:textId="77777777" w:rsidR="00ED4E71" w:rsidRDefault="00ED4E71">
      <w:r>
        <w:t>7.</w:t>
      </w:r>
      <w:r>
        <w:tab/>
        <w:t>Le conseiller-auditeur peut autoriser toutes les parties au sens de l’article 11, les services de la Commission et les autorités compétentes des États membres à poser des questions pendant l’audition.</w:t>
      </w:r>
    </w:p>
    <w:p w14:paraId="778BE34A" w14:textId="77777777" w:rsidR="00ED4E71" w:rsidRDefault="00ED4E71">
      <w:r>
        <w:t>8.</w:t>
      </w:r>
      <w:r>
        <w:tab/>
        <w:t>Le conseiller-auditeur peut organiser une réunion préparatoire avec les parties et les services de la Commission afin de faciliter l’organisation de l’audition.</w:t>
      </w:r>
    </w:p>
    <w:p w14:paraId="4C9B859E" w14:textId="77777777" w:rsidR="00ED4E71" w:rsidRDefault="00ED4E71">
      <w:r>
        <w:t>9.</w:t>
      </w:r>
      <w:r>
        <w:tab/>
        <w:t>Les déclarations de chaque personne entendue sont enregistrées. Sur demande, l’enregistrement de l’audition est mis à la disposition des personnes qui y ont assisté. Il est tenu compte de l’intérêt légitime des entreprises à ce que leurs secrets d’affaires et autres informations confidentielles soient protégés.</w:t>
      </w:r>
    </w:p>
    <w:p w14:paraId="0561E26E" w14:textId="77777777" w:rsidR="00ED4E71" w:rsidRDefault="00ED4E71">
      <w:pPr>
        <w:pStyle w:val="Titrearticle"/>
      </w:pPr>
      <w:r>
        <w:t>Article 16</w:t>
      </w:r>
    </w:p>
    <w:p w14:paraId="17385C3F" w14:textId="77777777" w:rsidR="00ED4E71" w:rsidRDefault="00ED4E71">
      <w:pPr>
        <w:pStyle w:val="NormalCentered"/>
        <w:rPr>
          <w:b/>
          <w:bCs/>
        </w:rPr>
      </w:pPr>
      <w:r>
        <w:rPr>
          <w:b/>
          <w:bCs/>
        </w:rPr>
        <w:t>Audition de tiers</w:t>
      </w:r>
    </w:p>
    <w:p w14:paraId="68379EE5" w14:textId="77777777" w:rsidR="00ED4E71" w:rsidRDefault="00ED4E71">
      <w:r>
        <w:t>1.</w:t>
      </w:r>
      <w:r>
        <w:tab/>
        <w:t>Si des tiers demandent à être entendus, la Commission les informe, par écrit, de la nature et de l’objet de la procédure et leur fixe un délai pour lui faire connaître leur point de vue.</w:t>
      </w:r>
    </w:p>
    <w:p w14:paraId="38D7B85E" w14:textId="77777777" w:rsidR="00ED4E71" w:rsidRDefault="00ED4E71">
      <w:r>
        <w:t>2.</w:t>
      </w:r>
      <w:r>
        <w:tab/>
        <w:t>Lorsqu’une communication des griefs ou une communication des griefs complémentaire est adoptée, la Commission peut envoyer aux tiers une version non confidentielle de cette communication ou les informer de la nature et de l’objet de la procédure par d’autres moyens appropriés. À cette fin, les parties notifiantes signalent toutes les informations qu’elles jugent confidentielles dans les objections, conformément à l’article 18, paragraphe 3, deuxième et troisième alinéas, dans un délai de cinq jours ouvrables à compter de la réception de la communication. La Commission communique la version non confidentielle des objections aux tiers aux seules fins de son utilisation dans la procédure concernée engagée en vertu du règlement (CE) n</w:t>
      </w:r>
      <w:r>
        <w:rPr>
          <w:vertAlign w:val="superscript"/>
        </w:rPr>
        <w:t>o</w:t>
      </w:r>
      <w:r>
        <w:t> 139/2004. Les tiers acceptent cette restriction d’utilisation préalablement à la réception de la version non confidentielle des objections.</w:t>
      </w:r>
    </w:p>
    <w:p w14:paraId="46C8CDAF" w14:textId="77777777" w:rsidR="00ED4E71" w:rsidRDefault="00ED4E71">
      <w:r>
        <w:t>En l’absence de communication des griefs, la Commission n’est nullement obligée de fournir aux tiers visés au paragraphe 1 des informations autres que celles concernant la nature et l’objet de la procédure.</w:t>
      </w:r>
    </w:p>
    <w:p w14:paraId="20877CC1" w14:textId="77777777" w:rsidR="00ED4E71" w:rsidRDefault="00ED4E71">
      <w:r>
        <w:t>3.</w:t>
      </w:r>
      <w:r>
        <w:tab/>
        <w:t>Les tiers visés au paragraphe 1 expriment leur point de vue par écrit dans le délai imparti. La Commission peut, si elle le juge approprié, donner aux tiers qui en auront fait la demande dans leurs observations écrites l’occasion de participer à une audition. Elle peut aussi, à défaut, leur donner l’occasion de lui faire connaître leur point de vue verbalement.</w:t>
      </w:r>
    </w:p>
    <w:p w14:paraId="08C9CB36" w14:textId="77777777" w:rsidR="00ED4E71" w:rsidRDefault="00ED4E71">
      <w:r>
        <w:t>4.</w:t>
      </w:r>
      <w:r>
        <w:tab/>
        <w:t>Elle peut inviter toute autre personne physique ou morale à lui faire part de son point de vue, tant par écrit que verbalement, y compris lors d’une audition.</w:t>
      </w:r>
    </w:p>
    <w:p w14:paraId="40859AF4" w14:textId="77777777" w:rsidR="00ED4E71" w:rsidRDefault="00ED4E71">
      <w:pPr>
        <w:pStyle w:val="SectionTitle"/>
      </w:pPr>
      <w:r>
        <w:t>CHAPITRE V</w:t>
      </w:r>
    </w:p>
    <w:p w14:paraId="60964F4A" w14:textId="77777777" w:rsidR="00ED4E71" w:rsidRDefault="00ED4E71">
      <w:pPr>
        <w:pStyle w:val="SectionTitle"/>
      </w:pPr>
      <w:r>
        <w:rPr>
          <w:i/>
          <w:iCs/>
        </w:rPr>
        <w:t>ACCÈS AU DOSSIER ET TRAITEMENT DES INFORMATIONS CONFIDENTIELLES</w:t>
      </w:r>
    </w:p>
    <w:p w14:paraId="016CC31F" w14:textId="77777777" w:rsidR="00ED4E71" w:rsidRDefault="00ED4E71">
      <w:pPr>
        <w:pStyle w:val="Titrearticle"/>
      </w:pPr>
      <w:r>
        <w:t>Article 17</w:t>
      </w:r>
    </w:p>
    <w:p w14:paraId="44862BB1" w14:textId="77777777" w:rsidR="00ED4E71" w:rsidRDefault="00ED4E71">
      <w:pPr>
        <w:pStyle w:val="NormalCentered"/>
        <w:rPr>
          <w:b/>
          <w:bCs/>
        </w:rPr>
      </w:pPr>
      <w:r>
        <w:rPr>
          <w:b/>
          <w:bCs/>
        </w:rPr>
        <w:t>Accès au dossier et utilisation des documents</w:t>
      </w:r>
    </w:p>
    <w:p w14:paraId="6A46FE51" w14:textId="77777777" w:rsidR="00ED4E71" w:rsidRDefault="00ED4E71">
      <w:r>
        <w:t>1.</w:t>
      </w:r>
      <w:r>
        <w:tab/>
        <w:t>Sur demande, la Commission accorde l’accès au dossier aux parties auxquelles elle a adressé une communication des griefs, afin qu’elles puissent exercer leurs droits de la défense. L’accès est accordé après notification de la communication des griefs par la Commission aux parties notifiantes.</w:t>
      </w:r>
    </w:p>
    <w:p w14:paraId="409746A3" w14:textId="77777777" w:rsidR="00ED4E71" w:rsidRDefault="00ED4E71">
      <w:r>
        <w:t>2.</w:t>
      </w:r>
      <w:r>
        <w:tab/>
        <w:t>La Commission peut aussi, sur demande, donner accès au dossier aux autres parties intéressées qui ont été informées des objections retenues, dans la mesure où cela leur est nécessaire pour présenter leurs observations.</w:t>
      </w:r>
    </w:p>
    <w:p w14:paraId="067DB38F" w14:textId="77777777" w:rsidR="00ED4E71" w:rsidRDefault="00ED4E71">
      <w:r>
        <w:t>3.</w:t>
      </w:r>
      <w:r>
        <w:tab/>
        <w:t>Le droit d’accès au dossier ne s’étend pas:</w:t>
      </w:r>
    </w:p>
    <w:p w14:paraId="1F5E2E59" w14:textId="77777777" w:rsidR="00ED4E71" w:rsidRDefault="00ED4E71">
      <w:pPr>
        <w:pStyle w:val="Point0"/>
      </w:pPr>
      <w:r>
        <w:tab/>
        <w:t>a)</w:t>
      </w:r>
      <w:r>
        <w:tab/>
        <w:t>aux données confidentielles;</w:t>
      </w:r>
    </w:p>
    <w:p w14:paraId="7B24C50D" w14:textId="77777777" w:rsidR="00ED4E71" w:rsidRDefault="00ED4E71">
      <w:pPr>
        <w:pStyle w:val="Point0"/>
      </w:pPr>
      <w:r>
        <w:tab/>
        <w:t>b)</w:t>
      </w:r>
      <w:r>
        <w:tab/>
        <w:t>aux documents internes de la Commission;</w:t>
      </w:r>
    </w:p>
    <w:p w14:paraId="4CA870D1" w14:textId="77777777" w:rsidR="00ED4E71" w:rsidRDefault="00ED4E71">
      <w:pPr>
        <w:pStyle w:val="Point0"/>
      </w:pPr>
      <w:r>
        <w:tab/>
        <w:t>c)</w:t>
      </w:r>
      <w:r>
        <w:tab/>
        <w:t>aux documents internes des autorités compétentes des États membres;</w:t>
      </w:r>
    </w:p>
    <w:p w14:paraId="74FCEDBF" w14:textId="77777777" w:rsidR="00ED4E71" w:rsidRDefault="00ED4E71">
      <w:pPr>
        <w:pStyle w:val="Point0"/>
      </w:pPr>
      <w:r>
        <w:tab/>
        <w:t>d)</w:t>
      </w:r>
      <w:r>
        <w:tab/>
        <w:t>à la correspondance entre la Commission et les autorités compétentes des États membres;</w:t>
      </w:r>
    </w:p>
    <w:p w14:paraId="2639A0D7" w14:textId="77777777" w:rsidR="00ED4E71" w:rsidRDefault="00ED4E71">
      <w:pPr>
        <w:pStyle w:val="Point0"/>
      </w:pPr>
      <w:r>
        <w:tab/>
        <w:t>e)</w:t>
      </w:r>
      <w:r>
        <w:tab/>
        <w:t>à la correspondance entre les autorités compétentes des États membres; et</w:t>
      </w:r>
    </w:p>
    <w:p w14:paraId="0BDC13AD" w14:textId="77777777" w:rsidR="00ED4E71" w:rsidRDefault="00ED4E71">
      <w:pPr>
        <w:pStyle w:val="Point0"/>
      </w:pPr>
      <w:r>
        <w:tab/>
        <w:t>f)</w:t>
      </w:r>
      <w:r>
        <w:tab/>
        <w:t>à la correspondance entre la Commission et les autres autorités de la concurrence.</w:t>
      </w:r>
    </w:p>
    <w:p w14:paraId="14EB96D6" w14:textId="77777777" w:rsidR="00ED4E71" w:rsidRDefault="00ED4E71">
      <w:r>
        <w:t>4.</w:t>
      </w:r>
      <w:r>
        <w:tab/>
        <w:t>Les documents obtenus au moyen de l’accès au dossier en application du présent article ne peuvent être utilisés que pour les besoins de la procédure concernée engagée en vertu du règlement (CE) n</w:t>
      </w:r>
      <w:r>
        <w:rPr>
          <w:vertAlign w:val="superscript"/>
        </w:rPr>
        <w:t>o</w:t>
      </w:r>
      <w:r>
        <w:t> 139/2004.</w:t>
      </w:r>
    </w:p>
    <w:p w14:paraId="2D06520E" w14:textId="77777777" w:rsidR="00ED4E71" w:rsidRDefault="00ED4E71">
      <w:pPr>
        <w:pStyle w:val="Titrearticle"/>
      </w:pPr>
      <w:r>
        <w:t>Article 18</w:t>
      </w:r>
    </w:p>
    <w:p w14:paraId="6686B368" w14:textId="77777777" w:rsidR="00ED4E71" w:rsidRDefault="00ED4E71">
      <w:pPr>
        <w:pStyle w:val="NormalCentered"/>
        <w:rPr>
          <w:b/>
          <w:bCs/>
        </w:rPr>
      </w:pPr>
      <w:r>
        <w:rPr>
          <w:b/>
          <w:bCs/>
        </w:rPr>
        <w:t>Traitement des informations confidentielles</w:t>
      </w:r>
    </w:p>
    <w:p w14:paraId="589D9231" w14:textId="77777777" w:rsidR="00ED4E71" w:rsidRDefault="00ED4E71">
      <w:r>
        <w:t>1.</w:t>
      </w:r>
      <w:r>
        <w:tab/>
        <w:t>Les renseignements recueillis, y compris les documents annexes, ne peuvent en aucun cas être communiqués ou rendus accessibles par la Commission:</w:t>
      </w:r>
    </w:p>
    <w:p w14:paraId="2FFE53D8" w14:textId="77777777" w:rsidR="00ED4E71" w:rsidRDefault="00ED4E71">
      <w:pPr>
        <w:pStyle w:val="Point0"/>
      </w:pPr>
      <w:r>
        <w:tab/>
        <w:t>a)</w:t>
      </w:r>
      <w:r>
        <w:tab/>
        <w:t>lorsqu’ils contiennent des secrets d’affaires ou d’autres informations confidentielles; et que</w:t>
      </w:r>
    </w:p>
    <w:p w14:paraId="4AE34A7A" w14:textId="77777777" w:rsidR="00ED4E71" w:rsidRDefault="00ED4E71">
      <w:pPr>
        <w:pStyle w:val="Point0"/>
      </w:pPr>
      <w:r>
        <w:tab/>
        <w:t>b)</w:t>
      </w:r>
      <w:r>
        <w:tab/>
        <w:t>la divulgation des informations n’est pas considérée par la Commission comme nécessaire pour les besoins de la procédure.</w:t>
      </w:r>
    </w:p>
    <w:p w14:paraId="0CAD0F54" w14:textId="77777777" w:rsidR="00ED4E71" w:rsidRDefault="00ED4E71">
      <w:r>
        <w:t>2.</w:t>
      </w:r>
      <w:r>
        <w:tab/>
        <w:t>Toute personne, entreprise ou association d’entreprises faisant connaître son point de vue ou ses observations conformément aux articles 12, 13 et 16 du présent règlement, fournissant des renseignements conformément à l’article 11 du règlement (CE) n</w:t>
      </w:r>
      <w:r>
        <w:rPr>
          <w:vertAlign w:val="superscript"/>
        </w:rPr>
        <w:t>o</w:t>
      </w:r>
      <w:r>
        <w:t> 139/2004 ou communiquant ultérieurement d’autres renseignements à la Commission dans le cadre de la même procédure signale clairement tous les éléments qu’elle juge confidentiels, explications à l’appui, et fournit séparément une version non confidentielle de ces documents dans le délai imparti par la Commission.</w:t>
      </w:r>
    </w:p>
    <w:p w14:paraId="6631B74B" w14:textId="77777777" w:rsidR="00ED4E71" w:rsidRDefault="00ED4E71">
      <w:r>
        <w:t>3.</w:t>
      </w:r>
      <w:r>
        <w:tab/>
        <w:t>Sans préjudice du paragraphe 2, la Commission peut demander aux personnes visées à l’article 3 du règlement (CE) n</w:t>
      </w:r>
      <w:r>
        <w:rPr>
          <w:vertAlign w:val="superscript"/>
        </w:rPr>
        <w:t>o</w:t>
      </w:r>
      <w:r>
        <w:t> 139/2004, aux entreprises et aux associations d’entreprises qui produisent ou ont produit des documents ou des déclarations conformément audit règlement, de signaler les documents ou les parties de documents qu’elles considèrent comme contenant des secrets d’affaires ou d’autres informations confidentielles leur appartenant et d’identifier les entreprises vis-à-vis desquelles ces documents doivent être considérés comme confidentiels.</w:t>
      </w:r>
    </w:p>
    <w:p w14:paraId="1C51B7C7" w14:textId="77777777" w:rsidR="00ED4E71" w:rsidRDefault="00ED4E71">
      <w:r>
        <w:t>La Commission peut également demander aux personnes visées à l’article 3 du règlement (CE) n</w:t>
      </w:r>
      <w:r>
        <w:rPr>
          <w:vertAlign w:val="superscript"/>
        </w:rPr>
        <w:t>o</w:t>
      </w:r>
      <w:r>
        <w:t> 139/2004, aux entreprises ou aux associations d’entreprises de signaler toute partie d’une communication des griefs, d’un résumé succinct de l’affaire ou d’une décision adoptée par la Commission qui contient, selon elles, des secrets d’affaires.</w:t>
      </w:r>
    </w:p>
    <w:p w14:paraId="0604069E" w14:textId="77777777" w:rsidR="00ED4E71" w:rsidRDefault="00ED4E71">
      <w:r>
        <w:t>Lorsqu’elles signalent des secrets d’affaires ou d’autres informations confidentielles, les personnes, entreprises et associations d’entreprises doivent donner des explications et fournir séparément une version non confidentielle des documents, dans le délai imparti par la Commission.</w:t>
      </w:r>
    </w:p>
    <w:p w14:paraId="637E8D26" w14:textId="77777777" w:rsidR="00ED4E71" w:rsidRDefault="00ED4E71">
      <w:r>
        <w:t>4.</w:t>
      </w:r>
      <w:r>
        <w:tab/>
        <w:t>Si les personnes, les entreprises ou les associations d’entreprises ne se conforment pas aux paragraphes 2 ou 3, la Commission peut considérer que les documents ou les déclarations en cause ne contiennent pas d’informations confidentielles.</w:t>
      </w:r>
    </w:p>
    <w:p w14:paraId="08F9DC06" w14:textId="77777777" w:rsidR="00ED4E71" w:rsidRDefault="00ED4E71">
      <w:pPr>
        <w:pStyle w:val="SectionTitle"/>
      </w:pPr>
      <w:r>
        <w:t>CHAPITRE VI</w:t>
      </w:r>
    </w:p>
    <w:p w14:paraId="747A9743" w14:textId="77777777" w:rsidR="00ED4E71" w:rsidRDefault="00ED4E71">
      <w:pPr>
        <w:pStyle w:val="SectionTitle"/>
      </w:pPr>
      <w:r>
        <w:rPr>
          <w:i/>
          <w:iCs/>
        </w:rPr>
        <w:t>ENGAGEMENTS PRÉSENTÉS PAR LES ENTREPRISES CONCERNÉES</w:t>
      </w:r>
    </w:p>
    <w:p w14:paraId="1E09D150" w14:textId="77777777" w:rsidR="00ED4E71" w:rsidRDefault="00ED4E71">
      <w:pPr>
        <w:pStyle w:val="Titrearticle"/>
      </w:pPr>
      <w:r>
        <w:t>Article 19</w:t>
      </w:r>
    </w:p>
    <w:p w14:paraId="79AFBA28" w14:textId="77777777" w:rsidR="00ED4E71" w:rsidRDefault="00ED4E71">
      <w:pPr>
        <w:pStyle w:val="NormalCentered"/>
        <w:rPr>
          <w:b/>
          <w:bCs/>
        </w:rPr>
      </w:pPr>
      <w:r>
        <w:rPr>
          <w:b/>
          <w:bCs/>
        </w:rPr>
        <w:t>Délais de présentation des engagements</w:t>
      </w:r>
    </w:p>
    <w:p w14:paraId="65859766" w14:textId="77777777" w:rsidR="00ED4E71" w:rsidRDefault="00ED4E71">
      <w:r>
        <w:t>1.</w:t>
      </w:r>
      <w:r>
        <w:tab/>
        <w:t>Les engagements que les entreprises concernées proposent conformément à l’article 6, paragraphe 2, du règlement (CE) n</w:t>
      </w:r>
      <w:r>
        <w:rPr>
          <w:vertAlign w:val="superscript"/>
        </w:rPr>
        <w:t>o</w:t>
      </w:r>
      <w:r>
        <w:t> 139/2004 doivent être communiqués à la Commission dans un délai de 20 jours ouvrables à compter de la date de réception de la notification.</w:t>
      </w:r>
    </w:p>
    <w:p w14:paraId="510E2275" w14:textId="77777777" w:rsidR="00ED4E71" w:rsidRDefault="00ED4E71">
      <w:r>
        <w:t>2.</w:t>
      </w:r>
      <w:r>
        <w:tab/>
        <w:t>Les engagements que les entreprises concernées proposent conformément à l’article 8, paragraphe 2, du règlement (CE) n</w:t>
      </w:r>
      <w:r>
        <w:rPr>
          <w:vertAlign w:val="superscript"/>
        </w:rPr>
        <w:t>o</w:t>
      </w:r>
      <w:r>
        <w:t> 139/2004 doivent être communiqués à la Commission dans un délai de 65 jours ouvrables à compter de la date d’engagement de la procédure.</w:t>
      </w:r>
    </w:p>
    <w:p w14:paraId="264CCCC1" w14:textId="77777777" w:rsidR="00ED4E71" w:rsidRDefault="00ED4E71">
      <w:r>
        <w:t>Lorsque les entreprises concernées proposent dans un premier temps des engagements dans un délai inférieur à 55 jours ouvrables à compter de la date d’engagement de la procédure et soumettent ensuite une version modifiée de ces engagements dans un délai égal ou supérieur à 55 jours ouvrables à compter de cette même date, les engagements modifiés sont considérés comme des engagements nouveaux aux fins de l’application de l’article 10, paragraphe 3, deuxième phrase, du règlement (CE) n</w:t>
      </w:r>
      <w:r>
        <w:rPr>
          <w:vertAlign w:val="superscript"/>
        </w:rPr>
        <w:t>o</w:t>
      </w:r>
      <w:r>
        <w:t> 139/2004.</w:t>
      </w:r>
    </w:p>
    <w:p w14:paraId="6B57D151" w14:textId="77777777" w:rsidR="00ED4E71" w:rsidRDefault="00ED4E71">
      <w:r>
        <w:t>Lorsque, conformément à l’article 10, paragraphe 3, deuxième alinéa, du règlement (CE) n</w:t>
      </w:r>
      <w:r>
        <w:rPr>
          <w:vertAlign w:val="superscript"/>
        </w:rPr>
        <w:t>o</w:t>
      </w:r>
      <w:r>
        <w:t> 139/2004, le délai d’adoption d’une décision en vertu de l’article 8, paragraphes 1 à 3, est prorogé, la période de 65 jours ouvrables pour la présentation des engagements est automatiquement prorogée d’un nombre identique de jours ouvrables.</w:t>
      </w:r>
    </w:p>
    <w:p w14:paraId="2305FC06" w14:textId="77777777" w:rsidR="00ED4E71" w:rsidRDefault="00ED4E71">
      <w:r>
        <w:t>Dans des circonstances exceptionnelles, la Commission peut accepter de tenir compte des engagements proposés après l’expiration du délai de présentation prescrit par le présent article. Dans sa décision d’accepter ou non de tenir compte des engagements proposés dans de telles circonstances, la Commission accorde une attention particulière à la nécessité de respecter les exigences prévues à l’article 19, paragraphe 5, du règlement (CE) n</w:t>
      </w:r>
      <w:r>
        <w:rPr>
          <w:vertAlign w:val="superscript"/>
        </w:rPr>
        <w:t>o</w:t>
      </w:r>
      <w:r>
        <w:t> 139/2004.</w:t>
      </w:r>
    </w:p>
    <w:p w14:paraId="37A245BA" w14:textId="77777777" w:rsidR="00ED4E71" w:rsidRDefault="00ED4E71">
      <w:r>
        <w:t>3.</w:t>
      </w:r>
      <w:r>
        <w:tab/>
        <w:t>Les articles 7, 8 et 9 s’appliquent mutatis mutandis.</w:t>
      </w:r>
    </w:p>
    <w:p w14:paraId="6759B859" w14:textId="77777777" w:rsidR="00ED4E71" w:rsidRDefault="00ED4E71">
      <w:pPr>
        <w:pStyle w:val="Titrearticle"/>
      </w:pPr>
      <w:r>
        <w:t>Article 20</w:t>
      </w:r>
    </w:p>
    <w:p w14:paraId="78022EFB" w14:textId="77777777" w:rsidR="00ED4E71" w:rsidRDefault="00ED4E71">
      <w:pPr>
        <w:pStyle w:val="NormalCentered"/>
        <w:rPr>
          <w:b/>
          <w:bCs/>
        </w:rPr>
      </w:pPr>
      <w:r>
        <w:rPr>
          <w:b/>
          <w:bCs/>
        </w:rPr>
        <w:t>Procédure de présentation des engagements</w:t>
      </w:r>
    </w:p>
    <w:p w14:paraId="06D14EAB" w14:textId="77777777" w:rsidR="00ED4E71" w:rsidRDefault="00ED4E71">
      <w:r>
        <w:t>1.</w:t>
      </w:r>
      <w:r>
        <w:tab/>
        <w:t>Les engagements présentés par les entreprises concernées conformément à l’article 6, paragraphe 2, ou à l’article 8, paragraphe 2, du règlement (CE) n</w:t>
      </w:r>
      <w:r>
        <w:rPr>
          <w:vertAlign w:val="superscript"/>
        </w:rPr>
        <w:t>o</w:t>
      </w:r>
      <w:r>
        <w:t xml:space="preserve"> 139/2004 sont soumis à la Commission conformément à l’article 22 et aux instructions publiées par la Commission au </w:t>
      </w:r>
      <w:r>
        <w:rPr>
          <w:i/>
          <w:iCs/>
        </w:rPr>
        <w:t>Journal officiel de l’Union européenne</w:t>
      </w:r>
      <w:r>
        <w:t>. La Commission transmet sans délai ces engagements aux autorités compétentes des États membres.</w:t>
      </w:r>
    </w:p>
    <w:p w14:paraId="26C3B6C9" w14:textId="77777777" w:rsidR="00ED4E71" w:rsidRDefault="00ED4E71">
      <w:r>
        <w:t>2.</w:t>
      </w:r>
      <w:r>
        <w:tab/>
        <w:t>Outre les obligations établies au paragraphe 1, les entreprises concernées, lorsqu’elles proposent des engagements conformément à l’article 6, paragraphe 2, ou à l’article 8, paragraphe 2, du règlement (CE) n</w:t>
      </w:r>
      <w:r>
        <w:rPr>
          <w:vertAlign w:val="superscript"/>
        </w:rPr>
        <w:t>o</w:t>
      </w:r>
      <w:r>
        <w:t xml:space="preserve"> 139/2004, fournissent les renseignements demandés dans le formulaire RM figurant à l’annexe IV du présent règlement conformément à l’article 22 et aux instructions publiées par la Commission au </w:t>
      </w:r>
      <w:r>
        <w:rPr>
          <w:i/>
          <w:iCs/>
        </w:rPr>
        <w:t>Journal officiel de l’Union européenne</w:t>
      </w:r>
      <w:r>
        <w:t>. Ces renseignements doivent être exacts et complets.</w:t>
      </w:r>
    </w:p>
    <w:p w14:paraId="3D480D7E" w14:textId="77777777" w:rsidR="00ED4E71" w:rsidRDefault="00ED4E71">
      <w:r>
        <w:t>L’article 4 s’applique mutatis mutandis au formulaire RM qui accompagne les engagements proposés conformément à l’article 6, paragraphe 2, ou à l’article 8, paragraphe 2, du règlement (CE) n</w:t>
      </w:r>
      <w:r>
        <w:rPr>
          <w:vertAlign w:val="superscript"/>
        </w:rPr>
        <w:t>o</w:t>
      </w:r>
      <w:r>
        <w:t> 139/2004.</w:t>
      </w:r>
    </w:p>
    <w:p w14:paraId="103A77C3" w14:textId="77777777" w:rsidR="00ED4E71" w:rsidRDefault="00ED4E71">
      <w:r>
        <w:t>3.</w:t>
      </w:r>
      <w:r>
        <w:tab/>
        <w:t>Lorsqu’elles proposent des engagements conformément à l’article 6, paragraphe 2, ou à l’article 8, paragraphe 2, du règlement (CE) n</w:t>
      </w:r>
      <w:r>
        <w:rPr>
          <w:vertAlign w:val="superscript"/>
        </w:rPr>
        <w:t>o</w:t>
      </w:r>
      <w:r>
        <w:t> 139/2004, les entreprises concernées signalent clairement les informations qu’elles jugent confidentielles, explications à l’appui, et fournissent séparément une version non confidentielle.</w:t>
      </w:r>
    </w:p>
    <w:p w14:paraId="2E113747" w14:textId="77777777" w:rsidR="00ED4E71" w:rsidRDefault="00ED4E71">
      <w:r>
        <w:t>4.</w:t>
      </w:r>
      <w:r>
        <w:tab/>
        <w:t>Les engagements proposés conformément à l’article 6, paragraphe 2, ou à l’article 8, paragraphe 2, du règlement (CE) n</w:t>
      </w:r>
      <w:r>
        <w:rPr>
          <w:vertAlign w:val="superscript"/>
        </w:rPr>
        <w:t>o</w:t>
      </w:r>
      <w:r>
        <w:t> 139/2004 sont signés par les parties notifiantes, ainsi que par les autres parties intéressées auxquelles les engagements imposent des obligations.</w:t>
      </w:r>
    </w:p>
    <w:p w14:paraId="6582648D" w14:textId="77777777" w:rsidR="00ED4E71" w:rsidRDefault="00ED4E71">
      <w:r>
        <w:t>5.</w:t>
      </w:r>
      <w:r>
        <w:tab/>
        <w:t>Une version non confidentielle des engagements est publiée sur le site web de la direction générale de la concurrence de la Commission sans délai après l’adoption d’une décision en vertu de l’article 6, paragraphe 2, ou de l’article 8, paragraphe 2, du règlement (CE) n</w:t>
      </w:r>
      <w:r>
        <w:rPr>
          <w:vertAlign w:val="superscript"/>
        </w:rPr>
        <w:t>o</w:t>
      </w:r>
      <w:r>
        <w:t> 139/2004. À cet effet, les parties notifiantes fournissent à la Commission une version non confidentielle des engagements dans un délai de cinq jours ouvrables à compter de l’adoption de la décision en vertu de l’article 6, paragraphe 2, ou de l’article 8, paragraphe 2, du règlement (CE) n</w:t>
      </w:r>
      <w:r>
        <w:rPr>
          <w:vertAlign w:val="superscript"/>
        </w:rPr>
        <w:t>o</w:t>
      </w:r>
      <w:r>
        <w:t> 139/2004.</w:t>
      </w:r>
    </w:p>
    <w:p w14:paraId="5658532F" w14:textId="77777777" w:rsidR="00ED4E71" w:rsidRDefault="00ED4E71">
      <w:pPr>
        <w:pStyle w:val="Titrearticle"/>
      </w:pPr>
      <w:r>
        <w:t>Article 21</w:t>
      </w:r>
    </w:p>
    <w:p w14:paraId="157C0360" w14:textId="77777777" w:rsidR="00ED4E71" w:rsidRDefault="00ED4E71">
      <w:pPr>
        <w:pStyle w:val="NormalCentered"/>
        <w:rPr>
          <w:b/>
          <w:bCs/>
        </w:rPr>
      </w:pPr>
      <w:r>
        <w:rPr>
          <w:b/>
          <w:bCs/>
        </w:rPr>
        <w:t>Mandataires</w:t>
      </w:r>
    </w:p>
    <w:p w14:paraId="519A306C" w14:textId="77777777" w:rsidR="00ED4E71" w:rsidRDefault="00ED4E71">
      <w:r>
        <w:t>1.</w:t>
      </w:r>
      <w:r>
        <w:tab/>
        <w:t>Les engagements présentés par les entreprises concernées conformément à l’article 6, paragraphe 2, ou à l’article 8, paragraphe 2, du règlement (CE) n</w:t>
      </w:r>
      <w:r>
        <w:rPr>
          <w:vertAlign w:val="superscript"/>
        </w:rPr>
        <w:t>o</w:t>
      </w:r>
      <w:r>
        <w:t> 139/2004 peuvent inclure, aux frais de ces entreprises, la désignation d’un ou de plusieurs mandataires indépendants chargés d’aider la Commission à surveiller le respect par les parties de leurs engagements ou de mettre en œuvre ces engagements. Les mandataires peuvent être désignés par les parties, après approbation de la Commission, ou par la Commission. Ils remplissent leurs tâches sous le contrôle de cette dernière.</w:t>
      </w:r>
    </w:p>
    <w:p w14:paraId="23408211" w14:textId="77777777" w:rsidR="00ED4E71" w:rsidRDefault="00ED4E71">
      <w:r>
        <w:t>2.</w:t>
      </w:r>
      <w:r>
        <w:tab/>
        <w:t>La Commission peut assortir la décision qu’elle prend en vertu de l’article 6, paragraphe 2, ou de l’article 8, paragraphe 2, du règlement (CE) n</w:t>
      </w:r>
      <w:r>
        <w:rPr>
          <w:vertAlign w:val="superscript"/>
        </w:rPr>
        <w:t>o</w:t>
      </w:r>
      <w:r>
        <w:t> 139/2004 de conditions et de charges liées aux mandataires visés au paragraphe 1.</w:t>
      </w:r>
    </w:p>
    <w:p w14:paraId="7CCA900D" w14:textId="77777777" w:rsidR="00ED4E71" w:rsidRDefault="00ED4E71">
      <w:pPr>
        <w:pStyle w:val="SectionTitle"/>
      </w:pPr>
      <w:r>
        <w:t>CHAPITRE VII</w:t>
      </w:r>
    </w:p>
    <w:p w14:paraId="020546AD" w14:textId="77777777" w:rsidR="00ED4E71" w:rsidRDefault="00ED4E71">
      <w:pPr>
        <w:pStyle w:val="SectionTitle"/>
      </w:pPr>
      <w:r>
        <w:rPr>
          <w:i/>
          <w:iCs/>
        </w:rPr>
        <w:t>DISPOSITIONS DIVERSES</w:t>
      </w:r>
    </w:p>
    <w:p w14:paraId="1F750961" w14:textId="77777777" w:rsidR="00ED4E71" w:rsidRDefault="00ED4E71">
      <w:pPr>
        <w:pStyle w:val="Titrearticle"/>
      </w:pPr>
      <w:r>
        <w:t>Article 22</w:t>
      </w:r>
    </w:p>
    <w:p w14:paraId="67F5A05C" w14:textId="77777777" w:rsidR="00ED4E71" w:rsidRDefault="00ED4E71">
      <w:pPr>
        <w:pStyle w:val="NormalCentered"/>
        <w:rPr>
          <w:b/>
          <w:bCs/>
        </w:rPr>
      </w:pPr>
      <w:r>
        <w:rPr>
          <w:b/>
          <w:bCs/>
        </w:rPr>
        <w:t>Transmission et signature des documents</w:t>
      </w:r>
    </w:p>
    <w:p w14:paraId="5515DD43" w14:textId="77777777" w:rsidR="00ED4E71" w:rsidRDefault="00ED4E71">
      <w:r>
        <w:t>1.</w:t>
      </w:r>
      <w:r>
        <w:tab/>
        <w:t>La transmission de documents à et par la Commission se fait par voie numérique, sauf lorsque la Commission autorise à titre exceptionnel le recours aux autres moyens de transmission énumérés aux paragraphes 6 et 7.</w:t>
      </w:r>
    </w:p>
    <w:p w14:paraId="42D62623" w14:textId="77777777" w:rsidR="00ED4E71" w:rsidRDefault="00ED4E71">
      <w:r>
        <w:t>2.</w:t>
      </w:r>
      <w:r>
        <w:tab/>
        <w:t>Lorsqu’une signature est exigée, les documents transmis par voie électronique doivent être signés à l’aide d’au moins une signature électronique qualifiée (SEQ) satisfaisant aux exigences énoncées dans le règlement (UE) n</w:t>
      </w:r>
      <w:r>
        <w:rPr>
          <w:vertAlign w:val="superscript"/>
        </w:rPr>
        <w:t>o</w:t>
      </w:r>
      <w:r>
        <w:t> 910/2014 (le «règlement eIDAS»)</w:t>
      </w:r>
      <w:r>
        <w:rPr>
          <w:rStyle w:val="FootnoteReference"/>
        </w:rPr>
        <w:footnoteReference w:id="1"/>
      </w:r>
      <w:r>
        <w:t xml:space="preserve"> et ses futures modifications.</w:t>
      </w:r>
    </w:p>
    <w:p w14:paraId="2C81DB8A" w14:textId="77777777" w:rsidR="00ED4E71" w:rsidRDefault="00ED4E71">
      <w:r>
        <w:t>3.</w:t>
      </w:r>
      <w:r>
        <w:tab/>
        <w:t xml:space="preserve">Les spécifications techniques détaillées relatives aux moyens de transmission et à la signature sont publiées au </w:t>
      </w:r>
      <w:r>
        <w:rPr>
          <w:i/>
          <w:iCs/>
        </w:rPr>
        <w:t>Journal officiel de l’Union européenne</w:t>
      </w:r>
      <w:r>
        <w:t xml:space="preserve"> et sont disponibles sur le site web de la direction générale de la concurrence de la Commission.</w:t>
      </w:r>
    </w:p>
    <w:p w14:paraId="0CD01A46" w14:textId="77777777" w:rsidR="00ED4E71" w:rsidRDefault="00ED4E71">
      <w:r>
        <w:t>4.</w:t>
      </w:r>
      <w:r>
        <w:tab/>
        <w:t>À l’exception des formulaires figurant aux annexes I, II et III, tous les documents transmis par voie électronique à la Commission un jour ouvrable sont réputés avoir été reçus le jour de leur envoi, à condition qu’un accusé de réception automatique indique dans son horodatage qu’ils ont été reçus ce jour-là. Les formulaires figurant aux annexes I, II et III transmis par voie électronique à la Commission un jour ouvrable sont réputés avoir été reçus le jour de leur envoi, à condition qu’un accusé de réception automatique indique dans son horodatage qu’ils ont été reçus ce jour-là avant ou durant les heures d’ouverture indiquées sur le site web de la DG Concurrence. Les formulaires figurant aux annexes I, II et III transmis par voie électronique à la Commission un jour ouvrable après les heures d’ouverture indiquées sur le site web de la DG Concurrence sont réputés avoir été reçus le jour ouvrable qui suit. Tous les documents transmis par voie électronique à la Commission en dehors d’un jour ouvrable sont réputés avoir été reçus le jour ouvrable qui suit.</w:t>
      </w:r>
    </w:p>
    <w:p w14:paraId="268C9A71" w14:textId="77777777" w:rsidR="00ED4E71" w:rsidRDefault="00ED4E71">
      <w:r>
        <w:t>5.</w:t>
      </w:r>
      <w:r>
        <w:tab/>
        <w:t>Les documents transmis par voie électronique à la Commission ne sont pas réputés avoir été reçus lorsque les documents ou une partie de ceux-ci:</w:t>
      </w:r>
    </w:p>
    <w:p w14:paraId="7B0D9E90" w14:textId="77777777" w:rsidR="00ED4E71" w:rsidRDefault="00ED4E71">
      <w:pPr>
        <w:pStyle w:val="Point0"/>
      </w:pPr>
      <w:r>
        <w:tab/>
        <w:t>a)</w:t>
      </w:r>
      <w:r>
        <w:tab/>
        <w:t>sont inutilisables (corrompus);</w:t>
      </w:r>
    </w:p>
    <w:p w14:paraId="5488FF62" w14:textId="77777777" w:rsidR="00ED4E71" w:rsidRDefault="00ED4E71">
      <w:pPr>
        <w:pStyle w:val="Point0"/>
      </w:pPr>
      <w:r>
        <w:tab/>
        <w:t>b)</w:t>
      </w:r>
      <w:r>
        <w:tab/>
        <w:t>contiennent des virus, des logiciels malveillants ou d’autres menaces;</w:t>
      </w:r>
    </w:p>
    <w:p w14:paraId="26BA4338" w14:textId="77777777" w:rsidR="00ED4E71" w:rsidRDefault="00ED4E71">
      <w:pPr>
        <w:pStyle w:val="Point0"/>
      </w:pPr>
      <w:r>
        <w:tab/>
        <w:t>c)</w:t>
      </w:r>
      <w:r>
        <w:tab/>
        <w:t>contiennent des signatures électroniques dont la Commission ne peut pas vérifier la validité.</w:t>
      </w:r>
    </w:p>
    <w:p w14:paraId="52B19568" w14:textId="77777777" w:rsidR="00ED4E71" w:rsidRDefault="00ED4E71">
      <w:r>
        <w:t>En pareils cas, la Commission informe l’expéditeur sans délai.</w:t>
      </w:r>
    </w:p>
    <w:p w14:paraId="01BD9D5D" w14:textId="77777777" w:rsidR="00ED4E71" w:rsidRDefault="00ED4E71">
      <w:r>
        <w:t>6.</w:t>
      </w:r>
      <w:r>
        <w:tab/>
        <w:t xml:space="preserve">Les documents transmis à la Commission par envoi recommandé sont réputés avoir été reçus le jour de leur arrivée à l’adresse publiée au </w:t>
      </w:r>
      <w:r>
        <w:rPr>
          <w:i/>
          <w:iCs/>
        </w:rPr>
        <w:t>Journal officiel de l’Union européenne</w:t>
      </w:r>
      <w:r>
        <w:t>. Cette adresse figure également sur le site web de la direction générale de la concurrence de la Commission.</w:t>
      </w:r>
    </w:p>
    <w:p w14:paraId="624A9F72" w14:textId="77777777" w:rsidR="00ED4E71" w:rsidRDefault="00ED4E71">
      <w:r>
        <w:t>7.</w:t>
      </w:r>
      <w:r>
        <w:tab/>
        <w:t xml:space="preserve">Les documents remis en main propre à la Commission sont réputés avoir été reçus le jour de leur arrivée à l’adresse publiée au </w:t>
      </w:r>
      <w:r>
        <w:rPr>
          <w:i/>
          <w:iCs/>
        </w:rPr>
        <w:t>Journal officiel de l’Union européenne</w:t>
      </w:r>
      <w:r>
        <w:t>, pour autant que la Commission le confirme par un accusé de réception. Cette adresse figure également sur le site web de la direction générale de la concurrence de la Commission.</w:t>
      </w:r>
    </w:p>
    <w:p w14:paraId="63D3CE20" w14:textId="77777777" w:rsidR="00ED4E71" w:rsidRDefault="00ED4E71">
      <w:pPr>
        <w:pStyle w:val="Titrearticle"/>
      </w:pPr>
      <w:r>
        <w:t>Article 23</w:t>
      </w:r>
    </w:p>
    <w:p w14:paraId="4F97A02E" w14:textId="77777777" w:rsidR="00ED4E71" w:rsidRDefault="00ED4E71">
      <w:pPr>
        <w:pStyle w:val="NormalCentered"/>
        <w:rPr>
          <w:b/>
          <w:bCs/>
        </w:rPr>
      </w:pPr>
      <w:r>
        <w:rPr>
          <w:b/>
          <w:bCs/>
        </w:rPr>
        <w:t>Fixation des délais</w:t>
      </w:r>
    </w:p>
    <w:p w14:paraId="06E8D689" w14:textId="77777777" w:rsidR="00ED4E71" w:rsidRDefault="00ED4E71">
      <w:r>
        <w:t>1.</w:t>
      </w:r>
      <w:r>
        <w:tab/>
        <w:t>Lorsqu’elle fixe les délais visés à l’article 12, paragraphes 1 et 2, à l’article 13, paragraphe 2, et à l’article 16, paragraphe 1, la Commission tient compte de l’urgence de l’affaire et du temps nécessaire pour que les parties notifiantes, les autres parties intéressées ou les tiers élaborent leurs points de vue ou observations. La Commission tient également compte des jours fériés dans le pays où se situent les parties notifiantes, les autres parties intéressées ou les tiers.</w:t>
      </w:r>
    </w:p>
    <w:p w14:paraId="2D7B06BC" w14:textId="77777777" w:rsidR="00ED4E71" w:rsidRDefault="00ED4E71">
      <w:r>
        <w:t>2.</w:t>
      </w:r>
      <w:r>
        <w:tab/>
        <w:t>Les délais sont fixés avec indication de leur date d’expiration.</w:t>
      </w:r>
    </w:p>
    <w:p w14:paraId="63BE2047" w14:textId="77777777" w:rsidR="00ED4E71" w:rsidRDefault="00ED4E71">
      <w:pPr>
        <w:pStyle w:val="Titrearticle"/>
      </w:pPr>
      <w:r>
        <w:t>Article 24</w:t>
      </w:r>
    </w:p>
    <w:p w14:paraId="0FE936A9" w14:textId="77777777" w:rsidR="00ED4E71" w:rsidRDefault="00ED4E71">
      <w:pPr>
        <w:pStyle w:val="NormalCentered"/>
        <w:rPr>
          <w:b/>
          <w:bCs/>
        </w:rPr>
      </w:pPr>
      <w:r>
        <w:rPr>
          <w:b/>
          <w:bCs/>
        </w:rPr>
        <w:t>Jours ouvrables</w:t>
      </w:r>
    </w:p>
    <w:p w14:paraId="00E2B655" w14:textId="77777777" w:rsidR="00ED4E71" w:rsidRDefault="00ED4E71">
      <w:r>
        <w:t>Par «jours ouvrables» au sens du règlement (CE) n</w:t>
      </w:r>
      <w:r>
        <w:rPr>
          <w:vertAlign w:val="superscript"/>
        </w:rPr>
        <w:t>o</w:t>
      </w:r>
      <w:r>
        <w:t xml:space="preserve"> 139/2004 et du présent règlement, on entend tous les jours autres que les samedis, les dimanches et les jours de congé de la Commission publiés au </w:t>
      </w:r>
      <w:r>
        <w:rPr>
          <w:i/>
          <w:iCs/>
        </w:rPr>
        <w:t>Journal officiel de l’Union européenne</w:t>
      </w:r>
      <w:r>
        <w:t xml:space="preserve"> avant le début de chaque nouvelle année.</w:t>
      </w:r>
    </w:p>
    <w:p w14:paraId="1479928E" w14:textId="77777777" w:rsidR="00ED4E71" w:rsidRDefault="00ED4E71">
      <w:pPr>
        <w:pStyle w:val="Titrearticle"/>
      </w:pPr>
      <w:r>
        <w:t>Article 25</w:t>
      </w:r>
    </w:p>
    <w:p w14:paraId="16F8037E" w14:textId="77777777" w:rsidR="00ED4E71" w:rsidRDefault="00ED4E71">
      <w:pPr>
        <w:pStyle w:val="NormalCentered"/>
        <w:rPr>
          <w:b/>
          <w:bCs/>
        </w:rPr>
      </w:pPr>
      <w:r>
        <w:rPr>
          <w:b/>
          <w:bCs/>
        </w:rPr>
        <w:t>Abrogation et dispositions transitoires</w:t>
      </w:r>
    </w:p>
    <w:p w14:paraId="43AAB6B4" w14:textId="77777777" w:rsidR="00ED4E71" w:rsidRDefault="00ED4E71">
      <w:r>
        <w:t>1.</w:t>
      </w:r>
      <w:r>
        <w:tab/>
        <w:t>Sans préjudice du paragraphe 2, le règlement (CE) n</w:t>
      </w:r>
      <w:r>
        <w:rPr>
          <w:vertAlign w:val="superscript"/>
        </w:rPr>
        <w:t>o</w:t>
      </w:r>
      <w:r>
        <w:t> 802/2004 est abrogé avec effet au 1</w:t>
      </w:r>
      <w:r>
        <w:rPr>
          <w:vertAlign w:val="superscript"/>
        </w:rPr>
        <w:t>er</w:t>
      </w:r>
      <w:r>
        <w:t> septembre 2023.</w:t>
      </w:r>
    </w:p>
    <w:p w14:paraId="072FE2E2" w14:textId="77777777" w:rsidR="00ED4E71" w:rsidRDefault="00ED4E71">
      <w:r>
        <w:t>Les références au règlement abrogé s’entendent comme faites au présent règlement.</w:t>
      </w:r>
    </w:p>
    <w:p w14:paraId="531FBED5" w14:textId="77777777" w:rsidR="00ED4E71" w:rsidRDefault="00ED4E71">
      <w:r>
        <w:t>2.</w:t>
      </w:r>
      <w:r>
        <w:tab/>
        <w:t>Le règlement (CE) n</w:t>
      </w:r>
      <w:r>
        <w:rPr>
          <w:vertAlign w:val="superscript"/>
        </w:rPr>
        <w:t>o</w:t>
      </w:r>
      <w:r>
        <w:t> 802/2004 continue à s’appliquer à toute concentration relevant du champ d’application du règlement (CE) n</w:t>
      </w:r>
      <w:r>
        <w:rPr>
          <w:vertAlign w:val="superscript"/>
        </w:rPr>
        <w:t>o</w:t>
      </w:r>
      <w:r>
        <w:t> 139/2004 et notifiée au plus tard le 31 août 2023.</w:t>
      </w:r>
    </w:p>
    <w:p w14:paraId="03E8DD34" w14:textId="77777777" w:rsidR="00ED4E71" w:rsidRDefault="00ED4E71">
      <w:pPr>
        <w:pStyle w:val="Titrearticle"/>
      </w:pPr>
      <w:r>
        <w:t>Article 26</w:t>
      </w:r>
    </w:p>
    <w:p w14:paraId="177AD5FB" w14:textId="77777777" w:rsidR="00ED4E71" w:rsidRDefault="00ED4E71">
      <w:pPr>
        <w:pStyle w:val="NormalCentered"/>
        <w:rPr>
          <w:b/>
          <w:bCs/>
        </w:rPr>
      </w:pPr>
      <w:r>
        <w:rPr>
          <w:b/>
          <w:bCs/>
        </w:rPr>
        <w:t>Entrée en vigueur</w:t>
      </w:r>
    </w:p>
    <w:p w14:paraId="5E6FB99A" w14:textId="77777777" w:rsidR="00ED4E71" w:rsidRDefault="00ED4E71">
      <w:r>
        <w:t>Le présent règlement entre en vigueur le 1</w:t>
      </w:r>
      <w:r>
        <w:rPr>
          <w:vertAlign w:val="superscript"/>
        </w:rPr>
        <w:t>er</w:t>
      </w:r>
      <w:r>
        <w:t> septembre 2023.</w:t>
      </w:r>
    </w:p>
    <w:p w14:paraId="7F30245B" w14:textId="77777777" w:rsidR="00ED4E71" w:rsidRDefault="00ED4E71">
      <w:pPr>
        <w:pStyle w:val="Applicationdirecte"/>
      </w:pPr>
      <w:r>
        <w:t>Le présent règlement est obligatoire dans tous ses éléments et directement applicable dans tout État membre.</w:t>
      </w:r>
    </w:p>
    <w:p w14:paraId="74EFA7F9" w14:textId="77777777" w:rsidR="00ED4E71" w:rsidRDefault="00ED4E71">
      <w:pPr>
        <w:adjustRightInd w:val="0"/>
        <w:spacing w:before="0" w:after="0"/>
        <w:jc w:val="left"/>
        <w:rPr>
          <w:lang w:val="en-US"/>
        </w:rPr>
        <w:sectPr w:rsidR="00ED4E71" w:rsidSect="002B0B36">
          <w:pgSz w:w="11906" w:h="16838"/>
          <w:pgMar w:top="1134" w:right="1418" w:bottom="1134" w:left="1418" w:header="709" w:footer="709" w:gutter="0"/>
          <w:pgNumType w:start="1"/>
          <w:cols w:space="709"/>
        </w:sectPr>
      </w:pPr>
    </w:p>
    <w:p w14:paraId="41DFCA81" w14:textId="77777777" w:rsidR="008D3476" w:rsidRDefault="008D3476" w:rsidP="008D3476">
      <w:pPr>
        <w:pStyle w:val="Annexetitreacte"/>
      </w:pPr>
      <w:r>
        <w:t>ANNEXE III</w:t>
      </w:r>
    </w:p>
    <w:p w14:paraId="41687CFF" w14:textId="77777777" w:rsidR="008D3476" w:rsidRDefault="008D3476" w:rsidP="008D3476">
      <w:pPr>
        <w:pStyle w:val="NormalCentered"/>
        <w:rPr>
          <w:b/>
          <w:bCs/>
        </w:rPr>
      </w:pPr>
      <w:r>
        <w:rPr>
          <w:b/>
          <w:bCs/>
        </w:rPr>
        <w:t>FORMULAIRE RELATIF AUX MÉMOIRES MOTIVÉS CONFORMÉMENT À L’ARTICLE 4, PARAGRAPHES 4 ET 5, DU RÈGLEMENT (CE) N</w:t>
      </w:r>
      <w:r>
        <w:rPr>
          <w:b/>
          <w:bCs/>
          <w:vertAlign w:val="superscript"/>
        </w:rPr>
        <w:t>O</w:t>
      </w:r>
      <w:r>
        <w:rPr>
          <w:b/>
          <w:bCs/>
        </w:rPr>
        <w:t> 139/2004 DU CONSEIL</w:t>
      </w:r>
    </w:p>
    <w:p w14:paraId="60901D13" w14:textId="77777777" w:rsidR="008D3476" w:rsidRDefault="008D3476" w:rsidP="008D3476">
      <w:pPr>
        <w:pStyle w:val="NormalCentered"/>
        <w:rPr>
          <w:b/>
          <w:bCs/>
        </w:rPr>
      </w:pPr>
      <w:r>
        <w:rPr>
          <w:b/>
          <w:bCs/>
        </w:rPr>
        <w:t>(FORMULAIRE RS)</w:t>
      </w:r>
    </w:p>
    <w:p w14:paraId="13B844F6" w14:textId="77777777" w:rsidR="008D3476" w:rsidRDefault="008D3476" w:rsidP="008D3476">
      <w:pPr>
        <w:pStyle w:val="ManualHeading1"/>
        <w:numPr>
          <w:ilvl w:val="0"/>
          <w:numId w:val="0"/>
        </w:numPr>
        <w:ind w:left="851" w:hanging="851"/>
      </w:pPr>
      <w:r>
        <w:t>INTRODUCTION</w:t>
      </w:r>
    </w:p>
    <w:p w14:paraId="1F3A49CA" w14:textId="77777777" w:rsidR="008D3476" w:rsidRDefault="008D3476" w:rsidP="008D3476">
      <w:pPr>
        <w:pStyle w:val="ManualHeading2"/>
        <w:numPr>
          <w:ilvl w:val="0"/>
          <w:numId w:val="0"/>
        </w:numPr>
        <w:ind w:left="851" w:hanging="851"/>
      </w:pPr>
      <w:r>
        <w:t>A.</w:t>
      </w:r>
      <w:r>
        <w:tab/>
      </w:r>
      <w:r>
        <w:rPr>
          <w:i/>
          <w:iCs/>
        </w:rPr>
        <w:t>Objet du formulaire RS</w:t>
      </w:r>
    </w:p>
    <w:p w14:paraId="1A2D9B9C" w14:textId="77777777" w:rsidR="008D3476" w:rsidRDefault="008D3476" w:rsidP="008D3476">
      <w:r>
        <w:t>(1)</w:t>
      </w:r>
      <w:r>
        <w:tab/>
        <w:t>Le présent formulaire RS indique les informations qui doivent être fournies dans le cadre de toute demande, au moyen d’un mémoire motivé, d’un renvoi en prénotification, au titre de l’article 4, paragraphe 4 ou 5, du règlement (CE) n</w:t>
      </w:r>
      <w:r>
        <w:rPr>
          <w:vertAlign w:val="superscript"/>
        </w:rPr>
        <w:t>o</w:t>
      </w:r>
      <w:r>
        <w:t> 139/2004</w:t>
      </w:r>
      <w:r>
        <w:rPr>
          <w:rStyle w:val="FootnoteReference"/>
        </w:rPr>
        <w:footnoteReference w:id="2"/>
      </w:r>
      <w:r>
        <w:t xml:space="preserve"> (le «règlement sur les concentrations»). Le système de contrôle des concentrations de l’Union européenne est défini dans le règlement sur les concentrations et dans le règlement d’exécution (UE) 2023/914 de la Commission concernant la mise en œuvre du règlement (CE) n</w:t>
      </w:r>
      <w:r>
        <w:rPr>
          <w:vertAlign w:val="superscript"/>
        </w:rPr>
        <w:t>o</w:t>
      </w:r>
      <w:r>
        <w:t> 139/2004 du Conseil relatif au contrôle des concentrations entre entreprises (le «règlement d’exécution»)</w:t>
      </w:r>
      <w:r>
        <w:rPr>
          <w:rStyle w:val="FootnoteReference"/>
        </w:rPr>
        <w:footnoteReference w:id="3"/>
      </w:r>
      <w:r>
        <w:t>, auquel le présent formulaire RS est annexé. Il y a lieu de se référer aux dispositions correspondantes de l’accord sur l’Espace économique européen</w:t>
      </w:r>
      <w:r>
        <w:rPr>
          <w:rStyle w:val="FootnoteReference"/>
        </w:rPr>
        <w:footnoteReference w:id="4"/>
      </w:r>
      <w:r>
        <w:t xml:space="preserve"> (l’«accord EEE»).</w:t>
      </w:r>
    </w:p>
    <w:p w14:paraId="62B75F40" w14:textId="77777777" w:rsidR="008D3476" w:rsidRDefault="008D3476" w:rsidP="008D3476">
      <w:pPr>
        <w:pStyle w:val="ManualHeading2"/>
        <w:numPr>
          <w:ilvl w:val="0"/>
          <w:numId w:val="0"/>
        </w:numPr>
        <w:ind w:left="851" w:hanging="851"/>
      </w:pPr>
      <w:r>
        <w:t>B.</w:t>
      </w:r>
      <w:r>
        <w:tab/>
      </w:r>
      <w:r>
        <w:rPr>
          <w:i/>
          <w:iCs/>
        </w:rPr>
        <w:t>Contacts préalables à la présentation du formulaire RS et des demandes de dérogation</w:t>
      </w:r>
    </w:p>
    <w:p w14:paraId="2FCE0134" w14:textId="77777777" w:rsidR="008D3476" w:rsidRDefault="008D3476" w:rsidP="008D3476">
      <w:r>
        <w:t>(2)</w:t>
      </w:r>
      <w:r>
        <w:tab/>
        <w:t>Les informations demandées dans le présent formulaire RS doivent en principe être fournies dans tous les cas et sont par conséquent obligatoires pour une demande complète de renvoi en prénotification.</w:t>
      </w:r>
    </w:p>
    <w:p w14:paraId="0D10F166" w14:textId="77777777" w:rsidR="008D3476" w:rsidRDefault="008D3476" w:rsidP="008D3476">
      <w:pPr>
        <w:pStyle w:val="ManualHeading3"/>
        <w:numPr>
          <w:ilvl w:val="0"/>
          <w:numId w:val="0"/>
        </w:numPr>
        <w:ind w:left="850" w:hanging="850"/>
      </w:pPr>
      <w:r>
        <w:t>1.</w:t>
      </w:r>
      <w:r>
        <w:tab/>
        <w:t>Informations ne pouvant raisonnablement pas être obtenues</w:t>
      </w:r>
    </w:p>
    <w:p w14:paraId="5E0990CC" w14:textId="77777777" w:rsidR="008D3476" w:rsidRDefault="008D3476" w:rsidP="008D3476">
      <w:r>
        <w:t>(3)</w:t>
      </w:r>
      <w:r>
        <w:tab/>
        <w:t>Dans des circonstances exceptionnelles, les parties présentant un mémoire pourraient raisonnablement ne pas pouvoir obtenir, en tout ou en partie, certains éléments spécifiques requis dans ce formulaire RS (parce que les informations relatives à une société cible d’une offre inamicale ne sont pas disponibles, par exemple). Dans ce cas, les parties présentant un mémoire peuvent demander à la Commission de dispenser de l’obligation de communiquer les informations pertinentes ou de toute autre exigence dans le formulaire RS en lien avec ces informations. Cette demande doit être présentée conformément aux instructions établies au point B 3.</w:t>
      </w:r>
    </w:p>
    <w:p w14:paraId="3004CB89" w14:textId="77777777" w:rsidR="008D3476" w:rsidRDefault="008D3476" w:rsidP="008D3476">
      <w:pPr>
        <w:pStyle w:val="ManualHeading3"/>
        <w:numPr>
          <w:ilvl w:val="0"/>
          <w:numId w:val="0"/>
        </w:numPr>
        <w:ind w:left="850" w:hanging="850"/>
      </w:pPr>
      <w:r>
        <w:t>2.</w:t>
      </w:r>
      <w:r>
        <w:tab/>
        <w:t>Informations qui ne sont pas nécessaires à l’examen de l’affaire par la Commission</w:t>
      </w:r>
    </w:p>
    <w:p w14:paraId="4301100D" w14:textId="77777777" w:rsidR="008D3476" w:rsidRDefault="008D3476" w:rsidP="008D3476">
      <w:r>
        <w:t>(4)</w:t>
      </w:r>
      <w:r>
        <w:tab/>
        <w:t>Conformément à l’article 4, paragraphe 2, et à l’article 6, paragraphe 2, du règlement d’exécution, la Commission peut dispenser de l’obligation de communiquer une information ou un document dans le formulaire RS, ainsi que de toute autre exigence si le respect de ces obligations et exigences ne lui paraît pas nécessaire pour l’examen de l’affaire. Dans ce cas, les parties présentant un mémoire peuvent demander à la Commission de dispenser de l’obligation de communiquer les informations pertinentes ou de toute autre exigence dans le formulaire RS en lien avec ces informations. Cette demande doit être présentée conformément aux instructions établies au point B 3.</w:t>
      </w:r>
    </w:p>
    <w:p w14:paraId="1AD18EED" w14:textId="77777777" w:rsidR="008D3476" w:rsidRDefault="008D3476" w:rsidP="008D3476">
      <w:pPr>
        <w:pStyle w:val="ManualHeading3"/>
        <w:numPr>
          <w:ilvl w:val="0"/>
          <w:numId w:val="0"/>
        </w:numPr>
        <w:ind w:left="850" w:hanging="850"/>
      </w:pPr>
      <w:r>
        <w:t>3.</w:t>
      </w:r>
      <w:r>
        <w:tab/>
        <w:t>Contacts préalables et demandes de dérogation</w:t>
      </w:r>
    </w:p>
    <w:p w14:paraId="7464E985" w14:textId="77777777" w:rsidR="008D3476" w:rsidRDefault="008D3476" w:rsidP="008D3476">
      <w:r>
        <w:t>(5)</w:t>
      </w:r>
      <w:r>
        <w:tab/>
        <w:t>Les parties habilitées à présenter un formulaire RS sont invitées à préalablement établir des contacts avec la Commission. Les parties doivent établir ces contacts sur la base d’un projet de formulaire RS. La possibilité d’établir des contacts préalables est un service offert par la Commission aux parties présentant un mémoire, qui peuvent y recourir, si elles le désirent, dans le cadre de l’élaboration de la présentation formelle du présent formulaire RS. En tant que tels, les contacts préalables, même s’ils ne sont pas obligatoires, sont extrêmement précieux tant pour les parties présentant un mémoire que pour la Commission afin, notamment, de déterminer avec précision la quantité d’informations à fournir dans un formulaire RS et ont pour effet, dans la plupart des cas, de réduire sensiblement les informations requises.</w:t>
      </w:r>
    </w:p>
    <w:p w14:paraId="5E5F81D6" w14:textId="77777777" w:rsidR="008D3476" w:rsidRDefault="008D3476" w:rsidP="008D3476">
      <w:r>
        <w:t>(6)</w:t>
      </w:r>
      <w:r>
        <w:tab/>
        <w:t>Dans le cadre des contacts préalables, les parties présentant un mémoire peuvent demander des dérogations. La Commission examinera les demandes de dérogation si l’une des conditions suivantes est remplie:</w:t>
      </w:r>
    </w:p>
    <w:p w14:paraId="1104C596" w14:textId="77777777" w:rsidR="008D3476" w:rsidRDefault="008D3476" w:rsidP="008D3476">
      <w:pPr>
        <w:pStyle w:val="Point0"/>
      </w:pPr>
      <w:r>
        <w:tab/>
        <w:t>a)</w:t>
      </w:r>
      <w:r>
        <w:tab/>
        <w:t>les parties présentant un mémoire indiquent dûment pourquoi les informations pertinentes ne peuvent raisonnablement pas être obtenues et donnent leurs estimations les plus précises sur les données manquantes, en identifiant les sources de ces estimations. Dans la mesure du possible, les parties présentant un mémoire doivent indiquer où la Commission ou l’État membre/les États membres ou l’État de l’AELE/les États de l’AELE concernés pourraient se procurer les informations demandées qui n’ont pas pu être obtenues;</w:t>
      </w:r>
    </w:p>
    <w:p w14:paraId="7F1CD2F8" w14:textId="77777777" w:rsidR="008D3476" w:rsidRDefault="008D3476" w:rsidP="008D3476">
      <w:pPr>
        <w:pStyle w:val="Point0"/>
      </w:pPr>
      <w:r>
        <w:tab/>
        <w:t>b)</w:t>
      </w:r>
      <w:r>
        <w:tab/>
        <w:t>les parties présentant un mémoire indiquent dûment pourquoi les informations pertinentes ne sont pas nécessaires à l’examen du formulaire RS.</w:t>
      </w:r>
    </w:p>
    <w:p w14:paraId="0FD67F3D" w14:textId="77777777" w:rsidR="008D3476" w:rsidRDefault="008D3476" w:rsidP="008D3476">
      <w:r>
        <w:t>(7)</w:t>
      </w:r>
      <w:r>
        <w:tab/>
        <w:t>Les demandes de dérogation doivent être présentées en même temps que le projet de formulaire RS. Les demandes de dérogation doivent être formulées dans le texte du projet de formulaire RS lui-même (au début de la section ou de la sous-section pertinente). La Commission traitera les demandes de dérogation dans le cadre de l’examen du projet de formulaire RS. Il faudra en principe cinq jours ouvrables à la Commission pour répondre à une demande de dérogation. Lorsqu’une demande de dérogation est présentée avec pour justification que ces informations ne sont pas nécessaires à l’examen du formulaire RS, la Commission peut consulter l’autorité ou les autorités du ou des États membres concernés ou du ou des États de l’AELE concernés avant de décider d’accéder ou non à cette demande.</w:t>
      </w:r>
    </w:p>
    <w:p w14:paraId="32DC067A" w14:textId="77777777" w:rsidR="008D3476" w:rsidRDefault="008D3476" w:rsidP="008D3476">
      <w:r>
        <w:t>(8)</w:t>
      </w:r>
      <w:r>
        <w:tab/>
        <w:t>Pour éviter toute ambiguïté, le fait, pour la Commission, d’admettre qu’une information spécifique demandée dans le présent formulaire RS n’est pas nécessaire à l’examen de la demande de renvoi en prénotification ne l’empêche nullement de réclamer cette information à tout moment de la procédure, au moyen notamment d’une demande de renseignements conformément à l’article 11 du règlement sur les concentrations.</w:t>
      </w:r>
    </w:p>
    <w:p w14:paraId="3DF13C74" w14:textId="77777777" w:rsidR="008D3476" w:rsidRDefault="008D3476" w:rsidP="008D3476">
      <w:r>
        <w:t>(9)</w:t>
      </w:r>
      <w:r>
        <w:tab/>
        <w:t>Les parties présentant un mémoire peuvent consulter le code de bonnes pratiques sur le déroulement de la procédure de l’Union européenne en matière de contrôle des concentrations (Best Practices on the conduct of EC merger control proceedings, ci-après le «code de bonnes pratiques») publié par la direction générale de la concurrence (DG Concurrence) sur son site web et mis périodiquement à jour, qui fournit des conseils sur les contacts préalables à la notification et la préparation des demandes de renvoi en prénotification.</w:t>
      </w:r>
    </w:p>
    <w:p w14:paraId="6AA90894" w14:textId="77777777" w:rsidR="008D3476" w:rsidRDefault="008D3476" w:rsidP="008D3476">
      <w:pPr>
        <w:pStyle w:val="ManualHeading2"/>
        <w:numPr>
          <w:ilvl w:val="0"/>
          <w:numId w:val="0"/>
        </w:numPr>
        <w:ind w:left="851" w:hanging="851"/>
      </w:pPr>
      <w:r>
        <w:t>C.</w:t>
      </w:r>
      <w:r>
        <w:tab/>
      </w:r>
      <w:r>
        <w:rPr>
          <w:i/>
          <w:iCs/>
        </w:rPr>
        <w:t>L’obligation de mémoire motivé exact et complet</w:t>
      </w:r>
    </w:p>
    <w:p w14:paraId="71BAF8D1" w14:textId="77777777" w:rsidR="008D3476" w:rsidRDefault="008D3476" w:rsidP="008D3476">
      <w:r>
        <w:t>(10)</w:t>
      </w:r>
      <w:r>
        <w:tab/>
        <w:t>Les informations demandées dans le présent formulaire RS doivent en principe être fournies dans tous les cas et sont par conséquent obligatoires pour une demande complète de renvoi en prénotification. Toutes les informations doivent être fournies dans la section appropriée du présent formulaire RS et doivent être exactes et complètes.</w:t>
      </w:r>
    </w:p>
    <w:p w14:paraId="2CE86F13" w14:textId="77777777" w:rsidR="008D3476" w:rsidRDefault="008D3476" w:rsidP="008D3476">
      <w:r>
        <w:t>(11)</w:t>
      </w:r>
      <w:r>
        <w:tab/>
        <w:t>Veuillez notamment prendre note de ce qui suit:</w:t>
      </w:r>
    </w:p>
    <w:p w14:paraId="6BF9FD32" w14:textId="77777777" w:rsidR="008D3476" w:rsidRDefault="008D3476" w:rsidP="008D3476">
      <w:pPr>
        <w:pStyle w:val="Point0"/>
      </w:pPr>
      <w:r>
        <w:tab/>
        <w:t>a)</w:t>
      </w:r>
      <w:r>
        <w:tab/>
        <w:t>conformément à l’article 4, paragraphes 4 et 5, du règlement sur les concentrations, à l’article 5, paragraphes 2 et 4, et à l’article 6, paragraphe 2, du règlement d’exécution, les délais établis dans le règlement sur les concentrations concernant le formulaire RS ne commencent à courir que lorsque la Commission a reçu toutes les informations à joindre au mémoire. Cela vise à permettre à la Commission d’examiner la demande de renvoi en prénotification dans les délais stricts établis dans le règlement sur les concentrations;</w:t>
      </w:r>
    </w:p>
    <w:p w14:paraId="70736A70" w14:textId="77777777" w:rsidR="008D3476" w:rsidRDefault="008D3476" w:rsidP="008D3476">
      <w:pPr>
        <w:pStyle w:val="Point0"/>
      </w:pPr>
      <w:r>
        <w:tab/>
        <w:t>b)</w:t>
      </w:r>
      <w:r>
        <w:tab/>
        <w:t>conformément à l’article 4, paragraphe 4, du règlement sur les concentrations, la décision de renvoyer ou de ne pas renvoyer une affaire, en tout ou en partie, à un État membre ou à un État de l’AELE est normalement prise sur la base des informations contenues dans le formulaire RS, sans autre enquête par la Commission. Conformément à l’article 4, paragraphe 5, du règlement sur les concentrations, la position d’un État membre ou d’un État de l’AELE concernant le renvoi d’une affaire à la Commission est normalement adoptée sur la base des informations contenues dans le formulaire RS, sans autre enquête par les autorités concernées;</w:t>
      </w:r>
    </w:p>
    <w:p w14:paraId="16C72D85" w14:textId="77777777" w:rsidR="008D3476" w:rsidRDefault="008D3476" w:rsidP="008D3476">
      <w:pPr>
        <w:pStyle w:val="Point0"/>
      </w:pPr>
      <w:r>
        <w:tab/>
        <w:t>c)</w:t>
      </w:r>
      <w:r>
        <w:tab/>
        <w:t>les parties présentant le mémoire doivent donc vérifier, lors de la préparation de leur mémoire motivé, que tous les arguments et informations sur lesquels elles s’appuient sont suffisamment étayés par des sources indépendantes;</w:t>
      </w:r>
    </w:p>
    <w:p w14:paraId="722A1145" w14:textId="77777777" w:rsidR="008D3476" w:rsidRDefault="008D3476" w:rsidP="008D3476">
      <w:pPr>
        <w:pStyle w:val="Point0"/>
      </w:pPr>
      <w:r>
        <w:tab/>
        <w:t>d)</w:t>
      </w:r>
      <w:r>
        <w:tab/>
        <w:t>conformément à l’article 5, paragraphe 4, et à l’article 6, paragraphe 2, du règlement d’exécution, les renseignements inexacts ou dénaturés dans le mémoire motivé seront considérés comme incomplets;</w:t>
      </w:r>
    </w:p>
    <w:p w14:paraId="52E5689F" w14:textId="77777777" w:rsidR="008D3476" w:rsidRDefault="008D3476" w:rsidP="008D3476">
      <w:pPr>
        <w:pStyle w:val="Point0"/>
      </w:pPr>
      <w:r>
        <w:tab/>
        <w:t>e)</w:t>
      </w:r>
      <w:r>
        <w:tab/>
        <w:t>conformément à l’article 14, paragraphe 1, point a), du règlement sur les concentrations, les parties présentant un mémoire motivé qui, de propos délibéré ou par négligence, fournissent des renseignements inexacts ou dénaturés, sont passibles d’amendes jusqu’à concurrence de 1 % du chiffre d’affaires total réalisé par l’entreprise concernée</w:t>
      </w:r>
      <w:r>
        <w:rPr>
          <w:rStyle w:val="FootnoteReference"/>
        </w:rPr>
        <w:footnoteReference w:id="5"/>
      </w:r>
      <w:r>
        <w:t>.</w:t>
      </w:r>
    </w:p>
    <w:p w14:paraId="45EB6C9C" w14:textId="77777777" w:rsidR="008D3476" w:rsidRDefault="008D3476" w:rsidP="008D3476">
      <w:pPr>
        <w:pStyle w:val="ManualHeading2"/>
        <w:numPr>
          <w:ilvl w:val="0"/>
          <w:numId w:val="0"/>
        </w:numPr>
        <w:ind w:left="851" w:hanging="851"/>
      </w:pPr>
      <w:r>
        <w:t>D.</w:t>
      </w:r>
      <w:r>
        <w:tab/>
      </w:r>
      <w:r>
        <w:rPr>
          <w:i/>
          <w:iCs/>
        </w:rPr>
        <w:t>Procédure à suivre pour présenter un mémoire motivé</w:t>
      </w:r>
    </w:p>
    <w:p w14:paraId="73B27622" w14:textId="77777777" w:rsidR="008D3476" w:rsidRDefault="008D3476" w:rsidP="008D3476">
      <w:r>
        <w:t>(12)</w:t>
      </w:r>
      <w:r>
        <w:tab/>
        <w:t>Le mémoire motivé doit être complété dans l’une des langues officielles de l’Union. Cette langue sera ensuite la langue de procédure applicable à toutes les parties présentant le mémoire.</w:t>
      </w:r>
    </w:p>
    <w:p w14:paraId="206AF1E9" w14:textId="77777777" w:rsidR="008D3476" w:rsidRDefault="008D3476" w:rsidP="008D3476">
      <w:r>
        <w:t>(13)</w:t>
      </w:r>
      <w:r>
        <w:tab/>
        <w:t>Afin de faciliter le traitement du formulaire RS par les autorités des États membres et des États de l’AELE, les parties présentant un mémoire sont vivement encouragées à fournir à la Commission une traduction de leur mémoire motivé dans une langue ou des langues comprises par tous les destinataires de l’information. Dans le cas de demandes de renvoi à un ou à plusieurs États membres ou à un ou à plusieurs États de l’AELE, les parties présentant un mémoire sont vivement encouragées à joindre une copie de la demande dans la ou les langues de l’État membre/des États membres et de l’État de l’AELE/des États de l’AELE visés par la demande de renvoi.</w:t>
      </w:r>
    </w:p>
    <w:p w14:paraId="41CF3F5A" w14:textId="77777777" w:rsidR="008D3476" w:rsidRDefault="008D3476" w:rsidP="008D3476">
      <w:r>
        <w:t>(14)</w:t>
      </w:r>
      <w:r>
        <w:tab/>
        <w:t>Les informations demandées dans le présent formulaire RS doivent être présentées en utilisant les numéros des sections et des points, en signant la déclaration prévue à la section 6 et en annexant les documents annexes. Lorsque les informations demandées dans une section se chevauchent en partie (ou en tout) avec les informations demandées dans une autre section, les mêmes informations ne doivent pas être communiquées deux fois; il convient toutefois d’avoir recours à des références croisées précises.</w:t>
      </w:r>
    </w:p>
    <w:p w14:paraId="46BE3304" w14:textId="77777777" w:rsidR="008D3476" w:rsidRDefault="008D3476" w:rsidP="008D3476">
      <w:r>
        <w:t>(15)</w:t>
      </w:r>
      <w:r>
        <w:tab/>
        <w:t xml:space="preserve">Le formulaire RS doit être signé par les personnes habilitées par la loi à agir au nom de chaque partie présentant un mémoire ou par un ou plusieurs des représentants extérieurs mandatés de la ou des parties présentant un mémoire. Les spécifications et instructions techniques relatives aux mémoires motivés (y compris les signatures) sont disponibles dans le </w:t>
      </w:r>
      <w:r>
        <w:rPr>
          <w:i/>
          <w:iCs/>
        </w:rPr>
        <w:t>Journal officiel de l’Union européenne.</w:t>
      </w:r>
    </w:p>
    <w:p w14:paraId="09B7F9B2" w14:textId="77777777" w:rsidR="008D3476" w:rsidRDefault="008D3476" w:rsidP="008D3476">
      <w:r>
        <w:t>(16)</w:t>
      </w:r>
      <w:r>
        <w:tab/>
        <w:t>Dans un souci de clarté, certaines informations peuvent être communiquées en annexe. Toutefois, il est essentiel que toutes les informations fondamentales figurent dans le corps du formulaire RS. Les annexes au formulaire RS doivent uniquement servir à compléter les informations fournies dans le formulaire RS même.</w:t>
      </w:r>
    </w:p>
    <w:p w14:paraId="71F2E1F3" w14:textId="77777777" w:rsidR="008D3476" w:rsidRDefault="008D3476" w:rsidP="008D3476">
      <w:r>
        <w:t>(17)</w:t>
      </w:r>
      <w:r>
        <w:tab/>
        <w:t>Les documents annexes doivent être remis dans leur langue originale: si celle-ci n’est pas l’une des langues officielles de l’Union, ils doivent être traduits dans la langue de procédure (article 3, paragraphe 4, et article 6, paragraphe 2, du règlement d’exécution).</w:t>
      </w:r>
    </w:p>
    <w:p w14:paraId="0DD321A3" w14:textId="77777777" w:rsidR="008D3476" w:rsidRDefault="008D3476" w:rsidP="008D3476">
      <w:r>
        <w:t>(18)</w:t>
      </w:r>
      <w:r>
        <w:tab/>
        <w:t>Les documents annexes peuvent être des copies des originaux. Dans ce cas, la partie présentant le mémoire doit attester que les copies sont conformes et complètes.</w:t>
      </w:r>
    </w:p>
    <w:p w14:paraId="77BE3584" w14:textId="77777777" w:rsidR="008D3476" w:rsidRDefault="008D3476" w:rsidP="008D3476">
      <w:pPr>
        <w:pStyle w:val="ManualHeading2"/>
        <w:numPr>
          <w:ilvl w:val="0"/>
          <w:numId w:val="0"/>
        </w:numPr>
        <w:ind w:left="851" w:hanging="851"/>
      </w:pPr>
      <w:r>
        <w:t>E.</w:t>
      </w:r>
      <w:r>
        <w:tab/>
      </w:r>
      <w:r>
        <w:rPr>
          <w:i/>
          <w:iCs/>
        </w:rPr>
        <w:t>Confidentialité et données à caractère personnel</w:t>
      </w:r>
    </w:p>
    <w:p w14:paraId="5717F7D9" w14:textId="77777777" w:rsidR="008D3476" w:rsidRDefault="008D3476" w:rsidP="008D3476">
      <w:r>
        <w:t>(19)</w:t>
      </w:r>
      <w:r>
        <w:tab/>
        <w:t>Conformément à l’article 339 du traité sur le fonctionnement de l’Union européenne et à l’article 17, paragraphe 2, du règlement sur les concentrations, ainsi qu’aux dispositions correspondantes de l’accord EEE</w:t>
      </w:r>
      <w:r>
        <w:rPr>
          <w:rStyle w:val="FootnoteReference"/>
        </w:rPr>
        <w:footnoteReference w:id="6"/>
      </w:r>
      <w:r>
        <w:t>, la Commission, les États membres, l’Autorité de surveillance AELE et les États de l’AELE ainsi que leurs fonctionnaires et autres agents sont tenus de ne pas divulguer les informations qu’ils ont recueillies en application de ce règlement et qui, par leur nature, sont couvertes par l’obligation de secret professionnel. Ce principe doit également s’appliquer pour garantir la confidentialité entre les parties présentant un mémoire.</w:t>
      </w:r>
    </w:p>
    <w:p w14:paraId="4D8C1314" w14:textId="77777777" w:rsidR="008D3476" w:rsidRDefault="008D3476" w:rsidP="008D3476">
      <w:r>
        <w:t>(20)</w:t>
      </w:r>
      <w:r>
        <w:tab/>
        <w:t>Si vous estimez que vos intérêts seraient lésés si certaines des informations fournies étaient publiées ou divulguées d’une autre manière aux autres parties, vous devez fournir cette information séparément, en apposant clairement sur chaque page la mention «secrets d’affaires». Veuillez en outre indiquer les raisons pour lesquelles ces informations ne doivent pas être divulguées ou publiées.</w:t>
      </w:r>
    </w:p>
    <w:p w14:paraId="11C4B88A" w14:textId="77777777" w:rsidR="008D3476" w:rsidRDefault="008D3476" w:rsidP="008D3476">
      <w:r>
        <w:t>(21)</w:t>
      </w:r>
      <w:r>
        <w:tab/>
        <w:t>Dans les cas de fusions ou d’acquisitions en commun, ou lorsque le mémoire motivé est rempli par plus d’une partie, les secrets d’affaires peuvent être communiqués dans des annexes distinctes et mentionnés dans le mémoire en tant qu’annexe. Pour que le mémoire puisse être considéré comme complet, toutes ces annexes doivent accompagner le mémoire motivé.</w:t>
      </w:r>
    </w:p>
    <w:p w14:paraId="42E84A8B" w14:textId="77777777" w:rsidR="008D3476" w:rsidRDefault="008D3476" w:rsidP="008D3476">
      <w:r>
        <w:t>(22)</w:t>
      </w:r>
      <w:r>
        <w:tab/>
        <w:t>Toute donnée à caractère personnel figurant dans le présent formulaire RS sera traitée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w:t>
      </w:r>
      <w:r>
        <w:rPr>
          <w:vertAlign w:val="superscript"/>
        </w:rPr>
        <w:t>o</w:t>
      </w:r>
      <w:r>
        <w:t> 45/2001 et la décision n</w:t>
      </w:r>
      <w:r>
        <w:rPr>
          <w:vertAlign w:val="superscript"/>
        </w:rPr>
        <w:t>o</w:t>
      </w:r>
      <w:r>
        <w:t> 1247/2002/CE</w:t>
      </w:r>
      <w:r>
        <w:rPr>
          <w:rStyle w:val="FootnoteReference"/>
        </w:rPr>
        <w:footnoteReference w:id="7"/>
      </w:r>
      <w:r>
        <w:t>.</w:t>
      </w:r>
    </w:p>
    <w:p w14:paraId="64808A1D" w14:textId="77777777" w:rsidR="008D3476" w:rsidRDefault="008D3476" w:rsidP="008D3476">
      <w:pPr>
        <w:pStyle w:val="ManualHeading2"/>
        <w:numPr>
          <w:ilvl w:val="0"/>
          <w:numId w:val="0"/>
        </w:numPr>
        <w:ind w:left="851" w:hanging="851"/>
      </w:pPr>
      <w:r>
        <w:t>F.</w:t>
      </w:r>
      <w:r>
        <w:tab/>
      </w:r>
      <w:r>
        <w:rPr>
          <w:i/>
          <w:iCs/>
        </w:rPr>
        <w:t>Définitions et instructions pour les besoins du présent formulaire RS</w:t>
      </w:r>
    </w:p>
    <w:p w14:paraId="323F6FA6" w14:textId="77777777" w:rsidR="008D3476" w:rsidRDefault="008D3476" w:rsidP="008D3476">
      <w:r>
        <w:t>(23)</w:t>
      </w:r>
      <w:r>
        <w:tab/>
        <w:t>Aux fins du présent formulaire, on entend par:</w:t>
      </w:r>
    </w:p>
    <w:p w14:paraId="46AB0979" w14:textId="77777777" w:rsidR="008D3476" w:rsidRDefault="008D3476" w:rsidP="008D3476">
      <w:pPr>
        <w:pStyle w:val="Point0"/>
      </w:pPr>
      <w:r>
        <w:tab/>
        <w:t>a)</w:t>
      </w:r>
      <w:r>
        <w:tab/>
        <w:t>«Partie(s) à la concentration» ou «partie(s)»: à la fois la ou les parties qui acquièrent et la ou les parties qui font l’objet de l’acquisition, ou les parties qui fusionnent, y compris toutes les entreprises dans lesquelles est acquise une participation de contrôle ou qui font l’objet d’une offre publique d’achat. Sauf dispositions contraires, les expressions «partie(s) notifiante(s)» et «partie(s) à la concentration» englobent toutes les entreprises appartenant aux mêmes groupes que les parties.</w:t>
      </w:r>
    </w:p>
    <w:p w14:paraId="2A973C74" w14:textId="77777777" w:rsidR="008D3476" w:rsidRDefault="008D3476" w:rsidP="008D3476">
      <w:pPr>
        <w:pStyle w:val="Point0"/>
      </w:pPr>
      <w:r>
        <w:tab/>
        <w:t>b)</w:t>
      </w:r>
      <w:r>
        <w:tab/>
        <w:t>«Marché de produits en cause»: un marché de produits en cause comprenant tous les produits et/ou services que le consommateur considère comme interchangeables ou substituables en raison de leurs caractéristiques, de leur prix et de l’usage auquel ils sont destinés. Un marché de produits en cause peut, dans certains cas, se composer de plusieurs produits et/ou services qui présentent des caractéristiques physiques ou techniques en grande partie identiques et qui sont interchangeables. La délimitation du marché de produits en cause passe notamment par une analyse, sur la base de cette définition, des raisons pour lesquelles les produits ou les services de ces marchés sont inclus et d’autres exclus, en tenant compte, notamment, de leur substituabilité, des prix, de l’élasticité croisée de la demande ou d’autres facteurs pertinents (par exemple, la substituabilité du côté de l’offre dans des cas appropriés).</w:t>
      </w:r>
    </w:p>
    <w:p w14:paraId="06F6EB49" w14:textId="77777777" w:rsidR="008D3476" w:rsidRDefault="008D3476" w:rsidP="008D3476">
      <w:pPr>
        <w:pStyle w:val="Point0"/>
      </w:pPr>
      <w:r>
        <w:tab/>
        <w:t>c)</w:t>
      </w:r>
      <w:r>
        <w:tab/>
        <w:t>«Marché géographique en cause»: le marché géographique en cause comprend le territoire sur lequel les entreprises concernées interviennent dans l’offre et la demande des produits ou services en cause, sur lequel les conditions de concurrence sont suffisamment homogènes et qui peut être distingué des territoires géographiques voisins, en particulier en raison des conditions de concurrence sensiblement différentes de celles prévalant sur ces territoires. Les facteurs pertinents pour la délimitation du marché géographique en cause incluent notamment la nature et les caractéristiques des produits ou des services en cause, l’existence de barrières à l’entrée, les préférences des consommateurs, des différences appréciables de parts de marché entre zones géographiques voisines ou des écarts de prix substantiels.</w:t>
      </w:r>
    </w:p>
    <w:p w14:paraId="49AD0B63" w14:textId="77777777" w:rsidR="008D3476" w:rsidRDefault="008D3476" w:rsidP="008D3476">
      <w:pPr>
        <w:pStyle w:val="Point0"/>
      </w:pPr>
      <w:r>
        <w:tab/>
        <w:t>d)</w:t>
      </w:r>
      <w:r>
        <w:tab/>
        <w:t>«Chevauchement horizontal»: la concentration entraîne des chevauchements horizontaux lorsque les parties à la concentration exercent des activités commerciales sur le(s) même(s) marché(s) de produits et géographique(s) [y compris les produits en cours de développement</w:t>
      </w:r>
      <w:r>
        <w:rPr>
          <w:rStyle w:val="FootnoteReference"/>
        </w:rPr>
        <w:footnoteReference w:id="8"/>
      </w:r>
      <w:r>
        <w:t>]</w:t>
      </w:r>
      <w:r>
        <w:rPr>
          <w:rStyle w:val="FootnoteReference"/>
        </w:rPr>
        <w:footnoteReference w:id="9"/>
      </w:r>
      <w:r>
        <w:t>.</w:t>
      </w:r>
    </w:p>
    <w:p w14:paraId="0E9AB3D4" w14:textId="77777777" w:rsidR="008D3476" w:rsidRDefault="008D3476" w:rsidP="008D3476">
      <w:pPr>
        <w:pStyle w:val="Point0"/>
      </w:pPr>
      <w:r>
        <w:tab/>
        <w:t>e)</w:t>
      </w:r>
      <w:r>
        <w:tab/>
        <w:t>«Relation non horizontale»: la concentration entraîne une relation non horizontale lorsque les activités exercées par les parties à la concentration s’inscrivent dans une relation qui n’est pas un chevauchement horizontal.</w:t>
      </w:r>
    </w:p>
    <w:p w14:paraId="5FF17DD7" w14:textId="77777777" w:rsidR="008D3476" w:rsidRDefault="008D3476" w:rsidP="008D3476">
      <w:pPr>
        <w:pStyle w:val="Point0"/>
      </w:pPr>
      <w:r>
        <w:tab/>
        <w:t>f)</w:t>
      </w:r>
      <w:r>
        <w:tab/>
        <w:t>«Relation verticale»: la concentration entraîne des relations verticales lorsqu’une ou plusieurs des parties à la concentration exerce(nt) des activités commerciales sur un marché de produits situé en amont ou en aval d’un marché de produits sur lequel une autre partie à la concentration exerce son activité (y compris les produits en cours de développement)</w:t>
      </w:r>
      <w:r>
        <w:rPr>
          <w:rStyle w:val="FootnoteReference"/>
        </w:rPr>
        <w:footnoteReference w:id="10"/>
      </w:r>
      <w:r>
        <w:t>.</w:t>
      </w:r>
    </w:p>
    <w:p w14:paraId="4E75994A" w14:textId="77777777" w:rsidR="008D3476" w:rsidRDefault="008D3476" w:rsidP="008D3476">
      <w:pPr>
        <w:pStyle w:val="CRSeparator"/>
      </w:pPr>
    </w:p>
    <w:p w14:paraId="10869336" w14:textId="77777777" w:rsidR="008D3476" w:rsidRDefault="008D3476" w:rsidP="008D3476">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et Annexe , pt 3 a</w:t>
      </w:r>
    </w:p>
    <w:p w14:paraId="15CA449A" w14:textId="77777777" w:rsidR="008D3476" w:rsidRDefault="008D3476" w:rsidP="008D3476">
      <w:pPr>
        <w:pStyle w:val="Point0"/>
      </w:pPr>
      <w:r>
        <w:tab/>
        <w:t>g)</w:t>
      </w:r>
      <w:r>
        <w:tab/>
        <w:t>«Marchés affectés»: tous les marchés de produits et marchés géographiques en cause ainsi que les autres marchés de produits et marchés géographiques en cause possibles sur lesquels les activités des parties font l’objet d’un chevauchement horizontal ou d’une relation verticale et qui ne satisfont pas aux conditions d’examen au titre du point 5, d), de la communication relative à une procédure simplifiée</w:t>
      </w:r>
      <w:r>
        <w:rPr>
          <w:rStyle w:val="FootnoteReference"/>
        </w:rPr>
        <w:footnoteReference w:id="11"/>
      </w:r>
      <w:r>
        <w:t> et ne bénéficient pas des clauses de flexibilité visées au point 8 de ladite communication.</w:t>
      </w:r>
    </w:p>
    <w:p w14:paraId="0BB69473" w14:textId="77777777" w:rsidR="008D3476" w:rsidRDefault="008D3476" w:rsidP="008D3476">
      <w:pPr>
        <w:pStyle w:val="CRSeparator"/>
      </w:pPr>
    </w:p>
    <w:p w14:paraId="7669C4B5" w14:textId="77777777" w:rsidR="008D3476" w:rsidRDefault="008D3476" w:rsidP="008D3476">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2AC5827" w14:textId="77777777" w:rsidR="008D3476" w:rsidRDefault="008D3476" w:rsidP="008D3476">
      <w:pPr>
        <w:pStyle w:val="Point0"/>
      </w:pPr>
      <w:r>
        <w:tab/>
        <w:t>h)</w:t>
      </w:r>
      <w:r>
        <w:tab/>
        <w:t>Sauf indication contraire, le mot «année» signifie «année civile». Toutes les informations demandées dans le présent formulaire RS se rapportent, sauf indication contraire, à l’année précédant celle du mémoire motivé.</w:t>
      </w:r>
    </w:p>
    <w:p w14:paraId="38BEA882" w14:textId="77777777" w:rsidR="008D3476" w:rsidRDefault="008D3476" w:rsidP="008D3476">
      <w:r>
        <w:t>(24)</w:t>
      </w:r>
      <w:r>
        <w:tab/>
        <w:t>Les données financières exigées dans le présent formulaire RS doivent être exprimées en euros, par application des taux de change moyens en vigueur pendant les années ou autres périodes considérées.</w:t>
      </w:r>
    </w:p>
    <w:p w14:paraId="055362FD" w14:textId="77777777" w:rsidR="008D3476" w:rsidRDefault="008D3476" w:rsidP="008D3476">
      <w:pPr>
        <w:pStyle w:val="ManualHeading2"/>
        <w:numPr>
          <w:ilvl w:val="0"/>
          <w:numId w:val="0"/>
        </w:numPr>
        <w:ind w:left="851" w:hanging="851"/>
      </w:pPr>
      <w:r>
        <w:t>G.</w:t>
      </w:r>
      <w:r>
        <w:tab/>
      </w:r>
      <w:r>
        <w:rPr>
          <w:i/>
          <w:iCs/>
        </w:rPr>
        <w:t>Coopération internationale entre la Commission et les autres autorités de la concurrence</w:t>
      </w:r>
    </w:p>
    <w:p w14:paraId="6B093CA1" w14:textId="77777777" w:rsidR="008D3476" w:rsidRDefault="008D3476" w:rsidP="008D3476">
      <w:r>
        <w:t>(25)</w:t>
      </w:r>
      <w:r>
        <w:tab/>
        <w:t>La Commission encourage les parties à la concentration à faciliter la coopération à l’échelle internationale entre la Commission et les autres autorités de la concurrence qui examinent la même concentration. L’expérience acquise par la Commission montre qu’une bonne coopération entre cette dernière et les autorités de la concurrence de juridictions situées en dehors de l’EEE comporte des avantages substantiels pour les entreprises concernées. À cette fin, la Commission encourage les parties présentant un mémoire à présenter, conjointement avec le présent formulaire RS, une liste des juridictions situées en dehors de l’EEE devant autoriser la concentration, avant ou après sa réalisation, en vertu des règles en matière de contrôle des concentrations.</w:t>
      </w:r>
    </w:p>
    <w:p w14:paraId="5C67D995" w14:textId="77777777" w:rsidR="008D3476" w:rsidRDefault="008D3476" w:rsidP="008D3476">
      <w:r>
        <w:t>(26)</w:t>
      </w:r>
      <w:r>
        <w:tab/>
        <w:t>En outre, la Commission encourage les parties à la concentration à renoncer à la confidentialité afin de permettre à la Commission d’échanger des informations avec les autres autorités de la concurrence en dehors de l’EEE qui examinent la même concentration. Chaque déclaration de renonciation à la confidentialité facilite une discussion et analyse commune de la concentration, en ce qu’elle permet à la Commission d’échanger des informations pertinentes avec une autre autorité de la concurrence examinant la même concentration, y compris des informations commerciales confidentielles communiquées par les parties à la concentration. À cet effet, la Commission encourage les parties à la concentration à utiliser sa déclaration de renonciation type, qui est publiée sur le site web de la DG Concurrence et actualisée périodiquement.</w:t>
      </w:r>
    </w:p>
    <w:p w14:paraId="171314F4" w14:textId="77777777" w:rsidR="008D3476" w:rsidRDefault="008D3476" w:rsidP="008D3476">
      <w:pPr>
        <w:pStyle w:val="ManualHeading1"/>
        <w:numPr>
          <w:ilvl w:val="0"/>
          <w:numId w:val="0"/>
        </w:numPr>
        <w:ind w:left="851" w:hanging="851"/>
      </w:pPr>
      <w:r>
        <w:t>SECTION 1</w:t>
      </w:r>
    </w:p>
    <w:p w14:paraId="521796BA" w14:textId="77777777" w:rsidR="008D3476" w:rsidRDefault="008D3476" w:rsidP="008D3476">
      <w:r>
        <w:t>1.1.</w:t>
      </w:r>
      <w:r>
        <w:tab/>
        <w:t>Contexte</w:t>
      </w:r>
    </w:p>
    <w:p w14:paraId="6DFE3F59" w14:textId="77777777" w:rsidR="008D3476" w:rsidRDefault="008D3476" w:rsidP="008D3476">
      <w:r>
        <w:t>1.1.1.</w:t>
      </w:r>
      <w:r>
        <w:tab/>
        <w:t>Veuillez fournir un résumé de l’opération de concentration, précisant les parties à l’opération, la nature de celle-ci (par exemple, fusion, acquisition, entreprise commune), les domaines d’activité des parties à la concentration, les marchés sur lesquels la concentration aura un impact (y compris les principaux marchés affectés) ainsi que les raisons stratégiques et économiques à l’origine de l’opération.</w:t>
      </w:r>
    </w:p>
    <w:p w14:paraId="4DD13B1B" w14:textId="77777777" w:rsidR="008D3476" w:rsidRDefault="008D3476" w:rsidP="008D3476">
      <w:r>
        <w:t>1.1.2.</w:t>
      </w:r>
      <w:r>
        <w:tab/>
        <w:t>Veuillez indiquer si le mémoire motivé est présenté au titre de l’article 4, paragraphe 4 ou 5, du règlement sur les concentrations, conformément aux dispositions correspondantes de l’accord EEE, ou les deux.</w:t>
      </w:r>
    </w:p>
    <w:p w14:paraId="6ED56BB9" w14:textId="77777777" w:rsidR="008D3476" w:rsidRDefault="008D3476" w:rsidP="008D3476">
      <w:r>
        <w:t>1.2.</w:t>
      </w:r>
      <w:r>
        <w:tab/>
        <w:t>Informations sur la ou les parties présentant le mémoire et les autres parties à la concentration</w:t>
      </w:r>
      <w:r>
        <w:rPr>
          <w:rStyle w:val="FootnoteReference"/>
        </w:rPr>
        <w:footnoteReference w:id="12"/>
      </w:r>
    </w:p>
    <w:p w14:paraId="0C928E26" w14:textId="77777777" w:rsidR="008D3476" w:rsidRDefault="008D3476" w:rsidP="008D3476">
      <w:r>
        <w:t>Pour chaque partie présentant le mémoire motivé ainsi que pour chaque autre partie à la concentration, veuillez indiquer:</w:t>
      </w:r>
    </w:p>
    <w:p w14:paraId="6D63F7AE" w14:textId="77777777" w:rsidR="008D3476" w:rsidRDefault="008D3476" w:rsidP="008D3476">
      <w:pPr>
        <w:pStyle w:val="Point0"/>
      </w:pPr>
      <w:r>
        <w:tab/>
        <w:t>1.2.1.</w:t>
      </w:r>
      <w:r>
        <w:tab/>
        <w:t>le nom de l’entreprise;</w:t>
      </w:r>
    </w:p>
    <w:p w14:paraId="2F21D109" w14:textId="77777777" w:rsidR="008D3476" w:rsidRDefault="008D3476" w:rsidP="008D3476">
      <w:pPr>
        <w:pStyle w:val="Point0"/>
      </w:pPr>
      <w:r>
        <w:tab/>
        <w:t>1.2.2.</w:t>
      </w:r>
      <w:r>
        <w:tab/>
        <w:t>le nom, l’adresse, le numéro de téléphone, l’adresse électronique ainsi que la fonction de la personne compétente à contacter; l’adresse indiquée doit être un domicile élu auquel les documents, et, notamment, les décisions de la Commission et d’autres documents procéduraux, peuvent être notifiés et la personne à contacter doit être considérée comme étant la personne autorisée à recevoir toutes significations;</w:t>
      </w:r>
    </w:p>
    <w:p w14:paraId="3F5D25CE" w14:textId="77777777" w:rsidR="008D3476" w:rsidRDefault="008D3476" w:rsidP="008D3476">
      <w:pPr>
        <w:pStyle w:val="Point0"/>
      </w:pPr>
      <w:r>
        <w:tab/>
        <w:t>1.2.3.</w:t>
      </w:r>
      <w:r>
        <w:tab/>
        <w:t>en cas de désignation d’un ou de plusieurs représentants extérieurs mandatés de l’entreprise, auxquels les documents, et, notamment, les décisions et autres documents procéduraux de la Commission, peuvent être notifiés:</w:t>
      </w:r>
    </w:p>
    <w:p w14:paraId="73801A03" w14:textId="77777777" w:rsidR="008D3476" w:rsidRDefault="008D3476" w:rsidP="008D3476">
      <w:pPr>
        <w:pStyle w:val="Point1"/>
      </w:pPr>
      <w:r>
        <w:tab/>
        <w:t>1.2.3.1.</w:t>
      </w:r>
      <w:r>
        <w:tab/>
        <w:t>le nom, l’adresse, le numéro de téléphone et l’adresse électronique ainsi que la fonction de chaque représentant; et</w:t>
      </w:r>
    </w:p>
    <w:p w14:paraId="1472DE8D" w14:textId="77777777" w:rsidR="008D3476" w:rsidRDefault="008D3476" w:rsidP="008D3476">
      <w:pPr>
        <w:pStyle w:val="Point1"/>
      </w:pPr>
      <w:r>
        <w:tab/>
        <w:t>1.2.3.2.</w:t>
      </w:r>
      <w:r>
        <w:tab/>
        <w:t>l’original du ou des documents de procuration [pour la ou les partie(s) notifiante(s)]</w:t>
      </w:r>
      <w:r>
        <w:rPr>
          <w:rStyle w:val="FootnoteReference"/>
        </w:rPr>
        <w:footnoteReference w:id="13"/>
      </w:r>
      <w:r>
        <w:t>.</w:t>
      </w:r>
    </w:p>
    <w:p w14:paraId="15D08BA3" w14:textId="77777777" w:rsidR="008D3476" w:rsidRDefault="008D3476" w:rsidP="008D3476">
      <w:pPr>
        <w:pStyle w:val="ManualHeading1"/>
        <w:numPr>
          <w:ilvl w:val="0"/>
          <w:numId w:val="0"/>
        </w:numPr>
        <w:ind w:left="851" w:hanging="851"/>
      </w:pPr>
      <w:r>
        <w:t>SECTION 2</w:t>
      </w:r>
    </w:p>
    <w:p w14:paraId="7C899978" w14:textId="77777777" w:rsidR="008D3476" w:rsidRDefault="008D3476" w:rsidP="008D3476">
      <w:pPr>
        <w:pStyle w:val="ManualHeading2"/>
        <w:numPr>
          <w:ilvl w:val="0"/>
          <w:numId w:val="0"/>
        </w:numPr>
        <w:ind w:left="851" w:hanging="851"/>
      </w:pPr>
      <w:r>
        <w:rPr>
          <w:i/>
          <w:iCs/>
        </w:rPr>
        <w:t>CONTEXTE GÉNÉRAL ET RENSEIGNEMENTS CONCERNANT LA CONCENTRATION</w:t>
      </w:r>
    </w:p>
    <w:p w14:paraId="45D185B5" w14:textId="77777777" w:rsidR="008D3476" w:rsidRDefault="008D3476" w:rsidP="008D3476">
      <w:r>
        <w:t>Les informations demandées dans la présente section peuvent être illustrées par des organigrammes ou diagrammes présentant la structure de propriété et de contrôle des parties à la concentration avant et après la réalisation de la concentration.</w:t>
      </w:r>
    </w:p>
    <w:p w14:paraId="12034700" w14:textId="77777777" w:rsidR="008D3476" w:rsidRDefault="008D3476" w:rsidP="008D3476">
      <w:r>
        <w:t>2.1.</w:t>
      </w:r>
      <w:r>
        <w:tab/>
        <w:t>Veuillez, en vous fondant sur les critères pertinents indiqués dans le règlement sur les concentrations et la communication juridictionnelle codifiée de la Commission</w:t>
      </w:r>
      <w:r>
        <w:rPr>
          <w:rStyle w:val="FootnoteReference"/>
        </w:rPr>
        <w:footnoteReference w:id="14"/>
      </w:r>
      <w:r>
        <w:t>, décrire la nature de la concentration notifiée:</w:t>
      </w:r>
    </w:p>
    <w:p w14:paraId="22C7811A" w14:textId="77777777" w:rsidR="008D3476" w:rsidRDefault="008D3476" w:rsidP="008D3476">
      <w:pPr>
        <w:pStyle w:val="Point0"/>
      </w:pPr>
      <w:r>
        <w:tab/>
        <w:t>2.1.1.</w:t>
      </w:r>
      <w:r>
        <w:tab/>
        <w:t>indiquer les entreprises ou les personnes qui détiennent le contrôle exclusif ou en commun, direct ou indirect, de chacune des entreprises concernées et indiquer la structure de propriété et de contrôle de chacune de ces entreprises, avant la réalisation de la concentration;</w:t>
      </w:r>
    </w:p>
    <w:p w14:paraId="5AB07B77" w14:textId="77777777" w:rsidR="008D3476" w:rsidRDefault="008D3476" w:rsidP="008D3476">
      <w:pPr>
        <w:pStyle w:val="Point0"/>
      </w:pPr>
      <w:r>
        <w:tab/>
        <w:t>2.1.2.</w:t>
      </w:r>
      <w:r>
        <w:tab/>
        <w:t>préciser si la concentration envisagée:</w:t>
      </w:r>
    </w:p>
    <w:p w14:paraId="3F7D66D6" w14:textId="77777777" w:rsidR="008D3476" w:rsidRDefault="008D3476" w:rsidP="008D3476">
      <w:pPr>
        <w:pStyle w:val="Point1"/>
      </w:pPr>
      <w:r>
        <w:tab/>
        <w:t>a)</w:t>
      </w:r>
      <w:r>
        <w:tab/>
        <w:t>est une véritable fusion;</w:t>
      </w:r>
    </w:p>
    <w:p w14:paraId="48DEFB14" w14:textId="77777777" w:rsidR="008D3476" w:rsidRDefault="008D3476" w:rsidP="008D3476">
      <w:pPr>
        <w:pStyle w:val="Point1"/>
      </w:pPr>
      <w:r>
        <w:tab/>
        <w:t>b)</w:t>
      </w:r>
      <w:r>
        <w:tab/>
        <w:t>est une prise de contrôle exclusif ou en commun;</w:t>
      </w:r>
    </w:p>
    <w:p w14:paraId="2D531837" w14:textId="77777777" w:rsidR="008D3476" w:rsidRDefault="008D3476" w:rsidP="008D3476">
      <w:pPr>
        <w:pStyle w:val="Point1"/>
      </w:pPr>
      <w:r>
        <w:tab/>
        <w:t>c)</w:t>
      </w:r>
      <w:r>
        <w:tab/>
        <w:t>résulte d’un contrat ou d’un autre moyen de contrôle direct ou indirect au sens de l’article 3, paragraphe 2, du règlement CE sur les concentrations;</w:t>
      </w:r>
    </w:p>
    <w:p w14:paraId="67D4C9AC" w14:textId="77777777" w:rsidR="008D3476" w:rsidRDefault="008D3476" w:rsidP="008D3476">
      <w:pPr>
        <w:pStyle w:val="Point1"/>
      </w:pPr>
      <w:r>
        <w:tab/>
        <w:t>d)</w:t>
      </w:r>
      <w:r>
        <w:tab/>
        <w:t>est une entreprise commune de plein exercice au sens de l’article 3, paragraphe 4, du règlement CE sur les concentrations, auquel cas il convient d’expliquer les raisons pour lesquelles l’entreprise commune est considérée comme étant de plein exercice</w:t>
      </w:r>
      <w:r>
        <w:rPr>
          <w:rStyle w:val="FootnoteReference"/>
        </w:rPr>
        <w:footnoteReference w:id="15"/>
      </w:r>
      <w:r>
        <w:t>;</w:t>
      </w:r>
    </w:p>
    <w:p w14:paraId="6949C790" w14:textId="77777777" w:rsidR="008D3476" w:rsidRDefault="008D3476" w:rsidP="008D3476">
      <w:pPr>
        <w:pStyle w:val="Point0"/>
      </w:pPr>
      <w:r>
        <w:tab/>
        <w:t>2.1.3.</w:t>
      </w:r>
      <w:r>
        <w:tab/>
        <w:t>préciser les modalités de mise en œuvre de la concentration (par exemple, au moyen de la conclusion d’un accord, du lancement d’une offre publique d’achat, etc.);</w:t>
      </w:r>
    </w:p>
    <w:p w14:paraId="4E79D7B9" w14:textId="77777777" w:rsidR="008D3476" w:rsidRDefault="008D3476" w:rsidP="008D3476">
      <w:pPr>
        <w:pStyle w:val="Point0"/>
      </w:pPr>
      <w:r>
        <w:tab/>
        <w:t>2.1.4.</w:t>
      </w:r>
      <w:r>
        <w:tab/>
        <w:t>par référence à l’article 4, paragraphe 1, du règlement sur les concentrations, indiquer si, au moment de la notification, un des événements suivants s’est produit:</w:t>
      </w:r>
    </w:p>
    <w:p w14:paraId="3355AA13" w14:textId="77777777" w:rsidR="008D3476" w:rsidRDefault="008D3476" w:rsidP="008D3476">
      <w:pPr>
        <w:pStyle w:val="Point1"/>
      </w:pPr>
      <w:r>
        <w:tab/>
        <w:t>a)</w:t>
      </w:r>
      <w:r>
        <w:tab/>
        <w:t>conclusion d’un accord;</w:t>
      </w:r>
    </w:p>
    <w:p w14:paraId="786A7AE2" w14:textId="77777777" w:rsidR="008D3476" w:rsidRDefault="008D3476" w:rsidP="008D3476">
      <w:pPr>
        <w:pStyle w:val="Point1"/>
      </w:pPr>
      <w:r>
        <w:tab/>
        <w:t>b)</w:t>
      </w:r>
      <w:r>
        <w:tab/>
        <w:t>acquisition d’une participation de contrôle;</w:t>
      </w:r>
    </w:p>
    <w:p w14:paraId="27F92418" w14:textId="77777777" w:rsidR="008D3476" w:rsidRDefault="008D3476" w:rsidP="008D3476">
      <w:pPr>
        <w:pStyle w:val="Point1"/>
      </w:pPr>
      <w:r>
        <w:tab/>
        <w:t>c)</w:t>
      </w:r>
      <w:r>
        <w:tab/>
        <w:t>publication d’une offre publique d’achat (ou d’un projet d’offre publique d’achat);</w:t>
      </w:r>
    </w:p>
    <w:p w14:paraId="1BEA6717" w14:textId="77777777" w:rsidR="008D3476" w:rsidRDefault="008D3476" w:rsidP="008D3476">
      <w:pPr>
        <w:pStyle w:val="Point1"/>
      </w:pPr>
      <w:r>
        <w:tab/>
        <w:t>d)</w:t>
      </w:r>
      <w:r>
        <w:tab/>
        <w:t>démonstration de bonne foi, par les entreprises concernées, de leur intention de conclure un accord;</w:t>
      </w:r>
    </w:p>
    <w:p w14:paraId="0A81A3F1" w14:textId="77777777" w:rsidR="008D3476" w:rsidRDefault="008D3476" w:rsidP="008D3476">
      <w:pPr>
        <w:pStyle w:val="Point0"/>
      </w:pPr>
      <w:r>
        <w:tab/>
        <w:t>2.1.5.</w:t>
      </w:r>
      <w:r>
        <w:tab/>
        <w:t>indiquer la date prévisible de tout événement important dans la réalisation de la concentration;</w:t>
      </w:r>
    </w:p>
    <w:p w14:paraId="2A7B0C13" w14:textId="77777777" w:rsidR="008D3476" w:rsidRDefault="008D3476" w:rsidP="008D3476">
      <w:pPr>
        <w:pStyle w:val="Point0"/>
      </w:pPr>
      <w:r>
        <w:tab/>
        <w:t>2.1.6.</w:t>
      </w:r>
      <w:r>
        <w:tab/>
        <w:t>indiquer la structure de propriété et de contrôle de chacune des entreprises concernées après la réalisation de la concentration.</w:t>
      </w:r>
    </w:p>
    <w:p w14:paraId="4D8AFF3B" w14:textId="77777777" w:rsidR="008D3476" w:rsidRDefault="008D3476" w:rsidP="008D3476">
      <w:r>
        <w:t>2.2.</w:t>
      </w:r>
      <w:r>
        <w:tab/>
        <w:t>Veuillez décrire les raisons économiques de la concentration.</w:t>
      </w:r>
    </w:p>
    <w:p w14:paraId="686E5B77" w14:textId="77777777" w:rsidR="008D3476" w:rsidRDefault="008D3476" w:rsidP="008D3476">
      <w:r>
        <w:t>2.3.</w:t>
      </w:r>
      <w:r>
        <w:tab/>
        <w:t>Veuillez indiquer la valeur de la concentration [prix d’achat (ou valeur de tous les actifs concernés, selon le cas); veuillez préciser s’il s’agit de fonds propres, de liquidités ou d’autres actifs].</w:t>
      </w:r>
    </w:p>
    <w:p w14:paraId="6CB7C6AF" w14:textId="77777777" w:rsidR="008D3476" w:rsidRDefault="008D3476" w:rsidP="008D3476">
      <w:r>
        <w:t>2.4.</w:t>
      </w:r>
      <w:r>
        <w:tab/>
        <w:t>Veuillez fournir des données financières ou autres données suffisantes pour montrer si la concentration atteint ou n’atteint pas les seuils de compétence établis à l’article 1</w:t>
      </w:r>
      <w:r>
        <w:rPr>
          <w:vertAlign w:val="superscript"/>
        </w:rPr>
        <w:t>er</w:t>
      </w:r>
      <w:r>
        <w:t xml:space="preserve"> du règlement sur les concentrations en indiquant, pour chacune des entreprises concernées par la concentration, pour le dernier exercice</w:t>
      </w:r>
      <w:r>
        <w:rPr>
          <w:rStyle w:val="FootnoteReference"/>
        </w:rPr>
        <w:footnoteReference w:id="16"/>
      </w:r>
      <w:r>
        <w:t>:</w:t>
      </w:r>
    </w:p>
    <w:p w14:paraId="614E1B56" w14:textId="77777777" w:rsidR="008D3476" w:rsidRDefault="008D3476" w:rsidP="008D3476">
      <w:pPr>
        <w:pStyle w:val="Point0"/>
      </w:pPr>
      <w:r>
        <w:tab/>
        <w:t>2.4.1.</w:t>
      </w:r>
      <w:r>
        <w:tab/>
        <w:t>le chiffre d’affaires réalisé au niveau mondial;</w:t>
      </w:r>
    </w:p>
    <w:p w14:paraId="0C7BA483" w14:textId="77777777" w:rsidR="008D3476" w:rsidRDefault="008D3476" w:rsidP="008D3476">
      <w:pPr>
        <w:pStyle w:val="Point0"/>
      </w:pPr>
      <w:r>
        <w:tab/>
        <w:t>2.4.2.</w:t>
      </w:r>
      <w:r>
        <w:tab/>
        <w:t>le chiffre d’affaires réalisé dans l’Union européenne;</w:t>
      </w:r>
    </w:p>
    <w:p w14:paraId="7E62E923" w14:textId="77777777" w:rsidR="008D3476" w:rsidRDefault="008D3476" w:rsidP="008D3476">
      <w:pPr>
        <w:pStyle w:val="Point0"/>
      </w:pPr>
      <w:r>
        <w:tab/>
        <w:t>2.4.3.</w:t>
      </w:r>
      <w:r>
        <w:tab/>
        <w:t>le chiffre d’affaires réalisé dans l’EEE (Union et AELE);</w:t>
      </w:r>
    </w:p>
    <w:p w14:paraId="3396E2B8" w14:textId="77777777" w:rsidR="008D3476" w:rsidRDefault="008D3476" w:rsidP="008D3476">
      <w:pPr>
        <w:pStyle w:val="Point0"/>
      </w:pPr>
      <w:r>
        <w:tab/>
        <w:t>2.4.4.</w:t>
      </w:r>
      <w:r>
        <w:tab/>
        <w:t>le chiffre d’affaires réalisé dans chaque État membre (le cas échéant, l’État membre dans lequel ont été réalisés plus des deux tiers du chiffre d’affaires au niveau de l’Union européenne);</w:t>
      </w:r>
    </w:p>
    <w:p w14:paraId="3E848230" w14:textId="77777777" w:rsidR="008D3476" w:rsidRDefault="008D3476" w:rsidP="008D3476">
      <w:pPr>
        <w:pStyle w:val="Point0"/>
      </w:pPr>
      <w:r>
        <w:tab/>
        <w:t>2.4.5.</w:t>
      </w:r>
      <w:r>
        <w:tab/>
        <w:t>le chiffre d’affaires réalisé dans l’AELE;</w:t>
      </w:r>
    </w:p>
    <w:p w14:paraId="7C834101" w14:textId="77777777" w:rsidR="008D3476" w:rsidRDefault="008D3476" w:rsidP="008D3476">
      <w:pPr>
        <w:pStyle w:val="Point0"/>
      </w:pPr>
      <w:r>
        <w:tab/>
        <w:t>2.4.6.</w:t>
      </w:r>
      <w:r>
        <w:tab/>
        <w:t>le chiffre d’affaires réalisé dans chaque État de l’AELE (le cas échéant, l’État de l’AELE dans lequel ont été réalisés plus des deux tiers du chiffre d’affaires au niveau de l’AELE; indiquez également si le chiffre d’affaires total réalisé par les entreprises concernées sur le territoire des États de l’AELE est égal ou supérieur à 25 % de leur chiffre d’affaires total sur le territoire de l’EEE).</w:t>
      </w:r>
    </w:p>
    <w:p w14:paraId="5261ADD6" w14:textId="77777777" w:rsidR="008D3476" w:rsidRDefault="008D3476" w:rsidP="008D3476">
      <w:r>
        <w:t>Les données relatives au chiffre d’affaires doivent être fournies au moyen du tableau type de la Commission figurant sur le site web de la DG Concurrence.</w:t>
      </w:r>
    </w:p>
    <w:p w14:paraId="0856C8EE" w14:textId="77777777" w:rsidR="008D3476" w:rsidRDefault="008D3476" w:rsidP="008D3476">
      <w:pPr>
        <w:pStyle w:val="ManualHeading1"/>
        <w:numPr>
          <w:ilvl w:val="0"/>
          <w:numId w:val="0"/>
        </w:numPr>
        <w:ind w:left="851" w:hanging="851"/>
      </w:pPr>
      <w:r>
        <w:t>SECTION 3</w:t>
      </w:r>
    </w:p>
    <w:p w14:paraId="0467124E" w14:textId="77777777" w:rsidR="008D3476" w:rsidRDefault="008D3476" w:rsidP="008D3476">
      <w:pPr>
        <w:pStyle w:val="ManualHeading2"/>
        <w:numPr>
          <w:ilvl w:val="0"/>
          <w:numId w:val="0"/>
        </w:numPr>
        <w:ind w:left="851" w:hanging="851"/>
      </w:pPr>
      <w:r>
        <w:rPr>
          <w:i/>
          <w:iCs/>
        </w:rPr>
        <w:t>DÉFINITIONS DES MARCHÉS</w:t>
      </w:r>
    </w:p>
    <w:p w14:paraId="0135E486" w14:textId="77777777" w:rsidR="008D3476" w:rsidRDefault="008D3476" w:rsidP="008D3476">
      <w:r>
        <w:t>Les marchés de produits en cause et les marchés géographiques en cause permettent de déterminer le cadre dans lequel le pouvoir de marché de la nouvelle entité qui résultera de l’opération de concentration doit être apprécié</w:t>
      </w:r>
      <w:r>
        <w:rPr>
          <w:rStyle w:val="FootnoteReference"/>
        </w:rPr>
        <w:footnoteReference w:id="17"/>
      </w:r>
      <w:r>
        <w:t>. Lorsque les parties présentant un mémoire présentent les marchés de produits et les marchés géographiques en cause, elles doivent fournir, outre les définitions des marchés de produits et des marchés géographiques qu’elles jugent pertinentes, toutes les autres définitions possibles des marchés de produits et des marchés géographiques. Les autres marchés de produits et marchés géographiques possibles peuvent être définis en se fondant sur des décisions antérieures de la Commission et des arrêts rendus par les juridictions de l’Union ainsi que (notamment en l’absence de décisions de la Commission ou de jurisprudence de la Cour de justice) sur des rapports sectoriels, des études de marché et des documents internes des parties présentant le mémoire.</w:t>
      </w:r>
    </w:p>
    <w:p w14:paraId="0B8CA646" w14:textId="77777777" w:rsidR="008D3476" w:rsidRDefault="008D3476" w:rsidP="008D3476">
      <w:r>
        <w:t>3.1.</w:t>
      </w:r>
      <w:r>
        <w:tab/>
        <w:t>Veuillez examiner toutes les définitions possibles des marchés lorsque la concentration envisagée est susceptible de donner naissance à des marchés affectés. Veuillez expliquer comment les parties présentant un mémoire estiment que les marchés de produits et les marchés géographiques en cause devraient être définis.</w:t>
      </w:r>
    </w:p>
    <w:p w14:paraId="2DD38ABF" w14:textId="77777777" w:rsidR="008D3476" w:rsidRDefault="008D3476" w:rsidP="008D3476">
      <w:r>
        <w:t>3.2.</w:t>
      </w:r>
      <w:r>
        <w:tab/>
        <w:t>Compte tenu de toutes les définitions possibles des marchés en cause examinées, vous devez identifier chaque marché affecté</w:t>
      </w:r>
      <w:r>
        <w:rPr>
          <w:rStyle w:val="FootnoteReference"/>
        </w:rPr>
        <w:footnoteReference w:id="18"/>
      </w:r>
      <w:r>
        <w:t xml:space="preserve"> et fournir un récapitulatif des activités des parties à la concentration dans chaque marché en cause possible. Veuillez ajouter aux tableaux autant de lignes que nécessaire pour couvrir tous les marchés possibles que vous envisagez:</w:t>
      </w:r>
    </w:p>
    <w:tbl>
      <w:tblPr>
        <w:tblW w:w="0" w:type="auto"/>
        <w:tblInd w:w="-113" w:type="dxa"/>
        <w:tblLayout w:type="fixed"/>
        <w:tblLook w:val="0000" w:firstRow="0" w:lastRow="0" w:firstColumn="0" w:lastColumn="0" w:noHBand="0" w:noVBand="0"/>
      </w:tblPr>
      <w:tblGrid>
        <w:gridCol w:w="2972"/>
        <w:gridCol w:w="2971"/>
        <w:gridCol w:w="3343"/>
      </w:tblGrid>
      <w:tr w:rsidR="008D3476" w14:paraId="17FDF463" w14:textId="77777777" w:rsidTr="00E061DB">
        <w:tc>
          <w:tcPr>
            <w:tcW w:w="9286" w:type="dxa"/>
            <w:gridSpan w:val="3"/>
            <w:tcBorders>
              <w:top w:val="single" w:sz="2" w:space="0" w:color="auto"/>
              <w:left w:val="single" w:sz="2" w:space="0" w:color="auto"/>
              <w:bottom w:val="single" w:sz="2" w:space="0" w:color="auto"/>
              <w:right w:val="single" w:sz="2" w:space="0" w:color="auto"/>
            </w:tcBorders>
          </w:tcPr>
          <w:p w14:paraId="277E9306" w14:textId="77777777" w:rsidR="008D3476" w:rsidRDefault="008D3476" w:rsidP="00E061DB">
            <w:pPr>
              <w:pStyle w:val="NormalCentered"/>
            </w:pPr>
            <w:r>
              <w:rPr>
                <w:i/>
                <w:iCs/>
              </w:rPr>
              <w:t>Synthèse des marchés affectés</w:t>
            </w:r>
          </w:p>
          <w:p w14:paraId="3DDB0FE7" w14:textId="77777777" w:rsidR="008D3476" w:rsidRDefault="008D3476" w:rsidP="00E061DB">
            <w:pPr>
              <w:pStyle w:val="NormalCentered"/>
            </w:pPr>
            <w:r>
              <w:rPr>
                <w:i/>
                <w:iCs/>
              </w:rPr>
              <w:t>Chevauchements horizontaux</w:t>
            </w:r>
          </w:p>
        </w:tc>
      </w:tr>
      <w:tr w:rsidR="008D3476" w14:paraId="616D9B3C" w14:textId="77777777" w:rsidTr="00E061DB">
        <w:tc>
          <w:tcPr>
            <w:tcW w:w="2972" w:type="dxa"/>
            <w:tcBorders>
              <w:top w:val="single" w:sz="2" w:space="0" w:color="auto"/>
              <w:left w:val="single" w:sz="2" w:space="0" w:color="auto"/>
              <w:bottom w:val="single" w:sz="2" w:space="0" w:color="auto"/>
              <w:right w:val="single" w:sz="2" w:space="0" w:color="auto"/>
            </w:tcBorders>
          </w:tcPr>
          <w:p w14:paraId="0495457F" w14:textId="77777777" w:rsidR="008D3476" w:rsidRDefault="008D3476" w:rsidP="00E061DB">
            <w:pPr>
              <w:pStyle w:val="NormalCentered"/>
            </w:pPr>
            <w:r>
              <w:t>Définition des marchés de produits</w:t>
            </w:r>
          </w:p>
        </w:tc>
        <w:tc>
          <w:tcPr>
            <w:tcW w:w="2971" w:type="dxa"/>
            <w:tcBorders>
              <w:top w:val="single" w:sz="2" w:space="0" w:color="auto"/>
              <w:left w:val="single" w:sz="2" w:space="0" w:color="auto"/>
              <w:bottom w:val="single" w:sz="2" w:space="0" w:color="auto"/>
              <w:right w:val="single" w:sz="2" w:space="0" w:color="auto"/>
            </w:tcBorders>
          </w:tcPr>
          <w:p w14:paraId="6D97D035" w14:textId="77777777" w:rsidR="008D3476" w:rsidRDefault="008D3476" w:rsidP="00E061DB">
            <w:pPr>
              <w:pStyle w:val="NormalCentered"/>
            </w:pPr>
            <w:r>
              <w:t>Définition du marché géographique</w:t>
            </w:r>
          </w:p>
        </w:tc>
        <w:tc>
          <w:tcPr>
            <w:tcW w:w="3343" w:type="dxa"/>
            <w:tcBorders>
              <w:top w:val="single" w:sz="2" w:space="0" w:color="auto"/>
              <w:left w:val="single" w:sz="2" w:space="0" w:color="auto"/>
              <w:bottom w:val="single" w:sz="2" w:space="0" w:color="auto"/>
              <w:right w:val="single" w:sz="2" w:space="0" w:color="auto"/>
            </w:tcBorders>
          </w:tcPr>
          <w:p w14:paraId="741B6E7F" w14:textId="77777777" w:rsidR="008D3476" w:rsidRDefault="008D3476" w:rsidP="00E061DB">
            <w:pPr>
              <w:pStyle w:val="NormalCentered"/>
            </w:pPr>
            <w:r>
              <w:t>Part de marché cumulée</w:t>
            </w:r>
          </w:p>
          <w:p w14:paraId="5B6AF80B" w14:textId="77777777" w:rsidR="008D3476" w:rsidRDefault="008D3476" w:rsidP="00E061DB">
            <w:pPr>
              <w:pStyle w:val="NormalCentered"/>
            </w:pPr>
            <w:r>
              <w:t>[Année]</w:t>
            </w:r>
          </w:p>
          <w:p w14:paraId="31BAAC38" w14:textId="77777777" w:rsidR="008D3476" w:rsidRDefault="008D3476" w:rsidP="00E061DB">
            <w:pPr>
              <w:pStyle w:val="NormalCentered"/>
            </w:pPr>
            <w:r>
              <w:t>[Paramètre]</w:t>
            </w:r>
          </w:p>
        </w:tc>
      </w:tr>
      <w:tr w:rsidR="008D3476" w14:paraId="64B6C4AC" w14:textId="77777777" w:rsidTr="00E061DB">
        <w:tc>
          <w:tcPr>
            <w:tcW w:w="2972" w:type="dxa"/>
            <w:tcBorders>
              <w:top w:val="single" w:sz="2" w:space="0" w:color="auto"/>
              <w:left w:val="single" w:sz="2" w:space="0" w:color="auto"/>
              <w:bottom w:val="single" w:sz="2" w:space="0" w:color="auto"/>
              <w:right w:val="single" w:sz="2" w:space="0" w:color="auto"/>
            </w:tcBorders>
          </w:tcPr>
          <w:p w14:paraId="44E94428" w14:textId="77777777" w:rsidR="008D3476" w:rsidRDefault="008D3476" w:rsidP="00E061DB">
            <w:pPr>
              <w:adjustRightInd w:val="0"/>
              <w:spacing w:before="0" w:after="0"/>
              <w:jc w:val="left"/>
              <w:rPr>
                <w:lang w:val="en-US"/>
              </w:rPr>
            </w:pPr>
          </w:p>
        </w:tc>
        <w:tc>
          <w:tcPr>
            <w:tcW w:w="2971" w:type="dxa"/>
            <w:tcBorders>
              <w:top w:val="single" w:sz="2" w:space="0" w:color="auto"/>
              <w:left w:val="single" w:sz="2" w:space="0" w:color="auto"/>
              <w:bottom w:val="single" w:sz="2" w:space="0" w:color="auto"/>
              <w:right w:val="single" w:sz="2" w:space="0" w:color="auto"/>
            </w:tcBorders>
          </w:tcPr>
          <w:p w14:paraId="43E899EF" w14:textId="77777777" w:rsidR="008D3476" w:rsidRDefault="008D3476" w:rsidP="00E061DB">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4D6632C6" w14:textId="77777777" w:rsidR="008D3476" w:rsidRDefault="008D3476" w:rsidP="00E061DB">
            <w:pPr>
              <w:adjustRightInd w:val="0"/>
              <w:spacing w:before="0" w:after="0"/>
              <w:jc w:val="left"/>
              <w:rPr>
                <w:lang w:val="en-US"/>
              </w:rPr>
            </w:pPr>
          </w:p>
        </w:tc>
      </w:tr>
      <w:tr w:rsidR="008D3476" w14:paraId="669CC98D" w14:textId="77777777" w:rsidTr="00E061DB">
        <w:tc>
          <w:tcPr>
            <w:tcW w:w="2972" w:type="dxa"/>
            <w:tcBorders>
              <w:top w:val="single" w:sz="2" w:space="0" w:color="auto"/>
              <w:left w:val="single" w:sz="2" w:space="0" w:color="auto"/>
              <w:bottom w:val="single" w:sz="2" w:space="0" w:color="auto"/>
              <w:right w:val="single" w:sz="2" w:space="0" w:color="auto"/>
            </w:tcBorders>
          </w:tcPr>
          <w:p w14:paraId="52A3E628" w14:textId="77777777" w:rsidR="008D3476" w:rsidRDefault="008D3476" w:rsidP="00E061DB">
            <w:pPr>
              <w:adjustRightInd w:val="0"/>
              <w:spacing w:before="0" w:after="0"/>
              <w:jc w:val="left"/>
              <w:rPr>
                <w:lang w:val="en-US"/>
              </w:rPr>
            </w:pPr>
          </w:p>
        </w:tc>
        <w:tc>
          <w:tcPr>
            <w:tcW w:w="2971" w:type="dxa"/>
            <w:tcBorders>
              <w:top w:val="single" w:sz="2" w:space="0" w:color="auto"/>
              <w:left w:val="single" w:sz="2" w:space="0" w:color="auto"/>
              <w:bottom w:val="single" w:sz="2" w:space="0" w:color="auto"/>
              <w:right w:val="single" w:sz="2" w:space="0" w:color="auto"/>
            </w:tcBorders>
          </w:tcPr>
          <w:p w14:paraId="74C1670B" w14:textId="77777777" w:rsidR="008D3476" w:rsidRDefault="008D3476" w:rsidP="00E061DB">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3A9AFB05" w14:textId="77777777" w:rsidR="008D3476" w:rsidRDefault="008D3476" w:rsidP="00E061DB">
            <w:pPr>
              <w:adjustRightInd w:val="0"/>
              <w:spacing w:before="0" w:after="0"/>
              <w:jc w:val="left"/>
              <w:rPr>
                <w:lang w:val="en-US"/>
              </w:rPr>
            </w:pPr>
          </w:p>
        </w:tc>
      </w:tr>
    </w:tbl>
    <w:p w14:paraId="27ED2527" w14:textId="77777777" w:rsidR="008D3476" w:rsidRDefault="008D3476" w:rsidP="008D3476"/>
    <w:tbl>
      <w:tblPr>
        <w:tblW w:w="0" w:type="auto"/>
        <w:tblInd w:w="-113" w:type="dxa"/>
        <w:tblLayout w:type="fixed"/>
        <w:tblLook w:val="0000" w:firstRow="0" w:lastRow="0" w:firstColumn="0" w:lastColumn="0" w:noHBand="0" w:noVBand="0"/>
      </w:tblPr>
      <w:tblGrid>
        <w:gridCol w:w="1671"/>
        <w:gridCol w:w="1672"/>
        <w:gridCol w:w="1300"/>
        <w:gridCol w:w="1671"/>
        <w:gridCol w:w="1672"/>
        <w:gridCol w:w="1300"/>
      </w:tblGrid>
      <w:tr w:rsidR="008D3476" w14:paraId="7399D047" w14:textId="77777777" w:rsidTr="00E061DB">
        <w:tc>
          <w:tcPr>
            <w:tcW w:w="9286" w:type="dxa"/>
            <w:gridSpan w:val="6"/>
            <w:tcBorders>
              <w:top w:val="single" w:sz="2" w:space="0" w:color="auto"/>
              <w:left w:val="single" w:sz="2" w:space="0" w:color="auto"/>
              <w:bottom w:val="single" w:sz="2" w:space="0" w:color="auto"/>
              <w:right w:val="single" w:sz="2" w:space="0" w:color="auto"/>
            </w:tcBorders>
          </w:tcPr>
          <w:p w14:paraId="4FB71778" w14:textId="77777777" w:rsidR="008D3476" w:rsidRDefault="008D3476" w:rsidP="00E061DB">
            <w:pPr>
              <w:pStyle w:val="NormalCentered"/>
            </w:pPr>
            <w:r>
              <w:rPr>
                <w:i/>
                <w:iCs/>
              </w:rPr>
              <w:t>Synthèse des marchés affectés</w:t>
            </w:r>
          </w:p>
          <w:p w14:paraId="3E0C2951" w14:textId="77777777" w:rsidR="008D3476" w:rsidRDefault="008D3476" w:rsidP="00E061DB">
            <w:pPr>
              <w:pStyle w:val="NormalCentered"/>
            </w:pPr>
            <w:r>
              <w:rPr>
                <w:i/>
                <w:iCs/>
              </w:rPr>
              <w:t>Relations verticales</w:t>
            </w:r>
          </w:p>
        </w:tc>
      </w:tr>
      <w:tr w:rsidR="008D3476" w14:paraId="677A5614" w14:textId="77777777" w:rsidTr="00E061DB">
        <w:tc>
          <w:tcPr>
            <w:tcW w:w="4643" w:type="dxa"/>
            <w:gridSpan w:val="3"/>
            <w:tcBorders>
              <w:top w:val="single" w:sz="2" w:space="0" w:color="auto"/>
              <w:left w:val="single" w:sz="2" w:space="0" w:color="auto"/>
              <w:bottom w:val="single" w:sz="2" w:space="0" w:color="auto"/>
              <w:right w:val="single" w:sz="2" w:space="0" w:color="auto"/>
            </w:tcBorders>
          </w:tcPr>
          <w:p w14:paraId="6ED83B69" w14:textId="77777777" w:rsidR="008D3476" w:rsidRDefault="008D3476" w:rsidP="00E061DB">
            <w:pPr>
              <w:pStyle w:val="NormalCentered"/>
            </w:pPr>
            <w:r>
              <w:rPr>
                <w:i/>
                <w:iCs/>
              </w:rPr>
              <w:t>Amont</w:t>
            </w:r>
          </w:p>
        </w:tc>
        <w:tc>
          <w:tcPr>
            <w:tcW w:w="4643" w:type="dxa"/>
            <w:gridSpan w:val="3"/>
            <w:tcBorders>
              <w:top w:val="single" w:sz="2" w:space="0" w:color="auto"/>
              <w:left w:val="single" w:sz="2" w:space="0" w:color="auto"/>
              <w:bottom w:val="single" w:sz="2" w:space="0" w:color="auto"/>
              <w:right w:val="single" w:sz="2" w:space="0" w:color="auto"/>
            </w:tcBorders>
          </w:tcPr>
          <w:p w14:paraId="786C22A7" w14:textId="77777777" w:rsidR="008D3476" w:rsidRDefault="008D3476" w:rsidP="00E061DB">
            <w:pPr>
              <w:pStyle w:val="NormalCentered"/>
            </w:pPr>
            <w:r>
              <w:rPr>
                <w:i/>
                <w:iCs/>
              </w:rPr>
              <w:t>Aval</w:t>
            </w:r>
          </w:p>
        </w:tc>
      </w:tr>
      <w:tr w:rsidR="008D3476" w14:paraId="02ED0BE8" w14:textId="77777777" w:rsidTr="00E061DB">
        <w:tc>
          <w:tcPr>
            <w:tcW w:w="1671" w:type="dxa"/>
            <w:tcBorders>
              <w:top w:val="single" w:sz="2" w:space="0" w:color="auto"/>
              <w:left w:val="single" w:sz="2" w:space="0" w:color="auto"/>
              <w:bottom w:val="single" w:sz="2" w:space="0" w:color="auto"/>
              <w:right w:val="single" w:sz="2" w:space="0" w:color="auto"/>
            </w:tcBorders>
          </w:tcPr>
          <w:p w14:paraId="5B452F61" w14:textId="77777777" w:rsidR="008D3476" w:rsidRDefault="008D3476" w:rsidP="00E061DB">
            <w:pPr>
              <w:pStyle w:val="NormalCentered"/>
            </w:pPr>
            <w:r>
              <w:t>Définition des marchés de produits</w:t>
            </w:r>
          </w:p>
        </w:tc>
        <w:tc>
          <w:tcPr>
            <w:tcW w:w="1672" w:type="dxa"/>
            <w:tcBorders>
              <w:top w:val="single" w:sz="2" w:space="0" w:color="auto"/>
              <w:left w:val="single" w:sz="2" w:space="0" w:color="auto"/>
              <w:bottom w:val="single" w:sz="2" w:space="0" w:color="auto"/>
              <w:right w:val="single" w:sz="2" w:space="0" w:color="auto"/>
            </w:tcBorders>
          </w:tcPr>
          <w:p w14:paraId="08378E95" w14:textId="77777777" w:rsidR="008D3476" w:rsidRDefault="008D3476" w:rsidP="00E061DB">
            <w:pPr>
              <w:pStyle w:val="NormalCentered"/>
            </w:pPr>
            <w:r>
              <w:t>Définition du marché géographique</w:t>
            </w:r>
          </w:p>
        </w:tc>
        <w:tc>
          <w:tcPr>
            <w:tcW w:w="1300" w:type="dxa"/>
            <w:tcBorders>
              <w:top w:val="single" w:sz="2" w:space="0" w:color="auto"/>
              <w:left w:val="single" w:sz="2" w:space="0" w:color="auto"/>
              <w:bottom w:val="single" w:sz="2" w:space="0" w:color="auto"/>
              <w:right w:val="single" w:sz="2" w:space="0" w:color="auto"/>
            </w:tcBorders>
          </w:tcPr>
          <w:p w14:paraId="5665A4A6" w14:textId="77777777" w:rsidR="008D3476" w:rsidRDefault="008D3476" w:rsidP="00E061DB">
            <w:pPr>
              <w:pStyle w:val="NormalCentered"/>
            </w:pPr>
            <w:r>
              <w:t>Part de marché cumulée</w:t>
            </w:r>
          </w:p>
          <w:p w14:paraId="146A48D4" w14:textId="77777777" w:rsidR="008D3476" w:rsidRDefault="008D3476" w:rsidP="00E061DB">
            <w:pPr>
              <w:pStyle w:val="NormalCentered"/>
            </w:pPr>
            <w:r>
              <w:t>[Année]</w:t>
            </w:r>
          </w:p>
          <w:p w14:paraId="4C789C4C" w14:textId="77777777" w:rsidR="008D3476" w:rsidRDefault="008D3476" w:rsidP="00E061DB">
            <w:pPr>
              <w:pStyle w:val="NormalCentered"/>
            </w:pPr>
            <w:r>
              <w:t>[Paramètre]</w:t>
            </w:r>
          </w:p>
        </w:tc>
        <w:tc>
          <w:tcPr>
            <w:tcW w:w="1671" w:type="dxa"/>
            <w:tcBorders>
              <w:top w:val="single" w:sz="2" w:space="0" w:color="auto"/>
              <w:left w:val="single" w:sz="2" w:space="0" w:color="auto"/>
              <w:bottom w:val="single" w:sz="2" w:space="0" w:color="auto"/>
              <w:right w:val="single" w:sz="2" w:space="0" w:color="auto"/>
            </w:tcBorders>
          </w:tcPr>
          <w:p w14:paraId="4A10DAB0" w14:textId="77777777" w:rsidR="008D3476" w:rsidRDefault="008D3476" w:rsidP="00E061DB">
            <w:pPr>
              <w:pStyle w:val="NormalCentered"/>
            </w:pPr>
            <w:r>
              <w:t>Définition des marchés de produits</w:t>
            </w:r>
          </w:p>
        </w:tc>
        <w:tc>
          <w:tcPr>
            <w:tcW w:w="1672" w:type="dxa"/>
            <w:tcBorders>
              <w:top w:val="single" w:sz="2" w:space="0" w:color="auto"/>
              <w:left w:val="single" w:sz="2" w:space="0" w:color="auto"/>
              <w:bottom w:val="single" w:sz="2" w:space="0" w:color="auto"/>
              <w:right w:val="single" w:sz="2" w:space="0" w:color="auto"/>
            </w:tcBorders>
          </w:tcPr>
          <w:p w14:paraId="03A26BEE" w14:textId="77777777" w:rsidR="008D3476" w:rsidRDefault="008D3476" w:rsidP="00E061DB">
            <w:pPr>
              <w:pStyle w:val="NormalCentered"/>
            </w:pPr>
            <w:r>
              <w:t>Définition du marché géographique</w:t>
            </w:r>
          </w:p>
        </w:tc>
        <w:tc>
          <w:tcPr>
            <w:tcW w:w="1300" w:type="dxa"/>
            <w:tcBorders>
              <w:top w:val="single" w:sz="2" w:space="0" w:color="auto"/>
              <w:left w:val="single" w:sz="2" w:space="0" w:color="auto"/>
              <w:bottom w:val="single" w:sz="2" w:space="0" w:color="auto"/>
              <w:right w:val="single" w:sz="2" w:space="0" w:color="auto"/>
            </w:tcBorders>
          </w:tcPr>
          <w:p w14:paraId="091342B6" w14:textId="77777777" w:rsidR="008D3476" w:rsidRDefault="008D3476" w:rsidP="00E061DB">
            <w:pPr>
              <w:pStyle w:val="NormalCentered"/>
            </w:pPr>
            <w:r>
              <w:t>Part de marché cumulée</w:t>
            </w:r>
          </w:p>
          <w:p w14:paraId="42F2EAE7" w14:textId="77777777" w:rsidR="008D3476" w:rsidRDefault="008D3476" w:rsidP="00E061DB">
            <w:pPr>
              <w:pStyle w:val="NormalCentered"/>
            </w:pPr>
            <w:r>
              <w:t>[Année]</w:t>
            </w:r>
          </w:p>
          <w:p w14:paraId="7C2A6EE4" w14:textId="77777777" w:rsidR="008D3476" w:rsidRDefault="008D3476" w:rsidP="00E061DB">
            <w:pPr>
              <w:pStyle w:val="NormalCentered"/>
            </w:pPr>
            <w:r>
              <w:t>[Paramètre]</w:t>
            </w:r>
          </w:p>
        </w:tc>
      </w:tr>
      <w:tr w:rsidR="008D3476" w14:paraId="4F47E52F" w14:textId="77777777" w:rsidTr="00E061DB">
        <w:tc>
          <w:tcPr>
            <w:tcW w:w="1671" w:type="dxa"/>
            <w:tcBorders>
              <w:top w:val="single" w:sz="2" w:space="0" w:color="auto"/>
              <w:left w:val="single" w:sz="2" w:space="0" w:color="auto"/>
              <w:bottom w:val="single" w:sz="2" w:space="0" w:color="auto"/>
              <w:right w:val="single" w:sz="2" w:space="0" w:color="auto"/>
            </w:tcBorders>
          </w:tcPr>
          <w:p w14:paraId="5AEE661F" w14:textId="77777777" w:rsidR="008D3476" w:rsidRDefault="008D3476" w:rsidP="00E061DB">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06D09EDD" w14:textId="77777777" w:rsidR="008D3476" w:rsidRDefault="008D3476" w:rsidP="00E061DB">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0C6B4879" w14:textId="77777777" w:rsidR="008D3476" w:rsidRDefault="008D3476" w:rsidP="00E061DB">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0AC808AD" w14:textId="77777777" w:rsidR="008D3476" w:rsidRDefault="008D3476" w:rsidP="00E061DB">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37018999" w14:textId="77777777" w:rsidR="008D3476" w:rsidRDefault="008D3476" w:rsidP="00E061DB">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510887A0" w14:textId="77777777" w:rsidR="008D3476" w:rsidRDefault="008D3476" w:rsidP="00E061DB">
            <w:pPr>
              <w:adjustRightInd w:val="0"/>
              <w:spacing w:before="0" w:after="0"/>
              <w:jc w:val="left"/>
              <w:rPr>
                <w:lang w:val="en-US"/>
              </w:rPr>
            </w:pPr>
          </w:p>
        </w:tc>
      </w:tr>
      <w:tr w:rsidR="008D3476" w14:paraId="45C874F0" w14:textId="77777777" w:rsidTr="00E061DB">
        <w:tc>
          <w:tcPr>
            <w:tcW w:w="1671" w:type="dxa"/>
            <w:tcBorders>
              <w:top w:val="single" w:sz="2" w:space="0" w:color="auto"/>
              <w:left w:val="single" w:sz="2" w:space="0" w:color="auto"/>
              <w:bottom w:val="single" w:sz="2" w:space="0" w:color="auto"/>
              <w:right w:val="single" w:sz="2" w:space="0" w:color="auto"/>
            </w:tcBorders>
          </w:tcPr>
          <w:p w14:paraId="143010AC" w14:textId="77777777" w:rsidR="008D3476" w:rsidRDefault="008D3476" w:rsidP="00E061DB">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12FC4CBC" w14:textId="77777777" w:rsidR="008D3476" w:rsidRDefault="008D3476" w:rsidP="00E061DB">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74188F40" w14:textId="77777777" w:rsidR="008D3476" w:rsidRDefault="008D3476" w:rsidP="00E061DB">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6D3C8AF9" w14:textId="77777777" w:rsidR="008D3476" w:rsidRDefault="008D3476" w:rsidP="00E061DB">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46AC750F" w14:textId="77777777" w:rsidR="008D3476" w:rsidRDefault="008D3476" w:rsidP="00E061DB">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61138B00" w14:textId="77777777" w:rsidR="008D3476" w:rsidRDefault="008D3476" w:rsidP="00E061DB">
            <w:pPr>
              <w:adjustRightInd w:val="0"/>
              <w:spacing w:before="0" w:after="0"/>
              <w:jc w:val="left"/>
              <w:rPr>
                <w:lang w:val="en-US"/>
              </w:rPr>
            </w:pPr>
          </w:p>
        </w:tc>
      </w:tr>
    </w:tbl>
    <w:p w14:paraId="363AF148" w14:textId="77777777" w:rsidR="008D3476" w:rsidRDefault="008D3476" w:rsidP="008D3476"/>
    <w:p w14:paraId="0E4725AF" w14:textId="77777777" w:rsidR="008D3476" w:rsidRDefault="008D3476" w:rsidP="008D3476">
      <w:pPr>
        <w:pStyle w:val="ManualHeading1"/>
        <w:numPr>
          <w:ilvl w:val="0"/>
          <w:numId w:val="0"/>
        </w:numPr>
        <w:ind w:left="851" w:hanging="851"/>
      </w:pPr>
      <w:r>
        <w:t>SECTION 4</w:t>
      </w:r>
    </w:p>
    <w:p w14:paraId="5A7D6BD6" w14:textId="77777777" w:rsidR="008D3476" w:rsidRDefault="008D3476" w:rsidP="008D3476">
      <w:pPr>
        <w:pStyle w:val="ManualHeading2"/>
        <w:numPr>
          <w:ilvl w:val="0"/>
          <w:numId w:val="0"/>
        </w:numPr>
        <w:ind w:left="851" w:hanging="851"/>
      </w:pPr>
      <w:r>
        <w:rPr>
          <w:i/>
          <w:iCs/>
        </w:rPr>
        <w:t>INFORMATIONS CONCERNANT LES MARCHÉS AFFECTÉS</w:t>
      </w:r>
    </w:p>
    <w:p w14:paraId="189ED29A" w14:textId="77777777" w:rsidR="008D3476" w:rsidRDefault="008D3476" w:rsidP="008D3476">
      <w:r>
        <w:t>Pour chaque marché affecté, vous devez fournir toutes les informations suivantes pour la dernière année:</w:t>
      </w:r>
    </w:p>
    <w:p w14:paraId="200219F7" w14:textId="77777777" w:rsidR="008D3476" w:rsidRDefault="008D3476" w:rsidP="008D3476">
      <w:pPr>
        <w:pStyle w:val="Point0"/>
      </w:pPr>
      <w:r>
        <w:tab/>
        <w:t>4.1.</w:t>
      </w:r>
      <w:r>
        <w:tab/>
        <w:t>pour chacune des parties à la concentration, la nature des activités de l’entreprise, les principales filiales, les marques, les noms des produits et les marques déposées utilisés sur chacun de ces marchés;</w:t>
      </w:r>
    </w:p>
    <w:p w14:paraId="0BAADF2B" w14:textId="77777777" w:rsidR="008D3476" w:rsidRDefault="008D3476" w:rsidP="008D3476">
      <w:pPr>
        <w:pStyle w:val="Point0"/>
      </w:pPr>
      <w:r>
        <w:tab/>
        <w:t>4.2.</w:t>
      </w:r>
      <w:r>
        <w:tab/>
        <w:t>une estimation de la taille totale du marché en termes de ventes réalisées, en valeur (en euros) et en volume (en unités)</w:t>
      </w:r>
      <w:r>
        <w:rPr>
          <w:rStyle w:val="FootnoteReference"/>
        </w:rPr>
        <w:footnoteReference w:id="19"/>
      </w:r>
      <w:r>
        <w:t>. Vous devez indiquer les bases de calcul et les sources utilisées à cet effet et fournir, lorsqu’ils sont disponibles, les documents nécessaires pour confirmer ce calcul;</w:t>
      </w:r>
    </w:p>
    <w:p w14:paraId="35401E35" w14:textId="77777777" w:rsidR="008D3476" w:rsidRDefault="008D3476" w:rsidP="008D3476">
      <w:pPr>
        <w:pStyle w:val="Point0"/>
      </w:pPr>
      <w:r>
        <w:tab/>
        <w:t>4.3.</w:t>
      </w:r>
      <w:r>
        <w:tab/>
        <w:t>pour chacune des parties à la concentration, les ventes en valeur et en volume, ainsi qu’une estimation des parts de marché;</w:t>
      </w:r>
    </w:p>
    <w:p w14:paraId="77D3A9D2" w14:textId="77777777" w:rsidR="008D3476" w:rsidRDefault="008D3476" w:rsidP="008D3476">
      <w:pPr>
        <w:pStyle w:val="Point0"/>
      </w:pPr>
      <w:r>
        <w:tab/>
        <w:t>4.4.</w:t>
      </w:r>
      <w:r>
        <w:tab/>
        <w:t>une estimation de la part de marché en valeur (et, le cas échéant, en volume) des trois principaux concurrents (en indiquant la base des estimations);</w:t>
      </w:r>
    </w:p>
    <w:p w14:paraId="0E26E3F0" w14:textId="77777777" w:rsidR="008D3476" w:rsidRDefault="008D3476" w:rsidP="008D3476">
      <w:pPr>
        <w:pStyle w:val="Point0"/>
      </w:pPr>
      <w:r>
        <w:tab/>
        <w:t>4.5.</w:t>
      </w:r>
      <w:r>
        <w:tab/>
        <w:t>si la concentration est une entreprise commune, veuillez préciser si deux sociétés mères ou plus continuent d’exercer des activités d’une certaine ampleur sur le même marché que cette entreprise commune ou sur un marché situé en amont ou aval</w:t>
      </w:r>
      <w:r>
        <w:rPr>
          <w:rStyle w:val="FootnoteReference"/>
        </w:rPr>
        <w:footnoteReference w:id="20"/>
      </w:r>
      <w:r>
        <w:t>.</w:t>
      </w:r>
    </w:p>
    <w:p w14:paraId="05033167" w14:textId="77777777" w:rsidR="008D3476" w:rsidRDefault="008D3476" w:rsidP="008D3476">
      <w:pPr>
        <w:pStyle w:val="ManualHeading1"/>
        <w:numPr>
          <w:ilvl w:val="0"/>
          <w:numId w:val="0"/>
        </w:numPr>
        <w:ind w:left="851" w:hanging="851"/>
      </w:pPr>
      <w:r>
        <w:t>SECTION 5</w:t>
      </w:r>
    </w:p>
    <w:p w14:paraId="668AED45" w14:textId="77777777" w:rsidR="008D3476" w:rsidRDefault="008D3476" w:rsidP="008D3476">
      <w:pPr>
        <w:pStyle w:val="ManualHeading2"/>
        <w:numPr>
          <w:ilvl w:val="0"/>
          <w:numId w:val="0"/>
        </w:numPr>
        <w:ind w:left="851" w:hanging="851"/>
      </w:pPr>
      <w:r>
        <w:rPr>
          <w:i/>
          <w:iCs/>
        </w:rPr>
        <w:t>INFORMATIONS DÉTAILLÉES SUR LA DEMANDE DE RENVOI ET RAISONS POUR LESQUELLES L’AFFAIRE DEVRAIT ÊTRE RENVOYÉE</w:t>
      </w:r>
    </w:p>
    <w:p w14:paraId="7ABD5A63" w14:textId="77777777" w:rsidR="008D3476" w:rsidRDefault="008D3476" w:rsidP="008D3476">
      <w:r>
        <w:t>5.1.</w:t>
      </w:r>
      <w:r>
        <w:tab/>
        <w:t>En ce qui concerne les renvois au titre de l’article 4, paragraphe 4, du règlement sur les concentrations, et les renvois au titre des dispositions pertinentes de l’accord EEE:</w:t>
      </w:r>
    </w:p>
    <w:p w14:paraId="4D417E80" w14:textId="77777777" w:rsidR="008D3476" w:rsidRDefault="008D3476" w:rsidP="008D3476">
      <w:pPr>
        <w:pStyle w:val="Point0"/>
      </w:pPr>
      <w:r>
        <w:tab/>
        <w:t>5.1.1.</w:t>
      </w:r>
      <w:r>
        <w:tab/>
        <w:t>veuillez indiquer l’État membre/les États membres et l’État/les États de l’AELE qui, selon vous, devraient examiner la concentration conformément à l’article 4, paragraphe 4, du règlement sur les concentrations, en précisant si vous avez pris ou non des contacts informels avec cet État membre/ces États membres et cet État de l’AELE/ces États de l’AELE;</w:t>
      </w:r>
    </w:p>
    <w:p w14:paraId="649EDC20" w14:textId="77777777" w:rsidR="008D3476" w:rsidRDefault="008D3476" w:rsidP="008D3476">
      <w:pPr>
        <w:pStyle w:val="Point0"/>
      </w:pPr>
      <w:r>
        <w:tab/>
        <w:t>5.1.2.</w:t>
      </w:r>
      <w:r>
        <w:tab/>
        <w:t>veuillez préciser si vous demandez le renvoi de l’affaire en tout ou en partie. Si vous demandez le renvoi d’une partie de l’affaire, veuillez indiquer clairement la ou les parties concernées. Si vous demandez le renvoi de la totalité de l’affaire, veuillez confirmer qu’il n’existe pas de marchés affectés en dehors du territoire de l’État membre/des États membres et de l’État de l’AELE/des États de l’AELE visés par la demande de renvoi;</w:t>
      </w:r>
    </w:p>
    <w:p w14:paraId="3D6F997B" w14:textId="77777777" w:rsidR="008D3476" w:rsidRDefault="008D3476" w:rsidP="008D3476">
      <w:pPr>
        <w:pStyle w:val="Point0"/>
      </w:pPr>
      <w:r>
        <w:tab/>
        <w:t>5.1.3.</w:t>
      </w:r>
      <w:r>
        <w:tab/>
        <w:t>si la concentration envisagée ne donne naissance à aucun marché affecté au sens du présent formulaire RS, veuillez expliquer</w:t>
      </w:r>
      <w:r>
        <w:rPr>
          <w:rStyle w:val="FootnoteReference"/>
        </w:rPr>
        <w:footnoteReference w:id="21"/>
      </w:r>
      <w:r>
        <w:t>:</w:t>
      </w:r>
    </w:p>
    <w:p w14:paraId="7D5FE610" w14:textId="77777777" w:rsidR="008D3476" w:rsidRDefault="008D3476" w:rsidP="008D3476">
      <w:pPr>
        <w:pStyle w:val="Point1"/>
      </w:pPr>
      <w:r>
        <w:tab/>
        <w:t>a)</w:t>
      </w:r>
      <w:r>
        <w:tab/>
        <w:t>sur quel(s) marché(s) la concentration pourrait affecter de manière significative la concurrence dans un État membre et comment;</w:t>
      </w:r>
    </w:p>
    <w:p w14:paraId="6309E09B" w14:textId="77777777" w:rsidR="008D3476" w:rsidRDefault="008D3476" w:rsidP="008D3476">
      <w:pPr>
        <w:pStyle w:val="Point1"/>
      </w:pPr>
      <w:r>
        <w:tab/>
        <w:t>b)</w:t>
      </w:r>
      <w:r>
        <w:tab/>
        <w:t>pourquoi chacun des marchés identifiés en réponse à la question a) présente toutes les caractéristiques d’un marché distinct;</w:t>
      </w:r>
    </w:p>
    <w:p w14:paraId="0CFA90A0" w14:textId="77777777" w:rsidR="008D3476" w:rsidRDefault="008D3476" w:rsidP="008D3476">
      <w:pPr>
        <w:pStyle w:val="Point0"/>
      </w:pPr>
      <w:r>
        <w:tab/>
        <w:t>5.1.4.</w:t>
      </w:r>
      <w:r>
        <w:tab/>
        <w:t>si un ou plusieurs États membres et/ou un ou plusieurs États de l’AELE deviennent compétents pour examiner l’affaire en tout ou en partie à la suite d’un renvoi effectué au titre de l’article 4, paragraphe 4, du règlement sur les concentrations, consentez-vous à ce que l’État membre/les États membres et/ou l’État de l’AELE/les États de l’AELE en question se fondent sur les informations contenues dans le présent formulaire RS pour les besoins de la procédure nationale relative à l’affaire (ou à une partie de celle-ci)? Veuillez uniquement répondre par «Oui» ou «Non».</w:t>
      </w:r>
    </w:p>
    <w:p w14:paraId="038AF656" w14:textId="77777777" w:rsidR="008D3476" w:rsidRDefault="008D3476" w:rsidP="008D3476">
      <w:r>
        <w:t>5.2.</w:t>
      </w:r>
      <w:r>
        <w:tab/>
        <w:t>En ce qui concerne les renvois au titre de l’article 4, paragraphe 5, du règlement sur les concentrations, et les renvois au titre des dispositions pertinentes de l’accord EEE:</w:t>
      </w:r>
    </w:p>
    <w:p w14:paraId="0518FB2A" w14:textId="77777777" w:rsidR="008D3476" w:rsidRDefault="008D3476" w:rsidP="008D3476">
      <w:pPr>
        <w:pStyle w:val="Point0"/>
      </w:pPr>
      <w:r>
        <w:tab/>
        <w:t>5.2.1.</w:t>
      </w:r>
      <w:r>
        <w:tab/>
        <w:t>veuillez préciser si chaque État membre et État de l’AELE sont à même d’examiner la concentration en vertu de son droit national de la concurrence. Cette information doit être fournie au moyen du tableau type figurant sur le site web de la DG Concurrence. Pour chaque État membre et chaque État de l’AELE, vous devez indiquer «Oui» (si l’opération de concentration peut être examinée en vertu du droit national de la concurrence) ou «Non» (si elle ne peut pas l’être);</w:t>
      </w:r>
    </w:p>
    <w:p w14:paraId="2A683D65" w14:textId="77777777" w:rsidR="008D3476" w:rsidRDefault="008D3476" w:rsidP="008D3476">
      <w:pPr>
        <w:pStyle w:val="Point0"/>
      </w:pPr>
      <w:r>
        <w:tab/>
        <w:t>5.2.2.</w:t>
      </w:r>
      <w:r>
        <w:tab/>
        <w:t>pour chaque État membre et chaque État de l’AELE pour lequel vous indiquez «Oui» dans le tableau visé au point 5.2.1, veuillez fournir des données financières ou autres données suffisantes pour montrer que la concentration remplit les critères de compétence correspondants pour l’application du droit national;</w:t>
      </w:r>
    </w:p>
    <w:p w14:paraId="7C081BF0" w14:textId="77777777" w:rsidR="008D3476" w:rsidRDefault="008D3476" w:rsidP="008D3476">
      <w:pPr>
        <w:pStyle w:val="Point0"/>
      </w:pPr>
      <w:r>
        <w:tab/>
        <w:t>5.2.3.</w:t>
      </w:r>
      <w:r>
        <w:tab/>
        <w:t>veuillez expliquer pourquoi l’affaire devrait être examinée par la Commission</w:t>
      </w:r>
      <w:r>
        <w:rPr>
          <w:rStyle w:val="FootnoteReference"/>
        </w:rPr>
        <w:footnoteReference w:id="22"/>
      </w:r>
      <w:r>
        <w:t xml:space="preserve"> si:</w:t>
      </w:r>
    </w:p>
    <w:p w14:paraId="5E24B4A1" w14:textId="77777777" w:rsidR="008D3476" w:rsidRDefault="008D3476" w:rsidP="008D3476">
      <w:pPr>
        <w:pStyle w:val="Point1"/>
      </w:pPr>
      <w:r>
        <w:tab/>
        <w:t>a)</w:t>
      </w:r>
      <w:r>
        <w:tab/>
        <w:t>la concentration envisagée donne naissance à des marchés affectés (au sens du présent formulaire RS) qui revêtent une dimension nationale dans moins de trois États membres;</w:t>
      </w:r>
    </w:p>
    <w:p w14:paraId="41327ACD" w14:textId="77777777" w:rsidR="008D3476" w:rsidRDefault="008D3476" w:rsidP="008D3476">
      <w:pPr>
        <w:pStyle w:val="Point1"/>
      </w:pPr>
      <w:r>
        <w:tab/>
        <w:t>b)</w:t>
      </w:r>
      <w:r>
        <w:tab/>
        <w:t>la concentration envisagée ne donne naissance à aucun marché affecté (au sens du présent formulaire RS).</w:t>
      </w:r>
    </w:p>
    <w:p w14:paraId="489DDD0B" w14:textId="77777777" w:rsidR="008D3476" w:rsidRDefault="008D3476" w:rsidP="008D3476">
      <w:pPr>
        <w:pStyle w:val="ManualHeading1"/>
        <w:numPr>
          <w:ilvl w:val="0"/>
          <w:numId w:val="0"/>
        </w:numPr>
        <w:ind w:left="851" w:hanging="851"/>
      </w:pPr>
      <w:r>
        <w:t>SECTION 6</w:t>
      </w:r>
    </w:p>
    <w:p w14:paraId="6B35CF47" w14:textId="77777777" w:rsidR="008D3476" w:rsidRDefault="008D3476" w:rsidP="008D3476">
      <w:pPr>
        <w:pStyle w:val="ManualHeading2"/>
        <w:numPr>
          <w:ilvl w:val="0"/>
          <w:numId w:val="0"/>
        </w:numPr>
        <w:ind w:left="851" w:hanging="851"/>
      </w:pPr>
      <w:r>
        <w:rPr>
          <w:i/>
          <w:iCs/>
        </w:rPr>
        <w:t>DÉCLARATION</w:t>
      </w:r>
    </w:p>
    <w:p w14:paraId="0A5DC04C" w14:textId="77777777" w:rsidR="008D3476" w:rsidRDefault="008D3476" w:rsidP="008D3476">
      <w:r>
        <w:t>Le mémoire motivé doit se conclure par la déclaration suivante, qui doit être signée par ou au nom de toutes les parties présentant le mémoire:</w:t>
      </w:r>
    </w:p>
    <w:p w14:paraId="49A6CD7E" w14:textId="77777777" w:rsidR="008D3476" w:rsidRDefault="008D3476" w:rsidP="008D3476">
      <w:r>
        <w:rPr>
          <w:i/>
          <w:iCs/>
        </w:rPr>
        <w:t>«La ou les parties présentant le mémoire déclarent que, après une vérification rigoureuse, les informations fournies dans le présent mémoire motivé sont, à leur connaissance, sincères, exactes et complètes, qu’elles ont transmis des copies conformes et complètes des documents qui sont demandés dans le formulaire RS, que toutes les estimations sont présentées comme telles et constituent leurs estimations les plus précises des faits en cause et que tous les avis exprimés sont sincères. Elles connaissent les dispositions de l’article 14, paragraphe 1, point a), du règlement sur les concentrations.».</w:t>
      </w:r>
    </w:p>
    <w:p w14:paraId="1F264938" w14:textId="77777777" w:rsidR="008D3476" w:rsidRDefault="008D3476" w:rsidP="008D3476">
      <w:r>
        <w:t>Pour les formulaires signés par voie électronique, les champs suivants sont à titre d’information uniquement. Ils doivent correspondre aux métadonnées de la/des signature(s) électronique(s) correspondante(s).</w:t>
      </w:r>
    </w:p>
    <w:p w14:paraId="1AD3B925" w14:textId="77777777" w:rsidR="008D3476" w:rsidRDefault="008D3476" w:rsidP="008D3476">
      <w:r>
        <w:t>Date:</w:t>
      </w:r>
    </w:p>
    <w:p w14:paraId="47728513" w14:textId="77777777" w:rsidR="008D3476" w:rsidRDefault="008D3476" w:rsidP="008D3476">
      <w:pPr>
        <w:pStyle w:val="CRSeparator"/>
      </w:pPr>
    </w:p>
    <w:p w14:paraId="0F68126E" w14:textId="77777777" w:rsidR="008D3476" w:rsidRDefault="008D3476" w:rsidP="008D3476">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et Annexe , pt 3 b</w:t>
      </w:r>
    </w:p>
    <w:tbl>
      <w:tblPr>
        <w:tblW w:w="0" w:type="auto"/>
        <w:tblInd w:w="-113" w:type="dxa"/>
        <w:tblLayout w:type="fixed"/>
        <w:tblLook w:val="0000" w:firstRow="0" w:lastRow="0" w:firstColumn="0" w:lastColumn="0" w:noHBand="0" w:noVBand="0"/>
      </w:tblPr>
      <w:tblGrid>
        <w:gridCol w:w="4457"/>
        <w:gridCol w:w="4829"/>
      </w:tblGrid>
      <w:tr w:rsidR="008D3476" w14:paraId="55B95628" w14:textId="77777777" w:rsidTr="00E061DB">
        <w:tc>
          <w:tcPr>
            <w:tcW w:w="4457" w:type="dxa"/>
            <w:tcBorders>
              <w:top w:val="single" w:sz="2" w:space="0" w:color="auto"/>
              <w:left w:val="single" w:sz="2" w:space="0" w:color="auto"/>
              <w:bottom w:val="single" w:sz="2" w:space="0" w:color="auto"/>
              <w:right w:val="single" w:sz="2" w:space="0" w:color="auto"/>
            </w:tcBorders>
          </w:tcPr>
          <w:p w14:paraId="2697C859" w14:textId="77777777" w:rsidR="008D3476" w:rsidRDefault="008D3476" w:rsidP="00E061DB">
            <w:pPr>
              <w:pStyle w:val="NormalLeft"/>
            </w:pPr>
            <w:r>
              <w:rPr>
                <w:i/>
                <w:iCs/>
              </w:rPr>
              <w:t>[Partie notifiante 1]</w:t>
            </w:r>
          </w:p>
          <w:p w14:paraId="27EDD5A0" w14:textId="77777777" w:rsidR="008D3476" w:rsidRDefault="008D3476" w:rsidP="00E061DB">
            <w:pPr>
              <w:pStyle w:val="NormalLeft"/>
            </w:pPr>
            <w:r>
              <w:t>Nom:</w:t>
            </w:r>
          </w:p>
          <w:p w14:paraId="6A29260D" w14:textId="77777777" w:rsidR="008D3476" w:rsidRDefault="008D3476" w:rsidP="00E061DB">
            <w:pPr>
              <w:pStyle w:val="NormalLeft"/>
            </w:pPr>
            <w:r>
              <w:t>Organisme:</w:t>
            </w:r>
          </w:p>
          <w:p w14:paraId="47A5B323" w14:textId="77777777" w:rsidR="008D3476" w:rsidRDefault="008D3476" w:rsidP="00E061DB">
            <w:pPr>
              <w:pStyle w:val="NormalLeft"/>
            </w:pPr>
            <w:r>
              <w:t>Fonction:</w:t>
            </w:r>
          </w:p>
          <w:p w14:paraId="3AD62D91" w14:textId="77777777" w:rsidR="008D3476" w:rsidRDefault="008D3476" w:rsidP="00E061DB">
            <w:pPr>
              <w:pStyle w:val="NormalLeft"/>
            </w:pPr>
            <w:r>
              <w:t>Adresse:</w:t>
            </w:r>
          </w:p>
          <w:p w14:paraId="459EE413" w14:textId="77777777" w:rsidR="008D3476" w:rsidRDefault="008D3476" w:rsidP="00E061DB">
            <w:pPr>
              <w:pStyle w:val="NormalLeft"/>
            </w:pPr>
            <w:r>
              <w:t>Numéro de téléphone:</w:t>
            </w:r>
          </w:p>
          <w:p w14:paraId="7BA082EB" w14:textId="77777777" w:rsidR="008D3476" w:rsidRDefault="008D3476" w:rsidP="00E061DB">
            <w:pPr>
              <w:pStyle w:val="NormalLeft"/>
            </w:pPr>
            <w:r>
              <w:t>Adresse électronique:</w:t>
            </w:r>
          </w:p>
          <w:p w14:paraId="57CB5F4A" w14:textId="77777777" w:rsidR="008D3476" w:rsidRDefault="008D3476" w:rsidP="00E061DB">
            <w:pPr>
              <w:pStyle w:val="NormalLeft"/>
            </w:pPr>
            <w:r>
              <w:t>[«signé électroniquement» / signature]</w:t>
            </w:r>
          </w:p>
        </w:tc>
        <w:tc>
          <w:tcPr>
            <w:tcW w:w="4829" w:type="dxa"/>
            <w:tcBorders>
              <w:top w:val="single" w:sz="2" w:space="0" w:color="auto"/>
              <w:left w:val="single" w:sz="2" w:space="0" w:color="auto"/>
              <w:bottom w:val="single" w:sz="2" w:space="0" w:color="auto"/>
              <w:right w:val="single" w:sz="2" w:space="0" w:color="auto"/>
            </w:tcBorders>
          </w:tcPr>
          <w:p w14:paraId="301385B5" w14:textId="77777777" w:rsidR="008D3476" w:rsidRDefault="008D3476" w:rsidP="00E061DB">
            <w:pPr>
              <w:pStyle w:val="NormalLeft"/>
            </w:pPr>
            <w:r>
              <w:rPr>
                <w:i/>
                <w:iCs/>
              </w:rPr>
              <w:t>[Partie notifiante 2 (le cas échéant)]</w:t>
            </w:r>
          </w:p>
          <w:p w14:paraId="77FD32D6" w14:textId="77777777" w:rsidR="008D3476" w:rsidRDefault="008D3476" w:rsidP="00E061DB">
            <w:pPr>
              <w:pStyle w:val="NormalLeft"/>
            </w:pPr>
            <w:r>
              <w:t>Nom:</w:t>
            </w:r>
          </w:p>
          <w:p w14:paraId="479443E3" w14:textId="77777777" w:rsidR="008D3476" w:rsidRDefault="008D3476" w:rsidP="00E061DB">
            <w:pPr>
              <w:pStyle w:val="NormalLeft"/>
            </w:pPr>
            <w:r>
              <w:t>Organisme:</w:t>
            </w:r>
          </w:p>
          <w:p w14:paraId="1DFD36F4" w14:textId="77777777" w:rsidR="008D3476" w:rsidRDefault="008D3476" w:rsidP="00E061DB">
            <w:pPr>
              <w:pStyle w:val="NormalLeft"/>
            </w:pPr>
            <w:r>
              <w:t>Fonction:</w:t>
            </w:r>
          </w:p>
          <w:p w14:paraId="1632002A" w14:textId="77777777" w:rsidR="008D3476" w:rsidRDefault="008D3476" w:rsidP="00E061DB">
            <w:pPr>
              <w:pStyle w:val="NormalLeft"/>
            </w:pPr>
            <w:r>
              <w:t>Adresse:</w:t>
            </w:r>
          </w:p>
          <w:p w14:paraId="173D16B7" w14:textId="77777777" w:rsidR="008D3476" w:rsidRDefault="008D3476" w:rsidP="00E061DB">
            <w:pPr>
              <w:pStyle w:val="NormalLeft"/>
            </w:pPr>
            <w:r>
              <w:t>Numéro de téléphone:</w:t>
            </w:r>
          </w:p>
          <w:p w14:paraId="1D9D1A96" w14:textId="77777777" w:rsidR="008D3476" w:rsidRDefault="008D3476" w:rsidP="00E061DB">
            <w:pPr>
              <w:pStyle w:val="NormalLeft"/>
            </w:pPr>
            <w:r>
              <w:t>Adresse électronique:</w:t>
            </w:r>
          </w:p>
          <w:p w14:paraId="2F11B77F" w14:textId="77777777" w:rsidR="008D3476" w:rsidRDefault="008D3476" w:rsidP="00E061DB">
            <w:pPr>
              <w:pStyle w:val="NormalLeft"/>
            </w:pPr>
            <w:r>
              <w:t>[«signé électroniquement» / signature]</w:t>
            </w:r>
          </w:p>
        </w:tc>
      </w:tr>
    </w:tbl>
    <w:p w14:paraId="0F2978FA" w14:textId="77777777" w:rsidR="00ED4E71" w:rsidRDefault="00ED4E71" w:rsidP="008D3476">
      <w:pPr>
        <w:pStyle w:val="Annexetitreacte"/>
      </w:pPr>
    </w:p>
    <w:sectPr w:rsidR="00ED4E71" w:rsidSect="00ED4E71">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176F1" w14:textId="77777777" w:rsidR="00ED4E71" w:rsidRDefault="00ED4E71">
      <w:pPr>
        <w:spacing w:before="0" w:after="0"/>
      </w:pPr>
      <w:r>
        <w:separator/>
      </w:r>
    </w:p>
  </w:endnote>
  <w:endnote w:type="continuationSeparator" w:id="0">
    <w:p w14:paraId="6A7246CB" w14:textId="77777777" w:rsidR="00ED4E71" w:rsidRDefault="00ED4E7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DBCD" w14:textId="77777777" w:rsidR="00ED4E71" w:rsidRDefault="00ED4E71">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EE4F0" w14:textId="77777777" w:rsidR="00ED4E71" w:rsidRDefault="00ED4E71">
      <w:pPr>
        <w:spacing w:before="0" w:after="0"/>
      </w:pPr>
      <w:r>
        <w:separator/>
      </w:r>
    </w:p>
  </w:footnote>
  <w:footnote w:type="continuationSeparator" w:id="0">
    <w:p w14:paraId="2E2547A4" w14:textId="77777777" w:rsidR="00ED4E71" w:rsidRDefault="00ED4E71">
      <w:pPr>
        <w:spacing w:before="0" w:after="0"/>
      </w:pPr>
      <w:r>
        <w:continuationSeparator/>
      </w:r>
    </w:p>
  </w:footnote>
  <w:footnote w:id="1">
    <w:p w14:paraId="3EC82D84" w14:textId="77777777" w:rsidR="00ED4E71" w:rsidRDefault="00ED4E71">
      <w:pPr>
        <w:pStyle w:val="FootnoteText"/>
      </w:pPr>
      <w:r>
        <w:rPr>
          <w:rStyle w:val="FootnoteReference"/>
          <w:lang w:val="en-US"/>
        </w:rPr>
        <w:footnoteRef/>
      </w:r>
      <w:r>
        <w:rPr>
          <w:lang w:val="en-US"/>
        </w:rPr>
        <w:tab/>
      </w:r>
      <w:r>
        <w:t>Règlement (UE) n</w:t>
      </w:r>
      <w:r>
        <w:rPr>
          <w:vertAlign w:val="superscript"/>
        </w:rPr>
        <w:t>o</w:t>
      </w:r>
      <w:r>
        <w:t> 910/2014 du Parlement européen et du Conseil du 23 juillet 2014 sur l’identification électronique et les services de confiance pour les transactions électroniques au sein du marché intérieur et abrogeant la directive 1999/93/CE (JO L 257 du 28.8.2014, p. 73).</w:t>
      </w:r>
    </w:p>
  </w:footnote>
  <w:footnote w:id="2">
    <w:p w14:paraId="422B2043" w14:textId="77777777" w:rsidR="008D3476" w:rsidRDefault="008D3476" w:rsidP="008D3476">
      <w:pPr>
        <w:pStyle w:val="FootnoteText"/>
      </w:pPr>
      <w:r>
        <w:rPr>
          <w:rStyle w:val="FootnoteReference"/>
          <w:lang w:val="en-US"/>
        </w:rPr>
        <w:footnoteRef/>
      </w:r>
      <w:r>
        <w:rPr>
          <w:lang w:val="en-US"/>
        </w:rPr>
        <w:tab/>
      </w:r>
      <w:r>
        <w:t>Règlement (CE) n</w:t>
      </w:r>
      <w:r>
        <w:rPr>
          <w:vertAlign w:val="superscript"/>
        </w:rPr>
        <w:t>o</w:t>
      </w:r>
      <w:r>
        <w:t> 139/2004 du Conseil du 20 janvier 2004 relatif au contrôle des concentrations entre entreprises (le «règlement sur les concentrations») (JO L 24 du 29.1.2004, p. 1).</w:t>
      </w:r>
    </w:p>
  </w:footnote>
  <w:footnote w:id="3">
    <w:p w14:paraId="0B817B1E" w14:textId="77777777" w:rsidR="008D3476" w:rsidRDefault="008D3476" w:rsidP="008D3476">
      <w:pPr>
        <w:pStyle w:val="FootnoteText"/>
      </w:pPr>
      <w:r>
        <w:rPr>
          <w:rStyle w:val="FootnoteReference"/>
          <w:lang w:val="en-US"/>
        </w:rPr>
        <w:footnoteRef/>
      </w:r>
      <w:r>
        <w:rPr>
          <w:lang w:val="en-US"/>
        </w:rPr>
        <w:tab/>
      </w:r>
      <w:r>
        <w:t>JO L 119 du 5.5.2023, p. 22.</w:t>
      </w:r>
    </w:p>
  </w:footnote>
  <w:footnote w:id="4">
    <w:p w14:paraId="015CDA09" w14:textId="77777777" w:rsidR="008D3476" w:rsidRDefault="008D3476" w:rsidP="008D3476">
      <w:pPr>
        <w:pStyle w:val="FootnoteText"/>
      </w:pPr>
      <w:r>
        <w:rPr>
          <w:rStyle w:val="FootnoteReference"/>
          <w:lang w:val="en-US"/>
        </w:rPr>
        <w:footnoteRef/>
      </w:r>
      <w:r>
        <w:rPr>
          <w:lang w:val="en-US"/>
        </w:rPr>
        <w:tab/>
      </w:r>
      <w:r>
        <w:t>Voir, notamment, article 57 de l’accord EEE, point 1 de l’annexe XIV de l’accord EEE, protocoles 21 et 24 de l’accord EEE [tous disponibles à l’adresse: EUR-Lex - 21994A0103(74) - FR - EUR-Lex (europa.eu)], ainsi que protocole 4 de l’accord entre les États de l’AELE relatif à l’institution d’une Autorité de surveillance et d’une Cour de justice (l’«accord surveillance et Cour de justice»), disponible à l’adresse: EUR-Lex - JOL_1994_344_R_0001_003 - FR - EUR-Lex (europa.eu). En l’occurrence, l’expression «États de l’AELE» désigne les États de l’Association européenne de libre-échange qui sont parties contractantes à l’accord EEE. Au 1</w:t>
      </w:r>
      <w:r>
        <w:rPr>
          <w:vertAlign w:val="superscript"/>
        </w:rPr>
        <w:t>er</w:t>
      </w:r>
      <w:r>
        <w:t> mai 2004, il s’agit de l’Islande, du Liechtenstein et de la Norvège.</w:t>
      </w:r>
    </w:p>
  </w:footnote>
  <w:footnote w:id="5">
    <w:p w14:paraId="62253E38" w14:textId="77777777" w:rsidR="008D3476" w:rsidRDefault="008D3476" w:rsidP="008D3476">
      <w:pPr>
        <w:pStyle w:val="FootnoteText"/>
      </w:pPr>
      <w:r>
        <w:rPr>
          <w:rStyle w:val="FootnoteReference"/>
          <w:lang w:val="en-US"/>
        </w:rPr>
        <w:footnoteRef/>
      </w:r>
      <w:r>
        <w:rPr>
          <w:lang w:val="en-US"/>
        </w:rPr>
        <w:tab/>
      </w:r>
      <w:r>
        <w:t>Dans le cas où les parties présentant un mémoire fournissent des renseignements inexacts ou dénaturés dans le formulaire RS, la Commission peut également prendre les mesures décrites dans la communication de la Commission sur le renvoi des affaires en matière de concentrations («communication sur le renvoi») (JO C 56 du 5.3.2005, p. 2, point 60), disponible à l’adresse: EUR-Lex - 52005XC0305(01) - FR - EUR-Lex (europa.eu).</w:t>
      </w:r>
    </w:p>
  </w:footnote>
  <w:footnote w:id="6">
    <w:p w14:paraId="49D0D7F7" w14:textId="77777777" w:rsidR="008D3476" w:rsidRDefault="008D3476" w:rsidP="008D3476">
      <w:pPr>
        <w:pStyle w:val="FootnoteText"/>
      </w:pPr>
      <w:r>
        <w:rPr>
          <w:rStyle w:val="FootnoteReference"/>
          <w:lang w:val="en-US"/>
        </w:rPr>
        <w:footnoteRef/>
      </w:r>
      <w:r>
        <w:rPr>
          <w:lang w:val="en-US"/>
        </w:rPr>
        <w:tab/>
      </w:r>
      <w:r>
        <w:t>Voir, notamment, article 122 de l’accord EEE, article 9 du protocole 24 de l’accord EEE et article 17, paragraphe 2, du chapitre XIII du protocole 4 de l’accord surveillance et Cour de justice.</w:t>
      </w:r>
    </w:p>
  </w:footnote>
  <w:footnote w:id="7">
    <w:p w14:paraId="6BF9FA11" w14:textId="77777777" w:rsidR="008D3476" w:rsidRDefault="008D3476" w:rsidP="008D3476">
      <w:pPr>
        <w:pStyle w:val="FootnoteText"/>
      </w:pPr>
      <w:r>
        <w:rPr>
          <w:rStyle w:val="FootnoteReference"/>
          <w:lang w:val="en-US"/>
        </w:rPr>
        <w:footnoteRef/>
      </w:r>
      <w:r>
        <w:rPr>
          <w:lang w:val="en-US"/>
        </w:rPr>
        <w:tab/>
      </w:r>
      <w:r>
        <w:t>JO L 295 du 21.11.2018, p. 39. Voir également une déclaration de confidentialité en lien avec les enquêtes sur les opérations de concentration (uniquement disponible en anglais) à l’adresse: https://ec.europa.eu/competition-policy/index/privacy-policy-competition-investigations_en</w:t>
      </w:r>
    </w:p>
  </w:footnote>
  <w:footnote w:id="8">
    <w:p w14:paraId="6FFB481F" w14:textId="77777777" w:rsidR="008D3476" w:rsidRDefault="008D3476" w:rsidP="008D3476">
      <w:pPr>
        <w:pStyle w:val="FootnoteText"/>
      </w:pPr>
      <w:r>
        <w:rPr>
          <w:rStyle w:val="FootnoteReference"/>
          <w:lang w:val="en-US"/>
        </w:rPr>
        <w:footnoteRef/>
      </w:r>
      <w:r>
        <w:rPr>
          <w:lang w:val="en-US"/>
        </w:rPr>
        <w:tab/>
      </w:r>
      <w:r>
        <w:t>Les produits en cours de développement sont des produits susceptibles d’être mis sur le marché à court ou moyen terme. Les «produits en cours de développement» couvrent également les services.</w:t>
      </w:r>
    </w:p>
  </w:footnote>
  <w:footnote w:id="9">
    <w:p w14:paraId="160AC779" w14:textId="77777777" w:rsidR="008D3476" w:rsidRDefault="008D3476" w:rsidP="008D3476">
      <w:pPr>
        <w:pStyle w:val="FootnoteText"/>
      </w:pPr>
      <w:r>
        <w:rPr>
          <w:rStyle w:val="FootnoteReference"/>
          <w:lang w:val="en-US"/>
        </w:rPr>
        <w:footnoteRef/>
      </w:r>
      <w:r>
        <w:rPr>
          <w:lang w:val="en-US"/>
        </w:rPr>
        <w:tab/>
      </w:r>
      <w:r>
        <w:t>Les chevauchements horizontaux impliquant des produits en cours de développement comprennent les chevauchements entre produits en cours de développement et les chevauchements entre un ou plusieurs produit(s) commercialisé(s) et un ou plusieurs produit(s) en cours de développement.</w:t>
      </w:r>
    </w:p>
  </w:footnote>
  <w:footnote w:id="10">
    <w:p w14:paraId="36932A53" w14:textId="77777777" w:rsidR="008D3476" w:rsidRDefault="008D3476" w:rsidP="008D3476">
      <w:pPr>
        <w:pStyle w:val="FootnoteText"/>
      </w:pPr>
      <w:r>
        <w:rPr>
          <w:rStyle w:val="FootnoteReference"/>
          <w:lang w:val="en-US"/>
        </w:rPr>
        <w:footnoteRef/>
      </w:r>
      <w:r>
        <w:rPr>
          <w:lang w:val="en-US"/>
        </w:rPr>
        <w:tab/>
      </w:r>
      <w:r>
        <w:t>Les relations verticales impliquant des produits en cours de développement comprennent les relations entre produits en cours de développement et les relations entre un ou plusieurs produit(s) commercialisé(s) et un ou plusieurs produit(s) en cours de développement.</w:t>
      </w:r>
    </w:p>
  </w:footnote>
  <w:footnote w:id="11">
    <w:p w14:paraId="46CB82ED" w14:textId="77777777" w:rsidR="008D3476" w:rsidRDefault="008D3476" w:rsidP="008D3476">
      <w:pPr>
        <w:pStyle w:val="FootnoteText"/>
      </w:pPr>
      <w:r>
        <w:rPr>
          <w:rStyle w:val="FootnoteReference"/>
          <w:lang w:val="en-US"/>
        </w:rPr>
        <w:footnoteRef/>
      </w:r>
      <w:r>
        <w:rPr>
          <w:lang w:val="en-US"/>
        </w:rPr>
        <w:tab/>
      </w:r>
      <w:r>
        <w:t>Note de bas de page 10: Communication de la Commission relative à une procédure simplifiée de traitement de certaines opérations de concentration en application du règlement (CE) n</w:t>
      </w:r>
      <w:r>
        <w:rPr>
          <w:vertAlign w:val="superscript"/>
        </w:rPr>
        <w:t>o</w:t>
      </w:r>
      <w:r>
        <w:t> 139/2004 du Conseil (JO C 160 du 5.5.2023, p. 1) (la “communication relative à une procédure simplifiée”).</w:t>
      </w:r>
    </w:p>
  </w:footnote>
  <w:footnote w:id="12">
    <w:p w14:paraId="086A9099" w14:textId="77777777" w:rsidR="008D3476" w:rsidRDefault="008D3476" w:rsidP="008D3476">
      <w:pPr>
        <w:pStyle w:val="FootnoteText"/>
      </w:pPr>
      <w:r>
        <w:rPr>
          <w:rStyle w:val="FootnoteReference"/>
          <w:lang w:val="en-US"/>
        </w:rPr>
        <w:footnoteRef/>
      </w:r>
      <w:r>
        <w:rPr>
          <w:lang w:val="en-US"/>
        </w:rPr>
        <w:tab/>
      </w:r>
      <w:r>
        <w:t>Y compris la société cible d’une offre inamicale, auquel cas les informations demandées doivent être fournies dans toute la mesure du possible.</w:t>
      </w:r>
    </w:p>
  </w:footnote>
  <w:footnote w:id="13">
    <w:p w14:paraId="7B39F088" w14:textId="77777777" w:rsidR="008D3476" w:rsidRDefault="008D3476" w:rsidP="008D3476">
      <w:pPr>
        <w:pStyle w:val="FootnoteText"/>
      </w:pPr>
      <w:r>
        <w:rPr>
          <w:rStyle w:val="FootnoteReference"/>
          <w:lang w:val="en-US"/>
        </w:rPr>
        <w:footnoteRef/>
      </w:r>
      <w:r>
        <w:rPr>
          <w:lang w:val="en-US"/>
        </w:rPr>
        <w:tab/>
      </w:r>
      <w:r>
        <w:t>Voir modèle de procuration à l’adresse: https://ec.europa.eu/competition/mergers/legislation/power_of_attorney_template_en.docx</w:t>
      </w:r>
    </w:p>
  </w:footnote>
  <w:footnote w:id="14">
    <w:p w14:paraId="78CD7F06" w14:textId="77777777" w:rsidR="008D3476" w:rsidRDefault="008D3476" w:rsidP="008D3476">
      <w:pPr>
        <w:pStyle w:val="FootnoteText"/>
      </w:pPr>
      <w:r>
        <w:rPr>
          <w:rStyle w:val="FootnoteReference"/>
          <w:lang w:val="en-US"/>
        </w:rPr>
        <w:footnoteRef/>
      </w:r>
      <w:r>
        <w:rPr>
          <w:lang w:val="en-US"/>
        </w:rPr>
        <w:tab/>
      </w:r>
      <w:r>
        <w:t>Communication juridictionnelle codifiée de la Commission concernant le règlement (CE) n</w:t>
      </w:r>
      <w:r>
        <w:rPr>
          <w:vertAlign w:val="superscript"/>
        </w:rPr>
        <w:t>o</w:t>
      </w:r>
      <w:r>
        <w:t> 139/2004 du Conseil relatif au contrôle des concentrations entre entreprises (la «communication juridictionnelle codifiée de la Commission») (JO C 95 du 16.4.2008, p. 1), disponible à l’adresse: EUR-Lex - 52008XC0416(08) - FR - EUR-Lex (europa.eu).</w:t>
      </w:r>
    </w:p>
  </w:footnote>
  <w:footnote w:id="15">
    <w:p w14:paraId="7E8EFF7D" w14:textId="77777777" w:rsidR="008D3476" w:rsidRDefault="008D3476" w:rsidP="008D3476">
      <w:pPr>
        <w:pStyle w:val="FootnoteText"/>
      </w:pPr>
      <w:r>
        <w:rPr>
          <w:rStyle w:val="FootnoteReference"/>
          <w:lang w:val="en-US"/>
        </w:rPr>
        <w:footnoteRef/>
      </w:r>
      <w:r>
        <w:rPr>
          <w:lang w:val="en-US"/>
        </w:rPr>
        <w:tab/>
      </w:r>
      <w:r>
        <w:t>Voir la section B IV de la communication juridictionnelle codifiée de la Commission.</w:t>
      </w:r>
    </w:p>
  </w:footnote>
  <w:footnote w:id="16">
    <w:p w14:paraId="4EEC576B" w14:textId="77777777" w:rsidR="008D3476" w:rsidRDefault="008D3476" w:rsidP="008D3476">
      <w:pPr>
        <w:pStyle w:val="FootnoteText"/>
      </w:pPr>
      <w:r>
        <w:rPr>
          <w:rStyle w:val="FootnoteReference"/>
          <w:lang w:val="en-US"/>
        </w:rPr>
        <w:footnoteRef/>
      </w:r>
      <w:r>
        <w:rPr>
          <w:lang w:val="en-US"/>
        </w:rPr>
        <w:tab/>
      </w:r>
      <w:r>
        <w:t>Pour les notions d’«entreprise concernée» et de «calcul du chiffre d’affaires», voir communication juridictionnelle codifiée de la Commission.</w:t>
      </w:r>
    </w:p>
  </w:footnote>
  <w:footnote w:id="17">
    <w:p w14:paraId="5BE28B32" w14:textId="77777777" w:rsidR="008D3476" w:rsidRDefault="008D3476" w:rsidP="008D3476">
      <w:pPr>
        <w:pStyle w:val="FootnoteText"/>
      </w:pPr>
      <w:r>
        <w:rPr>
          <w:rStyle w:val="FootnoteReference"/>
          <w:lang w:val="en-US"/>
        </w:rPr>
        <w:footnoteRef/>
      </w:r>
      <w:r>
        <w:rPr>
          <w:lang w:val="en-US"/>
        </w:rPr>
        <w:tab/>
      </w:r>
      <w:r>
        <w:t>Voir la communication de la Commission sur la définition du marché en cause aux fins du droit communautaire de la concurrence (JO C 372 du 9.12.1997, p. 5).</w:t>
      </w:r>
    </w:p>
  </w:footnote>
  <w:footnote w:id="18">
    <w:p w14:paraId="1D02E983" w14:textId="77777777" w:rsidR="008D3476" w:rsidRDefault="008D3476" w:rsidP="008D3476">
      <w:pPr>
        <w:pStyle w:val="FootnoteText"/>
      </w:pPr>
      <w:r>
        <w:rPr>
          <w:rStyle w:val="FootnoteReference"/>
          <w:lang w:val="en-US"/>
        </w:rPr>
        <w:footnoteRef/>
      </w:r>
      <w:r>
        <w:rPr>
          <w:lang w:val="en-US"/>
        </w:rPr>
        <w:tab/>
      </w:r>
      <w:r>
        <w:t>Dans le cadre des contacts préalables à la notification, les parties présentant un mémoire communiquent les informations ayant trait à l’ensemble des marchés susceptibles d’être affectés, même si elles estiment finalement que ces marchés ne sont pas affectés et nonobstant le fait que les parties présentant un mémoire pourraient adopter une position spécifique quant à la définition du marché.</w:t>
      </w:r>
    </w:p>
  </w:footnote>
  <w:footnote w:id="19">
    <w:p w14:paraId="13C51318" w14:textId="77777777" w:rsidR="008D3476" w:rsidRDefault="008D3476" w:rsidP="008D3476">
      <w:pPr>
        <w:pStyle w:val="FootnoteText"/>
      </w:pPr>
      <w:r>
        <w:rPr>
          <w:rStyle w:val="FootnoteReference"/>
          <w:lang w:val="en-US"/>
        </w:rPr>
        <w:footnoteRef/>
      </w:r>
      <w:r>
        <w:rPr>
          <w:lang w:val="en-US"/>
        </w:rPr>
        <w:tab/>
      </w:r>
      <w:r>
        <w:t>La valeur et le volume d’un marché doivent correspondre à la production, augmentée des importations et diminuée des exportations, pour les zones géographiques considérées.</w:t>
      </w:r>
    </w:p>
  </w:footnote>
  <w:footnote w:id="20">
    <w:p w14:paraId="0A7A44A8" w14:textId="77777777" w:rsidR="008D3476" w:rsidRDefault="008D3476" w:rsidP="008D3476">
      <w:pPr>
        <w:pStyle w:val="FootnoteText"/>
      </w:pPr>
      <w:r>
        <w:rPr>
          <w:rStyle w:val="FootnoteReference"/>
          <w:lang w:val="en-US"/>
        </w:rPr>
        <w:footnoteRef/>
      </w:r>
      <w:r>
        <w:rPr>
          <w:lang w:val="en-US"/>
        </w:rPr>
        <w:tab/>
      </w:r>
      <w:r>
        <w:t>Pour la définition des marchés, voir section 3.</w:t>
      </w:r>
    </w:p>
  </w:footnote>
  <w:footnote w:id="21">
    <w:p w14:paraId="0FA898B5" w14:textId="77777777" w:rsidR="008D3476" w:rsidRDefault="008D3476" w:rsidP="008D3476">
      <w:pPr>
        <w:pStyle w:val="FootnoteText"/>
      </w:pPr>
      <w:r>
        <w:rPr>
          <w:rStyle w:val="FootnoteReference"/>
          <w:lang w:val="en-US"/>
        </w:rPr>
        <w:footnoteRef/>
      </w:r>
      <w:r>
        <w:rPr>
          <w:lang w:val="en-US"/>
        </w:rPr>
        <w:tab/>
      </w:r>
      <w:r>
        <w:t>Pour les principes présidant au renvoi d’affaires, voir la communication sur le renvoi, point 17 et note de bas de page 21.</w:t>
      </w:r>
    </w:p>
  </w:footnote>
  <w:footnote w:id="22">
    <w:p w14:paraId="51F709A8" w14:textId="77777777" w:rsidR="008D3476" w:rsidRDefault="008D3476" w:rsidP="008D3476">
      <w:pPr>
        <w:pStyle w:val="FootnoteText"/>
      </w:pPr>
      <w:r>
        <w:rPr>
          <w:rStyle w:val="FootnoteReference"/>
          <w:lang w:val="en-US"/>
        </w:rPr>
        <w:footnoteRef/>
      </w:r>
      <w:r>
        <w:rPr>
          <w:lang w:val="en-US"/>
        </w:rPr>
        <w:tab/>
      </w:r>
      <w:r>
        <w:t>Pour les principes présidant au renvoi d’affaires, voir la communication sur le renvoi, point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59079023">
    <w:abstractNumId w:val="9"/>
  </w:num>
  <w:num w:numId="2" w16cid:durableId="2078243993">
    <w:abstractNumId w:val="7"/>
  </w:num>
  <w:num w:numId="3" w16cid:durableId="1498886912">
    <w:abstractNumId w:val="6"/>
  </w:num>
  <w:num w:numId="4" w16cid:durableId="894045013">
    <w:abstractNumId w:val="5"/>
  </w:num>
  <w:num w:numId="5" w16cid:durableId="1531259735">
    <w:abstractNumId w:val="4"/>
  </w:num>
  <w:num w:numId="6" w16cid:durableId="1783306068">
    <w:abstractNumId w:val="8"/>
  </w:num>
  <w:num w:numId="7" w16cid:durableId="643438020">
    <w:abstractNumId w:val="3"/>
  </w:num>
  <w:num w:numId="8" w16cid:durableId="799803650">
    <w:abstractNumId w:val="2"/>
  </w:num>
  <w:num w:numId="9" w16cid:durableId="1419982729">
    <w:abstractNumId w:val="1"/>
  </w:num>
  <w:num w:numId="10" w16cid:durableId="812332912">
    <w:abstractNumId w:val="0"/>
  </w:num>
  <w:num w:numId="11" w16cid:durableId="198902270">
    <w:abstractNumId w:val="13"/>
  </w:num>
  <w:num w:numId="12" w16cid:durableId="612594389">
    <w:abstractNumId w:val="12"/>
  </w:num>
  <w:num w:numId="13" w16cid:durableId="650868265">
    <w:abstractNumId w:val="11"/>
  </w:num>
  <w:num w:numId="14" w16cid:durableId="110423111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3452545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et Annexe , pt 1 a"/>
    <w:docVar w:name="CR_Ref1" w:val="2776/2024 Art. 1 et Annexe , pt 1 b"/>
    <w:docVar w:name="CR_Ref10" w:val="2776/2024 Art. 1 et Annexe , pt 2 d"/>
    <w:docVar w:name="CR_Ref11" w:val="2776/2024 Art. 1 et Annexe , pt 2 e"/>
    <w:docVar w:name="CR_Ref12" w:val="2776/2024 Art. 1 et Annexe , pt 2 f"/>
    <w:docVar w:name="CR_Ref13" w:val="2776/2024 Art. 1 et Annexe , pt 2 i"/>
    <w:docVar w:name="CR_Ref14" w:val="2776/2024 Art. 1 et Annexe , pt 2 g"/>
    <w:docVar w:name="CR_Ref15" w:val="2776/2024 Art. 1 et Annexe , pt 2 j"/>
    <w:docVar w:name="CR_Ref16" w:val="2776/2024 Art. 1 et Annexe , pt 2 k"/>
    <w:docVar w:name="CR_Ref17" w:val="2776/2024 Art. 1 et Annexe , pt 2 l"/>
    <w:docVar w:name="CR_Ref18" w:val="2776/2024 Art. 1 et Annexe , pt 2 n"/>
    <w:docVar w:name="CR_Ref19" w:val="2776/2024 Art. 1 et Annexe , pt 2 s"/>
    <w:docVar w:name="CR_Ref2" w:val="2776/2024 Art. 1 et Annexe , pt 1 c"/>
    <w:docVar w:name="CR_Ref20" w:val="2776/2024 Art. 1 et Annexe , pt 2 p"/>
    <w:docVar w:name="CR_Ref21" w:val="2776/2024 Art. 1 et Annexe , pt 2 t"/>
    <w:docVar w:name="CR_Ref22" w:val="2776/2024 Art. 1 et Annexe , pt 2 q"/>
    <w:docVar w:name="CR_Ref23" w:val="2776/2024 Art. 1 et Annexe , pt 2 u"/>
    <w:docVar w:name="CR_Ref24" w:val="2776/2024 Art. 1 et Annexe , pt 3 a"/>
    <w:docVar w:name="CR_Ref25" w:val="2776/2024 Art. 1 et Annexe , pt 3 b"/>
    <w:docVar w:name="CR_Ref3" w:val="2776/2024 Art. 1 et Annexe , pt 1 f"/>
    <w:docVar w:name="CR_Ref4" w:val="2776/2024 Art. 1 et Annexe , pt 1 g"/>
    <w:docVar w:name="CR_Ref5" w:val="2776/2024 Art. 1 et Annexe , pt 1 e"/>
    <w:docVar w:name="CR_Ref6" w:val="2776/2024 Art. 1 et Annexe , pt 1 h"/>
    <w:docVar w:name="CR_Ref7" w:val="2776/2024 Art. 1 et Annexe , pt 2 a"/>
    <w:docVar w:name="CR_Ref8" w:val="2776/2024 Art. 1 et Annexe , pt 2 b"/>
    <w:docVar w:name="CR_Ref9" w:val="2776/2024 Art. 1 et Annexe , pt 2 c"/>
    <w:docVar w:name="CR_RefCount" w:val="26"/>
    <w:docVar w:name="DQCStatus" w:val="Red"/>
    <w:docVar w:name="LW_DocType" w:val="COM"/>
  </w:docVars>
  <w:rsids>
    <w:rsidRoot w:val="00C71371"/>
    <w:rsid w:val="00257F64"/>
    <w:rsid w:val="00297B51"/>
    <w:rsid w:val="002B0B36"/>
    <w:rsid w:val="00412DE6"/>
    <w:rsid w:val="004A24C0"/>
    <w:rsid w:val="008D3476"/>
    <w:rsid w:val="00C71371"/>
    <w:rsid w:val="00ED4E71"/>
    <w:rsid w:val="00ED56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1D2A9"/>
  <w14:defaultImageDpi w14:val="0"/>
  <w15:docId w15:val="{5CF75CA6-9C74-4DB9-A1A3-BB481F074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30</Pages>
  <Words>10564</Words>
  <Characters>58737</Characters>
  <Application>Microsoft Office Word</Application>
  <DocSecurity>0</DocSecurity>
  <Lines>1012</Lines>
  <Paragraphs>444</Paragraphs>
  <ScaleCrop>false</ScaleCrop>
  <Company/>
  <LinksUpToDate>false</LinksUpToDate>
  <CharactersWithSpaces>68857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2025-01-24T11:11:00Z</dcterms:created>
  <dcterms:modified xsi:type="dcterms:W3CDTF">2025-01-24T11:11:00Z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2025-01-24T11:00:40Z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14f759b8-0c8d-4cb1-ac33-58727c9aa1c4</vt:lpwstr>
  </property>
  <property fmtid="{D5CDD505-2E9C-101B-9397-08002B2CF9AE}" pid="15" name="MSIP_Label_6bd9ddd1-4d20-43f6-abfa-fc3c07406f94_ContentBits">
    <vt:lpwstr>0</vt:lpwstr>
  </property>
</Properties>
</file>