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9391" w14:textId="77777777" w:rsidR="00672A2B" w:rsidRDefault="00672A2B">
      <w:pPr>
        <w:pStyle w:val="CRSeparator"/>
      </w:pPr>
    </w:p>
    <w:p w14:paraId="00A0EC3C" w14:textId="77777777" w:rsidR="00672A2B" w:rsidRDefault="00672A2B">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38936302" w14:textId="77777777" w:rsidR="00672A2B" w:rsidRDefault="00672A2B">
      <w:pPr>
        <w:pStyle w:val="Typedudocument"/>
      </w:pPr>
      <w:r>
        <w:t>REGULAMENTO DE EXECUÇÃO (UE) 2023/914 DA COMISSÃO</w:t>
      </w:r>
    </w:p>
    <w:p w14:paraId="094A19D3" w14:textId="77777777" w:rsidR="00672A2B" w:rsidRDefault="00672A2B">
      <w:pPr>
        <w:pStyle w:val="Datedadoption"/>
      </w:pPr>
      <w:r>
        <w:t>de 20 de abril de 2023</w:t>
      </w:r>
    </w:p>
    <w:p w14:paraId="7ACD6746" w14:textId="77777777" w:rsidR="00672A2B" w:rsidRDefault="00672A2B">
      <w:pPr>
        <w:pStyle w:val="Titreobjet"/>
      </w:pPr>
      <w:r>
        <w:t>que dá execução ao Regulamento (CE) n.</w:t>
      </w:r>
      <w:r>
        <w:rPr>
          <w:vertAlign w:val="superscript"/>
        </w:rPr>
        <w:t>o</w:t>
      </w:r>
      <w:r>
        <w:t> 139/2004 do Conselho relativo ao controlo das concentrações de empresas e que revoga o Regulamento (CE) n.</w:t>
      </w:r>
      <w:r>
        <w:rPr>
          <w:vertAlign w:val="superscript"/>
        </w:rPr>
        <w:t>o</w:t>
      </w:r>
      <w:r>
        <w:t> 802/2004 da Comissão</w:t>
      </w:r>
    </w:p>
    <w:p w14:paraId="34FFEE67" w14:textId="77777777" w:rsidR="00672A2B" w:rsidRDefault="00672A2B">
      <w:pPr>
        <w:pStyle w:val="Sous-titreobjet"/>
      </w:pPr>
      <w:r>
        <w:t>(Texto relevante para efeitos do EEE)</w:t>
      </w:r>
    </w:p>
    <w:p w14:paraId="5969B690" w14:textId="77777777" w:rsidR="00672A2B" w:rsidRDefault="00672A2B">
      <w:pPr>
        <w:pStyle w:val="SectionTitle"/>
      </w:pPr>
      <w:r>
        <w:t>CAPÍTULO I</w:t>
      </w:r>
    </w:p>
    <w:p w14:paraId="478DA7A6" w14:textId="77777777" w:rsidR="00672A2B" w:rsidRDefault="00672A2B">
      <w:pPr>
        <w:pStyle w:val="SectionTitle"/>
      </w:pPr>
      <w:r>
        <w:rPr>
          <w:i/>
          <w:iCs/>
        </w:rPr>
        <w:t>ÂMBITO DE APLICAÇÃO</w:t>
      </w:r>
    </w:p>
    <w:p w14:paraId="20657661" w14:textId="77777777" w:rsidR="00672A2B" w:rsidRDefault="00672A2B">
      <w:pPr>
        <w:pStyle w:val="Titrearticle"/>
      </w:pPr>
      <w:r>
        <w:t>Artigo 1.</w:t>
      </w:r>
      <w:r>
        <w:rPr>
          <w:vertAlign w:val="superscript"/>
        </w:rPr>
        <w:t>o</w:t>
      </w:r>
    </w:p>
    <w:p w14:paraId="6F7B305E" w14:textId="77777777" w:rsidR="00672A2B" w:rsidRDefault="00672A2B">
      <w:r>
        <w:t>O presente regulamento é aplicável ao controlo das concentrações realizado nos termos do Regulamento (CE) n.</w:t>
      </w:r>
      <w:r>
        <w:rPr>
          <w:vertAlign w:val="superscript"/>
        </w:rPr>
        <w:t>o</w:t>
      </w:r>
      <w:r>
        <w:t> 139/2004.</w:t>
      </w:r>
    </w:p>
    <w:p w14:paraId="63FB6AC6" w14:textId="77777777" w:rsidR="00672A2B" w:rsidRDefault="00672A2B">
      <w:pPr>
        <w:pStyle w:val="SectionTitle"/>
      </w:pPr>
      <w:r>
        <w:t>CAPÍTULO II</w:t>
      </w:r>
    </w:p>
    <w:p w14:paraId="3F3C2C09" w14:textId="77777777" w:rsidR="00672A2B" w:rsidRDefault="00672A2B">
      <w:pPr>
        <w:pStyle w:val="SectionTitle"/>
      </w:pPr>
      <w:r>
        <w:rPr>
          <w:i/>
          <w:iCs/>
        </w:rPr>
        <w:t>NOTIFICAÇÕES E OUTROS MEMORANDOS</w:t>
      </w:r>
    </w:p>
    <w:p w14:paraId="027223A6" w14:textId="77777777" w:rsidR="00672A2B" w:rsidRDefault="00672A2B">
      <w:pPr>
        <w:pStyle w:val="Titrearticle"/>
      </w:pPr>
      <w:r>
        <w:t>Artigo 2.</w:t>
      </w:r>
      <w:r>
        <w:rPr>
          <w:vertAlign w:val="superscript"/>
        </w:rPr>
        <w:t>o</w:t>
      </w:r>
    </w:p>
    <w:p w14:paraId="6FCE4AA1" w14:textId="77777777" w:rsidR="00672A2B" w:rsidRDefault="00672A2B">
      <w:pPr>
        <w:pStyle w:val="NormalCentered"/>
        <w:rPr>
          <w:b/>
          <w:bCs/>
        </w:rPr>
      </w:pPr>
      <w:r>
        <w:rPr>
          <w:b/>
          <w:bCs/>
        </w:rPr>
        <w:t>Pessoas com legitimidade para apresentar notificações</w:t>
      </w:r>
    </w:p>
    <w:p w14:paraId="5811EC97" w14:textId="77777777" w:rsidR="00672A2B" w:rsidRDefault="00672A2B">
      <w:r>
        <w:t>1.</w:t>
      </w:r>
      <w:r>
        <w:tab/>
        <w:t>As notificações devem ser apresentadas pelas pessoas ou empresas referidas no artigo 4.</w:t>
      </w:r>
      <w:r>
        <w:rPr>
          <w:vertAlign w:val="superscript"/>
        </w:rPr>
        <w:t>o</w:t>
      </w:r>
      <w:r>
        <w:t>, n.</w:t>
      </w:r>
      <w:r>
        <w:rPr>
          <w:vertAlign w:val="superscript"/>
        </w:rPr>
        <w:t>o</w:t>
      </w:r>
      <w:r>
        <w:t> 2, do Regulamento (CE) n.</w:t>
      </w:r>
      <w:r>
        <w:rPr>
          <w:vertAlign w:val="superscript"/>
        </w:rPr>
        <w:t>o</w:t>
      </w:r>
      <w:r>
        <w:t> 139/2004.</w:t>
      </w:r>
    </w:p>
    <w:p w14:paraId="42AE2F34" w14:textId="77777777" w:rsidR="00672A2B" w:rsidRDefault="00672A2B">
      <w:r>
        <w:t>2.</w:t>
      </w:r>
      <w:r>
        <w:tab/>
        <w:t>Quando as notificações forem assinadas por representantes externos autorizados de pessoas ou de empresas, esses representantes devem apresentar um documento escrito que prove os seus poderes de representação.</w:t>
      </w:r>
    </w:p>
    <w:p w14:paraId="2F55A945" w14:textId="77777777" w:rsidR="00672A2B" w:rsidRDefault="00672A2B">
      <w:pPr>
        <w:pStyle w:val="Titrearticle"/>
      </w:pPr>
      <w:r>
        <w:t>Artigo 3.</w:t>
      </w:r>
      <w:r>
        <w:rPr>
          <w:vertAlign w:val="superscript"/>
        </w:rPr>
        <w:t>o</w:t>
      </w:r>
    </w:p>
    <w:p w14:paraId="044B8B92" w14:textId="77777777" w:rsidR="00672A2B" w:rsidRDefault="00672A2B">
      <w:pPr>
        <w:pStyle w:val="NormalCentered"/>
        <w:rPr>
          <w:b/>
          <w:bCs/>
        </w:rPr>
      </w:pPr>
      <w:r>
        <w:rPr>
          <w:b/>
          <w:bCs/>
        </w:rPr>
        <w:t>Apresentação das notificações</w:t>
      </w:r>
    </w:p>
    <w:p w14:paraId="613608CC" w14:textId="77777777" w:rsidR="00672A2B" w:rsidRDefault="00672A2B">
      <w:r>
        <w:t>1.</w:t>
      </w:r>
      <w:r>
        <w:tab/>
        <w:t>As notificações devem ser apresentadas utilizando o formulário CO, cujo modelo consta do anexo I. Nas condições previstas no anexo II, as notificações podem ser apresentadas utilizando um formulário CO simplificado, conforme estabelecido nesse anexo. Em caso de notificação conjunta, deve ser utilizado um único formulário.</w:t>
      </w:r>
    </w:p>
    <w:p w14:paraId="70FC731E" w14:textId="77777777" w:rsidR="00672A2B" w:rsidRDefault="00672A2B">
      <w:r>
        <w:lastRenderedPageBreak/>
        <w:t>2.</w:t>
      </w:r>
      <w:r>
        <w:tab/>
        <w:t>Os formulários referidos no n.</w:t>
      </w:r>
      <w:r>
        <w:rPr>
          <w:vertAlign w:val="superscript"/>
        </w:rPr>
        <w:t>o</w:t>
      </w:r>
      <w:r>
        <w:t> 1 e todos os documentos de apoio pertinentes devem ser apresentados à Comissão em conformidade com o artigo 22.</w:t>
      </w:r>
      <w:r>
        <w:rPr>
          <w:vertAlign w:val="superscript"/>
        </w:rPr>
        <w:t>o</w:t>
      </w:r>
      <w:r>
        <w:t xml:space="preserve"> e as instruções publicadas pela Comissão no </w:t>
      </w:r>
      <w:r>
        <w:rPr>
          <w:i/>
          <w:iCs/>
        </w:rPr>
        <w:t>Jornal Oficial da União Europeia</w:t>
      </w:r>
      <w:r>
        <w:t>.</w:t>
      </w:r>
    </w:p>
    <w:p w14:paraId="1FD92D27" w14:textId="77777777" w:rsidR="00672A2B" w:rsidRDefault="00672A2B">
      <w:r>
        <w:t>3.</w:t>
      </w:r>
      <w:r>
        <w:tab/>
        <w:t>As notificações devem ser redigidas numa das línguas oficiais da União. Esta língua constitui a língua do processo em relação às partes notificantes, bem como de quaisquer processos subsequentes relacionados com a mesma concentração. Os documentos de apoio devem ser enviados na sua língua original. Se a língua original de um documento não for uma das línguas oficiais da União, deve ser anexada uma tradução na língua do processo.</w:t>
      </w:r>
    </w:p>
    <w:p w14:paraId="69A5F055" w14:textId="77777777" w:rsidR="00672A2B" w:rsidRDefault="00672A2B">
      <w:r>
        <w:t>4.</w:t>
      </w:r>
      <w:r>
        <w:tab/>
        <w:t>Quando as notificações forem efetuadas nos termos do artigo 57.</w:t>
      </w:r>
      <w:r>
        <w:rPr>
          <w:vertAlign w:val="superscript"/>
        </w:rPr>
        <w:t>o</w:t>
      </w:r>
      <w:r>
        <w:t xml:space="preserve"> do Acordo sobre o Espaço Económico Europeu, podem igualmente ser feitas numa das línguas oficiais dos Estados da EFTA ou na língua de trabalho do Órgão de Fiscalização da EFTA. Caso a língua escolhida para as notificações não seja uma língua oficial da União, as partes notificantes devem simultaneamente fazer acompanhar toda a documentação de uma tradução numa língua oficial da União. A língua escolhida para a tradução determina a língua utilizada pela União como língua do processo para as partes notificantes.</w:t>
      </w:r>
    </w:p>
    <w:p w14:paraId="1E01CB71" w14:textId="77777777" w:rsidR="00672A2B" w:rsidRDefault="00672A2B">
      <w:pPr>
        <w:pStyle w:val="Titrearticle"/>
      </w:pPr>
      <w:r>
        <w:t>Artigo 4.</w:t>
      </w:r>
      <w:r>
        <w:rPr>
          <w:vertAlign w:val="superscript"/>
        </w:rPr>
        <w:t>o</w:t>
      </w:r>
    </w:p>
    <w:p w14:paraId="45E66A5E" w14:textId="77777777" w:rsidR="00672A2B" w:rsidRDefault="00672A2B">
      <w:pPr>
        <w:pStyle w:val="NormalCentered"/>
        <w:rPr>
          <w:b/>
          <w:bCs/>
        </w:rPr>
      </w:pPr>
      <w:r>
        <w:rPr>
          <w:b/>
          <w:bCs/>
        </w:rPr>
        <w:t>Informações a prestar e documentos a apresentar</w:t>
      </w:r>
    </w:p>
    <w:p w14:paraId="338B7A75" w14:textId="77777777" w:rsidR="00672A2B" w:rsidRDefault="00672A2B">
      <w:r>
        <w:t>1.</w:t>
      </w:r>
      <w:r>
        <w:tab/>
        <w:t>As notificações devem conter as informações, incluindo os documentos, exigidos nos formulários aplicáveis constantes dos anexos I e II. As informações devem ser exatas e completas.</w:t>
      </w:r>
    </w:p>
    <w:p w14:paraId="08E599F9" w14:textId="77777777" w:rsidR="00672A2B" w:rsidRDefault="00672A2B">
      <w:r>
        <w:t>2.</w:t>
      </w:r>
      <w:r>
        <w:tab/>
        <w:t>A Comissão pode, mediante pedido escrito das partes notificantes, dispensar da obrigação de prestar uma determinada informação na notificação, incluindo documentos, ou de qualquer outro requisito especificado nos anexos I e II do presente regulamento, se considerar que o cumprimento destas obrigações ou requisitos não é necessário para a análise do processo.</w:t>
      </w:r>
    </w:p>
    <w:p w14:paraId="6B509329" w14:textId="77777777" w:rsidR="00672A2B" w:rsidRDefault="00672A2B">
      <w:r>
        <w:t>3.</w:t>
      </w:r>
      <w:r>
        <w:tab/>
        <w:t>A Comissão confirma imediatamente por escrito às partes notificantes ou aos seus representantes a receção da notificação e das respostas a ofícios da Comissão enviados nos termos do artigo 5.</w:t>
      </w:r>
      <w:r>
        <w:rPr>
          <w:vertAlign w:val="superscript"/>
        </w:rPr>
        <w:t>o</w:t>
      </w:r>
      <w:r>
        <w:t>, n.</w:t>
      </w:r>
      <w:r>
        <w:rPr>
          <w:vertAlign w:val="superscript"/>
        </w:rPr>
        <w:t>os</w:t>
      </w:r>
      <w:r>
        <w:t> 2 e 3.</w:t>
      </w:r>
    </w:p>
    <w:p w14:paraId="0D2A8475" w14:textId="77777777" w:rsidR="00672A2B" w:rsidRDefault="00672A2B">
      <w:pPr>
        <w:pStyle w:val="Titrearticle"/>
      </w:pPr>
      <w:r>
        <w:t>Artigo 5.</w:t>
      </w:r>
      <w:r>
        <w:rPr>
          <w:vertAlign w:val="superscript"/>
        </w:rPr>
        <w:t>o</w:t>
      </w:r>
    </w:p>
    <w:p w14:paraId="33283A05" w14:textId="77777777" w:rsidR="00672A2B" w:rsidRDefault="00672A2B">
      <w:pPr>
        <w:pStyle w:val="NormalCentered"/>
        <w:rPr>
          <w:b/>
          <w:bCs/>
        </w:rPr>
      </w:pPr>
      <w:r>
        <w:rPr>
          <w:b/>
          <w:bCs/>
        </w:rPr>
        <w:t>Data em que a notificação produz efeitos</w:t>
      </w:r>
    </w:p>
    <w:p w14:paraId="2946B087" w14:textId="77777777" w:rsidR="00672A2B" w:rsidRDefault="00672A2B">
      <w:r>
        <w:t>1.</w:t>
      </w:r>
      <w:r>
        <w:tab/>
        <w:t>Sob reserva do disposto nos n.</w:t>
      </w:r>
      <w:r>
        <w:rPr>
          <w:vertAlign w:val="superscript"/>
        </w:rPr>
        <w:t>os</w:t>
      </w:r>
      <w:r>
        <w:t xml:space="preserve"> 2, 3 e 4, as notificações produzem efeitos na data da sua receção pela Comissão.</w:t>
      </w:r>
    </w:p>
    <w:p w14:paraId="17EEF54D" w14:textId="77777777" w:rsidR="00672A2B" w:rsidRDefault="00672A2B">
      <w:r>
        <w:t>2.</w:t>
      </w:r>
      <w:r>
        <w:tab/>
        <w:t>Se as informações, incluindo documentos, que constam da notificação estiverem materialmente incompletas, a Comissão informa imediatamente as partes notificantes ou os seus representantes por escrito. Nesses casos, a notificação produz efeitos na data de receção das informações completas pela Comissão.</w:t>
      </w:r>
    </w:p>
    <w:p w14:paraId="45453EAC" w14:textId="77777777" w:rsidR="00672A2B" w:rsidRDefault="00672A2B">
      <w:r>
        <w:t>3.</w:t>
      </w:r>
      <w:r>
        <w:tab/>
        <w:t xml:space="preserve">Quaisquer alterações de caráter material dos factos constantes da notificação, reveladas após a notificação, de que os seus autores tomem ou devessem ter tomado conhecimento, ou quaisquer informações novas reveladas após a notificação de que as partes </w:t>
      </w:r>
      <w:r>
        <w:lastRenderedPageBreak/>
        <w:t>tomem ou devessem ter tomado conhecimento e que deveriam ter sido notificadas se fossem conhecidas no momento da notificação, devem ser imediatamente comunicadas à Comissão. Nesses casos, quando essas alterações de caráter material ou novas informações forem suscetíveis de produzir um efeito significativo na apreciação da concentração, a Comissão pode considerar que a notificação produz efeitos na data de receção das informações relevantes. A Comissão informa as partes notificantes ou os seus representantes desse facto, imediatamente e por escrito.</w:t>
      </w:r>
    </w:p>
    <w:p w14:paraId="0C823311" w14:textId="77777777" w:rsidR="00672A2B" w:rsidRDefault="00672A2B">
      <w:r>
        <w:t>4.</w:t>
      </w:r>
      <w:r>
        <w:tab/>
        <w:t>Para efeitos do presente artigo, as informações inexatas ou deturpadas são consideradas informações incompletas, sem prejuízo do artigo 14.</w:t>
      </w:r>
      <w:r>
        <w:rPr>
          <w:vertAlign w:val="superscript"/>
        </w:rPr>
        <w:t>o</w:t>
      </w:r>
      <w:r>
        <w:t>, n.</w:t>
      </w:r>
      <w:r>
        <w:rPr>
          <w:vertAlign w:val="superscript"/>
        </w:rPr>
        <w:t>o</w:t>
      </w:r>
      <w:r>
        <w:t> 1, do Regulamento (CE) n.</w:t>
      </w:r>
      <w:r>
        <w:rPr>
          <w:vertAlign w:val="superscript"/>
        </w:rPr>
        <w:t>o</w:t>
      </w:r>
      <w:r>
        <w:t> 139/2004.</w:t>
      </w:r>
    </w:p>
    <w:p w14:paraId="79EDB9D6" w14:textId="77777777" w:rsidR="00672A2B" w:rsidRDefault="00672A2B">
      <w:r>
        <w:t>5.</w:t>
      </w:r>
      <w:r>
        <w:tab/>
        <w:t>Sempre que a Comissão publicar o facto da notificação, em conformidade com o artigo 4.</w:t>
      </w:r>
      <w:r>
        <w:rPr>
          <w:vertAlign w:val="superscript"/>
        </w:rPr>
        <w:t>o</w:t>
      </w:r>
      <w:r>
        <w:t>, n.</w:t>
      </w:r>
      <w:r>
        <w:rPr>
          <w:vertAlign w:val="superscript"/>
        </w:rPr>
        <w:t>o</w:t>
      </w:r>
      <w:r>
        <w:t> 3, do Regulamento (CE) n.</w:t>
      </w:r>
      <w:r>
        <w:rPr>
          <w:vertAlign w:val="superscript"/>
        </w:rPr>
        <w:t>o</w:t>
      </w:r>
      <w:r>
        <w:t> 139/2004, especifica a data em que a notificação foi recebida. Sempre que, na sequência da aplicação dos n.</w:t>
      </w:r>
      <w:r>
        <w:rPr>
          <w:vertAlign w:val="superscript"/>
        </w:rPr>
        <w:t>os</w:t>
      </w:r>
      <w:r>
        <w:t xml:space="preserve"> 2, 3 e 4 do presente artigo, a data de produção de efeitos da notificação for posterior à data especificada nessa publicação, a Comissão procede a uma nova publicação em que menciona a data posterior.</w:t>
      </w:r>
    </w:p>
    <w:p w14:paraId="2FFF3C75" w14:textId="77777777" w:rsidR="00672A2B" w:rsidRDefault="00672A2B">
      <w:pPr>
        <w:pStyle w:val="Titrearticle"/>
      </w:pPr>
      <w:r>
        <w:t>Artigo 6.</w:t>
      </w:r>
      <w:r>
        <w:rPr>
          <w:vertAlign w:val="superscript"/>
        </w:rPr>
        <w:t>o</w:t>
      </w:r>
    </w:p>
    <w:p w14:paraId="6DBF15C4" w14:textId="77777777" w:rsidR="00672A2B" w:rsidRDefault="00672A2B">
      <w:pPr>
        <w:pStyle w:val="NormalCentered"/>
        <w:rPr>
          <w:b/>
          <w:bCs/>
        </w:rPr>
      </w:pPr>
      <w:r>
        <w:rPr>
          <w:b/>
          <w:bCs/>
        </w:rPr>
        <w:t>Disposições específicas relativas aos memorandos fundamentados, notificações complementares e certificações</w:t>
      </w:r>
    </w:p>
    <w:p w14:paraId="56B2E20F" w14:textId="77777777" w:rsidR="00672A2B" w:rsidRDefault="00672A2B">
      <w:r>
        <w:t>1.</w:t>
      </w:r>
      <w:r>
        <w:tab/>
        <w:t>Os memorandos fundamentados, na aceção do artigo 4.</w:t>
      </w:r>
      <w:r>
        <w:rPr>
          <w:vertAlign w:val="superscript"/>
        </w:rPr>
        <w:t>o</w:t>
      </w:r>
      <w:r>
        <w:t>, n.</w:t>
      </w:r>
      <w:r>
        <w:rPr>
          <w:vertAlign w:val="superscript"/>
        </w:rPr>
        <w:t>os</w:t>
      </w:r>
      <w:r>
        <w:t> 4 e 5, do Regulamento (CE) n.</w:t>
      </w:r>
      <w:r>
        <w:rPr>
          <w:vertAlign w:val="superscript"/>
        </w:rPr>
        <w:t>o</w:t>
      </w:r>
      <w:r>
        <w:t> 139/2004, devem conter as informações, incluindo documentos, exigidas no anexo III do presente regulamento. As informações apresentadas devem ser exatas e completas.</w:t>
      </w:r>
    </w:p>
    <w:p w14:paraId="27973BFB" w14:textId="77777777" w:rsidR="00672A2B" w:rsidRDefault="00672A2B">
      <w:r>
        <w:t>2.</w:t>
      </w:r>
      <w:r>
        <w:tab/>
        <w:t>O artigo 2.</w:t>
      </w:r>
      <w:r>
        <w:rPr>
          <w:vertAlign w:val="superscript"/>
        </w:rPr>
        <w:t>o</w:t>
      </w:r>
      <w:r>
        <w:t>, o artigo 3.</w:t>
      </w:r>
      <w:r>
        <w:rPr>
          <w:vertAlign w:val="superscript"/>
        </w:rPr>
        <w:t>o</w:t>
      </w:r>
      <w:r>
        <w:t>, n.</w:t>
      </w:r>
      <w:r>
        <w:rPr>
          <w:vertAlign w:val="superscript"/>
        </w:rPr>
        <w:t>o</w:t>
      </w:r>
      <w:r>
        <w:t> 1, terceira frase, o artigo 3.</w:t>
      </w:r>
      <w:r>
        <w:rPr>
          <w:vertAlign w:val="superscript"/>
        </w:rPr>
        <w:t>o</w:t>
      </w:r>
      <w:r>
        <w:t>, n.</w:t>
      </w:r>
      <w:r>
        <w:rPr>
          <w:vertAlign w:val="superscript"/>
        </w:rPr>
        <w:t>os</w:t>
      </w:r>
      <w:r>
        <w:t> 2, 3 e 4, o artigo 4.</w:t>
      </w:r>
      <w:r>
        <w:rPr>
          <w:vertAlign w:val="superscript"/>
        </w:rPr>
        <w:t>o</w:t>
      </w:r>
      <w:r>
        <w:t>, o artigo 5.</w:t>
      </w:r>
      <w:r>
        <w:rPr>
          <w:vertAlign w:val="superscript"/>
        </w:rPr>
        <w:t>o</w:t>
      </w:r>
      <w:r>
        <w:t>, n.</w:t>
      </w:r>
      <w:r>
        <w:rPr>
          <w:vertAlign w:val="superscript"/>
        </w:rPr>
        <w:t>os</w:t>
      </w:r>
      <w:r>
        <w:t> 1 a 4, e o artigo 22.</w:t>
      </w:r>
      <w:r>
        <w:rPr>
          <w:vertAlign w:val="superscript"/>
        </w:rPr>
        <w:t>o</w:t>
      </w:r>
      <w:r>
        <w:t xml:space="preserve"> do presente regulamento aplicam-se </w:t>
      </w:r>
      <w:r>
        <w:rPr>
          <w:i/>
          <w:iCs/>
        </w:rPr>
        <w:t>mutatis mutandis</w:t>
      </w:r>
      <w:r>
        <w:t xml:space="preserve"> aos memorandos fundamentados na aceção do artigo 4.</w:t>
      </w:r>
      <w:r>
        <w:rPr>
          <w:vertAlign w:val="superscript"/>
        </w:rPr>
        <w:t>o</w:t>
      </w:r>
      <w:r>
        <w:t>, n.</w:t>
      </w:r>
      <w:r>
        <w:rPr>
          <w:vertAlign w:val="superscript"/>
        </w:rPr>
        <w:t>os</w:t>
      </w:r>
      <w:r>
        <w:t> 4 e 5, do Regulamento (CE) n.</w:t>
      </w:r>
      <w:r>
        <w:rPr>
          <w:vertAlign w:val="superscript"/>
        </w:rPr>
        <w:t>o</w:t>
      </w:r>
      <w:r>
        <w:t> 139/2004.</w:t>
      </w:r>
    </w:p>
    <w:p w14:paraId="6FE4E08D" w14:textId="77777777" w:rsidR="00672A2B" w:rsidRDefault="00672A2B">
      <w:r>
        <w:t>3.</w:t>
      </w:r>
      <w:r>
        <w:tab/>
        <w:t>O artigo 2.</w:t>
      </w:r>
      <w:r>
        <w:rPr>
          <w:vertAlign w:val="superscript"/>
        </w:rPr>
        <w:t>o</w:t>
      </w:r>
      <w:r>
        <w:t>, o artigo 3.</w:t>
      </w:r>
      <w:r>
        <w:rPr>
          <w:vertAlign w:val="superscript"/>
        </w:rPr>
        <w:t>o</w:t>
      </w:r>
      <w:r>
        <w:t>, n.</w:t>
      </w:r>
      <w:r>
        <w:rPr>
          <w:vertAlign w:val="superscript"/>
        </w:rPr>
        <w:t>o</w:t>
      </w:r>
      <w:r>
        <w:t> 1, terceira frase, o artigo 3.</w:t>
      </w:r>
      <w:r>
        <w:rPr>
          <w:vertAlign w:val="superscript"/>
        </w:rPr>
        <w:t>o</w:t>
      </w:r>
      <w:r>
        <w:t>, n.</w:t>
      </w:r>
      <w:r>
        <w:rPr>
          <w:vertAlign w:val="superscript"/>
        </w:rPr>
        <w:t>os</w:t>
      </w:r>
      <w:r>
        <w:t> 2, 3 e 4, o artigo 4.</w:t>
      </w:r>
      <w:r>
        <w:rPr>
          <w:vertAlign w:val="superscript"/>
        </w:rPr>
        <w:t>o</w:t>
      </w:r>
      <w:r>
        <w:t>, o artigo 5.</w:t>
      </w:r>
      <w:r>
        <w:rPr>
          <w:vertAlign w:val="superscript"/>
        </w:rPr>
        <w:t>o</w:t>
      </w:r>
      <w:r>
        <w:t>, n.</w:t>
      </w:r>
      <w:r>
        <w:rPr>
          <w:vertAlign w:val="superscript"/>
        </w:rPr>
        <w:t>os</w:t>
      </w:r>
      <w:r>
        <w:t> 1 a 4, e o artigo 22.</w:t>
      </w:r>
      <w:r>
        <w:rPr>
          <w:vertAlign w:val="superscript"/>
        </w:rPr>
        <w:t>o</w:t>
      </w:r>
      <w:r>
        <w:t xml:space="preserve"> do presente regulamento aplicam-se </w:t>
      </w:r>
      <w:r>
        <w:rPr>
          <w:i/>
          <w:iCs/>
        </w:rPr>
        <w:t>mutatis mutandis</w:t>
      </w:r>
      <w:r>
        <w:t xml:space="preserve"> às notificações complementares e certificações nos termos do artigo 10.</w:t>
      </w:r>
      <w:r>
        <w:rPr>
          <w:vertAlign w:val="superscript"/>
        </w:rPr>
        <w:t>o</w:t>
      </w:r>
      <w:r>
        <w:t>, n.</w:t>
      </w:r>
      <w:r>
        <w:rPr>
          <w:vertAlign w:val="superscript"/>
        </w:rPr>
        <w:t>o</w:t>
      </w:r>
      <w:r>
        <w:t> 5, do Regulamento (CE) n.</w:t>
      </w:r>
      <w:r>
        <w:rPr>
          <w:vertAlign w:val="superscript"/>
        </w:rPr>
        <w:t>o</w:t>
      </w:r>
      <w:r>
        <w:t> 139/2004.</w:t>
      </w:r>
    </w:p>
    <w:p w14:paraId="3A876F4B" w14:textId="77777777" w:rsidR="00672A2B" w:rsidRDefault="00672A2B">
      <w:pPr>
        <w:pStyle w:val="SectionTitle"/>
      </w:pPr>
      <w:r>
        <w:t>CAPÍTULO III</w:t>
      </w:r>
    </w:p>
    <w:p w14:paraId="78C563A3" w14:textId="77777777" w:rsidR="00672A2B" w:rsidRDefault="00672A2B">
      <w:pPr>
        <w:pStyle w:val="SectionTitle"/>
      </w:pPr>
      <w:r>
        <w:rPr>
          <w:i/>
          <w:iCs/>
        </w:rPr>
        <w:t>PRAZOS</w:t>
      </w:r>
    </w:p>
    <w:p w14:paraId="478C6AC9" w14:textId="77777777" w:rsidR="00672A2B" w:rsidRDefault="00672A2B">
      <w:pPr>
        <w:pStyle w:val="Titrearticle"/>
      </w:pPr>
      <w:r>
        <w:t>Artigo 7.</w:t>
      </w:r>
      <w:r>
        <w:rPr>
          <w:vertAlign w:val="superscript"/>
        </w:rPr>
        <w:t>o</w:t>
      </w:r>
    </w:p>
    <w:p w14:paraId="70E9838C" w14:textId="77777777" w:rsidR="00672A2B" w:rsidRDefault="00672A2B">
      <w:pPr>
        <w:pStyle w:val="NormalCentered"/>
        <w:rPr>
          <w:b/>
          <w:bCs/>
        </w:rPr>
      </w:pPr>
      <w:r>
        <w:rPr>
          <w:b/>
          <w:bCs/>
        </w:rPr>
        <w:t>Início do prazo</w:t>
      </w:r>
    </w:p>
    <w:p w14:paraId="49688C97" w14:textId="77777777" w:rsidR="00672A2B" w:rsidRDefault="00672A2B">
      <w:r>
        <w:t>Os prazos começam a correr no dia útil, tal como definido no artigo 24.</w:t>
      </w:r>
      <w:r>
        <w:rPr>
          <w:vertAlign w:val="superscript"/>
        </w:rPr>
        <w:t>o</w:t>
      </w:r>
      <w:r>
        <w:t xml:space="preserve"> do presente regulamento, seguinte ao dia da ocorrência do acontecimento a que faz referência a disposição relevante do Regulamento (CE) n.</w:t>
      </w:r>
      <w:r>
        <w:rPr>
          <w:vertAlign w:val="superscript"/>
        </w:rPr>
        <w:t>o</w:t>
      </w:r>
      <w:r>
        <w:t> 139/2004.</w:t>
      </w:r>
    </w:p>
    <w:p w14:paraId="4AE66B13" w14:textId="77777777" w:rsidR="00672A2B" w:rsidRDefault="00672A2B">
      <w:pPr>
        <w:pStyle w:val="Titrearticle"/>
      </w:pPr>
      <w:r>
        <w:lastRenderedPageBreak/>
        <w:t>Artigo 8.</w:t>
      </w:r>
      <w:r>
        <w:rPr>
          <w:vertAlign w:val="superscript"/>
        </w:rPr>
        <w:t>o</w:t>
      </w:r>
    </w:p>
    <w:p w14:paraId="04A6992A" w14:textId="77777777" w:rsidR="00672A2B" w:rsidRDefault="00672A2B">
      <w:pPr>
        <w:pStyle w:val="NormalCentered"/>
        <w:rPr>
          <w:b/>
          <w:bCs/>
        </w:rPr>
      </w:pPr>
      <w:r>
        <w:rPr>
          <w:b/>
          <w:bCs/>
        </w:rPr>
        <w:t>Termo do prazo</w:t>
      </w:r>
    </w:p>
    <w:p w14:paraId="064E8AE5" w14:textId="77777777" w:rsidR="00672A2B" w:rsidRDefault="00672A2B">
      <w:r>
        <w:t>1.</w:t>
      </w:r>
      <w:r>
        <w:tab/>
        <w:t>Um prazo calculado em dias úteis termina no final do seu último dia útil.</w:t>
      </w:r>
    </w:p>
    <w:p w14:paraId="0E33343C" w14:textId="77777777" w:rsidR="00672A2B" w:rsidRDefault="00672A2B">
      <w:r>
        <w:t>2.</w:t>
      </w:r>
      <w:r>
        <w:tab/>
        <w:t>Um prazo fixado pela Comissão em termos de uma data termina no final do dia correspondente.</w:t>
      </w:r>
    </w:p>
    <w:p w14:paraId="5D678862" w14:textId="77777777" w:rsidR="00672A2B" w:rsidRDefault="00672A2B">
      <w:pPr>
        <w:pStyle w:val="Titrearticle"/>
      </w:pPr>
      <w:r>
        <w:t>Artigo 9.</w:t>
      </w:r>
      <w:r>
        <w:rPr>
          <w:vertAlign w:val="superscript"/>
        </w:rPr>
        <w:t>o</w:t>
      </w:r>
    </w:p>
    <w:p w14:paraId="67E80658" w14:textId="77777777" w:rsidR="00672A2B" w:rsidRDefault="00672A2B">
      <w:pPr>
        <w:pStyle w:val="NormalCentered"/>
        <w:rPr>
          <w:b/>
          <w:bCs/>
        </w:rPr>
      </w:pPr>
      <w:r>
        <w:rPr>
          <w:b/>
          <w:bCs/>
        </w:rPr>
        <w:t>Suspensão do prazo</w:t>
      </w:r>
    </w:p>
    <w:p w14:paraId="4B4849A4" w14:textId="77777777" w:rsidR="00672A2B" w:rsidRDefault="00672A2B">
      <w:r>
        <w:t>1.</w:t>
      </w:r>
      <w:r>
        <w:tab/>
        <w:t>Os prazos referidos no artigo 9.</w:t>
      </w:r>
      <w:r>
        <w:rPr>
          <w:vertAlign w:val="superscript"/>
        </w:rPr>
        <w:t>o</w:t>
      </w:r>
      <w:r>
        <w:t>, n.</w:t>
      </w:r>
      <w:r>
        <w:rPr>
          <w:vertAlign w:val="superscript"/>
        </w:rPr>
        <w:t>o</w:t>
      </w:r>
      <w:r>
        <w:t> 4, e no artigo 10.</w:t>
      </w:r>
      <w:r>
        <w:rPr>
          <w:vertAlign w:val="superscript"/>
        </w:rPr>
        <w:t>o</w:t>
      </w:r>
      <w:r>
        <w:t>, n.</w:t>
      </w:r>
      <w:r>
        <w:rPr>
          <w:vertAlign w:val="superscript"/>
        </w:rPr>
        <w:t>os</w:t>
      </w:r>
      <w:r>
        <w:t> 1 e 3, do Regulamento (CE) n.</w:t>
      </w:r>
      <w:r>
        <w:rPr>
          <w:vertAlign w:val="superscript"/>
        </w:rPr>
        <w:t>o</w:t>
      </w:r>
      <w:r>
        <w:t> 139/2004 ficam suspensos sempre que a Comissão tiver de tomar uma decisão nos termos do artigo 11.</w:t>
      </w:r>
      <w:r>
        <w:rPr>
          <w:vertAlign w:val="superscript"/>
        </w:rPr>
        <w:t>o</w:t>
      </w:r>
      <w:r>
        <w:t>, n.</w:t>
      </w:r>
      <w:r>
        <w:rPr>
          <w:vertAlign w:val="superscript"/>
        </w:rPr>
        <w:t>o</w:t>
      </w:r>
      <w:r>
        <w:t> 3, ou do artigo 13.</w:t>
      </w:r>
      <w:r>
        <w:rPr>
          <w:vertAlign w:val="superscript"/>
        </w:rPr>
        <w:t>o</w:t>
      </w:r>
      <w:r>
        <w:t>, n.</w:t>
      </w:r>
      <w:r>
        <w:rPr>
          <w:vertAlign w:val="superscript"/>
        </w:rPr>
        <w:t>o</w:t>
      </w:r>
      <w:r>
        <w:t> 4, desse regulamento, por qualquer dos seguintes motivos:</w:t>
      </w:r>
    </w:p>
    <w:p w14:paraId="2F3DF318" w14:textId="77777777" w:rsidR="00672A2B" w:rsidRDefault="00672A2B">
      <w:pPr>
        <w:pStyle w:val="Point0"/>
      </w:pPr>
      <w:r>
        <w:tab/>
        <w:t>a)</w:t>
      </w:r>
      <w:r>
        <w:tab/>
        <w:t>Uma informação solicitada pela Comissão, nos termos do artigo 11.</w:t>
      </w:r>
      <w:r>
        <w:rPr>
          <w:vertAlign w:val="superscript"/>
        </w:rPr>
        <w:t>o</w:t>
      </w:r>
      <w:r>
        <w:t>, n.</w:t>
      </w:r>
      <w:r>
        <w:rPr>
          <w:vertAlign w:val="superscript"/>
        </w:rPr>
        <w:t>o</w:t>
      </w:r>
      <w:r>
        <w:t> 2, do Regulamento (CE) n.</w:t>
      </w:r>
      <w:r>
        <w:rPr>
          <w:vertAlign w:val="superscript"/>
        </w:rPr>
        <w:t>o</w:t>
      </w:r>
      <w:r>
        <w:t> 139/2004, a uma das partes notificantes ou a qualquer outro interessado direto, tal como definidos no artigo 11.</w:t>
      </w:r>
      <w:r>
        <w:rPr>
          <w:vertAlign w:val="superscript"/>
        </w:rPr>
        <w:t>o</w:t>
      </w:r>
      <w:r>
        <w:t xml:space="preserve"> do presente regulamento, não ter sido prestada ou o ter sido de forma incompleta no prazo fixado pela Comissão;</w:t>
      </w:r>
    </w:p>
    <w:p w14:paraId="76A3A360" w14:textId="77777777" w:rsidR="00672A2B" w:rsidRDefault="00672A2B">
      <w:pPr>
        <w:pStyle w:val="Point0"/>
      </w:pPr>
      <w:r>
        <w:tab/>
        <w:t>b)</w:t>
      </w:r>
      <w:r>
        <w:tab/>
        <w:t>Uma informação solicitada pela Comissão, nos termos do artigo 11.</w:t>
      </w:r>
      <w:r>
        <w:rPr>
          <w:vertAlign w:val="superscript"/>
        </w:rPr>
        <w:t>o</w:t>
      </w:r>
      <w:r>
        <w:t>, n.</w:t>
      </w:r>
      <w:r>
        <w:rPr>
          <w:vertAlign w:val="superscript"/>
        </w:rPr>
        <w:t>o</w:t>
      </w:r>
      <w:r>
        <w:t> 2, do Regulamento (CE) n.</w:t>
      </w:r>
      <w:r>
        <w:rPr>
          <w:vertAlign w:val="superscript"/>
        </w:rPr>
        <w:t>o</w:t>
      </w:r>
      <w:r>
        <w:t> 139/2004, a um terceiro não ter sido prestada ou o ter sido de forma incompleta no prazo fixado pela Comissão, devido a circunstâncias imputáveis a uma das partes notificantes ou a qualquer outro interessado direto, tal como definidos no artigo 11.</w:t>
      </w:r>
      <w:r>
        <w:rPr>
          <w:vertAlign w:val="superscript"/>
        </w:rPr>
        <w:t>o</w:t>
      </w:r>
      <w:r>
        <w:t xml:space="preserve"> do presente regulamento;</w:t>
      </w:r>
    </w:p>
    <w:p w14:paraId="7EBF9AE6" w14:textId="77777777" w:rsidR="00672A2B" w:rsidRDefault="00672A2B">
      <w:pPr>
        <w:pStyle w:val="Point0"/>
      </w:pPr>
      <w:r>
        <w:tab/>
        <w:t>c)</w:t>
      </w:r>
      <w:r>
        <w:tab/>
        <w:t>Uma das partes notificantes ou qualquer outro interessado direto, tal como definidos no artigo 11.</w:t>
      </w:r>
      <w:r>
        <w:rPr>
          <w:vertAlign w:val="superscript"/>
        </w:rPr>
        <w:t>o</w:t>
      </w:r>
      <w:r>
        <w:t xml:space="preserve"> do presente regulamento, ter recusado sujeitar-se a uma inspeção considerada necessária pela Comissão nos termos do artigo 13.</w:t>
      </w:r>
      <w:r>
        <w:rPr>
          <w:vertAlign w:val="superscript"/>
        </w:rPr>
        <w:t>o</w:t>
      </w:r>
      <w:r>
        <w:t>, n.</w:t>
      </w:r>
      <w:r>
        <w:rPr>
          <w:vertAlign w:val="superscript"/>
        </w:rPr>
        <w:t>o</w:t>
      </w:r>
      <w:r>
        <w:t> 1, do Regulamento (CE) n.</w:t>
      </w:r>
      <w:r>
        <w:rPr>
          <w:vertAlign w:val="superscript"/>
        </w:rPr>
        <w:t>o</w:t>
      </w:r>
      <w:r>
        <w:t> 139/2004 ou ter recusado colaborar nessa inspeção em conformidade com o artigo 13.</w:t>
      </w:r>
      <w:r>
        <w:rPr>
          <w:vertAlign w:val="superscript"/>
        </w:rPr>
        <w:t>o</w:t>
      </w:r>
      <w:r>
        <w:t>, n.</w:t>
      </w:r>
      <w:r>
        <w:rPr>
          <w:vertAlign w:val="superscript"/>
        </w:rPr>
        <w:t>o</w:t>
      </w:r>
      <w:r>
        <w:t> 2, do mesmo regulamento;</w:t>
      </w:r>
    </w:p>
    <w:p w14:paraId="17A661AB" w14:textId="77777777" w:rsidR="00672A2B" w:rsidRDefault="00672A2B">
      <w:pPr>
        <w:pStyle w:val="Point0"/>
      </w:pPr>
      <w:r>
        <w:tab/>
        <w:t>d)</w:t>
      </w:r>
      <w:r>
        <w:tab/>
        <w:t>As partes notificantes não terem comunicado à Comissão alterações de caráter material dos factos constantes da notificação ou quaisquer novas informações do tipo referido no artigo 5.</w:t>
      </w:r>
      <w:r>
        <w:rPr>
          <w:vertAlign w:val="superscript"/>
        </w:rPr>
        <w:t>o</w:t>
      </w:r>
      <w:r>
        <w:t>, n.</w:t>
      </w:r>
      <w:r>
        <w:rPr>
          <w:vertAlign w:val="superscript"/>
        </w:rPr>
        <w:t>o</w:t>
      </w:r>
      <w:r>
        <w:t> 3, do presente regulamento.</w:t>
      </w:r>
    </w:p>
    <w:p w14:paraId="64FD9730" w14:textId="77777777" w:rsidR="00672A2B" w:rsidRDefault="00672A2B">
      <w:r>
        <w:t>2.</w:t>
      </w:r>
      <w:r>
        <w:tab/>
        <w:t>Os prazos referidos no artigo 9.</w:t>
      </w:r>
      <w:r>
        <w:rPr>
          <w:vertAlign w:val="superscript"/>
        </w:rPr>
        <w:t>o</w:t>
      </w:r>
      <w:r>
        <w:t>, n.</w:t>
      </w:r>
      <w:r>
        <w:rPr>
          <w:vertAlign w:val="superscript"/>
        </w:rPr>
        <w:t>o</w:t>
      </w:r>
      <w:r>
        <w:t> 4, e no artigo 10.</w:t>
      </w:r>
      <w:r>
        <w:rPr>
          <w:vertAlign w:val="superscript"/>
        </w:rPr>
        <w:t>o</w:t>
      </w:r>
      <w:r>
        <w:t>, n.</w:t>
      </w:r>
      <w:r>
        <w:rPr>
          <w:vertAlign w:val="superscript"/>
        </w:rPr>
        <w:t>os</w:t>
      </w:r>
      <w:r>
        <w:t> 1 e 3, do Regulamento (CE) n.</w:t>
      </w:r>
      <w:r>
        <w:rPr>
          <w:vertAlign w:val="superscript"/>
        </w:rPr>
        <w:t>o</w:t>
      </w:r>
      <w:r>
        <w:t> 139/2004 ficam suspensos nos casos em que a Comissão tenha de adotar uma decisão nos termos do artigo 11.</w:t>
      </w:r>
      <w:r>
        <w:rPr>
          <w:vertAlign w:val="superscript"/>
        </w:rPr>
        <w:t>o</w:t>
      </w:r>
      <w:r>
        <w:t>, n.</w:t>
      </w:r>
      <w:r>
        <w:rPr>
          <w:vertAlign w:val="superscript"/>
        </w:rPr>
        <w:t>o</w:t>
      </w:r>
      <w:r>
        <w:t> 3, desse regulamento, sem enviar previamente um simples pedido de informações, devido a circunstâncias imputáveis a uma das empresas envolvidas na concentração.</w:t>
      </w:r>
    </w:p>
    <w:p w14:paraId="6F9E03DF" w14:textId="77777777" w:rsidR="00672A2B" w:rsidRDefault="00672A2B">
      <w:r>
        <w:t>3.</w:t>
      </w:r>
      <w:r>
        <w:tab/>
        <w:t>Os prazos referidos no artigo 9.</w:t>
      </w:r>
      <w:r>
        <w:rPr>
          <w:vertAlign w:val="superscript"/>
        </w:rPr>
        <w:t>o</w:t>
      </w:r>
      <w:r>
        <w:t>, n.</w:t>
      </w:r>
      <w:r>
        <w:rPr>
          <w:vertAlign w:val="superscript"/>
        </w:rPr>
        <w:t>o</w:t>
      </w:r>
      <w:r>
        <w:t> 4, e no artigo 10.</w:t>
      </w:r>
      <w:r>
        <w:rPr>
          <w:vertAlign w:val="superscript"/>
        </w:rPr>
        <w:t>o</w:t>
      </w:r>
      <w:r>
        <w:t>, n.</w:t>
      </w:r>
      <w:r>
        <w:rPr>
          <w:vertAlign w:val="superscript"/>
        </w:rPr>
        <w:t>os</w:t>
      </w:r>
      <w:r>
        <w:t> 1 e 3, do Regulamento (CE) n.</w:t>
      </w:r>
      <w:r>
        <w:rPr>
          <w:vertAlign w:val="superscript"/>
        </w:rPr>
        <w:t>o</w:t>
      </w:r>
      <w:r>
        <w:t> 139/2004 ficam suspensos:</w:t>
      </w:r>
    </w:p>
    <w:p w14:paraId="1C077062" w14:textId="77777777" w:rsidR="00672A2B" w:rsidRDefault="00672A2B">
      <w:pPr>
        <w:pStyle w:val="Point0"/>
      </w:pPr>
      <w:r>
        <w:tab/>
        <w:t>a)</w:t>
      </w:r>
      <w:r>
        <w:tab/>
        <w:t>Nos casos referidos no n.</w:t>
      </w:r>
      <w:r>
        <w:rPr>
          <w:vertAlign w:val="superscript"/>
        </w:rPr>
        <w:t>o</w:t>
      </w:r>
      <w:r>
        <w:t xml:space="preserve"> 1, alíneas a) e b), durante o período compreendido entre o termo do prazo fixado no simples pedido de informações e a receção de informações completas e exatas solicitadas por via de decisão ou o momento em que a Comissão informa as partes notificantes de que, à luz dos resultados da sua </w:t>
      </w:r>
      <w:r>
        <w:lastRenderedPageBreak/>
        <w:t>investigação em curso ou da evolução do mercado, as informações solicitadas deixaram de ser necessárias;</w:t>
      </w:r>
    </w:p>
    <w:p w14:paraId="646F2881" w14:textId="77777777" w:rsidR="00672A2B" w:rsidRDefault="00672A2B">
      <w:pPr>
        <w:pStyle w:val="Point0"/>
      </w:pPr>
      <w:r>
        <w:tab/>
        <w:t>b)</w:t>
      </w:r>
      <w:r>
        <w:tab/>
        <w:t>Nos casos referidos no n.</w:t>
      </w:r>
      <w:r>
        <w:rPr>
          <w:vertAlign w:val="superscript"/>
        </w:rPr>
        <w:t>o</w:t>
      </w:r>
      <w:r>
        <w:t> 1, alínea c), durante o período compreendido entre a tentativa malograda de inspeção e o final da inspeção ordenada por via de decisão ou o momento em que a Comissão informa as partes notificantes de que, à luz dos resultados da sua investigação em curso ou da evolução do mercado, a inspeção ordenada deixou de ser necessária;</w:t>
      </w:r>
    </w:p>
    <w:p w14:paraId="1771D2F4" w14:textId="77777777" w:rsidR="00672A2B" w:rsidRDefault="00672A2B">
      <w:pPr>
        <w:pStyle w:val="Point0"/>
      </w:pPr>
      <w:r>
        <w:tab/>
        <w:t>c)</w:t>
      </w:r>
      <w:r>
        <w:tab/>
        <w:t>Nos casos referidos no n.</w:t>
      </w:r>
      <w:r>
        <w:rPr>
          <w:vertAlign w:val="superscript"/>
        </w:rPr>
        <w:t>o</w:t>
      </w:r>
      <w:r>
        <w:t> 1, alínea d), durante o período compreendido entre a ocorrência das alterações nos factos constantes da notificação e a receção das informações completas e exatas;</w:t>
      </w:r>
    </w:p>
    <w:p w14:paraId="04B69850" w14:textId="77777777" w:rsidR="00672A2B" w:rsidRDefault="00672A2B">
      <w:pPr>
        <w:pStyle w:val="Point0"/>
      </w:pPr>
      <w:r>
        <w:tab/>
        <w:t>d)</w:t>
      </w:r>
      <w:r>
        <w:tab/>
        <w:t>Nos casos referidos no n.</w:t>
      </w:r>
      <w:r>
        <w:rPr>
          <w:vertAlign w:val="superscript"/>
        </w:rPr>
        <w:t>o</w:t>
      </w:r>
      <w:r>
        <w:t> 2, durante o período compreendido entre o termo do prazo fixado na decisão e a receção das informações completas e exatas solicitadas por via de decisão ou o momento em que a Comissão informa as partes notificantes de que, à luz dos resultados da sua investigação em curso ou da evolução do mercado, as informações solicitadas deixaram de ser necessárias.</w:t>
      </w:r>
    </w:p>
    <w:p w14:paraId="6BFDD4FB" w14:textId="77777777" w:rsidR="00672A2B" w:rsidRDefault="00672A2B">
      <w:r>
        <w:t>4.</w:t>
      </w:r>
      <w:r>
        <w:tab/>
        <w:t>A suspensão do prazo tem início no dia útil seguinte ao dia da ocorrência da causa da suspensão. A suspensão do prazo cessa no final do dia do desaparecimento da causa da suspensão. Se esse dia não for um dia útil, a suspensão do prazo cessa no final do dia útil seguinte.</w:t>
      </w:r>
    </w:p>
    <w:p w14:paraId="03E08990" w14:textId="77777777" w:rsidR="00672A2B" w:rsidRDefault="00672A2B">
      <w:r>
        <w:t>5.</w:t>
      </w:r>
      <w:r>
        <w:tab/>
        <w:t>A Comissão trata, num prazo razoável, todos os dados recebidos no âmbito da sua investigação que lhe permitam considerar que as informações solicitadas ou uma inspeção ordenada deixaram de ser necessárias, na aceção do n.</w:t>
      </w:r>
      <w:r>
        <w:rPr>
          <w:vertAlign w:val="superscript"/>
        </w:rPr>
        <w:t>o</w:t>
      </w:r>
      <w:r>
        <w:t> 3, alíneas a), b) e d).</w:t>
      </w:r>
    </w:p>
    <w:p w14:paraId="580A0DD6" w14:textId="77777777" w:rsidR="00672A2B" w:rsidRDefault="00672A2B">
      <w:pPr>
        <w:pStyle w:val="Titrearticle"/>
      </w:pPr>
      <w:r>
        <w:t>Artigo 10.</w:t>
      </w:r>
      <w:r>
        <w:rPr>
          <w:vertAlign w:val="superscript"/>
        </w:rPr>
        <w:t>o</w:t>
      </w:r>
    </w:p>
    <w:p w14:paraId="14C1B13F" w14:textId="77777777" w:rsidR="00672A2B" w:rsidRDefault="00672A2B">
      <w:pPr>
        <w:pStyle w:val="NormalCentered"/>
        <w:rPr>
          <w:b/>
          <w:bCs/>
        </w:rPr>
      </w:pPr>
      <w:r>
        <w:rPr>
          <w:b/>
          <w:bCs/>
        </w:rPr>
        <w:t>Cumprimento dos prazos</w:t>
      </w:r>
    </w:p>
    <w:p w14:paraId="65B983F1" w14:textId="77777777" w:rsidR="00672A2B" w:rsidRDefault="00672A2B">
      <w:r>
        <w:t>1.</w:t>
      </w:r>
      <w:r>
        <w:tab/>
        <w:t>Os prazos referidos no artigo 4.</w:t>
      </w:r>
      <w:r>
        <w:rPr>
          <w:vertAlign w:val="superscript"/>
        </w:rPr>
        <w:t>o</w:t>
      </w:r>
      <w:r>
        <w:t>, n.</w:t>
      </w:r>
      <w:r>
        <w:rPr>
          <w:vertAlign w:val="superscript"/>
        </w:rPr>
        <w:t>o</w:t>
      </w:r>
      <w:r>
        <w:t> 4, quarto parágrafo, no artigo 9.</w:t>
      </w:r>
      <w:r>
        <w:rPr>
          <w:vertAlign w:val="superscript"/>
        </w:rPr>
        <w:t>o</w:t>
      </w:r>
      <w:r>
        <w:t>, n.</w:t>
      </w:r>
      <w:r>
        <w:rPr>
          <w:vertAlign w:val="superscript"/>
        </w:rPr>
        <w:t>o</w:t>
      </w:r>
      <w:r>
        <w:t> 4, no artigo 10.</w:t>
      </w:r>
      <w:r>
        <w:rPr>
          <w:vertAlign w:val="superscript"/>
        </w:rPr>
        <w:t>o</w:t>
      </w:r>
      <w:r>
        <w:t>, n.</w:t>
      </w:r>
      <w:r>
        <w:rPr>
          <w:vertAlign w:val="superscript"/>
        </w:rPr>
        <w:t>os</w:t>
      </w:r>
      <w:r>
        <w:t> 1 e 3, e no artigo 22.</w:t>
      </w:r>
      <w:r>
        <w:rPr>
          <w:vertAlign w:val="superscript"/>
        </w:rPr>
        <w:t>o</w:t>
      </w:r>
      <w:r>
        <w:t>, n.</w:t>
      </w:r>
      <w:r>
        <w:rPr>
          <w:vertAlign w:val="superscript"/>
        </w:rPr>
        <w:t>o</w:t>
      </w:r>
      <w:r>
        <w:t> 3, do Regulamento (CE) n.</w:t>
      </w:r>
      <w:r>
        <w:rPr>
          <w:vertAlign w:val="superscript"/>
        </w:rPr>
        <w:t>o</w:t>
      </w:r>
      <w:r>
        <w:t> 139/2004 consideram-se cumpridos se a Comissão tomar a sua decisão antes do termo do prazo.</w:t>
      </w:r>
    </w:p>
    <w:p w14:paraId="1907AE63" w14:textId="77777777" w:rsidR="00672A2B" w:rsidRDefault="00672A2B">
      <w:r>
        <w:t>2.</w:t>
      </w:r>
      <w:r>
        <w:tab/>
        <w:t>Os prazos referidos no artigo 4.</w:t>
      </w:r>
      <w:r>
        <w:rPr>
          <w:vertAlign w:val="superscript"/>
        </w:rPr>
        <w:t>o</w:t>
      </w:r>
      <w:r>
        <w:t>, n.</w:t>
      </w:r>
      <w:r>
        <w:rPr>
          <w:vertAlign w:val="superscript"/>
        </w:rPr>
        <w:t>o</w:t>
      </w:r>
      <w:r>
        <w:t> 4, segundo parágrafo, no artigo 4.</w:t>
      </w:r>
      <w:r>
        <w:rPr>
          <w:vertAlign w:val="superscript"/>
        </w:rPr>
        <w:t>o</w:t>
      </w:r>
      <w:r>
        <w:t>, n.</w:t>
      </w:r>
      <w:r>
        <w:rPr>
          <w:vertAlign w:val="superscript"/>
        </w:rPr>
        <w:t>o</w:t>
      </w:r>
      <w:r>
        <w:t> 5, terceiro parágrafo, no artigo 9.</w:t>
      </w:r>
      <w:r>
        <w:rPr>
          <w:vertAlign w:val="superscript"/>
        </w:rPr>
        <w:t>o</w:t>
      </w:r>
      <w:r>
        <w:t>, n.</w:t>
      </w:r>
      <w:r>
        <w:rPr>
          <w:vertAlign w:val="superscript"/>
        </w:rPr>
        <w:t>o</w:t>
      </w:r>
      <w:r>
        <w:t> 2, no artigo 22.</w:t>
      </w:r>
      <w:r>
        <w:rPr>
          <w:vertAlign w:val="superscript"/>
        </w:rPr>
        <w:t>o</w:t>
      </w:r>
      <w:r>
        <w:t>, n.</w:t>
      </w:r>
      <w:r>
        <w:rPr>
          <w:vertAlign w:val="superscript"/>
        </w:rPr>
        <w:t>o</w:t>
      </w:r>
      <w:r>
        <w:t> 1, segundo parágrafo, e no artigo 22.</w:t>
      </w:r>
      <w:r>
        <w:rPr>
          <w:vertAlign w:val="superscript"/>
        </w:rPr>
        <w:t>o</w:t>
      </w:r>
      <w:r>
        <w:t>, n.</w:t>
      </w:r>
      <w:r>
        <w:rPr>
          <w:vertAlign w:val="superscript"/>
        </w:rPr>
        <w:t>o</w:t>
      </w:r>
      <w:r>
        <w:t> 2, segundo parágrafo, do Regulamento (CE) n.</w:t>
      </w:r>
      <w:r>
        <w:rPr>
          <w:vertAlign w:val="superscript"/>
        </w:rPr>
        <w:t>o</w:t>
      </w:r>
      <w:r>
        <w:t> 139/2004 consideram-se cumpridos pelo Estado-Membro em causa se esse Estado-Membro informar a Comissão, por escrito, ou apresentar ou associar-se a um pedido por escrito, consoante o caso, antes do termo do prazo.</w:t>
      </w:r>
    </w:p>
    <w:p w14:paraId="56B9CCC7" w14:textId="77777777" w:rsidR="00672A2B" w:rsidRDefault="00672A2B">
      <w:r>
        <w:t>3.</w:t>
      </w:r>
      <w:r>
        <w:tab/>
        <w:t>O prazo referido no artigo 9.</w:t>
      </w:r>
      <w:r>
        <w:rPr>
          <w:vertAlign w:val="superscript"/>
        </w:rPr>
        <w:t>o</w:t>
      </w:r>
      <w:r>
        <w:t>, n.</w:t>
      </w:r>
      <w:r>
        <w:rPr>
          <w:vertAlign w:val="superscript"/>
        </w:rPr>
        <w:t>o</w:t>
      </w:r>
      <w:r>
        <w:t> 6, do Regulamento (CE) n.</w:t>
      </w:r>
      <w:r>
        <w:rPr>
          <w:vertAlign w:val="superscript"/>
        </w:rPr>
        <w:t>o</w:t>
      </w:r>
      <w:r>
        <w:t> 139/2004 considera-se cumprido se a autoridade competente do Estado-Membro em causa informar as empresas em questão de acordo com o estabelecido nessa disposição, antes do termo do prazo.</w:t>
      </w:r>
    </w:p>
    <w:p w14:paraId="30F1CCB4" w14:textId="77777777" w:rsidR="00672A2B" w:rsidRDefault="00672A2B">
      <w:pPr>
        <w:pStyle w:val="SectionTitle"/>
      </w:pPr>
      <w:r>
        <w:lastRenderedPageBreak/>
        <w:t>CAPÍTULO IV</w:t>
      </w:r>
    </w:p>
    <w:p w14:paraId="4746EA22" w14:textId="77777777" w:rsidR="00672A2B" w:rsidRDefault="00672A2B">
      <w:pPr>
        <w:pStyle w:val="SectionTitle"/>
      </w:pPr>
      <w:r>
        <w:t>EXERCÍCIO DO DIREITO DE SER OUVIDO E AUDIÇÕES</w:t>
      </w:r>
    </w:p>
    <w:p w14:paraId="069104E7" w14:textId="77777777" w:rsidR="00672A2B" w:rsidRDefault="00672A2B">
      <w:pPr>
        <w:pStyle w:val="Titrearticle"/>
      </w:pPr>
      <w:r>
        <w:t>Artigo 11.</w:t>
      </w:r>
      <w:r>
        <w:rPr>
          <w:vertAlign w:val="superscript"/>
        </w:rPr>
        <w:t>o</w:t>
      </w:r>
    </w:p>
    <w:p w14:paraId="0475D0A3" w14:textId="77777777" w:rsidR="00672A2B" w:rsidRDefault="00672A2B">
      <w:pPr>
        <w:pStyle w:val="NormalCentered"/>
        <w:rPr>
          <w:b/>
          <w:bCs/>
        </w:rPr>
      </w:pPr>
      <w:r>
        <w:rPr>
          <w:b/>
          <w:bCs/>
        </w:rPr>
        <w:t>Interessados a ouvir</w:t>
      </w:r>
    </w:p>
    <w:p w14:paraId="36D1B1F7" w14:textId="77777777" w:rsidR="00672A2B" w:rsidRDefault="00672A2B">
      <w:r>
        <w:t>Para efeitos do direito de ser ouvido, previsto no artigo 18.</w:t>
      </w:r>
      <w:r>
        <w:rPr>
          <w:vertAlign w:val="superscript"/>
        </w:rPr>
        <w:t>o</w:t>
      </w:r>
      <w:r>
        <w:t xml:space="preserve"> do Regulamento (CE) n.</w:t>
      </w:r>
      <w:r>
        <w:rPr>
          <w:vertAlign w:val="superscript"/>
        </w:rPr>
        <w:t>o</w:t>
      </w:r>
      <w:r>
        <w:t> 139/2004, é estabelecida a distinção entre os seguintes interessados:</w:t>
      </w:r>
    </w:p>
    <w:p w14:paraId="25A525C7" w14:textId="77777777" w:rsidR="00672A2B" w:rsidRDefault="00672A2B">
      <w:pPr>
        <w:pStyle w:val="Point0"/>
      </w:pPr>
      <w:r>
        <w:tab/>
        <w:t>a)</w:t>
      </w:r>
      <w:r>
        <w:tab/>
        <w:t>Partes notificantes, ou seja, pessoas ou empresas que apresentam uma notificação nos termos do artigo 4.</w:t>
      </w:r>
      <w:r>
        <w:rPr>
          <w:vertAlign w:val="superscript"/>
        </w:rPr>
        <w:t>o</w:t>
      </w:r>
      <w:r>
        <w:t>, n.</w:t>
      </w:r>
      <w:r>
        <w:rPr>
          <w:vertAlign w:val="superscript"/>
        </w:rPr>
        <w:t>o</w:t>
      </w:r>
      <w:r>
        <w:t> 2, do Regulamento (CE) n.</w:t>
      </w:r>
      <w:r>
        <w:rPr>
          <w:vertAlign w:val="superscript"/>
        </w:rPr>
        <w:t>o</w:t>
      </w:r>
      <w:r>
        <w:t> 139/2004;</w:t>
      </w:r>
    </w:p>
    <w:p w14:paraId="4BA6FCFD" w14:textId="77777777" w:rsidR="00672A2B" w:rsidRDefault="00672A2B">
      <w:pPr>
        <w:pStyle w:val="Point0"/>
      </w:pPr>
      <w:r>
        <w:tab/>
        <w:t>b)</w:t>
      </w:r>
      <w:r>
        <w:tab/>
        <w:t>Outros interessados diretos, ou seja, partes no projeto de concentração que não as partes notificantes, tais como o vendedor ou a empresa objeto da concentração;</w:t>
      </w:r>
    </w:p>
    <w:p w14:paraId="60444A81" w14:textId="77777777" w:rsidR="00672A2B" w:rsidRDefault="00672A2B">
      <w:pPr>
        <w:pStyle w:val="Point0"/>
      </w:pPr>
      <w:r>
        <w:tab/>
        <w:t>c)</w:t>
      </w:r>
      <w:r>
        <w:tab/>
        <w:t>Terceiros, ou seja, pessoas singulares ou coletivas, incluindo clientes, fornecedores e concorrentes, que comprovem ter um interesse suficiente, na aceção do artigo 18.</w:t>
      </w:r>
      <w:r>
        <w:rPr>
          <w:vertAlign w:val="superscript"/>
        </w:rPr>
        <w:t>o</w:t>
      </w:r>
      <w:r>
        <w:t>, n.</w:t>
      </w:r>
      <w:r>
        <w:rPr>
          <w:vertAlign w:val="superscript"/>
        </w:rPr>
        <w:t>o</w:t>
      </w:r>
      <w:r>
        <w:t> 4, segunda frase, do Regulamento (CE) n.</w:t>
      </w:r>
      <w:r>
        <w:rPr>
          <w:vertAlign w:val="superscript"/>
        </w:rPr>
        <w:t>o</w:t>
      </w:r>
      <w:r>
        <w:t> 139/2004, o que acontece nomeadamente no caso de:</w:t>
      </w:r>
    </w:p>
    <w:p w14:paraId="36EB137A" w14:textId="77777777" w:rsidR="00672A2B" w:rsidRDefault="00672A2B">
      <w:pPr>
        <w:pStyle w:val="Point1"/>
      </w:pPr>
      <w:r>
        <w:tab/>
        <w:t>i)</w:t>
      </w:r>
      <w:r>
        <w:tab/>
        <w:t>membros dos órgãos de administração ou de gestão das empresas em causa ou representantes reconhecidos dos seus trabalhadores,</w:t>
      </w:r>
    </w:p>
    <w:p w14:paraId="7356F646" w14:textId="77777777" w:rsidR="00672A2B" w:rsidRDefault="00672A2B">
      <w:pPr>
        <w:pStyle w:val="Point1"/>
      </w:pPr>
      <w:r>
        <w:tab/>
        <w:t>ii)</w:t>
      </w:r>
      <w:r>
        <w:tab/>
        <w:t>associações de consumidores, no caso de o projeto de concentração dizer respeito a produtos ou serviços utilizados por consumidores finais;</w:t>
      </w:r>
    </w:p>
    <w:p w14:paraId="6A32DC27" w14:textId="77777777" w:rsidR="00672A2B" w:rsidRDefault="00672A2B">
      <w:pPr>
        <w:pStyle w:val="Point0"/>
      </w:pPr>
      <w:r>
        <w:tab/>
        <w:t>d)</w:t>
      </w:r>
      <w:r>
        <w:tab/>
        <w:t>Interessados relativamente aos quais a Comissão tenciona tomar uma decisão nos termos do artigo 14.</w:t>
      </w:r>
      <w:r>
        <w:rPr>
          <w:vertAlign w:val="superscript"/>
        </w:rPr>
        <w:t>o</w:t>
      </w:r>
      <w:r>
        <w:t xml:space="preserve"> ou 15.</w:t>
      </w:r>
      <w:r>
        <w:rPr>
          <w:vertAlign w:val="superscript"/>
        </w:rPr>
        <w:t>o</w:t>
      </w:r>
      <w:r>
        <w:t xml:space="preserve"> do Regulamento (CE) n.</w:t>
      </w:r>
      <w:r>
        <w:rPr>
          <w:vertAlign w:val="superscript"/>
        </w:rPr>
        <w:t>o</w:t>
      </w:r>
      <w:r>
        <w:t> 139/2004.</w:t>
      </w:r>
    </w:p>
    <w:p w14:paraId="3C34C6C5" w14:textId="77777777" w:rsidR="00672A2B" w:rsidRDefault="00672A2B">
      <w:pPr>
        <w:pStyle w:val="Titrearticle"/>
      </w:pPr>
      <w:r>
        <w:t>Artigo 12.</w:t>
      </w:r>
      <w:r>
        <w:rPr>
          <w:vertAlign w:val="superscript"/>
        </w:rPr>
        <w:t>o</w:t>
      </w:r>
    </w:p>
    <w:p w14:paraId="4FBA3E0B" w14:textId="77777777" w:rsidR="00672A2B" w:rsidRDefault="00672A2B">
      <w:pPr>
        <w:pStyle w:val="NormalCentered"/>
        <w:rPr>
          <w:b/>
          <w:bCs/>
        </w:rPr>
      </w:pPr>
      <w:r>
        <w:rPr>
          <w:b/>
          <w:bCs/>
        </w:rPr>
        <w:t>Decisões relativas à suspensão de concentrações</w:t>
      </w:r>
    </w:p>
    <w:p w14:paraId="36EB1AF7" w14:textId="77777777" w:rsidR="00672A2B" w:rsidRDefault="00672A2B">
      <w:r>
        <w:t>1.</w:t>
      </w:r>
      <w:r>
        <w:tab/>
        <w:t>Se pretender tomar uma decisão nos termos do artigo 7.</w:t>
      </w:r>
      <w:r>
        <w:rPr>
          <w:vertAlign w:val="superscript"/>
        </w:rPr>
        <w:t>o</w:t>
      </w:r>
      <w:r>
        <w:t>, n.</w:t>
      </w:r>
      <w:r>
        <w:rPr>
          <w:vertAlign w:val="superscript"/>
        </w:rPr>
        <w:t>o</w:t>
      </w:r>
      <w:r>
        <w:t> 3, do Regulamento (CE) n.</w:t>
      </w:r>
      <w:r>
        <w:rPr>
          <w:vertAlign w:val="superscript"/>
        </w:rPr>
        <w:t>o</w:t>
      </w:r>
      <w:r>
        <w:t> 139/2004 que prejudique os interesses de um ou mais interessados, a Comissão notifica, por escrito, as partes notificantes e os outros interessados diretos das suas objeções fixando-lhes um prazo para apresentarem as suas observações por escrito.</w:t>
      </w:r>
    </w:p>
    <w:p w14:paraId="74764FF1" w14:textId="77777777" w:rsidR="00672A2B" w:rsidRDefault="00672A2B">
      <w:r>
        <w:t>2.</w:t>
      </w:r>
      <w:r>
        <w:tab/>
        <w:t>Se, nos termos do artigo 18.</w:t>
      </w:r>
      <w:r>
        <w:rPr>
          <w:vertAlign w:val="superscript"/>
        </w:rPr>
        <w:t>o</w:t>
      </w:r>
      <w:r>
        <w:t>, n.</w:t>
      </w:r>
      <w:r>
        <w:rPr>
          <w:vertAlign w:val="superscript"/>
        </w:rPr>
        <w:t>o</w:t>
      </w:r>
      <w:r>
        <w:t> 2, do Regulamento (CE) n.</w:t>
      </w:r>
      <w:r>
        <w:rPr>
          <w:vertAlign w:val="superscript"/>
        </w:rPr>
        <w:t>o</w:t>
      </w:r>
      <w:r>
        <w:t> 139/2004, tiver tomado a título provisório uma decisão referida no n.</w:t>
      </w:r>
      <w:r>
        <w:rPr>
          <w:vertAlign w:val="superscript"/>
        </w:rPr>
        <w:t>o</w:t>
      </w:r>
      <w:r>
        <w:t> 1 do presente artigo, sem ter dado previamente às partes notificantes e outros interessados diretos a possibilidade de apresentarem observações, a Comissão envia-lhes imediatamente o texto da decisão provisória e fixa um prazo para apresentarem as suas observações por escrito.</w:t>
      </w:r>
    </w:p>
    <w:p w14:paraId="79E5C510" w14:textId="77777777" w:rsidR="00672A2B" w:rsidRDefault="00672A2B">
      <w:r>
        <w:t xml:space="preserve">Depois de as partes notificantes e os outros interessados diretos terem apresentado as suas observações, a Comissão toma uma decisão definitiva, através da qual revoga, altera ou confirma a sua decisão provisória. Se as partes notificantes e os outros interessados diretos </w:t>
      </w:r>
      <w:r>
        <w:lastRenderedPageBreak/>
        <w:t>não tiverem apresentado as suas observações por escrito no prazo que lhes tiver sido fixado, a decisão provisória da Comissão torna-se definitiva no termo desse prazo.</w:t>
      </w:r>
    </w:p>
    <w:p w14:paraId="7EC5E208" w14:textId="77777777" w:rsidR="00672A2B" w:rsidRDefault="00672A2B">
      <w:pPr>
        <w:pStyle w:val="Titrearticle"/>
      </w:pPr>
      <w:r>
        <w:t>Artigo 13.</w:t>
      </w:r>
      <w:r>
        <w:rPr>
          <w:vertAlign w:val="superscript"/>
        </w:rPr>
        <w:t>o</w:t>
      </w:r>
    </w:p>
    <w:p w14:paraId="087D4A6A" w14:textId="77777777" w:rsidR="00672A2B" w:rsidRDefault="00672A2B">
      <w:pPr>
        <w:pStyle w:val="NormalCentered"/>
        <w:rPr>
          <w:b/>
          <w:bCs/>
        </w:rPr>
      </w:pPr>
      <w:r>
        <w:rPr>
          <w:b/>
          <w:bCs/>
        </w:rPr>
        <w:t>Decisões sobre as questões de fundo</w:t>
      </w:r>
    </w:p>
    <w:p w14:paraId="499C8193" w14:textId="77777777" w:rsidR="00672A2B" w:rsidRDefault="00672A2B">
      <w:r>
        <w:t>1.</w:t>
      </w:r>
      <w:r>
        <w:tab/>
        <w:t>Se tencionar tomar uma decisão nos termos do artigo 6.</w:t>
      </w:r>
      <w:r>
        <w:rPr>
          <w:vertAlign w:val="superscript"/>
        </w:rPr>
        <w:t>o</w:t>
      </w:r>
      <w:r>
        <w:t>, n.</w:t>
      </w:r>
      <w:r>
        <w:rPr>
          <w:vertAlign w:val="superscript"/>
        </w:rPr>
        <w:t>o</w:t>
      </w:r>
      <w:r>
        <w:t> 3, ou do artigo 8.</w:t>
      </w:r>
      <w:r>
        <w:rPr>
          <w:vertAlign w:val="superscript"/>
        </w:rPr>
        <w:t>o</w:t>
      </w:r>
      <w:r>
        <w:t>, n.</w:t>
      </w:r>
      <w:r>
        <w:rPr>
          <w:vertAlign w:val="superscript"/>
        </w:rPr>
        <w:t>os</w:t>
      </w:r>
      <w:r>
        <w:t> 2 a 6, do Regulamento (CE) n.</w:t>
      </w:r>
      <w:r>
        <w:rPr>
          <w:vertAlign w:val="superscript"/>
        </w:rPr>
        <w:t>o</w:t>
      </w:r>
      <w:r>
        <w:t> 139/2004, a Comissão procede, antes de consultar o Comité Consultivo, a uma audição dos interessados em conformidade com o disposto no artigo 18.</w:t>
      </w:r>
      <w:r>
        <w:rPr>
          <w:vertAlign w:val="superscript"/>
        </w:rPr>
        <w:t>o</w:t>
      </w:r>
      <w:r>
        <w:t>, n.</w:t>
      </w:r>
      <w:r>
        <w:rPr>
          <w:vertAlign w:val="superscript"/>
        </w:rPr>
        <w:t>os</w:t>
      </w:r>
      <w:r>
        <w:t> 1 e 3, do referido regulamento.</w:t>
      </w:r>
    </w:p>
    <w:p w14:paraId="1423BFAB" w14:textId="77777777" w:rsidR="00672A2B" w:rsidRDefault="00672A2B">
      <w:r>
        <w:t>O artigo 12.</w:t>
      </w:r>
      <w:r>
        <w:rPr>
          <w:vertAlign w:val="superscript"/>
        </w:rPr>
        <w:t>o</w:t>
      </w:r>
      <w:r>
        <w:t>, n.</w:t>
      </w:r>
      <w:r>
        <w:rPr>
          <w:vertAlign w:val="superscript"/>
        </w:rPr>
        <w:t>o</w:t>
      </w:r>
      <w:r>
        <w:t xml:space="preserve"> 2, do presente regulamento é aplicável </w:t>
      </w:r>
      <w:r>
        <w:rPr>
          <w:i/>
          <w:iCs/>
        </w:rPr>
        <w:t>mutatis mutandis</w:t>
      </w:r>
      <w:r>
        <w:t xml:space="preserve"> sempre que, em conformidade com o artigo 18.</w:t>
      </w:r>
      <w:r>
        <w:rPr>
          <w:vertAlign w:val="superscript"/>
        </w:rPr>
        <w:t>o</w:t>
      </w:r>
      <w:r>
        <w:t>, n.</w:t>
      </w:r>
      <w:r>
        <w:rPr>
          <w:vertAlign w:val="superscript"/>
        </w:rPr>
        <w:t>o</w:t>
      </w:r>
      <w:r>
        <w:t> 2, do Regulamento (CE) n.</w:t>
      </w:r>
      <w:r>
        <w:rPr>
          <w:vertAlign w:val="superscript"/>
        </w:rPr>
        <w:t>o</w:t>
      </w:r>
      <w:r>
        <w:t> 139/2004, a Comissão tenha tomado uma decisão nos termos do artigo 8.</w:t>
      </w:r>
      <w:r>
        <w:rPr>
          <w:vertAlign w:val="superscript"/>
        </w:rPr>
        <w:t>o</w:t>
      </w:r>
      <w:r>
        <w:t>, n.</w:t>
      </w:r>
      <w:r>
        <w:rPr>
          <w:vertAlign w:val="superscript"/>
        </w:rPr>
        <w:t>o</w:t>
      </w:r>
      <w:r>
        <w:t> 5, desse regulamento a título provisório.</w:t>
      </w:r>
    </w:p>
    <w:p w14:paraId="3A7CBFBD" w14:textId="77777777" w:rsidR="00672A2B" w:rsidRDefault="00672A2B">
      <w:r>
        <w:t>2.</w:t>
      </w:r>
      <w:r>
        <w:tab/>
        <w:t>A Comissão comunica as suas objeções por escrito às partes notificantes, numa comunicação de objeções. Após a emissão da comunicação de objeções, a Comissão pode enviar uma ou mais comunicações de objeções suplementares às partes notificantes, se pretender levantar novas objeções ou alterar a natureza intrínseca das objeções anteriormente levantadas.</w:t>
      </w:r>
    </w:p>
    <w:p w14:paraId="5ED48D79" w14:textId="77777777" w:rsidR="00672A2B" w:rsidRDefault="00672A2B">
      <w:r>
        <w:t>Na comunicação de objeções, a Comissão fixa um prazo durante o qual as partes notificantes têm a possibilidade de lhe apresentar as suas observações por escrito.</w:t>
      </w:r>
    </w:p>
    <w:p w14:paraId="1B4456AB" w14:textId="77777777" w:rsidR="00672A2B" w:rsidRDefault="00672A2B">
      <w:r>
        <w:t>A Comissão informa por escrito os outros interessados diretos das objeções referidas no primeiro parágrafo e fixa um prazo durante o qual esses interessados podem apresentar as suas observações por escrito à Comissão.</w:t>
      </w:r>
    </w:p>
    <w:p w14:paraId="27BD8D54" w14:textId="77777777" w:rsidR="00672A2B" w:rsidRDefault="00672A2B">
      <w:r>
        <w:t>A Comissão não é obrigada a ter em conta as observações recebidas após o termo do prazo que tiver fixado.</w:t>
      </w:r>
    </w:p>
    <w:p w14:paraId="2DE393A0" w14:textId="77777777" w:rsidR="00672A2B" w:rsidRDefault="00672A2B">
      <w:r>
        <w:t>3.</w:t>
      </w:r>
      <w:r>
        <w:tab/>
        <w:t>Nas suas observações escritas, os interessados a quem as objeções tenham sido dirigidas ou que tenham sido informados dessas objeções podem expor todos os factos pertinentes de que tenham conhecimento, devendo anexar todos os documentos relevantes como prova dos factos expostos. Podem igualmente propor que a Comissão ouça pessoas suscetíveis de confirmar esses factos. Devem apresentar as suas observações à Comissão em conformidade com o artigo 22.</w:t>
      </w:r>
      <w:r>
        <w:rPr>
          <w:vertAlign w:val="superscript"/>
        </w:rPr>
        <w:t>o</w:t>
      </w:r>
      <w:r>
        <w:t xml:space="preserve"> e as instruções publicadas pela Comissão no </w:t>
      </w:r>
      <w:r>
        <w:rPr>
          <w:i/>
          <w:iCs/>
        </w:rPr>
        <w:t>Jornal Oficial da União Europeia</w:t>
      </w:r>
      <w:r>
        <w:t>. A Comissão envia o mais rapidamente possível cópias dessas observações escritas às autoridades competentes dos Estados-Membros.</w:t>
      </w:r>
    </w:p>
    <w:p w14:paraId="0EA33F3D" w14:textId="77777777" w:rsidR="00672A2B" w:rsidRDefault="00672A2B">
      <w:r>
        <w:t>4.</w:t>
      </w:r>
      <w:r>
        <w:tab/>
        <w:t>Na sequência da emissão de uma comunicação de objeções, a Comissão pode enviar uma carta de comunicação de factos às partes notificantes, informando-as de factos ou elementos de prova adicionais ou novos que a Comissão pretenda utilizar para confirmar as objeções já levantadas.</w:t>
      </w:r>
    </w:p>
    <w:p w14:paraId="27BDC008" w14:textId="77777777" w:rsidR="00672A2B" w:rsidRDefault="00672A2B">
      <w:r>
        <w:t>Ao enviar uma carta de comunicação de factos, a Comissão fixa um prazo durante o qual as partes notificantes podem comunicar as suas observações por escrito à Comissão.</w:t>
      </w:r>
    </w:p>
    <w:p w14:paraId="357CC794" w14:textId="77777777" w:rsidR="00672A2B" w:rsidRDefault="00672A2B">
      <w:r>
        <w:t>5.</w:t>
      </w:r>
      <w:r>
        <w:tab/>
        <w:t>Se tencionar tomar uma decisão nos termos do artigo 14.</w:t>
      </w:r>
      <w:r>
        <w:rPr>
          <w:vertAlign w:val="superscript"/>
        </w:rPr>
        <w:t>o</w:t>
      </w:r>
      <w:r>
        <w:t xml:space="preserve"> ou 15.</w:t>
      </w:r>
      <w:r>
        <w:rPr>
          <w:vertAlign w:val="superscript"/>
        </w:rPr>
        <w:t>o</w:t>
      </w:r>
      <w:r>
        <w:t xml:space="preserve"> do Regulamento (CE) n.</w:t>
      </w:r>
      <w:r>
        <w:rPr>
          <w:vertAlign w:val="superscript"/>
        </w:rPr>
        <w:t>o</w:t>
      </w:r>
      <w:r>
        <w:t xml:space="preserve"> 139/2004, a Comissão procede, antes de consultar o Comité Consultivo, a uma </w:t>
      </w:r>
      <w:r>
        <w:lastRenderedPageBreak/>
        <w:t>audição dos interessados relativamente aos quais a Comissão tenciona tomar uma decisão em conformidade com o disposto no artigo 18.</w:t>
      </w:r>
      <w:r>
        <w:rPr>
          <w:vertAlign w:val="superscript"/>
        </w:rPr>
        <w:t>o</w:t>
      </w:r>
      <w:r>
        <w:t>, n.</w:t>
      </w:r>
      <w:r>
        <w:rPr>
          <w:vertAlign w:val="superscript"/>
        </w:rPr>
        <w:t>os</w:t>
      </w:r>
      <w:r>
        <w:t> 1 e 3, do referido regulamento.</w:t>
      </w:r>
    </w:p>
    <w:p w14:paraId="0F0135FC" w14:textId="77777777" w:rsidR="00672A2B" w:rsidRDefault="00672A2B">
      <w:r>
        <w:t xml:space="preserve">É aplicável, </w:t>
      </w:r>
      <w:r>
        <w:rPr>
          <w:i/>
          <w:iCs/>
        </w:rPr>
        <w:t>mutatis mutandis</w:t>
      </w:r>
      <w:r>
        <w:t>, o procedimento previsto no n.</w:t>
      </w:r>
      <w:r>
        <w:rPr>
          <w:vertAlign w:val="superscript"/>
        </w:rPr>
        <w:t>o</w:t>
      </w:r>
      <w:r>
        <w:t> 2, primeiro e segundo parágrafos, e nos n.</w:t>
      </w:r>
      <w:r>
        <w:rPr>
          <w:vertAlign w:val="superscript"/>
        </w:rPr>
        <w:t>os</w:t>
      </w:r>
      <w:r>
        <w:t> 3 e 4.</w:t>
      </w:r>
    </w:p>
    <w:p w14:paraId="3C80C762" w14:textId="77777777" w:rsidR="00672A2B" w:rsidRDefault="00672A2B">
      <w:pPr>
        <w:pStyle w:val="Titrearticle"/>
      </w:pPr>
      <w:r>
        <w:t>Artigo 14.</w:t>
      </w:r>
      <w:r>
        <w:rPr>
          <w:vertAlign w:val="superscript"/>
        </w:rPr>
        <w:t>o</w:t>
      </w:r>
    </w:p>
    <w:p w14:paraId="336DD557" w14:textId="77777777" w:rsidR="00672A2B" w:rsidRDefault="00672A2B">
      <w:pPr>
        <w:pStyle w:val="NormalCentered"/>
        <w:rPr>
          <w:b/>
          <w:bCs/>
        </w:rPr>
      </w:pPr>
      <w:r>
        <w:rPr>
          <w:b/>
          <w:bCs/>
        </w:rPr>
        <w:t>Audições orais</w:t>
      </w:r>
    </w:p>
    <w:p w14:paraId="179E432C" w14:textId="77777777" w:rsidR="00672A2B" w:rsidRDefault="00672A2B">
      <w:r>
        <w:t>1.</w:t>
      </w:r>
      <w:r>
        <w:tab/>
        <w:t>Se tencionar tomar uma decisão nos termos do artigo 6.</w:t>
      </w:r>
      <w:r>
        <w:rPr>
          <w:vertAlign w:val="superscript"/>
        </w:rPr>
        <w:t>o</w:t>
      </w:r>
      <w:r>
        <w:t>, n.</w:t>
      </w:r>
      <w:r>
        <w:rPr>
          <w:vertAlign w:val="superscript"/>
        </w:rPr>
        <w:t>o</w:t>
      </w:r>
      <w:r>
        <w:t> 3, ou do artigo 8.</w:t>
      </w:r>
      <w:r>
        <w:rPr>
          <w:vertAlign w:val="superscript"/>
        </w:rPr>
        <w:t>o</w:t>
      </w:r>
      <w:r>
        <w:t>, n.</w:t>
      </w:r>
      <w:r>
        <w:rPr>
          <w:vertAlign w:val="superscript"/>
        </w:rPr>
        <w:t>os</w:t>
      </w:r>
      <w:r>
        <w:t> 2 a 6, do Regulamento (CE) n.</w:t>
      </w:r>
      <w:r>
        <w:rPr>
          <w:vertAlign w:val="superscript"/>
        </w:rPr>
        <w:t>o</w:t>
      </w:r>
      <w:r>
        <w:t> 139/2004, a Comissão dá às partes notificantes que o tenham solicitado nas suas observações escritas a possibilidade de apresentarem os seus argumentos numa audição oral. Pode igualmente dar às partes notificantes, noutras fases do processo, a possibilidade de apresentarem observações orais.</w:t>
      </w:r>
    </w:p>
    <w:p w14:paraId="2D83BD49" w14:textId="77777777" w:rsidR="00672A2B" w:rsidRDefault="00672A2B">
      <w:r>
        <w:t>2.</w:t>
      </w:r>
      <w:r>
        <w:tab/>
        <w:t>Se tencionar tomar uma decisão nos termos do artigo 6.</w:t>
      </w:r>
      <w:r>
        <w:rPr>
          <w:vertAlign w:val="superscript"/>
        </w:rPr>
        <w:t>o</w:t>
      </w:r>
      <w:r>
        <w:t>, n.</w:t>
      </w:r>
      <w:r>
        <w:rPr>
          <w:vertAlign w:val="superscript"/>
        </w:rPr>
        <w:t>o</w:t>
      </w:r>
      <w:r>
        <w:t> 3, ou do artigo 8.</w:t>
      </w:r>
      <w:r>
        <w:rPr>
          <w:vertAlign w:val="superscript"/>
        </w:rPr>
        <w:t>o</w:t>
      </w:r>
      <w:r>
        <w:t>, n.</w:t>
      </w:r>
      <w:r>
        <w:rPr>
          <w:vertAlign w:val="superscript"/>
        </w:rPr>
        <w:t>os</w:t>
      </w:r>
      <w:r>
        <w:t> 2 a 6, do Regulamento (CE) n.</w:t>
      </w:r>
      <w:r>
        <w:rPr>
          <w:vertAlign w:val="superscript"/>
        </w:rPr>
        <w:t>o</w:t>
      </w:r>
      <w:r>
        <w:t> 139/2004, a Comissão dá aos outros interessados diretos que o tenham solicitado nas suas observações escritas a possibilidade de apresentarem os seus argumentos numa audição oral. Pode igualmente dar aos outros interessados diretos, noutras fases do processo, a possibilidade de apresentarem observações orais.</w:t>
      </w:r>
    </w:p>
    <w:p w14:paraId="32016C3E" w14:textId="77777777" w:rsidR="00672A2B" w:rsidRDefault="00672A2B">
      <w:r>
        <w:t>3.</w:t>
      </w:r>
      <w:r>
        <w:tab/>
        <w:t>Se tencionar tomar uma decisão nos termos do artigo 14.</w:t>
      </w:r>
      <w:r>
        <w:rPr>
          <w:vertAlign w:val="superscript"/>
        </w:rPr>
        <w:t>o</w:t>
      </w:r>
      <w:r>
        <w:t xml:space="preserve"> ou 15.</w:t>
      </w:r>
      <w:r>
        <w:rPr>
          <w:vertAlign w:val="superscript"/>
        </w:rPr>
        <w:t>o</w:t>
      </w:r>
      <w:r>
        <w:t xml:space="preserve"> do Regulamento (CE) n.</w:t>
      </w:r>
      <w:r>
        <w:rPr>
          <w:vertAlign w:val="superscript"/>
        </w:rPr>
        <w:t>o</w:t>
      </w:r>
      <w:r>
        <w:t> 139/2004, a Comissão dá aos interessados relativamente aos quais tenciona aplicar uma coima ou uma sanção pecuniária compulsória, que o tenham solicitado nas suas observações escritas, a possibilidade de apresentarem os seus argumentos numa audição oral. Pode igualmente dar a estes interessados, noutras fases do processo, a possibilidade de apresentarem observações orais.</w:t>
      </w:r>
    </w:p>
    <w:p w14:paraId="7BA24E60" w14:textId="77777777" w:rsidR="00672A2B" w:rsidRDefault="00672A2B">
      <w:pPr>
        <w:pStyle w:val="Titrearticle"/>
      </w:pPr>
      <w:r>
        <w:t>Artigo 15.</w:t>
      </w:r>
      <w:r>
        <w:rPr>
          <w:vertAlign w:val="superscript"/>
        </w:rPr>
        <w:t>o</w:t>
      </w:r>
    </w:p>
    <w:p w14:paraId="1CA5C07F" w14:textId="77777777" w:rsidR="00672A2B" w:rsidRDefault="00672A2B">
      <w:pPr>
        <w:pStyle w:val="NormalCentered"/>
        <w:rPr>
          <w:b/>
          <w:bCs/>
        </w:rPr>
      </w:pPr>
      <w:r>
        <w:rPr>
          <w:b/>
          <w:bCs/>
        </w:rPr>
        <w:t>Realização de audições orais</w:t>
      </w:r>
    </w:p>
    <w:p w14:paraId="1DD69949" w14:textId="77777777" w:rsidR="00672A2B" w:rsidRDefault="00672A2B">
      <w:r>
        <w:t>1.</w:t>
      </w:r>
      <w:r>
        <w:tab/>
        <w:t>As audições orais são conduzidas pelo auditor com total independência.</w:t>
      </w:r>
    </w:p>
    <w:p w14:paraId="4CC3547E" w14:textId="77777777" w:rsidR="00672A2B" w:rsidRDefault="00672A2B">
      <w:r>
        <w:t>2.</w:t>
      </w:r>
      <w:r>
        <w:tab/>
        <w:t>A Comissão convida as pessoas que vão ser ouvidas a comparecerem na audição oral na data que determinar para o efeito.</w:t>
      </w:r>
    </w:p>
    <w:p w14:paraId="7C8D50D8" w14:textId="77777777" w:rsidR="00672A2B" w:rsidRDefault="00672A2B">
      <w:r>
        <w:t>3.</w:t>
      </w:r>
      <w:r>
        <w:tab/>
        <w:t>A Comissão convida as autoridades competentes dos Estados-Membros a participarem na audição oral.</w:t>
      </w:r>
    </w:p>
    <w:p w14:paraId="54635DF6" w14:textId="77777777" w:rsidR="00672A2B" w:rsidRDefault="00672A2B">
      <w:r>
        <w:t>4.</w:t>
      </w:r>
      <w:r>
        <w:tab/>
        <w:t>As pessoas convidadas a estar presentes podem comparecer pessoalmente ou fazer-se representar, consoante o caso, pelos seus representantes legais ou estatutários. As empresas e associações de empresas podem também ser representadas por um mandatário devidamente habilitado, designado de entre o seu pessoal permanente.</w:t>
      </w:r>
    </w:p>
    <w:p w14:paraId="03188B00" w14:textId="77777777" w:rsidR="00672A2B" w:rsidRDefault="00672A2B">
      <w:r>
        <w:t>5.</w:t>
      </w:r>
      <w:r>
        <w:tab/>
        <w:t>As pessoas ouvidas pela Comissão podem ser assistidas pelos seus advogados ou por outras pessoas qualificadas e devidamente habilitadas, aceites pelo auditor.</w:t>
      </w:r>
    </w:p>
    <w:p w14:paraId="5F99304D" w14:textId="77777777" w:rsidR="00672A2B" w:rsidRDefault="00672A2B">
      <w:r>
        <w:t>6.</w:t>
      </w:r>
      <w:r>
        <w:tab/>
        <w:t>As audições orais não são públicas. As pessoas podem ser ouvidas separadamente ou na presença de outras pessoas convocadas, tendo em consideração os legítimos interesses das empresas na proteção dos seus segredos comerciais e de outras informações confidenciais.</w:t>
      </w:r>
    </w:p>
    <w:p w14:paraId="12DEE7BF" w14:textId="77777777" w:rsidR="00672A2B" w:rsidRDefault="00672A2B">
      <w:r>
        <w:lastRenderedPageBreak/>
        <w:t>7.</w:t>
      </w:r>
      <w:r>
        <w:tab/>
        <w:t>O auditor pode permitir que os interessados na aceção do artigo 11.</w:t>
      </w:r>
      <w:r>
        <w:rPr>
          <w:vertAlign w:val="superscript"/>
        </w:rPr>
        <w:t>o</w:t>
      </w:r>
      <w:r>
        <w:t>, os serviços da Comissão e as autoridades competentes dos Estados-Membros façam perguntas durante a audição oral.</w:t>
      </w:r>
    </w:p>
    <w:p w14:paraId="0C6D58D7" w14:textId="77777777" w:rsidR="00672A2B" w:rsidRDefault="00672A2B">
      <w:r>
        <w:t>8.</w:t>
      </w:r>
      <w:r>
        <w:tab/>
        <w:t>O auditor pode realizar uma reunião preparatória com os interessados e os serviços da Comissão, a fim de facilitar a organização eficiente da audição oral.</w:t>
      </w:r>
    </w:p>
    <w:p w14:paraId="59F5EA66" w14:textId="77777777" w:rsidR="00672A2B" w:rsidRDefault="00672A2B">
      <w:r>
        <w:t>9.</w:t>
      </w:r>
      <w:r>
        <w:tab/>
        <w:t>As declarações de cada pessoa ouvida são registadas. Mediante pedido, o registo da audição oral será disponibilizado às pessoas que tiverem participado nessa audição. Deve ser tido em consideração o legítimo interesse das empresas na proteção dos seus segredos comerciais e de outras informações confidenciais.</w:t>
      </w:r>
    </w:p>
    <w:p w14:paraId="4A2E3108" w14:textId="77777777" w:rsidR="00672A2B" w:rsidRDefault="00672A2B">
      <w:pPr>
        <w:pStyle w:val="Titrearticle"/>
      </w:pPr>
      <w:r>
        <w:t>Artigo 16.</w:t>
      </w:r>
      <w:r>
        <w:rPr>
          <w:vertAlign w:val="superscript"/>
        </w:rPr>
        <w:t>o</w:t>
      </w:r>
    </w:p>
    <w:p w14:paraId="691BE1E9" w14:textId="77777777" w:rsidR="00672A2B" w:rsidRDefault="00672A2B">
      <w:pPr>
        <w:pStyle w:val="NormalCentered"/>
        <w:rPr>
          <w:b/>
          <w:bCs/>
        </w:rPr>
      </w:pPr>
      <w:r>
        <w:rPr>
          <w:b/>
          <w:bCs/>
        </w:rPr>
        <w:t>Audição de terceiros</w:t>
      </w:r>
    </w:p>
    <w:p w14:paraId="6DB697F6" w14:textId="77777777" w:rsidR="00672A2B" w:rsidRDefault="00672A2B">
      <w:r>
        <w:t>1.</w:t>
      </w:r>
      <w:r>
        <w:tab/>
        <w:t>Se terceiros solicitarem ser ouvidos, a Comissão informa-os por escrito da natureza e do objeto do processo, fixando-lhes um prazo para apresentarem as suas observações.</w:t>
      </w:r>
    </w:p>
    <w:p w14:paraId="10F09CED" w14:textId="77777777" w:rsidR="00672A2B" w:rsidRDefault="00672A2B">
      <w:r>
        <w:t>2.</w:t>
      </w:r>
      <w:r>
        <w:tab/>
        <w:t>Se tiver sido emitida uma comunicação de objeções ou uma comunicação de objeções suplementar, a Comissão pode enviar a terceiros uma versão não confidencial dessa comunicação ou informá-los da natureza e do objeto do processo por outros meios adequados. Para o efeito, as partes notificantes devem identificar quaisquer informações que considerem confidenciais nas objeções, nos termos do artigo 18.</w:t>
      </w:r>
      <w:r>
        <w:rPr>
          <w:vertAlign w:val="superscript"/>
        </w:rPr>
        <w:t>o</w:t>
      </w:r>
      <w:r>
        <w:t>, n.</w:t>
      </w:r>
      <w:r>
        <w:rPr>
          <w:vertAlign w:val="superscript"/>
        </w:rPr>
        <w:t>o</w:t>
      </w:r>
      <w:r>
        <w:t> 3, segundo e terceiro parágrafos, no prazo de cinco dias úteis a contar da receção da comunicação. A Comissão fornece a versão não confidencial das objeções a terceiros, a utilizar apenas para efeitos do processo pertinente nos termos do Regulamento (CE) n.</w:t>
      </w:r>
      <w:r>
        <w:rPr>
          <w:vertAlign w:val="superscript"/>
        </w:rPr>
        <w:t>o</w:t>
      </w:r>
      <w:r>
        <w:t> 139/2004. Os terceiros devem aceitar essa restrição de utilização antes da receção da versão não confidencial das objeções.</w:t>
      </w:r>
    </w:p>
    <w:p w14:paraId="79C0DA94" w14:textId="77777777" w:rsidR="00672A2B" w:rsidRDefault="00672A2B">
      <w:r>
        <w:t>Se não tiver sido emitida uma comunicação de objeções, a Comissão não é obrigada a fornecer aos terceiros a que se refere o n.</w:t>
      </w:r>
      <w:r>
        <w:rPr>
          <w:vertAlign w:val="superscript"/>
        </w:rPr>
        <w:t>o</w:t>
      </w:r>
      <w:r>
        <w:t> 1 informações para além da natureza e do objeto do processo.</w:t>
      </w:r>
    </w:p>
    <w:p w14:paraId="768E5F97" w14:textId="77777777" w:rsidR="00672A2B" w:rsidRDefault="00672A2B">
      <w:r>
        <w:t>3.</w:t>
      </w:r>
      <w:r>
        <w:tab/>
        <w:t>Os terceiros referidos no n.</w:t>
      </w:r>
      <w:r>
        <w:rPr>
          <w:vertAlign w:val="superscript"/>
        </w:rPr>
        <w:t>o</w:t>
      </w:r>
      <w:r>
        <w:t> 1 devem apresentar as suas observações por escrito, no prazo fixado. A Comissão pode, se for caso disso, dar aos terceiros que o tenham solicitado nas suas observações escritas a possibilidade de participarem numa audição. Pode igualmente dar a esses terceiros, noutros casos, a possibilidade de apresentarem observações orais.</w:t>
      </w:r>
    </w:p>
    <w:p w14:paraId="4EF61F90" w14:textId="77777777" w:rsidR="00672A2B" w:rsidRDefault="00672A2B">
      <w:r>
        <w:t>4.</w:t>
      </w:r>
      <w:r>
        <w:tab/>
        <w:t>A Comissão pode convidar outras pessoas singulares ou coletivas a apresentarem observações por escrito ou oralmente, incluindo numa audição oral.</w:t>
      </w:r>
    </w:p>
    <w:p w14:paraId="5325ACF4" w14:textId="77777777" w:rsidR="00672A2B" w:rsidRDefault="00672A2B">
      <w:pPr>
        <w:pStyle w:val="SectionTitle"/>
      </w:pPr>
      <w:r>
        <w:t>CAPÍTULO V</w:t>
      </w:r>
    </w:p>
    <w:p w14:paraId="6768FE14" w14:textId="77777777" w:rsidR="00672A2B" w:rsidRDefault="00672A2B">
      <w:pPr>
        <w:pStyle w:val="SectionTitle"/>
      </w:pPr>
      <w:r>
        <w:rPr>
          <w:i/>
          <w:iCs/>
        </w:rPr>
        <w:t>ACESSO AO PROCESSO E TRATAMENTO DE INFORMAÇÕES CONFIDENCIAIS</w:t>
      </w:r>
    </w:p>
    <w:p w14:paraId="41E8459E" w14:textId="77777777" w:rsidR="00672A2B" w:rsidRDefault="00672A2B">
      <w:pPr>
        <w:pStyle w:val="Titrearticle"/>
      </w:pPr>
      <w:r>
        <w:t>Artigo 17.</w:t>
      </w:r>
      <w:r>
        <w:rPr>
          <w:vertAlign w:val="superscript"/>
        </w:rPr>
        <w:t>o</w:t>
      </w:r>
    </w:p>
    <w:p w14:paraId="06C39E03" w14:textId="77777777" w:rsidR="00672A2B" w:rsidRDefault="00672A2B">
      <w:pPr>
        <w:pStyle w:val="NormalCentered"/>
        <w:rPr>
          <w:b/>
          <w:bCs/>
        </w:rPr>
      </w:pPr>
      <w:r>
        <w:rPr>
          <w:b/>
          <w:bCs/>
        </w:rPr>
        <w:t>Acesso ao processo e utilização de documentos</w:t>
      </w:r>
    </w:p>
    <w:p w14:paraId="199183E0" w14:textId="77777777" w:rsidR="00672A2B" w:rsidRDefault="00672A2B">
      <w:r>
        <w:lastRenderedPageBreak/>
        <w:t>1.</w:t>
      </w:r>
      <w:r>
        <w:tab/>
        <w:t>Mediante pedido, a Comissão concede acesso ao processo às partes a quem foi enviada uma comunicação de objeções, a fim de lhes permitir exercer os direitos de defesa. O acesso é concedido após a Comissão ter enviado a comunicação de objeções às partes notificantes.</w:t>
      </w:r>
    </w:p>
    <w:p w14:paraId="7E7CF759" w14:textId="77777777" w:rsidR="00672A2B" w:rsidRDefault="00672A2B">
      <w:r>
        <w:t>2.</w:t>
      </w:r>
      <w:r>
        <w:tab/>
        <w:t>Mediante pedido, a Comissão faculta igualmente o acesso ao processo aos outros interessados diretos que tiverem sido informados das objeções, na medida em que tal seja necessário para efeitos da elaboração das suas observações.</w:t>
      </w:r>
    </w:p>
    <w:p w14:paraId="1B29FC68" w14:textId="77777777" w:rsidR="00672A2B" w:rsidRDefault="00672A2B">
      <w:r>
        <w:t>3.</w:t>
      </w:r>
      <w:r>
        <w:tab/>
        <w:t>O direito de acesso ao processo não abrange:</w:t>
      </w:r>
    </w:p>
    <w:p w14:paraId="34C4EAFD" w14:textId="77777777" w:rsidR="00672A2B" w:rsidRDefault="00672A2B">
      <w:pPr>
        <w:pStyle w:val="Point0"/>
      </w:pPr>
      <w:r>
        <w:tab/>
        <w:t>a)</w:t>
      </w:r>
      <w:r>
        <w:tab/>
        <w:t>Informações confidenciais;</w:t>
      </w:r>
    </w:p>
    <w:p w14:paraId="0177B126" w14:textId="77777777" w:rsidR="00672A2B" w:rsidRDefault="00672A2B">
      <w:pPr>
        <w:pStyle w:val="Point0"/>
      </w:pPr>
      <w:r>
        <w:tab/>
        <w:t>b)</w:t>
      </w:r>
      <w:r>
        <w:tab/>
        <w:t>Documentos internos da Comissão;</w:t>
      </w:r>
    </w:p>
    <w:p w14:paraId="67D3ABFC" w14:textId="77777777" w:rsidR="00672A2B" w:rsidRDefault="00672A2B">
      <w:pPr>
        <w:pStyle w:val="Point0"/>
      </w:pPr>
      <w:r>
        <w:tab/>
        <w:t>c)</w:t>
      </w:r>
      <w:r>
        <w:tab/>
        <w:t>Documentos internos das autoridades competentes dos Estados-Membros;</w:t>
      </w:r>
    </w:p>
    <w:p w14:paraId="3E79D0B1" w14:textId="77777777" w:rsidR="00672A2B" w:rsidRDefault="00672A2B">
      <w:pPr>
        <w:pStyle w:val="Point0"/>
      </w:pPr>
      <w:r>
        <w:tab/>
        <w:t>d)</w:t>
      </w:r>
      <w:r>
        <w:tab/>
        <w:t>Correspondência entre a Comissão e as autoridades competentes dos Estados-Membros;</w:t>
      </w:r>
    </w:p>
    <w:p w14:paraId="6247FC0D" w14:textId="77777777" w:rsidR="00672A2B" w:rsidRDefault="00672A2B">
      <w:pPr>
        <w:pStyle w:val="Point0"/>
      </w:pPr>
      <w:r>
        <w:tab/>
        <w:t>e)</w:t>
      </w:r>
      <w:r>
        <w:tab/>
        <w:t>Correspondência entre as autoridades competentes dos Estados-Membros; e</w:t>
      </w:r>
    </w:p>
    <w:p w14:paraId="7E9D722F" w14:textId="77777777" w:rsidR="00672A2B" w:rsidRDefault="00672A2B">
      <w:pPr>
        <w:pStyle w:val="Point0"/>
      </w:pPr>
      <w:r>
        <w:tab/>
        <w:t>f)</w:t>
      </w:r>
      <w:r>
        <w:tab/>
        <w:t>Correspondência entre a Comissão e outras autoridades da concorrência.</w:t>
      </w:r>
    </w:p>
    <w:p w14:paraId="793271C0" w14:textId="77777777" w:rsidR="00672A2B" w:rsidRDefault="00672A2B">
      <w:r>
        <w:t>4.</w:t>
      </w:r>
      <w:r>
        <w:tab/>
        <w:t>Os documentos obtidos através do acesso ao processo nos termos do presente artigo só podem ser utilizados para efeitos do processo pertinente nos termos do Regulamento (CE) n.</w:t>
      </w:r>
      <w:r>
        <w:rPr>
          <w:vertAlign w:val="superscript"/>
        </w:rPr>
        <w:t>o</w:t>
      </w:r>
      <w:r>
        <w:t> 139/2004.</w:t>
      </w:r>
    </w:p>
    <w:p w14:paraId="1F42DC8C" w14:textId="77777777" w:rsidR="00672A2B" w:rsidRDefault="00672A2B">
      <w:pPr>
        <w:pStyle w:val="Titrearticle"/>
      </w:pPr>
      <w:r>
        <w:t>Artigo 18.</w:t>
      </w:r>
      <w:r>
        <w:rPr>
          <w:vertAlign w:val="superscript"/>
        </w:rPr>
        <w:t>o</w:t>
      </w:r>
    </w:p>
    <w:p w14:paraId="63139BD5" w14:textId="77777777" w:rsidR="00672A2B" w:rsidRDefault="00672A2B">
      <w:pPr>
        <w:pStyle w:val="NormalCentered"/>
        <w:rPr>
          <w:b/>
          <w:bCs/>
        </w:rPr>
      </w:pPr>
      <w:r>
        <w:rPr>
          <w:b/>
          <w:bCs/>
        </w:rPr>
        <w:t>Tratamento de informações confidenciais</w:t>
      </w:r>
    </w:p>
    <w:p w14:paraId="024E2455" w14:textId="77777777" w:rsidR="00672A2B" w:rsidRDefault="00672A2B">
      <w:r>
        <w:t>1.</w:t>
      </w:r>
      <w:r>
        <w:tab/>
        <w:t>A Comissão não comunica nem disponibiliza informações, incluindo documentos, se:</w:t>
      </w:r>
    </w:p>
    <w:p w14:paraId="0AD47E37" w14:textId="77777777" w:rsidR="00672A2B" w:rsidRDefault="00672A2B">
      <w:pPr>
        <w:pStyle w:val="Point0"/>
      </w:pPr>
      <w:r>
        <w:tab/>
        <w:t>a)</w:t>
      </w:r>
      <w:r>
        <w:tab/>
        <w:t>Contiverem segredos comerciais ou outras informações confidenciais; e</w:t>
      </w:r>
    </w:p>
    <w:p w14:paraId="14FAB357" w14:textId="77777777" w:rsidR="00672A2B" w:rsidRDefault="00672A2B">
      <w:pPr>
        <w:pStyle w:val="Point0"/>
      </w:pPr>
      <w:r>
        <w:tab/>
        <w:t>b)</w:t>
      </w:r>
      <w:r>
        <w:tab/>
        <w:t>A Comissão considerar que a divulgação das informações não é necessária para efeitos do processo.</w:t>
      </w:r>
    </w:p>
    <w:p w14:paraId="70BED348" w14:textId="77777777" w:rsidR="00672A2B" w:rsidRDefault="00672A2B">
      <w:r>
        <w:t>2.</w:t>
      </w:r>
      <w:r>
        <w:tab/>
        <w:t>As pessoas, empresas ou associações de empresas que apresentem os seus pontos de vista ou observações nos termos dos artigos 12.</w:t>
      </w:r>
      <w:r>
        <w:rPr>
          <w:vertAlign w:val="superscript"/>
        </w:rPr>
        <w:t>o</w:t>
      </w:r>
      <w:r>
        <w:t>, 13.</w:t>
      </w:r>
      <w:r>
        <w:rPr>
          <w:vertAlign w:val="superscript"/>
        </w:rPr>
        <w:t>o</w:t>
      </w:r>
      <w:r>
        <w:t xml:space="preserve"> e 16.</w:t>
      </w:r>
      <w:r>
        <w:rPr>
          <w:vertAlign w:val="superscript"/>
        </w:rPr>
        <w:t>o</w:t>
      </w:r>
      <w:r>
        <w:t xml:space="preserve"> do presente regulamento, que forneçam informações nos termos do artigo 11.</w:t>
      </w:r>
      <w:r>
        <w:rPr>
          <w:vertAlign w:val="superscript"/>
        </w:rPr>
        <w:t>o</w:t>
      </w:r>
      <w:r>
        <w:t xml:space="preserve"> do Regulamento (CE) n.</w:t>
      </w:r>
      <w:r>
        <w:rPr>
          <w:vertAlign w:val="superscript"/>
        </w:rPr>
        <w:t>o</w:t>
      </w:r>
      <w:r>
        <w:t> 139/2004 ou que apresentem posteriormente informações complementares à Comissão no âmbito do mesmo processo, devem identificar claramente quaisquer dados que considerem confidenciais, apresentando a respetiva justificação, e fornecer uma versão não confidencial em separado até ao final do prazo estabelecido pela Comissão.</w:t>
      </w:r>
    </w:p>
    <w:p w14:paraId="63BC5512" w14:textId="77777777" w:rsidR="00672A2B" w:rsidRDefault="00672A2B">
      <w:r>
        <w:t>3.</w:t>
      </w:r>
      <w:r>
        <w:tab/>
        <w:t>Sem prejuízo do disposto no n.</w:t>
      </w:r>
      <w:r>
        <w:rPr>
          <w:vertAlign w:val="superscript"/>
        </w:rPr>
        <w:t>o</w:t>
      </w:r>
      <w:r>
        <w:t> 2, a Comissão pode solicitar às pessoas referidas no artigo 3.</w:t>
      </w:r>
      <w:r>
        <w:rPr>
          <w:vertAlign w:val="superscript"/>
        </w:rPr>
        <w:t>o</w:t>
      </w:r>
      <w:r>
        <w:t xml:space="preserve"> do Regulamento (CE) n.</w:t>
      </w:r>
      <w:r>
        <w:rPr>
          <w:vertAlign w:val="superscript"/>
        </w:rPr>
        <w:t>o</w:t>
      </w:r>
      <w:r>
        <w:t> 139/2004, às empresas e às associações de empresas que apresentem ou tenham apresentado documentos ou declarações nos termos do Regulamento (CE) n.</w:t>
      </w:r>
      <w:r>
        <w:rPr>
          <w:vertAlign w:val="superscript"/>
        </w:rPr>
        <w:t>o</w:t>
      </w:r>
      <w:r>
        <w:t xml:space="preserve"> 139/2004, que identifiquem os documentos ou partes dos documentos que entendam conter segredos comerciais ou outras informações confidenciais que lhes pertençam, bem </w:t>
      </w:r>
      <w:r>
        <w:lastRenderedPageBreak/>
        <w:t>como que identifiquem as empresas relativamente às quais esses documentos devem ser considerados confidenciais.</w:t>
      </w:r>
    </w:p>
    <w:p w14:paraId="4B1888F4" w14:textId="77777777" w:rsidR="00672A2B" w:rsidRDefault="00672A2B">
      <w:r>
        <w:t>A Comissão pode igualmente solicitar às pessoas referidas no artigo 3.</w:t>
      </w:r>
      <w:r>
        <w:rPr>
          <w:vertAlign w:val="superscript"/>
        </w:rPr>
        <w:t>o</w:t>
      </w:r>
      <w:r>
        <w:t> do Regulamento (CE) n.</w:t>
      </w:r>
      <w:r>
        <w:rPr>
          <w:vertAlign w:val="superscript"/>
        </w:rPr>
        <w:t>o</w:t>
      </w:r>
      <w:r>
        <w:t> 139/2004, às empresas e às associações de empresas que identifiquem as eventuais partes de uma comunicação de objeções, de um resumo do processo ou de uma decisão tomada pela Comissão que, no seu entender, contenham segredos comerciais.</w:t>
      </w:r>
    </w:p>
    <w:p w14:paraId="074AC452" w14:textId="77777777" w:rsidR="00672A2B" w:rsidRDefault="00672A2B">
      <w:r>
        <w:t>Sempre que sejam identificados segredos comerciais ou outras informações confidenciais, as pessoas, empresas e associações de empresas devem apresentar a respetiva justificação e fornecer uma versão não confidencial em separado no prazo fixado pela Comissão.</w:t>
      </w:r>
    </w:p>
    <w:p w14:paraId="5A5A42CC" w14:textId="77777777" w:rsidR="00672A2B" w:rsidRDefault="00672A2B">
      <w:r>
        <w:t>4.</w:t>
      </w:r>
      <w:r>
        <w:tab/>
        <w:t>Se as pessoas, empresas ou associações de empresas não respeitarem o disposto no n.</w:t>
      </w:r>
      <w:r>
        <w:rPr>
          <w:vertAlign w:val="superscript"/>
        </w:rPr>
        <w:t>o</w:t>
      </w:r>
      <w:r>
        <w:t> 2 ou 3, a Comissão pode presumir que os documentos ou comunicações em causa não contêm informações confidenciais.</w:t>
      </w:r>
    </w:p>
    <w:p w14:paraId="53C1711D" w14:textId="77777777" w:rsidR="00672A2B" w:rsidRDefault="00672A2B">
      <w:pPr>
        <w:pStyle w:val="SectionTitle"/>
      </w:pPr>
      <w:r>
        <w:t>CAPÍTULO VI</w:t>
      </w:r>
    </w:p>
    <w:p w14:paraId="3F1D39AE" w14:textId="77777777" w:rsidR="00672A2B" w:rsidRDefault="00672A2B">
      <w:pPr>
        <w:pStyle w:val="SectionTitle"/>
      </w:pPr>
      <w:r>
        <w:rPr>
          <w:i/>
          <w:iCs/>
        </w:rPr>
        <w:t>COMPROMISSOS PROPOSTOS PELAS EMPRESAS EM CAUSA</w:t>
      </w:r>
    </w:p>
    <w:p w14:paraId="5F3AA160" w14:textId="77777777" w:rsidR="00672A2B" w:rsidRDefault="00672A2B">
      <w:pPr>
        <w:pStyle w:val="Titrearticle"/>
      </w:pPr>
      <w:r>
        <w:t>Artigo 19.</w:t>
      </w:r>
      <w:r>
        <w:rPr>
          <w:vertAlign w:val="superscript"/>
        </w:rPr>
        <w:t>o</w:t>
      </w:r>
    </w:p>
    <w:p w14:paraId="674DBF8E" w14:textId="77777777" w:rsidR="00672A2B" w:rsidRDefault="00672A2B">
      <w:pPr>
        <w:pStyle w:val="NormalCentered"/>
        <w:rPr>
          <w:b/>
          <w:bCs/>
        </w:rPr>
      </w:pPr>
      <w:r>
        <w:rPr>
          <w:b/>
          <w:bCs/>
        </w:rPr>
        <w:t>Prazos para apresentação de compromissos</w:t>
      </w:r>
    </w:p>
    <w:p w14:paraId="2CBAA911" w14:textId="77777777" w:rsidR="00672A2B" w:rsidRDefault="00672A2B">
      <w:r>
        <w:t>1.</w:t>
      </w:r>
      <w:r>
        <w:tab/>
        <w:t>Os compromissos propostos pelas empresas em causa nos termos do artigo 6.</w:t>
      </w:r>
      <w:r>
        <w:rPr>
          <w:vertAlign w:val="superscript"/>
        </w:rPr>
        <w:t>o</w:t>
      </w:r>
      <w:r>
        <w:t>, n.</w:t>
      </w:r>
      <w:r>
        <w:rPr>
          <w:vertAlign w:val="superscript"/>
        </w:rPr>
        <w:t>o</w:t>
      </w:r>
      <w:r>
        <w:t> 2, do Regulamento (CE) n.</w:t>
      </w:r>
      <w:r>
        <w:rPr>
          <w:vertAlign w:val="superscript"/>
        </w:rPr>
        <w:t>o</w:t>
      </w:r>
      <w:r>
        <w:t> 139/2004 devem ser apresentados à Comissão no prazo de 20 dias úteis a contar da data de receção da notificação.</w:t>
      </w:r>
    </w:p>
    <w:p w14:paraId="0FF4BC08" w14:textId="77777777" w:rsidR="00672A2B" w:rsidRDefault="00672A2B">
      <w:r>
        <w:t>2.</w:t>
      </w:r>
      <w:r>
        <w:tab/>
        <w:t>Os compromissos propostos pelas empresas em causa nos termos do artigo 8.</w:t>
      </w:r>
      <w:r>
        <w:rPr>
          <w:vertAlign w:val="superscript"/>
        </w:rPr>
        <w:t>o</w:t>
      </w:r>
      <w:r>
        <w:t>, n.</w:t>
      </w:r>
      <w:r>
        <w:rPr>
          <w:vertAlign w:val="superscript"/>
        </w:rPr>
        <w:t>o</w:t>
      </w:r>
      <w:r>
        <w:t> 2, do Regulamento (CE) n.</w:t>
      </w:r>
      <w:r>
        <w:rPr>
          <w:vertAlign w:val="superscript"/>
        </w:rPr>
        <w:t>o</w:t>
      </w:r>
      <w:r>
        <w:t> 139/2004 devem ser apresentados à Comissão no prazo de 65 dias úteis a contar da data de início do processo.</w:t>
      </w:r>
    </w:p>
    <w:p w14:paraId="3ADE43FE" w14:textId="77777777" w:rsidR="00672A2B" w:rsidRDefault="00672A2B">
      <w:r>
        <w:t>Caso as empresas em causa proponham em primeiro lugar compromissos num prazo inferior a 55 dias úteis a contar da data de início do processo, mas apresentem uma versão alterada dos compromissos num prazo igual ou superior a 55 dias úteis a contar dessa data, os compromissos alterados devem ser considerados como novos compromissos para efeitos da aplicação do artigo 10.</w:t>
      </w:r>
      <w:r>
        <w:rPr>
          <w:vertAlign w:val="superscript"/>
        </w:rPr>
        <w:t>o</w:t>
      </w:r>
      <w:r>
        <w:t>, n.</w:t>
      </w:r>
      <w:r>
        <w:rPr>
          <w:vertAlign w:val="superscript"/>
        </w:rPr>
        <w:t>o</w:t>
      </w:r>
      <w:r>
        <w:t> 3, segunda frase, do Regulamento (CE) n.</w:t>
      </w:r>
      <w:r>
        <w:rPr>
          <w:vertAlign w:val="superscript"/>
        </w:rPr>
        <w:t>o</w:t>
      </w:r>
      <w:r>
        <w:t> 139/2004.</w:t>
      </w:r>
    </w:p>
    <w:p w14:paraId="7BE32CE1" w14:textId="77777777" w:rsidR="00672A2B" w:rsidRDefault="00672A2B">
      <w:r>
        <w:t>Nos casos em que, nos termos do artigo 10.</w:t>
      </w:r>
      <w:r>
        <w:rPr>
          <w:vertAlign w:val="superscript"/>
        </w:rPr>
        <w:t>o</w:t>
      </w:r>
      <w:r>
        <w:t>, n.</w:t>
      </w:r>
      <w:r>
        <w:rPr>
          <w:vertAlign w:val="superscript"/>
        </w:rPr>
        <w:t>o</w:t>
      </w:r>
      <w:r>
        <w:t> 3, segundo parágrafo, do Regulamento (CE) n.</w:t>
      </w:r>
      <w:r>
        <w:rPr>
          <w:vertAlign w:val="superscript"/>
        </w:rPr>
        <w:t>o</w:t>
      </w:r>
      <w:r>
        <w:t> 139/2004, seja alargado o prazo para a adoção de uma decisão nos termos do artigo 8.</w:t>
      </w:r>
      <w:r>
        <w:rPr>
          <w:vertAlign w:val="superscript"/>
        </w:rPr>
        <w:t>o</w:t>
      </w:r>
      <w:r>
        <w:t>, n.</w:t>
      </w:r>
      <w:r>
        <w:rPr>
          <w:vertAlign w:val="superscript"/>
        </w:rPr>
        <w:t>os</w:t>
      </w:r>
      <w:r>
        <w:t xml:space="preserve"> 1 a 3, o prazo de 65 dias úteis para a apresentação de compromissos é automaticamente prorrogado pelo mesmo número de dias úteis.</w:t>
      </w:r>
    </w:p>
    <w:p w14:paraId="553DAA20" w14:textId="77777777" w:rsidR="00672A2B" w:rsidRDefault="00672A2B">
      <w:r>
        <w:t>Em circunstâncias excecionais, a Comissão pode aceitar considerar os compromissos propostos após o termo do prazo aplicável para a sua apresentação, conforme previsto no presente artigo. Ao decidir se aceita ou não considerar os compromissos propostos nessas circunstâncias, a Comissão deve ter especialmente em conta a necessidade de cumprir os requisitos do artigo 19.</w:t>
      </w:r>
      <w:r>
        <w:rPr>
          <w:vertAlign w:val="superscript"/>
        </w:rPr>
        <w:t>o</w:t>
      </w:r>
      <w:r>
        <w:t>, n.</w:t>
      </w:r>
      <w:r>
        <w:rPr>
          <w:vertAlign w:val="superscript"/>
        </w:rPr>
        <w:t>o</w:t>
      </w:r>
      <w:r>
        <w:t> 5, do Regulamento (CE) n.</w:t>
      </w:r>
      <w:r>
        <w:rPr>
          <w:vertAlign w:val="superscript"/>
        </w:rPr>
        <w:t>o</w:t>
      </w:r>
      <w:r>
        <w:t> 139/2004.</w:t>
      </w:r>
    </w:p>
    <w:p w14:paraId="39B4672A" w14:textId="77777777" w:rsidR="00672A2B" w:rsidRDefault="00672A2B">
      <w:r>
        <w:t>3.</w:t>
      </w:r>
      <w:r>
        <w:tab/>
        <w:t>Os artigos 7.</w:t>
      </w:r>
      <w:r>
        <w:rPr>
          <w:vertAlign w:val="superscript"/>
        </w:rPr>
        <w:t>o</w:t>
      </w:r>
      <w:r>
        <w:t>, 8.</w:t>
      </w:r>
      <w:r>
        <w:rPr>
          <w:vertAlign w:val="superscript"/>
        </w:rPr>
        <w:t>o</w:t>
      </w:r>
      <w:r>
        <w:t xml:space="preserve"> e 9.</w:t>
      </w:r>
      <w:r>
        <w:rPr>
          <w:vertAlign w:val="superscript"/>
        </w:rPr>
        <w:t>o</w:t>
      </w:r>
      <w:r>
        <w:t xml:space="preserve"> são aplicáveis </w:t>
      </w:r>
      <w:r>
        <w:rPr>
          <w:i/>
          <w:iCs/>
        </w:rPr>
        <w:t>mutatis mutandis</w:t>
      </w:r>
      <w:r>
        <w:t>.</w:t>
      </w:r>
    </w:p>
    <w:p w14:paraId="58E6926B" w14:textId="77777777" w:rsidR="00672A2B" w:rsidRDefault="00672A2B">
      <w:pPr>
        <w:pStyle w:val="Titrearticle"/>
      </w:pPr>
      <w:r>
        <w:lastRenderedPageBreak/>
        <w:t>Artigo 20.</w:t>
      </w:r>
      <w:r>
        <w:rPr>
          <w:vertAlign w:val="superscript"/>
        </w:rPr>
        <w:t>o</w:t>
      </w:r>
    </w:p>
    <w:p w14:paraId="208BFCBF" w14:textId="77777777" w:rsidR="00672A2B" w:rsidRDefault="00672A2B">
      <w:pPr>
        <w:pStyle w:val="NormalCentered"/>
        <w:rPr>
          <w:b/>
          <w:bCs/>
        </w:rPr>
      </w:pPr>
      <w:r>
        <w:rPr>
          <w:b/>
          <w:bCs/>
        </w:rPr>
        <w:t>Procedimento para apresentação de compromissos</w:t>
      </w:r>
    </w:p>
    <w:p w14:paraId="356BF81D" w14:textId="77777777" w:rsidR="00672A2B" w:rsidRDefault="00672A2B">
      <w:r>
        <w:t>1.</w:t>
      </w:r>
      <w:r>
        <w:tab/>
        <w:t>Os compromissos propostos pelas empresas em causa nos termos do artigo 6.</w:t>
      </w:r>
      <w:r>
        <w:rPr>
          <w:vertAlign w:val="superscript"/>
        </w:rPr>
        <w:t>o</w:t>
      </w:r>
      <w:r>
        <w:t>, n.</w:t>
      </w:r>
      <w:r>
        <w:rPr>
          <w:vertAlign w:val="superscript"/>
        </w:rPr>
        <w:t>o</w:t>
      </w:r>
      <w:r>
        <w:t> 2, ou do artigo 8.</w:t>
      </w:r>
      <w:r>
        <w:rPr>
          <w:vertAlign w:val="superscript"/>
        </w:rPr>
        <w:t>o</w:t>
      </w:r>
      <w:r>
        <w:t>, n.</w:t>
      </w:r>
      <w:r>
        <w:rPr>
          <w:vertAlign w:val="superscript"/>
        </w:rPr>
        <w:t>o</w:t>
      </w:r>
      <w:r>
        <w:t> 2, do Regulamento (CE) n.</w:t>
      </w:r>
      <w:r>
        <w:rPr>
          <w:vertAlign w:val="superscript"/>
        </w:rPr>
        <w:t>o</w:t>
      </w:r>
      <w:r>
        <w:t> 139/2004 devem ser apresentados à Comissão em conformidade com o artigo 22.</w:t>
      </w:r>
      <w:r>
        <w:rPr>
          <w:vertAlign w:val="superscript"/>
        </w:rPr>
        <w:t>o</w:t>
      </w:r>
      <w:r>
        <w:t xml:space="preserve"> e as instruções publicadas pela Comissão no </w:t>
      </w:r>
      <w:r>
        <w:rPr>
          <w:i/>
          <w:iCs/>
        </w:rPr>
        <w:t>Jornal Oficial da União Europeia</w:t>
      </w:r>
      <w:r>
        <w:t>. A Comissão envia o mais rapidamente possível esses compromissos às autoridades competentes dos Estados-Membros.</w:t>
      </w:r>
    </w:p>
    <w:p w14:paraId="0A1A4A61" w14:textId="77777777" w:rsidR="00672A2B" w:rsidRDefault="00672A2B">
      <w:r>
        <w:t>2.</w:t>
      </w:r>
      <w:r>
        <w:tab/>
        <w:t>Para além dos requisitos estabelecidos no n.</w:t>
      </w:r>
      <w:r>
        <w:rPr>
          <w:vertAlign w:val="superscript"/>
        </w:rPr>
        <w:t>o</w:t>
      </w:r>
      <w:r>
        <w:t> 1, as empresas em causa devem, ao mesmo tempo que propõem compromissos nos termos do artigo 6.</w:t>
      </w:r>
      <w:r>
        <w:rPr>
          <w:vertAlign w:val="superscript"/>
        </w:rPr>
        <w:t>o</w:t>
      </w:r>
      <w:r>
        <w:t>, n.</w:t>
      </w:r>
      <w:r>
        <w:rPr>
          <w:vertAlign w:val="superscript"/>
        </w:rPr>
        <w:t>o</w:t>
      </w:r>
      <w:r>
        <w:t> 2, ou do artigo 8.</w:t>
      </w:r>
      <w:r>
        <w:rPr>
          <w:vertAlign w:val="superscript"/>
        </w:rPr>
        <w:t>o</w:t>
      </w:r>
      <w:r>
        <w:t>, n.</w:t>
      </w:r>
      <w:r>
        <w:rPr>
          <w:vertAlign w:val="superscript"/>
        </w:rPr>
        <w:t>o</w:t>
      </w:r>
      <w:r>
        <w:t> 2, do Regulamento (CE) n.</w:t>
      </w:r>
      <w:r>
        <w:rPr>
          <w:vertAlign w:val="superscript"/>
        </w:rPr>
        <w:t>o</w:t>
      </w:r>
      <w:r>
        <w:t> 139/2004, apresentar as informações exigidas pelo formulário RM constante do anexo IV do presente regulamento, em conformidade com o artigo 22.</w:t>
      </w:r>
      <w:r>
        <w:rPr>
          <w:vertAlign w:val="superscript"/>
        </w:rPr>
        <w:t>o</w:t>
      </w:r>
      <w:r>
        <w:t xml:space="preserve"> e com as instruções publicadas pela Comissão no </w:t>
      </w:r>
      <w:r>
        <w:rPr>
          <w:i/>
          <w:iCs/>
        </w:rPr>
        <w:t>Jornal Oficial da União Europeia</w:t>
      </w:r>
      <w:r>
        <w:t>. As informações apresentadas devem ser exatas e completas.</w:t>
      </w:r>
    </w:p>
    <w:p w14:paraId="2DA4168C" w14:textId="77777777" w:rsidR="00672A2B" w:rsidRDefault="00672A2B">
      <w:r>
        <w:t>O artigo 4.</w:t>
      </w:r>
      <w:r>
        <w:rPr>
          <w:vertAlign w:val="superscript"/>
        </w:rPr>
        <w:t>o</w:t>
      </w:r>
      <w:r>
        <w:t xml:space="preserve"> aplica-se </w:t>
      </w:r>
      <w:r>
        <w:rPr>
          <w:i/>
          <w:iCs/>
        </w:rPr>
        <w:t>mutatis mutandis</w:t>
      </w:r>
      <w:r>
        <w:t xml:space="preserve"> ao formulário RM que acompanha os compromissos propostos nos termos do artigo 6.</w:t>
      </w:r>
      <w:r>
        <w:rPr>
          <w:vertAlign w:val="superscript"/>
        </w:rPr>
        <w:t>o</w:t>
      </w:r>
      <w:r>
        <w:t>, n.</w:t>
      </w:r>
      <w:r>
        <w:rPr>
          <w:vertAlign w:val="superscript"/>
        </w:rPr>
        <w:t>o</w:t>
      </w:r>
      <w:r>
        <w:t> 2, ou do artigo 8.</w:t>
      </w:r>
      <w:r>
        <w:rPr>
          <w:vertAlign w:val="superscript"/>
        </w:rPr>
        <w:t>o</w:t>
      </w:r>
      <w:r>
        <w:t>, n.</w:t>
      </w:r>
      <w:r>
        <w:rPr>
          <w:vertAlign w:val="superscript"/>
        </w:rPr>
        <w:t>o</w:t>
      </w:r>
      <w:r>
        <w:t> 2, do Regulamento (CE) n.</w:t>
      </w:r>
      <w:r>
        <w:rPr>
          <w:vertAlign w:val="superscript"/>
        </w:rPr>
        <w:t>o</w:t>
      </w:r>
      <w:r>
        <w:t> 139/2004.</w:t>
      </w:r>
    </w:p>
    <w:p w14:paraId="0B01D241" w14:textId="77777777" w:rsidR="00672A2B" w:rsidRDefault="00672A2B">
      <w:r>
        <w:t>3.</w:t>
      </w:r>
      <w:r>
        <w:tab/>
        <w:t>Na proposta de compromissos nos termos do artigo 6.</w:t>
      </w:r>
      <w:r>
        <w:rPr>
          <w:vertAlign w:val="superscript"/>
        </w:rPr>
        <w:t>o</w:t>
      </w:r>
      <w:r>
        <w:t>, n.</w:t>
      </w:r>
      <w:r>
        <w:rPr>
          <w:vertAlign w:val="superscript"/>
        </w:rPr>
        <w:t>o</w:t>
      </w:r>
      <w:r>
        <w:t> 2, ou do artigo 8.</w:t>
      </w:r>
      <w:r>
        <w:rPr>
          <w:vertAlign w:val="superscript"/>
        </w:rPr>
        <w:t>o</w:t>
      </w:r>
      <w:r>
        <w:t>, n.</w:t>
      </w:r>
      <w:r>
        <w:rPr>
          <w:vertAlign w:val="superscript"/>
        </w:rPr>
        <w:t>o</w:t>
      </w:r>
      <w:r>
        <w:t> 2, do Regulamento (CE) n.</w:t>
      </w:r>
      <w:r>
        <w:rPr>
          <w:vertAlign w:val="superscript"/>
        </w:rPr>
        <w:t>o</w:t>
      </w:r>
      <w:r>
        <w:t> 139/2004, as empresas em causa devem simultaneamente identificar de forma clara quaisquer informações que considerem confidenciais, apresentando a respetiva justificação, e fornecer uma versão não confidencial em separado.</w:t>
      </w:r>
    </w:p>
    <w:p w14:paraId="5FEBAF79" w14:textId="77777777" w:rsidR="00672A2B" w:rsidRDefault="00672A2B">
      <w:r>
        <w:t>4.</w:t>
      </w:r>
      <w:r>
        <w:tab/>
        <w:t>Os compromissos propostos nos termos do artigo 6.</w:t>
      </w:r>
      <w:r>
        <w:rPr>
          <w:vertAlign w:val="superscript"/>
        </w:rPr>
        <w:t>o</w:t>
      </w:r>
      <w:r>
        <w:t>, n.</w:t>
      </w:r>
      <w:r>
        <w:rPr>
          <w:vertAlign w:val="superscript"/>
        </w:rPr>
        <w:t>o</w:t>
      </w:r>
      <w:r>
        <w:t> 2, ou do artigo 8.</w:t>
      </w:r>
      <w:r>
        <w:rPr>
          <w:vertAlign w:val="superscript"/>
        </w:rPr>
        <w:t>o</w:t>
      </w:r>
      <w:r>
        <w:t>, n.</w:t>
      </w:r>
      <w:r>
        <w:rPr>
          <w:vertAlign w:val="superscript"/>
        </w:rPr>
        <w:t>o</w:t>
      </w:r>
      <w:r>
        <w:t> 2, do Regulamento (CE) n.</w:t>
      </w:r>
      <w:r>
        <w:rPr>
          <w:vertAlign w:val="superscript"/>
        </w:rPr>
        <w:t>o</w:t>
      </w:r>
      <w:r>
        <w:t> 139/2004 devem ser assinados pelas partes notificantes, bem como por quaisquer outros interessados diretos a quem os compromissos imponham obrigações.</w:t>
      </w:r>
    </w:p>
    <w:p w14:paraId="6FB7A712" w14:textId="77777777" w:rsidR="00672A2B" w:rsidRDefault="00672A2B">
      <w:r>
        <w:t>5.</w:t>
      </w:r>
      <w:r>
        <w:tab/>
        <w:t>Uma versão não confidencial dos compromissos deve ser publicada sem demora no sítio Web da Direção-Geral da Concorrência da Comissão, após a adoção de uma decisão nos termos do artigo 6.</w:t>
      </w:r>
      <w:r>
        <w:rPr>
          <w:vertAlign w:val="superscript"/>
        </w:rPr>
        <w:t>o</w:t>
      </w:r>
      <w:r>
        <w:t>, n.</w:t>
      </w:r>
      <w:r>
        <w:rPr>
          <w:vertAlign w:val="superscript"/>
        </w:rPr>
        <w:t>o</w:t>
      </w:r>
      <w:r>
        <w:t> 2, ou do artigo 8.</w:t>
      </w:r>
      <w:r>
        <w:rPr>
          <w:vertAlign w:val="superscript"/>
        </w:rPr>
        <w:t>o</w:t>
      </w:r>
      <w:r>
        <w:t>, n.</w:t>
      </w:r>
      <w:r>
        <w:rPr>
          <w:vertAlign w:val="superscript"/>
        </w:rPr>
        <w:t>o</w:t>
      </w:r>
      <w:r>
        <w:t> 2, do Regulamento (CE) n.</w:t>
      </w:r>
      <w:r>
        <w:rPr>
          <w:vertAlign w:val="superscript"/>
        </w:rPr>
        <w:t>o</w:t>
      </w:r>
      <w:r>
        <w:t> 139/2004. Para o efeito, as partes notificantes devem apresentar à Comissão uma versão não confidencial dos compromissos no prazo de cinco dias úteis a contar da adoção da decisão nos termos do artigo 6.</w:t>
      </w:r>
      <w:r>
        <w:rPr>
          <w:vertAlign w:val="superscript"/>
        </w:rPr>
        <w:t>o</w:t>
      </w:r>
      <w:r>
        <w:t>, n.</w:t>
      </w:r>
      <w:r>
        <w:rPr>
          <w:vertAlign w:val="superscript"/>
        </w:rPr>
        <w:t>o</w:t>
      </w:r>
      <w:r>
        <w:t> 2, ou do artigo 8.</w:t>
      </w:r>
      <w:r>
        <w:rPr>
          <w:vertAlign w:val="superscript"/>
        </w:rPr>
        <w:t>o</w:t>
      </w:r>
      <w:r>
        <w:t>, n.</w:t>
      </w:r>
      <w:r>
        <w:rPr>
          <w:vertAlign w:val="superscript"/>
        </w:rPr>
        <w:t>o</w:t>
      </w:r>
      <w:r>
        <w:t> 2, do Regulamento (CE) n.</w:t>
      </w:r>
      <w:r>
        <w:rPr>
          <w:vertAlign w:val="superscript"/>
        </w:rPr>
        <w:t>o</w:t>
      </w:r>
      <w:r>
        <w:t> 139/2004.</w:t>
      </w:r>
    </w:p>
    <w:p w14:paraId="73914FE0" w14:textId="77777777" w:rsidR="00672A2B" w:rsidRDefault="00672A2B">
      <w:pPr>
        <w:pStyle w:val="Titrearticle"/>
      </w:pPr>
      <w:r>
        <w:t>Artigo 21.</w:t>
      </w:r>
      <w:r>
        <w:rPr>
          <w:vertAlign w:val="superscript"/>
        </w:rPr>
        <w:t>o</w:t>
      </w:r>
    </w:p>
    <w:p w14:paraId="28B24BC6" w14:textId="77777777" w:rsidR="00672A2B" w:rsidRDefault="00672A2B">
      <w:pPr>
        <w:pStyle w:val="NormalCentered"/>
        <w:rPr>
          <w:b/>
          <w:bCs/>
        </w:rPr>
      </w:pPr>
      <w:r>
        <w:rPr>
          <w:b/>
          <w:bCs/>
        </w:rPr>
        <w:t>Administradores</w:t>
      </w:r>
    </w:p>
    <w:p w14:paraId="5B11A719" w14:textId="77777777" w:rsidR="00672A2B" w:rsidRDefault="00672A2B">
      <w:r>
        <w:t>1.</w:t>
      </w:r>
      <w:r>
        <w:tab/>
        <w:t>Os compromissos propostos pelas empresas em causa, nos termos do artigo 6.</w:t>
      </w:r>
      <w:r>
        <w:rPr>
          <w:vertAlign w:val="superscript"/>
        </w:rPr>
        <w:t>o</w:t>
      </w:r>
      <w:r>
        <w:t>, n.</w:t>
      </w:r>
      <w:r>
        <w:rPr>
          <w:vertAlign w:val="superscript"/>
        </w:rPr>
        <w:t>o</w:t>
      </w:r>
      <w:r>
        <w:t> 2, ou do artigo 8.</w:t>
      </w:r>
      <w:r>
        <w:rPr>
          <w:vertAlign w:val="superscript"/>
        </w:rPr>
        <w:t>o</w:t>
      </w:r>
      <w:r>
        <w:t>, n.</w:t>
      </w:r>
      <w:r>
        <w:rPr>
          <w:vertAlign w:val="superscript"/>
        </w:rPr>
        <w:t>o</w:t>
      </w:r>
      <w:r>
        <w:t> 2, do Regulamento (CE) n.</w:t>
      </w:r>
      <w:r>
        <w:rPr>
          <w:vertAlign w:val="superscript"/>
        </w:rPr>
        <w:t>o</w:t>
      </w:r>
      <w:r>
        <w:t> 139/2004, podem incluir, a expensas próprias das empresas em causa, a nomeação de um ou mais administradores independentes para assistirem a Comissão no controlo do cumprimento pelas partes dos compromissos ou para os executarem. Os administradores podem ser nomeados pelas partes, após a aprovação da Comissão, ou pela Comissão. Os administradores executam as suas tarefas sob a supervisão da Comissão.</w:t>
      </w:r>
    </w:p>
    <w:p w14:paraId="4F443E73" w14:textId="77777777" w:rsidR="00672A2B" w:rsidRDefault="00672A2B">
      <w:r>
        <w:t>2.</w:t>
      </w:r>
      <w:r>
        <w:tab/>
        <w:t>A Comissão pode anexar à sua decisão nos termos do artigo 6.</w:t>
      </w:r>
      <w:r>
        <w:rPr>
          <w:vertAlign w:val="superscript"/>
        </w:rPr>
        <w:t>o</w:t>
      </w:r>
      <w:r>
        <w:t>, n.</w:t>
      </w:r>
      <w:r>
        <w:rPr>
          <w:vertAlign w:val="superscript"/>
        </w:rPr>
        <w:t>o</w:t>
      </w:r>
      <w:r>
        <w:t> 2, ou do artigo 8.</w:t>
      </w:r>
      <w:r>
        <w:rPr>
          <w:vertAlign w:val="superscript"/>
        </w:rPr>
        <w:t>o</w:t>
      </w:r>
      <w:r>
        <w:t>, n.</w:t>
      </w:r>
      <w:r>
        <w:rPr>
          <w:vertAlign w:val="superscript"/>
        </w:rPr>
        <w:t>o</w:t>
      </w:r>
      <w:r>
        <w:t> 2, do Regulamento (CE) n.</w:t>
      </w:r>
      <w:r>
        <w:rPr>
          <w:vertAlign w:val="superscript"/>
        </w:rPr>
        <w:t>o</w:t>
      </w:r>
      <w:r>
        <w:t> 139/2004 condições ou obrigações relacionadas com os administradores a que se refere o n.</w:t>
      </w:r>
      <w:r>
        <w:rPr>
          <w:vertAlign w:val="superscript"/>
        </w:rPr>
        <w:t>o</w:t>
      </w:r>
      <w:r>
        <w:t> 1.</w:t>
      </w:r>
    </w:p>
    <w:p w14:paraId="081CAFDA" w14:textId="77777777" w:rsidR="00672A2B" w:rsidRDefault="00672A2B">
      <w:pPr>
        <w:pStyle w:val="SectionTitle"/>
      </w:pPr>
      <w:r>
        <w:lastRenderedPageBreak/>
        <w:t>CAPÍTULO VII</w:t>
      </w:r>
    </w:p>
    <w:p w14:paraId="4F92EB27" w14:textId="77777777" w:rsidR="00672A2B" w:rsidRDefault="00672A2B">
      <w:pPr>
        <w:pStyle w:val="SectionTitle"/>
      </w:pPr>
      <w:r>
        <w:rPr>
          <w:i/>
          <w:iCs/>
        </w:rPr>
        <w:t>DISPOSIÇÕES DIVERSAS</w:t>
      </w:r>
    </w:p>
    <w:p w14:paraId="52541068" w14:textId="77777777" w:rsidR="00672A2B" w:rsidRDefault="00672A2B">
      <w:pPr>
        <w:pStyle w:val="Titrearticle"/>
      </w:pPr>
      <w:r>
        <w:t>Artigo 22.</w:t>
      </w:r>
      <w:r>
        <w:rPr>
          <w:vertAlign w:val="superscript"/>
        </w:rPr>
        <w:t>o</w:t>
      </w:r>
    </w:p>
    <w:p w14:paraId="7E064C6E" w14:textId="77777777" w:rsidR="00672A2B" w:rsidRDefault="00672A2B">
      <w:pPr>
        <w:pStyle w:val="NormalCentered"/>
        <w:rPr>
          <w:b/>
          <w:bCs/>
        </w:rPr>
      </w:pPr>
      <w:r>
        <w:rPr>
          <w:b/>
          <w:bCs/>
        </w:rPr>
        <w:t>Envio e assinatura dos documentos</w:t>
      </w:r>
    </w:p>
    <w:p w14:paraId="52AF1251" w14:textId="77777777" w:rsidR="00672A2B" w:rsidRDefault="00672A2B">
      <w:r>
        <w:t>1.</w:t>
      </w:r>
      <w:r>
        <w:tab/>
        <w:t>O envio de documentos de e para a Comissão efetua-se através de meios digitais, exceto se a Comissão permitir excecionalmente que podem ser utilizados outros meios identificados nos n.</w:t>
      </w:r>
      <w:r>
        <w:rPr>
          <w:vertAlign w:val="superscript"/>
        </w:rPr>
        <w:t>os</w:t>
      </w:r>
      <w:r>
        <w:t xml:space="preserve"> 6 e 7.</w:t>
      </w:r>
    </w:p>
    <w:p w14:paraId="215E9F18" w14:textId="77777777" w:rsidR="00672A2B" w:rsidRDefault="00672A2B">
      <w:r>
        <w:t>2.</w:t>
      </w:r>
      <w:r>
        <w:tab/>
        <w:t>Caso seja necessária uma assinatura, os documentos enviados eletronicamente devem ser assinados utilizando, pelo menos, uma assinatura eletrónica qualificada (QES) conforme com os requisitos dispostos no Regulamento (UE) n.</w:t>
      </w:r>
      <w:r>
        <w:rPr>
          <w:vertAlign w:val="superscript"/>
        </w:rPr>
        <w:t>o</w:t>
      </w:r>
      <w:r>
        <w:t> 910/2014 («Regulamento eIDAS»)</w:t>
      </w:r>
      <w:r>
        <w:rPr>
          <w:rStyle w:val="FootnoteReference"/>
        </w:rPr>
        <w:footnoteReference w:id="1"/>
      </w:r>
      <w:r>
        <w:t xml:space="preserve"> e suas futuras alterações.</w:t>
      </w:r>
    </w:p>
    <w:p w14:paraId="460A2440" w14:textId="77777777" w:rsidR="00672A2B" w:rsidRDefault="00672A2B">
      <w:r>
        <w:t>3.</w:t>
      </w:r>
      <w:r>
        <w:tab/>
        <w:t xml:space="preserve">As especificações técnicas pormenorizadas relativas aos meios de envio e assinatura são publicadas no </w:t>
      </w:r>
      <w:r>
        <w:rPr>
          <w:i/>
          <w:iCs/>
        </w:rPr>
        <w:t>Jornal Oficial da União Europeia</w:t>
      </w:r>
      <w:r>
        <w:t xml:space="preserve"> e disponibilizadas no sítio Web da Direção-Geral da Concorrência da Comissão.</w:t>
      </w:r>
    </w:p>
    <w:p w14:paraId="0E1D7E80" w14:textId="77777777" w:rsidR="00672A2B" w:rsidRDefault="00672A2B">
      <w:r>
        <w:t>4.</w:t>
      </w:r>
      <w:r>
        <w:tab/>
        <w:t>Com exceção dos formulários incluídos nos anexos I, II, e III, todos os documentos enviados à Comissão por via eletrónica num dia útil são considerados recebidos no dia em que foram enviados, desde que um aviso de receção automático demonstre no seu carimbo temporal que foram recebidos nesse dia. Os formulários incluídos nos anexos I, II, e III enviados à Comissão por via eletrónica num dia útil são considerados recebidos no dia em que foram enviados, desde que um aviso de receção automático demonstre no seu carimbo temporal que foram recebidos nesse dia, antes ou durante o horário de funcionamento indicado no sítio Web da DG Concorrência. Os formulários incluídos nos anexos I, II, e III enviados à Comissão por via eletrónica num dia útil após o horário de funcionamento indicado no sítio Web da DG Concorrência são considerados recebidos no dia útil seguinte. Todos os documentos enviados à Comissão por via eletrónica fora de um dia útil são considerados recebidos no dia útil seguinte.</w:t>
      </w:r>
    </w:p>
    <w:p w14:paraId="1C8AA069" w14:textId="77777777" w:rsidR="00672A2B" w:rsidRDefault="00672A2B">
      <w:r>
        <w:t>5.</w:t>
      </w:r>
      <w:r>
        <w:tab/>
        <w:t>Os documentos enviados à Comissão por via eletrónica não são considerados recebidos se os documentos ou parte deles:</w:t>
      </w:r>
    </w:p>
    <w:p w14:paraId="0D38A08F" w14:textId="77777777" w:rsidR="00672A2B" w:rsidRDefault="00672A2B">
      <w:pPr>
        <w:pStyle w:val="Point0"/>
      </w:pPr>
      <w:r>
        <w:tab/>
        <w:t>a)</w:t>
      </w:r>
      <w:r>
        <w:tab/>
        <w:t>Forem inutilizáveis (corrompidos);</w:t>
      </w:r>
    </w:p>
    <w:p w14:paraId="50743B35" w14:textId="77777777" w:rsidR="00672A2B" w:rsidRDefault="00672A2B">
      <w:pPr>
        <w:pStyle w:val="Point0"/>
      </w:pPr>
      <w:r>
        <w:tab/>
        <w:t>b)</w:t>
      </w:r>
      <w:r>
        <w:tab/>
        <w:t xml:space="preserve">Contiverem vírus, </w:t>
      </w:r>
      <w:r>
        <w:rPr>
          <w:i/>
          <w:iCs/>
        </w:rPr>
        <w:t>malware</w:t>
      </w:r>
      <w:r>
        <w:t xml:space="preserve"> ou outras ameaças;</w:t>
      </w:r>
    </w:p>
    <w:p w14:paraId="16102F02" w14:textId="77777777" w:rsidR="00672A2B" w:rsidRDefault="00672A2B">
      <w:pPr>
        <w:pStyle w:val="Point0"/>
      </w:pPr>
      <w:r>
        <w:tab/>
        <w:t>c)</w:t>
      </w:r>
      <w:r>
        <w:tab/>
        <w:t>Contiverem assinaturas eletrónicas cuja validade não possa ser verificada pela Comissão.</w:t>
      </w:r>
    </w:p>
    <w:p w14:paraId="05E80F89" w14:textId="77777777" w:rsidR="00672A2B" w:rsidRDefault="00672A2B">
      <w:r>
        <w:t>Nesses casos, a Comissão informa sem demora o remetente.</w:t>
      </w:r>
    </w:p>
    <w:p w14:paraId="32A8A9E7" w14:textId="77777777" w:rsidR="00672A2B" w:rsidRDefault="00672A2B">
      <w:r>
        <w:lastRenderedPageBreak/>
        <w:t>6.</w:t>
      </w:r>
      <w:r>
        <w:tab/>
        <w:t xml:space="preserve">Os documentos enviados à Comissão por correio registado consideram-se recebidos no dia da sua chegada ao endereço publicado no </w:t>
      </w:r>
      <w:r>
        <w:rPr>
          <w:i/>
          <w:iCs/>
        </w:rPr>
        <w:t>Jornal Oficial da União Europeia</w:t>
      </w:r>
      <w:r>
        <w:t>. Este endereço deve ser igualmente indicado no sítio Web da Direção-Geral da Concorrência da Comissão.</w:t>
      </w:r>
    </w:p>
    <w:p w14:paraId="0B8AC010" w14:textId="77777777" w:rsidR="00672A2B" w:rsidRDefault="00672A2B">
      <w:r>
        <w:t>7.</w:t>
      </w:r>
      <w:r>
        <w:tab/>
        <w:t xml:space="preserve">Os documentos entregues em mão à Comissão são considerados recebidos no dia da sua chegada ao endereço publicado no </w:t>
      </w:r>
      <w:r>
        <w:rPr>
          <w:i/>
          <w:iCs/>
        </w:rPr>
        <w:t>Jornal Oficial da União Europeia</w:t>
      </w:r>
      <w:r>
        <w:t>, desde que tal seja confirmado num aviso de receção pela Comissão. Este endereço deve ser igualmente indicado no sítio Web da Direção-Geral da Concorrência da Comissão.</w:t>
      </w:r>
    </w:p>
    <w:p w14:paraId="64F6E1AE" w14:textId="77777777" w:rsidR="00672A2B" w:rsidRDefault="00672A2B">
      <w:pPr>
        <w:pStyle w:val="Titrearticle"/>
      </w:pPr>
      <w:r>
        <w:t>Artigo 23.</w:t>
      </w:r>
      <w:r>
        <w:rPr>
          <w:vertAlign w:val="superscript"/>
        </w:rPr>
        <w:t>o</w:t>
      </w:r>
    </w:p>
    <w:p w14:paraId="6E3CAF11" w14:textId="77777777" w:rsidR="00672A2B" w:rsidRDefault="00672A2B">
      <w:pPr>
        <w:pStyle w:val="NormalCentered"/>
        <w:rPr>
          <w:b/>
          <w:bCs/>
        </w:rPr>
      </w:pPr>
      <w:r>
        <w:rPr>
          <w:b/>
          <w:bCs/>
        </w:rPr>
        <w:t>Fixação dos prazos</w:t>
      </w:r>
    </w:p>
    <w:p w14:paraId="29151DBB" w14:textId="77777777" w:rsidR="00672A2B" w:rsidRDefault="00672A2B">
      <w:r>
        <w:t>1.</w:t>
      </w:r>
      <w:r>
        <w:tab/>
        <w:t>Ao fixar os prazos referidos no artigo 12.</w:t>
      </w:r>
      <w:r>
        <w:rPr>
          <w:vertAlign w:val="superscript"/>
        </w:rPr>
        <w:t>o</w:t>
      </w:r>
      <w:r>
        <w:t>, n.</w:t>
      </w:r>
      <w:r>
        <w:rPr>
          <w:vertAlign w:val="superscript"/>
        </w:rPr>
        <w:t>os</w:t>
      </w:r>
      <w:r>
        <w:t> 1 e 2, no artigo 13.</w:t>
      </w:r>
      <w:r>
        <w:rPr>
          <w:vertAlign w:val="superscript"/>
        </w:rPr>
        <w:t>o</w:t>
      </w:r>
      <w:r>
        <w:t>, n.</w:t>
      </w:r>
      <w:r>
        <w:rPr>
          <w:vertAlign w:val="superscript"/>
        </w:rPr>
        <w:t>o</w:t>
      </w:r>
      <w:r>
        <w:t> 2, e no artigo 16.</w:t>
      </w:r>
      <w:r>
        <w:rPr>
          <w:vertAlign w:val="superscript"/>
        </w:rPr>
        <w:t>o</w:t>
      </w:r>
      <w:r>
        <w:t>, n.</w:t>
      </w:r>
      <w:r>
        <w:rPr>
          <w:vertAlign w:val="superscript"/>
        </w:rPr>
        <w:t>o</w:t>
      </w:r>
      <w:r>
        <w:t> 1, a Comissão tem em conta a urgência do processo e o tempo necessário para que as partes notificantes, os outros interessados diretos ou os terceiros apresentem os seus pontos de vista ou observações. A Comissão tem igualmente em conta os dias feriados do país em que se situam as partes notificantes, os outros interessados diretos ou os terceiros.</w:t>
      </w:r>
    </w:p>
    <w:p w14:paraId="2A2260D5" w14:textId="77777777" w:rsidR="00672A2B" w:rsidRDefault="00672A2B">
      <w:r>
        <w:t>2.</w:t>
      </w:r>
      <w:r>
        <w:tab/>
        <w:t>Os prazos são determinados em termos de uma data exata.</w:t>
      </w:r>
    </w:p>
    <w:p w14:paraId="03E99350" w14:textId="77777777" w:rsidR="00672A2B" w:rsidRDefault="00672A2B">
      <w:pPr>
        <w:pStyle w:val="Titrearticle"/>
      </w:pPr>
      <w:r>
        <w:t>Artigo 24.</w:t>
      </w:r>
      <w:r>
        <w:rPr>
          <w:vertAlign w:val="superscript"/>
        </w:rPr>
        <w:t>o</w:t>
      </w:r>
    </w:p>
    <w:p w14:paraId="32C525ED" w14:textId="77777777" w:rsidR="00672A2B" w:rsidRDefault="00672A2B">
      <w:pPr>
        <w:pStyle w:val="NormalCentered"/>
        <w:rPr>
          <w:b/>
          <w:bCs/>
        </w:rPr>
      </w:pPr>
      <w:r>
        <w:rPr>
          <w:b/>
          <w:bCs/>
        </w:rPr>
        <w:t>Dias úteis</w:t>
      </w:r>
    </w:p>
    <w:p w14:paraId="504CC1F9" w14:textId="77777777" w:rsidR="00672A2B" w:rsidRDefault="00672A2B">
      <w:r>
        <w:t>A expressão «dias úteis» mencionada no Regulamento (CE) n.</w:t>
      </w:r>
      <w:r>
        <w:rPr>
          <w:vertAlign w:val="superscript"/>
        </w:rPr>
        <w:t>o</w:t>
      </w:r>
      <w:r>
        <w:t xml:space="preserve"> 139/2004 e no presente regulamento refere-se a todos os dias com exceção dos sábados, domingos e outros dias feriados da Comissão, publicados no </w:t>
      </w:r>
      <w:r>
        <w:rPr>
          <w:i/>
          <w:iCs/>
        </w:rPr>
        <w:t>Jornal Oficial da União Europeia</w:t>
      </w:r>
      <w:r>
        <w:t xml:space="preserve"> antes do início de cada ano.</w:t>
      </w:r>
    </w:p>
    <w:p w14:paraId="2BBA553C" w14:textId="77777777" w:rsidR="00672A2B" w:rsidRDefault="00672A2B">
      <w:pPr>
        <w:pStyle w:val="Titrearticle"/>
      </w:pPr>
      <w:r>
        <w:t>Artigo 25.</w:t>
      </w:r>
      <w:r>
        <w:rPr>
          <w:vertAlign w:val="superscript"/>
        </w:rPr>
        <w:t>o</w:t>
      </w:r>
    </w:p>
    <w:p w14:paraId="2664A83A" w14:textId="77777777" w:rsidR="00672A2B" w:rsidRDefault="00672A2B">
      <w:pPr>
        <w:pStyle w:val="NormalCentered"/>
        <w:rPr>
          <w:b/>
          <w:bCs/>
        </w:rPr>
      </w:pPr>
      <w:r>
        <w:rPr>
          <w:b/>
          <w:bCs/>
        </w:rPr>
        <w:t>Revogação e disposições transitórias</w:t>
      </w:r>
    </w:p>
    <w:p w14:paraId="7E969335" w14:textId="77777777" w:rsidR="00672A2B" w:rsidRDefault="00672A2B">
      <w:r>
        <w:t>1.</w:t>
      </w:r>
      <w:r>
        <w:tab/>
        <w:t>Sem prejuízo do disposto no n.</w:t>
      </w:r>
      <w:r>
        <w:rPr>
          <w:vertAlign w:val="superscript"/>
        </w:rPr>
        <w:t>o</w:t>
      </w:r>
      <w:r>
        <w:t> 2, o Regulamento (CE) n.</w:t>
      </w:r>
      <w:r>
        <w:rPr>
          <w:vertAlign w:val="superscript"/>
        </w:rPr>
        <w:t>o</w:t>
      </w:r>
      <w:r>
        <w:t> 802/2004 é revogado com efeitos a partir de 1 de setembro de 2023.</w:t>
      </w:r>
    </w:p>
    <w:p w14:paraId="719A45CC" w14:textId="77777777" w:rsidR="00672A2B" w:rsidRDefault="00672A2B">
      <w:r>
        <w:t>As remissões para o regulamento revogado devem entender-se como feitas para o presente regulamento.</w:t>
      </w:r>
    </w:p>
    <w:p w14:paraId="46749287" w14:textId="77777777" w:rsidR="00672A2B" w:rsidRDefault="00672A2B">
      <w:r>
        <w:t>2.</w:t>
      </w:r>
      <w:r>
        <w:tab/>
        <w:t>O Regulamento (CE) n.</w:t>
      </w:r>
      <w:r>
        <w:rPr>
          <w:vertAlign w:val="superscript"/>
        </w:rPr>
        <w:t>o</w:t>
      </w:r>
      <w:r>
        <w:t> 802/2004 continua a ser aplicável a qualquer concentração abrangida pelo âmbito de aplicação do Regulamento (CE) n.</w:t>
      </w:r>
      <w:r>
        <w:rPr>
          <w:vertAlign w:val="superscript"/>
        </w:rPr>
        <w:t>o</w:t>
      </w:r>
      <w:r>
        <w:t> 139/2004 e notificada até 31 de agosto de 2023.</w:t>
      </w:r>
    </w:p>
    <w:p w14:paraId="012622C8" w14:textId="77777777" w:rsidR="00672A2B" w:rsidRDefault="00672A2B">
      <w:pPr>
        <w:pStyle w:val="Titrearticle"/>
      </w:pPr>
      <w:r>
        <w:t>Artigo 26.</w:t>
      </w:r>
      <w:r>
        <w:rPr>
          <w:vertAlign w:val="superscript"/>
        </w:rPr>
        <w:t>o</w:t>
      </w:r>
    </w:p>
    <w:p w14:paraId="2F110F0D" w14:textId="77777777" w:rsidR="00672A2B" w:rsidRDefault="00672A2B">
      <w:pPr>
        <w:pStyle w:val="NormalCentered"/>
        <w:rPr>
          <w:b/>
          <w:bCs/>
        </w:rPr>
      </w:pPr>
      <w:r>
        <w:rPr>
          <w:b/>
          <w:bCs/>
        </w:rPr>
        <w:t>Entrada em vigor</w:t>
      </w:r>
    </w:p>
    <w:p w14:paraId="3C7B28A3" w14:textId="77777777" w:rsidR="00672A2B" w:rsidRDefault="00672A2B">
      <w:r>
        <w:t>O presente regulamento entra em vigor em 1 de setembro de 2023.</w:t>
      </w:r>
    </w:p>
    <w:p w14:paraId="3E856E81" w14:textId="45BAC368" w:rsidR="00672A2B" w:rsidRPr="00E663C6" w:rsidRDefault="00672A2B" w:rsidP="00E663C6">
      <w:pPr>
        <w:pStyle w:val="Applicationdirecte"/>
        <w:sectPr w:rsidR="00672A2B" w:rsidRPr="00E663C6">
          <w:footerReference w:type="default" r:id="rId7"/>
          <w:pgSz w:w="11906" w:h="16838"/>
          <w:pgMar w:top="1134" w:right="1418" w:bottom="1134" w:left="1418" w:header="709" w:footer="709" w:gutter="0"/>
          <w:pgNumType w:start="0"/>
          <w:cols w:space="709"/>
        </w:sectPr>
      </w:pPr>
      <w:r>
        <w:lastRenderedPageBreak/>
        <w:t>O presente regulamento é obrigatório em todos os seus elementos e diretamente aplicável em todos os Estados-Membros.</w:t>
      </w:r>
    </w:p>
    <w:p w14:paraId="0303B689" w14:textId="77777777" w:rsidR="001E1704" w:rsidRDefault="001E1704" w:rsidP="001E1704">
      <w:pPr>
        <w:pStyle w:val="Annexetitreacte"/>
      </w:pPr>
      <w:r>
        <w:lastRenderedPageBreak/>
        <w:t>ANEXO III</w:t>
      </w:r>
    </w:p>
    <w:p w14:paraId="407E4F0E" w14:textId="77777777" w:rsidR="001E1704" w:rsidRDefault="001E1704" w:rsidP="001E1704">
      <w:pPr>
        <w:pStyle w:val="NormalCentered"/>
        <w:rPr>
          <w:b/>
          <w:bCs/>
        </w:rPr>
      </w:pPr>
      <w:r>
        <w:rPr>
          <w:b/>
          <w:bCs/>
        </w:rPr>
        <w:t>FORMULÁRIO RELATIVO AOS MEMORANDOS FUNDAMENTADOS NOS TERMOS DO ARTIGO 4.</w:t>
      </w:r>
      <w:r>
        <w:rPr>
          <w:b/>
          <w:bCs/>
          <w:vertAlign w:val="superscript"/>
        </w:rPr>
        <w:t>o</w:t>
      </w:r>
      <w:r>
        <w:rPr>
          <w:b/>
          <w:bCs/>
        </w:rPr>
        <w:t>, N.</w:t>
      </w:r>
      <w:r>
        <w:rPr>
          <w:b/>
          <w:bCs/>
          <w:vertAlign w:val="superscript"/>
        </w:rPr>
        <w:t>OS</w:t>
      </w:r>
      <w:r>
        <w:rPr>
          <w:b/>
          <w:bCs/>
        </w:rPr>
        <w:t> 4 E 5, DO REGULAMENTO (CE) N.</w:t>
      </w:r>
      <w:r>
        <w:rPr>
          <w:b/>
          <w:bCs/>
          <w:vertAlign w:val="superscript"/>
        </w:rPr>
        <w:t>o</w:t>
      </w:r>
      <w:r>
        <w:rPr>
          <w:b/>
          <w:bCs/>
        </w:rPr>
        <w:t> 139/2004 DO CONSELHO</w:t>
      </w:r>
    </w:p>
    <w:p w14:paraId="48ABA926" w14:textId="77777777" w:rsidR="001E1704" w:rsidRDefault="001E1704" w:rsidP="001E1704">
      <w:pPr>
        <w:pStyle w:val="NormalCentered"/>
        <w:rPr>
          <w:b/>
          <w:bCs/>
        </w:rPr>
      </w:pPr>
      <w:r>
        <w:rPr>
          <w:b/>
          <w:bCs/>
        </w:rPr>
        <w:t>(FORMULÁRIO MF)</w:t>
      </w:r>
    </w:p>
    <w:p w14:paraId="7C84F835" w14:textId="77777777" w:rsidR="001E1704" w:rsidRDefault="001E1704" w:rsidP="001E1704">
      <w:pPr>
        <w:pStyle w:val="ManualHeading1"/>
        <w:numPr>
          <w:ilvl w:val="0"/>
          <w:numId w:val="0"/>
        </w:numPr>
        <w:ind w:left="851" w:hanging="851"/>
      </w:pPr>
      <w:r>
        <w:t>INTRODUÇÃO</w:t>
      </w:r>
    </w:p>
    <w:p w14:paraId="14330E8E" w14:textId="77777777" w:rsidR="001E1704" w:rsidRDefault="001E1704" w:rsidP="001E1704">
      <w:pPr>
        <w:pStyle w:val="ManualHeading2"/>
        <w:numPr>
          <w:ilvl w:val="0"/>
          <w:numId w:val="0"/>
        </w:numPr>
        <w:ind w:left="851" w:hanging="851"/>
      </w:pPr>
      <w:r>
        <w:t>A.</w:t>
      </w:r>
      <w:r>
        <w:tab/>
      </w:r>
      <w:r>
        <w:rPr>
          <w:i/>
          <w:iCs/>
        </w:rPr>
        <w:t>Objetivo do formulário MF</w:t>
      </w:r>
    </w:p>
    <w:p w14:paraId="05C21676" w14:textId="77777777" w:rsidR="001E1704" w:rsidRDefault="001E1704" w:rsidP="001E1704">
      <w:r>
        <w:t>(1)</w:t>
      </w:r>
      <w:r>
        <w:tab/>
        <w:t>O presente formulário MF especifica as informações que devem ser fornecidas aquando da apresentação de um memorando fundamentado relativo a uma remessa anterior à notificação nos termos do artigo 4.</w:t>
      </w:r>
      <w:r>
        <w:rPr>
          <w:vertAlign w:val="superscript"/>
        </w:rPr>
        <w:t>o</w:t>
      </w:r>
      <w:r>
        <w:t>, n.</w:t>
      </w:r>
      <w:r>
        <w:rPr>
          <w:vertAlign w:val="superscript"/>
        </w:rPr>
        <w:t>o</w:t>
      </w:r>
      <w:r>
        <w:t> 4 ou 5, do Regulamento (CE) n.</w:t>
      </w:r>
      <w:r>
        <w:rPr>
          <w:vertAlign w:val="superscript"/>
        </w:rPr>
        <w:t>o</w:t>
      </w:r>
      <w:r>
        <w:t> 139/2004</w:t>
      </w:r>
      <w:r>
        <w:rPr>
          <w:rStyle w:val="FootnoteReference"/>
        </w:rPr>
        <w:footnoteReference w:id="2"/>
      </w:r>
      <w:r>
        <w:t xml:space="preserve"> («Regulamento das Concentrações»). O regime de controlo das concentrações da União Europeia está previsto no Regulamento das Concentrações e no Regulamento de Execução (UE) 2023/914 da Comissão que dá execução ao Regulamento (CE) n.</w:t>
      </w:r>
      <w:r>
        <w:rPr>
          <w:vertAlign w:val="superscript"/>
        </w:rPr>
        <w:t>o</w:t>
      </w:r>
      <w:r>
        <w:t> 139/2004 do Conselho relativo ao controlo das concentrações de empresas («Regulamento de Execução)</w:t>
      </w:r>
      <w:r>
        <w:rPr>
          <w:rStyle w:val="FootnoteReference"/>
        </w:rPr>
        <w:footnoteReference w:id="3"/>
      </w:r>
      <w:r>
        <w:t>, em que o presente formulário MF consta em anexo. Chama-se a atenção para as disposições correspondentes do Acordo sobre o Espaço Económico Europeu</w:t>
      </w:r>
      <w:r>
        <w:rPr>
          <w:rStyle w:val="FootnoteReference"/>
        </w:rPr>
        <w:footnoteReference w:id="4"/>
      </w:r>
      <w:r>
        <w:t xml:space="preserve"> («Acordo EEE»).</w:t>
      </w:r>
    </w:p>
    <w:p w14:paraId="01E45B2D" w14:textId="77777777" w:rsidR="001E1704" w:rsidRDefault="001E1704" w:rsidP="001E1704">
      <w:pPr>
        <w:pStyle w:val="ManualHeading2"/>
        <w:numPr>
          <w:ilvl w:val="0"/>
          <w:numId w:val="0"/>
        </w:numPr>
        <w:ind w:left="851" w:hanging="851"/>
      </w:pPr>
      <w:r>
        <w:t>B.</w:t>
      </w:r>
      <w:r>
        <w:tab/>
      </w:r>
      <w:r>
        <w:rPr>
          <w:i/>
          <w:iCs/>
        </w:rPr>
        <w:t>Contactos antes da apresentação do formulário MF e dos pedidos de dispensa</w:t>
      </w:r>
    </w:p>
    <w:p w14:paraId="308A8A91" w14:textId="77777777" w:rsidR="001E1704" w:rsidRDefault="001E1704" w:rsidP="001E1704">
      <w:r>
        <w:t>(2)</w:t>
      </w:r>
      <w:r>
        <w:tab/>
        <w:t>As informações solicitadas no presente formulário MF têm, em princípio, de ser fornecidas em todos os casos, constituindo, por conseguinte, um requisito para um pedido de remessa anterior à notificação completo.</w:t>
      </w:r>
    </w:p>
    <w:p w14:paraId="4DF29F83" w14:textId="77777777" w:rsidR="001E1704" w:rsidRDefault="001E1704" w:rsidP="001E1704">
      <w:pPr>
        <w:pStyle w:val="ManualHeading3"/>
        <w:numPr>
          <w:ilvl w:val="0"/>
          <w:numId w:val="0"/>
        </w:numPr>
        <w:ind w:left="850" w:hanging="850"/>
      </w:pPr>
      <w:r>
        <w:t>1.</w:t>
      </w:r>
      <w:r>
        <w:tab/>
        <w:t>Informações que não estão razoavelmente disponíveis</w:t>
      </w:r>
    </w:p>
    <w:p w14:paraId="6FDE5654" w14:textId="77777777" w:rsidR="001E1704" w:rsidRDefault="001E1704" w:rsidP="001E1704">
      <w:r>
        <w:t>(3)</w:t>
      </w:r>
      <w:r>
        <w:tab/>
        <w:t>Em circunstâncias excecionais, os elementos específicos exigidos pelo presente formulário MF podem não estar razoavelmente à disposição das partes comunicantes, em parte ou na totalidade (por exemplo, devido à indisponibilidade de informações sobre uma empresa-alvo no caso de uma oferta pública de aquisição contestada). Nesse caso, as partes comunicantes podem solicitar à Comissão que dispense da obrigação de fornecer as informações pertinentes ou de qualquer outro requisito no formulário MF relacionado com essas informações. Este pedido deve ser apresentado em conformidade com as instruções constantes do ponto B.3.</w:t>
      </w:r>
    </w:p>
    <w:p w14:paraId="3FA2CA61" w14:textId="77777777" w:rsidR="001E1704" w:rsidRDefault="001E1704" w:rsidP="001E1704">
      <w:pPr>
        <w:pStyle w:val="ManualHeading3"/>
        <w:numPr>
          <w:ilvl w:val="0"/>
          <w:numId w:val="0"/>
        </w:numPr>
        <w:ind w:left="850" w:hanging="850"/>
      </w:pPr>
      <w:r>
        <w:lastRenderedPageBreak/>
        <w:t>2.</w:t>
      </w:r>
      <w:r>
        <w:tab/>
        <w:t>Informações que não são necessárias para a análise do processo pela Comissão</w:t>
      </w:r>
    </w:p>
    <w:p w14:paraId="633ABA70" w14:textId="77777777" w:rsidR="001E1704" w:rsidRDefault="001E1704" w:rsidP="001E1704">
      <w:r>
        <w:t>(4)</w:t>
      </w:r>
      <w:r>
        <w:tab/>
        <w:t>Nos termos do artigo 4.</w:t>
      </w:r>
      <w:r>
        <w:rPr>
          <w:vertAlign w:val="superscript"/>
        </w:rPr>
        <w:t>o</w:t>
      </w:r>
      <w:r>
        <w:t>, n.</w:t>
      </w:r>
      <w:r>
        <w:rPr>
          <w:vertAlign w:val="superscript"/>
        </w:rPr>
        <w:t>o</w:t>
      </w:r>
      <w:r>
        <w:t> 2, e do artigo 6.</w:t>
      </w:r>
      <w:r>
        <w:rPr>
          <w:vertAlign w:val="superscript"/>
        </w:rPr>
        <w:t>o</w:t>
      </w:r>
      <w:r>
        <w:t>, n.</w:t>
      </w:r>
      <w:r>
        <w:rPr>
          <w:vertAlign w:val="superscript"/>
        </w:rPr>
        <w:t>o</w:t>
      </w:r>
      <w:r>
        <w:t> 2, do Regulamento de Execução, a Comissão pode dispensar da obrigação de prestar uma determinada informação no formulário MF, incluindo documentos, ou de qualquer outro requisito, se considerar que o cumprimento destas obrigações ou requisitos não é necessário para a análise do processo. Nesse caso, as partes comunicantes podem solicitar à Comissão que dispense da obrigação de fornecer as informações pertinentes ou de qualquer outro requisito no formulário MF relacionado com essas informações. Este pedido deve ser apresentado em conformidade com as instruções constantes do ponto B.3.</w:t>
      </w:r>
    </w:p>
    <w:p w14:paraId="5F0F344D" w14:textId="77777777" w:rsidR="001E1704" w:rsidRDefault="001E1704" w:rsidP="001E1704">
      <w:pPr>
        <w:pStyle w:val="ManualHeading3"/>
        <w:numPr>
          <w:ilvl w:val="0"/>
          <w:numId w:val="0"/>
        </w:numPr>
        <w:ind w:left="850" w:hanging="850"/>
      </w:pPr>
      <w:r>
        <w:t>3.</w:t>
      </w:r>
      <w:r>
        <w:tab/>
        <w:t>Contactos prévios e pedidos de dispensa</w:t>
      </w:r>
    </w:p>
    <w:p w14:paraId="6556511A" w14:textId="77777777" w:rsidR="001E1704" w:rsidRDefault="001E1704" w:rsidP="001E1704">
      <w:r>
        <w:t>(5)</w:t>
      </w:r>
      <w:r>
        <w:tab/>
        <w:t>As partes que têm o direito de apresentar um formulário MF são convidadas a estabelecer contactos com a Comissão antes de o apresentarem. As partes devem estabelecer esses contactos com base num projeto de formulário MF. A possibilidade de estabelecer contactos prévios é um serviço oferecido pela Comissão às partes comunicantes numa base voluntária, a fim de preparar a apresentação formal do presente formulário MF. Embora não sejam obrigatórios, os contactos prévios são extremamente importantes para as partes comunicantes e para a Comissão determinarem, nomeadamente, o volume exato de informações exigidas num formulário MF, e resultarão, na grande maioria dos casos, numa redução significativa das informações necessárias.</w:t>
      </w:r>
    </w:p>
    <w:p w14:paraId="3B723833" w14:textId="77777777" w:rsidR="001E1704" w:rsidRDefault="001E1704" w:rsidP="001E1704">
      <w:r>
        <w:t>(6)</w:t>
      </w:r>
      <w:r>
        <w:tab/>
        <w:t>No decurso dos contactos prévios, as partes comunicantes podem apresentar pedidos de dispensa. A Comissão considerará os pedidos de dispensa, desde que esteja preenchida uma das seguintes condições:</w:t>
      </w:r>
    </w:p>
    <w:p w14:paraId="27E2C9A1" w14:textId="77777777" w:rsidR="001E1704" w:rsidRDefault="001E1704" w:rsidP="001E1704">
      <w:pPr>
        <w:pStyle w:val="Point0"/>
      </w:pPr>
      <w:r>
        <w:tab/>
        <w:t>(a)</w:t>
      </w:r>
      <w:r>
        <w:tab/>
        <w:t>As partes comunicantes fundamentam devidamente as razões pelas quais as informações pertinentes não estão razoavelmente disponíveis e fornecem as melhores estimativas para os dados em falta, identificando as fontes para essas estimativas. Sempre que possível, as partes comunicantes devem indicar onde as informações solicitadas que não estão disponíveis podem ser obtidas pela Comissão ou pelo(s) Estado(s)-Membro(s) e Estado(s) da EFTA pertinente(s);</w:t>
      </w:r>
    </w:p>
    <w:p w14:paraId="425DFBCE" w14:textId="77777777" w:rsidR="001E1704" w:rsidRDefault="001E1704" w:rsidP="001E1704">
      <w:pPr>
        <w:pStyle w:val="Point0"/>
      </w:pPr>
      <w:r>
        <w:tab/>
        <w:t>(b)</w:t>
      </w:r>
      <w:r>
        <w:tab/>
        <w:t>As partes comunicantes fundamentam devidamente as razões pelas quais as informações pertinentes não são necessárias para a apreciação do formulário MF.</w:t>
      </w:r>
    </w:p>
    <w:p w14:paraId="2A91F144" w14:textId="77777777" w:rsidR="001E1704" w:rsidRDefault="001E1704" w:rsidP="001E1704">
      <w:r>
        <w:t>(7)</w:t>
      </w:r>
      <w:r>
        <w:tab/>
        <w:t>Os pedidos de dispensa devem ser apresentados ao mesmo tempo que o projeto de formulário MF, devendo ser efetuados no próprio texto do projeto de formulário MF (no início da secção ou subsecção pertinente). A Comissão tratará os pedidos de dispensa no contexto da apreciação do projeto de formulário MF. A Comissão precisará normalmente de cinco dias úteis para responder a um pedido de dispensa. Se for apresentado um pedido de dispensa com a justificação de que as informações não são necessárias para a apreciação do formulário MF, a Comissão pode consultar o(s) Estado(s)-Membro(s) ou a(s) autoridade(s) relevante(s) do Estado da EFTA antes de decidir aceitar o pedido.</w:t>
      </w:r>
    </w:p>
    <w:p w14:paraId="3BE198F7" w14:textId="77777777" w:rsidR="001E1704" w:rsidRDefault="001E1704" w:rsidP="001E1704">
      <w:r>
        <w:t>(8)</w:t>
      </w:r>
      <w:r>
        <w:tab/>
        <w:t>Para evitar quaisquer dúvidas, o facto de a Comissão poder ter aceitado que uma determinada informação solicitada pelo presente formulário MF não seja necessária para a apreciação do pedido de remessa anterior à notificação não impede que a Comissão a solicite, a qualquer momento no decorrer do processo, nomeadamente através de um pedido de informações nos termos do artigo 11.</w:t>
      </w:r>
      <w:r>
        <w:rPr>
          <w:vertAlign w:val="superscript"/>
        </w:rPr>
        <w:t>o</w:t>
      </w:r>
      <w:r>
        <w:t xml:space="preserve"> do Regulamento das Concentrações.</w:t>
      </w:r>
    </w:p>
    <w:p w14:paraId="58B61EB6" w14:textId="77777777" w:rsidR="001E1704" w:rsidRDefault="001E1704" w:rsidP="001E1704">
      <w:r>
        <w:lastRenderedPageBreak/>
        <w:t>(9)</w:t>
      </w:r>
      <w:r>
        <w:tab/>
        <w:t>Remetem-se as partes comunicantes para as «Melhores práticas sobre a aplicação dos procedimentos de controlo das concentrações comunitárias» da Direção-Geral da Concorrência («DG Concorrência»), publicadas no sítio Web da DG Concorrência e atualizadas periodicamente, as quais fornecem orientações em matéria de contactos prévios à notificação e de preparação de pedidos de remessa anteriores à notificação.</w:t>
      </w:r>
    </w:p>
    <w:p w14:paraId="5DC503EF" w14:textId="77777777" w:rsidR="001E1704" w:rsidRDefault="001E1704" w:rsidP="001E1704">
      <w:pPr>
        <w:pStyle w:val="ManualHeading2"/>
        <w:numPr>
          <w:ilvl w:val="0"/>
          <w:numId w:val="0"/>
        </w:numPr>
        <w:ind w:left="851" w:hanging="851"/>
      </w:pPr>
      <w:r>
        <w:t>C.</w:t>
      </w:r>
      <w:r>
        <w:tab/>
      </w:r>
      <w:r>
        <w:rPr>
          <w:i/>
          <w:iCs/>
        </w:rPr>
        <w:t>O requisito de um memorando fundamentado exato e completo</w:t>
      </w:r>
    </w:p>
    <w:p w14:paraId="6A34BD2A" w14:textId="77777777" w:rsidR="001E1704" w:rsidRDefault="001E1704" w:rsidP="001E1704">
      <w:r>
        <w:t>(10)</w:t>
      </w:r>
      <w:r>
        <w:tab/>
        <w:t>As informações solicitadas no presente formulário MF têm, em princípio, de ser fornecidas em todos os casos, constituindo, por conseguinte, um requisito para um pedido de remessa anterior à notificação completo. Todas as informações devem ser fornecidas na secção adequada do presente formulário MF e devem ser exatas e completas.</w:t>
      </w:r>
    </w:p>
    <w:p w14:paraId="0449F031" w14:textId="77777777" w:rsidR="001E1704" w:rsidRDefault="001E1704" w:rsidP="001E1704">
      <w:r>
        <w:t>(11)</w:t>
      </w:r>
      <w:r>
        <w:tab/>
        <w:t>Deve atender-se particularmente ao seguinte:</w:t>
      </w:r>
    </w:p>
    <w:p w14:paraId="23904BEA" w14:textId="77777777" w:rsidR="001E1704" w:rsidRDefault="001E1704" w:rsidP="001E1704">
      <w:pPr>
        <w:pStyle w:val="Point0"/>
      </w:pPr>
      <w:r>
        <w:tab/>
        <w:t>(a)</w:t>
      </w:r>
      <w:r>
        <w:tab/>
        <w:t>De acordo com o disposto no artigo 4.</w:t>
      </w:r>
      <w:r>
        <w:rPr>
          <w:vertAlign w:val="superscript"/>
        </w:rPr>
        <w:t>o</w:t>
      </w:r>
      <w:r>
        <w:t>, n.</w:t>
      </w:r>
      <w:r>
        <w:rPr>
          <w:vertAlign w:val="superscript"/>
        </w:rPr>
        <w:t>os</w:t>
      </w:r>
      <w:r>
        <w:t> 4 e 5, do Regulamento das Concentrações e no artigo 5.</w:t>
      </w:r>
      <w:r>
        <w:rPr>
          <w:vertAlign w:val="superscript"/>
        </w:rPr>
        <w:t>o</w:t>
      </w:r>
      <w:r>
        <w:t>, n.</w:t>
      </w:r>
      <w:r>
        <w:rPr>
          <w:vertAlign w:val="superscript"/>
        </w:rPr>
        <w:t>os</w:t>
      </w:r>
      <w:r>
        <w:t> 2 e 4, e no artigo 6.</w:t>
      </w:r>
      <w:r>
        <w:rPr>
          <w:vertAlign w:val="superscript"/>
        </w:rPr>
        <w:t>o</w:t>
      </w:r>
      <w:r>
        <w:t>, n.</w:t>
      </w:r>
      <w:r>
        <w:rPr>
          <w:vertAlign w:val="superscript"/>
        </w:rPr>
        <w:t>o</w:t>
      </w:r>
      <w:r>
        <w:t> 2, do Regulamento de Execução, os prazos estabelecidos no Regulamento das Concentrações no que diz respeito ao formulário MF só começam a correr depois de a Comissão receber todas as informações que devem ser fornecidas juntamente com o memorando. Esta exigência destina-se a assegurar que a Comissão possa apreciar o pedido de remessa anterior à notificação dentro dos prazos previstos no Regulamento das Concentrações;</w:t>
      </w:r>
    </w:p>
    <w:p w14:paraId="71BD07C0" w14:textId="77777777" w:rsidR="001E1704" w:rsidRDefault="001E1704" w:rsidP="001E1704">
      <w:pPr>
        <w:pStyle w:val="Point0"/>
      </w:pPr>
      <w:r>
        <w:tab/>
        <w:t>(b)</w:t>
      </w:r>
      <w:r>
        <w:tab/>
        <w:t>Em conformidade com o artigo 4.</w:t>
      </w:r>
      <w:r>
        <w:rPr>
          <w:vertAlign w:val="superscript"/>
        </w:rPr>
        <w:t>o</w:t>
      </w:r>
      <w:r>
        <w:t>, n.</w:t>
      </w:r>
      <w:r>
        <w:rPr>
          <w:vertAlign w:val="superscript"/>
        </w:rPr>
        <w:t>o</w:t>
      </w:r>
      <w:r>
        <w:t> 4, do Regulamento das Concentrações, a decisão de remeter ou não um caso, no todo ou em parte, para um Estado-Membro ou um Estado da EFTA será normalmente tomada com base nas informações constantes do formulário MF, sem que a Comissão envide mais esforços de investigação. Em conformidade com o artigo 4.</w:t>
      </w:r>
      <w:r>
        <w:rPr>
          <w:vertAlign w:val="superscript"/>
        </w:rPr>
        <w:t>o</w:t>
      </w:r>
      <w:r>
        <w:t>, n.</w:t>
      </w:r>
      <w:r>
        <w:rPr>
          <w:vertAlign w:val="superscript"/>
        </w:rPr>
        <w:t>o</w:t>
      </w:r>
      <w:r>
        <w:t> 5, do Regulamento das Concentrações, a posição de um Estado-Membro ou de um Estado da EFTA relativamente à remessa de um caso para a Comissão será normalmente tomada com base nas informações constantes do formulário MF, sem que as autoridades envolvidas envidem mais esforços de investigação;</w:t>
      </w:r>
    </w:p>
    <w:p w14:paraId="7BDF5658" w14:textId="77777777" w:rsidR="001E1704" w:rsidRDefault="001E1704" w:rsidP="001E1704">
      <w:pPr>
        <w:pStyle w:val="Point0"/>
      </w:pPr>
      <w:r>
        <w:tab/>
        <w:t>(c)</w:t>
      </w:r>
      <w:r>
        <w:tab/>
        <w:t>As partes comunicantes têm consequentemente de verificar, durante a elaboração do seu memorando fundamentado, se todas as informações e argumentos apresentados são suficientemente corroborados por fontes independentes;</w:t>
      </w:r>
    </w:p>
    <w:p w14:paraId="42006913" w14:textId="77777777" w:rsidR="001E1704" w:rsidRDefault="001E1704" w:rsidP="001E1704">
      <w:pPr>
        <w:pStyle w:val="Point0"/>
      </w:pPr>
      <w:r>
        <w:tab/>
        <w:t>(d)</w:t>
      </w:r>
      <w:r>
        <w:tab/>
        <w:t>Em conformidade com o artigo 5.</w:t>
      </w:r>
      <w:r>
        <w:rPr>
          <w:vertAlign w:val="superscript"/>
        </w:rPr>
        <w:t>o</w:t>
      </w:r>
      <w:r>
        <w:t>, n.</w:t>
      </w:r>
      <w:r>
        <w:rPr>
          <w:vertAlign w:val="superscript"/>
        </w:rPr>
        <w:t>o</w:t>
      </w:r>
      <w:r>
        <w:t> 4, e o artigo 6.</w:t>
      </w:r>
      <w:r>
        <w:rPr>
          <w:vertAlign w:val="superscript"/>
        </w:rPr>
        <w:t>o</w:t>
      </w:r>
      <w:r>
        <w:t>, n.</w:t>
      </w:r>
      <w:r>
        <w:rPr>
          <w:vertAlign w:val="superscript"/>
        </w:rPr>
        <w:t>o</w:t>
      </w:r>
      <w:r>
        <w:t> 2, do Regulamento de Execução, as informações inexatas ou deturpadas no memorando fundamentado serão consideradas informações incompletas;</w:t>
      </w:r>
    </w:p>
    <w:p w14:paraId="24CBE887" w14:textId="77777777" w:rsidR="001E1704" w:rsidRDefault="001E1704" w:rsidP="001E1704">
      <w:pPr>
        <w:pStyle w:val="Point0"/>
      </w:pPr>
      <w:r>
        <w:tab/>
        <w:t>(e)</w:t>
      </w:r>
      <w:r>
        <w:tab/>
        <w:t>Nos termos do artigo 14.</w:t>
      </w:r>
      <w:r>
        <w:rPr>
          <w:vertAlign w:val="superscript"/>
        </w:rPr>
        <w:t>o</w:t>
      </w:r>
      <w:r>
        <w:t>, n.</w:t>
      </w:r>
      <w:r>
        <w:rPr>
          <w:vertAlign w:val="superscript"/>
        </w:rPr>
        <w:t>o</w:t>
      </w:r>
      <w:r>
        <w:t> 1, alínea a), do Regulamento das Concentrações, as partes que apresentem um memorando fundamentado em que, deliberada ou negligentemente, prestem informações inexatas ou deturpadas, podem ser sujeitas a coimas de até 1 % do volume de negócios total realizado pela empresa em causa</w:t>
      </w:r>
      <w:r>
        <w:rPr>
          <w:rStyle w:val="FootnoteReference"/>
        </w:rPr>
        <w:footnoteReference w:id="5"/>
      </w:r>
      <w:r>
        <w:t>.</w:t>
      </w:r>
    </w:p>
    <w:p w14:paraId="3DA448BA" w14:textId="77777777" w:rsidR="001E1704" w:rsidRDefault="001E1704" w:rsidP="001E1704">
      <w:pPr>
        <w:pStyle w:val="ManualHeading2"/>
        <w:numPr>
          <w:ilvl w:val="0"/>
          <w:numId w:val="0"/>
        </w:numPr>
        <w:ind w:left="851" w:hanging="851"/>
      </w:pPr>
      <w:r>
        <w:lastRenderedPageBreak/>
        <w:t>D.</w:t>
      </w:r>
      <w:r>
        <w:tab/>
      </w:r>
      <w:r>
        <w:rPr>
          <w:i/>
          <w:iCs/>
        </w:rPr>
        <w:t>Como elaborar um memorando fundamentado</w:t>
      </w:r>
    </w:p>
    <w:p w14:paraId="6286DE8F" w14:textId="77777777" w:rsidR="001E1704" w:rsidRDefault="001E1704" w:rsidP="001E1704">
      <w:r>
        <w:t>(12)</w:t>
      </w:r>
      <w:r>
        <w:tab/>
        <w:t>O memorando fundamentado deve ser apresentado numa das línguas oficiais da União. Esta língua constituirá, posteriormente, a língua do processo em relação a todas as partes comunicantes.</w:t>
      </w:r>
    </w:p>
    <w:p w14:paraId="6B150FBA" w14:textId="77777777" w:rsidR="001E1704" w:rsidRDefault="001E1704" w:rsidP="001E1704">
      <w:r>
        <w:t>(13)</w:t>
      </w:r>
      <w:r>
        <w:tab/>
        <w:t>No intuito de facilitar o tratamento do formulário MF pelas autoridades dos Estados-Membros e dos Estados da EFTA, as partes comunicantes são fortemente incentivadas a fornecer à Comissão uma tradução do seu memorando fundamentado numa língua ou nas línguas suscetíveis de serem entendidas por todos os destinatários da informação. No que diz respeito aos pedidos de remessa para um ou vários Estados-Membros ou para um ou vários Estados da EFTA, as partes comunicantes são fortemente incentivadas a incluir uma cópia do pedido na língua ou nas línguas dos Estados-Membros ou dos Estados da EFTA para os quais é solicitada uma remessa.</w:t>
      </w:r>
    </w:p>
    <w:p w14:paraId="22095579" w14:textId="77777777" w:rsidR="001E1704" w:rsidRDefault="001E1704" w:rsidP="001E1704">
      <w:r>
        <w:t>(14)</w:t>
      </w:r>
      <w:r>
        <w:tab/>
        <w:t>As informações solicitadas neste formulário MF devem ser especificadas utilizando as secções e os pontos, acompanhadas de uma declaração assinada tal como consta da secção 6 e de documentos de apoio em anexo. Sempre que as informações exigidas por uma secção coincidam parcial (ou totalmente) com informações exigidas por outra secção, as mesmas informações não devem ser apresentadas duas vezes, devendo ser utilizadas referências cruzadas exatas.</w:t>
      </w:r>
    </w:p>
    <w:p w14:paraId="5B20C305" w14:textId="77777777" w:rsidR="001E1704" w:rsidRDefault="001E1704" w:rsidP="001E1704">
      <w:r>
        <w:t>(15)</w:t>
      </w:r>
      <w:r>
        <w:tab/>
        <w:t xml:space="preserve">O formulário MF deve ser assinado pelas pessoas legalmente autorizadas a agir em nome de cada uma das partes comunicantes ou por um ou mais representantes externos autorizados das partes comunicantes. As especificações técnicas e as instruções relativas aos memorandos fundamentados (incluindo assinaturas) podem ser consultadas na no </w:t>
      </w:r>
      <w:r>
        <w:rPr>
          <w:i/>
          <w:iCs/>
        </w:rPr>
        <w:t>Jornal Oficial da União Europeia</w:t>
      </w:r>
      <w:r>
        <w:t>.</w:t>
      </w:r>
    </w:p>
    <w:p w14:paraId="12E67C46" w14:textId="77777777" w:rsidR="001E1704" w:rsidRDefault="001E1704" w:rsidP="001E1704">
      <w:r>
        <w:t>(16)</w:t>
      </w:r>
      <w:r>
        <w:tab/>
        <w:t>Por razões de clareza, determinadas informações podem ser apresentadas em anexo. Contudo, é essencial que todos os elementos de informação substanciais sejam apresentados no corpo do formulário MF. Só devem ser utilizados anexos para complementar as informações fornecidas no próprio formulário MF.</w:t>
      </w:r>
    </w:p>
    <w:p w14:paraId="2F3A3AA9" w14:textId="77777777" w:rsidR="001E1704" w:rsidRDefault="001E1704" w:rsidP="001E1704">
      <w:r>
        <w:t>(17)</w:t>
      </w:r>
      <w:r>
        <w:tab/>
        <w:t>Os documentos de apoio devem ser apresentados na sua língua original; no caso de não se tratar de uma língua oficial da União, devem ser traduzidos para a língua do processo (artigo 3.</w:t>
      </w:r>
      <w:r>
        <w:rPr>
          <w:vertAlign w:val="superscript"/>
        </w:rPr>
        <w:t>o</w:t>
      </w:r>
      <w:r>
        <w:t>, n.</w:t>
      </w:r>
      <w:r>
        <w:rPr>
          <w:vertAlign w:val="superscript"/>
        </w:rPr>
        <w:t>o</w:t>
      </w:r>
      <w:r>
        <w:t> 4, e artigo 6.</w:t>
      </w:r>
      <w:r>
        <w:rPr>
          <w:vertAlign w:val="superscript"/>
        </w:rPr>
        <w:t>o</w:t>
      </w:r>
      <w:r>
        <w:t>, n.</w:t>
      </w:r>
      <w:r>
        <w:rPr>
          <w:vertAlign w:val="superscript"/>
        </w:rPr>
        <w:t>o</w:t>
      </w:r>
      <w:r>
        <w:t> 2, do Regulamento de Execução).</w:t>
      </w:r>
    </w:p>
    <w:p w14:paraId="67E925D5" w14:textId="77777777" w:rsidR="001E1704" w:rsidRDefault="001E1704" w:rsidP="001E1704">
      <w:r>
        <w:t>(18)</w:t>
      </w:r>
      <w:r>
        <w:tab/>
        <w:t>Os documentos de apoio podem ser cópias dos originais. Neste caso, as partes comunicantes devem confirmar que os mesmos são cópias verdadeiras e completas.</w:t>
      </w:r>
    </w:p>
    <w:p w14:paraId="765D3E4F" w14:textId="77777777" w:rsidR="001E1704" w:rsidRDefault="001E1704" w:rsidP="001E1704">
      <w:pPr>
        <w:pStyle w:val="ManualHeading2"/>
        <w:numPr>
          <w:ilvl w:val="0"/>
          <w:numId w:val="0"/>
        </w:numPr>
        <w:ind w:left="851" w:hanging="851"/>
      </w:pPr>
      <w:r>
        <w:t>E.</w:t>
      </w:r>
      <w:r>
        <w:tab/>
      </w:r>
      <w:r>
        <w:rPr>
          <w:i/>
          <w:iCs/>
        </w:rPr>
        <w:t>Confidencialidade e dados pessoais</w:t>
      </w:r>
    </w:p>
    <w:p w14:paraId="722C460C" w14:textId="77777777" w:rsidR="001E1704" w:rsidRDefault="001E1704" w:rsidP="001E1704">
      <w:r>
        <w:t>(19)</w:t>
      </w:r>
      <w:r>
        <w:tab/>
        <w:t>O artigo 339.</w:t>
      </w:r>
      <w:r>
        <w:rPr>
          <w:vertAlign w:val="superscript"/>
        </w:rPr>
        <w:t>o</w:t>
      </w:r>
      <w:r>
        <w:t xml:space="preserve"> do Tratado sobre o Funcionamento da União Europeia e o artigo 17.</w:t>
      </w:r>
      <w:r>
        <w:rPr>
          <w:vertAlign w:val="superscript"/>
        </w:rPr>
        <w:t>o</w:t>
      </w:r>
      <w:r>
        <w:t>, n.</w:t>
      </w:r>
      <w:r>
        <w:rPr>
          <w:vertAlign w:val="superscript"/>
        </w:rPr>
        <w:t>o</w:t>
      </w:r>
      <w:r>
        <w:t> 2, do Regulamento das Concentrações, bem como as disposições correspondentes do Acordo EEE</w:t>
      </w:r>
      <w:r>
        <w:rPr>
          <w:rStyle w:val="FootnoteReference"/>
        </w:rPr>
        <w:footnoteReference w:id="6"/>
      </w:r>
      <w:r>
        <w:t>, impõem à Comissão e aos Estados-Membros, ao Órgão de Fiscalização da EFTA e aos Estados da EFTA, bem como aos seus funcionários e outros agentes, que não divulguem as informações obtidas nos termos daquele regulamento, que, pela sua natureza, estejam abrangidas pelo dever de sigilo profissional. Este princípio aplica-se igualmente à proteção das questões confidenciais entre as partes comunicantes.</w:t>
      </w:r>
    </w:p>
    <w:p w14:paraId="27882330" w14:textId="77777777" w:rsidR="001E1704" w:rsidRDefault="001E1704" w:rsidP="001E1704">
      <w:r>
        <w:lastRenderedPageBreak/>
        <w:t>(20)</w:t>
      </w:r>
      <w:r>
        <w:tab/>
        <w:t>Se considerar que os seus interesses poderão ser prejudicados se qualquer das informações prestadas for publicada ou de qualquer outro modo divulgada a outras partes, queira apresentar estas informações separadamente, apondo claramente em cada página a menção «segredo comercial». Deve igualmente indicar os motivos pelos quais estas informações não devem ser divulgadas ou publicadas.</w:t>
      </w:r>
    </w:p>
    <w:p w14:paraId="2CBAA069" w14:textId="77777777" w:rsidR="001E1704" w:rsidRDefault="001E1704" w:rsidP="001E1704">
      <w:r>
        <w:t>(21)</w:t>
      </w:r>
      <w:r>
        <w:tab/>
        <w:t>No caso de fusões ou aquisições conjuntas ou sempre que o memorando fundamentado seja preenchido por mais de uma parte, os segredos comerciais podem ser apresentados separadamente, sendo referidos no memorando como anexos. Para que o memorando seja considerado completo, todos esses anexos devem ser incluídos no memorando fundamentado.</w:t>
      </w:r>
    </w:p>
    <w:p w14:paraId="0EA8A9EC" w14:textId="77777777" w:rsidR="001E1704" w:rsidRDefault="001E1704" w:rsidP="001E1704">
      <w:r>
        <w:t>(22)</w:t>
      </w:r>
      <w:r>
        <w:tab/>
        <w:t>Quaisquer dados pessoais apresentados no presente formulário RS serão tratados em conformidade com o disposto no 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w:t>
      </w:r>
      <w:r>
        <w:rPr>
          <w:vertAlign w:val="superscript"/>
        </w:rPr>
        <w:t>o</w:t>
      </w:r>
      <w:r>
        <w:t> 45/2001 e a Decisão n.</w:t>
      </w:r>
      <w:r>
        <w:rPr>
          <w:vertAlign w:val="superscript"/>
        </w:rPr>
        <w:t>o</w:t>
      </w:r>
      <w:r>
        <w:t> 1247/2002/CE</w:t>
      </w:r>
      <w:r>
        <w:rPr>
          <w:rStyle w:val="FootnoteReference"/>
        </w:rPr>
        <w:footnoteReference w:id="7"/>
      </w:r>
      <w:r>
        <w:t>.</w:t>
      </w:r>
    </w:p>
    <w:p w14:paraId="778B8B0A" w14:textId="77777777" w:rsidR="001E1704" w:rsidRDefault="001E1704" w:rsidP="001E1704">
      <w:pPr>
        <w:pStyle w:val="ManualHeading2"/>
        <w:numPr>
          <w:ilvl w:val="0"/>
          <w:numId w:val="0"/>
        </w:numPr>
        <w:ind w:left="851" w:hanging="851"/>
      </w:pPr>
      <w:r>
        <w:t>F.</w:t>
      </w:r>
      <w:r>
        <w:tab/>
      </w:r>
      <w:r>
        <w:rPr>
          <w:i/>
          <w:iCs/>
        </w:rPr>
        <w:t>Definições e instruções para efeitos do presente formulário MF</w:t>
      </w:r>
    </w:p>
    <w:p w14:paraId="3F61E356" w14:textId="77777777" w:rsidR="001E1704" w:rsidRDefault="001E1704" w:rsidP="001E1704">
      <w:r>
        <w:t>(23)</w:t>
      </w:r>
      <w:r>
        <w:tab/>
        <w:t>Para efeitos do presente formulário, aplicam-se as seguintes definições:</w:t>
      </w:r>
    </w:p>
    <w:p w14:paraId="295B38E1" w14:textId="77777777" w:rsidR="001E1704" w:rsidRDefault="001E1704" w:rsidP="001E1704">
      <w:pPr>
        <w:pStyle w:val="Point0"/>
      </w:pPr>
      <w:r>
        <w:tab/>
        <w:t>(a)</w:t>
      </w:r>
      <w:r>
        <w:tab/>
        <w:t>«Parte(s) na concentração» ou «parte(s)»: esta expressão diz respeito quer à(s) parte(s) adquirente(s) quer à(s) parte(s) adquirida(s), ou as partes que se fundem, incluindo todas as empresas nas quais um interesse com controlo é objeto de aquisição ou de uma oferta pública de aquisição. Salvo especificação em contrário, as expressões «parte(s) notificante(s)» e «parte(s) na concentração» incluem todas as empresas que pertencem aos mesmos grupos que essas partes;</w:t>
      </w:r>
    </w:p>
    <w:p w14:paraId="2BA1D307" w14:textId="77777777" w:rsidR="001E1704" w:rsidRDefault="001E1704" w:rsidP="001E1704">
      <w:pPr>
        <w:pStyle w:val="Point0"/>
      </w:pPr>
      <w:r>
        <w:tab/>
        <w:t>(b)</w:t>
      </w:r>
      <w:r>
        <w:tab/>
        <w:t>«Mercado do produto relevante»: um mercado do produto relevante compreende todos os produtos e/ou serviços considerados permutáveis ou substituíveis pelo consumidor devido às suas características, preços e utilização pretendida. Um mercado do produto relevante pode, em alguns casos, ser composto por um certo número de produtos e/ou serviços específicos que apresentam características físicas ou técnicas amplamente idênticas e que sejam permutáveis. Os fatores importantes para a avaliação do mercado do produto relevante incluem a análise da razão da inclusão dos produtos ou serviços nestes mercados e da exclusão de outros através da utilização da definição acima referida e tendo em conta, por exemplo, a substituibilidade de produtos e serviços, preços, elasticidade de preços cruzados da procura ou outros fatores relevantes (como a substituibilidade do lado da oferta em casos adequados).</w:t>
      </w:r>
    </w:p>
    <w:p w14:paraId="7A296B5C" w14:textId="77777777" w:rsidR="001E1704" w:rsidRDefault="001E1704" w:rsidP="001E1704">
      <w:pPr>
        <w:pStyle w:val="Point0"/>
      </w:pPr>
      <w:r>
        <w:tab/>
        <w:t>(c)</w:t>
      </w:r>
      <w:r>
        <w:tab/>
        <w:t xml:space="preserve">«Mercado geográfico relevante»: o mercado geográfico relevante compreende a área em que as empresas em causa fornecem e procuram produtos ou serviços relevantes, em que as condições de concorrência são suficientemente homogéneas e que podem distinguir-se de áreas geográficas vizinhas devido ao facto, em especial, de as condições da concorrência serem consideravelmente diferentes nessas áreas. Os fatores importantes para a avaliação do mercado geográfico relevante incluem </w:t>
      </w:r>
      <w:r>
        <w:lastRenderedPageBreak/>
        <w:t>nomeadamente a natureza e características dos produtos ou serviços em causa, a existência de barreiras à entrada, de preferências dos consumidores, de diferenças consideráveis das quotas de mercado das empresas entre áreas geográficas vizinhas ou de diferenças de preços substanciais.</w:t>
      </w:r>
    </w:p>
    <w:p w14:paraId="2208B4FD" w14:textId="77777777" w:rsidR="001E1704" w:rsidRDefault="001E1704" w:rsidP="001E1704">
      <w:pPr>
        <w:pStyle w:val="Point0"/>
      </w:pPr>
      <w:r>
        <w:tab/>
        <w:t>(d)</w:t>
      </w:r>
      <w:r>
        <w:tab/>
        <w:t>«Sobreposição horizontal»: uma concentração dá origem a sobreposições horizontais quando as partes na concentração exercem atividades comerciais no(s) mesmo(s) mercado(s) do produto e geográfico(s) relevante(s) (incluindo a conceção de produtos em fase de desenvolvimento</w:t>
      </w:r>
      <w:r>
        <w:rPr>
          <w:rStyle w:val="FootnoteReference"/>
        </w:rPr>
        <w:footnoteReference w:id="8"/>
      </w:r>
      <w:r>
        <w:t>)</w:t>
      </w:r>
      <w:r>
        <w:rPr>
          <w:rStyle w:val="FootnoteReference"/>
        </w:rPr>
        <w:footnoteReference w:id="9"/>
      </w:r>
      <w:r>
        <w:t>;</w:t>
      </w:r>
    </w:p>
    <w:p w14:paraId="43141E75" w14:textId="77777777" w:rsidR="001E1704" w:rsidRDefault="001E1704" w:rsidP="001E1704">
      <w:pPr>
        <w:pStyle w:val="Point0"/>
      </w:pPr>
      <w:r>
        <w:tab/>
        <w:t>(e)</w:t>
      </w:r>
      <w:r>
        <w:tab/>
        <w:t>«Relação não horizontal»: uma concentração dá origem a uma relação não horizontal quando as atividades das partes na concentração se encontram numa relação que não constitui uma sobreposição horizontal;</w:t>
      </w:r>
    </w:p>
    <w:p w14:paraId="75E15275" w14:textId="77777777" w:rsidR="001E1704" w:rsidRDefault="001E1704" w:rsidP="001E1704">
      <w:pPr>
        <w:pStyle w:val="Point0"/>
      </w:pPr>
      <w:r>
        <w:tab/>
        <w:t>(f)</w:t>
      </w:r>
      <w:r>
        <w:tab/>
        <w:t>«Relação vertical»: uma concentração dá origem a relações verticais quando uma ou mais partes na concentração exercem atividades comerciais num mercado do produto que se situe a montante ou a jusante de um mercado do produto no qual uma outra parte na concentração exerce a sua atividade (incluindo a conceção de produtos em fase de desenvolvimento)</w:t>
      </w:r>
      <w:r>
        <w:rPr>
          <w:rStyle w:val="FootnoteReference"/>
        </w:rPr>
        <w:footnoteReference w:id="10"/>
      </w:r>
      <w:r>
        <w:t>;</w:t>
      </w:r>
    </w:p>
    <w:p w14:paraId="6025382E" w14:textId="77777777" w:rsidR="001E1704" w:rsidRDefault="001E1704" w:rsidP="001E1704">
      <w:pPr>
        <w:pStyle w:val="CRSeparator"/>
      </w:pPr>
    </w:p>
    <w:p w14:paraId="0EE92949" w14:textId="77777777" w:rsidR="001E1704" w:rsidRDefault="001E1704" w:rsidP="001E170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e anexo , pt. 3, a)</w:t>
      </w:r>
    </w:p>
    <w:p w14:paraId="21E19091" w14:textId="77777777" w:rsidR="001E1704" w:rsidRDefault="001E1704" w:rsidP="001E1704">
      <w:pPr>
        <w:pStyle w:val="Point0"/>
      </w:pPr>
      <w:r>
        <w:tab/>
        <w:t>g)</w:t>
      </w:r>
      <w:r>
        <w:tab/>
        <w:t>«Mercados afetados»: os mercados afetados são todos os mercados do produto e mercados geográficos relevantes, bem como os mercados do produto e geográficos relevantes alternativos plausíveis em que as atividades das partes se sobrepõem horizontalmente ou estão verticalmente relacionadas e que não preenchem as condições para apreciação nos termos do ponto 5, alínea d) da Comunicação relativa a um procedimento simplificado</w:t>
      </w:r>
      <w:r>
        <w:rPr>
          <w:rStyle w:val="FootnoteReference"/>
        </w:rPr>
        <w:footnoteReference w:id="11"/>
      </w:r>
      <w:r>
        <w:t>e não beneficiam das cláusulas de flexibilidade do ponto 8 da mesma comunicação.</w:t>
      </w:r>
    </w:p>
    <w:p w14:paraId="6573C33F" w14:textId="77777777" w:rsidR="001E1704" w:rsidRDefault="001E1704" w:rsidP="001E1704">
      <w:pPr>
        <w:pStyle w:val="CRSeparator"/>
      </w:pPr>
    </w:p>
    <w:p w14:paraId="2516270C" w14:textId="77777777" w:rsidR="001E1704" w:rsidRDefault="001E1704" w:rsidP="001E170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5DE4C50F" w14:textId="77777777" w:rsidR="001E1704" w:rsidRDefault="001E1704" w:rsidP="001E1704">
      <w:pPr>
        <w:pStyle w:val="Point0"/>
      </w:pPr>
      <w:r>
        <w:tab/>
        <w:t>(h)</w:t>
      </w:r>
      <w:r>
        <w:tab/>
        <w:t>«Ano»: diz respeito ao ano civil, salvo indicação em contrário. Todas as informações solicitadas no presente formulário MF dizem respeito, salvo especificação em contrário, ao ano anterior ao do memorando fundamentado.</w:t>
      </w:r>
    </w:p>
    <w:p w14:paraId="2C68B827" w14:textId="77777777" w:rsidR="001E1704" w:rsidRDefault="001E1704" w:rsidP="001E1704">
      <w:r>
        <w:t>(24)</w:t>
      </w:r>
      <w:r>
        <w:tab/>
        <w:t>Os dados financeiros solicitados no presente formulário MF devem ser expressos em euros, às taxas de câmbio médias vigentes nos anos ou noutros períodos em causa.</w:t>
      </w:r>
    </w:p>
    <w:p w14:paraId="486D72A1" w14:textId="77777777" w:rsidR="001E1704" w:rsidRDefault="001E1704" w:rsidP="001E1704">
      <w:pPr>
        <w:pStyle w:val="ManualHeading2"/>
        <w:numPr>
          <w:ilvl w:val="0"/>
          <w:numId w:val="0"/>
        </w:numPr>
        <w:ind w:left="851" w:hanging="851"/>
      </w:pPr>
      <w:r>
        <w:lastRenderedPageBreak/>
        <w:t>G.</w:t>
      </w:r>
      <w:r>
        <w:tab/>
      </w:r>
      <w:r>
        <w:rPr>
          <w:i/>
          <w:iCs/>
        </w:rPr>
        <w:t>A cooperação internacional entre a Comissão e outras autoridades da concorrência</w:t>
      </w:r>
    </w:p>
    <w:p w14:paraId="29D368C0" w14:textId="77777777" w:rsidR="001E1704" w:rsidRDefault="001E1704" w:rsidP="001E1704">
      <w:r>
        <w:t>(25)</w:t>
      </w:r>
      <w:r>
        <w:tab/>
        <w:t>A Comissão incentiva as partes na concentração a facilitarem a cooperação internacional entre a Comissão e outras autoridades da concorrência responsáveis pela apreciação da mesma concentração. De acordo com a experiência da Comissão, uma boa cooperação entre a Comissão e as autoridades da concorrência em jurisdições fora do EEE implica benefícios substanciais para as empresas em causa. Para o efeito, a Comissão incentiva as partes comunicantes a apresentarem, juntamente com o presente formulário MF, uma lista dessas jurisdições fora do EEE em que a concentração está sujeita a autorização regulamentar em conformidade com as regras de controlo das concentrações, antes ou após a sua conclusão.</w:t>
      </w:r>
    </w:p>
    <w:p w14:paraId="2E66548F" w14:textId="77777777" w:rsidR="001E1704" w:rsidRDefault="001E1704" w:rsidP="001E1704">
      <w:r>
        <w:t>(26)</w:t>
      </w:r>
      <w:r>
        <w:tab/>
        <w:t>Além disso, a Comissão incentiva as partes na concentração a apresentarem renúncias à confidencialidade que permitam à Comissão partilhar informações com outras autoridades da concorrência fora do EEE sobre a mesma concentração. Cada renúncia facilita o debate e a análise conjuntos de uma concentração, uma vez que permite à Comissão partilhar informações relevantes com outras autoridades da concorrência responsáveis pela apreciação da mesma concentração, incluindo informações comerciais confidenciais obtidas junto das partes na concentração. Para o efeito, a Comissão incentiva as partes na concentração a utilizarem o modelo de renúncia da Comissão, publicado no sítio Web da DG Concorrência e regularmente atualizado.</w:t>
      </w:r>
    </w:p>
    <w:p w14:paraId="26C6BE61" w14:textId="77777777" w:rsidR="001E1704" w:rsidRDefault="001E1704" w:rsidP="001E1704">
      <w:pPr>
        <w:pStyle w:val="ManualHeading1"/>
        <w:numPr>
          <w:ilvl w:val="0"/>
          <w:numId w:val="0"/>
        </w:numPr>
        <w:ind w:left="851" w:hanging="851"/>
      </w:pPr>
      <w:r>
        <w:t>SECÇÃO 1</w:t>
      </w:r>
    </w:p>
    <w:p w14:paraId="31824D35" w14:textId="77777777" w:rsidR="001E1704" w:rsidRDefault="001E1704" w:rsidP="001E1704">
      <w:r>
        <w:t>1.1.</w:t>
      </w:r>
      <w:r>
        <w:tab/>
        <w:t>Informações gerais</w:t>
      </w:r>
    </w:p>
    <w:p w14:paraId="6ED8A60B" w14:textId="77777777" w:rsidR="001E1704" w:rsidRDefault="001E1704" w:rsidP="001E1704">
      <w:r>
        <w:t>1.1.1.</w:t>
      </w:r>
      <w:r>
        <w:tab/>
        <w:t>Forneça um resumo da concentração, especificando as partes na concentração, a natureza da concentração (por exemplo, fusão, aquisição ou empresa comum), as áreas de atividade das partes notificantes, os mercados em que a concentração produzirá um impacto (incluindo os principais mercados afetados) e a justificação estratégica e económica para a concentração.</w:t>
      </w:r>
    </w:p>
    <w:p w14:paraId="0866F241" w14:textId="77777777" w:rsidR="001E1704" w:rsidRDefault="001E1704" w:rsidP="001E1704">
      <w:r>
        <w:t>1.1.2.</w:t>
      </w:r>
      <w:r>
        <w:tab/>
        <w:t>Indique se o memorando fundamentado é apresentado em conformidade com o artigo 4.</w:t>
      </w:r>
      <w:r>
        <w:rPr>
          <w:vertAlign w:val="superscript"/>
        </w:rPr>
        <w:t>o</w:t>
      </w:r>
      <w:r>
        <w:t>, n.</w:t>
      </w:r>
      <w:r>
        <w:rPr>
          <w:vertAlign w:val="superscript"/>
        </w:rPr>
        <w:t>o</w:t>
      </w:r>
      <w:r>
        <w:t> 4 ou 5, do Regulamento das Concentrações, com as disposições correspondentes do Acordo EEE, ou com ambos.</w:t>
      </w:r>
    </w:p>
    <w:p w14:paraId="70685DA2" w14:textId="77777777" w:rsidR="001E1704" w:rsidRDefault="001E1704" w:rsidP="001E1704">
      <w:r>
        <w:t>1.2.</w:t>
      </w:r>
      <w:r>
        <w:tab/>
        <w:t>Informações sobre a(s) parte(s) comunicante(s) e outras partes na concentração</w:t>
      </w:r>
      <w:r>
        <w:rPr>
          <w:rStyle w:val="FootnoteReference"/>
        </w:rPr>
        <w:footnoteReference w:id="12"/>
      </w:r>
    </w:p>
    <w:p w14:paraId="6EDD0EA1" w14:textId="77777777" w:rsidR="001E1704" w:rsidRDefault="001E1704" w:rsidP="001E1704">
      <w:r>
        <w:t>Para cada parte que apresenta o memorando fundamentado, bem como para cada uma das outras partes na concentração, indique:</w:t>
      </w:r>
    </w:p>
    <w:p w14:paraId="31871D37" w14:textId="77777777" w:rsidR="001E1704" w:rsidRDefault="001E1704" w:rsidP="001E1704">
      <w:pPr>
        <w:pStyle w:val="Point0"/>
      </w:pPr>
      <w:r>
        <w:tab/>
        <w:t>1.2.1.</w:t>
      </w:r>
      <w:r>
        <w:tab/>
        <w:t>a designação da empresa;</w:t>
      </w:r>
    </w:p>
    <w:p w14:paraId="2778A205" w14:textId="77777777" w:rsidR="001E1704" w:rsidRDefault="001E1704" w:rsidP="001E1704">
      <w:pPr>
        <w:pStyle w:val="Point0"/>
      </w:pPr>
      <w:r>
        <w:tab/>
        <w:t>1.2.2.</w:t>
      </w:r>
      <w:r>
        <w:tab/>
        <w:t>o nome, endereço, números de telefone e endereço eletrónico e cargo ocupado pela pessoa adequada a contactar; o endereço indicado deve ser um endereço de serviço para o qual os documentos e, nomeadamente, as decisões da Comissão e outros atos processuais possam ser notificados, devendo a pessoa de contacto ser considerada autorizada a aceitar a notificação;</w:t>
      </w:r>
    </w:p>
    <w:p w14:paraId="59EC67E4" w14:textId="77777777" w:rsidR="001E1704" w:rsidRDefault="001E1704" w:rsidP="001E1704">
      <w:pPr>
        <w:pStyle w:val="Point0"/>
      </w:pPr>
      <w:r>
        <w:lastRenderedPageBreak/>
        <w:tab/>
        <w:t>1.2.3.</w:t>
      </w:r>
      <w:r>
        <w:tab/>
        <w:t>se forem nomeados um ou mais representantes externos autorizados da empresa que possam ser notificados de documentos e, nomeadamente, de decisões da Comissão e outros atos processuais:</w:t>
      </w:r>
    </w:p>
    <w:p w14:paraId="5D5A7A01" w14:textId="77777777" w:rsidR="001E1704" w:rsidRDefault="001E1704" w:rsidP="001E1704">
      <w:pPr>
        <w:pStyle w:val="Point1"/>
      </w:pPr>
      <w:r>
        <w:tab/>
        <w:t>1.2.3.1.</w:t>
      </w:r>
      <w:r>
        <w:tab/>
        <w:t>o nome, endereço, números de telefone e endereço eletrónico e cargo ocupado por cada representante; e</w:t>
      </w:r>
    </w:p>
    <w:p w14:paraId="730772F1" w14:textId="77777777" w:rsidR="001E1704" w:rsidRDefault="001E1704" w:rsidP="001E1704">
      <w:pPr>
        <w:pStyle w:val="Point1"/>
      </w:pPr>
      <w:r>
        <w:tab/>
        <w:t>1.2.3.2.</w:t>
      </w:r>
      <w:r>
        <w:tab/>
        <w:t>Documento(s) de procuração original(is) [da(s) parte(s) notificante(s)]</w:t>
      </w:r>
      <w:r>
        <w:rPr>
          <w:rStyle w:val="FootnoteReference"/>
        </w:rPr>
        <w:footnoteReference w:id="13"/>
      </w:r>
      <w:r>
        <w:t>.</w:t>
      </w:r>
    </w:p>
    <w:p w14:paraId="7FD18E0B" w14:textId="77777777" w:rsidR="001E1704" w:rsidRDefault="001E1704" w:rsidP="001E1704">
      <w:pPr>
        <w:pStyle w:val="ManualHeading1"/>
        <w:numPr>
          <w:ilvl w:val="0"/>
          <w:numId w:val="0"/>
        </w:numPr>
        <w:ind w:left="851" w:hanging="851"/>
      </w:pPr>
      <w:r>
        <w:t>SECÇÃO 2</w:t>
      </w:r>
    </w:p>
    <w:p w14:paraId="25433E00" w14:textId="77777777" w:rsidR="001E1704" w:rsidRDefault="001E1704" w:rsidP="001E1704">
      <w:pPr>
        <w:pStyle w:val="ManualHeading2"/>
        <w:numPr>
          <w:ilvl w:val="0"/>
          <w:numId w:val="0"/>
        </w:numPr>
        <w:ind w:left="851" w:hanging="851"/>
      </w:pPr>
      <w:r>
        <w:rPr>
          <w:i/>
          <w:iCs/>
        </w:rPr>
        <w:t>CONTEXTO GERAL E ELEMENTOS RELATIVOS À CONCENTRAÇÃO</w:t>
      </w:r>
    </w:p>
    <w:p w14:paraId="1FAE3F2C" w14:textId="77777777" w:rsidR="001E1704" w:rsidRDefault="001E1704" w:rsidP="001E1704">
      <w:r>
        <w:t>As informações solicitadas nesta secção podem ser ilustradas pela utilização de mapas ou diagramas relativos à organização da empresa para revelar a estrutura de propriedade e controlo das partes na concentração antes e depois da realização da concentração.</w:t>
      </w:r>
    </w:p>
    <w:p w14:paraId="7ABA4529" w14:textId="77777777" w:rsidR="001E1704" w:rsidRDefault="001E1704" w:rsidP="001E1704">
      <w:r>
        <w:t>2.1.</w:t>
      </w:r>
      <w:r>
        <w:tab/>
        <w:t>Descreva a natureza da concentração notificada com base nos critérios pertinentes do Regulamento das Concentrações e na Comunicação consolidada da Comissão em matéria de competência</w:t>
      </w:r>
      <w:r>
        <w:rPr>
          <w:rStyle w:val="FootnoteReference"/>
        </w:rPr>
        <w:footnoteReference w:id="14"/>
      </w:r>
      <w:r>
        <w:t>:</w:t>
      </w:r>
    </w:p>
    <w:p w14:paraId="56FC2F5A" w14:textId="77777777" w:rsidR="001E1704" w:rsidRDefault="001E1704" w:rsidP="001E1704">
      <w:pPr>
        <w:pStyle w:val="Point0"/>
      </w:pPr>
      <w:r>
        <w:tab/>
        <w:t>2.1.1.</w:t>
      </w:r>
      <w:r>
        <w:tab/>
        <w:t>identifique as empresas ou pessoas em controlo exclusivo ou conjunto de cada uma das empresas em causa, direta ou indiretamente, e descreva a estrutura de propriedade e controlo de cada uma das empresas em causa antes da realização da concentração;</w:t>
      </w:r>
    </w:p>
    <w:p w14:paraId="23B17A78" w14:textId="77777777" w:rsidR="001E1704" w:rsidRDefault="001E1704" w:rsidP="001E1704">
      <w:pPr>
        <w:pStyle w:val="Point0"/>
      </w:pPr>
      <w:r>
        <w:tab/>
        <w:t>2.1.2.</w:t>
      </w:r>
      <w:r>
        <w:tab/>
        <w:t>explique se o projeto de concentração é um dos seguintes:</w:t>
      </w:r>
    </w:p>
    <w:p w14:paraId="6AB42136" w14:textId="77777777" w:rsidR="001E1704" w:rsidRDefault="001E1704" w:rsidP="001E1704">
      <w:pPr>
        <w:pStyle w:val="Point1"/>
      </w:pPr>
      <w:r>
        <w:tab/>
        <w:t>(a)</w:t>
      </w:r>
      <w:r>
        <w:tab/>
        <w:t>Uma fusão completa;</w:t>
      </w:r>
    </w:p>
    <w:p w14:paraId="1B6B09BC" w14:textId="77777777" w:rsidR="001E1704" w:rsidRDefault="001E1704" w:rsidP="001E1704">
      <w:pPr>
        <w:pStyle w:val="Point1"/>
      </w:pPr>
      <w:r>
        <w:tab/>
        <w:t>(b)</w:t>
      </w:r>
      <w:r>
        <w:tab/>
        <w:t>Uma aquisição de controlo exclusivo ou conjunto;</w:t>
      </w:r>
    </w:p>
    <w:p w14:paraId="74612119" w14:textId="77777777" w:rsidR="001E1704" w:rsidRDefault="001E1704" w:rsidP="001E1704">
      <w:pPr>
        <w:pStyle w:val="Point1"/>
      </w:pPr>
      <w:r>
        <w:tab/>
        <w:t>(c)</w:t>
      </w:r>
      <w:r>
        <w:tab/>
        <w:t>Um contrato ou outro meio de conferir um controlo direto ou indireto, na aceção do artigo 3.</w:t>
      </w:r>
      <w:r>
        <w:rPr>
          <w:vertAlign w:val="superscript"/>
        </w:rPr>
        <w:t>o</w:t>
      </w:r>
      <w:r>
        <w:t>, n.</w:t>
      </w:r>
      <w:r>
        <w:rPr>
          <w:vertAlign w:val="superscript"/>
        </w:rPr>
        <w:t>o</w:t>
      </w:r>
      <w:r>
        <w:t> 2, do Regulamento das Concentrações;</w:t>
      </w:r>
    </w:p>
    <w:p w14:paraId="4D3FB7F0" w14:textId="77777777" w:rsidR="001E1704" w:rsidRDefault="001E1704" w:rsidP="001E1704">
      <w:pPr>
        <w:pStyle w:val="Point1"/>
      </w:pPr>
      <w:r>
        <w:tab/>
        <w:t>(d)</w:t>
      </w:r>
      <w:r>
        <w:tab/>
        <w:t>A aquisição de controlo conjunto de uma empresa comum de pleno exercício em conformidade com o artigo 3.</w:t>
      </w:r>
      <w:r>
        <w:rPr>
          <w:vertAlign w:val="superscript"/>
        </w:rPr>
        <w:t>o</w:t>
      </w:r>
      <w:r>
        <w:t>, n.</w:t>
      </w:r>
      <w:r>
        <w:rPr>
          <w:vertAlign w:val="superscript"/>
        </w:rPr>
        <w:t>o</w:t>
      </w:r>
      <w:r>
        <w:t> 4, do Regulamento das Concentrações; neste caso, explique os motivos pelos quais a empresa comum é considerada uma entidade de pleno exercício</w:t>
      </w:r>
      <w:r>
        <w:rPr>
          <w:rStyle w:val="FootnoteReference"/>
        </w:rPr>
        <w:footnoteReference w:id="15"/>
      </w:r>
      <w:r>
        <w:t>;</w:t>
      </w:r>
    </w:p>
    <w:p w14:paraId="208055C5" w14:textId="77777777" w:rsidR="001E1704" w:rsidRDefault="001E1704" w:rsidP="001E1704">
      <w:pPr>
        <w:pStyle w:val="Point0"/>
      </w:pPr>
      <w:r>
        <w:tab/>
        <w:t>2.1.3.</w:t>
      </w:r>
      <w:r>
        <w:tab/>
        <w:t>explique de que forma a concentração será implementada (por exemplo, através da celebração de um acordo, através do lançamento de uma oferta pública de aquisição, etc.);</w:t>
      </w:r>
    </w:p>
    <w:p w14:paraId="76672966" w14:textId="77777777" w:rsidR="001E1704" w:rsidRDefault="001E1704" w:rsidP="001E1704">
      <w:pPr>
        <w:pStyle w:val="Point0"/>
      </w:pPr>
      <w:r>
        <w:lastRenderedPageBreak/>
        <w:tab/>
        <w:t>2.1.4.</w:t>
      </w:r>
      <w:r>
        <w:tab/>
        <w:t>com base no artigo 4.</w:t>
      </w:r>
      <w:r>
        <w:rPr>
          <w:vertAlign w:val="superscript"/>
        </w:rPr>
        <w:t>o</w:t>
      </w:r>
      <w:r>
        <w:t>, n.</w:t>
      </w:r>
      <w:r>
        <w:rPr>
          <w:vertAlign w:val="superscript"/>
        </w:rPr>
        <w:t>o</w:t>
      </w:r>
      <w:r>
        <w:t> 1, do Regulamento das Concentrações, explique se ocorreu alguma das seguintes situações no momento da notificação:</w:t>
      </w:r>
    </w:p>
    <w:p w14:paraId="6EAC2F27" w14:textId="77777777" w:rsidR="001E1704" w:rsidRDefault="001E1704" w:rsidP="001E1704">
      <w:pPr>
        <w:pStyle w:val="Point1"/>
      </w:pPr>
      <w:r>
        <w:tab/>
        <w:t>(a)</w:t>
      </w:r>
      <w:r>
        <w:tab/>
        <w:t>Foi celebrado um acordo;</w:t>
      </w:r>
    </w:p>
    <w:p w14:paraId="5E99EA2B" w14:textId="77777777" w:rsidR="001E1704" w:rsidRDefault="001E1704" w:rsidP="001E1704">
      <w:pPr>
        <w:pStyle w:val="Point1"/>
      </w:pPr>
      <w:r>
        <w:tab/>
        <w:t>(b)</w:t>
      </w:r>
      <w:r>
        <w:tab/>
        <w:t>Foi adquirido um interesse com controlo;</w:t>
      </w:r>
    </w:p>
    <w:p w14:paraId="51B96F54" w14:textId="77777777" w:rsidR="001E1704" w:rsidRDefault="001E1704" w:rsidP="001E1704">
      <w:pPr>
        <w:pStyle w:val="Point1"/>
      </w:pPr>
      <w:r>
        <w:tab/>
        <w:t>(c)</w:t>
      </w:r>
      <w:r>
        <w:tab/>
        <w:t>Foi anunciada uma oferta pública de aquisição ou a intenção de lançar uma oferta pública de aquisição;</w:t>
      </w:r>
    </w:p>
    <w:p w14:paraId="51F0BF15" w14:textId="77777777" w:rsidR="001E1704" w:rsidRDefault="001E1704" w:rsidP="001E1704">
      <w:pPr>
        <w:pStyle w:val="Point1"/>
      </w:pPr>
      <w:r>
        <w:tab/>
        <w:t>(d)</w:t>
      </w:r>
      <w:r>
        <w:tab/>
        <w:t>As empresas em causa demonstraram uma intenção de boa-fé de celebrar um acordo;</w:t>
      </w:r>
    </w:p>
    <w:p w14:paraId="1BDF731B" w14:textId="77777777" w:rsidR="001E1704" w:rsidRDefault="001E1704" w:rsidP="001E1704">
      <w:pPr>
        <w:pStyle w:val="Point0"/>
      </w:pPr>
      <w:r>
        <w:tab/>
        <w:t>2.1.5.</w:t>
      </w:r>
      <w:r>
        <w:tab/>
        <w:t>indique a data prevista de quaisquer eventos importantes para a realização da concentração;</w:t>
      </w:r>
    </w:p>
    <w:p w14:paraId="664F8A8E" w14:textId="77777777" w:rsidR="001E1704" w:rsidRDefault="001E1704" w:rsidP="001E1704">
      <w:pPr>
        <w:pStyle w:val="Point0"/>
      </w:pPr>
      <w:r>
        <w:tab/>
        <w:t>2.1.6.</w:t>
      </w:r>
      <w:r>
        <w:tab/>
        <w:t>explique a estrutura de propriedade e de controlo de cada uma das empresas em causa após a realização da concentração.</w:t>
      </w:r>
    </w:p>
    <w:p w14:paraId="148348D3" w14:textId="77777777" w:rsidR="001E1704" w:rsidRDefault="001E1704" w:rsidP="001E1704">
      <w:r>
        <w:t>2.2.</w:t>
      </w:r>
      <w:r>
        <w:tab/>
        <w:t>Descreva a justificação económica para a concentração.</w:t>
      </w:r>
    </w:p>
    <w:p w14:paraId="0B8D74F6" w14:textId="77777777" w:rsidR="001E1704" w:rsidRDefault="001E1704" w:rsidP="001E1704">
      <w:r>
        <w:t>2.3.</w:t>
      </w:r>
      <w:r>
        <w:tab/>
        <w:t>Especifique o valor da concentração [(o preço de compra ou o valor de todos os ativos envolvidos, consoante o caso); especifique se a transação se realiza sob a forma de participação de capital, dinheiro ou outros ativos].</w:t>
      </w:r>
    </w:p>
    <w:p w14:paraId="4CCCBE95" w14:textId="77777777" w:rsidR="001E1704" w:rsidRDefault="001E1704" w:rsidP="001E1704">
      <w:r>
        <w:t>2.4.</w:t>
      </w:r>
      <w:r>
        <w:tab/>
        <w:t>Apresente um número suficiente de dados financeiros ou outros para demonstrar se a concentração satisfaz ou não os limiares de competência nos termos do artigo 1.</w:t>
      </w:r>
      <w:r>
        <w:rPr>
          <w:vertAlign w:val="superscript"/>
        </w:rPr>
        <w:t>o</w:t>
      </w:r>
      <w:r>
        <w:t> do Regulamento das Concentrações, fornecendo as seguintes informações para cada uma das empresas em causa na concentração relativamente ao último exercício financeiro</w:t>
      </w:r>
      <w:r>
        <w:rPr>
          <w:rStyle w:val="FootnoteReference"/>
        </w:rPr>
        <w:footnoteReference w:id="16"/>
      </w:r>
      <w:r>
        <w:t>:</w:t>
      </w:r>
    </w:p>
    <w:p w14:paraId="65B84354" w14:textId="77777777" w:rsidR="001E1704" w:rsidRDefault="001E1704" w:rsidP="001E1704">
      <w:pPr>
        <w:pStyle w:val="Point0"/>
      </w:pPr>
      <w:r>
        <w:tab/>
        <w:t>2.4.1.</w:t>
      </w:r>
      <w:r>
        <w:tab/>
        <w:t>volume de negócios realizado a nível mundial;</w:t>
      </w:r>
    </w:p>
    <w:p w14:paraId="68FBC840" w14:textId="77777777" w:rsidR="001E1704" w:rsidRDefault="001E1704" w:rsidP="001E1704">
      <w:pPr>
        <w:pStyle w:val="Point0"/>
      </w:pPr>
      <w:r>
        <w:tab/>
        <w:t>2.4.2.</w:t>
      </w:r>
      <w:r>
        <w:tab/>
        <w:t>volume de negócios realizado na UE;</w:t>
      </w:r>
    </w:p>
    <w:p w14:paraId="1E3E3E2E" w14:textId="77777777" w:rsidR="001E1704" w:rsidRDefault="001E1704" w:rsidP="001E1704">
      <w:pPr>
        <w:pStyle w:val="Point0"/>
      </w:pPr>
      <w:r>
        <w:tab/>
        <w:t>2.4.3.</w:t>
      </w:r>
      <w:r>
        <w:tab/>
        <w:t>volume de negócios realizado à escala do EEE (UE e EFTA);</w:t>
      </w:r>
    </w:p>
    <w:p w14:paraId="54E43903" w14:textId="77777777" w:rsidR="001E1704" w:rsidRDefault="001E1704" w:rsidP="001E1704">
      <w:pPr>
        <w:pStyle w:val="Point0"/>
      </w:pPr>
      <w:r>
        <w:tab/>
        <w:t>2.4.4.</w:t>
      </w:r>
      <w:r>
        <w:tab/>
        <w:t>volume de negócios em cada Estado-Membro (se aplicável, indique o Estado-Membro em que foi efetuado mais de dois terços do volume de negócios realizado na UE);</w:t>
      </w:r>
    </w:p>
    <w:p w14:paraId="526BFACF" w14:textId="77777777" w:rsidR="001E1704" w:rsidRDefault="001E1704" w:rsidP="001E1704">
      <w:pPr>
        <w:pStyle w:val="Point0"/>
      </w:pPr>
      <w:r>
        <w:tab/>
        <w:t>2.4.5.</w:t>
      </w:r>
      <w:r>
        <w:tab/>
        <w:t>volume de negócios realizado na EFTA;</w:t>
      </w:r>
    </w:p>
    <w:p w14:paraId="1381C56C" w14:textId="77777777" w:rsidR="001E1704" w:rsidRDefault="001E1704" w:rsidP="001E1704">
      <w:pPr>
        <w:pStyle w:val="Point0"/>
      </w:pPr>
      <w:r>
        <w:tab/>
        <w:t>2.4.6.</w:t>
      </w:r>
      <w:r>
        <w:tab/>
        <w:t>volume de negócios em cada Estado EFTA (se aplicável, indique o Estado EFTA em que foi efetuado mais de dois terços do volume de negócios realizado na EFTA; indique ainda se o volume de negócios combinado das empresas em causa no território dos Estados da EFTA é igual ou superior a 25 % do seu volume de negócios total no território do EEE).</w:t>
      </w:r>
    </w:p>
    <w:p w14:paraId="747F7B20" w14:textId="77777777" w:rsidR="001E1704" w:rsidRDefault="001E1704" w:rsidP="001E1704">
      <w:r>
        <w:t>Os dados relativos ao volume de negócios devem ser fornecidos através do preenchimento do modelo de quadro da Comissão disponível no sítio Web da DG Concorrência.</w:t>
      </w:r>
    </w:p>
    <w:p w14:paraId="59A371FC" w14:textId="77777777" w:rsidR="001E1704" w:rsidRDefault="001E1704" w:rsidP="001E1704">
      <w:pPr>
        <w:pStyle w:val="ManualHeading1"/>
        <w:numPr>
          <w:ilvl w:val="0"/>
          <w:numId w:val="0"/>
        </w:numPr>
        <w:ind w:left="851" w:hanging="851"/>
      </w:pPr>
      <w:r>
        <w:lastRenderedPageBreak/>
        <w:t>SECÇÃO 3</w:t>
      </w:r>
    </w:p>
    <w:p w14:paraId="6E58B805" w14:textId="77777777" w:rsidR="001E1704" w:rsidRDefault="001E1704" w:rsidP="001E1704">
      <w:pPr>
        <w:pStyle w:val="ManualHeading2"/>
        <w:numPr>
          <w:ilvl w:val="0"/>
          <w:numId w:val="0"/>
        </w:numPr>
        <w:ind w:left="851" w:hanging="851"/>
      </w:pPr>
      <w:r>
        <w:rPr>
          <w:i/>
          <w:iCs/>
        </w:rPr>
        <w:t>DEFINIÇÕES DE MERCADOS</w:t>
      </w:r>
    </w:p>
    <w:p w14:paraId="5C989219" w14:textId="77777777" w:rsidR="001E1704" w:rsidRDefault="001E1704" w:rsidP="001E1704">
      <w:r>
        <w:t>Os mercados do produto e geográficos relevantes servem para identificar o âmbito em que deve ser avaliado o poder de mercado da nova entidade resultante da concentração</w:t>
      </w:r>
      <w:r>
        <w:rPr>
          <w:rStyle w:val="FootnoteReference"/>
        </w:rPr>
        <w:footnoteReference w:id="17"/>
      </w:r>
      <w:r>
        <w:t>. Ao apresentar mercados do produto e geográficos relevantes, as partes comunicantes devem incluir, além de qualquer definição de mercado do produto e geográfico que considerem pertinente, todas as alternativas plausíveis de definições de mercado do produto e geográfico. As definições alternativas plausíveis de mercado do produto e geográfico podem ser identificadas com base nas anteriores decisões da Comissão e nos acórdãos dos tribunais da União e (nomeadamente quando não existam precedentes com base em decisões anteriores da Comissão e em acórdãos de tribunais da União) com base em relatórios do setor, estudos de mercado e documentos internos das partes comunicantes.</w:t>
      </w:r>
    </w:p>
    <w:p w14:paraId="6429B3B4" w14:textId="77777777" w:rsidR="001E1704" w:rsidRDefault="001E1704" w:rsidP="001E1704">
      <w:r>
        <w:t>3.1.</w:t>
      </w:r>
      <w:r>
        <w:tab/>
        <w:t>Aborde todas as definições plausíveis de mercado relevante sempre que o projeto de concentração possa dar origem a mercados afetados. Explique de que forma as partes comunicantes consideram que os mercados do produto e geográficos relevantes devem ser definidos.</w:t>
      </w:r>
    </w:p>
    <w:p w14:paraId="2EDFEC70" w14:textId="77777777" w:rsidR="001E1704" w:rsidRDefault="001E1704" w:rsidP="001E1704">
      <w:r>
        <w:t>3.2.</w:t>
      </w:r>
      <w:r>
        <w:tab/>
        <w:t>Tendo em conta todas as definições de mercado relevante plausíveis abordadas, deve identificar cada um dos mercados afetados</w:t>
      </w:r>
      <w:r>
        <w:rPr>
          <w:rStyle w:val="FootnoteReference"/>
        </w:rPr>
        <w:footnoteReference w:id="18"/>
      </w:r>
      <w:r>
        <w:t xml:space="preserve"> e fornecer informações sucintas sobre as atividades das partes na concentração em cada mercado relevante plausível. Acrescente ao quadro as linhas necessárias para cobrir todos os mercados plausíveis que considerar:</w:t>
      </w:r>
    </w:p>
    <w:tbl>
      <w:tblPr>
        <w:tblW w:w="0" w:type="auto"/>
        <w:tblLayout w:type="fixed"/>
        <w:tblLook w:val="0000" w:firstRow="0" w:lastRow="0" w:firstColumn="0" w:lastColumn="0" w:noHBand="0" w:noVBand="0"/>
      </w:tblPr>
      <w:tblGrid>
        <w:gridCol w:w="2507"/>
        <w:gridCol w:w="2507"/>
        <w:gridCol w:w="4272"/>
      </w:tblGrid>
      <w:tr w:rsidR="001E1704" w14:paraId="671BB806" w14:textId="77777777" w:rsidTr="00345E3D">
        <w:tc>
          <w:tcPr>
            <w:tcW w:w="9286" w:type="dxa"/>
            <w:gridSpan w:val="3"/>
            <w:tcBorders>
              <w:top w:val="single" w:sz="2" w:space="0" w:color="auto"/>
              <w:left w:val="single" w:sz="2" w:space="0" w:color="auto"/>
              <w:bottom w:val="single" w:sz="2" w:space="0" w:color="auto"/>
              <w:right w:val="single" w:sz="2" w:space="0" w:color="auto"/>
            </w:tcBorders>
          </w:tcPr>
          <w:p w14:paraId="5F7E5BAD" w14:textId="77777777" w:rsidR="001E1704" w:rsidRDefault="001E1704" w:rsidP="00345E3D">
            <w:pPr>
              <w:pStyle w:val="NormalCentered"/>
            </w:pPr>
            <w:r>
              <w:rPr>
                <w:i/>
                <w:iCs/>
              </w:rPr>
              <w:t>Resumo dos mercados afetados</w:t>
            </w:r>
          </w:p>
          <w:p w14:paraId="0D8FF7A2" w14:textId="77777777" w:rsidR="001E1704" w:rsidRDefault="001E1704" w:rsidP="00345E3D">
            <w:pPr>
              <w:pStyle w:val="NormalCentered"/>
            </w:pPr>
            <w:r>
              <w:rPr>
                <w:i/>
                <w:iCs/>
              </w:rPr>
              <w:t>Sobreposições horizontais</w:t>
            </w:r>
          </w:p>
        </w:tc>
      </w:tr>
      <w:tr w:rsidR="001E1704" w14:paraId="346B0303" w14:textId="77777777" w:rsidTr="00345E3D">
        <w:tc>
          <w:tcPr>
            <w:tcW w:w="2507" w:type="dxa"/>
            <w:tcBorders>
              <w:top w:val="single" w:sz="2" w:space="0" w:color="auto"/>
              <w:left w:val="single" w:sz="2" w:space="0" w:color="auto"/>
              <w:bottom w:val="single" w:sz="2" w:space="0" w:color="auto"/>
              <w:right w:val="single" w:sz="2" w:space="0" w:color="auto"/>
            </w:tcBorders>
          </w:tcPr>
          <w:p w14:paraId="2D6FA488" w14:textId="77777777" w:rsidR="001E1704" w:rsidRDefault="001E1704" w:rsidP="00345E3D">
            <w:pPr>
              <w:pStyle w:val="NormalCentered"/>
            </w:pPr>
            <w:r>
              <w:t>Definição de mercado do produto</w:t>
            </w:r>
          </w:p>
        </w:tc>
        <w:tc>
          <w:tcPr>
            <w:tcW w:w="2507" w:type="dxa"/>
            <w:tcBorders>
              <w:top w:val="single" w:sz="2" w:space="0" w:color="auto"/>
              <w:left w:val="single" w:sz="2" w:space="0" w:color="auto"/>
              <w:bottom w:val="single" w:sz="2" w:space="0" w:color="auto"/>
              <w:right w:val="single" w:sz="2" w:space="0" w:color="auto"/>
            </w:tcBorders>
          </w:tcPr>
          <w:p w14:paraId="2F07D3E4" w14:textId="77777777" w:rsidR="001E1704" w:rsidRDefault="001E1704" w:rsidP="00345E3D">
            <w:pPr>
              <w:pStyle w:val="NormalCentered"/>
            </w:pPr>
            <w:r>
              <w:t>Definição de mercado geográfico</w:t>
            </w:r>
          </w:p>
        </w:tc>
        <w:tc>
          <w:tcPr>
            <w:tcW w:w="4272" w:type="dxa"/>
            <w:tcBorders>
              <w:top w:val="single" w:sz="2" w:space="0" w:color="auto"/>
              <w:left w:val="single" w:sz="2" w:space="0" w:color="auto"/>
              <w:bottom w:val="single" w:sz="2" w:space="0" w:color="auto"/>
              <w:right w:val="single" w:sz="2" w:space="0" w:color="auto"/>
            </w:tcBorders>
          </w:tcPr>
          <w:p w14:paraId="5A58AD8A" w14:textId="77777777" w:rsidR="001E1704" w:rsidRDefault="001E1704" w:rsidP="00345E3D">
            <w:pPr>
              <w:pStyle w:val="NormalCentered"/>
            </w:pPr>
            <w:r>
              <w:t>Quota de mercado combinada</w:t>
            </w:r>
          </w:p>
          <w:p w14:paraId="17066D90" w14:textId="77777777" w:rsidR="001E1704" w:rsidRDefault="001E1704" w:rsidP="00345E3D">
            <w:pPr>
              <w:pStyle w:val="NormalCentered"/>
            </w:pPr>
            <w:r>
              <w:t>[Identifique ano]</w:t>
            </w:r>
          </w:p>
          <w:p w14:paraId="6CA5EC66" w14:textId="77777777" w:rsidR="001E1704" w:rsidRDefault="001E1704" w:rsidP="00345E3D">
            <w:pPr>
              <w:pStyle w:val="NormalCentered"/>
            </w:pPr>
            <w:r>
              <w:t>[Identifique parâmetros]</w:t>
            </w:r>
          </w:p>
        </w:tc>
      </w:tr>
      <w:tr w:rsidR="001E1704" w14:paraId="30843AB7" w14:textId="77777777" w:rsidTr="00345E3D">
        <w:tc>
          <w:tcPr>
            <w:tcW w:w="2507" w:type="dxa"/>
            <w:tcBorders>
              <w:top w:val="single" w:sz="2" w:space="0" w:color="auto"/>
              <w:left w:val="single" w:sz="2" w:space="0" w:color="auto"/>
              <w:bottom w:val="single" w:sz="2" w:space="0" w:color="auto"/>
              <w:right w:val="single" w:sz="2" w:space="0" w:color="auto"/>
            </w:tcBorders>
          </w:tcPr>
          <w:p w14:paraId="085F4A9B" w14:textId="77777777" w:rsidR="001E1704" w:rsidRDefault="001E1704" w:rsidP="00345E3D">
            <w:pPr>
              <w:adjustRightInd w:val="0"/>
              <w:spacing w:before="0" w:after="0"/>
              <w:jc w:val="left"/>
              <w:rPr>
                <w:lang w:val="en-US"/>
              </w:rPr>
            </w:pPr>
          </w:p>
        </w:tc>
        <w:tc>
          <w:tcPr>
            <w:tcW w:w="2507" w:type="dxa"/>
            <w:tcBorders>
              <w:top w:val="single" w:sz="2" w:space="0" w:color="auto"/>
              <w:left w:val="single" w:sz="2" w:space="0" w:color="auto"/>
              <w:bottom w:val="single" w:sz="2" w:space="0" w:color="auto"/>
              <w:right w:val="single" w:sz="2" w:space="0" w:color="auto"/>
            </w:tcBorders>
          </w:tcPr>
          <w:p w14:paraId="4ABDDED8" w14:textId="77777777" w:rsidR="001E1704" w:rsidRDefault="001E1704" w:rsidP="00345E3D">
            <w:pPr>
              <w:adjustRightInd w:val="0"/>
              <w:spacing w:before="0" w:after="0"/>
              <w:jc w:val="left"/>
              <w:rPr>
                <w:lang w:val="en-US"/>
              </w:rPr>
            </w:pPr>
          </w:p>
        </w:tc>
        <w:tc>
          <w:tcPr>
            <w:tcW w:w="4272" w:type="dxa"/>
            <w:tcBorders>
              <w:top w:val="single" w:sz="2" w:space="0" w:color="auto"/>
              <w:left w:val="single" w:sz="2" w:space="0" w:color="auto"/>
              <w:bottom w:val="single" w:sz="2" w:space="0" w:color="auto"/>
              <w:right w:val="single" w:sz="2" w:space="0" w:color="auto"/>
            </w:tcBorders>
          </w:tcPr>
          <w:p w14:paraId="711AE9B2" w14:textId="77777777" w:rsidR="001E1704" w:rsidRDefault="001E1704" w:rsidP="00345E3D">
            <w:pPr>
              <w:adjustRightInd w:val="0"/>
              <w:spacing w:before="0" w:after="0"/>
              <w:jc w:val="left"/>
              <w:rPr>
                <w:lang w:val="en-US"/>
              </w:rPr>
            </w:pPr>
          </w:p>
        </w:tc>
      </w:tr>
      <w:tr w:rsidR="001E1704" w14:paraId="7A802266" w14:textId="77777777" w:rsidTr="00345E3D">
        <w:tc>
          <w:tcPr>
            <w:tcW w:w="2507" w:type="dxa"/>
            <w:tcBorders>
              <w:top w:val="single" w:sz="2" w:space="0" w:color="auto"/>
              <w:left w:val="single" w:sz="2" w:space="0" w:color="auto"/>
              <w:bottom w:val="single" w:sz="2" w:space="0" w:color="auto"/>
              <w:right w:val="single" w:sz="2" w:space="0" w:color="auto"/>
            </w:tcBorders>
          </w:tcPr>
          <w:p w14:paraId="5BCD4B6E" w14:textId="77777777" w:rsidR="001E1704" w:rsidRDefault="001E1704" w:rsidP="00345E3D">
            <w:pPr>
              <w:adjustRightInd w:val="0"/>
              <w:spacing w:before="0" w:after="0"/>
              <w:jc w:val="left"/>
              <w:rPr>
                <w:lang w:val="en-US"/>
              </w:rPr>
            </w:pPr>
          </w:p>
        </w:tc>
        <w:tc>
          <w:tcPr>
            <w:tcW w:w="2507" w:type="dxa"/>
            <w:tcBorders>
              <w:top w:val="single" w:sz="2" w:space="0" w:color="auto"/>
              <w:left w:val="single" w:sz="2" w:space="0" w:color="auto"/>
              <w:bottom w:val="single" w:sz="2" w:space="0" w:color="auto"/>
              <w:right w:val="single" w:sz="2" w:space="0" w:color="auto"/>
            </w:tcBorders>
          </w:tcPr>
          <w:p w14:paraId="6DD3A9B4" w14:textId="77777777" w:rsidR="001E1704" w:rsidRDefault="001E1704" w:rsidP="00345E3D">
            <w:pPr>
              <w:adjustRightInd w:val="0"/>
              <w:spacing w:before="0" w:after="0"/>
              <w:jc w:val="left"/>
              <w:rPr>
                <w:lang w:val="en-US"/>
              </w:rPr>
            </w:pPr>
          </w:p>
        </w:tc>
        <w:tc>
          <w:tcPr>
            <w:tcW w:w="4272" w:type="dxa"/>
            <w:tcBorders>
              <w:top w:val="single" w:sz="2" w:space="0" w:color="auto"/>
              <w:left w:val="single" w:sz="2" w:space="0" w:color="auto"/>
              <w:bottom w:val="single" w:sz="2" w:space="0" w:color="auto"/>
              <w:right w:val="single" w:sz="2" w:space="0" w:color="auto"/>
            </w:tcBorders>
          </w:tcPr>
          <w:p w14:paraId="6C224A0F" w14:textId="77777777" w:rsidR="001E1704" w:rsidRDefault="001E1704" w:rsidP="00345E3D">
            <w:pPr>
              <w:adjustRightInd w:val="0"/>
              <w:spacing w:before="0" w:after="0"/>
              <w:jc w:val="left"/>
              <w:rPr>
                <w:lang w:val="en-US"/>
              </w:rPr>
            </w:pPr>
          </w:p>
        </w:tc>
      </w:tr>
    </w:tbl>
    <w:p w14:paraId="20B49420" w14:textId="77777777" w:rsidR="001E1704" w:rsidRDefault="001E1704" w:rsidP="001E1704"/>
    <w:tbl>
      <w:tblPr>
        <w:tblW w:w="0" w:type="auto"/>
        <w:tblLayout w:type="fixed"/>
        <w:tblLook w:val="0000" w:firstRow="0" w:lastRow="0" w:firstColumn="0" w:lastColumn="0" w:noHBand="0" w:noVBand="0"/>
      </w:tblPr>
      <w:tblGrid>
        <w:gridCol w:w="1486"/>
        <w:gridCol w:w="1578"/>
        <w:gridCol w:w="1579"/>
        <w:gridCol w:w="1486"/>
        <w:gridCol w:w="1578"/>
        <w:gridCol w:w="1579"/>
      </w:tblGrid>
      <w:tr w:rsidR="001E1704" w14:paraId="14B51CD3" w14:textId="77777777" w:rsidTr="00345E3D">
        <w:tc>
          <w:tcPr>
            <w:tcW w:w="9286" w:type="dxa"/>
            <w:gridSpan w:val="6"/>
            <w:tcBorders>
              <w:top w:val="single" w:sz="2" w:space="0" w:color="auto"/>
              <w:left w:val="single" w:sz="2" w:space="0" w:color="auto"/>
              <w:bottom w:val="single" w:sz="2" w:space="0" w:color="auto"/>
              <w:right w:val="single" w:sz="2" w:space="0" w:color="auto"/>
            </w:tcBorders>
          </w:tcPr>
          <w:p w14:paraId="4AA346D9" w14:textId="77777777" w:rsidR="001E1704" w:rsidRDefault="001E1704" w:rsidP="00345E3D">
            <w:pPr>
              <w:pStyle w:val="NormalCentered"/>
            </w:pPr>
            <w:r>
              <w:rPr>
                <w:i/>
                <w:iCs/>
              </w:rPr>
              <w:t>Resumo dos mercados afetados</w:t>
            </w:r>
          </w:p>
          <w:p w14:paraId="74E1C7A6" w14:textId="77777777" w:rsidR="001E1704" w:rsidRDefault="001E1704" w:rsidP="00345E3D">
            <w:pPr>
              <w:pStyle w:val="NormalCentered"/>
            </w:pPr>
            <w:r>
              <w:rPr>
                <w:i/>
                <w:iCs/>
              </w:rPr>
              <w:t>Relações verticais</w:t>
            </w:r>
          </w:p>
        </w:tc>
      </w:tr>
      <w:tr w:rsidR="001E1704" w14:paraId="23B3A74B" w14:textId="77777777" w:rsidTr="00345E3D">
        <w:tc>
          <w:tcPr>
            <w:tcW w:w="4643" w:type="dxa"/>
            <w:gridSpan w:val="3"/>
            <w:tcBorders>
              <w:top w:val="single" w:sz="2" w:space="0" w:color="auto"/>
              <w:left w:val="single" w:sz="2" w:space="0" w:color="auto"/>
              <w:bottom w:val="single" w:sz="2" w:space="0" w:color="auto"/>
              <w:right w:val="single" w:sz="2" w:space="0" w:color="auto"/>
            </w:tcBorders>
          </w:tcPr>
          <w:p w14:paraId="031F8553" w14:textId="77777777" w:rsidR="001E1704" w:rsidRDefault="001E1704" w:rsidP="00345E3D">
            <w:pPr>
              <w:pStyle w:val="NormalCentered"/>
            </w:pPr>
            <w:r>
              <w:rPr>
                <w:i/>
                <w:iCs/>
              </w:rPr>
              <w:t>A montante</w:t>
            </w:r>
          </w:p>
        </w:tc>
        <w:tc>
          <w:tcPr>
            <w:tcW w:w="4643" w:type="dxa"/>
            <w:gridSpan w:val="3"/>
            <w:tcBorders>
              <w:top w:val="single" w:sz="2" w:space="0" w:color="auto"/>
              <w:left w:val="single" w:sz="2" w:space="0" w:color="auto"/>
              <w:bottom w:val="single" w:sz="2" w:space="0" w:color="auto"/>
              <w:right w:val="single" w:sz="2" w:space="0" w:color="auto"/>
            </w:tcBorders>
          </w:tcPr>
          <w:p w14:paraId="6B4A7D3E" w14:textId="77777777" w:rsidR="001E1704" w:rsidRDefault="001E1704" w:rsidP="00345E3D">
            <w:pPr>
              <w:pStyle w:val="NormalCentered"/>
            </w:pPr>
            <w:r>
              <w:rPr>
                <w:i/>
                <w:iCs/>
              </w:rPr>
              <w:t>A jusante</w:t>
            </w:r>
          </w:p>
        </w:tc>
      </w:tr>
      <w:tr w:rsidR="001E1704" w14:paraId="6A30C05B" w14:textId="77777777" w:rsidTr="00345E3D">
        <w:tc>
          <w:tcPr>
            <w:tcW w:w="1486" w:type="dxa"/>
            <w:tcBorders>
              <w:top w:val="single" w:sz="2" w:space="0" w:color="auto"/>
              <w:left w:val="single" w:sz="2" w:space="0" w:color="auto"/>
              <w:bottom w:val="single" w:sz="2" w:space="0" w:color="auto"/>
              <w:right w:val="single" w:sz="2" w:space="0" w:color="auto"/>
            </w:tcBorders>
          </w:tcPr>
          <w:p w14:paraId="3E25A4B7" w14:textId="77777777" w:rsidR="001E1704" w:rsidRDefault="001E1704" w:rsidP="00345E3D">
            <w:pPr>
              <w:pStyle w:val="NormalCentered"/>
            </w:pPr>
            <w:r>
              <w:t xml:space="preserve">Definição de mercado do </w:t>
            </w:r>
            <w:r>
              <w:lastRenderedPageBreak/>
              <w:t>produto</w:t>
            </w:r>
          </w:p>
        </w:tc>
        <w:tc>
          <w:tcPr>
            <w:tcW w:w="1578" w:type="dxa"/>
            <w:tcBorders>
              <w:top w:val="single" w:sz="2" w:space="0" w:color="auto"/>
              <w:left w:val="single" w:sz="2" w:space="0" w:color="auto"/>
              <w:bottom w:val="single" w:sz="2" w:space="0" w:color="auto"/>
              <w:right w:val="single" w:sz="2" w:space="0" w:color="auto"/>
            </w:tcBorders>
          </w:tcPr>
          <w:p w14:paraId="452CCA5C" w14:textId="77777777" w:rsidR="001E1704" w:rsidRDefault="001E1704" w:rsidP="00345E3D">
            <w:pPr>
              <w:pStyle w:val="NormalCentered"/>
            </w:pPr>
            <w:r>
              <w:lastRenderedPageBreak/>
              <w:t xml:space="preserve">Definição de mercado </w:t>
            </w:r>
            <w:r>
              <w:lastRenderedPageBreak/>
              <w:t>geográfico</w:t>
            </w:r>
          </w:p>
        </w:tc>
        <w:tc>
          <w:tcPr>
            <w:tcW w:w="1579" w:type="dxa"/>
            <w:tcBorders>
              <w:top w:val="single" w:sz="2" w:space="0" w:color="auto"/>
              <w:left w:val="single" w:sz="2" w:space="0" w:color="auto"/>
              <w:bottom w:val="single" w:sz="2" w:space="0" w:color="auto"/>
              <w:right w:val="single" w:sz="2" w:space="0" w:color="auto"/>
            </w:tcBorders>
          </w:tcPr>
          <w:p w14:paraId="625C0901" w14:textId="77777777" w:rsidR="001E1704" w:rsidRDefault="001E1704" w:rsidP="00345E3D">
            <w:pPr>
              <w:pStyle w:val="NormalCentered"/>
            </w:pPr>
            <w:r>
              <w:lastRenderedPageBreak/>
              <w:t xml:space="preserve">Quota de mercado </w:t>
            </w:r>
            <w:r>
              <w:lastRenderedPageBreak/>
              <w:t>combinada</w:t>
            </w:r>
          </w:p>
          <w:p w14:paraId="7FD2668B" w14:textId="77777777" w:rsidR="001E1704" w:rsidRDefault="001E1704" w:rsidP="00345E3D">
            <w:pPr>
              <w:pStyle w:val="NormalCentered"/>
            </w:pPr>
            <w:r>
              <w:t>[Identifique ano]</w:t>
            </w:r>
          </w:p>
          <w:p w14:paraId="45B4D403" w14:textId="77777777" w:rsidR="001E1704" w:rsidRDefault="001E1704" w:rsidP="00345E3D">
            <w:pPr>
              <w:pStyle w:val="NormalCentered"/>
            </w:pPr>
            <w:r>
              <w:t>[Identifique parâmetros]</w:t>
            </w:r>
          </w:p>
        </w:tc>
        <w:tc>
          <w:tcPr>
            <w:tcW w:w="1486" w:type="dxa"/>
            <w:tcBorders>
              <w:top w:val="single" w:sz="2" w:space="0" w:color="auto"/>
              <w:left w:val="single" w:sz="2" w:space="0" w:color="auto"/>
              <w:bottom w:val="single" w:sz="2" w:space="0" w:color="auto"/>
              <w:right w:val="single" w:sz="2" w:space="0" w:color="auto"/>
            </w:tcBorders>
          </w:tcPr>
          <w:p w14:paraId="4536581F" w14:textId="77777777" w:rsidR="001E1704" w:rsidRDefault="001E1704" w:rsidP="00345E3D">
            <w:pPr>
              <w:pStyle w:val="NormalCentered"/>
            </w:pPr>
            <w:r>
              <w:lastRenderedPageBreak/>
              <w:t xml:space="preserve">Definição de mercado do </w:t>
            </w:r>
            <w:r>
              <w:lastRenderedPageBreak/>
              <w:t>produto</w:t>
            </w:r>
          </w:p>
        </w:tc>
        <w:tc>
          <w:tcPr>
            <w:tcW w:w="1578" w:type="dxa"/>
            <w:tcBorders>
              <w:top w:val="single" w:sz="2" w:space="0" w:color="auto"/>
              <w:left w:val="single" w:sz="2" w:space="0" w:color="auto"/>
              <w:bottom w:val="single" w:sz="2" w:space="0" w:color="auto"/>
              <w:right w:val="single" w:sz="2" w:space="0" w:color="auto"/>
            </w:tcBorders>
          </w:tcPr>
          <w:p w14:paraId="50DF7FB7" w14:textId="77777777" w:rsidR="001E1704" w:rsidRDefault="001E1704" w:rsidP="00345E3D">
            <w:pPr>
              <w:pStyle w:val="NormalCentered"/>
            </w:pPr>
            <w:r>
              <w:lastRenderedPageBreak/>
              <w:t xml:space="preserve">Definição de mercado </w:t>
            </w:r>
            <w:r>
              <w:lastRenderedPageBreak/>
              <w:t>geográfico</w:t>
            </w:r>
          </w:p>
        </w:tc>
        <w:tc>
          <w:tcPr>
            <w:tcW w:w="1579" w:type="dxa"/>
            <w:tcBorders>
              <w:top w:val="single" w:sz="2" w:space="0" w:color="auto"/>
              <w:left w:val="single" w:sz="2" w:space="0" w:color="auto"/>
              <w:bottom w:val="single" w:sz="2" w:space="0" w:color="auto"/>
              <w:right w:val="single" w:sz="2" w:space="0" w:color="auto"/>
            </w:tcBorders>
          </w:tcPr>
          <w:p w14:paraId="2933833F" w14:textId="77777777" w:rsidR="001E1704" w:rsidRDefault="001E1704" w:rsidP="00345E3D">
            <w:pPr>
              <w:pStyle w:val="NormalCentered"/>
            </w:pPr>
            <w:r>
              <w:lastRenderedPageBreak/>
              <w:t xml:space="preserve">Quota de mercado </w:t>
            </w:r>
            <w:r>
              <w:lastRenderedPageBreak/>
              <w:t>combinada</w:t>
            </w:r>
          </w:p>
          <w:p w14:paraId="383ED3B7" w14:textId="77777777" w:rsidR="001E1704" w:rsidRDefault="001E1704" w:rsidP="00345E3D">
            <w:pPr>
              <w:pStyle w:val="NormalCentered"/>
            </w:pPr>
            <w:r>
              <w:t>[Identifique ano]</w:t>
            </w:r>
          </w:p>
          <w:p w14:paraId="5D4CE66D" w14:textId="77777777" w:rsidR="001E1704" w:rsidRDefault="001E1704" w:rsidP="00345E3D">
            <w:pPr>
              <w:pStyle w:val="NormalCentered"/>
            </w:pPr>
            <w:r>
              <w:t>[Identifique parâmetros]</w:t>
            </w:r>
          </w:p>
        </w:tc>
      </w:tr>
      <w:tr w:rsidR="001E1704" w14:paraId="31C89F98" w14:textId="77777777" w:rsidTr="00345E3D">
        <w:tc>
          <w:tcPr>
            <w:tcW w:w="1486" w:type="dxa"/>
            <w:tcBorders>
              <w:top w:val="single" w:sz="2" w:space="0" w:color="auto"/>
              <w:left w:val="single" w:sz="2" w:space="0" w:color="auto"/>
              <w:bottom w:val="single" w:sz="2" w:space="0" w:color="auto"/>
              <w:right w:val="single" w:sz="2" w:space="0" w:color="auto"/>
            </w:tcBorders>
          </w:tcPr>
          <w:p w14:paraId="6B505E50" w14:textId="77777777" w:rsidR="001E1704" w:rsidRDefault="001E1704" w:rsidP="00345E3D">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053F1B8D" w14:textId="77777777" w:rsidR="001E1704" w:rsidRDefault="001E1704" w:rsidP="00345E3D">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6110A6B2" w14:textId="77777777" w:rsidR="001E1704" w:rsidRDefault="001E1704" w:rsidP="00345E3D">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56D7D686" w14:textId="77777777" w:rsidR="001E1704" w:rsidRDefault="001E1704" w:rsidP="00345E3D">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314DC70B" w14:textId="77777777" w:rsidR="001E1704" w:rsidRDefault="001E1704" w:rsidP="00345E3D">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0FD9CE36" w14:textId="77777777" w:rsidR="001E1704" w:rsidRDefault="001E1704" w:rsidP="00345E3D">
            <w:pPr>
              <w:adjustRightInd w:val="0"/>
              <w:spacing w:before="0" w:after="0"/>
              <w:jc w:val="left"/>
              <w:rPr>
                <w:lang w:val="en-US"/>
              </w:rPr>
            </w:pPr>
          </w:p>
        </w:tc>
      </w:tr>
      <w:tr w:rsidR="001E1704" w14:paraId="66832148" w14:textId="77777777" w:rsidTr="00345E3D">
        <w:tc>
          <w:tcPr>
            <w:tcW w:w="1486" w:type="dxa"/>
            <w:tcBorders>
              <w:top w:val="single" w:sz="2" w:space="0" w:color="auto"/>
              <w:left w:val="single" w:sz="2" w:space="0" w:color="auto"/>
              <w:bottom w:val="single" w:sz="2" w:space="0" w:color="auto"/>
              <w:right w:val="single" w:sz="2" w:space="0" w:color="auto"/>
            </w:tcBorders>
          </w:tcPr>
          <w:p w14:paraId="789F69F9" w14:textId="77777777" w:rsidR="001E1704" w:rsidRDefault="001E1704" w:rsidP="00345E3D">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16B17AE8" w14:textId="77777777" w:rsidR="001E1704" w:rsidRDefault="001E1704" w:rsidP="00345E3D">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31C4DD17" w14:textId="77777777" w:rsidR="001E1704" w:rsidRDefault="001E1704" w:rsidP="00345E3D">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686287C8" w14:textId="77777777" w:rsidR="001E1704" w:rsidRDefault="001E1704" w:rsidP="00345E3D">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26FFE7FD" w14:textId="77777777" w:rsidR="001E1704" w:rsidRDefault="001E1704" w:rsidP="00345E3D">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427390B4" w14:textId="77777777" w:rsidR="001E1704" w:rsidRDefault="001E1704" w:rsidP="00345E3D">
            <w:pPr>
              <w:adjustRightInd w:val="0"/>
              <w:spacing w:before="0" w:after="0"/>
              <w:jc w:val="left"/>
              <w:rPr>
                <w:lang w:val="en-US"/>
              </w:rPr>
            </w:pPr>
          </w:p>
        </w:tc>
      </w:tr>
    </w:tbl>
    <w:p w14:paraId="4FA0A378" w14:textId="77777777" w:rsidR="001E1704" w:rsidRDefault="001E1704" w:rsidP="001E1704"/>
    <w:p w14:paraId="60AC040A" w14:textId="77777777" w:rsidR="001E1704" w:rsidRDefault="001E1704" w:rsidP="001E1704">
      <w:pPr>
        <w:pStyle w:val="ManualHeading1"/>
        <w:numPr>
          <w:ilvl w:val="0"/>
          <w:numId w:val="0"/>
        </w:numPr>
        <w:ind w:left="851" w:hanging="851"/>
      </w:pPr>
      <w:r>
        <w:t>SECÇÃO 4</w:t>
      </w:r>
    </w:p>
    <w:p w14:paraId="4223DE7B" w14:textId="77777777" w:rsidR="001E1704" w:rsidRDefault="001E1704" w:rsidP="001E1704">
      <w:pPr>
        <w:pStyle w:val="ManualHeading2"/>
        <w:numPr>
          <w:ilvl w:val="0"/>
          <w:numId w:val="0"/>
        </w:numPr>
        <w:ind w:left="851" w:hanging="851"/>
      </w:pPr>
      <w:r>
        <w:rPr>
          <w:i/>
          <w:iCs/>
        </w:rPr>
        <w:t>INFORMAÇÕES RELATIVAS AOS MERCADOS AFETADOS</w:t>
      </w:r>
    </w:p>
    <w:p w14:paraId="751AEF45" w14:textId="77777777" w:rsidR="001E1704" w:rsidRDefault="001E1704" w:rsidP="001E1704">
      <w:r>
        <w:t>Para cada mercado afetado, deve fornecer todas as informações que se seguem relativas ao último ano:</w:t>
      </w:r>
    </w:p>
    <w:p w14:paraId="255A1B0F" w14:textId="77777777" w:rsidR="001E1704" w:rsidRDefault="001E1704" w:rsidP="001E1704">
      <w:pPr>
        <w:pStyle w:val="Point0"/>
      </w:pPr>
      <w:r>
        <w:tab/>
        <w:t>4.1.</w:t>
      </w:r>
      <w:r>
        <w:tab/>
        <w:t>Relativamente a cada uma das partes na concentração, a natureza das atividades da empresa, as principais filiais ativas, marcas, nomes dos produtos e marcas comerciais utilizadas em cada um desses mercados;</w:t>
      </w:r>
    </w:p>
    <w:p w14:paraId="0CCCE4FF" w14:textId="77777777" w:rsidR="001E1704" w:rsidRDefault="001E1704" w:rsidP="001E1704">
      <w:pPr>
        <w:pStyle w:val="Point0"/>
      </w:pPr>
      <w:r>
        <w:tab/>
        <w:t>4.2.</w:t>
      </w:r>
      <w:r>
        <w:tab/>
        <w:t>Uma estimativa da dimensão total do mercado em termos de valor de vendas (em euros) e de volume de vendas (unidades)</w:t>
      </w:r>
      <w:r>
        <w:rPr>
          <w:rStyle w:val="FootnoteReference"/>
        </w:rPr>
        <w:footnoteReference w:id="19"/>
      </w:r>
      <w:r>
        <w:t>. Deve indicar a base e as fontes para os cálculos e apresente documentos, se disponíveis, para confirmar esses cálculos;</w:t>
      </w:r>
    </w:p>
    <w:p w14:paraId="2B79B63F" w14:textId="77777777" w:rsidR="001E1704" w:rsidRDefault="001E1704" w:rsidP="001E1704">
      <w:pPr>
        <w:pStyle w:val="Point0"/>
      </w:pPr>
      <w:r>
        <w:tab/>
        <w:t>4.3.</w:t>
      </w:r>
      <w:r>
        <w:tab/>
        <w:t>Para cada uma das partes na concentração, as vendas em valor e em volume, bem como uma estimativa das quotas de mercado;</w:t>
      </w:r>
    </w:p>
    <w:p w14:paraId="77515DC8" w14:textId="77777777" w:rsidR="001E1704" w:rsidRDefault="001E1704" w:rsidP="001E1704">
      <w:pPr>
        <w:pStyle w:val="Point0"/>
      </w:pPr>
      <w:r>
        <w:tab/>
        <w:t>4.4.</w:t>
      </w:r>
      <w:r>
        <w:tab/>
        <w:t>Uma estimativa da quota de mercado em termos de valor (e, quando apropriado, em termos de volume) dos três maiores concorrentes (indicando a base das estimativas).</w:t>
      </w:r>
    </w:p>
    <w:p w14:paraId="0787CC21" w14:textId="77777777" w:rsidR="001E1704" w:rsidRDefault="001E1704" w:rsidP="001E1704">
      <w:pPr>
        <w:pStyle w:val="Point0"/>
      </w:pPr>
      <w:r>
        <w:tab/>
        <w:t>4.5.</w:t>
      </w:r>
      <w:r>
        <w:tab/>
        <w:t>Se a concentração incidir sobre uma empresa comum, indique se se verifica a presença significativa de duas ou mais empresas-mãe no mesmo mercado da empresa comum ou num mercado situado a montante ou a jusante dessa empresa comum</w:t>
      </w:r>
      <w:r>
        <w:rPr>
          <w:rStyle w:val="FootnoteReference"/>
        </w:rPr>
        <w:footnoteReference w:id="20"/>
      </w:r>
      <w:r>
        <w:t>.</w:t>
      </w:r>
    </w:p>
    <w:p w14:paraId="7FAEB4DF" w14:textId="77777777" w:rsidR="001E1704" w:rsidRDefault="001E1704" w:rsidP="001E1704">
      <w:pPr>
        <w:pStyle w:val="ManualHeading1"/>
        <w:numPr>
          <w:ilvl w:val="0"/>
          <w:numId w:val="0"/>
        </w:numPr>
        <w:ind w:left="851" w:hanging="851"/>
      </w:pPr>
      <w:r>
        <w:t>SECÇÃO 5</w:t>
      </w:r>
    </w:p>
    <w:p w14:paraId="6C5DD9A0" w14:textId="77777777" w:rsidR="001E1704" w:rsidRDefault="001E1704" w:rsidP="001E1704">
      <w:pPr>
        <w:pStyle w:val="ManualHeading2"/>
        <w:numPr>
          <w:ilvl w:val="0"/>
          <w:numId w:val="0"/>
        </w:numPr>
        <w:ind w:left="851" w:hanging="851"/>
      </w:pPr>
      <w:r>
        <w:rPr>
          <w:i/>
          <w:iCs/>
        </w:rPr>
        <w:t>INFORMAÇÕES PORMENORIZADAS SOBRE O PEDIDO DE REMESSA E MOTIVOS PELOS QUAIS O CASO DEVE SER REMETIDO</w:t>
      </w:r>
    </w:p>
    <w:p w14:paraId="6772D0D3" w14:textId="77777777" w:rsidR="001E1704" w:rsidRDefault="001E1704" w:rsidP="001E1704">
      <w:r>
        <w:t>5.1.</w:t>
      </w:r>
      <w:r>
        <w:tab/>
        <w:t>No que se refere às remessas nos termos do artigo 4.</w:t>
      </w:r>
      <w:r>
        <w:rPr>
          <w:vertAlign w:val="superscript"/>
        </w:rPr>
        <w:t>o</w:t>
      </w:r>
      <w:r>
        <w:t>, n.</w:t>
      </w:r>
      <w:r>
        <w:rPr>
          <w:vertAlign w:val="superscript"/>
        </w:rPr>
        <w:t>o</w:t>
      </w:r>
      <w:r>
        <w:t> 4, do Regulamento das Concentrações e às remessas efetuadas nos termos das disposições pertinentes do Acordo EEE:</w:t>
      </w:r>
    </w:p>
    <w:p w14:paraId="3AC218AD" w14:textId="77777777" w:rsidR="001E1704" w:rsidRDefault="001E1704" w:rsidP="001E1704">
      <w:pPr>
        <w:pStyle w:val="Point0"/>
      </w:pPr>
      <w:r>
        <w:lastRenderedPageBreak/>
        <w:tab/>
        <w:t>5.1.1.</w:t>
      </w:r>
      <w:r>
        <w:tab/>
        <w:t>identifique o(s) Estado(s)-Membro(s) e o(s) Estado(s) da EFTA que, na sua opinião, devem examinar a concentração em conformidade com o artigo 4.</w:t>
      </w:r>
      <w:r>
        <w:rPr>
          <w:vertAlign w:val="superscript"/>
        </w:rPr>
        <w:t>o</w:t>
      </w:r>
      <w:r>
        <w:t>, n.</w:t>
      </w:r>
      <w:r>
        <w:rPr>
          <w:vertAlign w:val="superscript"/>
        </w:rPr>
        <w:t>o</w:t>
      </w:r>
      <w:r>
        <w:t> 4, do Regulamento das Concentrações, indicando se estabeleceu ou não contactos informais com esse(s) Estado(s)-Membro(s) e Estado(s) da EFTA;</w:t>
      </w:r>
    </w:p>
    <w:p w14:paraId="43397F83" w14:textId="77777777" w:rsidR="001E1704" w:rsidRDefault="001E1704" w:rsidP="001E1704">
      <w:pPr>
        <w:pStyle w:val="Point0"/>
      </w:pPr>
      <w:r>
        <w:tab/>
        <w:t>5.1.2.</w:t>
      </w:r>
      <w:r>
        <w:tab/>
        <w:t>especifique se está a solicitar a remessa do caso no seu todo ou em parte. Se estiver a solicitar a remessa de parte do caso, indique claramente que parte ou partes são objeto do pedido de remessa. Se estiver a solicitar a remessa do caso na íntegra, deve confirmar a inexistência de mercados afetados fora do território do(s) Estado(s)-Membro(s) ou do(s) Estado(s) da EFTA visado(s) pelo pedido de remessa;</w:t>
      </w:r>
    </w:p>
    <w:p w14:paraId="0FDD9631" w14:textId="77777777" w:rsidR="001E1704" w:rsidRDefault="001E1704" w:rsidP="001E1704">
      <w:pPr>
        <w:pStyle w:val="Point0"/>
      </w:pPr>
      <w:r>
        <w:tab/>
        <w:t>5.1.3.</w:t>
      </w:r>
      <w:r>
        <w:tab/>
        <w:t>se o projeto de concentração não der origem a mercados afetados na aceção do presente formulário MF, explique</w:t>
      </w:r>
      <w:r>
        <w:rPr>
          <w:rStyle w:val="FootnoteReference"/>
        </w:rPr>
        <w:footnoteReference w:id="21"/>
      </w:r>
      <w:r>
        <w:t>:</w:t>
      </w:r>
    </w:p>
    <w:p w14:paraId="42D781DC" w14:textId="77777777" w:rsidR="001E1704" w:rsidRDefault="001E1704" w:rsidP="001E1704">
      <w:pPr>
        <w:pStyle w:val="Point1"/>
      </w:pPr>
      <w:r>
        <w:tab/>
        <w:t>(a)</w:t>
      </w:r>
      <w:r>
        <w:tab/>
        <w:t>Em que mercado(s) a concentração pode afetar significativamente a concorrência no interior de um Estado-Membro e como;</w:t>
      </w:r>
    </w:p>
    <w:p w14:paraId="609DA744" w14:textId="77777777" w:rsidR="001E1704" w:rsidRDefault="001E1704" w:rsidP="001E1704">
      <w:pPr>
        <w:pStyle w:val="Point1"/>
      </w:pPr>
      <w:r>
        <w:tab/>
        <w:t>(b)</w:t>
      </w:r>
      <w:r>
        <w:tab/>
        <w:t>Por que razão cada um dos mercados identificados em resposta à questão referida na alínea a) apresenta todas as características de um mercado distinto.</w:t>
      </w:r>
    </w:p>
    <w:p w14:paraId="1B26CD72" w14:textId="77777777" w:rsidR="001E1704" w:rsidRDefault="001E1704" w:rsidP="001E1704">
      <w:pPr>
        <w:pStyle w:val="Point0"/>
      </w:pPr>
      <w:r>
        <w:tab/>
        <w:t>5.1.4.</w:t>
      </w:r>
      <w:r>
        <w:tab/>
        <w:t>Na eventualidade de um Estado-Membro e/ou Estado da EFTA se tornar competente para apreciar o caso, no todo ou em parte, na sequência de uma remessa em conformidade com o artigo 4.</w:t>
      </w:r>
      <w:r>
        <w:rPr>
          <w:vertAlign w:val="superscript"/>
        </w:rPr>
        <w:t>o</w:t>
      </w:r>
      <w:r>
        <w:t>, n.</w:t>
      </w:r>
      <w:r>
        <w:rPr>
          <w:vertAlign w:val="superscript"/>
        </w:rPr>
        <w:t>o</w:t>
      </w:r>
      <w:r>
        <w:t> 4, do Regulamento das Concentrações, autoriza que o(s) Estado(s)-Membro(s) e/ou o(s) Estado(s) da EFTA em questão se baseiem nas informações contidas no presente Formulário MF para efeitos dos seus procedimentos nacionais respeitantes a este processo (ou a uma parte do mesmo)? Responda apenas com «Sim» ou «Não».</w:t>
      </w:r>
    </w:p>
    <w:p w14:paraId="3AA45DEA" w14:textId="77777777" w:rsidR="001E1704" w:rsidRDefault="001E1704" w:rsidP="001E1704">
      <w:r>
        <w:t>5.2.</w:t>
      </w:r>
      <w:r>
        <w:tab/>
        <w:t>No que se refere às remessas nos termos do artigo 4.</w:t>
      </w:r>
      <w:r>
        <w:rPr>
          <w:vertAlign w:val="superscript"/>
        </w:rPr>
        <w:t>o</w:t>
      </w:r>
      <w:r>
        <w:t>, n.</w:t>
      </w:r>
      <w:r>
        <w:rPr>
          <w:vertAlign w:val="superscript"/>
        </w:rPr>
        <w:t>o</w:t>
      </w:r>
      <w:r>
        <w:t> 5, do Regulamento das Concentrações e às remessas efetuadas nos termos das disposições pertinentes do Acordo EEE:</w:t>
      </w:r>
    </w:p>
    <w:p w14:paraId="4EB3A922" w14:textId="77777777" w:rsidR="001E1704" w:rsidRDefault="001E1704" w:rsidP="001E1704">
      <w:pPr>
        <w:pStyle w:val="Point0"/>
      </w:pPr>
      <w:r>
        <w:tab/>
        <w:t>5.2.1.</w:t>
      </w:r>
      <w:r>
        <w:tab/>
        <w:t>relativamente a cada Estado-Membro e Estado da EFTA, especifique se a concentração é suscetível de ser apreciada ao abrigo do respetivo direito nacional da concorrência. Esta informação deve ser fornecida através do preenchimento do modelo de quadro da Comissão disponível no sítio Web da DG Concorrência. Para cada Estado-Membro e Estado da EFTA, deve indicar «Sim» (se a concentração puder ser apreciada ao abrigo do direito nacional da concorrência) ou «Não» (se não puder);</w:t>
      </w:r>
    </w:p>
    <w:p w14:paraId="5D6C4FFF" w14:textId="77777777" w:rsidR="001E1704" w:rsidRDefault="001E1704" w:rsidP="001E1704">
      <w:pPr>
        <w:pStyle w:val="Point0"/>
      </w:pPr>
      <w:r>
        <w:tab/>
        <w:t>5.2.2.</w:t>
      </w:r>
      <w:r>
        <w:tab/>
        <w:t>para cada Estado-Membro e Estado da EFTA para o qual tenha preenchido «Sim» no quadro referido no ponto 5.2.1, apresente um número suficiente de dados financeiros ou outros para demonstrar que a concentração satisfaz os critérios de competência pertinentes ao abrigo do direito nacional aplicável;</w:t>
      </w:r>
    </w:p>
    <w:p w14:paraId="1F45D0E4" w14:textId="77777777" w:rsidR="001E1704" w:rsidRDefault="001E1704" w:rsidP="001E1704">
      <w:pPr>
        <w:pStyle w:val="Point0"/>
      </w:pPr>
      <w:r>
        <w:tab/>
        <w:t>5.2.3.</w:t>
      </w:r>
      <w:r>
        <w:tab/>
        <w:t>explique por que razão o caso deve ser examinado pela Comissão se</w:t>
      </w:r>
      <w:r>
        <w:rPr>
          <w:rStyle w:val="FootnoteReference"/>
        </w:rPr>
        <w:footnoteReference w:id="22"/>
      </w:r>
      <w:r>
        <w:t>:</w:t>
      </w:r>
    </w:p>
    <w:p w14:paraId="546B79D8" w14:textId="77777777" w:rsidR="001E1704" w:rsidRDefault="001E1704" w:rsidP="001E1704">
      <w:pPr>
        <w:pStyle w:val="Point1"/>
      </w:pPr>
      <w:r>
        <w:lastRenderedPageBreak/>
        <w:tab/>
        <w:t>(a)</w:t>
      </w:r>
      <w:r>
        <w:tab/>
        <w:t>O projeto de concentração dá origem a mercados afetados (na aceção do presente formulário MF) de âmbito nacional em menos de três Estados-Membros;</w:t>
      </w:r>
    </w:p>
    <w:p w14:paraId="3A2E2418" w14:textId="77777777" w:rsidR="001E1704" w:rsidRDefault="001E1704" w:rsidP="001E1704">
      <w:pPr>
        <w:pStyle w:val="Point1"/>
      </w:pPr>
      <w:r>
        <w:tab/>
        <w:t>(b)</w:t>
      </w:r>
      <w:r>
        <w:tab/>
        <w:t>O projeto de concentração não dá origem a mercados afetados (na aceção do presente formulário MF).</w:t>
      </w:r>
    </w:p>
    <w:p w14:paraId="172B7148" w14:textId="77777777" w:rsidR="001E1704" w:rsidRDefault="001E1704" w:rsidP="001E1704">
      <w:pPr>
        <w:pStyle w:val="ManualHeading1"/>
        <w:numPr>
          <w:ilvl w:val="0"/>
          <w:numId w:val="0"/>
        </w:numPr>
        <w:ind w:left="851" w:hanging="851"/>
      </w:pPr>
      <w:r>
        <w:t>SECÇÃO 6</w:t>
      </w:r>
    </w:p>
    <w:p w14:paraId="78A59259" w14:textId="77777777" w:rsidR="001E1704" w:rsidRDefault="001E1704" w:rsidP="001E1704">
      <w:pPr>
        <w:pStyle w:val="ManualHeading2"/>
        <w:numPr>
          <w:ilvl w:val="0"/>
          <w:numId w:val="0"/>
        </w:numPr>
        <w:ind w:left="851" w:hanging="851"/>
      </w:pPr>
      <w:r>
        <w:rPr>
          <w:i/>
          <w:iCs/>
        </w:rPr>
        <w:t>DECLARAÇÃO</w:t>
      </w:r>
    </w:p>
    <w:p w14:paraId="02EC4D35" w14:textId="77777777" w:rsidR="001E1704" w:rsidRDefault="001E1704" w:rsidP="001E1704">
      <w:r>
        <w:t>O memorando fundamentado deve terminar com a seguinte declaração, a assinar por todas as partes comunicantes, ou em nome delas:</w:t>
      </w:r>
    </w:p>
    <w:p w14:paraId="3E5A9AE2" w14:textId="77777777" w:rsidR="001E1704" w:rsidRDefault="001E1704" w:rsidP="001E1704">
      <w:r>
        <w:rPr>
          <w:i/>
          <w:iCs/>
        </w:rPr>
        <w:t>«A(s) parte(s) comunicante(s) declara(m) que, após verificação cuidadosa, as informações prestadas no presente memorando fundamentado são, tanto quanto é do seu conhecimento, verdadeiras, exatas e completas, que foram fornecidas cópias verdadeiras e completas dos documentos exigidos no formulário MF, que todas as estimativas estão identificadas como tal e que são as que consideram mais corretas quanto aos factos subjacentes e que todas as opiniões manifestadas são sinceras. As partes notificantes têm conhecimento do disposto no artigo 14.</w:t>
      </w:r>
      <w:r>
        <w:rPr>
          <w:i/>
          <w:iCs/>
          <w:vertAlign w:val="superscript"/>
        </w:rPr>
        <w:t>o</w:t>
      </w:r>
      <w:r>
        <w:rPr>
          <w:i/>
          <w:iCs/>
        </w:rPr>
        <w:t>, n.</w:t>
      </w:r>
      <w:r>
        <w:rPr>
          <w:i/>
          <w:iCs/>
          <w:vertAlign w:val="superscript"/>
        </w:rPr>
        <w:t>o</w:t>
      </w:r>
      <w:r>
        <w:rPr>
          <w:i/>
          <w:iCs/>
        </w:rPr>
        <w:t> 1, alínea a), do Regulamento das Concentrações.»</w:t>
      </w:r>
    </w:p>
    <w:p w14:paraId="34F4A586" w14:textId="77777777" w:rsidR="001E1704" w:rsidRDefault="001E1704" w:rsidP="001E1704">
      <w:r>
        <w:t>No caso dos formulários assinados digitalmente, os campos seguintes são meramente informativos. Devem corresponder aos metadados da(s) assinatura(s) eletrónica(s) correspondente(s).</w:t>
      </w:r>
    </w:p>
    <w:p w14:paraId="287ED2DC" w14:textId="77777777" w:rsidR="001E1704" w:rsidRDefault="001E1704" w:rsidP="001E1704">
      <w:r>
        <w:t>Data:</w:t>
      </w:r>
    </w:p>
    <w:p w14:paraId="246BF8D9" w14:textId="77777777" w:rsidR="001E1704" w:rsidRDefault="001E1704" w:rsidP="001E1704">
      <w:pPr>
        <w:pStyle w:val="CRSeparator"/>
      </w:pPr>
    </w:p>
    <w:p w14:paraId="5D3655C7" w14:textId="77777777" w:rsidR="001E1704" w:rsidRDefault="001E1704" w:rsidP="001E170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e anexo , pt. 3, b)</w:t>
      </w:r>
    </w:p>
    <w:tbl>
      <w:tblPr>
        <w:tblW w:w="0" w:type="auto"/>
        <w:tblLayout w:type="fixed"/>
        <w:tblLook w:val="0000" w:firstRow="0" w:lastRow="0" w:firstColumn="0" w:lastColumn="0" w:noHBand="0" w:noVBand="0"/>
      </w:tblPr>
      <w:tblGrid>
        <w:gridCol w:w="4457"/>
        <w:gridCol w:w="4829"/>
      </w:tblGrid>
      <w:tr w:rsidR="001E1704" w14:paraId="37402707" w14:textId="77777777" w:rsidTr="00345E3D">
        <w:tc>
          <w:tcPr>
            <w:tcW w:w="4457" w:type="dxa"/>
            <w:tcBorders>
              <w:top w:val="single" w:sz="2" w:space="0" w:color="auto"/>
              <w:left w:val="single" w:sz="2" w:space="0" w:color="auto"/>
              <w:bottom w:val="single" w:sz="2" w:space="0" w:color="auto"/>
              <w:right w:val="single" w:sz="2" w:space="0" w:color="auto"/>
            </w:tcBorders>
          </w:tcPr>
          <w:p w14:paraId="08858EEF" w14:textId="77777777" w:rsidR="001E1704" w:rsidRDefault="001E1704" w:rsidP="00345E3D">
            <w:pPr>
              <w:pStyle w:val="NormalLeft"/>
            </w:pPr>
            <w:r>
              <w:rPr>
                <w:i/>
                <w:iCs/>
              </w:rPr>
              <w:t>[Parte comunicante 1]</w:t>
            </w:r>
          </w:p>
          <w:p w14:paraId="06C91FEC" w14:textId="77777777" w:rsidR="001E1704" w:rsidRDefault="001E1704" w:rsidP="00345E3D">
            <w:pPr>
              <w:pStyle w:val="NormalLeft"/>
            </w:pPr>
            <w:r>
              <w:t>Nome:</w:t>
            </w:r>
          </w:p>
          <w:p w14:paraId="6CDA63F1" w14:textId="77777777" w:rsidR="001E1704" w:rsidRDefault="001E1704" w:rsidP="00345E3D">
            <w:pPr>
              <w:pStyle w:val="NormalLeft"/>
            </w:pPr>
            <w:r>
              <w:t>Organização:</w:t>
            </w:r>
          </w:p>
          <w:p w14:paraId="11391222" w14:textId="77777777" w:rsidR="001E1704" w:rsidRDefault="001E1704" w:rsidP="00345E3D">
            <w:pPr>
              <w:pStyle w:val="NormalLeft"/>
            </w:pPr>
            <w:r>
              <w:t>Cargo:</w:t>
            </w:r>
          </w:p>
          <w:p w14:paraId="5579664F" w14:textId="77777777" w:rsidR="001E1704" w:rsidRDefault="001E1704" w:rsidP="00345E3D">
            <w:pPr>
              <w:pStyle w:val="NormalLeft"/>
            </w:pPr>
            <w:r>
              <w:t>Endereço:</w:t>
            </w:r>
          </w:p>
          <w:p w14:paraId="2D56DB3D" w14:textId="77777777" w:rsidR="001E1704" w:rsidRDefault="001E1704" w:rsidP="00345E3D">
            <w:pPr>
              <w:pStyle w:val="NormalLeft"/>
            </w:pPr>
            <w:r>
              <w:t>Número de telefone:</w:t>
            </w:r>
          </w:p>
          <w:p w14:paraId="78257445" w14:textId="77777777" w:rsidR="001E1704" w:rsidRDefault="001E1704" w:rsidP="00345E3D">
            <w:pPr>
              <w:pStyle w:val="NormalLeft"/>
            </w:pPr>
            <w:r>
              <w:t>Endereço eletrónico:</w:t>
            </w:r>
          </w:p>
          <w:p w14:paraId="4FEA7559" w14:textId="77777777" w:rsidR="001E1704" w:rsidRDefault="001E1704" w:rsidP="00345E3D">
            <w:pPr>
              <w:pStyle w:val="NormalLeft"/>
            </w:pPr>
            <w:r>
              <w:t>[«assinatura eletrónica»/assinatura].</w:t>
            </w:r>
          </w:p>
        </w:tc>
        <w:tc>
          <w:tcPr>
            <w:tcW w:w="4829" w:type="dxa"/>
            <w:tcBorders>
              <w:top w:val="single" w:sz="2" w:space="0" w:color="auto"/>
              <w:left w:val="single" w:sz="2" w:space="0" w:color="auto"/>
              <w:bottom w:val="single" w:sz="2" w:space="0" w:color="auto"/>
              <w:right w:val="single" w:sz="2" w:space="0" w:color="auto"/>
            </w:tcBorders>
          </w:tcPr>
          <w:p w14:paraId="70A4C1F4" w14:textId="77777777" w:rsidR="001E1704" w:rsidRDefault="001E1704" w:rsidP="00345E3D">
            <w:pPr>
              <w:pStyle w:val="NormalLeft"/>
            </w:pPr>
            <w:r>
              <w:rPr>
                <w:i/>
                <w:iCs/>
              </w:rPr>
              <w:t>[Parte comunicante 2 (se aplicável)]</w:t>
            </w:r>
          </w:p>
          <w:p w14:paraId="7BB199AF" w14:textId="77777777" w:rsidR="001E1704" w:rsidRDefault="001E1704" w:rsidP="00345E3D">
            <w:pPr>
              <w:pStyle w:val="NormalLeft"/>
            </w:pPr>
            <w:r>
              <w:t>Nome:</w:t>
            </w:r>
          </w:p>
          <w:p w14:paraId="6761CC14" w14:textId="77777777" w:rsidR="001E1704" w:rsidRDefault="001E1704" w:rsidP="00345E3D">
            <w:pPr>
              <w:pStyle w:val="NormalLeft"/>
            </w:pPr>
            <w:r>
              <w:t>Organização:</w:t>
            </w:r>
          </w:p>
          <w:p w14:paraId="2DDEFEB2" w14:textId="77777777" w:rsidR="001E1704" w:rsidRDefault="001E1704" w:rsidP="00345E3D">
            <w:pPr>
              <w:pStyle w:val="NormalLeft"/>
            </w:pPr>
            <w:r>
              <w:t>Cargo:</w:t>
            </w:r>
          </w:p>
          <w:p w14:paraId="5EDDCDED" w14:textId="77777777" w:rsidR="001E1704" w:rsidRDefault="001E1704" w:rsidP="00345E3D">
            <w:pPr>
              <w:pStyle w:val="NormalLeft"/>
            </w:pPr>
            <w:r>
              <w:t>Endereço:</w:t>
            </w:r>
          </w:p>
          <w:p w14:paraId="7E31E013" w14:textId="77777777" w:rsidR="001E1704" w:rsidRDefault="001E1704" w:rsidP="00345E3D">
            <w:pPr>
              <w:pStyle w:val="NormalLeft"/>
            </w:pPr>
            <w:r>
              <w:t>Número de telefone:</w:t>
            </w:r>
          </w:p>
          <w:p w14:paraId="5A6E3715" w14:textId="77777777" w:rsidR="001E1704" w:rsidRDefault="001E1704" w:rsidP="00345E3D">
            <w:pPr>
              <w:pStyle w:val="NormalLeft"/>
            </w:pPr>
            <w:r>
              <w:t>Endereço eletrónico:</w:t>
            </w:r>
          </w:p>
          <w:p w14:paraId="5143F5F9" w14:textId="77777777" w:rsidR="001E1704" w:rsidRDefault="001E1704" w:rsidP="00345E3D">
            <w:pPr>
              <w:pStyle w:val="NormalLeft"/>
            </w:pPr>
            <w:r>
              <w:t>[«assinatura eletrónica»/assinatura]</w:t>
            </w:r>
          </w:p>
        </w:tc>
      </w:tr>
    </w:tbl>
    <w:p w14:paraId="1EC3C4B1" w14:textId="77777777" w:rsidR="00672A2B" w:rsidRDefault="00672A2B" w:rsidP="001E1704">
      <w:pPr>
        <w:pStyle w:val="Annexetitreacte"/>
      </w:pPr>
    </w:p>
    <w:sectPr w:rsidR="00672A2B" w:rsidSect="001E1704">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8278B" w14:textId="77777777" w:rsidR="00672A2B" w:rsidRDefault="00672A2B">
      <w:pPr>
        <w:spacing w:before="0" w:after="0"/>
      </w:pPr>
      <w:r>
        <w:separator/>
      </w:r>
    </w:p>
  </w:endnote>
  <w:endnote w:type="continuationSeparator" w:id="0">
    <w:p w14:paraId="40EAC2D1" w14:textId="77777777" w:rsidR="00672A2B" w:rsidRDefault="00672A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F332" w14:textId="77777777" w:rsidR="00672A2B" w:rsidRDefault="00672A2B">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8FE0B" w14:textId="77777777" w:rsidR="00672A2B" w:rsidRDefault="00672A2B">
      <w:pPr>
        <w:spacing w:before="0" w:after="0"/>
      </w:pPr>
      <w:r>
        <w:separator/>
      </w:r>
    </w:p>
  </w:footnote>
  <w:footnote w:type="continuationSeparator" w:id="0">
    <w:p w14:paraId="754BD2DC" w14:textId="77777777" w:rsidR="00672A2B" w:rsidRDefault="00672A2B">
      <w:pPr>
        <w:spacing w:before="0" w:after="0"/>
      </w:pPr>
      <w:r>
        <w:continuationSeparator/>
      </w:r>
    </w:p>
  </w:footnote>
  <w:footnote w:id="1">
    <w:p w14:paraId="5F598CC6" w14:textId="77777777" w:rsidR="00672A2B" w:rsidRDefault="00672A2B">
      <w:pPr>
        <w:pStyle w:val="FootnoteText"/>
      </w:pPr>
      <w:r>
        <w:rPr>
          <w:rStyle w:val="FootnoteReference"/>
          <w:lang w:val="en-US"/>
        </w:rPr>
        <w:footnoteRef/>
      </w:r>
      <w:r>
        <w:rPr>
          <w:lang w:val="en-US"/>
        </w:rPr>
        <w:tab/>
      </w:r>
      <w:r>
        <w:t>Regulamento (UE) n.</w:t>
      </w:r>
      <w:r>
        <w:rPr>
          <w:vertAlign w:val="superscript"/>
        </w:rPr>
        <w:t>o</w:t>
      </w:r>
      <w:r>
        <w:t> 910/2014 do Parlamento Europeu e do Conselho, de 23 de julho de 2014, relativo à identificação eletrónica e aos serviços de confiança para as transações eletrónicas no mercado interno e que revoga a Diretiva 1999/93/CE (JO L 257 de 28.8.2014, p. 73).</w:t>
      </w:r>
    </w:p>
  </w:footnote>
  <w:footnote w:id="2">
    <w:p w14:paraId="3325FBA7" w14:textId="77777777" w:rsidR="001E1704" w:rsidRDefault="001E1704" w:rsidP="001E1704">
      <w:pPr>
        <w:pStyle w:val="FootnoteText"/>
      </w:pPr>
      <w:r>
        <w:rPr>
          <w:rStyle w:val="FootnoteReference"/>
          <w:lang w:val="en-US"/>
        </w:rPr>
        <w:footnoteRef/>
      </w:r>
      <w:r>
        <w:rPr>
          <w:lang w:val="en-US"/>
        </w:rPr>
        <w:tab/>
      </w:r>
      <w:r>
        <w:t>Regulamento (CE) n.</w:t>
      </w:r>
      <w:r>
        <w:rPr>
          <w:vertAlign w:val="superscript"/>
        </w:rPr>
        <w:t>o</w:t>
      </w:r>
      <w:r>
        <w:t> 139/2004 do Conselho, de 20 de janeiro de 2004, relativo ao controlo das concentrações de empresas («Regulamento das concentrações») (JO L 24 de 29.1.2004, p. 1).</w:t>
      </w:r>
    </w:p>
  </w:footnote>
  <w:footnote w:id="3">
    <w:p w14:paraId="533413C7" w14:textId="77777777" w:rsidR="001E1704" w:rsidRDefault="001E1704" w:rsidP="001E1704">
      <w:pPr>
        <w:pStyle w:val="FootnoteText"/>
      </w:pPr>
      <w:r>
        <w:rPr>
          <w:rStyle w:val="FootnoteReference"/>
          <w:lang w:val="en-US"/>
        </w:rPr>
        <w:footnoteRef/>
      </w:r>
      <w:r>
        <w:rPr>
          <w:lang w:val="en-US"/>
        </w:rPr>
        <w:tab/>
      </w:r>
      <w:r>
        <w:t>JO L 119 de 5.5.2023, p. 22.</w:t>
      </w:r>
    </w:p>
  </w:footnote>
  <w:footnote w:id="4">
    <w:p w14:paraId="0FE79888" w14:textId="77777777" w:rsidR="001E1704" w:rsidRDefault="001E1704" w:rsidP="001E1704">
      <w:pPr>
        <w:pStyle w:val="FootnoteText"/>
      </w:pPr>
      <w:r>
        <w:rPr>
          <w:rStyle w:val="FootnoteReference"/>
          <w:lang w:val="en-US"/>
        </w:rPr>
        <w:footnoteRef/>
      </w:r>
      <w:r>
        <w:rPr>
          <w:lang w:val="en-US"/>
        </w:rPr>
        <w:tab/>
      </w:r>
      <w:r>
        <w:t>Ver, em especial, o artigo 57.</w:t>
      </w:r>
      <w:r>
        <w:rPr>
          <w:vertAlign w:val="superscript"/>
        </w:rPr>
        <w:t>o</w:t>
      </w:r>
      <w:r>
        <w:t xml:space="preserve"> do Acordo EEE, o anexo XIV, ponto 1, do Acordo EEE, os Protocolos n.</w:t>
      </w:r>
      <w:r>
        <w:rPr>
          <w:vertAlign w:val="superscript"/>
        </w:rPr>
        <w:t>os</w:t>
      </w:r>
      <w:r>
        <w:t> 21 e 24 do Acordo EEE (todos disponíveis em EUR-Lex - 21994A0103(74) - PT - EUR-Lex (europa.eu)), assim como o Protocolo n.</w:t>
      </w:r>
      <w:r>
        <w:rPr>
          <w:vertAlign w:val="superscript"/>
        </w:rPr>
        <w:t>o</w:t>
      </w:r>
      <w:r>
        <w:t> 4 do Acordo entre os Estados da EFTA relativo à criação de um Órgão de Fiscalização e de um Tribunal de Justiça («Acordo relativo ao Órgão de Fiscalização e ao Tribunal»), disponível em EUR-Lex - JOL_1994_344_R_0001_003 - PT - EUR-Lex (europa.eu). Qualquer referência aos Estados da EFTA deve ser entendida como sendo feita aos Estados da EFTA que são partes contratantes no Acordo EEE. Desde 1 de maio de 2004, esses Estados são a Islândia, o Listenstaine e a Noruega.</w:t>
      </w:r>
    </w:p>
  </w:footnote>
  <w:footnote w:id="5">
    <w:p w14:paraId="42D347B6" w14:textId="77777777" w:rsidR="001E1704" w:rsidRDefault="001E1704" w:rsidP="001E1704">
      <w:pPr>
        <w:pStyle w:val="FootnoteText"/>
      </w:pPr>
      <w:r>
        <w:rPr>
          <w:rStyle w:val="FootnoteReference"/>
          <w:lang w:val="en-US"/>
        </w:rPr>
        <w:footnoteRef/>
      </w:r>
      <w:r>
        <w:rPr>
          <w:lang w:val="en-US"/>
        </w:rPr>
        <w:tab/>
      </w:r>
      <w:r>
        <w:t>No caso de as partes comunicantes fornecerem informações inexatas ou deturpadas no formulário MF, a Comissão pode igualmente adotar as vias de ação descritas na Comunicação da Comissão relativa à remessa de casos de concentrações («Comunicação relativa à remessa») (JO C 56 de 5.3.2005, p. 2), ponto 60, disponível em EUR-Lex - 52005XC0305(01) - PT - EUR-Lex (europa.eu).</w:t>
      </w:r>
    </w:p>
  </w:footnote>
  <w:footnote w:id="6">
    <w:p w14:paraId="3E72F4B3" w14:textId="77777777" w:rsidR="001E1704" w:rsidRDefault="001E1704" w:rsidP="001E1704">
      <w:pPr>
        <w:pStyle w:val="FootnoteText"/>
      </w:pPr>
      <w:r>
        <w:rPr>
          <w:rStyle w:val="FootnoteReference"/>
          <w:lang w:val="en-US"/>
        </w:rPr>
        <w:footnoteRef/>
      </w:r>
      <w:r>
        <w:rPr>
          <w:lang w:val="en-US"/>
        </w:rPr>
        <w:tab/>
      </w:r>
      <w:r>
        <w:t>Ver, em especial, o artigo 122.</w:t>
      </w:r>
      <w:r>
        <w:rPr>
          <w:vertAlign w:val="superscript"/>
        </w:rPr>
        <w:t>o</w:t>
      </w:r>
      <w:r>
        <w:t xml:space="preserve"> do Acordo EEE, o artigo 9.</w:t>
      </w:r>
      <w:r>
        <w:rPr>
          <w:vertAlign w:val="superscript"/>
        </w:rPr>
        <w:t>o</w:t>
      </w:r>
      <w:r>
        <w:t xml:space="preserve"> do Protocolo n.</w:t>
      </w:r>
      <w:r>
        <w:rPr>
          <w:vertAlign w:val="superscript"/>
        </w:rPr>
        <w:t>o</w:t>
      </w:r>
      <w:r>
        <w:t> 24 do Acordo EEE e o artigo 17.</w:t>
      </w:r>
      <w:r>
        <w:rPr>
          <w:vertAlign w:val="superscript"/>
        </w:rPr>
        <w:t>o</w:t>
      </w:r>
      <w:r>
        <w:t>, n.</w:t>
      </w:r>
      <w:r>
        <w:rPr>
          <w:vertAlign w:val="superscript"/>
        </w:rPr>
        <w:t>o</w:t>
      </w:r>
      <w:r>
        <w:t> 2, do capítulo XIII do Protocolo n.</w:t>
      </w:r>
      <w:r>
        <w:rPr>
          <w:vertAlign w:val="superscript"/>
        </w:rPr>
        <w:t>o</w:t>
      </w:r>
      <w:r>
        <w:t> 4 do Acordo relativo ao Órgão de Fiscalização e ao Tribunal.</w:t>
      </w:r>
    </w:p>
  </w:footnote>
  <w:footnote w:id="7">
    <w:p w14:paraId="5B2239DD" w14:textId="77777777" w:rsidR="001E1704" w:rsidRDefault="001E1704" w:rsidP="001E1704">
      <w:pPr>
        <w:pStyle w:val="FootnoteText"/>
      </w:pPr>
      <w:r>
        <w:rPr>
          <w:rStyle w:val="FootnoteReference"/>
          <w:lang w:val="en-US"/>
        </w:rPr>
        <w:footnoteRef/>
      </w:r>
      <w:r>
        <w:rPr>
          <w:lang w:val="en-US"/>
        </w:rPr>
        <w:tab/>
      </w:r>
      <w:r>
        <w:t>JO L 295 de 21.11.2018, p. 39. Ver também uma declaração de confidencialidade relativa às investigações de concentrações em https://ec.europa.eu/competition-policy/index/privacy-policy-competition-investigations_en.</w:t>
      </w:r>
    </w:p>
  </w:footnote>
  <w:footnote w:id="8">
    <w:p w14:paraId="4B12AE06" w14:textId="77777777" w:rsidR="001E1704" w:rsidRDefault="001E1704" w:rsidP="001E1704">
      <w:pPr>
        <w:pStyle w:val="FootnoteText"/>
      </w:pPr>
      <w:r>
        <w:rPr>
          <w:rStyle w:val="FootnoteReference"/>
          <w:lang w:val="en-US"/>
        </w:rPr>
        <w:footnoteRef/>
      </w:r>
      <w:r>
        <w:rPr>
          <w:lang w:val="en-US"/>
        </w:rPr>
        <w:tab/>
      </w:r>
      <w:r>
        <w:t>Os produtos em fase de desenvolvimento são produtos suscetíveis de serem introduzidos no mercado a curto ou médio prazo. Os «produtos em fase de desenvolvimento» também abrangem os serviços.</w:t>
      </w:r>
    </w:p>
  </w:footnote>
  <w:footnote w:id="9">
    <w:p w14:paraId="26AAF4BF" w14:textId="77777777" w:rsidR="001E1704" w:rsidRDefault="001E1704" w:rsidP="001E1704">
      <w:pPr>
        <w:pStyle w:val="FootnoteText"/>
      </w:pPr>
      <w:r>
        <w:rPr>
          <w:rStyle w:val="FootnoteReference"/>
          <w:lang w:val="en-US"/>
        </w:rPr>
        <w:footnoteRef/>
      </w:r>
      <w:r>
        <w:rPr>
          <w:lang w:val="en-US"/>
        </w:rPr>
        <w:tab/>
      </w:r>
      <w:r>
        <w:t>As sobreposições horizontais que envolvem produtos em fase de desenvolvimento incluem sobreposições entre produtos em fase de desenvolvimento e entre um ou mais produtos comercializados e um ou mais produtos em fase de desenvolvimento.</w:t>
      </w:r>
    </w:p>
  </w:footnote>
  <w:footnote w:id="10">
    <w:p w14:paraId="077C11B1" w14:textId="77777777" w:rsidR="001E1704" w:rsidRDefault="001E1704" w:rsidP="001E1704">
      <w:pPr>
        <w:pStyle w:val="FootnoteText"/>
      </w:pPr>
      <w:r>
        <w:rPr>
          <w:rStyle w:val="FootnoteReference"/>
          <w:lang w:val="en-US"/>
        </w:rPr>
        <w:footnoteRef/>
      </w:r>
      <w:r>
        <w:rPr>
          <w:lang w:val="en-US"/>
        </w:rPr>
        <w:tab/>
      </w:r>
      <w:r>
        <w:t>As relações verticais que envolvem produtos em fase de desenvolvimento incluem as relações entre produtos em fase de desenvolvimento e as relações entre um ou mais produtos comercializados e um ou mais produtos em fase de desenvolvimento.</w:t>
      </w:r>
    </w:p>
  </w:footnote>
  <w:footnote w:id="11">
    <w:p w14:paraId="3DBF5FA9" w14:textId="77777777" w:rsidR="001E1704" w:rsidRDefault="001E1704" w:rsidP="001E1704">
      <w:pPr>
        <w:pStyle w:val="FootnoteText"/>
      </w:pPr>
      <w:r>
        <w:rPr>
          <w:rStyle w:val="FootnoteReference"/>
          <w:lang w:val="en-US"/>
        </w:rPr>
        <w:footnoteRef/>
      </w:r>
      <w:r>
        <w:rPr>
          <w:lang w:val="en-US"/>
        </w:rPr>
        <w:tab/>
      </w:r>
      <w:r>
        <w:t>Comunicação da Comissão relativa a um tratamento simplificado de certas concentrações nos termos do Regulamento (CE) n.</w:t>
      </w:r>
      <w:r>
        <w:rPr>
          <w:vertAlign w:val="superscript"/>
        </w:rPr>
        <w:t>o</w:t>
      </w:r>
      <w:r>
        <w:t> 139/2004 do Conselho (JO С 160 de 5.5.2023, p. 1) (“Comunicação relativa a um procedimento simplificado”).</w:t>
      </w:r>
    </w:p>
  </w:footnote>
  <w:footnote w:id="12">
    <w:p w14:paraId="71C59E40" w14:textId="77777777" w:rsidR="001E1704" w:rsidRDefault="001E1704" w:rsidP="001E1704">
      <w:pPr>
        <w:pStyle w:val="FootnoteText"/>
      </w:pPr>
      <w:r>
        <w:rPr>
          <w:rStyle w:val="FootnoteReference"/>
          <w:lang w:val="en-US"/>
        </w:rPr>
        <w:footnoteRef/>
      </w:r>
      <w:r>
        <w:rPr>
          <w:lang w:val="en-US"/>
        </w:rPr>
        <w:tab/>
      </w:r>
      <w:r>
        <w:t>Inclui a empresa-alvo a adquirir no caso de uma oferta pública de aquisição contestada, devendo neste caso as informações ser prestadas na medida do possível.</w:t>
      </w:r>
    </w:p>
  </w:footnote>
  <w:footnote w:id="13">
    <w:p w14:paraId="4554DE82" w14:textId="77777777" w:rsidR="001E1704" w:rsidRDefault="001E1704" w:rsidP="001E1704">
      <w:pPr>
        <w:pStyle w:val="FootnoteText"/>
      </w:pPr>
      <w:r>
        <w:rPr>
          <w:rStyle w:val="FootnoteReference"/>
          <w:lang w:val="en-US"/>
        </w:rPr>
        <w:footnoteRef/>
      </w:r>
      <w:r>
        <w:rPr>
          <w:lang w:val="en-US"/>
        </w:rPr>
        <w:tab/>
      </w:r>
      <w:r>
        <w:t>Ver modelo de documento de procuração em https://ec.europa.eu/competition/mergers/legislation/power_of_attorney_template_en.docx.</w:t>
      </w:r>
    </w:p>
  </w:footnote>
  <w:footnote w:id="14">
    <w:p w14:paraId="63E8F25F" w14:textId="77777777" w:rsidR="001E1704" w:rsidRDefault="001E1704" w:rsidP="001E1704">
      <w:pPr>
        <w:pStyle w:val="FootnoteText"/>
      </w:pPr>
      <w:r>
        <w:rPr>
          <w:rStyle w:val="FootnoteReference"/>
          <w:lang w:val="en-US"/>
        </w:rPr>
        <w:footnoteRef/>
      </w:r>
      <w:r>
        <w:rPr>
          <w:lang w:val="en-US"/>
        </w:rPr>
        <w:tab/>
      </w:r>
      <w:r>
        <w:t>Comunicação consolidada da Comissão em matéria de competência ao abrigo do Regulamento (CE) n.</w:t>
      </w:r>
      <w:r>
        <w:rPr>
          <w:vertAlign w:val="superscript"/>
        </w:rPr>
        <w:t>o</w:t>
      </w:r>
      <w:r>
        <w:t> 139/2004 do Conselho relativo ao controlo das concentrações de empresas («Comunicação consolidada da Comissão em matéria de competência») (JO C 95 de 16.4.2008, p. 1), disponível em EUR-Lex - 52008XC0416(08) - PT - EUR-Lex (europa.eu).</w:t>
      </w:r>
    </w:p>
  </w:footnote>
  <w:footnote w:id="15">
    <w:p w14:paraId="7AA71BD9" w14:textId="77777777" w:rsidR="001E1704" w:rsidRDefault="001E1704" w:rsidP="001E1704">
      <w:pPr>
        <w:pStyle w:val="FootnoteText"/>
      </w:pPr>
      <w:r>
        <w:rPr>
          <w:rStyle w:val="FootnoteReference"/>
          <w:lang w:val="en-US"/>
        </w:rPr>
        <w:footnoteRef/>
      </w:r>
      <w:r>
        <w:rPr>
          <w:lang w:val="en-US"/>
        </w:rPr>
        <w:tab/>
      </w:r>
      <w:r>
        <w:t>Ver secção B IV da Comunicação consolidada da Comissão em matéria de competência.</w:t>
      </w:r>
    </w:p>
  </w:footnote>
  <w:footnote w:id="16">
    <w:p w14:paraId="77E43EE7" w14:textId="77777777" w:rsidR="001E1704" w:rsidRDefault="001E1704" w:rsidP="001E1704">
      <w:pPr>
        <w:pStyle w:val="FootnoteText"/>
      </w:pPr>
      <w:r>
        <w:rPr>
          <w:rStyle w:val="FootnoteReference"/>
          <w:lang w:val="en-US"/>
        </w:rPr>
        <w:footnoteRef/>
      </w:r>
      <w:r>
        <w:rPr>
          <w:lang w:val="en-US"/>
        </w:rPr>
        <w:tab/>
      </w:r>
      <w:r>
        <w:t>Em relação aos conceitos de «empresa em causa» e ao cálculo do volume de negócios, ver a Comunicação consolidada da Comissão em matéria de competência.</w:t>
      </w:r>
    </w:p>
  </w:footnote>
  <w:footnote w:id="17">
    <w:p w14:paraId="0A4E137D" w14:textId="77777777" w:rsidR="001E1704" w:rsidRDefault="001E1704" w:rsidP="001E1704">
      <w:pPr>
        <w:pStyle w:val="FootnoteText"/>
      </w:pPr>
      <w:r>
        <w:rPr>
          <w:rStyle w:val="FootnoteReference"/>
          <w:lang w:val="en-US"/>
        </w:rPr>
        <w:footnoteRef/>
      </w:r>
      <w:r>
        <w:rPr>
          <w:lang w:val="en-US"/>
        </w:rPr>
        <w:tab/>
      </w:r>
      <w:r>
        <w:t>Ver Comunicação da Comissão relativa à definição de mercado relevante para efeitos do direito comunitário da concorrência (JO C 372 de 9.12.1997, p. 5).</w:t>
      </w:r>
    </w:p>
  </w:footnote>
  <w:footnote w:id="18">
    <w:p w14:paraId="704E67B7" w14:textId="77777777" w:rsidR="001E1704" w:rsidRDefault="001E1704" w:rsidP="001E1704">
      <w:pPr>
        <w:pStyle w:val="FootnoteText"/>
      </w:pPr>
      <w:r>
        <w:rPr>
          <w:rStyle w:val="FootnoteReference"/>
          <w:lang w:val="en-US"/>
        </w:rPr>
        <w:footnoteRef/>
      </w:r>
      <w:r>
        <w:rPr>
          <w:lang w:val="en-US"/>
        </w:rPr>
        <w:tab/>
      </w:r>
      <w:r>
        <w:t>Durante os contactos prévios à notificação, as partes comunicantes devem divulgar informações relativas a todos os mercados potencialmente afetados, mesmo que considerem, em última análise, que esses mercados não são afetados, e não obstante o facto de as partes comunicantes poderem tomar uma posição específica em relação à questão da definição de mercado.</w:t>
      </w:r>
    </w:p>
  </w:footnote>
  <w:footnote w:id="19">
    <w:p w14:paraId="0AEDD85C" w14:textId="77777777" w:rsidR="001E1704" w:rsidRDefault="001E1704" w:rsidP="001E1704">
      <w:pPr>
        <w:pStyle w:val="FootnoteText"/>
      </w:pPr>
      <w:r>
        <w:rPr>
          <w:rStyle w:val="FootnoteReference"/>
          <w:lang w:val="en-US"/>
        </w:rPr>
        <w:footnoteRef/>
      </w:r>
      <w:r>
        <w:rPr>
          <w:lang w:val="en-US"/>
        </w:rPr>
        <w:tab/>
      </w:r>
      <w:r>
        <w:t>O valor e o volume de um mercado devem refletir a produção, deduzidas as exportações e acrescidas as importações em relação às áreas geográficas em causa.</w:t>
      </w:r>
    </w:p>
  </w:footnote>
  <w:footnote w:id="20">
    <w:p w14:paraId="61920515" w14:textId="77777777" w:rsidR="001E1704" w:rsidRDefault="001E1704" w:rsidP="001E1704">
      <w:pPr>
        <w:pStyle w:val="FootnoteText"/>
      </w:pPr>
      <w:r>
        <w:rPr>
          <w:rStyle w:val="FootnoteReference"/>
          <w:lang w:val="en-US"/>
        </w:rPr>
        <w:footnoteRef/>
      </w:r>
      <w:r>
        <w:rPr>
          <w:lang w:val="en-US"/>
        </w:rPr>
        <w:tab/>
      </w:r>
      <w:r>
        <w:t>Relativamente às definições de mercado, ver a secção 3.</w:t>
      </w:r>
    </w:p>
  </w:footnote>
  <w:footnote w:id="21">
    <w:p w14:paraId="39D9D14B" w14:textId="77777777" w:rsidR="001E1704" w:rsidRDefault="001E1704" w:rsidP="001E1704">
      <w:pPr>
        <w:pStyle w:val="FootnoteText"/>
      </w:pPr>
      <w:r>
        <w:rPr>
          <w:rStyle w:val="FootnoteReference"/>
          <w:lang w:val="en-US"/>
        </w:rPr>
        <w:footnoteRef/>
      </w:r>
      <w:r>
        <w:rPr>
          <w:lang w:val="en-US"/>
        </w:rPr>
        <w:tab/>
      </w:r>
      <w:r>
        <w:t>Consulte os princípios orientadores da remessa de processos na Comunicação relativa à remessa, ponto 17 e nota de rodapé 21.</w:t>
      </w:r>
    </w:p>
  </w:footnote>
  <w:footnote w:id="22">
    <w:p w14:paraId="743EFBD7" w14:textId="77777777" w:rsidR="001E1704" w:rsidRDefault="001E1704" w:rsidP="001E1704">
      <w:pPr>
        <w:pStyle w:val="FootnoteText"/>
      </w:pPr>
      <w:r>
        <w:rPr>
          <w:rStyle w:val="FootnoteReference"/>
          <w:lang w:val="en-US"/>
        </w:rPr>
        <w:footnoteRef/>
      </w:r>
      <w:r>
        <w:rPr>
          <w:lang w:val="en-US"/>
        </w:rPr>
        <w:tab/>
      </w:r>
      <w:r>
        <w:t>Consulte os princípios orientadores da remessa de processos na Comunicação relativa à remessa, ponto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08620546">
    <w:abstractNumId w:val="9"/>
  </w:num>
  <w:num w:numId="2" w16cid:durableId="325986595">
    <w:abstractNumId w:val="7"/>
  </w:num>
  <w:num w:numId="3" w16cid:durableId="1523129239">
    <w:abstractNumId w:val="6"/>
  </w:num>
  <w:num w:numId="4" w16cid:durableId="768892128">
    <w:abstractNumId w:val="5"/>
  </w:num>
  <w:num w:numId="5" w16cid:durableId="1280843456">
    <w:abstractNumId w:val="4"/>
  </w:num>
  <w:num w:numId="6" w16cid:durableId="1446345471">
    <w:abstractNumId w:val="8"/>
  </w:num>
  <w:num w:numId="7" w16cid:durableId="1465276392">
    <w:abstractNumId w:val="3"/>
  </w:num>
  <w:num w:numId="8" w16cid:durableId="989870340">
    <w:abstractNumId w:val="2"/>
  </w:num>
  <w:num w:numId="9" w16cid:durableId="119618076">
    <w:abstractNumId w:val="1"/>
  </w:num>
  <w:num w:numId="10" w16cid:durableId="97799586">
    <w:abstractNumId w:val="0"/>
  </w:num>
  <w:num w:numId="11" w16cid:durableId="2130511324">
    <w:abstractNumId w:val="13"/>
  </w:num>
  <w:num w:numId="12" w16cid:durableId="2058969351">
    <w:abstractNumId w:val="12"/>
  </w:num>
  <w:num w:numId="13" w16cid:durableId="37048848">
    <w:abstractNumId w:val="11"/>
  </w:num>
  <w:num w:numId="14" w16cid:durableId="1779369536">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7930886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e anexo , pt. 1, a)"/>
    <w:docVar w:name="CR_Ref1" w:val="2776/2024 Art. 1 e anexo , pt. 1, b)"/>
    <w:docVar w:name="CR_Ref10" w:val="2776/2024 Art. 1 e anexo , pt. 2, d)"/>
    <w:docVar w:name="CR_Ref11" w:val="2776/2024 Art. 1 e anexo , pt. 2, e)"/>
    <w:docVar w:name="CR_Ref12" w:val="2776/2024 Art. 1 e anexo , pt. 2, f)"/>
    <w:docVar w:name="CR_Ref13" w:val="2776/2024 Art. 1 e anexo , pt. 2, i)"/>
    <w:docVar w:name="CR_Ref14" w:val="2776/2024 Art. 1 e anexo , pt. 2, g)"/>
    <w:docVar w:name="CR_Ref15" w:val="2776/2024 Art. 1 e anexo , pt. 2, j)"/>
    <w:docVar w:name="CR_Ref16" w:val="2776/2024 Art. 1 e anexo , pt. 2, k)"/>
    <w:docVar w:name="CR_Ref17" w:val="2776/2024 Art. 1 e anexo , pt. 2, l)"/>
    <w:docVar w:name="CR_Ref18" w:val="2776/2024 Art. 1 e anexo , pt. 2, s)"/>
    <w:docVar w:name="CR_Ref19" w:val="2776/2024 Art. 1 e anexo , pt. 2, t)"/>
    <w:docVar w:name="CR_Ref2" w:val="2776/2024 Art. 1 e anexo , pt. 1, c)"/>
    <w:docVar w:name="CR_Ref20" w:val="2776/2024 Art. 1 e anexo , pt. 2, p)"/>
    <w:docVar w:name="CR_Ref21" w:val="2776/2024 Art. 1 e anexo , pt. 2, q)"/>
    <w:docVar w:name="CR_Ref22" w:val="2776/2024 Art. 1 e anexo , pt. 2, n)"/>
    <w:docVar w:name="CR_Ref23" w:val="2776/2024 Art. 1 e anexo , pt. 2, u)"/>
    <w:docVar w:name="CR_Ref24" w:val="2776/2024 Art. 1 e anexo , pt. 3, a)"/>
    <w:docVar w:name="CR_Ref25" w:val="2776/2024 Art. 1 e anexo , pt. 3, b)"/>
    <w:docVar w:name="CR_Ref3" w:val="2776/2024 Art. 1 e anexo , pt. 1, g)"/>
    <w:docVar w:name="CR_Ref4" w:val="2776/2024 Art. 1 e anexo , pt. 1, f)"/>
    <w:docVar w:name="CR_Ref5" w:val="2776/2024 Art. 1 e anexo , pt. 1, e)"/>
    <w:docVar w:name="CR_Ref6" w:val="2776/2024 Art. 1 e anexo , pt. 1, h)"/>
    <w:docVar w:name="CR_Ref7" w:val="2776/2024 Art. 1 e anexo , pt. 2, a)"/>
    <w:docVar w:name="CR_Ref8" w:val="2776/2024 Art. 1 e anexo , pt. 2, b)"/>
    <w:docVar w:name="CR_Ref9" w:val="2776/2024 Art. 1 e anexo , pt. 2, c)"/>
    <w:docVar w:name="CR_RefCount" w:val="26"/>
    <w:docVar w:name="DQCStatus" w:val="Red"/>
    <w:docVar w:name="LW_DocType" w:val="COM"/>
  </w:docVars>
  <w:rsids>
    <w:rsidRoot w:val="00980980"/>
    <w:rsid w:val="001B31F6"/>
    <w:rsid w:val="001E1704"/>
    <w:rsid w:val="00672A2B"/>
    <w:rsid w:val="00911DFC"/>
    <w:rsid w:val="00980980"/>
    <w:rsid w:val="00C40AB6"/>
    <w:rsid w:val="00C930F1"/>
    <w:rsid w:val="00D5664D"/>
    <w:rsid w:val="00E663C6"/>
    <w:rsid w:val="00F141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E04421"/>
  <w14:defaultImageDpi w14:val="0"/>
  <w15:docId w15:val="{0FA11072-4A50-4CBB-B9F8-53D29D87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2</TotalTime>
  <Pages>28</Pages>
  <Words>8741</Words>
  <Characters>56817</Characters>
  <Application>Microsoft Office Word</Application>
  <DocSecurity>0</DocSecurity>
  <Lines>1072</Lines>
  <Paragraphs>485</Paragraphs>
  <ScaleCrop>false</ScaleCrop>
  <Company/>
  <LinksUpToDate>false</LinksUpToDate>
  <CharactersWithSpaces>65073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3</cp:revision>
  <dcterms:created xsi:type="dcterms:W3CDTF">2025-02-07T09:45:00Z</dcterms:created>
  <dcterms:modified xsi:type="dcterms:W3CDTF">2025-02-13T09:21:00Z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2025-02-07T09:39:18Z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6f564bc7-a76a-4907-a627-426483a65705</vt:lpwstr>
  </property>
  <property fmtid="{D5CDD505-2E9C-101B-9397-08002B2CF9AE}" pid="15" name="MSIP_Label_6bd9ddd1-4d20-43f6-abfa-fc3c07406f94_ContentBits">
    <vt:lpwstr>0</vt:lpwstr>
  </property>
</Properties>
</file>