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97C04" w14:textId="77777777" w:rsidR="0032378F" w:rsidRDefault="0032378F">
      <w:pPr>
        <w:pStyle w:val="CRSeparator"/>
      </w:pPr>
    </w:p>
    <w:p w14:paraId="203780B8" w14:textId="77777777" w:rsidR="0032378F" w:rsidRDefault="0032378F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r>
        <w:rPr>
          <w:rStyle w:val="CRMarker"/>
        </w:rPr>
        <w:t>ê</w:t>
      </w:r>
      <w:r>
        <w:fldChar w:fldCharType="end"/>
      </w:r>
      <w:r>
        <w:t> 914/2023</w:t>
      </w:r>
    </w:p>
    <w:p w14:paraId="0C51CF77" w14:textId="77777777" w:rsidR="0032378F" w:rsidRDefault="0032378F">
      <w:pPr>
        <w:pStyle w:val="Typedudocument"/>
      </w:pPr>
      <w:r>
        <w:t>REGOLAMENT TA’ IMPLIMENTAZZJONI TAL-KUMMISSJONI (UE) 2023/914</w:t>
      </w:r>
    </w:p>
    <w:p w14:paraId="3990B9AF" w14:textId="77777777" w:rsidR="0032378F" w:rsidRDefault="0032378F">
      <w:pPr>
        <w:pStyle w:val="Datedadoption"/>
      </w:pPr>
      <w:r>
        <w:t>tal-20 ta’ April 2023</w:t>
      </w:r>
    </w:p>
    <w:p w14:paraId="003043EC" w14:textId="77777777" w:rsidR="0032378F" w:rsidRDefault="0032378F">
      <w:pPr>
        <w:pStyle w:val="Titreobjet"/>
      </w:pPr>
      <w:r>
        <w:t>li jimplimenta r-Regolament tal-Kunsill (KE) Nru 139/2004 dwar il-kontroll tal-konċentrazzjonijiet bejn l-impriżi u li jħassar ir-Regolament tal-Kummissjoni (KE) Nru 802/2004</w:t>
      </w:r>
    </w:p>
    <w:p w14:paraId="56AA63F0" w14:textId="77777777" w:rsidR="0032378F" w:rsidRDefault="0032378F">
      <w:pPr>
        <w:pStyle w:val="Sous-titreobjet"/>
      </w:pPr>
      <w:r>
        <w:t>(Test b’rilevanza għaż-ŻEE)</w:t>
      </w:r>
    </w:p>
    <w:p w14:paraId="61C8D8A9" w14:textId="77777777" w:rsidR="0032378F" w:rsidRDefault="0032378F">
      <w:pPr>
        <w:pStyle w:val="SectionTitle"/>
      </w:pPr>
      <w:r>
        <w:t>KAPITOLU I</w:t>
      </w:r>
    </w:p>
    <w:p w14:paraId="712CB7E3" w14:textId="77777777" w:rsidR="0032378F" w:rsidRDefault="0032378F">
      <w:pPr>
        <w:pStyle w:val="SectionTitle"/>
      </w:pPr>
      <w:r>
        <w:rPr>
          <w:i/>
          <w:iCs/>
        </w:rPr>
        <w:t>KAMP TA’ APPLIKAZZJONI</w:t>
      </w:r>
    </w:p>
    <w:p w14:paraId="5B978044" w14:textId="77777777" w:rsidR="0032378F" w:rsidRDefault="0032378F">
      <w:pPr>
        <w:pStyle w:val="Titrearticle"/>
      </w:pPr>
      <w:r>
        <w:t>Artikolu 1</w:t>
      </w:r>
    </w:p>
    <w:p w14:paraId="5E2093D5" w14:textId="77777777" w:rsidR="0032378F" w:rsidRDefault="0032378F">
      <w:r>
        <w:t>Dan ir-Regolament għandu japplika għall-kontroll ta' konċentrazzjonijiet imwettqa permezz tar-Regolament (KE) Nru 139/2004.</w:t>
      </w:r>
    </w:p>
    <w:p w14:paraId="22D43822" w14:textId="77777777" w:rsidR="0032378F" w:rsidRDefault="0032378F">
      <w:pPr>
        <w:pStyle w:val="SectionTitle"/>
      </w:pPr>
      <w:r>
        <w:t>KAPITOLU II</w:t>
      </w:r>
    </w:p>
    <w:p w14:paraId="427A3D74" w14:textId="77777777" w:rsidR="0032378F" w:rsidRDefault="0032378F">
      <w:pPr>
        <w:pStyle w:val="SectionTitle"/>
      </w:pPr>
      <w:r>
        <w:rPr>
          <w:i/>
          <w:iCs/>
        </w:rPr>
        <w:t>NOTIFIKI U PREŻENTAZZJONIJIET OĦRAJN</w:t>
      </w:r>
    </w:p>
    <w:p w14:paraId="66946175" w14:textId="77777777" w:rsidR="0032378F" w:rsidRDefault="0032378F">
      <w:pPr>
        <w:pStyle w:val="Titrearticle"/>
      </w:pPr>
      <w:r>
        <w:t>Artikolu 2</w:t>
      </w:r>
    </w:p>
    <w:p w14:paraId="656BA8EF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Il-persuni intitolati li jippreżentaw in-notifiki</w:t>
      </w:r>
    </w:p>
    <w:p w14:paraId="6E3CB416" w14:textId="77777777" w:rsidR="0032378F" w:rsidRDefault="0032378F">
      <w:r>
        <w:t>1.</w:t>
      </w:r>
      <w:r>
        <w:tab/>
        <w:t>Notifiki għandhom ikunu sottomessi mill-persuni jew l-impriżi msemmija fl-Artikolu 4(2) tar-Regolament (KEE) Nru 139/2004.</w:t>
      </w:r>
    </w:p>
    <w:p w14:paraId="29D592F9" w14:textId="77777777" w:rsidR="0032378F" w:rsidRDefault="0032378F">
      <w:r>
        <w:t>2.</w:t>
      </w:r>
      <w:r>
        <w:tab/>
        <w:t>Meta n-notifiki jkunu ffirmati mir-rappreżentanti esterni awtorizzati ta’ persuni jew ta’ impriżi, dawk ir-rappreżentanti għandhom jipproduċu prova bil-miktub li jkunu awtorizzati jaġixxu.</w:t>
      </w:r>
    </w:p>
    <w:p w14:paraId="0174325A" w14:textId="77777777" w:rsidR="0032378F" w:rsidRDefault="0032378F">
      <w:pPr>
        <w:pStyle w:val="Titrearticle"/>
      </w:pPr>
      <w:r>
        <w:t>Artikolu 3</w:t>
      </w:r>
    </w:p>
    <w:p w14:paraId="61BC5CA4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Preżentazzjoni tan-notifiki</w:t>
      </w:r>
    </w:p>
    <w:p w14:paraId="123AF765" w14:textId="77777777" w:rsidR="0032378F" w:rsidRDefault="0032378F">
      <w:r>
        <w:t>1.</w:t>
      </w:r>
      <w:r>
        <w:tab/>
        <w:t>In-notifiki għandhom jiġu ppreżentati bl-użu tal-Formola CO kif stabbilit fl-Anness I. Skont il-kundizzjonijiet stabbiliti fl-Anness II, in-notifiki jistgħu jiġu ppreżentati bl-użu tal-Formola CO Qasira kif stabbilit f’dan l-Anness. Notifiki konġunti għandhom ikunu ppreżentati fuq formola waħda.</w:t>
      </w:r>
    </w:p>
    <w:p w14:paraId="7B318746" w14:textId="77777777" w:rsidR="0032378F" w:rsidRDefault="0032378F">
      <w:r>
        <w:lastRenderedPageBreak/>
        <w:t>2.</w:t>
      </w:r>
      <w:r>
        <w:tab/>
        <w:t>Il-formoli msemmija fil-paragrafu 1 u d-dokumenti ta’ sostenn rilevanti kollha għandhom jiġu ppreżentati lill-Kummissjoni f’konformità mal-Artikolu 22 u mal-istruzzjonijiet ippubblikati mill-Kummissjoni f’</w:t>
      </w:r>
      <w:r>
        <w:rPr>
          <w:i/>
          <w:iCs/>
        </w:rPr>
        <w:t>Il-Ġurnal Uffiċjali tal-Unjoni Ewropea.</w:t>
      </w:r>
      <w:r>
        <w:t>.</w:t>
      </w:r>
    </w:p>
    <w:p w14:paraId="361F815D" w14:textId="77777777" w:rsidR="0032378F" w:rsidRDefault="0032378F">
      <w:r>
        <w:t>3.</w:t>
      </w:r>
      <w:r>
        <w:tab/>
        <w:t>In-notifiki għandhom ikunu abbozzati f’waħda mil-lingwi uffiċjali tal-Unjoni. Għall-partijiet tan-notifika, din il-lingwa għandha wkoll tkun il-lingwa tal-proċediment, kif ukoll ta’ kull proċediment sussegwenti li jkollu x’jaqsam mal-istess konċentrazzjoni. Id-dokumenti ta'appoġġ għandhom ikunu ppreżentati fil-lingwa oriġinali tagħhom. Meta l-lingwa oriġinali ta’ dokument ma tkunx waħda mil-lingwi uffiċjali tal-Unjoni, għandha tiġi mehmuża traduzzjoni fil-lingwa tal-proċedimenti.</w:t>
      </w:r>
    </w:p>
    <w:p w14:paraId="71B2AD37" w14:textId="77777777" w:rsidR="0032378F" w:rsidRDefault="0032378F">
      <w:r>
        <w:t>4.</w:t>
      </w:r>
      <w:r>
        <w:tab/>
        <w:t>Meta n-notifiki jitwettqu skont l-Artikolu 57 tal-Ftehim dwar iż-Żona Ekonomika Ewropea, dawn jistgħu ukoll ikunu ppreżentati f'waħda mill-lingwi uffiċjali tal-Istati EFTA jew fil-lingwa tal-ħidma tal-Awtorità ta' Sorveljanza EFTA. Jekk il-lingwa magħżula għan-notifiki mhix lingwa uffiċjali tal-Unjoni, l-partijiet notifikanti għandhom simultanjament jissupplimentaw id-dokumentazzjoni kollha bi traduzzjoni f’lingwa uffiċjali tal-Unjoni. Il-lingwa magħżula għat-traduzzjoni għandha tiddetermina l-lingwa użata mill-Unjoni bħala l-lingwa tal-proċedimenti għall-partijiet notifikanti.</w:t>
      </w:r>
    </w:p>
    <w:p w14:paraId="6EAC0E6A" w14:textId="77777777" w:rsidR="0032378F" w:rsidRDefault="0032378F">
      <w:pPr>
        <w:pStyle w:val="Titrearticle"/>
      </w:pPr>
      <w:r>
        <w:t>Artikolu 4</w:t>
      </w:r>
    </w:p>
    <w:p w14:paraId="59B1E707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L-informazzjoni u d-dokumenti li għandhom ikunu pprovduti</w:t>
      </w:r>
    </w:p>
    <w:p w14:paraId="18F8CE63" w14:textId="77777777" w:rsidR="0032378F" w:rsidRDefault="0032378F">
      <w:r>
        <w:t>1.</w:t>
      </w:r>
      <w:r>
        <w:tab/>
        <w:t>In-notifiki għandu jkun fihom l-informazzjoni inklużi d-dokumenti meħtieġa, fil-formoli applikabbli stabbiliti fl-Annessi I u II. Din l-informazzjoni għandha tkun korretta u kompluta.</w:t>
      </w:r>
    </w:p>
    <w:p w14:paraId="1C127373" w14:textId="77777777" w:rsidR="0032378F" w:rsidRDefault="0032378F">
      <w:r>
        <w:t>2.</w:t>
      </w:r>
      <w:r>
        <w:tab/>
        <w:t>Fuq talba bil-miktub mill-partijiet notifikanti, il-Kummissjoni tista’ tagħti dispensa mill-obbligazzjoni li tkun ipprovduta xi informazzjoni partikolari fin-notifika, inkluż fid-dokumenti, jew rigward xi ħtieġa oħra speċifikata fl-Annessi I u II meta l-Kummissjoni tikkonsidra li l-konformità ma’ dawn l-obbligi jew ħtiġijet ma tkunx meħtieġa għall-eżami tal-każ.</w:t>
      </w:r>
    </w:p>
    <w:p w14:paraId="0AE3C132" w14:textId="77777777" w:rsidR="0032378F" w:rsidRDefault="0032378F">
      <w:r>
        <w:t>3.</w:t>
      </w:r>
      <w:r>
        <w:tab/>
        <w:t>Il-Kummissjoni għandha, mingħajr dewmien, tibgħat riċevuta tal-applikazzjoni bil-miktub lill-partijiet notifikanti u lir-rappreżentanti tagħhom, u ta’ kull risposta għal ittri li jintbagħtu mill-Kummissjoni skont l-Artikolu 5(2) u (3).</w:t>
      </w:r>
    </w:p>
    <w:p w14:paraId="5E775A67" w14:textId="77777777" w:rsidR="0032378F" w:rsidRDefault="0032378F">
      <w:pPr>
        <w:pStyle w:val="Titrearticle"/>
      </w:pPr>
      <w:r>
        <w:t>Artikolu 5</w:t>
      </w:r>
    </w:p>
    <w:p w14:paraId="23D406F3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Id-data effettiva tan-notifika</w:t>
      </w:r>
    </w:p>
    <w:p w14:paraId="181B507A" w14:textId="77777777" w:rsidR="0032378F" w:rsidRDefault="0032378F">
      <w:r>
        <w:t>1.</w:t>
      </w:r>
      <w:r>
        <w:tab/>
        <w:t>Soġġetti għall-paragrafi 2, 3 u 4, in-notifiki għandhom isiru effettivi fid-data li fiha dawn ikunu wasslu għand il-Kummissjoni.</w:t>
      </w:r>
    </w:p>
    <w:p w14:paraId="6AEB14A3" w14:textId="77777777" w:rsidR="0032378F" w:rsidRDefault="0032378F">
      <w:r>
        <w:t>2.</w:t>
      </w:r>
      <w:r>
        <w:tab/>
        <w:t>Meta l-informazzjoni, inklużi d-dokumenti, li jkunu fin-notifika, ma jkunux kompluti dwar xi punt sostanzjali, il-Kummissjoni għandha tinforma bil-kitba u mingħajr dewmien lill-partijiet notifikanti jew lir-rappreżentanti tagħhom. F'tali każi, in-notifika għandha ssir effettiva fid-data li fiha l-informazzjoni kompluta tkun wasslet għand il-Kummissjoni.</w:t>
      </w:r>
    </w:p>
    <w:p w14:paraId="57839385" w14:textId="77777777" w:rsidR="0032378F" w:rsidRDefault="0032378F">
      <w:r>
        <w:t>3.</w:t>
      </w:r>
      <w:r>
        <w:tab/>
        <w:t>Tibdiliet materjali fid-dettalji li jinsabu fin-notifika li jirriżultaw sussegwentement għan-notifika li l-partijiet notifikanti jafu, jew li messhom kienu jafu, jew xi informazzjoni ġdida oħra li tirriżulta sussegwentement għan-notifika li l-partijiet jafu jew li messhom kienu jafu u li kellha tkun notifikata jekk kienet magħrufa fiż-żmien tan-notifika, għandhom ikunu kkomunikati lill-Kummissjoni mingħajr dewmien. F’każijiet bħal dawn, meta dawn il-bidliet materjali jew l-informazzjoni ġdida jista’ jkollhom effett sinifikanti fuq il-valutazzjoni tal-konċentrazzjoni, il-Kummissjoni tista’ tikkunsidra li n-notifika ssir effettiva fid-data li fiha tirċievi l-informazzjoni rilevanti. Il-Kummissjoni għandha tinforma lill-partijiet notifikanti jew lir-rappreżentanti tagħhom b’dan bil-miktub u mingħajr dewmien.</w:t>
      </w:r>
    </w:p>
    <w:p w14:paraId="6DBF3B24" w14:textId="77777777" w:rsidR="0032378F" w:rsidRDefault="0032378F">
      <w:r>
        <w:t>4.</w:t>
      </w:r>
      <w:r>
        <w:tab/>
        <w:t>Għall-finijiet ta’ dan l-Artikolu, informazzjoni skorretta jew qarrieqa għandha titqies bħala informazzjoni mhux kompluta, mingħajr preġudizzju għall-Artikolu 14(1) tar-Regolament (KE) Nru 139/2004.</w:t>
      </w:r>
    </w:p>
    <w:p w14:paraId="5C4CCE82" w14:textId="77777777" w:rsidR="0032378F" w:rsidRDefault="0032378F">
      <w:r>
        <w:t>5.</w:t>
      </w:r>
      <w:r>
        <w:tab/>
        <w:t>Meta l-Kummissjoni tippubblika n-notifika li tkun saret skont l-Artikolu 4(3) tar-Regolament (KE) Nru 139/2004, hija għandha tispeċifika d-data li fiha n-notifika tkun waslet għandha. Meta, bħala segwitu tal-applikazzjoni tal-paragrafi 2, 3 u 4 ta' dan l-Artikolu, id-data effettiva tan-notifika tkun aktar tard mid-data speċifikata f'dik il-pubblikazzjoni, il-Kummissjoni għandha toħroġ pubblikazzjoni oħra li fiha hija għandha tistqarr dik id-data tal-aħħar.</w:t>
      </w:r>
    </w:p>
    <w:p w14:paraId="099B49F1" w14:textId="77777777" w:rsidR="0032378F" w:rsidRDefault="0032378F">
      <w:pPr>
        <w:pStyle w:val="Titrearticle"/>
      </w:pPr>
      <w:r>
        <w:t>Artikolu 6</w:t>
      </w:r>
    </w:p>
    <w:p w14:paraId="25704791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Dispożizzjonijiet speċifiċi li jirrigwardaw il-preżentazzjonijiet motivati, supplimenti u ċertifikazzjonijiet</w:t>
      </w:r>
    </w:p>
    <w:p w14:paraId="5F76552C" w14:textId="77777777" w:rsidR="0032378F" w:rsidRDefault="0032378F">
      <w:r>
        <w:t>1.</w:t>
      </w:r>
      <w:r>
        <w:tab/>
        <w:t>Il-preżentazzjonijiet motivati skont it-tifsira tal-Artikolu 4(4) u (5) tar-Regolament (KE) Nru 139/2004 għandu jkun fihom l-informazzjoni, inklużi d-dokumenti, meħtieġa fl-Anness III ta’ dan ir-Regolament. L-informazzjoni ppreżentata għandha tkun korretta u kompluta.</w:t>
      </w:r>
    </w:p>
    <w:p w14:paraId="59AE6E78" w14:textId="77777777" w:rsidR="0032378F" w:rsidRDefault="0032378F">
      <w:r>
        <w:t>2.</w:t>
      </w:r>
      <w:r>
        <w:tab/>
        <w:t xml:space="preserve">L-Artikolu 2, l-Artikolu 3(1), it-tielet sentenza, l-Artikolu 3(2), (3) u (4), l-Artikolu 4, l-Artikolu 5(1) sa (4) u l-Artikolu 22 ta’ dan ir-Regolament għandhom japplikaw </w:t>
      </w:r>
      <w:r>
        <w:rPr>
          <w:i/>
          <w:iCs/>
        </w:rPr>
        <w:t>mutatis mutandis</w:t>
      </w:r>
      <w:r>
        <w:t xml:space="preserve"> għall-preżentazzjonijiet motivati fis-sens tal-Artikolu 4(4) u (5) tar-Regolament (KE) Nru 139/2004.</w:t>
      </w:r>
    </w:p>
    <w:p w14:paraId="13D0EA9B" w14:textId="77777777" w:rsidR="0032378F" w:rsidRDefault="0032378F">
      <w:r>
        <w:t>3.</w:t>
      </w:r>
      <w:r>
        <w:tab/>
        <w:t xml:space="preserve">L-Artikolu 2, l-Artikolu 3(1), it-tielet sentenza, l-Artikolu 3(2), (3) u (4), l-Artikolu 4, l-Artikolu 5(1) sa (4) u l-Artikolu 22 ta’ dan ir-Regolament għandhom japplikaw </w:t>
      </w:r>
      <w:r>
        <w:rPr>
          <w:i/>
          <w:iCs/>
        </w:rPr>
        <w:t>mutatis mutandis</w:t>
      </w:r>
      <w:r>
        <w:t xml:space="preserve"> għas-supplimenti tan-notifiki u ċ-ċertifikazzjonijiet fis-sens tal-Artikolu 10(5) tar-Regolament (KE) Nru 139/2004.</w:t>
      </w:r>
    </w:p>
    <w:p w14:paraId="50C4FD32" w14:textId="77777777" w:rsidR="0032378F" w:rsidRDefault="0032378F">
      <w:pPr>
        <w:pStyle w:val="SectionTitle"/>
      </w:pPr>
      <w:r>
        <w:t>KAPITOLU III</w:t>
      </w:r>
    </w:p>
    <w:p w14:paraId="30324C8B" w14:textId="77777777" w:rsidR="0032378F" w:rsidRDefault="0032378F">
      <w:pPr>
        <w:pStyle w:val="SectionTitle"/>
      </w:pPr>
      <w:r>
        <w:rPr>
          <w:i/>
          <w:iCs/>
        </w:rPr>
        <w:t>PERJODI TAŻ-ŻMIEN</w:t>
      </w:r>
    </w:p>
    <w:p w14:paraId="14AF411F" w14:textId="77777777" w:rsidR="0032378F" w:rsidRDefault="0032378F">
      <w:pPr>
        <w:pStyle w:val="Titrearticle"/>
      </w:pPr>
      <w:r>
        <w:t>Artikolu 7</w:t>
      </w:r>
    </w:p>
    <w:p w14:paraId="226206D3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Bidu tal-perjodi ta’ żmien</w:t>
      </w:r>
    </w:p>
    <w:p w14:paraId="25AC87D9" w14:textId="77777777" w:rsidR="0032378F" w:rsidRDefault="0032378F">
      <w:r>
        <w:t>Il-perjodi taż-żmien għandhom jibdew fil-jum utli, kif definit fl-Artikolu 24 ta’ dan ir-Regolament, skont kif issegwi l-okkorrenza li d-dispożizzjonijiet rilevanti tar-Regolament (KE) Nru 139/2004 li jirreferu għaliha.</w:t>
      </w:r>
    </w:p>
    <w:p w14:paraId="66E45656" w14:textId="77777777" w:rsidR="0032378F" w:rsidRDefault="0032378F">
      <w:pPr>
        <w:pStyle w:val="Titrearticle"/>
      </w:pPr>
      <w:r>
        <w:t>Artikolu 8</w:t>
      </w:r>
    </w:p>
    <w:p w14:paraId="60D11E85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Skadenza tal-perjodi ta’ żmien</w:t>
      </w:r>
    </w:p>
    <w:p w14:paraId="518CC921" w14:textId="77777777" w:rsidR="0032378F" w:rsidRDefault="0032378F">
      <w:r>
        <w:t>1.</w:t>
      </w:r>
      <w:r>
        <w:tab/>
        <w:t>Perjodu ta’ żmien ikkalkolat f’jiem utli għandu jiskadi fit-tmiem tal-aħħar jum utli tiegħu.</w:t>
      </w:r>
    </w:p>
    <w:p w14:paraId="210CD7A6" w14:textId="77777777" w:rsidR="0032378F" w:rsidRDefault="0032378F">
      <w:r>
        <w:t>2.</w:t>
      </w:r>
      <w:r>
        <w:tab/>
        <w:t>Perjodu ta’ żmien stabbilit mill-Kummissjoni f'termini ta’ data kalendarja għandu jiskadi fi tmiem dak il-jum.</w:t>
      </w:r>
    </w:p>
    <w:p w14:paraId="04B9BAEC" w14:textId="77777777" w:rsidR="0032378F" w:rsidRDefault="0032378F">
      <w:pPr>
        <w:pStyle w:val="Titrearticle"/>
      </w:pPr>
      <w:r>
        <w:t>Artikolu 9</w:t>
      </w:r>
    </w:p>
    <w:p w14:paraId="6444AB60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Sospensjoni tal-limitu ta’ żmien</w:t>
      </w:r>
    </w:p>
    <w:p w14:paraId="396F7231" w14:textId="77777777" w:rsidR="0032378F" w:rsidRDefault="0032378F">
      <w:r>
        <w:t>1.</w:t>
      </w:r>
      <w:r>
        <w:tab/>
        <w:t>Il-limiti ta’ żmien imsemmija fl-Artikolu 9(4) u l-Artikolu 10(1) u (3) tar-Regolament (KE) Nru 139/2004 għandhom ikunu sospiżi meta l-Kummissjoni tkun ħadet deċiżjoni skont l-Artikolu 11(3) jew l-Artikolu 13(4) ta’ dak ir-Regolament, dwar kwalunkwe mir-raġunijiet li ġejjin:</w:t>
      </w:r>
    </w:p>
    <w:p w14:paraId="037CA65C" w14:textId="77777777" w:rsidR="0032378F" w:rsidRDefault="0032378F">
      <w:pPr>
        <w:pStyle w:val="Point0"/>
      </w:pPr>
      <w:r>
        <w:tab/>
        <w:t>(a)</w:t>
      </w:r>
      <w:r>
        <w:tab/>
        <w:t>meta informazzjoni li l-Kummissjoni tkun talbet skont l-Artikolu 11(2) tar-Regolament (KE) Nru 139/2004 minn għand waħda mill-partijiet notifikanti jew minn kwalunkwe parti oħra involuta, kif definit fl-Artikolu 11 ta’ dan ir-Regolament, ma tkunx ġiet provduta jew inkella ma tkunx ġiet provduta fid-dettal fil-limitu ta’ żmien stabbilit mill-Kummissjoni;</w:t>
      </w:r>
    </w:p>
    <w:p w14:paraId="6006C1C1" w14:textId="77777777" w:rsidR="0032378F" w:rsidRDefault="0032378F">
      <w:pPr>
        <w:pStyle w:val="Point0"/>
      </w:pPr>
      <w:r>
        <w:tab/>
        <w:t>(b)</w:t>
      </w:r>
      <w:r>
        <w:tab/>
        <w:t>Meta informazzjoni li l-Kummissjoni tkun talbet skont l-Artikolu 11(2) tar-Regolament (KE) Nru 139/2004 minn parti terza ma tingħatax jew ma tingħatax fid-dettall fil-limitu ta’ żmien stabbilit mill-Kummissjoni minħabba ċirkostanzi li għalihom tkun responsabbli waħda mill-partijiet notifikanti jew kwalunkwe parti oħra involuta, kif definit fl-Artikolu 11 ta’ dan ir-Regolament;</w:t>
      </w:r>
    </w:p>
    <w:p w14:paraId="7E43FB00" w14:textId="77777777" w:rsidR="0032378F" w:rsidRDefault="0032378F">
      <w:pPr>
        <w:pStyle w:val="Point0"/>
      </w:pPr>
      <w:r>
        <w:tab/>
        <w:t>(c)</w:t>
      </w:r>
      <w:r>
        <w:tab/>
        <w:t>Meta waħda mill-partijiet notifikanti jew kwalunkwe parti oħra involuta, kif definit fl-Artikolu 11 ta’ dan ir-Regolament, tkun ċaħdet li tippreżenta ruħha għal spezzjoni meqjusa bħala meħtieġa mill-Kummissjoni fuq il-bażi tal-Artikolu 13(1) tar-Regolament (KE) Nru 139/2004 jew li tikkoopera fit-twettiq ta’ tali spezzjoni f’konformità mal-Artikolu 13(2) ta’ dan ir-Regolament;</w:t>
      </w:r>
    </w:p>
    <w:p w14:paraId="110132CD" w14:textId="77777777" w:rsidR="0032378F" w:rsidRDefault="0032378F">
      <w:pPr>
        <w:pStyle w:val="Point0"/>
      </w:pPr>
      <w:r>
        <w:tab/>
        <w:t>(d)</w:t>
      </w:r>
      <w:r>
        <w:tab/>
        <w:t>il-partijiet notifikanti jkunu naqsu milli jinformaw lill-Kummissjoni bit-tibdiliet materjali fil-fatti li jkunu inklużi fin-notifika, jew b'xi informazzjoni ġdida tat-tip referut fl-Artikolu 5(3) ta' dan ir-Regolament.</w:t>
      </w:r>
    </w:p>
    <w:p w14:paraId="7606A96D" w14:textId="77777777" w:rsidR="0032378F" w:rsidRDefault="0032378F">
      <w:r>
        <w:t>2.</w:t>
      </w:r>
      <w:r>
        <w:tab/>
        <w:t>Il-limiti ta’ żmien imsemmija fl-Artikolu 9(4), l-Artikolu 10(1) u (3) tar-Regolament (KE) Nru 139/2004 għandhom ikunu sospiżi meta l-Kummissjoni jkollha tieħu deċiżjoni skont l-Artikolu 11(3) ta’ dan ir-Regolament, mingħajr ma l-ewwel tipproċedi b'talba sempliċi għall-informazzjoni, minħabba ċirkostanzi li għalihom waħda mill-impriżi involuti fil-konċentrazzjoni, tkun responsabbli.</w:t>
      </w:r>
    </w:p>
    <w:p w14:paraId="789EBB52" w14:textId="77777777" w:rsidR="0032378F" w:rsidRDefault="0032378F">
      <w:r>
        <w:t>3.</w:t>
      </w:r>
      <w:r>
        <w:tab/>
        <w:t>Il-limiti ta’ żmien imsemmija fl-Artikolu 9(4), l-Artikolu 10(1) u (3) tar-Regolament (KE) Nru 139/2004 għandhom ikunu sospiżi:</w:t>
      </w:r>
    </w:p>
    <w:p w14:paraId="7C853B63" w14:textId="77777777" w:rsidR="0032378F" w:rsidRDefault="0032378F">
      <w:pPr>
        <w:pStyle w:val="Point0"/>
      </w:pPr>
      <w:r>
        <w:tab/>
        <w:t>(a)</w:t>
      </w:r>
      <w:r>
        <w:tab/>
        <w:t>fil-każijiet imsemmija fil-paragrafu 1, il-punti (a) u (b), għall-perjodu bejn l-iskadenza tal-limitu ta’ żmien stabbilita fit-talba sempliċi għall-informazzjoni, u l-wasla tal-informazzjoni kompluta u korretta meħtieġa mid-deċiżjoni jew il-mument meta l-Kummissjoni tinforma lill-partijiet notifikanti li, fid-dawl tar-riżultati tal-investigazzjoni li tkun għaddejja jew tal-iżviluppi tas-suq tagħha, l-informazzjoni mitluba ma tkunx għadha meħtieġa;</w:t>
      </w:r>
    </w:p>
    <w:p w14:paraId="1E4435E2" w14:textId="77777777" w:rsidR="0032378F" w:rsidRDefault="0032378F">
      <w:pPr>
        <w:pStyle w:val="Point0"/>
      </w:pPr>
      <w:r>
        <w:tab/>
        <w:t>(b)</w:t>
      </w:r>
      <w:r>
        <w:tab/>
        <w:t>fil-każijiet imsemmija fil-paragrafu 1, il-punt (c), għall-perjodu bejn it-tentattiv li ma rnexxiex li titwettaq l-ispezzjoni u t-tlestija tal-ispezzjoni ordnata b’deċiżjoni jew il-mument meta l-Kummissjoni tinforma lill-partijiet notifikanti li, fid-dawl tar-riżultati tal-investigazzjoni tagħha li tkun għaddejja jew tal-iżviluppi tas-suq, l-ispezzjoni ordnata ma tkunx għadha meħtieġa;</w:t>
      </w:r>
    </w:p>
    <w:p w14:paraId="39D3EEC0" w14:textId="77777777" w:rsidR="0032378F" w:rsidRDefault="0032378F">
      <w:pPr>
        <w:pStyle w:val="Point0"/>
      </w:pPr>
      <w:r>
        <w:tab/>
        <w:t>(c)</w:t>
      </w:r>
      <w:r>
        <w:tab/>
        <w:t>fil-każijiet imsemmija fil-paragrafu 1, il-punt (d), għall-perjodu bejn meta sseħħ il-bidla fil-fatti msemmija fih u meta tasal l-informazzjoni kompluta u korretta;</w:t>
      </w:r>
    </w:p>
    <w:p w14:paraId="127B18D0" w14:textId="77777777" w:rsidR="0032378F" w:rsidRDefault="0032378F">
      <w:pPr>
        <w:pStyle w:val="Point0"/>
      </w:pPr>
      <w:r>
        <w:tab/>
        <w:t>(d)</w:t>
      </w:r>
      <w:r>
        <w:tab/>
        <w:t>fil-każijiet imsemmija fil-paragrafu 2 għall-perjodu bejn l-iskadenza tal-limitu ta’ żmien stabbilita fid-deċiżjoni u l-wasla tal-informazzjoni sħiħa u korretta meħtieġa mid-deċiżjoni jew il-mument meta l-Kummissjoni tinforma lill-partijiet notifikanti li, fid-dawl tar-riżultati tal-investigazzjoni tagħha li tkun għaddejja jew tal-iżviluppi tas-suq, l-informazzjoni mitluba ma tkunx aktar meħtieġa.</w:t>
      </w:r>
    </w:p>
    <w:p w14:paraId="1773ADF8" w14:textId="77777777" w:rsidR="0032378F" w:rsidRDefault="0032378F">
      <w:r>
        <w:t>4.</w:t>
      </w:r>
      <w:r>
        <w:tab/>
        <w:t>Is-sospensjoni tal-limitu ta’ żmien għandha tibda fil-jum utli li jsegwi l-jum li fih tkun seħħet l-okkorrenza li toħloq is-sospensjoni. Dan għandu jiskadi fi tmiem il-jum meta r-raġuni għas-sospensjoni tkun tneħħiet. Meta tali jum ma jkunx jum utli, is-sospensjoni tal-limitu taż-żmien għandha tiskadi fit-tmiem tal-jum utli segwenti.</w:t>
      </w:r>
    </w:p>
    <w:p w14:paraId="4BE5C4BB" w14:textId="77777777" w:rsidR="0032378F" w:rsidRDefault="0032378F">
      <w:r>
        <w:t>5.</w:t>
      </w:r>
      <w:r>
        <w:tab/>
        <w:t>Il-Kummissjoni għandha tipproċessa f’perjodu ta’ żmien raġonevoli d-</w:t>
      </w:r>
      <w:r>
        <w:rPr>
          <w:i/>
          <w:iCs/>
        </w:rPr>
        <w:t>data</w:t>
      </w:r>
      <w:r>
        <w:t xml:space="preserve"> kollha li tkun irċeviet fil-qafas tal-investigazzjoni tagħha li tista’ tippermettilha tqis li l-informazzjoni mitluba jew spezzjoni ordnata ma jkunux aktar meħtieġa, fis-sens tal-paragrafu 3, il-punti (a), (b) u (d).</w:t>
      </w:r>
    </w:p>
    <w:p w14:paraId="48B91845" w14:textId="77777777" w:rsidR="0032378F" w:rsidRDefault="0032378F">
      <w:pPr>
        <w:pStyle w:val="Titrearticle"/>
      </w:pPr>
      <w:r>
        <w:t>Artikolu 10</w:t>
      </w:r>
    </w:p>
    <w:p w14:paraId="7FE4DCD7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Konformità mal-limiti ta’ żmien</w:t>
      </w:r>
    </w:p>
    <w:p w14:paraId="09F912C7" w14:textId="77777777" w:rsidR="0032378F" w:rsidRDefault="0032378F">
      <w:r>
        <w:t>1.</w:t>
      </w:r>
      <w:r>
        <w:tab/>
        <w:t>Il-limiti taż-żmien referuti fl-Artikolu 4(4), ir-raba' subparagrafu, l-Artikolu 9(4), l-Artikolu 10(1) u (3), u l-Artikolu 22(3) tar-Regolament (KE) Nru 139/2004 għandhom jintlaħqu meta l-Kummissjoni tkun ħadet id-deċiżjoni rilevanti qabel it-tmiem tal-perjodu.</w:t>
      </w:r>
    </w:p>
    <w:p w14:paraId="33521AB6" w14:textId="77777777" w:rsidR="0032378F" w:rsidRDefault="0032378F">
      <w:r>
        <w:t>2.</w:t>
      </w:r>
      <w:r>
        <w:tab/>
        <w:t>Il-limiti taż-żmien referuti fl-Artikolu 4(4), it-tieni subparagrafu, l-Artikolu 4(5), it-tielet subparagrafu, l-Artikolu 9(2), l-Artikolu 22(1), it-tieni subparagrafu, u 22(2), it-tieni subparagrafu, tar-Regolament (KE) Nru 139/2004 għandhom ikunu milħuqa minn l-Istat Membru kkonċernat meta dak l-Istat Membru, qabel it-tmiem tal-perjodu, jinforma lill-Kummissjoni bil-kitba jew iressaq talba bil-miktub, skont ma jkun il-każ.</w:t>
      </w:r>
    </w:p>
    <w:p w14:paraId="6FD7775B" w14:textId="77777777" w:rsidR="0032378F" w:rsidRDefault="0032378F">
      <w:r>
        <w:t>3.</w:t>
      </w:r>
      <w:r>
        <w:tab/>
        <w:t>Il-limitu ta' żmien referut fl-Artikolu 9(6) tar-Regolament (KE) Nru 139/2004 għandu jkun milħuq meta l-awtorità kompetenti tal-Stat Membru kkonċernat tinforma lill-impriżi kkonċernati skont il-mod stabbilit f'dik id-dispożizzjoni, qabel it-tmiem tal-perjodu.</w:t>
      </w:r>
    </w:p>
    <w:p w14:paraId="380AC396" w14:textId="77777777" w:rsidR="0032378F" w:rsidRDefault="0032378F">
      <w:pPr>
        <w:pStyle w:val="SectionTitle"/>
      </w:pPr>
      <w:r>
        <w:t>KAPITOLU IV</w:t>
      </w:r>
    </w:p>
    <w:p w14:paraId="0FFE3021" w14:textId="77777777" w:rsidR="0032378F" w:rsidRDefault="0032378F">
      <w:pPr>
        <w:pStyle w:val="SectionTitle"/>
      </w:pPr>
      <w:r>
        <w:t>EŻERĊITAR TAD-DRITT TAS-SMIGĦ U S-SEDUTI TA’ SMIGĦ</w:t>
      </w:r>
    </w:p>
    <w:p w14:paraId="25892547" w14:textId="77777777" w:rsidR="0032378F" w:rsidRDefault="0032378F">
      <w:pPr>
        <w:pStyle w:val="Titrearticle"/>
      </w:pPr>
      <w:r>
        <w:t>Artikolu 11</w:t>
      </w:r>
    </w:p>
    <w:p w14:paraId="1967CC9E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Il-partijiet li għandhom jinstemgħu</w:t>
      </w:r>
    </w:p>
    <w:p w14:paraId="3E21893D" w14:textId="77777777" w:rsidR="0032378F" w:rsidRDefault="0032378F">
      <w:r>
        <w:t>Għall-finijiet tad-drittijiet tas-smigħ bis-saħħa tal-Artikolu 18 tar-Regolament (KE) Nru 139/2004, qed jissemmew dawn il-partijiet li ġejjin:</w:t>
      </w:r>
    </w:p>
    <w:p w14:paraId="279AB9B6" w14:textId="77777777" w:rsidR="0032378F" w:rsidRDefault="0032378F">
      <w:pPr>
        <w:pStyle w:val="Point0"/>
      </w:pPr>
      <w:r>
        <w:tab/>
        <w:t>(a)</w:t>
      </w:r>
      <w:r>
        <w:tab/>
        <w:t>partijiet li jinnotifikaw, jiġifieri, persuni jew impriżi li jissottomettu notifika skont l-artikolu 4(2) tar-Regolament (KEE) Nru 139/2004;</w:t>
      </w:r>
    </w:p>
    <w:p w14:paraId="75D338B5" w14:textId="77777777" w:rsidR="0032378F" w:rsidRDefault="0032378F">
      <w:pPr>
        <w:pStyle w:val="Point0"/>
      </w:pPr>
      <w:r>
        <w:tab/>
        <w:t>(b)</w:t>
      </w:r>
      <w:r>
        <w:tab/>
        <w:t>il-partijiet involuti l-oħrajn, jiġifieri, il-partijiet tal-konċentrazzjoni proposta apparti mill-partijiet notifikanti, bħal ma huwa l-bejjiegħ u l-impriża li tkun fil-mira tal-konċentrazzjoni;</w:t>
      </w:r>
    </w:p>
    <w:p w14:paraId="43335D6F" w14:textId="77777777" w:rsidR="0032378F" w:rsidRDefault="0032378F">
      <w:pPr>
        <w:pStyle w:val="Point0"/>
      </w:pPr>
      <w:r>
        <w:tab/>
        <w:t>(c)</w:t>
      </w:r>
      <w:r>
        <w:tab/>
        <w:t>persuni terzi, jiġifieri persuni naturali jew legali, inklużi l-klijenti, il-fornituri u l-kompetituri, dment li dawn juru biċ-ċar interess suffiċjenti fis-sens tal-Artikolu 18(4), it-tieni sentenza, tar-Regolament (KE) Nru 139/2004, liema jkun il-każ partikolari:</w:t>
      </w:r>
    </w:p>
    <w:p w14:paraId="24943189" w14:textId="77777777" w:rsidR="0032378F" w:rsidRDefault="0032378F">
      <w:pPr>
        <w:pStyle w:val="Point1"/>
      </w:pPr>
      <w:r>
        <w:tab/>
        <w:t>(i)</w:t>
      </w:r>
      <w:r>
        <w:tab/>
        <w:t>għall-membri tal-amministrazzjoni jew ta’ korpi amministrattivi tal-impriżi kkonċernati jew ir-rappreżentanti rikonoxxuti tal-impjegati tagħhom;</w:t>
      </w:r>
    </w:p>
    <w:p w14:paraId="643D0FD0" w14:textId="77777777" w:rsidR="0032378F" w:rsidRDefault="0032378F">
      <w:pPr>
        <w:pStyle w:val="Point1"/>
      </w:pPr>
      <w:r>
        <w:tab/>
        <w:t>(ii)</w:t>
      </w:r>
      <w:r>
        <w:tab/>
        <w:t>għal assoċjazzjonijiet ta’ konsumaturi, meta l-konċentrazzjoni proposta tikkonċerna prodotti jew servizzi għall-konsumaturi finali.</w:t>
      </w:r>
    </w:p>
    <w:p w14:paraId="15947D80" w14:textId="77777777" w:rsidR="0032378F" w:rsidRDefault="0032378F">
      <w:pPr>
        <w:pStyle w:val="Point0"/>
      </w:pPr>
      <w:r>
        <w:tab/>
        <w:t>(d)</w:t>
      </w:r>
      <w:r>
        <w:tab/>
        <w:t>il-partijiet li fir-rigward tagħhom il-Kummissjoni jkollha l-intenzjoni li tieħu deċiżjoni bis-saħħa tal-Artikolu 14 jew tal-Artikolu 15 tar-Regolament (KE) Nru 139/2004.</w:t>
      </w:r>
    </w:p>
    <w:p w14:paraId="7C9F504B" w14:textId="77777777" w:rsidR="0032378F" w:rsidRDefault="0032378F">
      <w:pPr>
        <w:pStyle w:val="Titrearticle"/>
      </w:pPr>
      <w:r>
        <w:t>Artikolu 12</w:t>
      </w:r>
    </w:p>
    <w:p w14:paraId="06D84150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Deċiżjonijiet dwar is-sospensjoni ta’ konċentrazzjonijiet</w:t>
      </w:r>
    </w:p>
    <w:p w14:paraId="314E5B7A" w14:textId="77777777" w:rsidR="0032378F" w:rsidRDefault="0032378F">
      <w:r>
        <w:t>1.</w:t>
      </w:r>
      <w:r>
        <w:tab/>
        <w:t>Meta l-Kummissjoni jkollha l-intenzjoni li tieħu deċiżjoni skont l-Artikolu7(3) tar-Regolament (KE) Nru 139/2004, li tkun se taffettwa ħażin lil parti waħda jew aktar, hija għandha tinforma bil-kitba lill-partijiet notifikanti u lill-partijiet l-oħrajn involuti bl-oġġezzjonijiet tagħha u għandha tistabbilixxi limitu ta’ żmien li fih huma jkunu jistgħu jippreżentaw il-fehmiet tagħhom bil-kitba.</w:t>
      </w:r>
    </w:p>
    <w:p w14:paraId="261820C0" w14:textId="77777777" w:rsidR="0032378F" w:rsidRDefault="0032378F">
      <w:r>
        <w:t>2.</w:t>
      </w:r>
      <w:r>
        <w:tab/>
        <w:t>Meta l-Kummissjoni, bis-saħħa tal-Artikolu 18(2) tar-Regolament (KE) Nru 139/2004, tkun ħadet deċiżjoni proviżorja referuta fil-paragrafu 1 ta' dan l-Artikolu mingħajr ma tkun tat lill-partijiet notifikanti u lill-partijiet involuti l-oħrajn l-opportunità li jressqu l-kummenti tagħhom, hija għandha mingħajr dewmien tibagħtilhom it-test tad-deċiżjoni proviżorja u għandha tistabbilixxi limitu ta' żmien li matulu huma jkunu jistgħu jressqu bil-kitba l-kummenti tagħhom.</w:t>
      </w:r>
    </w:p>
    <w:p w14:paraId="06AD3FE4" w14:textId="77777777" w:rsidR="0032378F" w:rsidRDefault="0032378F">
      <w:r>
        <w:t>Ladarba l-partijiet notifikanti u l-partijiet l-oħrajn involuti jkunu ppreżentaw il-fehmiet tagħhom, il-Kummissjoni għandha tieħu deċiżjoni finali li tħassar, temenda jew tikkonferma d-deċiżjoni proviżorja. Meta l-partijiet notifikanti u l-partijiet l-oħrajn involuti ma jkunux ippreżentaw il-fehmiet tagħhom bil-miktub matul il-limitu ta’ żmien stabbilit, id-deċiżjoni proviżorja tal-Kummissjoni għandha ssir finali mal-iskadenza ta’ dak il-perjodu.</w:t>
      </w:r>
    </w:p>
    <w:p w14:paraId="3F78D503" w14:textId="77777777" w:rsidR="0032378F" w:rsidRDefault="0032378F">
      <w:pPr>
        <w:pStyle w:val="Titrearticle"/>
      </w:pPr>
      <w:r>
        <w:t>Artikolu 13</w:t>
      </w:r>
    </w:p>
    <w:p w14:paraId="19909CFF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Deċiżjonijiet dwar is-sustanza tal-każ</w:t>
      </w:r>
    </w:p>
    <w:p w14:paraId="5BE3B25C" w14:textId="77777777" w:rsidR="0032378F" w:rsidRDefault="0032378F">
      <w:r>
        <w:t>1.</w:t>
      </w:r>
      <w:r>
        <w:tab/>
        <w:t>Meta l-Kummissjoni jkollha l-intenzjoni li tieħu deċiżjoni skont l-Artikolu 6(3) jew l-Artikolu 8minn (2) sa (6) tar-Regolament (KE) Nru 139/2004, hija għandha, qabel ma tikkonsulta lill-Kumitat Konsultattiv, tisma’ lill-partijiet skont l-Artikolu 18(1) u (3) ta’ dan ir-Regolament.</w:t>
      </w:r>
    </w:p>
    <w:p w14:paraId="493E5773" w14:textId="77777777" w:rsidR="0032378F" w:rsidRDefault="0032378F">
      <w:r>
        <w:t xml:space="preserve">L-Artikolu 12(2) ta’ dan ir-Regolament għandu japplika </w:t>
      </w:r>
      <w:r>
        <w:rPr>
          <w:i/>
          <w:iCs/>
        </w:rPr>
        <w:t>mutatis mutandis</w:t>
      </w:r>
      <w:r>
        <w:t xml:space="preserve"> meta, fl-applikazzjoni tal-Artikolu 18(2) tar-Regolament (KE) Nru 139/2004, il-Kummissjoni tkun ħadet deċiżjoni b’mod proviżorju skont l-Artikolu 8(5) ta’ dan ir-Regolament.</w:t>
      </w:r>
    </w:p>
    <w:p w14:paraId="77ADC36C" w14:textId="77777777" w:rsidR="0032378F" w:rsidRDefault="0032378F">
      <w:r>
        <w:t>2.</w:t>
      </w:r>
      <w:r>
        <w:tab/>
        <w:t>Il-Kummissjoni għandha tindirizza bil-miktub l-oġġezzjonijiet tagħha lill-partijiet notifikanti f’dikjarazzjoni tal-oġġezzjonijiet. Wara l-ħruġ tad-dikjarazzjoni tal-oġġezzjonijiet, il-Kummissjoni tista’ tindirizza dikjarazzjoni(jiet) supplimentari waħda jew aktar ta’ oġġezzjonijiet lill-partijiet notifikanti, jekk il-Kummissjoni tixtieq tqajjem oġġezzjonijiet ġodda jew timmodifika n-natura intrinsika tal-oġġezzjonijiet li jkunu tqajmu qabel.</w:t>
      </w:r>
    </w:p>
    <w:p w14:paraId="602EEE9C" w14:textId="77777777" w:rsidR="0032378F" w:rsidRDefault="0032378F">
      <w:r>
        <w:t>Il-Kummissjoni għandha, meta tippreżenta l-avviż tal-oġġezzjonijiet, tistabbilixxi limitu ta’ żmien li fih il-partijiet notifikanti jkunu jistgħu jinformaw lill-Kummissjoni bil-kummenti tagħhom bil-miktub.</w:t>
      </w:r>
    </w:p>
    <w:p w14:paraId="0384B190" w14:textId="77777777" w:rsidR="0032378F" w:rsidRDefault="0032378F">
      <w:r>
        <w:t>Il-Kummissjoni għandha tinforma lill-partijiet involuti l-oħra bil-miktub dwar l-oġġezzjonijiet imsemmija fl-ewwel subparagrafu u tistabbilixxi limitu ta’ żmien li fih dawk il-partijiet jistgħu jinfurmaw lill-Kummissjoni bil-kummenti tagħhom bil-miktub.</w:t>
      </w:r>
    </w:p>
    <w:p w14:paraId="149CA174" w14:textId="77777777" w:rsidR="0032378F" w:rsidRDefault="0032378F">
      <w:r>
        <w:t>Il-Kummissjoni ma għandhiex tkun obbligata li tikkunsidra l-kummenti li tirċievi wara l-iskadenza taż-żmien li tkun stabbiliet.</w:t>
      </w:r>
    </w:p>
    <w:p w14:paraId="57EAA533" w14:textId="77777777" w:rsidR="0032378F" w:rsidRDefault="0032378F">
      <w:r>
        <w:t>3.</w:t>
      </w:r>
      <w:r>
        <w:tab/>
        <w:t>Fil-kummenti bil-miktub tagħhom, il-partijiet li lilhom ikunu ġew indirizzati l-oġġezzjonijiet jew li jkunu ġew infurmati b’dawk l-oġġezzjonijiet jistgħu jistabbilixxu l-fatti rilevanti kollha magħrufa lilhom, u għandhom jehmżu kull dokument rilevanti bħala prova tal-fatti stabbiliti. Huma jistgħu wkoll jipproponu li l-Kummissjoni tisma’ persuni li jkunu jistgħu jikkorroboraw dawk il-fatti. Huma għandhom jippreżentaw il-kummenti tagħhom lill-Kummissjoni f’konformità mal-Artikolu 22 u l-istruzzjonijiet ippubblikati mill-Kummissjoni f’</w:t>
      </w:r>
      <w:r>
        <w:rPr>
          <w:i/>
          <w:iCs/>
        </w:rPr>
        <w:t>Il-Ġurnal Uffiċjali tal-Unjoni Ewropea</w:t>
      </w:r>
      <w:r>
        <w:t>. Il-Kummissjoni tgħaddi mingħajr dewmien kopji ta’ dawk kummenti bil-miktub lill-awtoritajiet kompetenti tal-Istati Membri.</w:t>
      </w:r>
    </w:p>
    <w:p w14:paraId="5FD068FF" w14:textId="77777777" w:rsidR="0032378F" w:rsidRDefault="0032378F">
      <w:r>
        <w:t>4.</w:t>
      </w:r>
      <w:r>
        <w:tab/>
        <w:t>Wara l-ħruġ ta’ dikjarazzjoni ta’ oġġezzjonijiet, il-Kummissjoni tista’ tindirizza ittra ta’ fatti lill-partijiet notifikanti, fejn tinfurmahom dwar fatti jew evidenza addizzjonali jew ġodda li l-Kummissjoni tixtieq tuża biex tikkorrobora l-oġġezzjonijiet li diġà tqajmu.</w:t>
      </w:r>
    </w:p>
    <w:p w14:paraId="5958E5D0" w14:textId="77777777" w:rsidR="0032378F" w:rsidRDefault="0032378F">
      <w:r>
        <w:t>Meta tibgħat ittra tal-fatti, il-Kummissjoni għandha tistabbilixxi limitu ta’ żmien li fih il-partijiet notifikanti jistgħu jinfurmaw lill-Kummissjoni bil-kummenti tagħhom bil-miktub.</w:t>
      </w:r>
    </w:p>
    <w:p w14:paraId="42753AF9" w14:textId="77777777" w:rsidR="0032378F" w:rsidRDefault="0032378F">
      <w:r>
        <w:t>5.</w:t>
      </w:r>
      <w:r>
        <w:tab/>
        <w:t>Meta l-Kummissjoni jkollha l-ħsieb li tieħu deċiżjoni skont l-Artikolu 14 jew l-Artikolu 15 tar-Regolament (KE) Nru 139/2004, hija għandha, qabel ma tikkonsulta mal-Kumitat Konsultattiv, tisma’ lill-partijiet li dwarhom il-Kummissjoni tkun bi ħsiebha tieħu tali deċiżjoni, skont l-Artikolu 18(1) u (3) ta’ dak ir-Regolament.</w:t>
      </w:r>
    </w:p>
    <w:p w14:paraId="26643734" w14:textId="77777777" w:rsidR="0032378F" w:rsidRDefault="0032378F">
      <w:r>
        <w:t xml:space="preserve">Il-proċedura prevista fil-paragrafu 2, l-ewwel u t-tieni subparagrafi, u l-paragrafi 3 u 4 għandhom ikunu applikabbli, </w:t>
      </w:r>
      <w:r>
        <w:rPr>
          <w:i/>
          <w:iCs/>
        </w:rPr>
        <w:t>mutatis mutandis</w:t>
      </w:r>
      <w:r>
        <w:t>.</w:t>
      </w:r>
    </w:p>
    <w:p w14:paraId="6DA68A13" w14:textId="77777777" w:rsidR="0032378F" w:rsidRDefault="0032378F">
      <w:pPr>
        <w:pStyle w:val="Titrearticle"/>
      </w:pPr>
      <w:r>
        <w:t>Artikolu 14</w:t>
      </w:r>
    </w:p>
    <w:p w14:paraId="290BDFFB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Smigħ orali</w:t>
      </w:r>
    </w:p>
    <w:p w14:paraId="479C7B5F" w14:textId="77777777" w:rsidR="0032378F" w:rsidRDefault="0032378F">
      <w:r>
        <w:t>1.</w:t>
      </w:r>
      <w:r>
        <w:tab/>
        <w:t>Meta l-Kummissjoni jkollha l-intenzjoni li tieħu deċiżjoni bis-saħħa tal-Artikolu 6(3) jew l-Artikolu 8(2) sa (6) tar-Regolament (KE) Nru 139/2004, hija għandha toffri lill-partijiet notifikanti li jkun talbu dan fil-kummenti tagħhom bil-miktub l-opportunità li jiżviluppaw l-argumenti tagħhom fi smigħ orali. Hija tista’ wkoll, fi stadji oħrajn tal-proċedimenti, toffri lill-partijiet notifikanti l-opportunità li huma jesprimu oralment il-kummenti tagħhom.</w:t>
      </w:r>
    </w:p>
    <w:p w14:paraId="5935C786" w14:textId="77777777" w:rsidR="0032378F" w:rsidRDefault="0032378F">
      <w:r>
        <w:t>2.</w:t>
      </w:r>
      <w:r>
        <w:tab/>
        <w:t>Meta l-Kummissjoni jkollha l-intenzjoni li tieħu deċiżjoni skont l-Artikolu 6(3) jew l-Artikolu 8 minn (2) sa (6) tar-Regolament (KE) Nru 139/2004, hija għandha toffri lill-partijiet involuti l-oħrajn li jkunu talbu dan fil-kummenti tagħhom bil-miktub l-opportunità li jiżviluppaw l-argumenti tagħhom fi smigħ orali. Hija tista’ wkoll, fi stadji oħrajn tal-proċedimenti, toffri lill-partijiet involuti l-oħrajn l-opportunità li jesprimu oralment il-fehmiet tagħhom.</w:t>
      </w:r>
    </w:p>
    <w:p w14:paraId="7F343B9D" w14:textId="77777777" w:rsidR="0032378F" w:rsidRDefault="0032378F">
      <w:r>
        <w:t>3.</w:t>
      </w:r>
      <w:r>
        <w:tab/>
        <w:t>Meta l-Kummissjoni jkollha l-intenzjoni li tieħu deċiżjoni bis-saħħa tal-Artikolu 14 jew l-Artikolu 15 tar-Regolament (KE) Nru 139/2004, hija għandha toffri lill-partijiet li fuqhom hija tipproponi li timponi multa jew pagament perjodiku ta’ penali, l-opportunità li jiżviluppaw l-argumenti tagħhom fi smigħ orali, jekk huma jkunu talbu dan fil-kummenti tagħhom bil-miktub. Hija tista’ wkoll, fi stadji oħrajn tal-proċedimenti, toffri lill-tali partijiet l-opportunità li jesprimu oralment il-fehmiet tagħhom.</w:t>
      </w:r>
    </w:p>
    <w:p w14:paraId="11DFF15F" w14:textId="77777777" w:rsidR="0032378F" w:rsidRDefault="0032378F">
      <w:pPr>
        <w:pStyle w:val="Titrearticle"/>
      </w:pPr>
      <w:r>
        <w:t>Artikolu 15</w:t>
      </w:r>
    </w:p>
    <w:p w14:paraId="573B7C63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Twettiq ta’ smigħ orali</w:t>
      </w:r>
    </w:p>
    <w:p w14:paraId="201FC89E" w14:textId="77777777" w:rsidR="0032378F" w:rsidRDefault="0032378F">
      <w:r>
        <w:t>1.</w:t>
      </w:r>
      <w:r>
        <w:tab/>
        <w:t>Is-smigħ orali għandu jitmexxa mill-Uffiċjal tas-smigħ b’indipendenza sħiħa.</w:t>
      </w:r>
    </w:p>
    <w:p w14:paraId="7E602964" w14:textId="77777777" w:rsidR="0032378F" w:rsidRDefault="0032378F">
      <w:r>
        <w:t>2.</w:t>
      </w:r>
      <w:r>
        <w:tab/>
        <w:t>Il-Kummissjoni għandha tistieden lill-persuni li għandhom jinstemgħu biex jattendu s-smigħ orali f'data tali li hi tkun iddeterminat.</w:t>
      </w:r>
    </w:p>
    <w:p w14:paraId="4A20D2EB" w14:textId="77777777" w:rsidR="0032378F" w:rsidRDefault="0032378F">
      <w:r>
        <w:t>3.</w:t>
      </w:r>
      <w:r>
        <w:tab/>
        <w:t>Il-Kummissjoni għandha tistieden lill-awtoritajiet kompetenti tal-Istati Membri sabiex jipparteċipaw fi kwalunkwe smigħ orali.</w:t>
      </w:r>
    </w:p>
    <w:p w14:paraId="6848694B" w14:textId="77777777" w:rsidR="0032378F" w:rsidRDefault="0032378F">
      <w:r>
        <w:t>4.</w:t>
      </w:r>
      <w:r>
        <w:tab/>
        <w:t>Il-persuni mistiedna sabiex jattendu għandhom jew jidhru huma personali jew li jkunu rappreżentati mir-rappreżentanti legali tagħhom jew minn rappreżentanti awtorizzati skont il-kostituzzjoni tagħhom, kif xieraq. Impriżi u assoċjazzjonijiet ta' impriżi jistgħu wkoll ikunu rappreżentati minn aġent awtorizzat kif meħtieġ minn fost il-persunal permanenti tagħhom.</w:t>
      </w:r>
    </w:p>
    <w:p w14:paraId="3CFC5FFA" w14:textId="77777777" w:rsidR="0032378F" w:rsidRDefault="0032378F">
      <w:r>
        <w:t>5.</w:t>
      </w:r>
      <w:r>
        <w:tab/>
        <w:t>Il-persuni mismugħa mill-Kummissjoni jistgħu jkunu mgħejuna mill-avukati tagħhom jew minn persuni oħrajn kwalifikati u awtorizzati kif meħtieġ, li jkunu ammessi mill-Uffiċjal tas-Smigħ.</w:t>
      </w:r>
    </w:p>
    <w:p w14:paraId="38FACBB8" w14:textId="77777777" w:rsidR="0032378F" w:rsidRDefault="0032378F">
      <w:r>
        <w:t>6.</w:t>
      </w:r>
      <w:r>
        <w:tab/>
        <w:t>Seduti orali ma għandhomx ikunu miftuħa għall-pubbliku. Kull persuna tista’ tkun mismugħa separatament jew fil-preżenza ta' persuni oħrajn li jkunu mistiedna sabiex jattendu, wara li jkunu meqjusa l-interessi leġittimi tal-impriżi fil-protezzjoni tas-sigrieti tan-negozju tagħhom u ta’ xi informazzjoni kunfidenzjali oħra.</w:t>
      </w:r>
    </w:p>
    <w:p w14:paraId="086619C7" w14:textId="77777777" w:rsidR="0032378F" w:rsidRDefault="0032378F">
      <w:r>
        <w:t>7.</w:t>
      </w:r>
      <w:r>
        <w:tab/>
        <w:t>L-Uffiċjal tas-Smigħ jista’ jippermetti lill-partijiet kollha fis-sens tal-Artikolu 11, lis-servizzi tal-Kummissjoni, u lill-awtoritajiet kompetenti tal-Istati Membri jagħmlu mistoqsijiet matul is-smigħ orali.</w:t>
      </w:r>
    </w:p>
    <w:p w14:paraId="4FF7A927" w14:textId="77777777" w:rsidR="0032378F" w:rsidRDefault="0032378F">
      <w:r>
        <w:t>8.</w:t>
      </w:r>
      <w:r>
        <w:tab/>
        <w:t>L-Uffiċjal tas-Smigħ jista jorganizza laqgħa ta’ tħejjija mal-partijiet u mas-servizzi tal-Kummissjoni, biex jiffaċilita l-organizzazzjoni effiċjenti tas-seduta ta’ smigħ orali.</w:t>
      </w:r>
    </w:p>
    <w:p w14:paraId="6B213068" w14:textId="77777777" w:rsidR="0032378F" w:rsidRDefault="0032378F">
      <w:r>
        <w:t>9.</w:t>
      </w:r>
      <w:r>
        <w:tab/>
        <w:t>Id-dikjarazzjonijiet magħmula minn kull persuna li nstemgħet għandhom ikunu rrikordjati. Fuq talba, ir-reġistrazzjoni tas-seduta ta’ smigħ orali għandha tkun disponibbli għall-persuni li jattendu għal dak is-smigħ. Għandha tingħata attenzjoni għall-interess leġittimu tal-impriżi fil-protezzjoni tas-sigrieti kummerċjali tagħhom u ta’ informazzjoni kunfidenzjali oħra.</w:t>
      </w:r>
    </w:p>
    <w:p w14:paraId="734AED8E" w14:textId="77777777" w:rsidR="0032378F" w:rsidRDefault="0032378F">
      <w:pPr>
        <w:pStyle w:val="Titrearticle"/>
      </w:pPr>
      <w:r>
        <w:t>Artikolu 16</w:t>
      </w:r>
    </w:p>
    <w:p w14:paraId="1C885075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Is-smigħ ta’ terzi persuni</w:t>
      </w:r>
    </w:p>
    <w:p w14:paraId="34835353" w14:textId="77777777" w:rsidR="0032378F" w:rsidRDefault="0032378F">
      <w:r>
        <w:t>1.</w:t>
      </w:r>
      <w:r>
        <w:tab/>
        <w:t>Jekk persuni terzi japplikaw biex jinstemgħu, il-Kummissjoni għandha tinfurmahom bil-miktub dwar in-natura u s-suġġett tal-proċedimenti u għandha tistabbilixxi limitu ta’ żmien li fih jistgħu jesprimu l-fehmiet tagħhom.</w:t>
      </w:r>
    </w:p>
    <w:p w14:paraId="2D20612F" w14:textId="77777777" w:rsidR="0032378F" w:rsidRDefault="0032378F">
      <w:r>
        <w:t>2.</w:t>
      </w:r>
      <w:r>
        <w:tab/>
        <w:t>Fejn tkun inħarġet dikjarazzjoni ta’ oġġezzjonijiet jew dikjarazzjoni supplimentari ta’ oġġezzjonijiet, il-Kummissjoni tista’ tibgħat verżjoni mhux kunfidenzjali ta’ dik id-dikjarazzjoni lil terzi persuni jew tinfurmahom bin-natura u s-suġġett tal-proċedimenti b’mezzi xierqa oħra. Għal dan l-għan, il-partijiet notifikanti għandhom jidentifikaw kull informazzjoni li huma jikkunsidraw kunfidenzjali fl-oġġezzjonijiet, skont l-Artikolu 18(3), it-tieni u t-tielet subparagrafi, fi żmien ħamest ijiem utli minn meta jirċievu d-dikjarazzjoni. Il-Kummissjoni għandha tipprovdi l-verżjoni mhux kunfidenzjali tal-oġġezzjonijiet lil terzi persuni biss biex tintuża għall-finijiet tal-proċedimenti rilevanti skont ir-Regolament (KE) Nru 139/2004. Terzi persuni għandhom jaċċettaw dik ir-restrizzjoni qabel ma jirċievu l-verżjoni mhux kunfidenzjali tal-oġġezzjonijiet.</w:t>
      </w:r>
    </w:p>
    <w:p w14:paraId="4E3D0D3C" w14:textId="77777777" w:rsidR="0032378F" w:rsidRDefault="0032378F">
      <w:r>
        <w:t>Fejn ma tkunx inħarġet dikjarazzjoni ta’ oġġezzjonijiet, il-Kummissjoni ma għandha tkun taħt l-ebda obbligu li tipprovdi lil terzi persuni msemmija fil-paragrafu 1 b’xi informazzjoni lil hinn min-natura u s-suġġett tal-proċedimenti.</w:t>
      </w:r>
    </w:p>
    <w:p w14:paraId="17318360" w14:textId="77777777" w:rsidR="0032378F" w:rsidRDefault="0032378F">
      <w:r>
        <w:t>3.</w:t>
      </w:r>
      <w:r>
        <w:tab/>
        <w:t>Il-persuni terzi referuti fil-paragrafu 1 għandhom jippreżentaw il-kummenti tagħhom bil-kitba matul il-limitu taż-żmien stabbilit. Il-Kummissjoni tista’, meta xieraq, toffri lil tali terzi persuni, li jkun hekk talbu fil-kummenti bil-miktub tagħhom, l-opportunità li jipparteċipaw fi smigħ. Hija tista’ wkoll, f’każijiet oħrajn, toffri lil tali terzi persuni l-opportunità li jesprimu oralment il-fehmiet tagħhom.</w:t>
      </w:r>
    </w:p>
    <w:p w14:paraId="6189C5C7" w14:textId="77777777" w:rsidR="0032378F" w:rsidRDefault="0032378F">
      <w:r>
        <w:t>4.</w:t>
      </w:r>
      <w:r>
        <w:tab/>
        <w:t>Il-Kummissjoni tista’ tistieden xi persuna oħra, naturali jew legali, sabiex tesprimi l-fehmiet tagħha, kemm bil-miktub kif ukoll oralment, inkluż is-smigħ orali.</w:t>
      </w:r>
    </w:p>
    <w:p w14:paraId="7D753D34" w14:textId="77777777" w:rsidR="0032378F" w:rsidRDefault="0032378F">
      <w:pPr>
        <w:pStyle w:val="SectionTitle"/>
      </w:pPr>
      <w:r>
        <w:t>KAPITOLU V</w:t>
      </w:r>
    </w:p>
    <w:p w14:paraId="15B9F2E6" w14:textId="77777777" w:rsidR="0032378F" w:rsidRDefault="0032378F">
      <w:pPr>
        <w:pStyle w:val="SectionTitle"/>
      </w:pPr>
      <w:r>
        <w:rPr>
          <w:i/>
          <w:iCs/>
        </w:rPr>
        <w:t>AĊĊESS GĦALL-FAJL U TRATTAMENT TA’ INFORMAZZJONI KUNFIDENZJALI</w:t>
      </w:r>
    </w:p>
    <w:p w14:paraId="19A8108A" w14:textId="77777777" w:rsidR="0032378F" w:rsidRDefault="0032378F">
      <w:pPr>
        <w:pStyle w:val="Titrearticle"/>
      </w:pPr>
      <w:r>
        <w:t>Artikolu 17</w:t>
      </w:r>
    </w:p>
    <w:p w14:paraId="5F8F2D56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Aċċess għall-fajl u l-użu ta’ dokumenti</w:t>
      </w:r>
    </w:p>
    <w:p w14:paraId="12CB26B8" w14:textId="77777777" w:rsidR="0032378F" w:rsidRDefault="0032378F">
      <w:r>
        <w:t>1.</w:t>
      </w:r>
      <w:r>
        <w:tab/>
        <w:t>Jekk tintalab, il-Kummissjoni għandha tagħti aċċess għall-fajl tal-partijiet li lilhom tkun indirizzat stqarrija tal-oġġezzjonijiet, għall-iskop li tippermettilhom jeżerċitaw id-drittijiet tagħhom tad-difiża. L-aċċess għandu jingħata wara li l-Kummissjoni tavża lill-partijiet notifikanti bid-dikjarazzjoni ta’ oġġezzjonijiet.</w:t>
      </w:r>
    </w:p>
    <w:p w14:paraId="16991898" w14:textId="77777777" w:rsidR="0032378F" w:rsidRDefault="0032378F">
      <w:r>
        <w:t>2.</w:t>
      </w:r>
      <w:r>
        <w:tab/>
        <w:t>Il-Kummissjoni għandha, jekk tintalab, tagħti wkoll lill-partijiet involuti l-oħrajn li jkunu ġew infurmati bl-oġġezzjonijiet, aċċess għall-fajl sal-limitu li dan ikunu meħtieġ biex ikunu jistgħu jħejju l-kummenti tagħhom.</w:t>
      </w:r>
    </w:p>
    <w:p w14:paraId="0A513818" w14:textId="77777777" w:rsidR="0032378F" w:rsidRDefault="0032378F">
      <w:r>
        <w:t>3.</w:t>
      </w:r>
      <w:r>
        <w:tab/>
        <w:t>Id-dritt ta’ aċċess għall-fajl ma għandux jestendi għal:</w:t>
      </w:r>
    </w:p>
    <w:p w14:paraId="68E19F06" w14:textId="77777777" w:rsidR="0032378F" w:rsidRDefault="0032378F">
      <w:pPr>
        <w:pStyle w:val="Point0"/>
      </w:pPr>
      <w:r>
        <w:tab/>
        <w:t>(a)</w:t>
      </w:r>
      <w:r>
        <w:tab/>
        <w:t>informazzjoni kunfidenzjali;</w:t>
      </w:r>
    </w:p>
    <w:p w14:paraId="329E8CC3" w14:textId="77777777" w:rsidR="0032378F" w:rsidRDefault="0032378F">
      <w:pPr>
        <w:pStyle w:val="Point0"/>
      </w:pPr>
      <w:r>
        <w:tab/>
        <w:t>(b)</w:t>
      </w:r>
      <w:r>
        <w:tab/>
        <w:t>dokumenti interni tal-Kummissjoni;</w:t>
      </w:r>
    </w:p>
    <w:p w14:paraId="078AD7AE" w14:textId="77777777" w:rsidR="0032378F" w:rsidRDefault="0032378F">
      <w:pPr>
        <w:pStyle w:val="Point0"/>
      </w:pPr>
      <w:r>
        <w:tab/>
        <w:t>(c)</w:t>
      </w:r>
      <w:r>
        <w:tab/>
        <w:t>dokumenti interni tal-awtoritajiet kompetenti tal-Istati Membri;</w:t>
      </w:r>
    </w:p>
    <w:p w14:paraId="7480E295" w14:textId="77777777" w:rsidR="0032378F" w:rsidRDefault="0032378F">
      <w:pPr>
        <w:pStyle w:val="Point0"/>
      </w:pPr>
      <w:r>
        <w:tab/>
        <w:t>(d)</w:t>
      </w:r>
      <w:r>
        <w:tab/>
        <w:t>korrispondenza bejn il-Kummissjoni u l-awtoritajiet kompetenti tal-Istati Membri;</w:t>
      </w:r>
    </w:p>
    <w:p w14:paraId="0F816D10" w14:textId="77777777" w:rsidR="0032378F" w:rsidRDefault="0032378F">
      <w:pPr>
        <w:pStyle w:val="Point0"/>
      </w:pPr>
      <w:r>
        <w:tab/>
        <w:t>(e)</w:t>
      </w:r>
      <w:r>
        <w:tab/>
        <w:t>korrispondenza bejn l-awtoritajiet kompetenti tal-Istati Membri; u</w:t>
      </w:r>
    </w:p>
    <w:p w14:paraId="7341A6E5" w14:textId="77777777" w:rsidR="0032378F" w:rsidRDefault="0032378F">
      <w:pPr>
        <w:pStyle w:val="Point0"/>
      </w:pPr>
      <w:r>
        <w:tab/>
        <w:t>(f)</w:t>
      </w:r>
      <w:r>
        <w:tab/>
        <w:t>korrispondenza bejn il-Kummissjoni u awtoritajiet oħrajn tal-kompetizzjoni.</w:t>
      </w:r>
    </w:p>
    <w:p w14:paraId="38ACA637" w14:textId="77777777" w:rsidR="0032378F" w:rsidRDefault="0032378F">
      <w:r>
        <w:t>4.</w:t>
      </w:r>
      <w:r>
        <w:tab/>
        <w:t>Id-dokumenti miksuba permezz tal-aċċess għall-fajl skont dan l-Artikolu jistgħu jkunu użati biss għall-finijiet tal-proċedimenti rilevanti skont ir-Regolament (KE) Nru 139/2004.</w:t>
      </w:r>
    </w:p>
    <w:p w14:paraId="52714BBE" w14:textId="77777777" w:rsidR="0032378F" w:rsidRDefault="0032378F">
      <w:pPr>
        <w:pStyle w:val="Titrearticle"/>
      </w:pPr>
      <w:r>
        <w:t>Artikolu 18</w:t>
      </w:r>
    </w:p>
    <w:p w14:paraId="5F73A7F7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Trattament ta’ informazzjoni kunfidenzjali</w:t>
      </w:r>
    </w:p>
    <w:p w14:paraId="72FF96CE" w14:textId="77777777" w:rsidR="0032378F" w:rsidRDefault="0032378F">
      <w:r>
        <w:t>1.</w:t>
      </w:r>
      <w:r>
        <w:tab/>
        <w:t>L-informazzjoni, inklużi d-dokumenti, ma għandhiex tiġi kkomunikata jew magħmula aċċessibbli mill-Kummissjoni jekk:</w:t>
      </w:r>
    </w:p>
    <w:p w14:paraId="52494223" w14:textId="77777777" w:rsidR="0032378F" w:rsidRDefault="0032378F">
      <w:pPr>
        <w:pStyle w:val="Point0"/>
      </w:pPr>
      <w:r>
        <w:tab/>
        <w:t>(a)</w:t>
      </w:r>
      <w:r>
        <w:tab/>
        <w:t>ikun fiha sigrieti kummerċjali jew informazzjoni kunfidenzjali oħra; u</w:t>
      </w:r>
    </w:p>
    <w:p w14:paraId="5F7B28BB" w14:textId="77777777" w:rsidR="0032378F" w:rsidRDefault="0032378F">
      <w:pPr>
        <w:pStyle w:val="Point0"/>
      </w:pPr>
      <w:r>
        <w:tab/>
        <w:t>(b)</w:t>
      </w:r>
      <w:r>
        <w:tab/>
        <w:t>l-iżvelar ta’ informazzjoni ma jitqiesx meħtieġ mill-Kummissjoni għall-fini tal-proċedimenti.</w:t>
      </w:r>
    </w:p>
    <w:p w14:paraId="12D67CFB" w14:textId="77777777" w:rsidR="0032378F" w:rsidRDefault="0032378F">
      <w:r>
        <w:t>2.</w:t>
      </w:r>
      <w:r>
        <w:tab/>
        <w:t>Persuni, impriżi, jew assoċjazzjonijiet ta’ impriżi li jesprimu l-fehmiet jew il-kummenti tagħhom skont l-Artikoli 12, 13 u 16 ta’ dan ir-Regolament, jew ifornu informazzjoni skont l-Artikolu 11 tar-Regolament (KE) Nru 139/2004, jew sussegwentement jippreżentaw aktar informazzjoni lill-Kummissjoni matul l-istess proċedimenti, għandhom jidentifikaw b’mod ċar kull materjal li huma jqisu kunfidenzjali, filwaqt li jagħtu raġunijiet, u jipprovdu verżjoni mhux kunfidenzjali separata sad-data stabbilita mill-Kummissjoni.</w:t>
      </w:r>
    </w:p>
    <w:p w14:paraId="49856401" w14:textId="77777777" w:rsidR="0032378F" w:rsidRDefault="0032378F">
      <w:r>
        <w:t>3.</w:t>
      </w:r>
      <w:r>
        <w:tab/>
        <w:t>Mingħajr preġudizzju għall-paragrafu 2, il-Kummissjoni tista’ teħtieġ li tali persuni msemmija fl-Artikolu 3 tar-Regolament (KE) Nru 139/2004, impriżi u assoċjazzjonijiet tal-impriżi fil-każijiet kollha meta huma jipproduċu jew ikunu pprovdew dokumenti jew stqarrijiet skont ir-Regolament (KE) Nru 139/2004, jidentifikaw id-dokumenti jew partijiet tad-dokumenti li huma jikkonsidraw li jkun fihom sigrieti kummerċjali jew informazzjoni kunfidenzjali oħra li tappartjeni lilhom u jidentifikaw l-impriżi li fir-rigward tagħhom tali dokumenti għandhom jitqiesu bħala kunfidenzjali.</w:t>
      </w:r>
    </w:p>
    <w:p w14:paraId="1D5A4465" w14:textId="77777777" w:rsidR="0032378F" w:rsidRDefault="0032378F">
      <w:r>
        <w:t>Il-Kummissjoni tista’ wkoll li tkun teħtieġ lill-persuni referuti fl-Artikolu 3 tar-Regolament (KE) Nru 139/2004, lill-impriżi jew l-assoċjazzjonijiet tal-impriżi, li jidentifikaw xi parti minn stqarrija tal-oġġezzjonijiet, sommarju tal-każ jew deċiżjoni adotta mill-Kummissjoni, li fl-opinjoni tagħhom dawn ikun fihom sigrieti tan-negozju.</w:t>
      </w:r>
    </w:p>
    <w:p w14:paraId="2AFE9BDA" w14:textId="77777777" w:rsidR="0032378F" w:rsidRDefault="0032378F">
      <w:r>
        <w:t>Meta s-sigrieti kummerċjali jew xi informazzjoni kunfidenzjali oħra jkunu identifikati, il-persuni, l-impriżi u l-assoċjazzjonijiet tal-impriżi għandhom jagħtu r-raġunijiet u jipprovdu verżjoni separata mhux-kunfidenzjali sad-data stabbilita mill-Kummissjoni.</w:t>
      </w:r>
    </w:p>
    <w:p w14:paraId="04ADC6C7" w14:textId="77777777" w:rsidR="0032378F" w:rsidRDefault="0032378F">
      <w:r>
        <w:t>4.</w:t>
      </w:r>
      <w:r>
        <w:tab/>
        <w:t>Jekk persuni, impriżi jew assoċjazzjonijiet ta’ impriżi jonqsu milli jkunu konformi mal-paragrafu 2 jew 3, il-Kummissjoni tista’ tassumi li d-dokumenti jew id-dikjarazzjonijiet ikkonċernati ma jkun fihom l-ebda informazzjoni kunfidenzjali.</w:t>
      </w:r>
    </w:p>
    <w:p w14:paraId="19AF65D6" w14:textId="77777777" w:rsidR="0032378F" w:rsidRDefault="0032378F">
      <w:pPr>
        <w:pStyle w:val="SectionTitle"/>
      </w:pPr>
      <w:r>
        <w:t>KAPITOLU VI</w:t>
      </w:r>
    </w:p>
    <w:p w14:paraId="78E2764A" w14:textId="77777777" w:rsidR="0032378F" w:rsidRDefault="0032378F">
      <w:pPr>
        <w:pStyle w:val="SectionTitle"/>
      </w:pPr>
      <w:r>
        <w:rPr>
          <w:i/>
          <w:iCs/>
        </w:rPr>
        <w:t>IMPENJI OFFRUTI MILL-IMPRIŻI KKONĊERNATI</w:t>
      </w:r>
    </w:p>
    <w:p w14:paraId="22E0F3E3" w14:textId="77777777" w:rsidR="0032378F" w:rsidRDefault="0032378F">
      <w:pPr>
        <w:pStyle w:val="Titrearticle"/>
      </w:pPr>
      <w:r>
        <w:t>Artikolu 19</w:t>
      </w:r>
    </w:p>
    <w:p w14:paraId="2AF920CF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Il-limiti taż-żmien għall-preżentazzjoni ta’ impenji</w:t>
      </w:r>
    </w:p>
    <w:p w14:paraId="326C7AC5" w14:textId="77777777" w:rsidR="0032378F" w:rsidRDefault="0032378F">
      <w:r>
        <w:t>1.</w:t>
      </w:r>
      <w:r>
        <w:tab/>
        <w:t>L-impenji offruti mill-impriżi konċernati skont l-Artikolu 6(2) tar-Regolament (KE) Nru 139/2004 għandhom ikunu ppreżentati lill-Kummissjoni fi żmien 20 jum utli mid-data tal-wasla tan-notifika.</w:t>
      </w:r>
    </w:p>
    <w:p w14:paraId="06AE9BAE" w14:textId="77777777" w:rsidR="0032378F" w:rsidRDefault="0032378F">
      <w:r>
        <w:t>2.</w:t>
      </w:r>
      <w:r>
        <w:tab/>
        <w:t>L-impenji offruti mill-impriżi konċernati skont l-Artikolu 8(2) tar-Regolament (KE) Nru 139/2004 għandhom ikunu ppreżentati lill-Kummissjoni fi żmien 65 jum utli mid-data li fiha l-proċediment ġew mibdija.</w:t>
      </w:r>
    </w:p>
    <w:p w14:paraId="739719F4" w14:textId="77777777" w:rsidR="0032378F" w:rsidRDefault="0032378F">
      <w:r>
        <w:t>Meta l-impriżi kkonċernati l-ewwel joffru impenji fi żmien inqas minn 55 jum utli mid-data li fiha jkunu nbdew il-proċedimenti iżda jippreżentaw verżjoni modifikata tal-impenji 55 jum utli jew aktar minn dik id-data, l-impenji modifikati għandhom jitqiesu bħala impenji ġodda għall-fini tal-applikazzjoni tal-Artikolu 10(3), it-tieni sentenza, tar-Regolament (KE) Nru 139/2004.</w:t>
      </w:r>
    </w:p>
    <w:p w14:paraId="06CBAB3E" w14:textId="77777777" w:rsidR="0032378F" w:rsidRDefault="0032378F">
      <w:r>
        <w:t>Meta skont l-Artikolu 10(3), it-tieni subparagrafu, tar-Regolament (KE) Nru 139/2004 il-perjodu tal-adozzjoni ta’ deċiżjoni skont l-Artikolu 8(1) sa (3) jiġi estiż, il-perjodu ta’ 65 jum utli għall-preżentazzjoni tal-impenji għandu awtomatikament jiġi estiż bl-istess numru ta’ jiem utli.</w:t>
      </w:r>
    </w:p>
    <w:p w14:paraId="4E7517E7" w14:textId="77777777" w:rsidR="0032378F" w:rsidRDefault="0032378F">
      <w:r>
        <w:t>F’ċirkostanzi eċċezzjonali, il-Kummissjoni tista’ taċċetta li tikkunsidra l-impenji offruti wara l-iskadenza tal-limitu ta’ żmien rilevanti għall-preżentazzjoni tagħhom kif preskritt f’dan l-Artikolu. Meta tiddeċiedi jekk taċċettax li tikkunsidra l-impenji offruti f’ċirkostanzi bħal dawn, il-Kummissjoni għandha tikkunsidra b’mod partikolari l-ħtieġa li tikkonforma mar-rekwiżiti tal-Artikolu 19(5) tar-Regolament (KE) Nru 139/2004.</w:t>
      </w:r>
    </w:p>
    <w:p w14:paraId="7D22E376" w14:textId="77777777" w:rsidR="0032378F" w:rsidRDefault="0032378F">
      <w:r>
        <w:t>3.</w:t>
      </w:r>
      <w:r>
        <w:tab/>
        <w:t>L-Artikoli 7, 8 u 9 għandhom japplikaw mutatis mutandis.</w:t>
      </w:r>
    </w:p>
    <w:p w14:paraId="3E7D314F" w14:textId="77777777" w:rsidR="0032378F" w:rsidRDefault="0032378F">
      <w:pPr>
        <w:pStyle w:val="Titrearticle"/>
      </w:pPr>
      <w:r>
        <w:t>Artikolu 20</w:t>
      </w:r>
    </w:p>
    <w:p w14:paraId="63D97EE3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Proċedura għall-preżentazzjoni ta’ impenji</w:t>
      </w:r>
    </w:p>
    <w:p w14:paraId="29E5A67A" w14:textId="77777777" w:rsidR="0032378F" w:rsidRDefault="0032378F">
      <w:r>
        <w:t>1.</w:t>
      </w:r>
      <w:r>
        <w:tab/>
        <w:t>L-impenji offruti mill-impriżi kkonċernati skont l-Artikolu 6(2) jew l-Artikolu 8(2) tar-Regolament (KE) Nru 139/2004 għandhom jiġu ppreżentati lill-Kummissjoni f’konformità mal-Artikolu 22 u l-istruzzjonijiet ippubblikati mill-Kummissjoni f’</w:t>
      </w:r>
      <w:r>
        <w:rPr>
          <w:i/>
          <w:iCs/>
        </w:rPr>
        <w:t>Il-Ġurnal Uffiċjali tal-Unjoni Ewropea</w:t>
      </w:r>
      <w:r>
        <w:t>. Il-Kummissjoni għandha tgħaddi dawk l-impenji mingħajr dewmien lill-awtoritajiet kompetenti tal-Istati Membri.</w:t>
      </w:r>
    </w:p>
    <w:p w14:paraId="6A307241" w14:textId="77777777" w:rsidR="0032378F" w:rsidRDefault="0032378F">
      <w:r>
        <w:t>2.</w:t>
      </w:r>
      <w:r>
        <w:tab/>
        <w:t>Minbarra r-rekwiżiti stabbiliti fil-paragrafu 1, l-impriżi kkonċernati għandhom, fl-istess ħin li joffru impenji skont l-Artikolu 6(2) jew l-Artikolu 8(2) tar-Regolament (KE) Nru 139/2004, jippreżentaw l-informazzjoni meħtieġa mill-Formola RM kif stabbilit fl-Anness IV ta’ dan ir-Regolament f’konformità mal-Artikolu 22 u l-istruzzjonijiet ippubblikati mill-Kummissjoni f’</w:t>
      </w:r>
      <w:r>
        <w:rPr>
          <w:i/>
          <w:iCs/>
        </w:rPr>
        <w:t>Il-Ġurnal Uffiċjali tal-Unjoni Ewropea</w:t>
      </w:r>
      <w:r>
        <w:t>. L-informazzjoni ppreżentata għandha tkun korretta u kompluta.</w:t>
      </w:r>
    </w:p>
    <w:p w14:paraId="5F9C22F2" w14:textId="77777777" w:rsidR="0032378F" w:rsidRDefault="0032378F">
      <w:r>
        <w:t xml:space="preserve">L-Artikolu 4 għandu japplika </w:t>
      </w:r>
      <w:r>
        <w:rPr>
          <w:i/>
          <w:iCs/>
        </w:rPr>
        <w:t>mutatis mutandis</w:t>
      </w:r>
      <w:r>
        <w:t xml:space="preserve"> għall-Formola RM li takkumpanja l-impenji offruti skont l-Artikolu 6(2) jew l-Artikolu 8(2) tar-Regolament (KE) Nru 139/2004.</w:t>
      </w:r>
    </w:p>
    <w:p w14:paraId="03F57702" w14:textId="77777777" w:rsidR="0032378F" w:rsidRDefault="0032378F">
      <w:r>
        <w:t>3.</w:t>
      </w:r>
      <w:r>
        <w:tab/>
        <w:t>Meta joffru impenji skont l-Artikolu 6(2) jew l-Artikolu 8(2) tar-Regolament (KE) Nru 139/2004, l-impriżi kkonċernati għandhom fl-istess waqt jidentifikaw b’mod ċar kull informazzjoni li huma jqisu bħala kunfidenzjali, filwaqt li jagħtu r-raġunijiet, u għandhom jipprovdu verżjoni separata mhux-kunfidenzjali.</w:t>
      </w:r>
    </w:p>
    <w:p w14:paraId="7AE33A13" w14:textId="77777777" w:rsidR="0032378F" w:rsidRDefault="0032378F">
      <w:r>
        <w:t>4.</w:t>
      </w:r>
      <w:r>
        <w:tab/>
        <w:t>L-impenji offruti skont l-Artikolu 6(2) jew l-Artikolu 8(2) tar-Regolament (KE) Nru 139/2004 għandhom jiġu ffirmati mill-partijiet notifikanti, kif ukoll minn kull parti oħra involuta li fuqha l-impenji jimponu obbligi.</w:t>
      </w:r>
    </w:p>
    <w:p w14:paraId="7A37ED80" w14:textId="77777777" w:rsidR="0032378F" w:rsidRDefault="0032378F">
      <w:r>
        <w:t>5.</w:t>
      </w:r>
      <w:r>
        <w:tab/>
        <w:t>Verżjoni mhux kunfidenzjali tal-impenji għandha tiġi ppubblikata fuq is-sit web tad-Direttorat Ġenerali tal-Kummissjoni għall-Kompetizzjoni mingħajr dewmien wara l-adozzjoni ta’ deċiżjoni skont l-Artikolu 6(2) jew l-Artikolu 8(2) tar-Regolament (KE) Nru 139/2004. Għal dan l-għan, il-partijiet notifikanti għandhom jipprovdu lill-Kummissjoni b’verżjoni mhux kunfidenzjali tal-impenji fi żmien ħamest ijiem utli mill-adozzjoni tad-deċiżjoni skont l-Artikolu 6(2) jew l-Artikolu 8(2) tar-Regolament (KE) Nru 139/2004.</w:t>
      </w:r>
    </w:p>
    <w:p w14:paraId="4E9F386B" w14:textId="77777777" w:rsidR="0032378F" w:rsidRDefault="0032378F">
      <w:pPr>
        <w:pStyle w:val="Titrearticle"/>
      </w:pPr>
      <w:r>
        <w:t>Artikolu 21</w:t>
      </w:r>
    </w:p>
    <w:p w14:paraId="4D443085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Fiduċjarji</w:t>
      </w:r>
    </w:p>
    <w:p w14:paraId="4C063B60" w14:textId="77777777" w:rsidR="0032378F" w:rsidRDefault="0032378F">
      <w:r>
        <w:t>1.</w:t>
      </w:r>
      <w:r>
        <w:tab/>
        <w:t>L-impenji offruti mill-impriżi kkonċernati skont l-Artikolu 6(2) jew l-Artikolu 8(2) tar-Regolament (KE) Nru 139/2004 jistgħu jinkludu, bi spejjeż proprji tal-impriżi kkonċernati, il-ħatra ta’ fiduċjarju indipendenti wieħed jew aktar biex jassistu lill-Kummissjoni fis-sorveljanza tal-konformità tal-partijiet mal-impenji jew fl-implimentazzjoni tal-impenji. Il-fiduċjarji jistgħu jinħatru mill-partijiet, wara l-approvazzjoni tal-Kummissjoni, jew mill-Kummissjoni. Il-fiduċjarji għandhom iwettqu l-kompiti tagħhom taħt is-superviżjoni tal-Kummissjoni.</w:t>
      </w:r>
    </w:p>
    <w:p w14:paraId="2620C2A5" w14:textId="77777777" w:rsidR="0032378F" w:rsidRDefault="0032378F">
      <w:r>
        <w:t>2.</w:t>
      </w:r>
      <w:r>
        <w:tab/>
        <w:t>Il-Kummissjoni tista’ tehmeż mad-deċiżjoni tagħha skont l-Artikolu 6(2) jew 8 (2) tar-Regolament (KE) Nru 139/2004 kundizzjonijiet jew obbligi relatati mal-fiduċjarji msemmija fil-paragrafu 1.</w:t>
      </w:r>
    </w:p>
    <w:p w14:paraId="51D7F594" w14:textId="77777777" w:rsidR="0032378F" w:rsidRDefault="0032378F">
      <w:pPr>
        <w:pStyle w:val="SectionTitle"/>
      </w:pPr>
      <w:r>
        <w:t>KAPITOLU VII</w:t>
      </w:r>
    </w:p>
    <w:p w14:paraId="64F50D19" w14:textId="77777777" w:rsidR="0032378F" w:rsidRDefault="0032378F">
      <w:pPr>
        <w:pStyle w:val="SectionTitle"/>
      </w:pPr>
      <w:r>
        <w:rPr>
          <w:i/>
          <w:iCs/>
        </w:rPr>
        <w:t>DISPOŻIZZJONIJIET MIXXELLANJI</w:t>
      </w:r>
    </w:p>
    <w:p w14:paraId="28046C39" w14:textId="77777777" w:rsidR="0032378F" w:rsidRDefault="0032378F">
      <w:pPr>
        <w:pStyle w:val="Titrearticle"/>
      </w:pPr>
      <w:r>
        <w:t>Artikolu 22</w:t>
      </w:r>
    </w:p>
    <w:p w14:paraId="4CB88F03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Trażmissjoni u firma ta’ dokumenti</w:t>
      </w:r>
    </w:p>
    <w:p w14:paraId="5F534ACB" w14:textId="77777777" w:rsidR="0032378F" w:rsidRDefault="0032378F">
      <w:r>
        <w:t>1.</w:t>
      </w:r>
      <w:r>
        <w:tab/>
        <w:t>It-trażmissjoni ta’ dokumenti lill-Kummissjoni u minn għandha ssir permezz ta’ mezzi diġitali, ħlief meta l-Kummissjoni taqbel b’mod eċċezzjonali li jistgħu jintużaw mezzi oħra identifikati fil-paragrafu (6) u (7).</w:t>
      </w:r>
    </w:p>
    <w:p w14:paraId="19692C62" w14:textId="77777777" w:rsidR="0032378F" w:rsidRDefault="0032378F">
      <w:r>
        <w:t>2.</w:t>
      </w:r>
      <w:r>
        <w:tab/>
        <w:t>Meta tkun meħtieġa firma, id-dokumenti ppreżentati permezz ta’ mezzi diġitali jridu jiġu ffirmati bl-użu ta’ mill-inqas Firma Elettronika Kwalifikata waħda (Qualified Electronic Signature, QES) li tikkonforma mar-rekwiżiti stabbiliti fir-Regolament (UE) Nru 910/2014 (ir-“Regolament eIDAS”)</w:t>
      </w:r>
      <w:r>
        <w:rPr>
          <w:rStyle w:val="FootnoteReference"/>
        </w:rPr>
        <w:footnoteReference w:id="1"/>
      </w:r>
      <w:r>
        <w:t xml:space="preserve"> u l-emendi futuri tiegħu.</w:t>
      </w:r>
    </w:p>
    <w:p w14:paraId="72D86EE2" w14:textId="77777777" w:rsidR="0032378F" w:rsidRDefault="0032378F">
      <w:r>
        <w:t>3.</w:t>
      </w:r>
      <w:r>
        <w:tab/>
        <w:t>L-ispeċifikazzjonijiet tekniċi dettaljati dwar il-mezzi ta’ trażmissjoni u l-firma għandhom jiġu ppubblikati f’</w:t>
      </w:r>
      <w:r>
        <w:rPr>
          <w:i/>
          <w:iCs/>
        </w:rPr>
        <w:t>Il-Ġurnal Uffiċjali tal-Unjoni Ewropea</w:t>
      </w:r>
      <w:r>
        <w:t xml:space="preserve"> u għandhom ikunu disponibbli fuq is-sit web tad-Direttorat Ġenerali għall-Kompetizzjoni tal-Kummissjoni.</w:t>
      </w:r>
    </w:p>
    <w:p w14:paraId="7422D8A6" w14:textId="77777777" w:rsidR="0032378F" w:rsidRDefault="0032378F">
      <w:r>
        <w:t>4.</w:t>
      </w:r>
      <w:r>
        <w:tab/>
        <w:t>Bl-eċċezzjoni tal-formoli inklużi fl-Annessi I, II, u III, id-dokumenti kollha trażmessi b’mod elettroniku lill-Kummissjoni f’jum utli għandhom jitqiesu li jkunu waslu dakinhar li ntbagħtu, dment li konferma awtomatika tar-riċevuta turi fil-kronogramma tagħha li jkunu waslu dakinhar. Il-formoli inklużi fl-Annessi I, II u III trażmessi b’mod elettroniku lill-Kummissjoni f’jum utli għandhom jitqiesu li jkunu waslu dakinhar li ntbagħtu, dment li konferma awtomatika tar-riċevuta turi fil-kronogramma tagħha li jkunu waslu dakinhar qabel jew matul il-ħinijiet tal-ftuħ indikati fuq is-sit web tad-DĠ Kompetizzjoni. Il-formoli inklużi fl-Annessi I, II u III trażmessi elettronikament lill-Kummissjoni f’jum utli wara l-ħinijiet tal-ftuħ indikati fuq is-sit web tad-DĠ Kompetizzjoni għandhom jitqiesu li jkunu waslu fil-jum utli li jkun imiss. Id-dokumenti kollha trażmessi elettronikament lill-Kummissjoni f’jum mhux utli għandhom jitqiesu li jkunu waslu fil-jum utli li jkun imiss.</w:t>
      </w:r>
    </w:p>
    <w:p w14:paraId="77DE3E94" w14:textId="77777777" w:rsidR="0032378F" w:rsidRDefault="0032378F">
      <w:r>
        <w:t>5.</w:t>
      </w:r>
      <w:r>
        <w:tab/>
        <w:t>Dokumenti trażmessi elettronikament lill-Kummissjoni ma għandhomx jitqiesu li jkunu waslu jekk id-dokumenti jew partijiet minnhom:</w:t>
      </w:r>
    </w:p>
    <w:p w14:paraId="2413B1B9" w14:textId="77777777" w:rsidR="0032378F" w:rsidRDefault="0032378F">
      <w:pPr>
        <w:pStyle w:val="Point0"/>
      </w:pPr>
      <w:r>
        <w:tab/>
        <w:t>(a)</w:t>
      </w:r>
      <w:r>
        <w:tab/>
        <w:t>ma jkunux jistgħu jintużaw (għax ikunu korrotti);</w:t>
      </w:r>
    </w:p>
    <w:p w14:paraId="2295C6B9" w14:textId="77777777" w:rsidR="0032378F" w:rsidRDefault="0032378F">
      <w:pPr>
        <w:pStyle w:val="Point0"/>
      </w:pPr>
      <w:r>
        <w:tab/>
        <w:t>(b)</w:t>
      </w:r>
      <w:r>
        <w:tab/>
        <w:t>ikun fihom viruses, malware jew theddid ieħor;</w:t>
      </w:r>
    </w:p>
    <w:p w14:paraId="66F569BE" w14:textId="77777777" w:rsidR="0032378F" w:rsidRDefault="0032378F">
      <w:pPr>
        <w:pStyle w:val="Point0"/>
      </w:pPr>
      <w:r>
        <w:tab/>
        <w:t>(c)</w:t>
      </w:r>
      <w:r>
        <w:tab/>
        <w:t>ikun fihom firem elettroniċi li l-validità tagħhom ma tistax tiġi vverifikata mill-Kummissjoni.</w:t>
      </w:r>
    </w:p>
    <w:p w14:paraId="6FE68340" w14:textId="77777777" w:rsidR="0032378F" w:rsidRDefault="0032378F">
      <w:r>
        <w:t>F’dawn il-każijiet, il-Kummissjoni għandha tinforma lill-ispeditur mingħajr dewmien.</w:t>
      </w:r>
    </w:p>
    <w:p w14:paraId="7946174C" w14:textId="77777777" w:rsidR="0032378F" w:rsidRDefault="0032378F">
      <w:r>
        <w:t>6.</w:t>
      </w:r>
      <w:r>
        <w:tab/>
        <w:t>Id-dokumenti mibgħuta lill-Kummissjoni bil-posta rreġistrata għandhom jitqiesu li jkunu waslu fil-jum tal-wasla tagħhom fl-indirizz ippubblikat f’</w:t>
      </w:r>
      <w:r>
        <w:rPr>
          <w:i/>
          <w:iCs/>
        </w:rPr>
        <w:t>Il-Ġurnal Uffiċjali tal-Unjoni Ewropea</w:t>
      </w:r>
      <w:r>
        <w:t>. Dan l-indirizz għandu jiġi indikat ukoll fuq is-sit web tad-Direttorat Ġenerali tal-Kummissjoni għall-Kompetizzjoni.</w:t>
      </w:r>
    </w:p>
    <w:p w14:paraId="10F8B1ED" w14:textId="77777777" w:rsidR="0032378F" w:rsidRDefault="0032378F">
      <w:r>
        <w:t>7.</w:t>
      </w:r>
      <w:r>
        <w:tab/>
        <w:t>Id-dokumenti trażmessi lill-Kummissjoni permezz ta’ kunsinna bl-idejn għandhom jitqiesu li jkunu waslu fil-jum tal-wasla tagħhom fl-indirizz ippubblikat f’</w:t>
      </w:r>
      <w:r>
        <w:rPr>
          <w:i/>
          <w:iCs/>
        </w:rPr>
        <w:t>Il-Ġurnal Uffiċjali tal-Unjoni Ewropea</w:t>
      </w:r>
      <w:r>
        <w:t>, dment li dan jiġi kkonfermat f’konferma ta’ riċevuta mill-Kummissjoni. Dan l-indirizz għandu jiġi indikat ukoll fuq is-sit web tad-Direttorat Ġenerali għall-Kompetizzjoni tal-Kummissjoni.</w:t>
      </w:r>
    </w:p>
    <w:p w14:paraId="2FCE998E" w14:textId="77777777" w:rsidR="0032378F" w:rsidRDefault="0032378F">
      <w:pPr>
        <w:pStyle w:val="Titrearticle"/>
      </w:pPr>
      <w:r>
        <w:t>Artikolu 23</w:t>
      </w:r>
    </w:p>
    <w:p w14:paraId="23E5A8DD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L-iffissar ta’ limiti ta’ żmien</w:t>
      </w:r>
    </w:p>
    <w:p w14:paraId="3C8BFCAE" w14:textId="77777777" w:rsidR="0032378F" w:rsidRDefault="0032378F">
      <w:r>
        <w:t>1.</w:t>
      </w:r>
      <w:r>
        <w:tab/>
        <w:t>Meta tistabbilixxi l-limiti ta’ żmien imsemmija fl-Artikolu 12(1) u (2), l-Artikolu 13(2) u l-Artikolu 16(1), il-Kummissjoni għandha tqis l-urġenza tal-każ u ż-żmien meħtieġ għall-partijiet notifikanti, il-partijiet l-oħra involuti, jew il-persuni terzi biex iħejju l-fehmiet jew il-kummenti tagħhom. Il-Kummissjoni għandha tqis ukoll il-festi pubbliċi fil-pajjiż fejn ikunu jinsabu l-partijiet notifikanti, il-partijiet l-oħra involuti, jew il-persuni terzi.</w:t>
      </w:r>
    </w:p>
    <w:p w14:paraId="6169633E" w14:textId="77777777" w:rsidR="0032378F" w:rsidRDefault="0032378F">
      <w:r>
        <w:t>2.</w:t>
      </w:r>
      <w:r>
        <w:tab/>
        <w:t>Il-limiti taż-żmien għandhom ikunu stabbiliti f'termini ta’ data kalendarja preċiża.</w:t>
      </w:r>
    </w:p>
    <w:p w14:paraId="23113F08" w14:textId="77777777" w:rsidR="0032378F" w:rsidRDefault="0032378F">
      <w:pPr>
        <w:pStyle w:val="Titrearticle"/>
      </w:pPr>
      <w:r>
        <w:t>Artikolu 24</w:t>
      </w:r>
    </w:p>
    <w:p w14:paraId="67ABD2E5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Jiem utli</w:t>
      </w:r>
    </w:p>
    <w:p w14:paraId="45C695D9" w14:textId="77777777" w:rsidR="0032378F" w:rsidRDefault="0032378F">
      <w:r>
        <w:t xml:space="preserve">L-espressjoni “jiem utli” fir-Regolament (KE) Nru 139/2004 u f’dan ir-Regolament tfisser il-jiem kollha apparti s-Sibtijiet, il-Ħdud u l-festi pubbliċi tal-Kummissjoni, kif ippubblikati f’ </w:t>
      </w:r>
      <w:r>
        <w:rPr>
          <w:i/>
          <w:iCs/>
        </w:rPr>
        <w:t>Il-Ġurnal Uffiċjali tal-Unjoni Ewropea</w:t>
      </w:r>
      <w:r>
        <w:t xml:space="preserve"> qabel il-bidu ta’ kull sena.</w:t>
      </w:r>
    </w:p>
    <w:p w14:paraId="6E6F8CEE" w14:textId="77777777" w:rsidR="0032378F" w:rsidRDefault="0032378F">
      <w:pPr>
        <w:pStyle w:val="Titrearticle"/>
      </w:pPr>
      <w:r>
        <w:t>Artikolu 25</w:t>
      </w:r>
    </w:p>
    <w:p w14:paraId="487E8444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Tħassir u dispożizzjonijiet tranżizzjonali</w:t>
      </w:r>
    </w:p>
    <w:p w14:paraId="38A4FDA5" w14:textId="77777777" w:rsidR="0032378F" w:rsidRDefault="0032378F">
      <w:r>
        <w:t>1.</w:t>
      </w:r>
      <w:r>
        <w:tab/>
        <w:t>Mingħajr preġudizzju għall-paragrafu 2, ir-Regolament (KE) Nru 802/2004 jitħassar b’effett mill-1 ta’ Settembru 2023.</w:t>
      </w:r>
    </w:p>
    <w:p w14:paraId="2CA36DB9" w14:textId="77777777" w:rsidR="0032378F" w:rsidRDefault="0032378F">
      <w:r>
        <w:t>Ir-referenzi għar-Regolament imħassar għandhom jiġu interpretati bħala referenzi għal dan ir-Regolament.</w:t>
      </w:r>
    </w:p>
    <w:p w14:paraId="14B51053" w14:textId="77777777" w:rsidR="0032378F" w:rsidRDefault="0032378F">
      <w:r>
        <w:t>2.</w:t>
      </w:r>
      <w:r>
        <w:tab/>
        <w:t>Ir-Regolament (KE) Nru 802/2004 għandu jkompli japplika għal kwalunkwe konċentrazzjoni li taqa’ fil-kamp ta’ applikazzjoni tar-Regolament (KE) 139/2004 u li tkun innotifikata fil-31 ta’ Awwissu 2023 jew qabel.</w:t>
      </w:r>
    </w:p>
    <w:p w14:paraId="014009E3" w14:textId="77777777" w:rsidR="0032378F" w:rsidRDefault="0032378F">
      <w:pPr>
        <w:pStyle w:val="Titrearticle"/>
      </w:pPr>
      <w:r>
        <w:t>Artikolu 26</w:t>
      </w:r>
    </w:p>
    <w:p w14:paraId="10C7F2C1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Dħul fis-seħħ</w:t>
      </w:r>
    </w:p>
    <w:p w14:paraId="61B88CCF" w14:textId="77777777" w:rsidR="0032378F" w:rsidRDefault="0032378F">
      <w:r>
        <w:t>Dan ir-Regolament għandu jidħol fis-seħħ fl-1 ta’ Settembru 2023.</w:t>
      </w:r>
    </w:p>
    <w:p w14:paraId="7FFEDD77" w14:textId="77777777" w:rsidR="0032378F" w:rsidRDefault="0032378F">
      <w:pPr>
        <w:pStyle w:val="Applicationdirecte"/>
      </w:pPr>
      <w:r>
        <w:t>Dan ir-Regolament għandu jorbot fl-intier tiegħu u japplika direttament fl-Istati Membri kollha.</w:t>
      </w:r>
    </w:p>
    <w:p w14:paraId="6F8314EA" w14:textId="77777777" w:rsidR="0032378F" w:rsidRDefault="0032378F">
      <w:pPr>
        <w:adjustRightInd w:val="0"/>
        <w:spacing w:before="0" w:after="0"/>
        <w:jc w:val="left"/>
        <w:rPr>
          <w:lang w:val="en-US"/>
        </w:rPr>
        <w:sectPr w:rsidR="0032378F">
          <w:footerReference w:type="default" r:id="rId7"/>
          <w:pgSz w:w="11906" w:h="16838"/>
          <w:pgMar w:top="1134" w:right="1418" w:bottom="1134" w:left="1418" w:header="709" w:footer="709" w:gutter="0"/>
          <w:pgNumType w:start="0"/>
          <w:cols w:space="709"/>
        </w:sectPr>
      </w:pPr>
    </w:p>
    <w:p w14:paraId="12C64A6C" w14:textId="77777777" w:rsidR="003B232C" w:rsidRDefault="003B232C" w:rsidP="003B232C">
      <w:pPr>
        <w:pStyle w:val="Annexetitreacte"/>
      </w:pPr>
      <w:r>
        <w:t>ANNESS III</w:t>
      </w:r>
    </w:p>
    <w:p w14:paraId="5C21DCFC" w14:textId="77777777" w:rsidR="003B232C" w:rsidRDefault="003B232C" w:rsidP="003B232C">
      <w:pPr>
        <w:pStyle w:val="NormalCentered"/>
        <w:rPr>
          <w:b/>
          <w:bCs/>
        </w:rPr>
      </w:pPr>
      <w:r>
        <w:rPr>
          <w:b/>
          <w:bCs/>
        </w:rPr>
        <w:t>FORMOLA RELATATA MAL-PREŻENTAZZJONIJIET MOTIVATI SKONT L-ARTIKOLI 4(4) U 4(5) TAR-REGOLAMENT TAL-KUNSILL (KE) Nru 139/2004</w:t>
      </w:r>
    </w:p>
    <w:p w14:paraId="1A27A1E4" w14:textId="77777777" w:rsidR="003B232C" w:rsidRDefault="003B232C" w:rsidP="003B232C">
      <w:pPr>
        <w:pStyle w:val="NormalCentered"/>
        <w:rPr>
          <w:b/>
          <w:bCs/>
        </w:rPr>
      </w:pPr>
      <w:r>
        <w:rPr>
          <w:b/>
          <w:bCs/>
        </w:rPr>
        <w:t>(FORMOLA RS)</w:t>
      </w:r>
    </w:p>
    <w:p w14:paraId="7D7A6258" w14:textId="77777777" w:rsidR="003B232C" w:rsidRDefault="003B232C" w:rsidP="003B232C">
      <w:pPr>
        <w:pStyle w:val="ManualHeading1"/>
        <w:numPr>
          <w:ilvl w:val="0"/>
          <w:numId w:val="0"/>
        </w:numPr>
        <w:ind w:left="851" w:hanging="851"/>
      </w:pPr>
      <w:r>
        <w:t>INTRODUZZJONI</w:t>
      </w:r>
    </w:p>
    <w:p w14:paraId="5B1BC4DA" w14:textId="77777777" w:rsidR="003B232C" w:rsidRDefault="003B232C" w:rsidP="003B232C">
      <w:pPr>
        <w:pStyle w:val="ManualHeading2"/>
        <w:numPr>
          <w:ilvl w:val="0"/>
          <w:numId w:val="0"/>
        </w:numPr>
        <w:ind w:left="851" w:hanging="851"/>
      </w:pPr>
      <w:r>
        <w:t>A.</w:t>
      </w:r>
      <w:r>
        <w:tab/>
      </w:r>
      <w:r>
        <w:rPr>
          <w:i/>
          <w:iCs/>
        </w:rPr>
        <w:t>L-għan tal-Formola RS</w:t>
      </w:r>
    </w:p>
    <w:p w14:paraId="535BB4D6" w14:textId="77777777" w:rsidR="003B232C" w:rsidRDefault="003B232C" w:rsidP="003B232C">
      <w:r>
        <w:t>(1)</w:t>
      </w:r>
      <w:r>
        <w:tab/>
        <w:t>Din il-Formola RS tispeċifika l-informazzjoni li trid tiġi pprovduta meta ssir preżentazzjoni motivata għal rinviju qabel in-notifika skont l-Artikolu 4(4) jew (5) tar-Regolament (KE) Nru 139/2004</w:t>
      </w:r>
      <w:r>
        <w:rPr>
          <w:rStyle w:val="FootnoteReference"/>
        </w:rPr>
        <w:footnoteReference w:id="2"/>
      </w:r>
      <w:r>
        <w:t xml:space="preserve"> (“ir-Regolament dwar l-Għaqdiet”). Is-sistema ta’ kontroll tal-fużjonijiet tal-Unjoni Ewropea hija stabbilita fir-Regolament dwar l-Għaqdiet u fir-Regolament ta’ Implimentazzjoni tal-Kummissjoni (UE) 2023/914 li jimplimenta r-Regolament tal-Kunsill (KE) Nru 139/2004 dwar il-kontroll ta’ konċentrazzjonijiet bejn impriżi (ir-“Regolament ta’ Implimentazzjoni”)</w:t>
      </w:r>
      <w:r>
        <w:rPr>
          <w:rStyle w:val="FootnoteReference"/>
        </w:rPr>
        <w:footnoteReference w:id="3"/>
      </w:r>
      <w:r>
        <w:t xml:space="preserve"> li miegħu hija annessa din il-Formola RS. Qed tinġibed l-attenzjoni tiegħek għad-dispożizzjonijiet korrispondenti tal-Ftehim dwar iż-Żona Ekonomika Ewropea</w:t>
      </w:r>
      <w:r>
        <w:rPr>
          <w:rStyle w:val="FootnoteReference"/>
        </w:rPr>
        <w:footnoteReference w:id="4"/>
      </w:r>
      <w:r>
        <w:t xml:space="preserve"> (“il-Ftehim ŻEE”).</w:t>
      </w:r>
    </w:p>
    <w:p w14:paraId="00356730" w14:textId="77777777" w:rsidR="003B232C" w:rsidRDefault="003B232C" w:rsidP="003B232C">
      <w:pPr>
        <w:pStyle w:val="ManualHeading2"/>
        <w:numPr>
          <w:ilvl w:val="0"/>
          <w:numId w:val="0"/>
        </w:numPr>
        <w:ind w:left="851" w:hanging="851"/>
      </w:pPr>
      <w:r>
        <w:t>B.</w:t>
      </w:r>
      <w:r>
        <w:tab/>
      </w:r>
      <w:r>
        <w:rPr>
          <w:i/>
          <w:iCs/>
        </w:rPr>
        <w:t>Kuntatti qabel il-preżentazzjoni tal-Formola RS u talbiet għal rinunzja</w:t>
      </w:r>
    </w:p>
    <w:p w14:paraId="1BC45011" w14:textId="77777777" w:rsidR="003B232C" w:rsidRDefault="003B232C" w:rsidP="003B232C">
      <w:r>
        <w:t>(2)</w:t>
      </w:r>
      <w:r>
        <w:tab/>
        <w:t>L-informazzjoni mitluba f’din il-Formola RS fil-prinċipju trid tiġi pprovduta fil-każijiet kollha u għalhekk hija rekwiżit għal talba sħiħa ta’ rinviju qabel in-notifika.</w:t>
      </w:r>
    </w:p>
    <w:p w14:paraId="5540556C" w14:textId="77777777" w:rsidR="003B232C" w:rsidRDefault="003B232C" w:rsidP="003B232C">
      <w:pPr>
        <w:pStyle w:val="ManualHeading3"/>
        <w:numPr>
          <w:ilvl w:val="0"/>
          <w:numId w:val="0"/>
        </w:numPr>
        <w:ind w:left="850" w:hanging="850"/>
      </w:pPr>
      <w:r>
        <w:t>1.</w:t>
      </w:r>
      <w:r>
        <w:tab/>
        <w:t>Informazzjoni li mhijiex raġonevolment disponibbli</w:t>
      </w:r>
    </w:p>
    <w:p w14:paraId="2019EFC5" w14:textId="77777777" w:rsidR="003B232C" w:rsidRDefault="003B232C" w:rsidP="003B232C">
      <w:r>
        <w:t>(3)</w:t>
      </w:r>
      <w:r>
        <w:tab/>
        <w:t>F’ċirkostanzi eċċezzjonali, elementi speċifiċi meħtieġa minn din il-Formola RS jistgħu ma jkunux disponibbli b’mod raġonevoli għall-partijiet rikjedenti, kemm parzjalment kif ukoll b’mod sħiħ (eż., minħabba li l-informazzjoni dwar kumpanija fil-mira ma tkunx disponibbli f’każ ta’ offerta kkontestata). F’dak il-każ, il-partijiet rikjedenti jistgħu jitolbu lill-Kummissjoni biex teżenta mill-obbligu li tipprovdi l-informazzjoni rilevanti jew kwalunkwe rekwiżit ieħor fil-Formola RS relatat ma’ din l-informazzjoni. Din it-talba għandha titressaq skont l-istruzzjonijiet stabbiliti fil-punt B.3.</w:t>
      </w:r>
    </w:p>
    <w:p w14:paraId="1E1022BF" w14:textId="77777777" w:rsidR="003B232C" w:rsidRDefault="003B232C" w:rsidP="003B232C">
      <w:pPr>
        <w:pStyle w:val="ManualHeading3"/>
        <w:numPr>
          <w:ilvl w:val="0"/>
          <w:numId w:val="0"/>
        </w:numPr>
        <w:ind w:left="850" w:hanging="850"/>
      </w:pPr>
      <w:r>
        <w:t>2.</w:t>
      </w:r>
      <w:r>
        <w:tab/>
        <w:t>Informazzjoni li mhijiex meħtieġa għall-eżami tal-każ mill-Kummissjoni</w:t>
      </w:r>
    </w:p>
    <w:p w14:paraId="6C11CC7B" w14:textId="77777777" w:rsidR="003B232C" w:rsidRDefault="003B232C" w:rsidP="003B232C">
      <w:r>
        <w:t>(4)</w:t>
      </w:r>
      <w:r>
        <w:tab/>
        <w:t>Skont l-Artikoli 4 (2) u 6 (2) tar-Regolament ta’ Implimentazzjoni, il-Kummissjoni tista’ teżenta mill-obbligu li tipprovdi kwalunkwe informazzjoni partikolari fil-Formola RS, inklużi dokumenti, jew kwalunkwe rekwiżit ieħor, meta l-Kummissjoni tqis li l-konformità ma’ dawk l-obbligi jew rekwiżiti ma tkunx meħtieġa għall-eżami tal-każ. F’dak il-każ, il-partijiet rikjedenti jistgħu jitolbu lill-Kummissjoni biex teżenta mill-obbligu li tipprovdi l-informazzjoni rilevanti jew kwalunkwe rekwiżit ieħor fil-Formola RS relatat ma’ din l-informazzjoni. Din it-talba għandha titressaq skont l-istruzzjonijiet stabbiliti fil-punt B.3.</w:t>
      </w:r>
    </w:p>
    <w:p w14:paraId="01DE7563" w14:textId="77777777" w:rsidR="003B232C" w:rsidRDefault="003B232C" w:rsidP="003B232C">
      <w:pPr>
        <w:pStyle w:val="ManualHeading3"/>
        <w:numPr>
          <w:ilvl w:val="0"/>
          <w:numId w:val="0"/>
        </w:numPr>
        <w:ind w:left="850" w:hanging="850"/>
      </w:pPr>
      <w:r>
        <w:t>3.</w:t>
      </w:r>
      <w:r>
        <w:tab/>
        <w:t>Kuntatti minn qabel u talbiet għal rinunzja</w:t>
      </w:r>
    </w:p>
    <w:p w14:paraId="4E49FD41" w14:textId="77777777" w:rsidR="003B232C" w:rsidRDefault="003B232C" w:rsidP="003B232C">
      <w:r>
        <w:t>(5)</w:t>
      </w:r>
      <w:r>
        <w:tab/>
        <w:t>Il-partijiet li huma intitolati jippreżentaw Formola RS huma mistiedna jidħlu f’kuntatti mal-Kummissjoni qabel il-preżentazzjoni. Il-partijiet għandhom jidħlu f’kuntatti bħal dawn fuq il-bażi ta’ abbozz tal-Formola RS. Il-possibilità li jsiru kuntatti ta’ qabel in-notifika huwa servizz offrut mill-Kummissjoni lill-partijiet rikjedenti fuq bażi volontarja sabiex titħejja l-preżentazzjoni formali ta’ din il-Formola RS. Bħala tali, filwaqt li mhumiex obbligatorji, il-kuntatti minn qabel huma ta’ valur kbir kemm għall-partijiet rikjedenti kif ukoll għall-Kummissjoni fid-determinazzjoni, fost affarijiet oħra, tal-ammont preċiż ta’ informazzjoni meħtieġa f’Formola RS u, fil-maġġoranza tal-każijiet, se jirriżultaw fi tnaqqis sinifikanti tal-informazzjoni meħtieġa.</w:t>
      </w:r>
    </w:p>
    <w:p w14:paraId="0785797D" w14:textId="77777777" w:rsidR="003B232C" w:rsidRDefault="003B232C" w:rsidP="003B232C">
      <w:r>
        <w:t>(6)</w:t>
      </w:r>
      <w:r>
        <w:tab/>
        <w:t>Matul kuntatti preċedenti, il-partijiet rikjedenti jistgħu jagħmlu talbiet għal rinunzji. Il-Kummissjoni se tikkunsidra talbiet għal rinunzja sakemm tiġi ssodisfata waħda mill-kundizzjonijiet li ġejjin:</w:t>
      </w:r>
    </w:p>
    <w:p w14:paraId="269276D8" w14:textId="77777777" w:rsidR="003B232C" w:rsidRDefault="003B232C" w:rsidP="003B232C">
      <w:pPr>
        <w:pStyle w:val="Point0"/>
      </w:pPr>
      <w:r>
        <w:tab/>
        <w:t>(a)</w:t>
      </w:r>
      <w:r>
        <w:tab/>
        <w:t>il-partijiet rikjedenti jagħtu raġunijiet adegwati għaliex l-informazzjoni rilevanti mhijiex disponibbli b’mod raġonevoli u jipprovdu l-aħjar stimi għad-</w:t>
      </w:r>
      <w:r>
        <w:rPr>
          <w:i/>
          <w:iCs/>
        </w:rPr>
        <w:t>data</w:t>
      </w:r>
      <w:r>
        <w:t xml:space="preserve"> nieqsa, filwaqt li jidentifikaw is-sorsi għal dawk l-istimi. Fejn possibbli, il-partijiet rikjedenti għandhom jindikaw fejn kwalunkwe informazzjoni mitluba li ma tkunx disponibbli tkun tista’ tinkiseb mill-Kummissjoni jew mill-Istat(i) Membru/i rilevanti u l-Istat(i) tal-EFTA;</w:t>
      </w:r>
    </w:p>
    <w:p w14:paraId="5BE60C6A" w14:textId="77777777" w:rsidR="003B232C" w:rsidRDefault="003B232C" w:rsidP="003B232C">
      <w:pPr>
        <w:pStyle w:val="Point0"/>
      </w:pPr>
      <w:r>
        <w:tab/>
        <w:t>(b)</w:t>
      </w:r>
      <w:r>
        <w:tab/>
        <w:t>il-partijiet rikjedenti jagħtu raġunijiet adegwati għaliex l-informazzjoni rilevanti mhijiex meħtieġa għall-eżami tal-Formola RS.</w:t>
      </w:r>
    </w:p>
    <w:p w14:paraId="23773772" w14:textId="77777777" w:rsidR="003B232C" w:rsidRDefault="003B232C" w:rsidP="003B232C">
      <w:r>
        <w:t>(7)</w:t>
      </w:r>
      <w:r>
        <w:tab/>
        <w:t>It-talbiet għal rinunzja għandhom jiġu ppreżentati fl-istess ħin mal-abbozz tal-Formola RS. It-talbiet għal rinunzja għandhom isiru fit-test tal-abbozz tal-Formola RS innifisha (fil-bidu tat-Taqsima jew tas-subtaqsima rilevanti). Il-Kummissjoni se jittratta t-talbiet għal rinunzja fil-kuntest tar-rieżami tal-abbozz tal-Formola RS. Il-Kummissjoni normalment ikun jeħtieġ ħamest ijiem ta’ xogħol qabel ma jwieġeb għal talba għal rinunzja. Meta talba għal rinunzja tiġi ppreżentata bil-ġustifikazzjoni li l-informazzjoni mhijiex meħtieġa għall-eżami tal-Formola RS, il-Kummissjoni tista’ tikkonsulta mal-Istat(i) Membru/i rilevanti jew l-awtorità/awtoritajiet tal-Istat tal-EFTA qabel ma tiddeċiedi li taċċetta t-talba.</w:t>
      </w:r>
    </w:p>
    <w:p w14:paraId="2F96CA56" w14:textId="77777777" w:rsidR="003B232C" w:rsidRDefault="003B232C" w:rsidP="003B232C">
      <w:r>
        <w:t>(8)</w:t>
      </w:r>
      <w:r>
        <w:tab/>
        <w:t>Biex jiġi evitat kull dubju, il-fatt li l-Kummissjoni setgħet aċċettat li kwalunkwe informazzjoni partikolari mitluba minn din il-Formola RS ma tkunx meħtieġa għall-eżami tat-talba ta’ rinviju qabel in-notifika bl-ebda mod ma jimpedixxi lill-Kummissjoni milli titlob dik l-informazzjoni fi kwalunkwe ħin matul il-proċedimenti, b’mod partikolari permezz ta’ talba għal informazzjoni skont l-Artikolu 11 tar-Regolament dwar l-Għaqdiet.</w:t>
      </w:r>
    </w:p>
    <w:p w14:paraId="46DD0861" w14:textId="77777777" w:rsidR="003B232C" w:rsidRDefault="003B232C" w:rsidP="003B232C">
      <w:r>
        <w:t>(9)</w:t>
      </w:r>
      <w:r>
        <w:tab/>
        <w:t>Il-partijiet rikjedenti jistgħu jirreferu għall-“aħjar Prattiki dwar it-twettiq tal-proċedimenti ta’ kontroll tal-amalgamazzjonijiet tal-KE” tad-Direttorat Ġenerali tal-Kummissjoni għall-Kompetizzjoni (“DĠ Kompetizzjoni”) kif ippubblikati fuq is-sit web tad-DĠ Kompetizzjoni u aġġornati minn żmien għal żmien, li jipprovdu gwida dwar il-kuntatti ta’ qabel in-notifika u t-tħejjija ta’ talbiet ta’ rinviju qabel in-notifika.</w:t>
      </w:r>
    </w:p>
    <w:p w14:paraId="2897417D" w14:textId="77777777" w:rsidR="003B232C" w:rsidRDefault="003B232C" w:rsidP="003B232C">
      <w:pPr>
        <w:pStyle w:val="ManualHeading2"/>
        <w:numPr>
          <w:ilvl w:val="0"/>
          <w:numId w:val="0"/>
        </w:numPr>
        <w:ind w:left="851" w:hanging="851"/>
      </w:pPr>
      <w:r>
        <w:t>C.</w:t>
      </w:r>
      <w:r>
        <w:tab/>
      </w:r>
      <w:r>
        <w:rPr>
          <w:i/>
          <w:iCs/>
        </w:rPr>
        <w:t>Ir-rekwiżit għal preżentazzjoni motivata korretta u kompluta</w:t>
      </w:r>
    </w:p>
    <w:p w14:paraId="4DB8207E" w14:textId="77777777" w:rsidR="003B232C" w:rsidRDefault="003B232C" w:rsidP="003B232C">
      <w:r>
        <w:t>(10)</w:t>
      </w:r>
      <w:r>
        <w:tab/>
        <w:t>L-informazzjoni mitluba f’din il-Formola RS fil-prinċipju trid tiġi pprovduta fil-każijiet kollha u għalhekk hija rekwiżit għal talba sħiħa ta’ rinviju qabel in-notifika. L-informazzjoni kollha trid tingħata fit-taqsima xierqa ta’ din il-Formola RS u trid tkun korretta u kompluta.</w:t>
      </w:r>
    </w:p>
    <w:p w14:paraId="2BC35193" w14:textId="77777777" w:rsidR="003B232C" w:rsidRDefault="003B232C" w:rsidP="003B232C">
      <w:r>
        <w:t>(11)</w:t>
      </w:r>
      <w:r>
        <w:tab/>
        <w:t>B’mod partikolari għandek tkun taf li:</w:t>
      </w:r>
    </w:p>
    <w:p w14:paraId="7F1D3908" w14:textId="77777777" w:rsidR="003B232C" w:rsidRDefault="003B232C" w:rsidP="003B232C">
      <w:pPr>
        <w:pStyle w:val="Point0"/>
      </w:pPr>
      <w:r>
        <w:tab/>
        <w:t>(a)</w:t>
      </w:r>
      <w:r>
        <w:tab/>
        <w:t>skont l-Artikolu 4(4) u (5) tar-Regolament dwar l-Għaqdiet u l-Artikolu 5(2) u (4), u l-Artikolu 6(2) tar-Regolament ta’ Implimentazzjoni, il-limiti ta’ żmien stabbiliti fir-Regolament dwar l-Għaqdiet fir-rigward tal-Formola RS mhux se jibdew sakemm l-informazzjoni kollha li trid tiġi pprovduta mal-preżentazzjoni ma tkunx waslet għand il-Kummissjoni. Dan sabiex jiġi żgurat li l-Kummissjoni tkun tista’ tivvaluta t-talba ta’ rinviju qabel in-notifika fil-limiti ta’ żmien stretti stabbiliti fir-Regolament dwar l-Għaqdiet.</w:t>
      </w:r>
    </w:p>
    <w:p w14:paraId="1F21F6CC" w14:textId="77777777" w:rsidR="003B232C" w:rsidRDefault="003B232C" w:rsidP="003B232C">
      <w:pPr>
        <w:pStyle w:val="Point0"/>
      </w:pPr>
      <w:r>
        <w:tab/>
        <w:t>(b)</w:t>
      </w:r>
      <w:r>
        <w:tab/>
        <w:t>skont l-Artikolu 4(4) tar-Regolament dwar l-Għaqdiet, id-deċiżjoni dwar jekk każ għandux jiġi riferut kompletament jew parzjalment lil Stat Membru jew Stat tal-EFTA normalment tittieħed fuq il-bażi tal-informazzjoni li tinsab fil-Formola RS, mingħajr ma jsiru aktar sforzi ta’ investigazzjoni mill-Kummissjoni. Skont l-Artikolu 4(5) tar-Regolament dwar l-Għaqdiet, il-pożizzjoni ta’ Stat Membru jew ta’ Stat tal-EFTA rigward ir-rinviju ta’ każ lill-Kummissjoni normalment tittieħed fuq il-bażi tal-informazzjoni li tinsab fil-Formola RS, mingħajr ma jsiru aktar sforzi ta’ investigazzjoni mill-awtoritajiet involuti;</w:t>
      </w:r>
    </w:p>
    <w:p w14:paraId="7505B291" w14:textId="77777777" w:rsidR="003B232C" w:rsidRDefault="003B232C" w:rsidP="003B232C">
      <w:pPr>
        <w:pStyle w:val="Point0"/>
      </w:pPr>
      <w:r>
        <w:tab/>
        <w:t>(c)</w:t>
      </w:r>
      <w:r>
        <w:tab/>
        <w:t>għaldaqstant, meta jħejju l-preżentazzjoni motivata, il-partijiet rikjedenti jridu jivverifikaw li l-informazzjoni u l-argumenti kollha li jserrħu fuqhom ikollhom biżżejjed sostenn minn sorsi indipendenti;</w:t>
      </w:r>
    </w:p>
    <w:p w14:paraId="76A0694C" w14:textId="77777777" w:rsidR="003B232C" w:rsidRDefault="003B232C" w:rsidP="003B232C">
      <w:pPr>
        <w:pStyle w:val="Point0"/>
      </w:pPr>
      <w:r>
        <w:tab/>
        <w:t>(d)</w:t>
      </w:r>
      <w:r>
        <w:tab/>
        <w:t>f’konformità mal-Artikoli 5(4) u 6(2) tar-Regolament ta’ Implimentazzjoni, informazzjoni skorretta jew qarrieqa fil-preżentazzjoni motivata titqies bħala informazzjoni mhux kompluta;</w:t>
      </w:r>
    </w:p>
    <w:p w14:paraId="02F475EF" w14:textId="77777777" w:rsidR="003B232C" w:rsidRDefault="003B232C" w:rsidP="003B232C">
      <w:pPr>
        <w:pStyle w:val="Point0"/>
      </w:pPr>
      <w:r>
        <w:tab/>
        <w:t>(e)</w:t>
      </w:r>
      <w:r>
        <w:tab/>
        <w:t>skont l-Artikolu 14(1), il-punt (a), tar-Regolament dwar l-Għaqdiet, il-partijiet li jagħmlu preżentazzjoni motivata li, jew intenzjonalment jew b’negliġenza, jipprovdu informazzjoni skorretta jew qarrieqa, jistgħu jkunu soġġetti għal multi sa 1% tal-fatturat aggregat tal-impriża kkonċernata</w:t>
      </w:r>
      <w:r>
        <w:rPr>
          <w:rStyle w:val="FootnoteReference"/>
        </w:rPr>
        <w:footnoteReference w:id="5"/>
      </w:r>
      <w:r>
        <w:t>.</w:t>
      </w:r>
    </w:p>
    <w:p w14:paraId="775D05E5" w14:textId="77777777" w:rsidR="003B232C" w:rsidRDefault="003B232C" w:rsidP="003B232C">
      <w:pPr>
        <w:pStyle w:val="ManualHeading2"/>
        <w:numPr>
          <w:ilvl w:val="0"/>
          <w:numId w:val="0"/>
        </w:numPr>
        <w:ind w:left="851" w:hanging="851"/>
      </w:pPr>
      <w:r>
        <w:t>D.</w:t>
      </w:r>
      <w:r>
        <w:tab/>
      </w:r>
      <w:r>
        <w:rPr>
          <w:i/>
          <w:iCs/>
        </w:rPr>
        <w:t>Kif tagħmel preżentazzjoni motivata</w:t>
      </w:r>
    </w:p>
    <w:p w14:paraId="46B82B9D" w14:textId="77777777" w:rsidR="003B232C" w:rsidRDefault="003B232C" w:rsidP="003B232C">
      <w:r>
        <w:t>(12)</w:t>
      </w:r>
      <w:r>
        <w:tab/>
        <w:t>Il-preżentazzjoni motivata trid timtela f’waħda mil-lingwi uffiċjali tal-Unjoni. Minn hemm ‘il quddiem dik il-lingwa tkun il-lingwa tal-proċedimenti għall-partijiet kollha li jissottomettu.</w:t>
      </w:r>
    </w:p>
    <w:p w14:paraId="226DF589" w14:textId="77777777" w:rsidR="003B232C" w:rsidRDefault="003B232C" w:rsidP="003B232C">
      <w:r>
        <w:t>(13)</w:t>
      </w:r>
      <w:r>
        <w:tab/>
        <w:t>Sabiex jiġi ffaċilitat it-trattament tal-Formola RS mill-awtoritajiet tal-Istati Membri u l-awtoritajiet tal-Istati tal-EFTA, il-partijiet rikjedenti huma mħeġġa bil-qawwa biex jipprovdu lill-Kummissjoni bi traduzzjoni tal-preżentazzjoni motivata tagħhom f’lingwa jew lingwi li tinftiehem mid-destinatarji kollha tal-informazzjoni. Fir-rigward ta’ talbiet għal rinviju lil Stat(i) Membru/i jew Stat(i) tal-EFTA, il-partijiet rikjedenti huma mħeġġa bil-qawwi biex jinkludu kopja tat-talba fil-lingwa/i tal-Istat(i) Membru/i u tal-Istat(i) tal-EFTA li għalih(om) qed jintalab rinviju.</w:t>
      </w:r>
    </w:p>
    <w:p w14:paraId="6F7157E4" w14:textId="77777777" w:rsidR="003B232C" w:rsidRDefault="003B232C" w:rsidP="003B232C">
      <w:r>
        <w:t>(14)</w:t>
      </w:r>
      <w:r>
        <w:tab/>
        <w:t>L-informazzjoni mitluba minn din il-Formola RS għandha tiġi stabbilita billi jintużaw in-numri tat-taqsimiet u tal-paragrafu li jiffirmaw dikjarazzjoni kif previst fit-Taqsima 6, u li jehmżu d-dokumentazzjoni ta’ sostenn. Meta l-informazzjoni meħtieġa minn taqsima waħda tikkoinċidi parzjalment (jew kompletament) mal-informazzjoni meħtieġa minn taqsima oħra, din l-istess informazzjoni ma għandhiex tiġi sottomessa darbtejn għalkemm għandu jintuża kontroreferenzjar preċiż.</w:t>
      </w:r>
    </w:p>
    <w:p w14:paraId="6A45BED6" w14:textId="77777777" w:rsidR="003B232C" w:rsidRDefault="003B232C" w:rsidP="003B232C">
      <w:r>
        <w:t>(15)</w:t>
      </w:r>
      <w:r>
        <w:tab/>
        <w:t>Il-formola RS trid tiġi ffirmata minn persuni awtorizzati bil-liġi biex jaġixxu f’isem kull parti jew partijiet rikjedenti jew minn rappreżentant estern awtorizzat wieħed jew aktar tal-parti jew partijiet rikjedenti. L-ispeċifikazzjonijiet tekniċi u l-istruzzjonijiet dwar preżentazzjonijiet motivati (inklużi firem) jinsabu f’</w:t>
      </w:r>
      <w:r>
        <w:rPr>
          <w:i/>
          <w:iCs/>
        </w:rPr>
        <w:t>Il-Ġurnal Uffiċjali tal-Unjoni Ewropea</w:t>
      </w:r>
      <w:r>
        <w:t>.</w:t>
      </w:r>
    </w:p>
    <w:p w14:paraId="10B6FF12" w14:textId="77777777" w:rsidR="003B232C" w:rsidRDefault="003B232C" w:rsidP="003B232C">
      <w:r>
        <w:t>(16)</w:t>
      </w:r>
      <w:r>
        <w:tab/>
        <w:t>Għall-fini ta’ ċarezza, xi informazzjoni tista’ titqiegħed f’annessi. Madankollu, huwa essenzjali li l-biċċiet sostantivi importanti kollha tal-informazzjoni, jiġu ppreżentati fit-test ewlieni tal-Formola RS. L-annessi għal din il-Formola RS għandhom jintużaw biss biex iżidu mal-informazzjoni pprovduta fil-Formola RS innifisha.</w:t>
      </w:r>
    </w:p>
    <w:p w14:paraId="57641B85" w14:textId="77777777" w:rsidR="003B232C" w:rsidRDefault="003B232C" w:rsidP="003B232C">
      <w:r>
        <w:t>(17)</w:t>
      </w:r>
      <w:r>
        <w:tab/>
        <w:t>Id-dokumenti ta’ sostenn għandhom ikunu ppreżentati fil-lingwa oriġinali tagħhom; meta din ma tkunx lingwa uffiċjali tal-Unjoni, dawn iridu jiġu tradotti fil-lingwa tal-proċediment (l-Artikoli 3(4) u 6(2) tar-Regolament ta’ Implimentazzjoni).</w:t>
      </w:r>
    </w:p>
    <w:p w14:paraId="3680B02F" w14:textId="77777777" w:rsidR="003B232C" w:rsidRDefault="003B232C" w:rsidP="003B232C">
      <w:r>
        <w:t>(18)</w:t>
      </w:r>
      <w:r>
        <w:tab/>
        <w:t>Id-dokumenti ta’ sostenn jistgħu jkunu kopji tal-oriġinali. F’dan il-każ, il-parti rikjedenti trid tikkonferma li huma veri u kompluti.</w:t>
      </w:r>
    </w:p>
    <w:p w14:paraId="01F3C003" w14:textId="77777777" w:rsidR="003B232C" w:rsidRDefault="003B232C" w:rsidP="003B232C">
      <w:pPr>
        <w:pStyle w:val="ManualHeading2"/>
        <w:numPr>
          <w:ilvl w:val="0"/>
          <w:numId w:val="0"/>
        </w:numPr>
        <w:ind w:left="851" w:hanging="851"/>
      </w:pPr>
      <w:r>
        <w:t>E.</w:t>
      </w:r>
      <w:r>
        <w:tab/>
      </w:r>
      <w:r>
        <w:rPr>
          <w:i/>
          <w:iCs/>
        </w:rPr>
        <w:t>Kunfidenzjalità u Data Personali</w:t>
      </w:r>
    </w:p>
    <w:p w14:paraId="7F19EAC2" w14:textId="77777777" w:rsidR="003B232C" w:rsidRDefault="003B232C" w:rsidP="003B232C">
      <w:r>
        <w:t>(19)</w:t>
      </w:r>
      <w:r>
        <w:tab/>
        <w:t>L-Artikolu 339 tat-Trattat dwar il-Funzjonament tal-Unjoni Ewropea u l-Artikolu 17(2) tar-Regolament dwar l-Għaqdiet kif ukoll id-dispożizzjonijiet korrispondenti tal-Ftehim ŻEE</w:t>
      </w:r>
      <w:r>
        <w:rPr>
          <w:rStyle w:val="FootnoteReference"/>
        </w:rPr>
        <w:footnoteReference w:id="6"/>
      </w:r>
      <w:r>
        <w:t xml:space="preserve"> jirrikjedu li l-Kummissjoni, l-Istati Membri, l-Awtorità ta’ Sorveljanza tal-EFTA u l-Istati tal-EFTA, l-uffiċjali u impjegati oħra tagħhom ma jiżvelawx informazzjoni li jkunu kisbu permezz tal-applikazzjoni ta’ dak ir-Regolament tat-tip kopert mill-obbligu tas-segretezza professjonali. L-istess prinċipju jrid japplika biex tiġi protetta l-kunfidenzjalità bejn il-partijiet li jissottomettu.</w:t>
      </w:r>
    </w:p>
    <w:p w14:paraId="2050131C" w14:textId="77777777" w:rsidR="003B232C" w:rsidRDefault="003B232C" w:rsidP="003B232C">
      <w:r>
        <w:t>(20)</w:t>
      </w:r>
      <w:r>
        <w:tab/>
        <w:t>Jekk taħseb li l-interessi tiegħek se ssirilhom ħsara jekk xi informazzjoni li tintalab tipprovdi kellha tiġi ppubblikata jew inkella żvelata lil partijiet oħra, għandek tippreżenta din l-informazzjoni separatament b’kull paġna mmarkata b’mod ċar “Sigrieti tan-Negozju”. Għandek tagħti wkoll raġunijiet għaliex din l-informazzjoni m’għandhiex tiġi żvelata jew ippubblikata.</w:t>
      </w:r>
    </w:p>
    <w:p w14:paraId="3AF9E2AD" w14:textId="77777777" w:rsidR="003B232C" w:rsidRDefault="003B232C" w:rsidP="003B232C">
      <w:r>
        <w:t>(21)</w:t>
      </w:r>
      <w:r>
        <w:tab/>
        <w:t>Fil-każ ta’ amalgamazzjonijiet jew akkwiżizzjonijiet konġunti, jew f’każijiet oħrajn li fihom il-preżentazzjoni motivata timtela minn iktar minn waħda mill-partijiet, is-sigrieti kummerċjali jistgħu jiġu ppreżentati f’annessi separati, u tista’ ssir referenza għalihom fis-sottomissjoni bħala anness. Sabiex il-preżentazzjoni titqies kompluta, dawn l-annessi kollha jridu jiġu inklużi fil-preżentazzjoni motivata.</w:t>
      </w:r>
    </w:p>
    <w:p w14:paraId="1F79E7F5" w14:textId="77777777" w:rsidR="003B232C" w:rsidRDefault="003B232C" w:rsidP="003B232C">
      <w:r>
        <w:t>(22)</w:t>
      </w:r>
      <w:r>
        <w:tab/>
        <w:t xml:space="preserve">Kull </w:t>
      </w:r>
      <w:r>
        <w:rPr>
          <w:i/>
          <w:iCs/>
        </w:rPr>
        <w:t>data</w:t>
      </w:r>
      <w:r>
        <w:t xml:space="preserve"> personali ppreżentata fil-Formola RS tiġi pproċessata f’konformità mar-Regolament (UE) 2018/1725 tal-Parlament Ewropew u tal-Kunsill tat-23 ta’ Ottubru 2018 dwar il-protezzjoni ta’ persuni fiżiċi fir-rigward tal-ipproċessar ta’ </w:t>
      </w:r>
      <w:r>
        <w:rPr>
          <w:i/>
          <w:iCs/>
        </w:rPr>
        <w:t>data</w:t>
      </w:r>
      <w:r>
        <w:t xml:space="preserve"> personali mill-istituzzjonijiet, korpi, uffiċċji u aġenziji tal-Unjoni u dwar il-moviment liberu ta’ tali </w:t>
      </w:r>
      <w:r>
        <w:rPr>
          <w:i/>
          <w:iCs/>
        </w:rPr>
        <w:t>data</w:t>
      </w:r>
      <w:r>
        <w:t>, u li jħassar ir-Regolament (KE) Nru 45/2001 u d-Deċiżjoni 1247/2002/KE</w:t>
      </w:r>
      <w:r>
        <w:rPr>
          <w:rStyle w:val="FootnoteReference"/>
        </w:rPr>
        <w:footnoteReference w:id="7"/>
      </w:r>
      <w:r>
        <w:t>.</w:t>
      </w:r>
    </w:p>
    <w:p w14:paraId="22C46511" w14:textId="77777777" w:rsidR="003B232C" w:rsidRDefault="003B232C" w:rsidP="003B232C">
      <w:pPr>
        <w:pStyle w:val="ManualHeading2"/>
        <w:numPr>
          <w:ilvl w:val="0"/>
          <w:numId w:val="0"/>
        </w:numPr>
        <w:ind w:left="851" w:hanging="851"/>
      </w:pPr>
      <w:r>
        <w:t>F.</w:t>
      </w:r>
      <w:r>
        <w:tab/>
      </w:r>
      <w:r>
        <w:rPr>
          <w:i/>
          <w:iCs/>
        </w:rPr>
        <w:t>Definizzjonijiet u struzzjonijiet għall-iskopijiet ta’ din il-Formula RS</w:t>
      </w:r>
    </w:p>
    <w:p w14:paraId="63660674" w14:textId="77777777" w:rsidR="003B232C" w:rsidRDefault="003B232C" w:rsidP="003B232C">
      <w:r>
        <w:t>(23)</w:t>
      </w:r>
      <w:r>
        <w:tab/>
        <w:t>Għall-finijiet ta’ din il-Formola, japplikaw id-definizzjonijiet li ġejjin:</w:t>
      </w:r>
    </w:p>
    <w:p w14:paraId="5C1282B4" w14:textId="77777777" w:rsidR="003B232C" w:rsidRDefault="003B232C" w:rsidP="003B232C">
      <w:pPr>
        <w:pStyle w:val="Point0"/>
      </w:pPr>
      <w:r>
        <w:tab/>
        <w:t>(a)</w:t>
      </w:r>
      <w:r>
        <w:tab/>
        <w:t>“Parti(jiet) għal konċentrazzjoni” jew il-“parti(jiet)”: Dawn it-termini jirrigwardjaw kemm lill-parti(jiet) li t/jakkwista(w) kif wkoll lil dik/dawk il-parti(jiet) akkwistata/i, jew għall-partijiet tal-fużjoni, inklużi l-impriżi kollha li fihom interess ta’ kontroll ikun qiegħed jiġi akkwistat jew li huma s-suġġett ta’ offerta pubblika. Sakemm ma jkunx speċifikat mod ieħor, it-termini “parti/partijiet notifikanti” u “parti/partijiet għall-konċentrazzjoni” jinkludu l-impriżi kollha li jappartjenu għall-istess gruppi bħal dawk il-partijiet.</w:t>
      </w:r>
    </w:p>
    <w:p w14:paraId="4D2D292D" w14:textId="77777777" w:rsidR="003B232C" w:rsidRDefault="003B232C" w:rsidP="003B232C">
      <w:pPr>
        <w:pStyle w:val="Point0"/>
      </w:pPr>
      <w:r>
        <w:tab/>
        <w:t>(b)</w:t>
      </w:r>
      <w:r>
        <w:tab/>
        <w:t>“Suq rilevanti tal-prodott”: Suq tal-prodott rilevanti li jinkludi dawk il-prodotti jew is-servizzi kollha, jew it-tnejn, li huma meqjusa bħala interkambjabbli jew sostitwibbli mill-konsumatur, minħabba l-karatteristiċi tal-prodotti jew tas-servizzi, il-prezzijiet tagħhom u l-użu maħsub tagħhom. Suq ta’ prodotti rilevanti jista’ f’xi każijiet ikun magħmul minn għadd ta’ prodotti jew servizzi individwali, jew it-tnejn li huma, li jippreżentaw karatteristiċi fiżiċi jew tekniċi fil-biċċa l-kbira identiċi u li huma interkambjabbli. Il-fatturi relevanti għall-valutazzjoni tas-suq tal-prodotti relevanti jinkludu l-analiżi ta’ għaliex il-prodotti jew is-servizzi f’dawn is-swieq huma inklużi u għaliex oħrajn huma esklużi billi tintuża din id-definizzjoni, u wara li titqies, pereżempju, is-sostitwibbiltà tal-prodotti u s-servizzi, il-prezzijiet, l-elastiċità bejn prezz u ieħor tad-domanda jew fatturi relevanti oħrajn (bħas-sostitwibbiltà min-naħa tal-provvista f’każijiet xierqa).</w:t>
      </w:r>
    </w:p>
    <w:p w14:paraId="589191DE" w14:textId="77777777" w:rsidR="003B232C" w:rsidRDefault="003B232C" w:rsidP="003B232C">
      <w:pPr>
        <w:pStyle w:val="Point0"/>
      </w:pPr>
      <w:r>
        <w:tab/>
        <w:t>(c)</w:t>
      </w:r>
      <w:r>
        <w:tab/>
        <w:t>“Suq ġeografiku rilevanti”: Is-suq ġeografiku rilevanti li jinkludi ż-żona li fiha l-impriżi konċernati huma involuti fil-fornitura u d-domanda ta’ prodotti jew servizzi rilevanti, li fiha l-kundizzjonijiet ta' kompetizzjoni huma omoġenji biżżejjed, u jistgħu jkunu distinti minn żoni ġeografiċi ġirien għaliex, b’mod partikolari, il-kundizzjonijiet ta' kompetizzjoni huma sinifikattivament differenti f'dawk iż-żoni. Il-fatturi relevanti għall-valutazzjoni tas-suq ġeografiku relevanti jinkludu, fost l-oħrajn, t-tip u l-karatteristiċi tal-prodotti jew is-servizzi kkonċernati, l-eżistenza ta’ ostakli għad-dħul, il-preferenzi tal-konsumaturi, id-differenzi apprezzabbli fl-ishma mis-suq tal-impriżi bejn żoni ġeografiċi ġirien jew differenzi sostanzjali fil-prezzijiet.</w:t>
      </w:r>
    </w:p>
    <w:p w14:paraId="6395C86A" w14:textId="77777777" w:rsidR="003B232C" w:rsidRDefault="003B232C" w:rsidP="003B232C">
      <w:pPr>
        <w:pStyle w:val="Point0"/>
      </w:pPr>
      <w:r>
        <w:tab/>
        <w:t>(d)</w:t>
      </w:r>
      <w:r>
        <w:tab/>
        <w:t>“Overlaps orizzontali”: Konċentrazzjoni twassal għal sovrappożizzjonijiet orizzontali meta l-partijiet għall-konċentrazzjoni jkunu involuti f’attivitajiet kummerċjali fl-istess suq (swieq) tal-prodott u ġeografiku/ġeografiċi rilevanti (inkluż l-iżvilupp ta’ prodotti li qed jiġu żviluppati</w:t>
      </w:r>
      <w:r>
        <w:rPr>
          <w:rStyle w:val="FootnoteReference"/>
        </w:rPr>
        <w:footnoteReference w:id="8"/>
      </w:r>
      <w:r>
        <w:t>)</w:t>
      </w:r>
      <w:r>
        <w:rPr>
          <w:rStyle w:val="FootnoteReference"/>
        </w:rPr>
        <w:footnoteReference w:id="9"/>
      </w:r>
      <w:r>
        <w:t>.</w:t>
      </w:r>
    </w:p>
    <w:p w14:paraId="04367163" w14:textId="77777777" w:rsidR="003B232C" w:rsidRDefault="003B232C" w:rsidP="003B232C">
      <w:pPr>
        <w:pStyle w:val="Point0"/>
      </w:pPr>
      <w:r>
        <w:tab/>
        <w:t>(e)</w:t>
      </w:r>
      <w:r>
        <w:tab/>
        <w:t>“Relazzjoni mhux orizzontali”: Konċentrazzjoni tagħti lok għal relazzjoni mhux orizzontali meta l-attivitajiet tal-partijiet fil-konċentrazzjoni jkunu f’relazzjoni li ma tkunx sovrappożizzjoni orizzontali.</w:t>
      </w:r>
    </w:p>
    <w:p w14:paraId="37A8A581" w14:textId="77777777" w:rsidR="003B232C" w:rsidRDefault="003B232C" w:rsidP="003B232C">
      <w:pPr>
        <w:pStyle w:val="Point0"/>
      </w:pPr>
      <w:r>
        <w:tab/>
        <w:t>(f)</w:t>
      </w:r>
      <w:r>
        <w:tab/>
        <w:t>“Relazzjonijiet Vertikali” Konċentrazzjoni tagħti lok għal relazzjonijiet vertikali meta parti waħda jew aktar għall-konċentrazzjoni jkunu involuti f’attivitajiet ta’ negozju f’suq ta’ prodott li jkun upstream jew downstream minn suq ta’ prodott li fih tkun involuta kwalunkwe parti oħra għall-konċentrazzjoni (inkluż l-iżvilupp ta’ prodotti li qed jiġu żviluppati)</w:t>
      </w:r>
      <w:r>
        <w:rPr>
          <w:rStyle w:val="FootnoteReference"/>
        </w:rPr>
        <w:footnoteReference w:id="10"/>
      </w:r>
      <w:r>
        <w:t>.</w:t>
      </w:r>
    </w:p>
    <w:p w14:paraId="5BE204BA" w14:textId="77777777" w:rsidR="003B232C" w:rsidRDefault="003B232C" w:rsidP="003B232C">
      <w:pPr>
        <w:pStyle w:val="CRSeparator"/>
      </w:pPr>
    </w:p>
    <w:p w14:paraId="08DC3CA0" w14:textId="77777777" w:rsidR="003B232C" w:rsidRDefault="003B232C" w:rsidP="003B232C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r>
        <w:rPr>
          <w:rStyle w:val="CRMarker"/>
        </w:rPr>
        <w:t>ê</w:t>
      </w:r>
      <w:r>
        <w:fldChar w:fldCharType="end"/>
      </w:r>
      <w:r>
        <w:t> 2776/2024</w:t>
      </w:r>
    </w:p>
    <w:p w14:paraId="040E6C91" w14:textId="77777777" w:rsidR="003B232C" w:rsidRDefault="003B232C" w:rsidP="003B232C">
      <w:pPr>
        <w:pStyle w:val="Point0"/>
      </w:pPr>
      <w:r>
        <w:tab/>
        <w:t>(g)</w:t>
      </w:r>
      <w:r>
        <w:tab/>
        <w:t>“Is-swieq affettwati”: Is-swieq affettwati huma s-swieq ġeografiċi u tal-prodotti rilevanti kollha, kif ukoll is-swieq ġeografiċi u tal-prodotti rilevanti alternattivi plawżibbli, fejn l-attivitajiet tal-partijiet jikkoinċidu orizzontalment jew huma relatati vertikalment u li ma jissodisfawx il-kundizzjonijiet għal rieżami skont il-punt 5(d) tal-Avviż dwar il-Proċedura Simplifikata</w:t>
      </w:r>
      <w:r>
        <w:rPr>
          <w:rStyle w:val="FootnoteReference"/>
        </w:rPr>
        <w:footnoteReference w:id="11"/>
      </w:r>
      <w:r>
        <w:t>u ma jibbenefikawx mill-klawżoli ta’ flessibbiltà tal-punt 8 tal-Avviż dwar il-Proċedura Simplifikata.</w:t>
      </w:r>
    </w:p>
    <w:p w14:paraId="3867B11F" w14:textId="77777777" w:rsidR="003B232C" w:rsidRDefault="003B232C" w:rsidP="003B232C">
      <w:pPr>
        <w:pStyle w:val="CRSeparator"/>
      </w:pPr>
    </w:p>
    <w:p w14:paraId="7D02BFCF" w14:textId="77777777" w:rsidR="003B232C" w:rsidRDefault="003B232C" w:rsidP="003B232C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r>
        <w:rPr>
          <w:rStyle w:val="CRMarker"/>
        </w:rPr>
        <w:t>ê</w:t>
      </w:r>
      <w:r>
        <w:fldChar w:fldCharType="end"/>
      </w:r>
      <w:r>
        <w:t> 914/2023</w:t>
      </w:r>
    </w:p>
    <w:p w14:paraId="6D856853" w14:textId="77777777" w:rsidR="003B232C" w:rsidRDefault="003B232C" w:rsidP="003B232C">
      <w:pPr>
        <w:pStyle w:val="Point0"/>
      </w:pPr>
      <w:r>
        <w:tab/>
        <w:t>(h)</w:t>
      </w:r>
      <w:r>
        <w:tab/>
        <w:t>“Sena” tfisser sena kalendarja, sakemm ma jkunx iddikjarat mod ieħor. L-informazzjoni kollha mitluba f’din il-Formola RS trid tkun relatata mas-sena ta’ qabel dik li fiha ssir il-preżentazzjoni motivata, sakemm ma jiġix speċifikat mod ieħor.</w:t>
      </w:r>
    </w:p>
    <w:p w14:paraId="3200295F" w14:textId="77777777" w:rsidR="003B232C" w:rsidRDefault="003B232C" w:rsidP="003B232C">
      <w:r>
        <w:t>(24)</w:t>
      </w:r>
      <w:r>
        <w:tab/>
        <w:t>Id-</w:t>
      </w:r>
      <w:r>
        <w:rPr>
          <w:i/>
          <w:iCs/>
        </w:rPr>
        <w:t>data</w:t>
      </w:r>
      <w:r>
        <w:t xml:space="preserve"> finanzjarja mitluba f’din il-Formola RS trid tiġi pprovduta f’euro bir-rati tal-kambju medji prevalenti fis-snin jew il-perjodi l-oħrajn kkonċernati.</w:t>
      </w:r>
    </w:p>
    <w:p w14:paraId="4B3FE6AC" w14:textId="77777777" w:rsidR="003B232C" w:rsidRDefault="003B232C" w:rsidP="003B232C">
      <w:pPr>
        <w:pStyle w:val="ManualHeading2"/>
        <w:numPr>
          <w:ilvl w:val="0"/>
          <w:numId w:val="0"/>
        </w:numPr>
        <w:ind w:left="851" w:hanging="851"/>
      </w:pPr>
      <w:r>
        <w:t>G.</w:t>
      </w:r>
      <w:r>
        <w:tab/>
      </w:r>
      <w:r>
        <w:rPr>
          <w:i/>
          <w:iCs/>
        </w:rPr>
        <w:t>Il-kooperazzjoni internazzjonali bejn il-Kummissjoni u awtoritajiet oħrajn tal-kompetizzjoni</w:t>
      </w:r>
    </w:p>
    <w:p w14:paraId="6D81210F" w14:textId="77777777" w:rsidR="003B232C" w:rsidRDefault="003B232C" w:rsidP="003B232C">
      <w:r>
        <w:t>(25)</w:t>
      </w:r>
      <w:r>
        <w:tab/>
        <w:t>Il-Kummissjoni tħeġġeġ lill-partijiet fil-konċentrazzjoni biex jiffaċilitaw il-kooperazzjoni internazzjonali bejn il-Kummissjoni u awtoritajiet oħra tal-kompetizzjoni li jirrevedu l-istess konċentrazzjoni. Mill-esperjenza tal-Kummissjoni, kooperazzjoni tajba bejn il-Kummissjoni u awtoritajiet tal-kompetizzjoni f’ġuriżdizzjonijiet barra ż-ŻEE ġġib magħha benefiċċji sostanzjali għall-impriżi kkonċernati. Għal dak il-għan, il-Kummissjoni tħeġġeġ lill-partijiet rikjedenti biex flimkien ma’ din il-Formola RS jippreżentaw lista ta’ dawk il-ġuriżdizzjonijiet barra ż-ŻEE fejn il-konċentrazzjoni tkun soġġetta għal approvazzjoni regolatorja skont ir-regoli dwar il-kontroll tal-fużjonijiet qabel jew wara t-tlestija tagħha.</w:t>
      </w:r>
    </w:p>
    <w:p w14:paraId="0DDE2EB8" w14:textId="77777777" w:rsidR="003B232C" w:rsidRDefault="003B232C" w:rsidP="003B232C">
      <w:r>
        <w:t>(26)</w:t>
      </w:r>
      <w:r>
        <w:tab/>
        <w:t>Barra minn hekk, il-Kummissjoni tħeġġeġ lill-partijiet fil-konċentrazzjoni biex jippreżentaw eżenzjonijiet ta’ kunfidenzjalità li jippermettu lill-Kummissjoni taqsam informazzjoni ma’ awtoritajiet oħra tal-kompetizzjoni barra miż-ŻEE li jirrevedu l-istess konċentrazzjoni. Kull rinunzja tiffaċilita d-diskussjoni u l-analiżi konġunti ta’ konċentrazzjoni peress li tippermetti lill-Kummissjoni taqsam informazzjoni rilevanti ma’ awtorità tal-kompetizzjoni oħra li tirrevedi l-istess konċentrazzjoni, inkluża informazzjoni kummerċjali kunfidenzjali miksuba mill-partijiet fil-konċentrazzjoni. Għal dak il-għan, il-Kummissjoni tħeġġeġ lill-partijiet fil-konċentrazzjoni biex jużaw il-mudell tar-rinunzja tal-Kummissjoni, li huwa ppubblikat fuq is-sit web tad-DĠ Kompetizzjoni u aġġornat minn żmien għal żmien.</w:t>
      </w:r>
    </w:p>
    <w:p w14:paraId="1FB2FC79" w14:textId="77777777" w:rsidR="003B232C" w:rsidRDefault="003B232C" w:rsidP="003B232C">
      <w:pPr>
        <w:pStyle w:val="ManualHeading1"/>
        <w:numPr>
          <w:ilvl w:val="0"/>
          <w:numId w:val="0"/>
        </w:numPr>
        <w:ind w:left="851" w:hanging="851"/>
      </w:pPr>
      <w:r>
        <w:t>TAQSIMA 1</w:t>
      </w:r>
    </w:p>
    <w:p w14:paraId="308C6734" w14:textId="77777777" w:rsidR="003B232C" w:rsidRDefault="003B232C" w:rsidP="003B232C">
      <w:r>
        <w:t>1.1.</w:t>
      </w:r>
      <w:r>
        <w:tab/>
        <w:t>Informazzjoni ġenerali</w:t>
      </w:r>
    </w:p>
    <w:p w14:paraId="1560070A" w14:textId="77777777" w:rsidR="003B232C" w:rsidRDefault="003B232C" w:rsidP="003B232C">
      <w:r>
        <w:t>1.1.1.</w:t>
      </w:r>
      <w:r>
        <w:tab/>
        <w:t>Ipprovdi sommarju eżekuttiv tal-konċentrazzjoni, fejn tispeċifika l-partijiet għall-konċentrazzjoni, it-tip tal-konċentrazzjoni (pereżempju, fużjoni, akkwiżizzjoni, jew impriża konġunta), l-oqsma ta’ attività tal-partijiet għall-konċentrazzjoni, is-swieq li fihom il-konċentrazzjoni se tħalli impatt (inklużi s-swieq ewlenin affettwati), u l-ħsieb strateġiku u ekonomiku wara l-konċentrazzjoni.</w:t>
      </w:r>
    </w:p>
    <w:p w14:paraId="1FFAD99C" w14:textId="77777777" w:rsidR="003B232C" w:rsidRDefault="003B232C" w:rsidP="003B232C">
      <w:r>
        <w:t>1.1.2.</w:t>
      </w:r>
      <w:r>
        <w:tab/>
        <w:t>Indika jekk il-preżentazzjoni motivata saritx skont l-Artikolu 4(4) jew (5) tar-Regolament dwar l-Għaqdiet, skont id-dispożizzjonijiet korrispondenti tal-Ftehim ŻEE, jew it-tnejn.</w:t>
      </w:r>
    </w:p>
    <w:p w14:paraId="757AFA61" w14:textId="77777777" w:rsidR="003B232C" w:rsidRDefault="003B232C" w:rsidP="003B232C">
      <w:r>
        <w:t>1.2.</w:t>
      </w:r>
      <w:r>
        <w:tab/>
        <w:t>L-informazzjoni fuq il-parti (jew il-partijiet) rikjedenti u partijiet oħrajn fil-konċentrazzjoni</w:t>
      </w:r>
      <w:r>
        <w:rPr>
          <w:rStyle w:val="FootnoteReference"/>
        </w:rPr>
        <w:footnoteReference w:id="12"/>
      </w:r>
    </w:p>
    <w:p w14:paraId="09E44ABC" w14:textId="77777777" w:rsidR="003B232C" w:rsidRDefault="003B232C" w:rsidP="003B232C">
      <w:r>
        <w:t>Għal kull parti li tagħmel il-preżentazzjoni motivata kif ukoll għal kull parti oħra għall-konċentrazzjoni, għandek tipprovdi:</w:t>
      </w:r>
    </w:p>
    <w:p w14:paraId="1613CC91" w14:textId="77777777" w:rsidR="003B232C" w:rsidRDefault="003B232C" w:rsidP="003B232C">
      <w:pPr>
        <w:pStyle w:val="Point0"/>
      </w:pPr>
      <w:r>
        <w:tab/>
        <w:t>1.2.1.</w:t>
      </w:r>
      <w:r>
        <w:tab/>
        <w:t>isem l-impriża;</w:t>
      </w:r>
    </w:p>
    <w:p w14:paraId="109B87FB" w14:textId="77777777" w:rsidR="003B232C" w:rsidRDefault="003B232C" w:rsidP="003B232C">
      <w:pPr>
        <w:pStyle w:val="Point0"/>
      </w:pPr>
      <w:r>
        <w:tab/>
        <w:t>1.2.2.</w:t>
      </w:r>
      <w:r>
        <w:tab/>
        <w:t>l-isem, l-indirizz, in-numru tat-telefon, l-indirizz tal-posta elettronika tal-persuna xierqa tal-kuntatt u l-pożizzjoni okkupata minnha; l-indirizz mogħti jrid ikun indirizz għan-notifika fejn jistgħu jiġu notifikati dokumenti u, b’mod partikolari, deċiżjonijiet tal-Kummissjoni u dokumenti proċedurali oħrajn, u l-persuna ta’ kuntatt mogħtija għandha titqies bħala awtorizzata li taċċetta n-notifika;</w:t>
      </w:r>
    </w:p>
    <w:p w14:paraId="39BC6F97" w14:textId="77777777" w:rsidR="003B232C" w:rsidRDefault="003B232C" w:rsidP="003B232C">
      <w:pPr>
        <w:pStyle w:val="Point0"/>
      </w:pPr>
      <w:r>
        <w:tab/>
        <w:t>1.2.3.</w:t>
      </w:r>
      <w:r>
        <w:tab/>
        <w:t>jekk jinħatar rappreżentant estern awtorizzat wieħed jew iktar tal-impriża, li lilu jistgħu jiġu notifikati dokumenti u, b’mod partikolari, deċiżjonijiet tal-Kummissjoni u dokumenti proċedurali oħrajn:</w:t>
      </w:r>
    </w:p>
    <w:p w14:paraId="0D11D1AB" w14:textId="77777777" w:rsidR="003B232C" w:rsidRDefault="003B232C" w:rsidP="003B232C">
      <w:pPr>
        <w:pStyle w:val="Point1"/>
      </w:pPr>
      <w:r>
        <w:tab/>
        <w:t>1.2.3.1.</w:t>
      </w:r>
      <w:r>
        <w:tab/>
        <w:t>l-isem, l-indirizz, in-numru tat-telefown u l-indirizz tal-posta elettronika ta’ kull rappreżentant, u l-kariga okkupata minn kull wieħed minnhom; u</w:t>
      </w:r>
    </w:p>
    <w:p w14:paraId="7FA5507A" w14:textId="77777777" w:rsidR="003B232C" w:rsidRDefault="003B232C" w:rsidP="003B232C">
      <w:pPr>
        <w:pStyle w:val="Point1"/>
      </w:pPr>
      <w:r>
        <w:tab/>
        <w:t>1.2.3.2.</w:t>
      </w:r>
      <w:r>
        <w:tab/>
        <w:t>id-dokument(i) ta’ prokura oriġinali (għall-parti jew partijiet notifikanti)</w:t>
      </w:r>
      <w:r>
        <w:rPr>
          <w:rStyle w:val="FootnoteReference"/>
        </w:rPr>
        <w:footnoteReference w:id="13"/>
      </w:r>
      <w:r>
        <w:t>.</w:t>
      </w:r>
    </w:p>
    <w:p w14:paraId="040D63D7" w14:textId="77777777" w:rsidR="003B232C" w:rsidRDefault="003B232C" w:rsidP="003B232C">
      <w:pPr>
        <w:pStyle w:val="ManualHeading1"/>
        <w:numPr>
          <w:ilvl w:val="0"/>
          <w:numId w:val="0"/>
        </w:numPr>
        <w:ind w:left="851" w:hanging="851"/>
      </w:pPr>
      <w:r>
        <w:t>TAQSIMA 2</w:t>
      </w:r>
    </w:p>
    <w:p w14:paraId="10BBEAFA" w14:textId="77777777" w:rsidR="003B232C" w:rsidRDefault="003B232C" w:rsidP="003B232C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IL-KUNTEST ĠENERALI U D-DETTALJI TAL-KONĊENTRAZZJONI</w:t>
      </w:r>
    </w:p>
    <w:p w14:paraId="14323152" w14:textId="77777777" w:rsidR="003B232C" w:rsidRDefault="003B232C" w:rsidP="003B232C">
      <w:r>
        <w:t>L-informazzjoni mfittxija f’din it-taqsima tista’ tintwera bl-użu ta’ ċarts jew dijagrammi tal-organizzazzjoni biex juru l-istruttura tas-sjieda u l-kontroll tal-partijiet għall-konċentrazzjoni qabel u wara t-tlestija tal-konċentrazzjoni.</w:t>
      </w:r>
    </w:p>
    <w:p w14:paraId="649AC89D" w14:textId="77777777" w:rsidR="003B232C" w:rsidRDefault="003B232C" w:rsidP="003B232C">
      <w:r>
        <w:t>2.1.</w:t>
      </w:r>
      <w:r>
        <w:tab/>
        <w:t>Iddeskrivi n-natura tal-konċentrazzjoni li qed tiġi nnotifikata b’referenza għall-kriterji rilevanti tar-Regolament dwar l-Għaqdiet u l-Avviż Ġuriżdizzjonali Konsolidat tal-Kummissjoni</w:t>
      </w:r>
      <w:r>
        <w:rPr>
          <w:rStyle w:val="FootnoteReference"/>
        </w:rPr>
        <w:footnoteReference w:id="14"/>
      </w:r>
      <w:r>
        <w:t>:</w:t>
      </w:r>
    </w:p>
    <w:p w14:paraId="210F2739" w14:textId="77777777" w:rsidR="003B232C" w:rsidRDefault="003B232C" w:rsidP="003B232C">
      <w:pPr>
        <w:pStyle w:val="Point0"/>
      </w:pPr>
      <w:r>
        <w:tab/>
        <w:t>2.1.1.</w:t>
      </w:r>
      <w:r>
        <w:tab/>
        <w:t>identifika l-impriżi jew il-persuni li b’mod esklużiv jew konġunt jikkontrollaw kull waħda mill-impriżi kkonċernati, direttament jew indirettament, u ddeskrivi l-istruttura tas-sjieda u l-kontroll ta’ kull waħda mill-impriżi kkonċernati qabel tiġi kkompletata l-konċentrazzjoni;</w:t>
      </w:r>
    </w:p>
    <w:p w14:paraId="5D6076AB" w14:textId="77777777" w:rsidR="003B232C" w:rsidRDefault="003B232C" w:rsidP="003B232C">
      <w:pPr>
        <w:pStyle w:val="Point0"/>
      </w:pPr>
      <w:r>
        <w:tab/>
        <w:t>2.1.2.</w:t>
      </w:r>
      <w:r>
        <w:tab/>
        <w:t>spjega jekk il-konċentrazzjoni proposta hijiex waħda minn dawn li ġejjin:</w:t>
      </w:r>
    </w:p>
    <w:p w14:paraId="58B56A77" w14:textId="77777777" w:rsidR="003B232C" w:rsidRDefault="003B232C" w:rsidP="003B232C">
      <w:pPr>
        <w:pStyle w:val="Point1"/>
      </w:pPr>
      <w:r>
        <w:tab/>
        <w:t>(a)</w:t>
      </w:r>
      <w:r>
        <w:tab/>
        <w:t>fużjoni sħiħa;</w:t>
      </w:r>
    </w:p>
    <w:p w14:paraId="42C24A18" w14:textId="77777777" w:rsidR="003B232C" w:rsidRDefault="003B232C" w:rsidP="003B232C">
      <w:pPr>
        <w:pStyle w:val="Point1"/>
      </w:pPr>
      <w:r>
        <w:tab/>
        <w:t>(b)</w:t>
      </w:r>
      <w:r>
        <w:tab/>
        <w:t>akkwiżizzjoni ta’ kontroll esklużiv jew konġunt;</w:t>
      </w:r>
    </w:p>
    <w:p w14:paraId="32A16604" w14:textId="77777777" w:rsidR="003B232C" w:rsidRDefault="003B232C" w:rsidP="003B232C">
      <w:pPr>
        <w:pStyle w:val="Point1"/>
      </w:pPr>
      <w:r>
        <w:tab/>
        <w:t>(c)</w:t>
      </w:r>
      <w:r>
        <w:tab/>
        <w:t>kuntratt jew mezz ieħor ta’ għoti ta’ kontroll dirett jew indirett skont it-tifsira tal-Artikolu 3(2) tar- Regolament tal-Kunsill (KE) Nru 139/2004;</w:t>
      </w:r>
    </w:p>
    <w:p w14:paraId="74D3857C" w14:textId="77777777" w:rsidR="003B232C" w:rsidRDefault="003B232C" w:rsidP="003B232C">
      <w:pPr>
        <w:pStyle w:val="Point1"/>
      </w:pPr>
      <w:r>
        <w:tab/>
        <w:t>(d)</w:t>
      </w:r>
      <w:r>
        <w:tab/>
        <w:t>l-akkwiżizzjoni ta’ kontroll konġunt f’impriża konġunta li taħdem bis-sħiħ skont it-tifsira tal-Artikolu 3(4) tar-Regolament tal-Kunsill (KE) Nru 139/2004, u jekk dak hu l-każ, spjegazzjoni tar-raġunijiet li għalihom l-impriża konġunta titqies li qed taħdem bis-sħiħ</w:t>
      </w:r>
      <w:r>
        <w:rPr>
          <w:rStyle w:val="FootnoteReference"/>
        </w:rPr>
        <w:footnoteReference w:id="15"/>
      </w:r>
      <w:r>
        <w:t>;</w:t>
      </w:r>
    </w:p>
    <w:p w14:paraId="71B4E4AC" w14:textId="77777777" w:rsidR="003B232C" w:rsidRDefault="003B232C" w:rsidP="003B232C">
      <w:pPr>
        <w:pStyle w:val="Point0"/>
      </w:pPr>
      <w:r>
        <w:tab/>
        <w:t>2.1.3.</w:t>
      </w:r>
      <w:r>
        <w:tab/>
        <w:t>spjega kif se tiġi implimentata l-konċentrazzjoni (pereżempju permezz tal-konklużjoni ta’ ftehim, bit-tnedija ta’ offerta pubblika, eċċ.);</w:t>
      </w:r>
    </w:p>
    <w:p w14:paraId="43B599CA" w14:textId="77777777" w:rsidR="003B232C" w:rsidRDefault="003B232C" w:rsidP="003B232C">
      <w:pPr>
        <w:pStyle w:val="Point0"/>
      </w:pPr>
      <w:r>
        <w:tab/>
        <w:t>2.1.4.</w:t>
      </w:r>
      <w:r>
        <w:tab/>
        <w:t>b’referenza għall-Artikolu 4(1) tar-Regolament dwar l-Għaqdiet spjega jekk fil-ħin tan-notifika, seħħitx xi waħda minn dawn li ġejjin:</w:t>
      </w:r>
    </w:p>
    <w:p w14:paraId="28D9A53D" w14:textId="77777777" w:rsidR="003B232C" w:rsidRDefault="003B232C" w:rsidP="003B232C">
      <w:pPr>
        <w:pStyle w:val="Point1"/>
      </w:pPr>
      <w:r>
        <w:tab/>
        <w:t>(a)</w:t>
      </w:r>
      <w:r>
        <w:tab/>
        <w:t>ġie konkluż ftehim;</w:t>
      </w:r>
    </w:p>
    <w:p w14:paraId="40A4DA3F" w14:textId="77777777" w:rsidR="003B232C" w:rsidRDefault="003B232C" w:rsidP="003B232C">
      <w:pPr>
        <w:pStyle w:val="Point1"/>
      </w:pPr>
      <w:r>
        <w:tab/>
        <w:t>(b)</w:t>
      </w:r>
      <w:r>
        <w:tab/>
        <w:t>ġie akkwiżit interess kontrollanti;</w:t>
      </w:r>
    </w:p>
    <w:p w14:paraId="0F556880" w14:textId="77777777" w:rsidR="003B232C" w:rsidRDefault="003B232C" w:rsidP="003B232C">
      <w:pPr>
        <w:pStyle w:val="Point1"/>
      </w:pPr>
      <w:r>
        <w:tab/>
        <w:t>(c)</w:t>
      </w:r>
      <w:r>
        <w:tab/>
        <w:t>ġiet imħabbra offerta pubblika jew l-intenzjoni li titnieda offerta pubblika;</w:t>
      </w:r>
    </w:p>
    <w:p w14:paraId="5A96A029" w14:textId="77777777" w:rsidR="003B232C" w:rsidRDefault="003B232C" w:rsidP="003B232C">
      <w:pPr>
        <w:pStyle w:val="Point1"/>
      </w:pPr>
      <w:r>
        <w:tab/>
        <w:t>(d)</w:t>
      </w:r>
      <w:r>
        <w:tab/>
        <w:t>l-impriżi kkonċernati wrew intenzjoni b’</w:t>
      </w:r>
      <w:r>
        <w:rPr>
          <w:i/>
          <w:iCs/>
        </w:rPr>
        <w:t>bona fide</w:t>
      </w:r>
      <w:r>
        <w:t xml:space="preserve"> li jikkonkludu ftehim;</w:t>
      </w:r>
    </w:p>
    <w:p w14:paraId="5F8B1E6F" w14:textId="77777777" w:rsidR="003B232C" w:rsidRDefault="003B232C" w:rsidP="003B232C">
      <w:pPr>
        <w:pStyle w:val="Point0"/>
      </w:pPr>
      <w:r>
        <w:tab/>
        <w:t>2.1.5.</w:t>
      </w:r>
      <w:r>
        <w:tab/>
        <w:t>indika d-data mistennija ta’ kwalunkwe avveniment importanti li għandu l-għan li jwassal biex il-konċentrazzjoni tiġi kompluta;</w:t>
      </w:r>
    </w:p>
    <w:p w14:paraId="771B647C" w14:textId="77777777" w:rsidR="003B232C" w:rsidRDefault="003B232C" w:rsidP="003B232C">
      <w:pPr>
        <w:pStyle w:val="Point0"/>
      </w:pPr>
      <w:r>
        <w:tab/>
        <w:t>2.1.6.</w:t>
      </w:r>
      <w:r>
        <w:tab/>
        <w:t>spjega l-istruttura tas-sjieda u l-kontroll ta’ kull waħda mill-impriżi kkonċernati wara t-tlestija tal-konċentrazzjoni.</w:t>
      </w:r>
    </w:p>
    <w:p w14:paraId="70EAD2EB" w14:textId="77777777" w:rsidR="003B232C" w:rsidRDefault="003B232C" w:rsidP="003B232C">
      <w:r>
        <w:t>2.2.</w:t>
      </w:r>
      <w:r>
        <w:tab/>
        <w:t>Iddeskrivi l-ħsieb ekonomiku wara l-konċentrazzjoni.</w:t>
      </w:r>
    </w:p>
    <w:p w14:paraId="7BAA7488" w14:textId="77777777" w:rsidR="003B232C" w:rsidRDefault="003B232C" w:rsidP="003B232C">
      <w:r>
        <w:t>2.3.</w:t>
      </w:r>
      <w:r>
        <w:tab/>
        <w:t>Għandek tistqarr il-valur tal-konċentrazzjoni [il-prezz tax-xiri (jew tal-valur tal-assi kollha involuti, skont ma jkun il-każ); speċifika jekk dan huwiex fil-forma ta’ ekwità, flus kontanti, jew assi oħrajn].</w:t>
      </w:r>
    </w:p>
    <w:p w14:paraId="55458CA7" w14:textId="77777777" w:rsidR="003B232C" w:rsidRDefault="003B232C" w:rsidP="003B232C">
      <w:r>
        <w:t>2.4.</w:t>
      </w:r>
      <w:r>
        <w:tab/>
        <w:t xml:space="preserve">Ipprovdi biżżejjed </w:t>
      </w:r>
      <w:r>
        <w:rPr>
          <w:i/>
          <w:iCs/>
        </w:rPr>
        <w:t>data</w:t>
      </w:r>
      <w:r>
        <w:t xml:space="preserve"> finanzjarja jew </w:t>
      </w:r>
      <w:r>
        <w:rPr>
          <w:i/>
          <w:iCs/>
        </w:rPr>
        <w:t>data</w:t>
      </w:r>
      <w:r>
        <w:t xml:space="preserve"> oħra biex turi jekk il-konċentrazzjoni tissodisfax jew le l-limiti ġuriżdizzjonali stabbiliti fl-Artikolu 1 tar-Regolament dwar l-Għaqdiet billi tippreżenta l-informazzjoni li ġejja għal kull waħda mill-impriżi kkonċernati mill-konċentrazzjoni għall-aħħar sena finanzjarja</w:t>
      </w:r>
      <w:r>
        <w:rPr>
          <w:rStyle w:val="FootnoteReference"/>
        </w:rPr>
        <w:footnoteReference w:id="16"/>
      </w:r>
      <w:r>
        <w:t>:</w:t>
      </w:r>
    </w:p>
    <w:p w14:paraId="6831B743" w14:textId="77777777" w:rsidR="003B232C" w:rsidRDefault="003B232C" w:rsidP="003B232C">
      <w:pPr>
        <w:pStyle w:val="Point0"/>
      </w:pPr>
      <w:r>
        <w:tab/>
        <w:t>2.4.1.</w:t>
      </w:r>
      <w:r>
        <w:tab/>
        <w:t>fatturat dinji;</w:t>
      </w:r>
    </w:p>
    <w:p w14:paraId="565061F3" w14:textId="77777777" w:rsidR="003B232C" w:rsidRDefault="003B232C" w:rsidP="003B232C">
      <w:pPr>
        <w:pStyle w:val="Point0"/>
      </w:pPr>
      <w:r>
        <w:tab/>
        <w:t>2.4.2.</w:t>
      </w:r>
      <w:r>
        <w:tab/>
        <w:t>Il-fatturat fl-UE kollha;</w:t>
      </w:r>
    </w:p>
    <w:p w14:paraId="64CA9499" w14:textId="77777777" w:rsidR="003B232C" w:rsidRDefault="003B232C" w:rsidP="003B232C">
      <w:pPr>
        <w:pStyle w:val="Point0"/>
      </w:pPr>
      <w:r>
        <w:tab/>
        <w:t>2.4.3.</w:t>
      </w:r>
      <w:r>
        <w:tab/>
        <w:t>Il-fatturat fiż-ŻEE kollha (l-UE u l-EFTA);</w:t>
      </w:r>
    </w:p>
    <w:p w14:paraId="4AB38BF2" w14:textId="77777777" w:rsidR="003B232C" w:rsidRDefault="003B232C" w:rsidP="003B232C">
      <w:pPr>
        <w:pStyle w:val="Point0"/>
      </w:pPr>
      <w:r>
        <w:tab/>
        <w:t>2.4.4.</w:t>
      </w:r>
      <w:r>
        <w:tab/>
        <w:t>fatturat f’kull Stat Membru (indika l-Istat Membru, jekk hemm xi wieħed, li fih jinkiseb iktar minn żewġ terzi tal-fatturat madwar l-UE);</w:t>
      </w:r>
    </w:p>
    <w:p w14:paraId="650C9F00" w14:textId="77777777" w:rsidR="003B232C" w:rsidRDefault="003B232C" w:rsidP="003B232C">
      <w:pPr>
        <w:pStyle w:val="Point0"/>
      </w:pPr>
      <w:r>
        <w:tab/>
        <w:t>2.4.5.</w:t>
      </w:r>
      <w:r>
        <w:tab/>
        <w:t>Il-fatturat fl-EFTA;</w:t>
      </w:r>
    </w:p>
    <w:p w14:paraId="303CA5E8" w14:textId="77777777" w:rsidR="003B232C" w:rsidRDefault="003B232C" w:rsidP="003B232C">
      <w:pPr>
        <w:pStyle w:val="Point0"/>
      </w:pPr>
      <w:r>
        <w:tab/>
        <w:t>2.4.6.</w:t>
      </w:r>
      <w:r>
        <w:tab/>
        <w:t>fatturat f’kull Stat tal-EFTA (indika l-Istat tal-EFTA, jekk ikun hemm, li fih jinkiseb iktar minn żewġ terzi tal-fatturat madwar l-EFTA); indika wkoll jekk il-fatturat ikkombinat tal-impriżi kkonċernati fit-territorju tal-Istati EFTA jkunx ugwali għal 25 % jew aktar tal-fatturat totali tagħhom fit-territorju taż-ŻEE).</w:t>
      </w:r>
    </w:p>
    <w:p w14:paraId="21B58622" w14:textId="77777777" w:rsidR="003B232C" w:rsidRDefault="003B232C" w:rsidP="003B232C">
      <w:r>
        <w:t>Id-</w:t>
      </w:r>
      <w:r>
        <w:rPr>
          <w:i/>
          <w:iCs/>
        </w:rPr>
        <w:t>data</w:t>
      </w:r>
      <w:r>
        <w:t xml:space="preserve"> dwar il-fatturat għandha tiġi pprovduta billi timtela t-tabella mudell tal-Kummissjoni li tinsab fuq il-website tad-DĠ Kompetizzjoni.</w:t>
      </w:r>
    </w:p>
    <w:p w14:paraId="4BE77974" w14:textId="77777777" w:rsidR="003B232C" w:rsidRDefault="003B232C" w:rsidP="003B232C">
      <w:pPr>
        <w:pStyle w:val="ManualHeading1"/>
        <w:numPr>
          <w:ilvl w:val="0"/>
          <w:numId w:val="0"/>
        </w:numPr>
        <w:ind w:left="851" w:hanging="851"/>
      </w:pPr>
      <w:r>
        <w:t>TAQSIMA 3</w:t>
      </w:r>
    </w:p>
    <w:p w14:paraId="0A2B2C56" w14:textId="77777777" w:rsidR="003B232C" w:rsidRDefault="003B232C" w:rsidP="003B232C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DEFINIZZJONIJIET TAS-SUQ</w:t>
      </w:r>
    </w:p>
    <w:p w14:paraId="3550A6E0" w14:textId="77777777" w:rsidR="003B232C" w:rsidRDefault="003B232C" w:rsidP="003B232C">
      <w:r>
        <w:t>Is-swieq tal-prodotti u s-swieq ġeografiċi relevanti jservu biex jidentifikaw il-kamp ta’ applikazzjoni li fi ħdanu trid tiġi vvalutata s-saħħa fis-suq tal-entità l-ġdida li tirriżulta mill-konċentrazzjoni</w:t>
      </w:r>
      <w:r>
        <w:rPr>
          <w:rStyle w:val="FootnoteReference"/>
        </w:rPr>
        <w:footnoteReference w:id="17"/>
      </w:r>
      <w:r>
        <w:t>. Meta jippreżentaw is-swieq tal-prodotti u ġeografiċi rilevanti, il-partijiet rikjedenti għandhom jippreżentaw, flimkien ma’ kull definizzjoni tas-suq tal-prodott u dak ġeografiku li jqisu rilevanti, id-definizzjonijiet alternattivi plawżibbli kollha tas-suq tal-prodott u tas-suq ġeografiku. Definizzjonijiet tas-swieq ġeografiċi u tal-prodotti plawżibbli alternattivi jistgħu jiġu identifikati fuq il-bażi tad-deċiżjonijiet preċedenti tal-Kummissjoni u s-sentenzi tal-Qrati tal-Unjoni u (b’mod partikulari fejn ma hemm l-ebda preċedenti mill-Kummissjoni jew tal-Qrati) b’referenza għar-rapporti tal-industriji, l-istudji tas-swieq u d-dokumenti interni tal-partijiet rikjedenti.</w:t>
      </w:r>
    </w:p>
    <w:p w14:paraId="721EABB9" w14:textId="77777777" w:rsidR="003B232C" w:rsidRDefault="003B232C" w:rsidP="003B232C">
      <w:r>
        <w:t>3.1.</w:t>
      </w:r>
      <w:r>
        <w:tab/>
        <w:t>Jekk jogħġbok iddiskuti d-definizzjonijiet tas-suq rilevanti kollha plawżibbli fejn il-konċentrazzjoni proposta tista’ twassal għal swieq affettwati. Jekk jogħġbok spjega kif il-partijiet rikjedenti jqisu li s-swieq tal-prodott u dawk ġeografiċi rilevanti għandhom jiġu definiti.</w:t>
      </w:r>
    </w:p>
    <w:p w14:paraId="1DAEDBEF" w14:textId="77777777" w:rsidR="003B232C" w:rsidRDefault="003B232C" w:rsidP="003B232C">
      <w:r>
        <w:t>3.2.</w:t>
      </w:r>
      <w:r>
        <w:tab/>
        <w:t>Filwaqt li tqis id-definizzjonijiet tas-suq rilevanti plawżibbli kollha diskussi, għandek tidentifika kull suq affettwat</w:t>
      </w:r>
      <w:r>
        <w:rPr>
          <w:rStyle w:val="FootnoteReference"/>
        </w:rPr>
        <w:footnoteReference w:id="18"/>
      </w:r>
      <w:r>
        <w:t xml:space="preserve"> u tipprovdi informazzjoni fil-qosor dwar l-attivitajiet tal-partijiet għall-konċentrazzjoni f’kull suq rilevanti plawżibbli. Jekk jogħġbok żid mat-tabelli kemm ringieli jkun hemm bżonn biex jiġu koperti s-swieq plawżibbli kollha li tqis: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00"/>
        <w:gridCol w:w="2507"/>
        <w:gridCol w:w="4179"/>
      </w:tblGrid>
      <w:tr w:rsidR="003B232C" w14:paraId="45C40AF6" w14:textId="77777777" w:rsidTr="00DC449A">
        <w:tblPrEx>
          <w:tblCellMar>
            <w:top w:w="0" w:type="dxa"/>
            <w:bottom w:w="0" w:type="dxa"/>
          </w:tblCellMar>
        </w:tblPrEx>
        <w:tc>
          <w:tcPr>
            <w:tcW w:w="92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81FE3" w14:textId="77777777" w:rsidR="003B232C" w:rsidRDefault="003B232C" w:rsidP="00DC449A">
            <w:pPr>
              <w:pStyle w:val="NormalCentered"/>
            </w:pPr>
            <w:r>
              <w:rPr>
                <w:i/>
                <w:iCs/>
              </w:rPr>
              <w:t>Sommarju ta’ Swieq Affettwati</w:t>
            </w:r>
          </w:p>
          <w:p w14:paraId="7C2C2CEA" w14:textId="77777777" w:rsidR="003B232C" w:rsidRDefault="003B232C" w:rsidP="00DC449A">
            <w:pPr>
              <w:pStyle w:val="NormalCentered"/>
            </w:pPr>
            <w:r>
              <w:rPr>
                <w:i/>
                <w:iCs/>
              </w:rPr>
              <w:t>Sovrappożizzjonijiet Orizzontali</w:t>
            </w:r>
          </w:p>
        </w:tc>
      </w:tr>
      <w:tr w:rsidR="003B232C" w14:paraId="07B9F0CC" w14:textId="77777777" w:rsidTr="00DC449A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5663F" w14:textId="77777777" w:rsidR="003B232C" w:rsidRDefault="003B232C" w:rsidP="00DC449A">
            <w:pPr>
              <w:pStyle w:val="NormalCentered"/>
            </w:pPr>
            <w:r>
              <w:t>Definizzjoni tas-suq tal-prodott</w:t>
            </w:r>
          </w:p>
        </w:tc>
        <w:tc>
          <w:tcPr>
            <w:tcW w:w="2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0416C" w14:textId="77777777" w:rsidR="003B232C" w:rsidRDefault="003B232C" w:rsidP="00DC449A">
            <w:pPr>
              <w:pStyle w:val="NormalCentered"/>
            </w:pPr>
            <w:r>
              <w:t>Definizzjoni tas-suq ġeografiku</w:t>
            </w:r>
          </w:p>
        </w:tc>
        <w:tc>
          <w:tcPr>
            <w:tcW w:w="4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AB176" w14:textId="77777777" w:rsidR="003B232C" w:rsidRDefault="003B232C" w:rsidP="00DC449A">
            <w:pPr>
              <w:pStyle w:val="NormalCentered"/>
            </w:pPr>
            <w:r>
              <w:t>Sehem mis-suq ikkombinat</w:t>
            </w:r>
          </w:p>
          <w:p w14:paraId="04E6E4EC" w14:textId="77777777" w:rsidR="003B232C" w:rsidRDefault="003B232C" w:rsidP="00DC449A">
            <w:pPr>
              <w:pStyle w:val="NormalCentered"/>
            </w:pPr>
            <w:r>
              <w:t>[Identifika s-sena]</w:t>
            </w:r>
          </w:p>
          <w:p w14:paraId="28E8D82D" w14:textId="77777777" w:rsidR="003B232C" w:rsidRDefault="003B232C" w:rsidP="00DC449A">
            <w:pPr>
              <w:pStyle w:val="NormalCentered"/>
            </w:pPr>
            <w:r>
              <w:t>[Identifika l-metrika]</w:t>
            </w:r>
          </w:p>
        </w:tc>
      </w:tr>
      <w:tr w:rsidR="003B232C" w14:paraId="107E5648" w14:textId="77777777" w:rsidTr="00DC449A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7694D" w14:textId="77777777" w:rsidR="003B232C" w:rsidRDefault="003B232C" w:rsidP="00DC449A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2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F6260" w14:textId="77777777" w:rsidR="003B232C" w:rsidRDefault="003B232C" w:rsidP="00DC449A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4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DC795" w14:textId="77777777" w:rsidR="003B232C" w:rsidRDefault="003B232C" w:rsidP="00DC449A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</w:tr>
      <w:tr w:rsidR="003B232C" w14:paraId="585B5552" w14:textId="77777777" w:rsidTr="00DC449A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0AFA4" w14:textId="77777777" w:rsidR="003B232C" w:rsidRDefault="003B232C" w:rsidP="00DC449A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2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F1C37" w14:textId="77777777" w:rsidR="003B232C" w:rsidRDefault="003B232C" w:rsidP="00DC449A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4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A4A90" w14:textId="77777777" w:rsidR="003B232C" w:rsidRDefault="003B232C" w:rsidP="00DC449A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</w:tr>
    </w:tbl>
    <w:p w14:paraId="42E510EB" w14:textId="77777777" w:rsidR="003B232C" w:rsidRDefault="003B232C" w:rsidP="003B232C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71"/>
        <w:gridCol w:w="1672"/>
        <w:gridCol w:w="1300"/>
        <w:gridCol w:w="1671"/>
        <w:gridCol w:w="1672"/>
        <w:gridCol w:w="1300"/>
      </w:tblGrid>
      <w:tr w:rsidR="003B232C" w14:paraId="09DA7C01" w14:textId="77777777" w:rsidTr="00DC449A">
        <w:tblPrEx>
          <w:tblCellMar>
            <w:top w:w="0" w:type="dxa"/>
            <w:bottom w:w="0" w:type="dxa"/>
          </w:tblCellMar>
        </w:tblPrEx>
        <w:tc>
          <w:tcPr>
            <w:tcW w:w="928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6D0F3" w14:textId="77777777" w:rsidR="003B232C" w:rsidRDefault="003B232C" w:rsidP="00DC449A">
            <w:pPr>
              <w:pStyle w:val="NormalCentered"/>
            </w:pPr>
            <w:r>
              <w:rPr>
                <w:i/>
                <w:iCs/>
              </w:rPr>
              <w:t>Sommarju ta’ Swieq Affettwati</w:t>
            </w:r>
          </w:p>
          <w:p w14:paraId="2E4AE25B" w14:textId="77777777" w:rsidR="003B232C" w:rsidRDefault="003B232C" w:rsidP="00DC449A">
            <w:pPr>
              <w:pStyle w:val="NormalCentered"/>
            </w:pPr>
            <w:r>
              <w:rPr>
                <w:i/>
                <w:iCs/>
              </w:rPr>
              <w:t>Relazzjonijiet Vertikali</w:t>
            </w:r>
          </w:p>
        </w:tc>
      </w:tr>
      <w:tr w:rsidR="003B232C" w14:paraId="54E3654C" w14:textId="77777777" w:rsidTr="00DC449A">
        <w:tblPrEx>
          <w:tblCellMar>
            <w:top w:w="0" w:type="dxa"/>
            <w:bottom w:w="0" w:type="dxa"/>
          </w:tblCellMar>
        </w:tblPrEx>
        <w:tc>
          <w:tcPr>
            <w:tcW w:w="4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3D5A8" w14:textId="77777777" w:rsidR="003B232C" w:rsidRDefault="003B232C" w:rsidP="00DC449A">
            <w:pPr>
              <w:pStyle w:val="NormalCentered"/>
            </w:pPr>
            <w:r>
              <w:rPr>
                <w:i/>
                <w:iCs/>
              </w:rPr>
              <w:t>Upstream</w:t>
            </w:r>
          </w:p>
        </w:tc>
        <w:tc>
          <w:tcPr>
            <w:tcW w:w="4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856B6" w14:textId="77777777" w:rsidR="003B232C" w:rsidRDefault="003B232C" w:rsidP="00DC449A">
            <w:pPr>
              <w:pStyle w:val="NormalCentered"/>
            </w:pPr>
            <w:r>
              <w:rPr>
                <w:i/>
                <w:iCs/>
              </w:rPr>
              <w:t>Downstream</w:t>
            </w:r>
          </w:p>
        </w:tc>
      </w:tr>
      <w:tr w:rsidR="003B232C" w14:paraId="7202ABBD" w14:textId="77777777" w:rsidTr="00DC449A">
        <w:tblPrEx>
          <w:tblCellMar>
            <w:top w:w="0" w:type="dxa"/>
            <w:bottom w:w="0" w:type="dxa"/>
          </w:tblCellMar>
        </w:tblPrEx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20501" w14:textId="77777777" w:rsidR="003B232C" w:rsidRDefault="003B232C" w:rsidP="00DC449A">
            <w:pPr>
              <w:pStyle w:val="NormalCentered"/>
            </w:pPr>
            <w:r>
              <w:t>Definizzjoni tas-suq tal-prodott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6BC85" w14:textId="77777777" w:rsidR="003B232C" w:rsidRDefault="003B232C" w:rsidP="00DC449A">
            <w:pPr>
              <w:pStyle w:val="NormalCentered"/>
            </w:pPr>
            <w:r>
              <w:t>Definizzjoni tas-suq ġeografiku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B2D41" w14:textId="77777777" w:rsidR="003B232C" w:rsidRDefault="003B232C" w:rsidP="00DC449A">
            <w:pPr>
              <w:pStyle w:val="NormalCentered"/>
            </w:pPr>
            <w:r>
              <w:t>Sehem mis-suq ikkombinat</w:t>
            </w:r>
          </w:p>
          <w:p w14:paraId="23740908" w14:textId="77777777" w:rsidR="003B232C" w:rsidRDefault="003B232C" w:rsidP="00DC449A">
            <w:pPr>
              <w:pStyle w:val="NormalCentered"/>
            </w:pPr>
            <w:r>
              <w:t>[Identifika s-sena]</w:t>
            </w:r>
          </w:p>
          <w:p w14:paraId="358B3965" w14:textId="77777777" w:rsidR="003B232C" w:rsidRDefault="003B232C" w:rsidP="00DC449A">
            <w:pPr>
              <w:pStyle w:val="NormalCentered"/>
            </w:pPr>
            <w:r>
              <w:t>[Identifika l-metrika]</w:t>
            </w: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5A817" w14:textId="77777777" w:rsidR="003B232C" w:rsidRDefault="003B232C" w:rsidP="00DC449A">
            <w:pPr>
              <w:pStyle w:val="NormalCentered"/>
            </w:pPr>
            <w:r>
              <w:t>Definizzjoni tas-suq tal-prodott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E505F" w14:textId="77777777" w:rsidR="003B232C" w:rsidRDefault="003B232C" w:rsidP="00DC449A">
            <w:pPr>
              <w:pStyle w:val="NormalCentered"/>
            </w:pPr>
            <w:r>
              <w:t>Definizzjoni tas-suq ġeografiku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E3A6E" w14:textId="77777777" w:rsidR="003B232C" w:rsidRDefault="003B232C" w:rsidP="00DC449A">
            <w:pPr>
              <w:pStyle w:val="NormalCentered"/>
            </w:pPr>
            <w:r>
              <w:t>Sehem mis-suq ikkombinat</w:t>
            </w:r>
          </w:p>
          <w:p w14:paraId="7A2479C8" w14:textId="77777777" w:rsidR="003B232C" w:rsidRDefault="003B232C" w:rsidP="00DC449A">
            <w:pPr>
              <w:pStyle w:val="NormalCentered"/>
            </w:pPr>
            <w:r>
              <w:t>[Identifika s-sena]</w:t>
            </w:r>
          </w:p>
          <w:p w14:paraId="6460D61B" w14:textId="77777777" w:rsidR="003B232C" w:rsidRDefault="003B232C" w:rsidP="00DC449A">
            <w:pPr>
              <w:pStyle w:val="NormalCentered"/>
            </w:pPr>
            <w:r>
              <w:t>[Identifika l-metrika]</w:t>
            </w:r>
          </w:p>
        </w:tc>
      </w:tr>
      <w:tr w:rsidR="003B232C" w14:paraId="2FB224E7" w14:textId="77777777" w:rsidTr="00DC449A">
        <w:tblPrEx>
          <w:tblCellMar>
            <w:top w:w="0" w:type="dxa"/>
            <w:bottom w:w="0" w:type="dxa"/>
          </w:tblCellMar>
        </w:tblPrEx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35B02" w14:textId="77777777" w:rsidR="003B232C" w:rsidRDefault="003B232C" w:rsidP="00DC449A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7448E" w14:textId="77777777" w:rsidR="003B232C" w:rsidRDefault="003B232C" w:rsidP="00DC449A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DB38F" w14:textId="77777777" w:rsidR="003B232C" w:rsidRDefault="003B232C" w:rsidP="00DC449A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E42BA" w14:textId="77777777" w:rsidR="003B232C" w:rsidRDefault="003B232C" w:rsidP="00DC449A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2A1E0" w14:textId="77777777" w:rsidR="003B232C" w:rsidRDefault="003B232C" w:rsidP="00DC449A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8F314" w14:textId="77777777" w:rsidR="003B232C" w:rsidRDefault="003B232C" w:rsidP="00DC449A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</w:tr>
      <w:tr w:rsidR="003B232C" w14:paraId="4E29A976" w14:textId="77777777" w:rsidTr="00DC449A">
        <w:tblPrEx>
          <w:tblCellMar>
            <w:top w:w="0" w:type="dxa"/>
            <w:bottom w:w="0" w:type="dxa"/>
          </w:tblCellMar>
        </w:tblPrEx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E7534" w14:textId="77777777" w:rsidR="003B232C" w:rsidRDefault="003B232C" w:rsidP="00DC449A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32A13" w14:textId="77777777" w:rsidR="003B232C" w:rsidRDefault="003B232C" w:rsidP="00DC449A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2011A" w14:textId="77777777" w:rsidR="003B232C" w:rsidRDefault="003B232C" w:rsidP="00DC449A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1395A" w14:textId="77777777" w:rsidR="003B232C" w:rsidRDefault="003B232C" w:rsidP="00DC449A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23C17" w14:textId="77777777" w:rsidR="003B232C" w:rsidRDefault="003B232C" w:rsidP="00DC449A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804B8" w14:textId="77777777" w:rsidR="003B232C" w:rsidRDefault="003B232C" w:rsidP="00DC449A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</w:tr>
    </w:tbl>
    <w:p w14:paraId="2F56EA90" w14:textId="77777777" w:rsidR="003B232C" w:rsidRDefault="003B232C" w:rsidP="003B232C"/>
    <w:p w14:paraId="34714FDC" w14:textId="77777777" w:rsidR="003B232C" w:rsidRDefault="003B232C" w:rsidP="003B232C">
      <w:pPr>
        <w:pStyle w:val="ManualHeading1"/>
        <w:numPr>
          <w:ilvl w:val="0"/>
          <w:numId w:val="0"/>
        </w:numPr>
        <w:ind w:left="851" w:hanging="851"/>
      </w:pPr>
      <w:r>
        <w:t>TAQSIMA 4</w:t>
      </w:r>
    </w:p>
    <w:p w14:paraId="7A117193" w14:textId="77777777" w:rsidR="003B232C" w:rsidRDefault="003B232C" w:rsidP="003B232C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L-INFORMAZZJONI DWAR IS-SWIEQ AFFETTWATI</w:t>
      </w:r>
    </w:p>
    <w:p w14:paraId="0A3F1F9F" w14:textId="77777777" w:rsidR="003B232C" w:rsidRDefault="003B232C" w:rsidP="003B232C">
      <w:r>
        <w:t>Fir-rigward ta’ kull suq affettwat, għandek tipprovdi l-informazzjoni kollha li ġejja għall-aħħar sena:</w:t>
      </w:r>
    </w:p>
    <w:p w14:paraId="32ACDD1F" w14:textId="77777777" w:rsidR="003B232C" w:rsidRDefault="003B232C" w:rsidP="003B232C">
      <w:pPr>
        <w:pStyle w:val="Point0"/>
      </w:pPr>
      <w:r>
        <w:tab/>
        <w:t>4.1.</w:t>
      </w:r>
      <w:r>
        <w:tab/>
        <w:t>għal kull waħda mill-partijiet fil-konċentrazzjoni, in-natura tan-negozju tal-impriża, is-sussidjarji attivi ewlenin, il-marki, l-ismijiet tal-prodotti, u t-trademarks, użati f’kull wieħed minn dawk is-swieq;</w:t>
      </w:r>
    </w:p>
    <w:p w14:paraId="2CABB73E" w14:textId="77777777" w:rsidR="003B232C" w:rsidRDefault="003B232C" w:rsidP="003B232C">
      <w:pPr>
        <w:pStyle w:val="Point0"/>
      </w:pPr>
      <w:r>
        <w:tab/>
        <w:t>4.2.</w:t>
      </w:r>
      <w:r>
        <w:tab/>
        <w:t>stima tad-daqs totali tas-suq f’termini ta’ valur tal-bejgħ (f’euro) u volum (unitajiet)</w:t>
      </w:r>
      <w:r>
        <w:rPr>
          <w:rStyle w:val="FootnoteReference"/>
        </w:rPr>
        <w:footnoteReference w:id="19"/>
      </w:r>
      <w:r>
        <w:t>. Għandek tindika l-bażi u s-sorsi għall-kalkoli u tipprovdi dokumenti fejn disponibbli biex tikkonferma dawk il-kalkoli;</w:t>
      </w:r>
    </w:p>
    <w:p w14:paraId="52A19C37" w14:textId="77777777" w:rsidR="003B232C" w:rsidRDefault="003B232C" w:rsidP="003B232C">
      <w:pPr>
        <w:pStyle w:val="Point0"/>
      </w:pPr>
      <w:r>
        <w:tab/>
        <w:t>4.3.</w:t>
      </w:r>
      <w:r>
        <w:tab/>
        <w:t>għal kull waħda mill-partijiet fil-konċentrazzjoni, il-bejgħ fil-valur u l-volum, kif ukoll stima tal-ishma tas-suq;</w:t>
      </w:r>
    </w:p>
    <w:p w14:paraId="1CF2C9E4" w14:textId="77777777" w:rsidR="003B232C" w:rsidRDefault="003B232C" w:rsidP="003B232C">
      <w:pPr>
        <w:pStyle w:val="Point0"/>
      </w:pPr>
      <w:r>
        <w:tab/>
        <w:t>4.4.</w:t>
      </w:r>
      <w:r>
        <w:tab/>
        <w:t>stima tas-sehem mis-suq f’valur (u fejn xieraq, il-volum) tal-ikbar tliet kompetituri (indika l-bażi għall-istimi);</w:t>
      </w:r>
    </w:p>
    <w:p w14:paraId="2937F67D" w14:textId="77777777" w:rsidR="003B232C" w:rsidRDefault="003B232C" w:rsidP="003B232C">
      <w:pPr>
        <w:pStyle w:val="Point0"/>
      </w:pPr>
      <w:r>
        <w:tab/>
        <w:t>4.5.</w:t>
      </w:r>
      <w:r>
        <w:tab/>
        <w:t>jekk il-konċentrazzjoni tkun impriża konġunta, indika jekk żewġ kumpaniji prinċipali jew aktar iżommux sa punt sinifikanti attivitajiet fl-istess suq bħall-impriża konġunta jew f’suq li jkun downstream jew upstream minn dak tal-impriża konġunta</w:t>
      </w:r>
      <w:r>
        <w:rPr>
          <w:rStyle w:val="FootnoteReference"/>
        </w:rPr>
        <w:footnoteReference w:id="20"/>
      </w:r>
      <w:r>
        <w:t>.</w:t>
      </w:r>
    </w:p>
    <w:p w14:paraId="62F7D7E6" w14:textId="77777777" w:rsidR="003B232C" w:rsidRDefault="003B232C" w:rsidP="003B232C">
      <w:pPr>
        <w:pStyle w:val="ManualHeading1"/>
        <w:numPr>
          <w:ilvl w:val="0"/>
          <w:numId w:val="0"/>
        </w:numPr>
        <w:ind w:left="851" w:hanging="851"/>
      </w:pPr>
      <w:r>
        <w:t>TAQSIMA 5</w:t>
      </w:r>
    </w:p>
    <w:p w14:paraId="59227F20" w14:textId="77777777" w:rsidR="003B232C" w:rsidRDefault="003B232C" w:rsidP="003B232C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ID-DETTALJI TAT-TALBA GĦAL REFERENZA U R-RAĠUNIJIET GĦALIEX IL-KAŻ GĦANDU JIĠI RIFERIT</w:t>
      </w:r>
    </w:p>
    <w:p w14:paraId="1B73D009" w14:textId="77777777" w:rsidR="003B232C" w:rsidRDefault="003B232C" w:rsidP="003B232C">
      <w:r>
        <w:t>5.1.</w:t>
      </w:r>
      <w:r>
        <w:tab/>
        <w:t>Fir-rigward ta’ rinviju magħmul skont l-Artikolu 4(4) tar-Regolament dwar l-Għaqdiet u rinviju magħmul skont id-dispożizzjonijiet rilevanti tal-Ftehim ŻEE:</w:t>
      </w:r>
    </w:p>
    <w:p w14:paraId="4500A1D7" w14:textId="77777777" w:rsidR="003B232C" w:rsidRDefault="003B232C" w:rsidP="003B232C">
      <w:pPr>
        <w:pStyle w:val="Point0"/>
      </w:pPr>
      <w:r>
        <w:tab/>
        <w:t>5.1.1.</w:t>
      </w:r>
      <w:r>
        <w:tab/>
        <w:t>identifika l-Istat(i) Membru/i u l-Istat(i) tal-EFTA li fil-fehma tiegħek għandhom jeżaminaw il-konċentrazzjoni f’konformità mal-Artikolu 4(4) tar-Regolament dwar l-Għaqdiet filwaqt li tindika jekk għamiltx kuntatt informali ma’ dan/dawn l-Istat(i) Membru/i u l-Istat(i) tal-EFTA;</w:t>
      </w:r>
    </w:p>
    <w:p w14:paraId="444D9444" w14:textId="77777777" w:rsidR="003B232C" w:rsidRDefault="003B232C" w:rsidP="003B232C">
      <w:pPr>
        <w:pStyle w:val="Point0"/>
      </w:pPr>
      <w:r>
        <w:tab/>
        <w:t>5.1.2.</w:t>
      </w:r>
      <w:r>
        <w:tab/>
        <w:t>speċifika jekk intix qed titlob rinviju għall-każ sħiħ jew għal parti minnu. Jekk qed titlob referenza għal parti mill-każ, speċifika eżatt il-parti jew partijiet tal-każ li għalihom tlabt ir-referenza. Jekk qed titlob rinviju tal-każ kollu, trid tikkonferma li ma hemm l-ebda suq affettwat barra mit-territorju tal-Istat(i) Membru/i u tal-Istat(i) tal-EFTA fejn qed titlob li jsir ir-rinviju;</w:t>
      </w:r>
    </w:p>
    <w:p w14:paraId="6F3DC267" w14:textId="77777777" w:rsidR="003B232C" w:rsidRDefault="003B232C" w:rsidP="003B232C">
      <w:pPr>
        <w:pStyle w:val="Point0"/>
      </w:pPr>
      <w:r>
        <w:tab/>
        <w:t>5.1.3.</w:t>
      </w:r>
      <w:r>
        <w:tab/>
        <w:t>jekk il-konċentrazzjoni proposta ma twassalx għal swieq affettwati fis-sens ta’ din il-Formola RS, jekk jogħġbok spjega</w:t>
      </w:r>
      <w:r>
        <w:rPr>
          <w:rStyle w:val="FootnoteReference"/>
        </w:rPr>
        <w:footnoteReference w:id="21"/>
      </w:r>
      <w:r>
        <w:t>:</w:t>
      </w:r>
    </w:p>
    <w:p w14:paraId="2F57D11F" w14:textId="77777777" w:rsidR="003B232C" w:rsidRDefault="003B232C" w:rsidP="003B232C">
      <w:pPr>
        <w:pStyle w:val="Point1"/>
      </w:pPr>
      <w:r>
        <w:tab/>
        <w:t>(a)</w:t>
      </w:r>
      <w:r>
        <w:tab/>
        <w:t>f’liema suq (swieq) il-konċentrazzjoni tista’ taffettwa b’mod sinifikanti l-kompetizzjoni fi ħdan Stat Membru u kif;</w:t>
      </w:r>
    </w:p>
    <w:p w14:paraId="56FE54B9" w14:textId="77777777" w:rsidR="003B232C" w:rsidRDefault="003B232C" w:rsidP="003B232C">
      <w:pPr>
        <w:pStyle w:val="Point1"/>
      </w:pPr>
      <w:r>
        <w:tab/>
        <w:t>(b)</w:t>
      </w:r>
      <w:r>
        <w:tab/>
        <w:t>għaliex kull wieħed mis-swieq identifikati bi tweġiba għall-mistoqsija msemmija fil-punt (a) jippreżenta l-karatteristiċi kollha ta’ suq distint.</w:t>
      </w:r>
    </w:p>
    <w:p w14:paraId="76051B77" w14:textId="77777777" w:rsidR="003B232C" w:rsidRDefault="003B232C" w:rsidP="003B232C">
      <w:pPr>
        <w:pStyle w:val="Point0"/>
      </w:pPr>
      <w:r>
        <w:tab/>
        <w:t>5.1.4.</w:t>
      </w:r>
      <w:r>
        <w:tab/>
        <w:t>Fil-każ li Stat Membru u/jew Stat tal-EFTA jsiru kompetenti biex jirrieżaminaw il-każ kollu jew parti minnu wara rinviju skont l-Artikolu 4(4) tar-Regolament dwar l-Għaqdiet, taqbel li l-informazzjoni li tinsab f’din il-Formola RS tiġi invokata mill-Istat(i) Membru/i u/jew l-Istat(i) tal-EFTA inkwistjoni għall-fini tal-proċedimenti nazzjonali tiegħu/tagħhom fir-rigward ta’ (parti minn) dan il-każ? Jekk jogħġbok wieġeb biss b’ “Iva” jew “Le”.</w:t>
      </w:r>
    </w:p>
    <w:p w14:paraId="3CFB9167" w14:textId="77777777" w:rsidR="003B232C" w:rsidRDefault="003B232C" w:rsidP="003B232C">
      <w:r>
        <w:t>5.2.</w:t>
      </w:r>
      <w:r>
        <w:tab/>
        <w:t>Fir-rigward ta’ rinviji magħmula skont l-Artikolu 4(5) tar-Regolament dwar l-Għaqdiet u rinviji magħmula skont id-dispożizzjonijiet rilevanti tal-Ftehim ŻEE:</w:t>
      </w:r>
    </w:p>
    <w:p w14:paraId="1A05E8EC" w14:textId="77777777" w:rsidR="003B232C" w:rsidRDefault="003B232C" w:rsidP="003B232C">
      <w:pPr>
        <w:pStyle w:val="Point0"/>
      </w:pPr>
      <w:r>
        <w:tab/>
        <w:t>5.2.1.</w:t>
      </w:r>
      <w:r>
        <w:tab/>
        <w:t>għal kull Stat Membru u Stat tal-EFTA, speċifika jekk il-konċentrazzjoni tistax tiġi rieżaminata skont il-liġi nazzjonali tal-kompetizzjoni tiegħu. Din l-informazzjoni trid tiġi pprovduta billi timtela t-tabella mudell tal-Kummissjoni disponibbli fuq is-sit web tad-DĠ Kompetizzjoni. Għal kull Stat Membru u Stat tal-EFTA, għandek tindika “Iva” (jekk il-konċentrazzjoni tista’ tiġi rieżaminata skont il-liġi nazzjonali tal-kompetizzjoni) jew “Le” (jekk le);</w:t>
      </w:r>
    </w:p>
    <w:p w14:paraId="6FC56AAA" w14:textId="77777777" w:rsidR="003B232C" w:rsidRDefault="003B232C" w:rsidP="003B232C">
      <w:pPr>
        <w:pStyle w:val="Point0"/>
      </w:pPr>
      <w:r>
        <w:tab/>
        <w:t>5.2.2.</w:t>
      </w:r>
      <w:r>
        <w:tab/>
        <w:t xml:space="preserve">għal kull Stat Membru u Stat tal-EFTA fejn imlejt “Iva” fit-tabella msemmija fil-punt 5.2.1, ipprovdi biżżejjed </w:t>
      </w:r>
      <w:r>
        <w:rPr>
          <w:i/>
          <w:iCs/>
        </w:rPr>
        <w:t>data</w:t>
      </w:r>
      <w:r>
        <w:t xml:space="preserve"> finanzjarja jew </w:t>
      </w:r>
      <w:r>
        <w:rPr>
          <w:i/>
          <w:iCs/>
        </w:rPr>
        <w:t>data</w:t>
      </w:r>
      <w:r>
        <w:t xml:space="preserve"> oħra biex turi li l-konċentrazzjoni tissodisfa l-kriterji ġuriżdizzjonali rilevanti skont il-liġi nazzjonali applikabbli;</w:t>
      </w:r>
    </w:p>
    <w:p w14:paraId="039A0029" w14:textId="77777777" w:rsidR="003B232C" w:rsidRDefault="003B232C" w:rsidP="003B232C">
      <w:pPr>
        <w:pStyle w:val="Point0"/>
      </w:pPr>
      <w:r>
        <w:tab/>
        <w:t>5.2.3.</w:t>
      </w:r>
      <w:r>
        <w:tab/>
        <w:t>spjega għaliex il-każ għandu jiġi eżaminat mill-Kummissjoni jekk</w:t>
      </w:r>
      <w:r>
        <w:rPr>
          <w:rStyle w:val="FootnoteReference"/>
        </w:rPr>
        <w:footnoteReference w:id="22"/>
      </w:r>
      <w:r>
        <w:t>:</w:t>
      </w:r>
    </w:p>
    <w:p w14:paraId="4604D6DF" w14:textId="77777777" w:rsidR="003B232C" w:rsidRDefault="003B232C" w:rsidP="003B232C">
      <w:pPr>
        <w:pStyle w:val="Point1"/>
      </w:pPr>
      <w:r>
        <w:tab/>
        <w:t>(a)</w:t>
      </w:r>
      <w:r>
        <w:tab/>
        <w:t>il-konċentrazzjoni proposta tagħti lok għal swieq affettwati (skont it-tifsira ta’ din il-Formola RS) li għandhom ambitu nazzjonali f’inqas minn tliet Stati Membri;</w:t>
      </w:r>
    </w:p>
    <w:p w14:paraId="42B408C5" w14:textId="77777777" w:rsidR="003B232C" w:rsidRDefault="003B232C" w:rsidP="003B232C">
      <w:pPr>
        <w:pStyle w:val="Point1"/>
      </w:pPr>
      <w:r>
        <w:tab/>
        <w:t>(b)</w:t>
      </w:r>
      <w:r>
        <w:tab/>
        <w:t>il-konċentrazzjoni proposta ma twassalx għal swieq affettwati (skont it-tifsira ta’ din il-Formola RS).</w:t>
      </w:r>
    </w:p>
    <w:p w14:paraId="0FC14CA7" w14:textId="77777777" w:rsidR="003B232C" w:rsidRDefault="003B232C" w:rsidP="003B232C">
      <w:pPr>
        <w:pStyle w:val="ManualHeading1"/>
        <w:numPr>
          <w:ilvl w:val="0"/>
          <w:numId w:val="0"/>
        </w:numPr>
        <w:ind w:left="851" w:hanging="851"/>
      </w:pPr>
      <w:r>
        <w:t>TAQSIMA 6</w:t>
      </w:r>
    </w:p>
    <w:p w14:paraId="05A66967" w14:textId="77777777" w:rsidR="003B232C" w:rsidRDefault="003B232C" w:rsidP="003B232C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ID-DIKJARAZZJONI</w:t>
      </w:r>
    </w:p>
    <w:p w14:paraId="5C2659E0" w14:textId="77777777" w:rsidR="003B232C" w:rsidRDefault="003B232C" w:rsidP="003B232C">
      <w:r>
        <w:t>Il-preżentazzjoni motivata trid tispiċċa bid-dikjarazzjoni li ġejja li trid tiġi ffirmata minn jew f’isem il-partijiet rikjedenti:</w:t>
      </w:r>
    </w:p>
    <w:p w14:paraId="4652CED3" w14:textId="77777777" w:rsidR="003B232C" w:rsidRDefault="003B232C" w:rsidP="003B232C">
      <w:r>
        <w:rPr>
          <w:i/>
          <w:iCs/>
        </w:rPr>
        <w:t>“Il-parti jew partijiet rikjedenti jiddikjaraw li, wara verifika bir-reqqa, l-informazzjoni li taw f’din il-preżentazzjoni motivata hija vera, korretta u kompluta sa fejn jafu huma, li ġew ipprovduti kopji veri u sħaħ tad-dokumenti meħtieġa mill-Formola RS, li l-istimi kollha ġew identifikati bħala tali u li dawn huma l-aħjar stimi tagħhom tal-fatti sottostanti, u li l-fehmiet espressi kollha huma sinċiera. Jafu bid-dispożizzjonijiet tal-Artikolu 14(1)(a) tar-Regolament dwar l-Għaqdiet.”</w:t>
      </w:r>
    </w:p>
    <w:p w14:paraId="71D5566E" w14:textId="77777777" w:rsidR="003B232C" w:rsidRDefault="003B232C" w:rsidP="003B232C">
      <w:r>
        <w:t>Għal formoli ffirmati diġitalment, l-oqsma li ġejjin huma għal fini ta’ informazzjoni biss. Dawn għandhom jikkorrispondu mal-metadata tal-firma (firem) elettronika/elettroniċi korrispondenti.</w:t>
      </w:r>
    </w:p>
    <w:p w14:paraId="2061BBBD" w14:textId="77777777" w:rsidR="003B232C" w:rsidRDefault="003B232C" w:rsidP="003B232C">
      <w:r>
        <w:t>Data:</w:t>
      </w:r>
    </w:p>
    <w:p w14:paraId="606C0C36" w14:textId="77777777" w:rsidR="003B232C" w:rsidRDefault="003B232C" w:rsidP="003B232C">
      <w:pPr>
        <w:pStyle w:val="CRSeparator"/>
      </w:pPr>
    </w:p>
    <w:p w14:paraId="2C1D698E" w14:textId="77777777" w:rsidR="003B232C" w:rsidRDefault="003B232C" w:rsidP="003B232C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r>
        <w:rPr>
          <w:rStyle w:val="CRMarker"/>
        </w:rPr>
        <w:t>ê</w:t>
      </w:r>
      <w:r>
        <w:fldChar w:fldCharType="end"/>
      </w:r>
      <w:r>
        <w:t> 2776/2024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4"/>
        <w:gridCol w:w="4922"/>
      </w:tblGrid>
      <w:tr w:rsidR="003B232C" w14:paraId="550EA3E2" w14:textId="77777777" w:rsidTr="00DC449A">
        <w:tblPrEx>
          <w:tblCellMar>
            <w:top w:w="0" w:type="dxa"/>
            <w:bottom w:w="0" w:type="dxa"/>
          </w:tblCellMar>
        </w:tblPrEx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742AD" w14:textId="77777777" w:rsidR="003B232C" w:rsidRDefault="003B232C" w:rsidP="00DC449A">
            <w:pPr>
              <w:pStyle w:val="NormalLeft"/>
            </w:pPr>
            <w:r>
              <w:rPr>
                <w:i/>
                <w:iCs/>
              </w:rPr>
              <w:t>[Parti li qed Tissottometti 1]</w:t>
            </w:r>
          </w:p>
          <w:p w14:paraId="3775DBBD" w14:textId="77777777" w:rsidR="003B232C" w:rsidRDefault="003B232C" w:rsidP="00DC449A">
            <w:pPr>
              <w:pStyle w:val="NormalLeft"/>
            </w:pPr>
            <w:r>
              <w:t>Isem:</w:t>
            </w:r>
          </w:p>
          <w:p w14:paraId="3F7BA2EC" w14:textId="77777777" w:rsidR="003B232C" w:rsidRDefault="003B232C" w:rsidP="00DC449A">
            <w:pPr>
              <w:pStyle w:val="NormalLeft"/>
            </w:pPr>
            <w:r>
              <w:t>Organizzazzjoni:</w:t>
            </w:r>
          </w:p>
          <w:p w14:paraId="05261998" w14:textId="77777777" w:rsidR="003B232C" w:rsidRDefault="003B232C" w:rsidP="00DC449A">
            <w:pPr>
              <w:pStyle w:val="NormalLeft"/>
            </w:pPr>
            <w:r>
              <w:t>Pożizzjoni:</w:t>
            </w:r>
          </w:p>
          <w:p w14:paraId="21B0983D" w14:textId="77777777" w:rsidR="003B232C" w:rsidRDefault="003B232C" w:rsidP="00DC449A">
            <w:pPr>
              <w:pStyle w:val="NormalLeft"/>
            </w:pPr>
            <w:r>
              <w:t>Indirizz:</w:t>
            </w:r>
          </w:p>
          <w:p w14:paraId="0ECD2299" w14:textId="77777777" w:rsidR="003B232C" w:rsidRDefault="003B232C" w:rsidP="00DC449A">
            <w:pPr>
              <w:pStyle w:val="NormalLeft"/>
            </w:pPr>
            <w:r>
              <w:t>Nru tat-telefon:</w:t>
            </w:r>
          </w:p>
          <w:p w14:paraId="6EB4F12A" w14:textId="77777777" w:rsidR="003B232C" w:rsidRDefault="003B232C" w:rsidP="00DC449A">
            <w:pPr>
              <w:pStyle w:val="NormalLeft"/>
            </w:pPr>
            <w:r>
              <w:t>Email:</w:t>
            </w:r>
          </w:p>
          <w:p w14:paraId="2E94D132" w14:textId="77777777" w:rsidR="003B232C" w:rsidRDefault="003B232C" w:rsidP="00DC449A">
            <w:pPr>
              <w:pStyle w:val="NormalLeft"/>
            </w:pPr>
            <w:r>
              <w:t>[“firma elettronika”/firma]</w:t>
            </w:r>
          </w:p>
        </w:tc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A253C" w14:textId="77777777" w:rsidR="003B232C" w:rsidRDefault="003B232C" w:rsidP="00DC449A">
            <w:pPr>
              <w:pStyle w:val="NormalLeft"/>
            </w:pPr>
            <w:r>
              <w:rPr>
                <w:i/>
                <w:iCs/>
              </w:rPr>
              <w:t>[Parti li qed Tissottometti 2 jekk applikabbli]</w:t>
            </w:r>
          </w:p>
          <w:p w14:paraId="51E33FDE" w14:textId="77777777" w:rsidR="003B232C" w:rsidRDefault="003B232C" w:rsidP="00DC449A">
            <w:pPr>
              <w:pStyle w:val="NormalLeft"/>
            </w:pPr>
            <w:r>
              <w:t>Isem:</w:t>
            </w:r>
          </w:p>
          <w:p w14:paraId="16161605" w14:textId="77777777" w:rsidR="003B232C" w:rsidRDefault="003B232C" w:rsidP="00DC449A">
            <w:pPr>
              <w:pStyle w:val="NormalLeft"/>
            </w:pPr>
            <w:r>
              <w:t>Organizzazzjoni:</w:t>
            </w:r>
          </w:p>
          <w:p w14:paraId="685786A5" w14:textId="77777777" w:rsidR="003B232C" w:rsidRDefault="003B232C" w:rsidP="00DC449A">
            <w:pPr>
              <w:pStyle w:val="NormalLeft"/>
            </w:pPr>
            <w:r>
              <w:t>Pożizzjoni:</w:t>
            </w:r>
          </w:p>
          <w:p w14:paraId="00D55710" w14:textId="77777777" w:rsidR="003B232C" w:rsidRDefault="003B232C" w:rsidP="00DC449A">
            <w:pPr>
              <w:pStyle w:val="NormalLeft"/>
            </w:pPr>
            <w:r>
              <w:t>Indirizz:</w:t>
            </w:r>
          </w:p>
          <w:p w14:paraId="1379C29A" w14:textId="77777777" w:rsidR="003B232C" w:rsidRDefault="003B232C" w:rsidP="00DC449A">
            <w:pPr>
              <w:pStyle w:val="NormalLeft"/>
            </w:pPr>
            <w:r>
              <w:t>Nru tat-telefon:</w:t>
            </w:r>
          </w:p>
          <w:p w14:paraId="412B53DB" w14:textId="77777777" w:rsidR="003B232C" w:rsidRDefault="003B232C" w:rsidP="00DC449A">
            <w:pPr>
              <w:pStyle w:val="NormalLeft"/>
            </w:pPr>
            <w:r>
              <w:t>Email:</w:t>
            </w:r>
          </w:p>
          <w:p w14:paraId="363CC998" w14:textId="77777777" w:rsidR="003B232C" w:rsidRDefault="003B232C" w:rsidP="00DC449A">
            <w:pPr>
              <w:pStyle w:val="NormalLeft"/>
            </w:pPr>
            <w:r>
              <w:t>[“firma elettronika”/firma]</w:t>
            </w:r>
          </w:p>
        </w:tc>
      </w:tr>
    </w:tbl>
    <w:p w14:paraId="2DB202DF" w14:textId="77777777" w:rsidR="00C05225" w:rsidRDefault="00C05225" w:rsidP="003B232C">
      <w:pPr>
        <w:pStyle w:val="Annexetitreacte"/>
      </w:pPr>
    </w:p>
    <w:sectPr w:rsidR="00C05225" w:rsidSect="00C05225">
      <w:pgSz w:w="11906" w:h="16838"/>
      <w:pgMar w:top="1134" w:right="1418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ED3B9" w14:textId="77777777" w:rsidR="00915990" w:rsidRDefault="00915990">
      <w:pPr>
        <w:spacing w:before="0" w:after="0"/>
      </w:pPr>
      <w:r>
        <w:separator/>
      </w:r>
    </w:p>
  </w:endnote>
  <w:endnote w:type="continuationSeparator" w:id="0">
    <w:p w14:paraId="085C8ED1" w14:textId="77777777" w:rsidR="00915990" w:rsidRDefault="009159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A2D93" w14:textId="77777777" w:rsidR="0032378F" w:rsidRDefault="0032378F">
    <w:pPr>
      <w:pStyle w:val="Footer"/>
    </w:pP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ab/>
    </w:r>
    <w:fldSimple w:instr=" DOCPROPERTY &quot;Classification&quot; \* MERGEFORMAT ">
      <w:r>
        <w:t xml:space="preserve"> 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1843E" w14:textId="77777777" w:rsidR="00915990" w:rsidRDefault="00915990">
      <w:pPr>
        <w:spacing w:before="0" w:after="0"/>
      </w:pPr>
      <w:r>
        <w:separator/>
      </w:r>
    </w:p>
  </w:footnote>
  <w:footnote w:type="continuationSeparator" w:id="0">
    <w:p w14:paraId="299EAB3C" w14:textId="77777777" w:rsidR="00915990" w:rsidRDefault="00915990">
      <w:pPr>
        <w:spacing w:before="0" w:after="0"/>
      </w:pPr>
      <w:r>
        <w:continuationSeparator/>
      </w:r>
    </w:p>
  </w:footnote>
  <w:footnote w:id="1">
    <w:p w14:paraId="6088CEA8" w14:textId="77777777" w:rsidR="0014029C" w:rsidRDefault="0032378F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Ir-Regolament (UE) Nru 910/2014 tal-Parlament Ewropew u tal-Kunsill tat-23 ta’ Lulju 2014 dwar l-identifikazzjoni elettronika u s-servizzi fiduċjarji għal tranżazzjonijiet elettroniċi fis-suq intern u li jħassar id-Direttiva 1999/93/KE (ĠU L 257, 28.8.2014, p. 73).</w:t>
      </w:r>
    </w:p>
  </w:footnote>
  <w:footnote w:id="2">
    <w:p w14:paraId="7B6CF7B1" w14:textId="77777777" w:rsidR="0014029C" w:rsidRDefault="003B232C" w:rsidP="003B232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Ir-Regolament tal-Kunsill (KE) Nru 139/2004 tal-20 ta’ Jannar 2004 dwar il-kontroll ta’ konċentrazzjonijiet bejn impriżi (ir-“Regolament dwar l-Għaqdiet”), (ĠU L 24, 29.1.2004, p. 1).</w:t>
      </w:r>
    </w:p>
  </w:footnote>
  <w:footnote w:id="3">
    <w:p w14:paraId="1E673A63" w14:textId="77777777" w:rsidR="0014029C" w:rsidRDefault="003B232C" w:rsidP="003B232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ĠU L 119, 5.5.2023, p. 22.</w:t>
      </w:r>
    </w:p>
  </w:footnote>
  <w:footnote w:id="4">
    <w:p w14:paraId="7937AFD1" w14:textId="77777777" w:rsidR="0014029C" w:rsidRDefault="003B232C" w:rsidP="003B232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Ara b’mod partikolari l-Artikolu 57 tal-Ftehim ŻEE, il-punt 1 tal-Anness XIV tal-Ftehim ŻEE, il-Protokolli 21 u 24 tal-Ftehim ŻEE, (kollha disponibbli fis-sit EUR-Lex - 21994A0103(74) - EN - EUR-Lex (europa.eu)) ,kif ukoll il-Protokoll 4 tal-Ftehim bejn l-Istati tal-EFTA dwar l-istabbiliment ta’ Awtorità ta’ Sorveljanza u Qorti tal-Ġustizzja (minn hawn’ il quddiem “il-Ftehim dwar is-Sorveljanza u l-Qorti”), disponibbli fis-sit EUR-Lex - JOL_1994_344_R_0001_003 - EN - EUR-Lex (europa.eu) . Kwalunkwe referenza għall-Istati tal-EFTA trid tinftiehem li tfisser dawk l-Istati tal-EFTA li huma Partijiet Kontraenti għall-Ftehim ŻEE. Mill-1 ta’ Mejju 2004, dawk l-Istati huma l-Iżlanda, il-Liechtenstein u n-Norveġja.</w:t>
      </w:r>
    </w:p>
  </w:footnote>
  <w:footnote w:id="5">
    <w:p w14:paraId="6860EC8B" w14:textId="77777777" w:rsidR="0014029C" w:rsidRDefault="003B232C" w:rsidP="003B232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F’każ li l-partijiet rikjedenti jipprovdu informazzjoni skorretta jew qarrieqa fil-Formola RS, il-Kummissjoni tista’ wkoll tieħu l-azzjonijiet deskritti fl-Avviż tal-Kummissjoni dwar ir-rinviju ta’ kawża fir-rigward tal-konċentrazzjonijiet (“Avviż dwar ir-Rinviji”) (ĠU C 56, 5.3.2005, p. 2), il-punt 60, disponibbli fis-sit EUR-Lex - 52005XC0305(01) - EN - EUR-Lex (europa.eu).</w:t>
      </w:r>
    </w:p>
  </w:footnote>
  <w:footnote w:id="6">
    <w:p w14:paraId="695F8801" w14:textId="77777777" w:rsidR="0014029C" w:rsidRDefault="003B232C" w:rsidP="003B232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B’mod partikolari għandek tara l-Artikolu 122 tal-Ftehim ŻEE, l-Artikolu 9 tal-Protokoll 24 għall-Ftehim ŻEE u l-Artikolu 17(2) tal-Kapitolu XIII tal-Protokoll 4 għall-Ftehim ta’ Sorveljanza u Qorti.</w:t>
      </w:r>
    </w:p>
  </w:footnote>
  <w:footnote w:id="7">
    <w:p w14:paraId="10F183B4" w14:textId="77777777" w:rsidR="0014029C" w:rsidRDefault="003B232C" w:rsidP="003B232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ĠU L 295, 21.11.2018, p. 39, disponibbli hawn: Ara wkoll l-istqarrija ta’ privatezza relatata mal-investigazzjonijiet dwar l-Għaqdiet fuq https://ec.europa.eu/competition-policy/index/privacy-policy-competition-investigations_en.</w:t>
      </w:r>
    </w:p>
  </w:footnote>
  <w:footnote w:id="8">
    <w:p w14:paraId="1C56551A" w14:textId="77777777" w:rsidR="0014029C" w:rsidRDefault="003B232C" w:rsidP="003B232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Il-prodotti li għadhom qegħdin jiġu żviluppati huma prodotti li x’aktarx jitqiegħdu fis-suq fuq perjodu ta’ żmien qasir jew medju. “Il-prodotti f’fażi ta’ żvilupp” tkopri wkoll is-servizzi.</w:t>
      </w:r>
    </w:p>
  </w:footnote>
  <w:footnote w:id="9">
    <w:p w14:paraId="370B8F94" w14:textId="77777777" w:rsidR="0014029C" w:rsidRDefault="003B232C" w:rsidP="003B232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Is-sovrappożizzjonijiet orizzontali li jinvolvu prodotti li għadhom qegħdin jiġu żviluppati jinkludu sovrappożizzjonijiet bejn prodotti li għadhom qegħdin jiġu żviluppati u sovrappożizzjonijiet bejn prodott jew prodotti kummerċjalizzati u prodott jew prodotti li għadhom qegħdin jiġu żviluppati.</w:t>
      </w:r>
    </w:p>
  </w:footnote>
  <w:footnote w:id="10">
    <w:p w14:paraId="518FDF08" w14:textId="77777777" w:rsidR="0014029C" w:rsidRDefault="003B232C" w:rsidP="003B232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Ir-relazzjonijiet vertikali li jinvolvu l-prodotti li għadhom qegħdin jiġu żviluppati jinkludu relazzjonijiet bejn prodotti li għadhom qegħdin jiġu żviluppati u relazzjonijiet bejn prodott jew prodotti kummerċjalizzati u prodott jew prodotti li għadhom qegħdin jiġu żviluppati.</w:t>
      </w:r>
    </w:p>
  </w:footnote>
  <w:footnote w:id="11">
    <w:p w14:paraId="176C0D93" w14:textId="77777777" w:rsidR="0014029C" w:rsidRDefault="003B232C" w:rsidP="003B232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Avviż tal-Kummissjoni dwar trattament simplifikat ta’ ċerti konċentrazzjonijiet skont ir-Regolament tal-Kunsill (KE) Nru 139/2004 (ĠU C 160, C/2023/2401, 5.5.2023, p. 1), (l-‘Avviż dwar il-Proċedura Simplifikata’).</w:t>
      </w:r>
    </w:p>
  </w:footnote>
  <w:footnote w:id="12">
    <w:p w14:paraId="275187D0" w14:textId="77777777" w:rsidR="0014029C" w:rsidRDefault="003B232C" w:rsidP="003B232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Dan jinkludi l-kumpanija li hija l-oġġett fil-każ ta’ offerta kkontestata, f’liema każ għandhom jingħataw kemm jista’ jkun dettalji.</w:t>
      </w:r>
    </w:p>
  </w:footnote>
  <w:footnote w:id="13">
    <w:p w14:paraId="7DD3EE02" w14:textId="77777777" w:rsidR="0014029C" w:rsidRDefault="003B232C" w:rsidP="003B232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Ara l-mudell tad-dokument ta’ prokura fuq https://ec.europa.eu/competition/mergers/legislation/power_of_attorney_template_en.docx.</w:t>
      </w:r>
    </w:p>
  </w:footnote>
  <w:footnote w:id="14">
    <w:p w14:paraId="465EAC73" w14:textId="77777777" w:rsidR="0014029C" w:rsidRDefault="003B232C" w:rsidP="003B232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Avviż Ġuriżdizzjonali Konsolidat tal-Kummissjoni skont ir-Regolament tal-Kunsill (KE) Nru 139/2004 dwar il-kontroll ta’ konċentrazzjonijiet bejn l-impriżi (“Avviż Ġuriżdizzjonali Konsolidat tal-Kummissjoni”), (ĠU C 95, 16.4.2008, p. 1), disponibbli fuq EUR-Lex - 52008XC0416(08) - EN - EUR-Lex (europa.eu).</w:t>
      </w:r>
    </w:p>
  </w:footnote>
  <w:footnote w:id="15">
    <w:p w14:paraId="390A9D02" w14:textId="77777777" w:rsidR="0014029C" w:rsidRDefault="003B232C" w:rsidP="003B232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Ara t-Taqsima B IV tal-Avviż Ġuriżdizzjonali Konsolidat tal-Kummissjoni.</w:t>
      </w:r>
    </w:p>
  </w:footnote>
  <w:footnote w:id="16">
    <w:p w14:paraId="67361869" w14:textId="77777777" w:rsidR="0014029C" w:rsidRDefault="003B232C" w:rsidP="003B232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Dwar il-kunċetti ta’ “impriża kkonċernata” u l-kalkolu tal-valur tal-bejgħ, ara l-avviż Ġuriżdizzjonali Konsolidat tal-Kummissjoni.</w:t>
      </w:r>
    </w:p>
  </w:footnote>
  <w:footnote w:id="17">
    <w:p w14:paraId="21536750" w14:textId="77777777" w:rsidR="0014029C" w:rsidRDefault="003B232C" w:rsidP="003B232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Ara l-Avviż tal-Kummissjoni dwar id-definizzjoni tas-suq rilevanti għall-finijiet tal-liġi tal-kompetizzjoni tal-Komunità, (ĠU C 372, 9.12.1997, p. 5), disponibbli fis-sit .</w:t>
      </w:r>
    </w:p>
  </w:footnote>
  <w:footnote w:id="18">
    <w:p w14:paraId="17AF2282" w14:textId="77777777" w:rsidR="0014029C" w:rsidRDefault="003B232C" w:rsidP="003B232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Matul il-kuntatti ta’ qabel in-notifika, il-partijiet rikjedenti għandhom jiżvelaw informazzjoni relatata mas-swieq kollha potenzjalment affettwati anki jekk fl-aħħar mill-aħħar iqisu li dawn is-swieq mhumiex affettwati u minkejja li l-partijiet rikjedenti jistgħu jieħdu opinjoni partikolari fir-rigward tal-kwistjoni tad-definizzjoni tas-suq.</w:t>
      </w:r>
    </w:p>
  </w:footnote>
  <w:footnote w:id="19">
    <w:p w14:paraId="34CBA2C7" w14:textId="77777777" w:rsidR="0014029C" w:rsidRDefault="003B232C" w:rsidP="003B232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Il-valur u l-volum ta’ suq għandhom jirriflettu l-produzzjoni mingħajr l-esportazzjonijiet flimkien mal-importazzjonijiet għaż-żoni ġeografiċi li jkunu qed jiġu kkunsidrati.</w:t>
      </w:r>
    </w:p>
  </w:footnote>
  <w:footnote w:id="20">
    <w:p w14:paraId="03308610" w14:textId="77777777" w:rsidR="0014029C" w:rsidRDefault="003B232C" w:rsidP="003B232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Għad-definizzjonijiet tas-swieq irreferi għat-Taqsima 3.</w:t>
      </w:r>
    </w:p>
  </w:footnote>
  <w:footnote w:id="21">
    <w:p w14:paraId="7793B826" w14:textId="77777777" w:rsidR="0014029C" w:rsidRDefault="003B232C" w:rsidP="003B232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Għall-prinċipji ta’ gwida tar-rinviju ta’ każijiet, ara l-Avviż dwar ir-Rinviji, il-punt 17 u n-nota ta’ qiegħ il-paġna 21.</w:t>
      </w:r>
    </w:p>
  </w:footnote>
  <w:footnote w:id="22">
    <w:p w14:paraId="790C8DAD" w14:textId="77777777" w:rsidR="0014029C" w:rsidRDefault="003B232C" w:rsidP="003B232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Għall-prinċipji ta’ gwida tar-rinviji ta’ każijiet, ara l-Avviż dwar ir-Rinviji, il-punt 28.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1" w15:restartNumberingAfterBreak="0">
    <w:nsid w:val="4321140B"/>
    <w:multiLevelType w:val="singleLevel"/>
    <w:tmpl w:val="FFFFFFFF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</w:abstractNum>
  <w:abstractNum w:abstractNumId="12" w15:restartNumberingAfterBreak="0">
    <w:nsid w:val="53564C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" w15:restartNumberingAfterBreak="0">
    <w:nsid w:val="5CBB39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 w16cid:durableId="1472165245">
    <w:abstractNumId w:val="9"/>
  </w:num>
  <w:num w:numId="2" w16cid:durableId="103883891">
    <w:abstractNumId w:val="7"/>
  </w:num>
  <w:num w:numId="3" w16cid:durableId="204218650">
    <w:abstractNumId w:val="6"/>
  </w:num>
  <w:num w:numId="4" w16cid:durableId="169688705">
    <w:abstractNumId w:val="5"/>
  </w:num>
  <w:num w:numId="5" w16cid:durableId="591403545">
    <w:abstractNumId w:val="4"/>
  </w:num>
  <w:num w:numId="6" w16cid:durableId="1689603349">
    <w:abstractNumId w:val="8"/>
  </w:num>
  <w:num w:numId="7" w16cid:durableId="1900362567">
    <w:abstractNumId w:val="3"/>
  </w:num>
  <w:num w:numId="8" w16cid:durableId="1343044433">
    <w:abstractNumId w:val="2"/>
  </w:num>
  <w:num w:numId="9" w16cid:durableId="1401752679">
    <w:abstractNumId w:val="1"/>
  </w:num>
  <w:num w:numId="10" w16cid:durableId="2031908789">
    <w:abstractNumId w:val="0"/>
  </w:num>
  <w:num w:numId="11" w16cid:durableId="798648995">
    <w:abstractNumId w:val="13"/>
  </w:num>
  <w:num w:numId="12" w16cid:durableId="1110468292">
    <w:abstractNumId w:val="12"/>
  </w:num>
  <w:num w:numId="13" w16cid:durableId="1063021881">
    <w:abstractNumId w:val="11"/>
  </w:num>
  <w:num w:numId="14" w16cid:durableId="2129810235">
    <w:abstractNumId w:val="1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15" w16cid:durableId="1136605359">
    <w:abstractNumId w:val="11"/>
  </w:num>
  <w:num w:numId="16" w16cid:durableId="1265921313">
    <w:abstractNumId w:val="1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embedSystemFonts/>
  <w:attachedTemplate r:id="rId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docVars>
    <w:docVar w:name="CR_Ref0" w:val="2776/2024"/>
    <w:docVar w:name="CR_RefCount" w:val="1"/>
    <w:docVar w:name="DQCStatus" w:val="Red"/>
    <w:docVar w:name="LW_DocType" w:val="COM"/>
  </w:docVars>
  <w:rsids>
    <w:rsidRoot w:val="00F3031F"/>
    <w:rsid w:val="00100A58"/>
    <w:rsid w:val="0014029C"/>
    <w:rsid w:val="0032378F"/>
    <w:rsid w:val="003B232C"/>
    <w:rsid w:val="00915990"/>
    <w:rsid w:val="00C05225"/>
    <w:rsid w:val="00DC449A"/>
    <w:rsid w:val="00F3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3AC9A1"/>
  <w14:defaultImageDpi w14:val="0"/>
  <w15:docId w15:val="{5A177A3B-EF02-4D56-A081-AD6C9BEB1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IE" w:eastAsia="en-IE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before="120" w:after="120" w:line="240" w:lineRule="auto"/>
      <w:jc w:val="both"/>
    </w:pPr>
    <w:rPr>
      <w:rFonts w:ascii="Times New Roman" w:hAnsi="Times New Roman"/>
      <w:kern w:val="0"/>
      <w:lang w:val="fr-FR"/>
    </w:rPr>
  </w:style>
  <w:style w:type="paragraph" w:styleId="Heading1">
    <w:name w:val="heading 1"/>
    <w:basedOn w:val="Normal"/>
    <w:next w:val="Text1"/>
    <w:link w:val="Heading1Char"/>
    <w:uiPriority w:val="99"/>
    <w:qFormat/>
    <w:pPr>
      <w:keepNext/>
      <w:numPr>
        <w:numId w:val="11"/>
      </w:numPr>
      <w:spacing w:before="36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link w:val="Heading2Char"/>
    <w:uiPriority w:val="99"/>
    <w:qFormat/>
    <w:pPr>
      <w:keepNext/>
      <w:numPr>
        <w:ilvl w:val="1"/>
        <w:numId w:val="11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link w:val="Heading3Char"/>
    <w:uiPriority w:val="99"/>
    <w:qFormat/>
    <w:pPr>
      <w:keepNext/>
      <w:numPr>
        <w:ilvl w:val="2"/>
        <w:numId w:val="11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link w:val="Heading4Char"/>
    <w:uiPriority w:val="99"/>
    <w:qFormat/>
    <w:pPr>
      <w:keepNext/>
      <w:numPr>
        <w:ilvl w:val="3"/>
        <w:numId w:val="11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="Times New Roman"/>
      <w:b/>
      <w:bCs/>
      <w:kern w:val="32"/>
      <w:sz w:val="32"/>
      <w:szCs w:val="32"/>
      <w:lang w:val="fr-FR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="Times New Roman"/>
      <w:b/>
      <w:bCs/>
      <w:i/>
      <w:iCs/>
      <w:kern w:val="0"/>
      <w:sz w:val="28"/>
      <w:szCs w:val="28"/>
      <w:lang w:val="fr-FR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="Times New Roman"/>
      <w:b/>
      <w:bCs/>
      <w:kern w:val="0"/>
      <w:sz w:val="26"/>
      <w:szCs w:val="26"/>
      <w:lang w:val="fr-FR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="Times New Roman"/>
      <w:b/>
      <w:bCs/>
      <w:kern w:val="0"/>
      <w:sz w:val="28"/>
      <w:szCs w:val="28"/>
      <w:lang w:val="fr-FR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cs="Times New Roman"/>
      <w:b/>
      <w:bCs/>
      <w:i/>
      <w:iCs/>
      <w:kern w:val="0"/>
      <w:sz w:val="26"/>
      <w:szCs w:val="26"/>
      <w:lang w:val="fr-FR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="Times New Roman"/>
      <w:b/>
      <w:bCs/>
      <w:kern w:val="0"/>
      <w:sz w:val="22"/>
      <w:szCs w:val="22"/>
      <w:lang w:val="fr-FR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cs="Times New Roman"/>
      <w:kern w:val="0"/>
      <w:lang w:val="fr-FR" w:eastAsia="x-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cs="Times New Roman"/>
      <w:i/>
      <w:iCs/>
      <w:kern w:val="0"/>
      <w:lang w:val="fr-FR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="Times New Roman"/>
      <w:kern w:val="0"/>
      <w:sz w:val="22"/>
      <w:szCs w:val="22"/>
      <w:lang w:val="fr-FR" w:eastAsia="x-none"/>
    </w:rPr>
  </w:style>
  <w:style w:type="paragraph" w:customStyle="1" w:styleId="Text1">
    <w:name w:val="Text 1"/>
    <w:basedOn w:val="Normal"/>
    <w:uiPriority w:val="99"/>
    <w:pPr>
      <w:ind w:left="851"/>
    </w:pPr>
  </w:style>
  <w:style w:type="paragraph" w:customStyle="1" w:styleId="Text2">
    <w:name w:val="Text 2"/>
    <w:basedOn w:val="Normal"/>
    <w:uiPriority w:val="99"/>
    <w:pPr>
      <w:ind w:left="851"/>
    </w:pPr>
  </w:style>
  <w:style w:type="paragraph" w:customStyle="1" w:styleId="Text3">
    <w:name w:val="Text 3"/>
    <w:basedOn w:val="Normal"/>
    <w:uiPriority w:val="99"/>
    <w:pPr>
      <w:ind w:left="851"/>
    </w:pPr>
  </w:style>
  <w:style w:type="paragraph" w:customStyle="1" w:styleId="Text4">
    <w:name w:val="Text 4"/>
    <w:basedOn w:val="Normal"/>
    <w:uiPriority w:val="99"/>
    <w:pPr>
      <w:ind w:left="851"/>
    </w:pPr>
  </w:style>
  <w:style w:type="paragraph" w:customStyle="1" w:styleId="Annexetitreacte">
    <w:name w:val="Annex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global">
    <w:name w:val="Annexe titre (exposé 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">
    <w:name w:val="Annexe titre (exposé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acte">
    <w:name w:val="Annexe titre (fiche fin. 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globale">
    <w:name w:val="Annexe titre (fiche fin. 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globale">
    <w:name w:val="Annexe titre (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pplicationdirecte">
    <w:name w:val="Application directe"/>
    <w:basedOn w:val="Normal"/>
    <w:next w:val="Fait"/>
    <w:uiPriority w:val="99"/>
    <w:pPr>
      <w:spacing w:before="480"/>
    </w:pPr>
  </w:style>
  <w:style w:type="paragraph" w:customStyle="1" w:styleId="Fait">
    <w:name w:val="Fait à"/>
    <w:basedOn w:val="Normal"/>
    <w:next w:val="Institutionquisigne"/>
    <w:uiPriority w:val="99"/>
    <w:pPr>
      <w:keepNext/>
      <w:spacing w:after="0"/>
    </w:pPr>
  </w:style>
  <w:style w:type="paragraph" w:customStyle="1" w:styleId="Institutionquisigne">
    <w:name w:val="Institution qui signe"/>
    <w:basedOn w:val="Normal"/>
    <w:next w:val="Personnequisigne"/>
    <w:uiPriority w:val="99"/>
    <w:pPr>
      <w:keepNext/>
      <w:tabs>
        <w:tab w:val="left" w:pos="4253"/>
      </w:tabs>
      <w:spacing w:before="720" w:after="0"/>
    </w:pPr>
    <w:rPr>
      <w:i/>
      <w:iCs/>
    </w:rPr>
  </w:style>
  <w:style w:type="paragraph" w:customStyle="1" w:styleId="Personnequisigne">
    <w:name w:val="Personne qui signe"/>
    <w:basedOn w:val="Normal"/>
    <w:next w:val="Institutionquisigne"/>
    <w:uiPriority w:val="99"/>
    <w:pPr>
      <w:tabs>
        <w:tab w:val="left" w:pos="4253"/>
      </w:tabs>
      <w:spacing w:before="0" w:after="0"/>
      <w:jc w:val="left"/>
    </w:pPr>
    <w:rPr>
      <w:i/>
      <w:iCs/>
    </w:rPr>
  </w:style>
  <w:style w:type="paragraph" w:styleId="Caption">
    <w:name w:val="caption"/>
    <w:basedOn w:val="Normal"/>
    <w:next w:val="Normal"/>
    <w:uiPriority w:val="99"/>
    <w:qFormat/>
    <w:rPr>
      <w:b/>
      <w:bCs/>
    </w:rPr>
  </w:style>
  <w:style w:type="paragraph" w:customStyle="1" w:styleId="ChapterTitle">
    <w:name w:val="ChapterTitle"/>
    <w:basedOn w:val="Normal"/>
    <w:next w:val="Normal"/>
    <w:uiPriority w:val="99"/>
    <w:pPr>
      <w:keepNext/>
      <w:spacing w:after="360"/>
      <w:jc w:val="center"/>
    </w:pPr>
    <w:rPr>
      <w:b/>
      <w:bCs/>
      <w:sz w:val="32"/>
      <w:szCs w:val="32"/>
    </w:rPr>
  </w:style>
  <w:style w:type="character" w:styleId="CommentReference">
    <w:name w:val="annotation reference"/>
    <w:basedOn w:val="DefaultParagraphFont"/>
    <w:uiPriority w:val="9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kern w:val="0"/>
      <w:sz w:val="20"/>
      <w:szCs w:val="20"/>
      <w:lang w:val="fr-FR" w:eastAsia="x-none"/>
    </w:rPr>
  </w:style>
  <w:style w:type="paragraph" w:customStyle="1" w:styleId="Confidence">
    <w:name w:val="Confidence"/>
    <w:basedOn w:val="Normal"/>
    <w:next w:val="Normal"/>
    <w:uiPriority w:val="99"/>
    <w:pPr>
      <w:spacing w:before="360"/>
      <w:jc w:val="center"/>
    </w:pPr>
  </w:style>
  <w:style w:type="paragraph" w:customStyle="1" w:styleId="Corrigendum">
    <w:name w:val="Corrigendum"/>
    <w:basedOn w:val="Normal"/>
    <w:next w:val="Normal"/>
    <w:uiPriority w:val="99"/>
    <w:pPr>
      <w:spacing w:before="0" w:after="240"/>
      <w:jc w:val="left"/>
    </w:pPr>
  </w:style>
  <w:style w:type="paragraph" w:customStyle="1" w:styleId="Emission">
    <w:name w:val="Emission"/>
    <w:basedOn w:val="Normal"/>
    <w:next w:val="Rfrenceinstitutionelle"/>
    <w:uiPriority w:val="99"/>
    <w:pPr>
      <w:spacing w:before="0" w:after="0"/>
      <w:ind w:left="5103"/>
      <w:jc w:val="left"/>
    </w:pPr>
  </w:style>
  <w:style w:type="paragraph" w:customStyle="1" w:styleId="Rfrenceinstitutionelle">
    <w:name w:val="Référence institutionelle"/>
    <w:basedOn w:val="Normal"/>
    <w:next w:val="Statut"/>
    <w:uiPriority w:val="99"/>
    <w:pPr>
      <w:spacing w:before="0" w:after="240"/>
      <w:ind w:left="5103"/>
      <w:jc w:val="left"/>
    </w:pPr>
  </w:style>
  <w:style w:type="paragraph" w:customStyle="1" w:styleId="Statut">
    <w:name w:val="Statut"/>
    <w:basedOn w:val="Normal"/>
    <w:next w:val="Typedudocument"/>
    <w:uiPriority w:val="99"/>
    <w:pPr>
      <w:spacing w:before="360" w:after="0"/>
      <w:jc w:val="center"/>
    </w:pPr>
  </w:style>
  <w:style w:type="paragraph" w:customStyle="1" w:styleId="Typedudocument">
    <w:name w:val="Type du document"/>
    <w:basedOn w:val="Normal"/>
    <w:next w:val="Datedadoption"/>
    <w:uiPriority w:val="99"/>
    <w:pPr>
      <w:spacing w:before="360" w:after="0"/>
      <w:jc w:val="center"/>
    </w:pPr>
    <w:rPr>
      <w:b/>
      <w:bCs/>
    </w:rPr>
  </w:style>
  <w:style w:type="paragraph" w:customStyle="1" w:styleId="Datedadoption">
    <w:name w:val="Date d'adoption"/>
    <w:basedOn w:val="Normal"/>
    <w:next w:val="Titreobjet"/>
    <w:uiPriority w:val="99"/>
    <w:pPr>
      <w:spacing w:before="360" w:after="0"/>
      <w:jc w:val="center"/>
    </w:pPr>
    <w:rPr>
      <w:b/>
      <w:bCs/>
    </w:rPr>
  </w:style>
  <w:style w:type="paragraph" w:customStyle="1" w:styleId="Titreobjet">
    <w:name w:val="Titre objet"/>
    <w:basedOn w:val="Normal"/>
    <w:next w:val="Sous-titreobjet"/>
    <w:uiPriority w:val="99"/>
    <w:pPr>
      <w:spacing w:before="360" w:after="360"/>
      <w:jc w:val="center"/>
    </w:pPr>
    <w:rPr>
      <w:b/>
      <w:bCs/>
    </w:rPr>
  </w:style>
  <w:style w:type="paragraph" w:customStyle="1" w:styleId="Sous-titreobjet">
    <w:name w:val="Sous-titre objet"/>
    <w:basedOn w:val="Titreobjet"/>
    <w:uiPriority w:val="99"/>
    <w:pPr>
      <w:spacing w:before="0" w:after="0"/>
    </w:pPr>
  </w:style>
  <w:style w:type="paragraph" w:customStyle="1" w:styleId="Exposdesmotifstitre">
    <w:name w:val="Exposé des motifs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Exposdesmotifstitreglobal">
    <w:name w:val="Exposé des motifs titre (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dimpactPMEtitre">
    <w:name w:val="Fiche d'impact PME titre"/>
    <w:basedOn w:val="Normal"/>
    <w:next w:val="Normal"/>
    <w:uiPriority w:val="99"/>
    <w:pPr>
      <w:jc w:val="center"/>
    </w:pPr>
    <w:rPr>
      <w:b/>
      <w:bCs/>
    </w:rPr>
  </w:style>
  <w:style w:type="paragraph" w:customStyle="1" w:styleId="Fichefinanciretextetable">
    <w:name w:val="Fiche financière texte (table)"/>
    <w:basedOn w:val="Normal"/>
    <w:uiPriority w:val="99"/>
    <w:pPr>
      <w:spacing w:before="0" w:after="0"/>
      <w:jc w:val="left"/>
    </w:pPr>
    <w:rPr>
      <w:sz w:val="20"/>
      <w:szCs w:val="20"/>
    </w:rPr>
  </w:style>
  <w:style w:type="paragraph" w:customStyle="1" w:styleId="Fichefinanciretitre">
    <w:name w:val="Fiche financière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actetable">
    <w:name w:val="Fiche financière titre (acte table)"/>
    <w:basedOn w:val="Normal"/>
    <w:next w:val="Normal"/>
    <w:uiPriority w:val="99"/>
    <w:pPr>
      <w:jc w:val="center"/>
    </w:pPr>
    <w:rPr>
      <w:b/>
      <w:bCs/>
      <w:sz w:val="40"/>
      <w:szCs w:val="40"/>
    </w:rPr>
  </w:style>
  <w:style w:type="paragraph" w:customStyle="1" w:styleId="Fichefinanciretitreacte">
    <w:name w:val="Fiche financièr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table">
    <w:name w:val="Fiche financière titre (table)"/>
    <w:basedOn w:val="Normal"/>
    <w:uiPriority w:val="99"/>
    <w:pPr>
      <w:jc w:val="center"/>
    </w:pPr>
    <w:rPr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before="360" w:after="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Times New Roman" w:hAnsi="Times New Roman" w:cs="Times New Roman"/>
      <w:kern w:val="0"/>
      <w:lang w:val="fr-FR" w:eastAsia="x-none"/>
    </w:rPr>
  </w:style>
  <w:style w:type="character" w:styleId="FootnoteReference">
    <w:name w:val="footnote reference"/>
    <w:basedOn w:val="DefaultParagraphFont"/>
    <w:uiPriority w:val="99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kern w:val="0"/>
      <w:sz w:val="20"/>
      <w:szCs w:val="20"/>
      <w:lang w:val="fr-FR" w:eastAsia="x-none"/>
    </w:rPr>
  </w:style>
  <w:style w:type="paragraph" w:customStyle="1" w:styleId="Formuledadoption">
    <w:name w:val="Formule d'adoption"/>
    <w:basedOn w:val="Normal"/>
    <w:next w:val="Titrearticle"/>
    <w:uiPriority w:val="99"/>
    <w:pPr>
      <w:keepNext/>
    </w:pPr>
  </w:style>
  <w:style w:type="paragraph" w:customStyle="1" w:styleId="Titrearticle">
    <w:name w:val="Titre article"/>
    <w:basedOn w:val="Normal"/>
    <w:next w:val="Normal"/>
    <w:uiPriority w:val="99"/>
    <w:pPr>
      <w:keepNext/>
      <w:spacing w:before="360"/>
      <w:jc w:val="center"/>
    </w:pPr>
    <w:rPr>
      <w:i/>
      <w:iCs/>
    </w:rPr>
  </w:style>
  <w:style w:type="paragraph" w:styleId="Header">
    <w:name w:val="header"/>
    <w:basedOn w:val="Normal"/>
    <w:link w:val="HeaderChar"/>
    <w:uiPriority w:val="99"/>
    <w:pPr>
      <w:tabs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 New Roman" w:hAnsi="Times New Roman" w:cs="Times New Roman"/>
      <w:kern w:val="0"/>
      <w:lang w:val="fr-FR" w:eastAsia="x-none"/>
    </w:rPr>
  </w:style>
  <w:style w:type="paragraph" w:customStyle="1" w:styleId="Institutionquiagit">
    <w:name w:val="Institution qui agit"/>
    <w:basedOn w:val="Normal"/>
    <w:next w:val="Normal"/>
    <w:uiPriority w:val="99"/>
    <w:pPr>
      <w:keepNext/>
      <w:spacing w:before="600"/>
    </w:pPr>
  </w:style>
  <w:style w:type="paragraph" w:customStyle="1" w:styleId="Langue">
    <w:name w:val="Langue"/>
    <w:basedOn w:val="Normal"/>
    <w:next w:val="Rfrenceinterne"/>
    <w:uiPriority w:val="99"/>
    <w:pPr>
      <w:spacing w:before="0" w:after="600"/>
      <w:jc w:val="center"/>
    </w:pPr>
    <w:rPr>
      <w:b/>
      <w:bCs/>
      <w:caps/>
    </w:rPr>
  </w:style>
  <w:style w:type="paragraph" w:customStyle="1" w:styleId="Rfrenceinterne">
    <w:name w:val="Référence interne"/>
    <w:basedOn w:val="Normal"/>
    <w:next w:val="Nomdelinstitution"/>
    <w:uiPriority w:val="99"/>
    <w:pPr>
      <w:spacing w:before="0" w:after="600"/>
      <w:jc w:val="center"/>
    </w:pPr>
    <w:rPr>
      <w:b/>
      <w:bCs/>
    </w:rPr>
  </w:style>
  <w:style w:type="paragraph" w:customStyle="1" w:styleId="Nomdelinstitution">
    <w:name w:val="Nom de l'institution"/>
    <w:basedOn w:val="Normal"/>
    <w:next w:val="Emission"/>
    <w:uiPriority w:val="99"/>
    <w:pPr>
      <w:spacing w:before="0" w:after="0"/>
      <w:jc w:val="left"/>
    </w:pPr>
    <w:rPr>
      <w:rFonts w:ascii="Arial" w:hAnsi="Arial" w:cs="Arial"/>
    </w:rPr>
  </w:style>
  <w:style w:type="paragraph" w:customStyle="1" w:styleId="Langueoriginale">
    <w:name w:val="Langue originale"/>
    <w:basedOn w:val="Normal"/>
    <w:next w:val="Phrasefinale"/>
    <w:uiPriority w:val="99"/>
    <w:pPr>
      <w:spacing w:before="360"/>
      <w:jc w:val="center"/>
    </w:pPr>
    <w:rPr>
      <w:caps/>
    </w:rPr>
  </w:style>
  <w:style w:type="paragraph" w:customStyle="1" w:styleId="Phrasefinale">
    <w:name w:val="Phrase finale"/>
    <w:basedOn w:val="Normal"/>
    <w:next w:val="Normal"/>
    <w:uiPriority w:val="99"/>
    <w:pPr>
      <w:spacing w:before="360" w:after="0"/>
      <w:jc w:val="center"/>
    </w:pPr>
  </w:style>
  <w:style w:type="paragraph" w:customStyle="1" w:styleId="ManualHeading1">
    <w:name w:val="Manual Heading 1"/>
    <w:basedOn w:val="Heading1"/>
    <w:next w:val="Text1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2">
    <w:name w:val="Manual Heading 2"/>
    <w:basedOn w:val="Heading2"/>
    <w:next w:val="Text2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3">
    <w:name w:val="Manual Heading 3"/>
    <w:basedOn w:val="Heading3"/>
    <w:next w:val="Text3"/>
    <w:uiPriority w:val="99"/>
    <w:pPr>
      <w:tabs>
        <w:tab w:val="clear" w:pos="850"/>
        <w:tab w:val="num" w:pos="851"/>
      </w:tabs>
    </w:pPr>
  </w:style>
  <w:style w:type="paragraph" w:customStyle="1" w:styleId="ManualHeading4">
    <w:name w:val="Manual Heading 4"/>
    <w:basedOn w:val="Heading4"/>
    <w:next w:val="Text4"/>
    <w:uiPriority w:val="99"/>
    <w:pPr>
      <w:tabs>
        <w:tab w:val="clear" w:pos="850"/>
        <w:tab w:val="num" w:pos="851"/>
      </w:tabs>
    </w:pPr>
  </w:style>
  <w:style w:type="paragraph" w:customStyle="1" w:styleId="ManualNumPar1">
    <w:name w:val="Manual NumPar 1"/>
    <w:basedOn w:val="Normal"/>
    <w:next w:val="Text1"/>
    <w:uiPriority w:val="99"/>
    <w:pPr>
      <w:ind w:left="851" w:hanging="851"/>
    </w:pPr>
  </w:style>
  <w:style w:type="paragraph" w:customStyle="1" w:styleId="ManualNumPar2">
    <w:name w:val="Manual NumPar 2"/>
    <w:basedOn w:val="Normal"/>
    <w:next w:val="Text2"/>
    <w:uiPriority w:val="99"/>
    <w:pPr>
      <w:ind w:left="851" w:hanging="851"/>
    </w:pPr>
  </w:style>
  <w:style w:type="paragraph" w:customStyle="1" w:styleId="ManualNumPar3">
    <w:name w:val="Manual NumPar 3"/>
    <w:basedOn w:val="Normal"/>
    <w:next w:val="Text3"/>
    <w:uiPriority w:val="99"/>
    <w:pPr>
      <w:ind w:left="851" w:hanging="851"/>
    </w:pPr>
  </w:style>
  <w:style w:type="paragraph" w:customStyle="1" w:styleId="ManualNumPar4">
    <w:name w:val="Manual NumPar 4"/>
    <w:basedOn w:val="Normal"/>
    <w:next w:val="Text4"/>
    <w:uiPriority w:val="99"/>
    <w:pPr>
      <w:ind w:left="851" w:hanging="851"/>
    </w:pPr>
  </w:style>
  <w:style w:type="character" w:customStyle="1" w:styleId="Marker">
    <w:name w:val="Marker"/>
    <w:basedOn w:val="DefaultParagraphFont"/>
    <w:uiPriority w:val="99"/>
    <w:rPr>
      <w:rFonts w:cs="Times New Roman"/>
      <w:color w:val="0000FF"/>
    </w:rPr>
  </w:style>
  <w:style w:type="paragraph" w:customStyle="1" w:styleId="NormalCentered">
    <w:name w:val="Normal Centered"/>
    <w:basedOn w:val="Normal"/>
    <w:uiPriority w:val="99"/>
    <w:pPr>
      <w:jc w:val="center"/>
    </w:pPr>
  </w:style>
  <w:style w:type="paragraph" w:customStyle="1" w:styleId="NormalLeft">
    <w:name w:val="Normal Left"/>
    <w:basedOn w:val="Normal"/>
    <w:uiPriority w:val="99"/>
    <w:pPr>
      <w:jc w:val="left"/>
    </w:pPr>
  </w:style>
  <w:style w:type="paragraph" w:customStyle="1" w:styleId="NormalRight">
    <w:name w:val="Normal Right"/>
    <w:basedOn w:val="Normal"/>
    <w:uiPriority w:val="99"/>
    <w:pPr>
      <w:jc w:val="right"/>
    </w:pPr>
  </w:style>
  <w:style w:type="paragraph" w:customStyle="1" w:styleId="NumPar1">
    <w:name w:val="NumPar 1"/>
    <w:basedOn w:val="Normal"/>
    <w:next w:val="Text1"/>
    <w:uiPriority w:val="99"/>
    <w:pPr>
      <w:numPr>
        <w:numId w:val="12"/>
      </w:numPr>
    </w:pPr>
  </w:style>
  <w:style w:type="paragraph" w:customStyle="1" w:styleId="NumPar2">
    <w:name w:val="NumPar 2"/>
    <w:basedOn w:val="Normal"/>
    <w:next w:val="Text2"/>
    <w:uiPriority w:val="99"/>
    <w:pPr>
      <w:numPr>
        <w:ilvl w:val="1"/>
        <w:numId w:val="12"/>
      </w:numPr>
    </w:pPr>
  </w:style>
  <w:style w:type="paragraph" w:customStyle="1" w:styleId="NumPar3">
    <w:name w:val="NumPar 3"/>
    <w:basedOn w:val="Normal"/>
    <w:next w:val="Text3"/>
    <w:uiPriority w:val="99"/>
    <w:pPr>
      <w:numPr>
        <w:ilvl w:val="2"/>
        <w:numId w:val="12"/>
      </w:numPr>
    </w:pPr>
  </w:style>
  <w:style w:type="paragraph" w:customStyle="1" w:styleId="NumPar4">
    <w:name w:val="NumPar 4"/>
    <w:basedOn w:val="Normal"/>
    <w:next w:val="Text4"/>
    <w:uiPriority w:val="99"/>
    <w:pPr>
      <w:numPr>
        <w:ilvl w:val="3"/>
        <w:numId w:val="12"/>
      </w:numPr>
    </w:pPr>
  </w:style>
  <w:style w:type="paragraph" w:customStyle="1" w:styleId="Objetexterne">
    <w:name w:val="Objet externe"/>
    <w:basedOn w:val="Normal"/>
    <w:next w:val="Normal"/>
    <w:uiPriority w:val="99"/>
    <w:rPr>
      <w:i/>
      <w:iCs/>
      <w:caps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customStyle="1" w:styleId="PartTitle">
    <w:name w:val="PartTitle"/>
    <w:basedOn w:val="Normal"/>
    <w:next w:val="ChapterTitle"/>
    <w:uiPriority w:val="99"/>
    <w:pPr>
      <w:keepNext/>
      <w:pageBreakBefore/>
      <w:spacing w:after="360"/>
      <w:jc w:val="center"/>
    </w:pPr>
    <w:rPr>
      <w:b/>
      <w:bCs/>
      <w:sz w:val="36"/>
      <w:szCs w:val="36"/>
    </w:rPr>
  </w:style>
  <w:style w:type="paragraph" w:customStyle="1" w:styleId="Point0">
    <w:name w:val="Point 0"/>
    <w:basedOn w:val="Normal"/>
    <w:uiPriority w:val="99"/>
    <w:pPr>
      <w:ind w:left="851" w:hanging="851"/>
    </w:pPr>
  </w:style>
  <w:style w:type="paragraph" w:customStyle="1" w:styleId="Point1">
    <w:name w:val="Point 1"/>
    <w:basedOn w:val="Normal"/>
    <w:uiPriority w:val="99"/>
    <w:pPr>
      <w:ind w:left="1418" w:hanging="567"/>
    </w:pPr>
  </w:style>
  <w:style w:type="paragraph" w:customStyle="1" w:styleId="Point2">
    <w:name w:val="Point 2"/>
    <w:basedOn w:val="Normal"/>
    <w:uiPriority w:val="99"/>
    <w:pPr>
      <w:ind w:left="1985" w:hanging="567"/>
    </w:pPr>
  </w:style>
  <w:style w:type="paragraph" w:customStyle="1" w:styleId="Point3">
    <w:name w:val="Point 3"/>
    <w:basedOn w:val="Normal"/>
    <w:uiPriority w:val="99"/>
    <w:pPr>
      <w:ind w:left="2552" w:hanging="567"/>
    </w:pPr>
  </w:style>
  <w:style w:type="paragraph" w:customStyle="1" w:styleId="Point4">
    <w:name w:val="Point 4"/>
    <w:basedOn w:val="Normal"/>
    <w:uiPriority w:val="99"/>
    <w:pPr>
      <w:ind w:left="3119" w:hanging="567"/>
    </w:pPr>
  </w:style>
  <w:style w:type="paragraph" w:customStyle="1" w:styleId="PointDouble0">
    <w:name w:val="PointDouble 0"/>
    <w:basedOn w:val="Normal"/>
    <w:uiPriority w:val="99"/>
    <w:pPr>
      <w:tabs>
        <w:tab w:val="left" w:pos="851"/>
      </w:tabs>
      <w:ind w:left="1418" w:hanging="1418"/>
    </w:pPr>
  </w:style>
  <w:style w:type="paragraph" w:customStyle="1" w:styleId="PointDouble1">
    <w:name w:val="PointDouble 1"/>
    <w:basedOn w:val="Normal"/>
    <w:uiPriority w:val="99"/>
    <w:pPr>
      <w:tabs>
        <w:tab w:val="left" w:pos="1418"/>
      </w:tabs>
      <w:ind w:left="1985" w:hanging="1134"/>
    </w:pPr>
  </w:style>
  <w:style w:type="paragraph" w:customStyle="1" w:styleId="PointDouble2">
    <w:name w:val="PointDouble 2"/>
    <w:basedOn w:val="Normal"/>
    <w:uiPriority w:val="99"/>
    <w:pPr>
      <w:tabs>
        <w:tab w:val="left" w:pos="1985"/>
      </w:tabs>
      <w:ind w:left="2552" w:hanging="1134"/>
    </w:pPr>
  </w:style>
  <w:style w:type="paragraph" w:customStyle="1" w:styleId="PointDouble3">
    <w:name w:val="PointDouble 3"/>
    <w:basedOn w:val="Normal"/>
    <w:uiPriority w:val="99"/>
    <w:pPr>
      <w:tabs>
        <w:tab w:val="left" w:pos="2552"/>
      </w:tabs>
      <w:ind w:left="3119" w:hanging="1134"/>
    </w:pPr>
  </w:style>
  <w:style w:type="paragraph" w:customStyle="1" w:styleId="PointDouble4">
    <w:name w:val="PointDouble 4"/>
    <w:basedOn w:val="Normal"/>
    <w:uiPriority w:val="99"/>
    <w:pPr>
      <w:tabs>
        <w:tab w:val="left" w:pos="3119"/>
      </w:tabs>
      <w:ind w:left="3686" w:hanging="1134"/>
    </w:pPr>
  </w:style>
  <w:style w:type="paragraph" w:customStyle="1" w:styleId="PointTriple0">
    <w:name w:val="PointTriple 0"/>
    <w:basedOn w:val="Normal"/>
    <w:uiPriority w:val="99"/>
    <w:pPr>
      <w:tabs>
        <w:tab w:val="left" w:pos="851"/>
        <w:tab w:val="left" w:pos="1418"/>
      </w:tabs>
      <w:ind w:left="1985" w:hanging="1985"/>
    </w:pPr>
  </w:style>
  <w:style w:type="paragraph" w:customStyle="1" w:styleId="PointTriple1">
    <w:name w:val="PointTriple 1"/>
    <w:basedOn w:val="Normal"/>
    <w:uiPriority w:val="99"/>
    <w:pPr>
      <w:tabs>
        <w:tab w:val="left" w:pos="1418"/>
        <w:tab w:val="left" w:pos="1985"/>
      </w:tabs>
      <w:ind w:left="2552" w:hanging="1701"/>
    </w:pPr>
  </w:style>
  <w:style w:type="paragraph" w:customStyle="1" w:styleId="PointTriple2">
    <w:name w:val="PointTriple 2"/>
    <w:basedOn w:val="Normal"/>
    <w:uiPriority w:val="99"/>
    <w:pPr>
      <w:tabs>
        <w:tab w:val="left" w:pos="1985"/>
        <w:tab w:val="left" w:pos="2552"/>
      </w:tabs>
      <w:ind w:left="3119" w:hanging="1701"/>
    </w:pPr>
  </w:style>
  <w:style w:type="paragraph" w:customStyle="1" w:styleId="PointTriple3">
    <w:name w:val="PointTriple 3"/>
    <w:basedOn w:val="Normal"/>
    <w:uiPriority w:val="99"/>
    <w:pPr>
      <w:tabs>
        <w:tab w:val="left" w:pos="2552"/>
        <w:tab w:val="left" w:pos="3119"/>
      </w:tabs>
      <w:ind w:left="3686" w:hanging="1701"/>
    </w:pPr>
  </w:style>
  <w:style w:type="paragraph" w:customStyle="1" w:styleId="PointTriple4">
    <w:name w:val="PointTriple 4"/>
    <w:basedOn w:val="Normal"/>
    <w:uiPriority w:val="99"/>
    <w:pPr>
      <w:tabs>
        <w:tab w:val="left" w:pos="3119"/>
        <w:tab w:val="left" w:pos="3686"/>
      </w:tabs>
      <w:ind w:left="4253" w:hanging="1701"/>
    </w:pPr>
  </w:style>
  <w:style w:type="paragraph" w:customStyle="1" w:styleId="Prliminairetitre">
    <w:name w:val="Préliminaire titre"/>
    <w:basedOn w:val="Normal"/>
    <w:next w:val="Normal"/>
    <w:uiPriority w:val="99"/>
    <w:pPr>
      <w:spacing w:before="360" w:after="360"/>
      <w:jc w:val="center"/>
    </w:pPr>
    <w:rPr>
      <w:b/>
      <w:bCs/>
    </w:rPr>
  </w:style>
  <w:style w:type="paragraph" w:customStyle="1" w:styleId="Prliminairetype">
    <w:name w:val="Préliminaire type"/>
    <w:basedOn w:val="Normal"/>
    <w:next w:val="Normal"/>
    <w:uiPriority w:val="99"/>
    <w:pPr>
      <w:spacing w:before="360" w:after="0"/>
      <w:jc w:val="center"/>
    </w:pPr>
    <w:rPr>
      <w:b/>
      <w:bCs/>
    </w:rPr>
  </w:style>
  <w:style w:type="paragraph" w:customStyle="1" w:styleId="QuotedNumPar">
    <w:name w:val="Quoted NumPar"/>
    <w:basedOn w:val="Normal"/>
    <w:uiPriority w:val="99"/>
    <w:pPr>
      <w:ind w:left="1418" w:hanging="567"/>
    </w:pPr>
  </w:style>
  <w:style w:type="paragraph" w:customStyle="1" w:styleId="QuotedText">
    <w:name w:val="Quoted Text"/>
    <w:basedOn w:val="Normal"/>
    <w:uiPriority w:val="99"/>
    <w:pPr>
      <w:ind w:left="1418"/>
    </w:pPr>
  </w:style>
  <w:style w:type="paragraph" w:customStyle="1" w:styleId="Rfrenceinterinstitutionelle">
    <w:name w:val="Référence interinstitutionelle"/>
    <w:basedOn w:val="Normal"/>
    <w:next w:val="Statut"/>
    <w:uiPriority w:val="99"/>
    <w:pPr>
      <w:spacing w:before="0" w:after="0"/>
      <w:ind w:left="5103"/>
      <w:jc w:val="left"/>
    </w:pPr>
  </w:style>
  <w:style w:type="paragraph" w:customStyle="1" w:styleId="SectionTitle">
    <w:name w:val="SectionTitle"/>
    <w:basedOn w:val="Normal"/>
    <w:next w:val="Heading1"/>
    <w:uiPriority w:val="99"/>
    <w:pPr>
      <w:keepNext/>
      <w:spacing w:after="360"/>
      <w:jc w:val="center"/>
    </w:pPr>
    <w:rPr>
      <w:b/>
      <w:bCs/>
      <w:smallCaps/>
      <w:sz w:val="28"/>
      <w:szCs w:val="28"/>
    </w:rPr>
  </w:style>
  <w:style w:type="paragraph" w:customStyle="1" w:styleId="TableTitle">
    <w:name w:val="Table Title"/>
    <w:basedOn w:val="Normal"/>
    <w:next w:val="Normal"/>
    <w:uiPriority w:val="99"/>
    <w:pPr>
      <w:jc w:val="center"/>
    </w:pPr>
    <w:rPr>
      <w:b/>
      <w:bCs/>
    </w:rPr>
  </w:style>
  <w:style w:type="paragraph" w:customStyle="1" w:styleId="Tiret0">
    <w:name w:val="Tiret 0"/>
    <w:basedOn w:val="Point0"/>
    <w:uiPriority w:val="99"/>
  </w:style>
  <w:style w:type="paragraph" w:customStyle="1" w:styleId="Tiret1">
    <w:name w:val="Tiret 1"/>
    <w:basedOn w:val="Point1"/>
    <w:uiPriority w:val="99"/>
  </w:style>
  <w:style w:type="paragraph" w:customStyle="1" w:styleId="Tiret2">
    <w:name w:val="Tiret 2"/>
    <w:basedOn w:val="Point2"/>
    <w:uiPriority w:val="99"/>
  </w:style>
  <w:style w:type="paragraph" w:customStyle="1" w:styleId="Tiret3">
    <w:name w:val="Tiret 3"/>
    <w:basedOn w:val="Point3"/>
    <w:uiPriority w:val="99"/>
  </w:style>
  <w:style w:type="paragraph" w:customStyle="1" w:styleId="Tiret4">
    <w:name w:val="Tiret 4"/>
    <w:basedOn w:val="Point4"/>
    <w:uiPriority w:val="99"/>
  </w:style>
  <w:style w:type="paragraph" w:styleId="TOAHeading">
    <w:name w:val="toa heading"/>
    <w:basedOn w:val="Normal"/>
    <w:next w:val="Normal"/>
    <w:uiPriority w:val="99"/>
    <w:rPr>
      <w:rFonts w:ascii="Arial" w:hAnsi="Arial" w:cs="Arial"/>
      <w:b/>
      <w:bCs/>
    </w:rPr>
  </w:style>
  <w:style w:type="paragraph" w:styleId="TOC1">
    <w:name w:val="toc 1"/>
    <w:basedOn w:val="Normal"/>
    <w:next w:val="Normal"/>
    <w:uiPriority w:val="99"/>
    <w:pPr>
      <w:tabs>
        <w:tab w:val="right" w:leader="dot" w:pos="9072"/>
      </w:tabs>
      <w:spacing w:before="300"/>
    </w:pPr>
  </w:style>
  <w:style w:type="paragraph" w:styleId="TOC2">
    <w:name w:val="toc 2"/>
    <w:basedOn w:val="Normal"/>
    <w:next w:val="Normal"/>
    <w:uiPriority w:val="99"/>
    <w:pPr>
      <w:tabs>
        <w:tab w:val="right" w:leader="dot" w:pos="9072"/>
      </w:tabs>
      <w:spacing w:before="240"/>
      <w:ind w:left="641" w:hanging="284"/>
    </w:pPr>
  </w:style>
  <w:style w:type="paragraph" w:styleId="TOC3">
    <w:name w:val="toc 3"/>
    <w:basedOn w:val="Normal"/>
    <w:next w:val="Normal"/>
    <w:uiPriority w:val="99"/>
    <w:pPr>
      <w:tabs>
        <w:tab w:val="right" w:leader="dot" w:pos="9072"/>
      </w:tabs>
      <w:spacing w:before="180"/>
      <w:ind w:left="641" w:hanging="284"/>
    </w:pPr>
  </w:style>
  <w:style w:type="paragraph" w:styleId="TOC4">
    <w:name w:val="toc 4"/>
    <w:basedOn w:val="Normal"/>
    <w:next w:val="Normal"/>
    <w:uiPriority w:val="99"/>
    <w:pPr>
      <w:tabs>
        <w:tab w:val="right" w:leader="dot" w:pos="9072"/>
      </w:tabs>
      <w:ind w:left="641" w:hanging="284"/>
    </w:pPr>
  </w:style>
  <w:style w:type="paragraph" w:styleId="TOC5">
    <w:name w:val="toc 5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6">
    <w:name w:val="toc 6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7">
    <w:name w:val="toc 7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8">
    <w:name w:val="toc 8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9">
    <w:name w:val="toc 9"/>
    <w:basedOn w:val="Normal"/>
    <w:next w:val="Normal"/>
    <w:uiPriority w:val="99"/>
    <w:pPr>
      <w:tabs>
        <w:tab w:val="right" w:leader="dot" w:pos="9072"/>
      </w:tabs>
      <w:ind w:left="1600"/>
    </w:pPr>
  </w:style>
  <w:style w:type="paragraph" w:styleId="TOCHeading">
    <w:name w:val="TOC Heading"/>
    <w:basedOn w:val="Normal"/>
    <w:next w:val="Normal"/>
    <w:uiPriority w:val="99"/>
    <w:qFormat/>
    <w:pPr>
      <w:spacing w:after="240"/>
      <w:jc w:val="center"/>
    </w:pPr>
    <w:rPr>
      <w:b/>
      <w:bCs/>
      <w:sz w:val="28"/>
      <w:szCs w:val="28"/>
    </w:rPr>
  </w:style>
  <w:style w:type="paragraph" w:customStyle="1" w:styleId="Considrant">
    <w:name w:val="Considérant"/>
    <w:basedOn w:val="Normal"/>
    <w:uiPriority w:val="99"/>
    <w:pPr>
      <w:numPr>
        <w:numId w:val="15"/>
      </w:numPr>
    </w:pPr>
  </w:style>
  <w:style w:type="paragraph" w:customStyle="1" w:styleId="Confidentialit">
    <w:name w:val="Confidentialité"/>
    <w:basedOn w:val="Normal"/>
    <w:next w:val="Statut"/>
    <w:uiPriority w:val="99"/>
    <w:pPr>
      <w:spacing w:before="240" w:after="240"/>
      <w:ind w:left="5103"/>
    </w:pPr>
    <w:rPr>
      <w:u w:val="single"/>
    </w:rPr>
  </w:style>
  <w:style w:type="paragraph" w:customStyle="1" w:styleId="ManualConsidrant">
    <w:name w:val="Manual Considérant"/>
    <w:basedOn w:val="Normal"/>
    <w:uiPriority w:val="99"/>
    <w:pPr>
      <w:ind w:left="709" w:hanging="709"/>
    </w:pPr>
  </w:style>
  <w:style w:type="paragraph" w:customStyle="1" w:styleId="FooterLandscape">
    <w:name w:val="FooterLandscape"/>
    <w:basedOn w:val="Footer"/>
    <w:uiPriority w:val="99"/>
    <w:pPr>
      <w:tabs>
        <w:tab w:val="clear" w:pos="4536"/>
        <w:tab w:val="clear" w:pos="9072"/>
        <w:tab w:val="center" w:pos="7002"/>
        <w:tab w:val="right" w:pos="14005"/>
      </w:tabs>
    </w:pPr>
  </w:style>
  <w:style w:type="character" w:customStyle="1" w:styleId="CRMarker">
    <w:name w:val="CR Marker"/>
    <w:basedOn w:val="DefaultParagraphFont"/>
    <w:uiPriority w:val="99"/>
    <w:rPr>
      <w:rFonts w:ascii="Wingdings" w:hAnsi="Wingdings" w:cs="Wingdings"/>
    </w:rPr>
  </w:style>
  <w:style w:type="paragraph" w:customStyle="1" w:styleId="CRSeparator">
    <w:name w:val="CR Separator"/>
    <w:basedOn w:val="Normal"/>
    <w:next w:val="CRReference"/>
    <w:uiPriority w:val="99"/>
    <w:pPr>
      <w:keepNext/>
      <w:pBdr>
        <w:top w:val="single" w:sz="4" w:space="1" w:color="auto"/>
      </w:pBdr>
      <w:spacing w:before="0" w:after="0"/>
    </w:pPr>
  </w:style>
  <w:style w:type="paragraph" w:customStyle="1" w:styleId="CRReference">
    <w:name w:val="CR Reference"/>
    <w:basedOn w:val="Normal"/>
    <w:uiPriority w:val="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ind w:left="5670"/>
      <w:jc w:val="left"/>
    </w:pPr>
  </w:style>
  <w:style w:type="character" w:customStyle="1" w:styleId="CRRefNum">
    <w:name w:val="CR RefNum"/>
    <w:basedOn w:val="DefaultParagraphFont"/>
    <w:uiPriority w:val="99"/>
    <w:rPr>
      <w:rFonts w:cs="Times New Roman"/>
      <w:vertAlign w:val="subscript"/>
    </w:rPr>
  </w:style>
  <w:style w:type="paragraph" w:customStyle="1" w:styleId="CRParaDeleted">
    <w:name w:val="CR ParaDeleted"/>
    <w:basedOn w:val="Normal"/>
    <w:next w:val="Normal"/>
    <w:uiPriority w:val="99"/>
  </w:style>
  <w:style w:type="character" w:customStyle="1" w:styleId="CRTextDeleted">
    <w:name w:val="CR TextDeleted"/>
    <w:basedOn w:val="DefaultParagraphFont"/>
    <w:uiPriority w:val="99"/>
    <w:rPr>
      <w:rFonts w:cs="Times New Roman"/>
    </w:rPr>
  </w:style>
  <w:style w:type="paragraph" w:customStyle="1" w:styleId="Titredumodificateur">
    <w:name w:val="Titre du modificateur"/>
    <w:basedOn w:val="Normal"/>
    <w:next w:val="Annexetitrefichefinacte"/>
    <w:uiPriority w:val="99"/>
    <w:pPr>
      <w:spacing w:before="240" w:after="60"/>
      <w:jc w:val="left"/>
    </w:pPr>
    <w:rPr>
      <w:b/>
      <w:bCs/>
      <w:lang w:val="en-US"/>
    </w:rPr>
  </w:style>
  <w:style w:type="paragraph" w:customStyle="1" w:styleId="Referencedumodificateur">
    <w:name w:val="Reference du modificateur"/>
    <w:basedOn w:val="Normal"/>
    <w:next w:val="Annexetitrefichefinglobale"/>
    <w:uiPriority w:val="99"/>
    <w:pPr>
      <w:spacing w:before="0"/>
      <w:jc w:val="left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</Template>
  <TotalTime>0</TotalTime>
  <Pages>28</Pages>
  <Words>8040</Words>
  <Characters>59255</Characters>
  <Application>Microsoft Office Word</Application>
  <DocSecurity>0</DocSecurity>
  <Lines>1021</Lines>
  <Paragraphs>412</Paragraphs>
  <ScaleCrop>false</ScaleCrop>
  <Company/>
  <LinksUpToDate>false</LinksUpToDate>
  <CharactersWithSpaces>66883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</dc:title>
  <dc:subject/>
  <cp:keywords/>
  <dc:description/>
  <cp:revision>2</cp:revision>
  <dcterms:created xsi:type="dcterms:W3CDTF">2025-02-13T09:24:00Z</dcterms:created>
  <dcterms:modified xsi:type="dcterms:W3CDTF">2025-02-13T09:24:00Z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 </vt:lpwstr>
  </property>
  <property fmtid="{D5CDD505-2E9C-101B-9397-08002B2CF9AE}" pid="3" name="Last edited using">
    <vt:lpwstr>LW 9.1, Build 20240808</vt:lpwstr>
  </property>
  <property fmtid="{D5CDD505-2E9C-101B-9397-08002B2CF9AE}" pid="4" name="Category">
    <vt:lpwstr>C/SEC</vt:lpwstr>
  </property>
  <property fmtid="{D5CDD505-2E9C-101B-9397-08002B2CF9AE}" pid="5" name="Created using">
    <vt:lpwstr>LW 4.0, Build 990708</vt:lpwstr>
  </property>
  <property fmtid="{D5CDD505-2E9C-101B-9397-08002B2CF9AE}" pid="6" name="LWCR Document">
    <vt:lpwstr>True</vt:lpwstr>
  </property>
  <property fmtid="{D5CDD505-2E9C-101B-9397-08002B2CF9AE}" pid="7" name="LWCR Version">
    <vt:lpwstr>1.3.3</vt:lpwstr>
  </property>
  <property fmtid="{D5CDD505-2E9C-101B-9397-08002B2CF9AE}" pid="8" name="DQCStatus">
    <vt:lpwstr>Red (DQC version 03)</vt:lpwstr>
  </property>
</Properties>
</file>