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0A47A" w14:textId="77777777" w:rsidR="00431232" w:rsidRDefault="00431232">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0792A6A7" w14:textId="77777777" w:rsidR="00431232" w:rsidRDefault="00431232">
      <w:pPr>
        <w:pStyle w:val="Typedudocument"/>
      </w:pPr>
      <w:r>
        <w:t>KOMMISSIONENS GENNEMFØRELSESFORORDNING (EU) 2023/914</w:t>
      </w:r>
    </w:p>
    <w:p w14:paraId="20100F57" w14:textId="77777777" w:rsidR="00431232" w:rsidRDefault="00431232">
      <w:pPr>
        <w:pStyle w:val="Datedadoption"/>
      </w:pPr>
      <w:r>
        <w:t>af 20. april 2023</w:t>
      </w:r>
    </w:p>
    <w:p w14:paraId="232938B3" w14:textId="77777777" w:rsidR="00431232" w:rsidRDefault="00431232">
      <w:pPr>
        <w:pStyle w:val="Titreobjet"/>
      </w:pPr>
      <w:r>
        <w:t>om gennemførelse af Rådets forordning (EF) nr. 139/2004 om kontrol med fusioner og virksomhedsovertagelser og ophævelse af Kommissionens forordning (EF) nr. 802/2004</w:t>
      </w:r>
    </w:p>
    <w:p w14:paraId="7F70F86D" w14:textId="77777777" w:rsidR="00431232" w:rsidRDefault="00431232">
      <w:pPr>
        <w:pStyle w:val="Sous-titreobjet"/>
      </w:pPr>
      <w:r>
        <w:t>(EØS-relevant tekst)</w:t>
      </w:r>
    </w:p>
    <w:p w14:paraId="2BF75FCA" w14:textId="77777777" w:rsidR="00431232" w:rsidRDefault="00431232">
      <w:pPr>
        <w:pStyle w:val="SectionTitle"/>
      </w:pPr>
      <w:r>
        <w:t>KAPITEL I</w:t>
      </w:r>
    </w:p>
    <w:p w14:paraId="4C229B54" w14:textId="77777777" w:rsidR="00431232" w:rsidRDefault="00431232">
      <w:pPr>
        <w:pStyle w:val="SectionTitle"/>
      </w:pPr>
      <w:r>
        <w:rPr>
          <w:i/>
          <w:iCs/>
        </w:rPr>
        <w:t>ANVENDELSESOMRÅDE</w:t>
      </w:r>
    </w:p>
    <w:p w14:paraId="66ADC246" w14:textId="77777777" w:rsidR="00431232" w:rsidRDefault="00431232">
      <w:pPr>
        <w:pStyle w:val="Titrearticle"/>
      </w:pPr>
      <w:r>
        <w:t>Artikel 1</w:t>
      </w:r>
    </w:p>
    <w:p w14:paraId="3302F2B0" w14:textId="77777777" w:rsidR="00431232" w:rsidRDefault="00431232">
      <w:r>
        <w:t>Denne forordning finder anvendelse på kontrol med fusioner i henhold til forordning (EF) nr. 139/2004.</w:t>
      </w:r>
    </w:p>
    <w:p w14:paraId="13251C10" w14:textId="77777777" w:rsidR="00431232" w:rsidRDefault="00431232">
      <w:pPr>
        <w:pStyle w:val="SectionTitle"/>
      </w:pPr>
      <w:r>
        <w:t>KAPITEL II</w:t>
      </w:r>
    </w:p>
    <w:p w14:paraId="11B2484A" w14:textId="77777777" w:rsidR="00431232" w:rsidRDefault="00431232">
      <w:pPr>
        <w:pStyle w:val="SectionTitle"/>
      </w:pPr>
      <w:r>
        <w:rPr>
          <w:i/>
          <w:iCs/>
        </w:rPr>
        <w:t>ANMELDELSER OG ANDRE ERKLÆRINGER</w:t>
      </w:r>
    </w:p>
    <w:p w14:paraId="7F8BF461" w14:textId="77777777" w:rsidR="00431232" w:rsidRDefault="00431232">
      <w:pPr>
        <w:pStyle w:val="Titrearticle"/>
      </w:pPr>
      <w:r>
        <w:t>Artikel 2</w:t>
      </w:r>
    </w:p>
    <w:p w14:paraId="372B219A" w14:textId="77777777" w:rsidR="00431232" w:rsidRDefault="00431232">
      <w:pPr>
        <w:pStyle w:val="NormalCentered"/>
        <w:rPr>
          <w:b/>
          <w:bCs/>
        </w:rPr>
      </w:pPr>
      <w:r>
        <w:rPr>
          <w:b/>
          <w:bCs/>
        </w:rPr>
        <w:t>Ret til at indgive anmeldelse</w:t>
      </w:r>
    </w:p>
    <w:p w14:paraId="0CB4EE3C" w14:textId="77777777" w:rsidR="00431232" w:rsidRDefault="00431232">
      <w:r>
        <w:t>1.</w:t>
      </w:r>
      <w:r>
        <w:tab/>
        <w:t>Anmeldelser kan indgives af de personer og virksomheder, der er omhandlet i artikel 4, stk. 2, i forordning (EF) nr. 139/2004.</w:t>
      </w:r>
    </w:p>
    <w:p w14:paraId="14242CBF" w14:textId="77777777" w:rsidR="00431232" w:rsidRDefault="00431232">
      <w:r>
        <w:t>2.</w:t>
      </w:r>
      <w:r>
        <w:tab/>
        <w:t>Er en anmeldelse underskrevet af bemyndigede eksterne repræsentanter for personer eller for virksomheder, skal disse repræsentanter fremlægge skriftlig dokumentation for, at de er bemyndiget dertil.</w:t>
      </w:r>
    </w:p>
    <w:p w14:paraId="4AD550A9" w14:textId="77777777" w:rsidR="00431232" w:rsidRDefault="00431232">
      <w:pPr>
        <w:pStyle w:val="Titrearticle"/>
      </w:pPr>
      <w:r>
        <w:t>Artikel 3</w:t>
      </w:r>
    </w:p>
    <w:p w14:paraId="748442DA" w14:textId="77777777" w:rsidR="00431232" w:rsidRDefault="00431232">
      <w:pPr>
        <w:pStyle w:val="NormalCentered"/>
        <w:rPr>
          <w:b/>
          <w:bCs/>
        </w:rPr>
      </w:pPr>
      <w:r>
        <w:rPr>
          <w:b/>
          <w:bCs/>
        </w:rPr>
        <w:t>Indgivelse af anmeldelser</w:t>
      </w:r>
    </w:p>
    <w:p w14:paraId="11058EC6" w14:textId="77777777" w:rsidR="00431232" w:rsidRDefault="00431232">
      <w:r>
        <w:t>1.</w:t>
      </w:r>
      <w:r>
        <w:tab/>
        <w:t>Anmeldelse indgives ved brug af CO-formularen, der er anført i bilag I. Er betingelserne i bilag II opfyldt, kan anmeldelser indgives ved brug af den korte CO-formular, der er anført i samme bilag. Fælles anmeldelse indgives på en enkelt formular.</w:t>
      </w:r>
    </w:p>
    <w:p w14:paraId="1D42F2DC" w14:textId="77777777" w:rsidR="00431232" w:rsidRDefault="00431232">
      <w:r>
        <w:t>2.</w:t>
      </w:r>
      <w:r>
        <w:tab/>
        <w:t xml:space="preserve">De formularer, der er omhandlet i stk. 1, og alle relevante bilag indgives til Kommissionen i overensstemmelse med artikel 22 og de instrukser, som Kommissionen offentliggør i </w:t>
      </w:r>
      <w:r>
        <w:rPr>
          <w:i/>
          <w:iCs/>
        </w:rPr>
        <w:t>Den Europæiske Unions Tidende</w:t>
      </w:r>
      <w:r>
        <w:t>.</w:t>
      </w:r>
    </w:p>
    <w:p w14:paraId="2C6BACDA" w14:textId="77777777" w:rsidR="00431232" w:rsidRDefault="00431232">
      <w:r>
        <w:lastRenderedPageBreak/>
        <w:t>3.</w:t>
      </w:r>
      <w:r>
        <w:tab/>
        <w:t>Anmeldelser indgives på et af Unionens officielle sprog. Dette sprog vil blive benyttet som sagsbehandlingssprog over for de anmeldende parter og ved enhver anden sagsbehandling i forbindelse med den samme fusion. Bilag indsendes på originalsproget. Er originalsproget ikke et af Unionens officielle sprog, skal der vedlægges en oversættelse til sagsbehandlingssproget.</w:t>
      </w:r>
    </w:p>
    <w:p w14:paraId="39D2F340" w14:textId="77777777" w:rsidR="00431232" w:rsidRDefault="00431232">
      <w:r>
        <w:t>4.</w:t>
      </w:r>
      <w:r>
        <w:tab/>
        <w:t>Anmeldelser, der indgives i medfør af artikel 57 i aftalen om oprettelse af Det Europæiske Økonomiske Samarbejdsområde, kan også indsendes på et af de officielle sprog i EFTA-staterne eller arbejdssproget i EFTA-Tilsynsmyndigheden. Er det sprog, der er valgt til anmeldelsen, ikke et af Unionens officielle sprog, skal de anmeldende parter samtidig indsende en oversættelse af alle dokumenter til et af Unionens officielle sprog. Det sprog, der er valgt til oversættelsen, er afgørende for, hvilket sprog Unionen benytter som sagsbehandlingssprog over for de anmeldende parter.</w:t>
      </w:r>
    </w:p>
    <w:p w14:paraId="6CCA9FBC" w14:textId="77777777" w:rsidR="00431232" w:rsidRDefault="00431232">
      <w:pPr>
        <w:pStyle w:val="Titrearticle"/>
      </w:pPr>
      <w:r>
        <w:t>Artikel 4</w:t>
      </w:r>
    </w:p>
    <w:p w14:paraId="345EE60F" w14:textId="77777777" w:rsidR="00431232" w:rsidRDefault="00431232">
      <w:pPr>
        <w:pStyle w:val="NormalCentered"/>
        <w:rPr>
          <w:b/>
          <w:bCs/>
        </w:rPr>
      </w:pPr>
      <w:r>
        <w:rPr>
          <w:b/>
          <w:bCs/>
        </w:rPr>
        <w:t>Oplysninger og dokumenter</w:t>
      </w:r>
    </w:p>
    <w:p w14:paraId="37ACA38B" w14:textId="77777777" w:rsidR="00431232" w:rsidRDefault="00431232">
      <w:r>
        <w:t>1.</w:t>
      </w:r>
      <w:r>
        <w:tab/>
        <w:t>Anmeldelser skal indeholde alle de oplysninger og dokumenter, der kræves i de relevante formularer, der er anført i bilag I og II. Oplysningerne skal være korrekte og fuldstændige.</w:t>
      </w:r>
    </w:p>
    <w:p w14:paraId="750ADA05" w14:textId="77777777" w:rsidR="00431232" w:rsidRDefault="00431232">
      <w:r>
        <w:t>2.</w:t>
      </w:r>
      <w:r>
        <w:tab/>
        <w:t>Kommissionen kan efter skriftlig anmodning fra de anmeldende parter dispensere fra pligten til at give bestemte oplysninger i anmeldelsen eller til at indsende bestemte dokumenter, eller dispensere fra andre krav, der stilles i bilag I og II, hvis den finder, at opfyldelse af disse forpligtelser eller krav ikke er nødvendig for sagens behandling.</w:t>
      </w:r>
    </w:p>
    <w:p w14:paraId="3C5AD971" w14:textId="77777777" w:rsidR="00431232" w:rsidRDefault="00431232">
      <w:r>
        <w:t>3.</w:t>
      </w:r>
      <w:r>
        <w:tab/>
        <w:t>Kommissionen bekræfter omgående skriftligt over for de anmeldende parter eller deres repræsentanter, at den har modtaget anmeldelsen og eventuelle svar på skrivelser afsendt af Kommissionen i henhold til artikel 5, stk. 2 og 3.</w:t>
      </w:r>
    </w:p>
    <w:p w14:paraId="0454A5FC" w14:textId="77777777" w:rsidR="00431232" w:rsidRDefault="00431232">
      <w:pPr>
        <w:pStyle w:val="Titrearticle"/>
      </w:pPr>
      <w:r>
        <w:t>Artikel 5</w:t>
      </w:r>
    </w:p>
    <w:p w14:paraId="3E707788" w14:textId="77777777" w:rsidR="00431232" w:rsidRDefault="00431232">
      <w:pPr>
        <w:pStyle w:val="NormalCentered"/>
        <w:rPr>
          <w:b/>
          <w:bCs/>
        </w:rPr>
      </w:pPr>
      <w:r>
        <w:rPr>
          <w:b/>
          <w:bCs/>
        </w:rPr>
        <w:t>Anmeldelsesdato</w:t>
      </w:r>
    </w:p>
    <w:p w14:paraId="7BA68514" w14:textId="77777777" w:rsidR="00431232" w:rsidRDefault="00431232">
      <w:r>
        <w:t>1.</w:t>
      </w:r>
      <w:r>
        <w:tab/>
        <w:t>Anmeldelser anses for at være indgivet den dag, de modtages af Kommissionen, jf. dog stk. 2, 3 og 4.</w:t>
      </w:r>
    </w:p>
    <w:p w14:paraId="3E4C46F4" w14:textId="77777777" w:rsidR="00431232" w:rsidRDefault="00431232">
      <w:r>
        <w:t>2.</w:t>
      </w:r>
      <w:r>
        <w:tab/>
        <w:t>Er de i anmeldelsen indeholdte oplysninger, herunder medsendte dokumenter, ufuldstændige på et eller flere væsentlige punkter, giver Kommissionen omgående de anmeldende parter eller deres repræsentanter skriftlig underretning herom. I så fald anses anmeldelsen for at være indgivet den dag, hvor Kommissionen modtog de fuldstændige oplysninger.</w:t>
      </w:r>
    </w:p>
    <w:p w14:paraId="0F4ACDB1" w14:textId="77777777" w:rsidR="00431232" w:rsidRDefault="00431232">
      <w:r>
        <w:t>3.</w:t>
      </w:r>
      <w:r>
        <w:tab/>
        <w:t>Sker der efter anmeldelsens indgivelse væsentlige ændringer i oplysningerne i anmeldelsen, som de anmeldende parter har eller burde have haft kendskab til, eller fremkommer der efter anmeldelsens indgivelse nye oplysninger, som de anmeldende parter har eller burde have haft kendskab til, og som skulle have været anmeldt, hvis de havde været kendt på anmeldelsestidspunktet, skal Kommissionen omgående underrettes herom. Kan disse væsentlige ændringer eller nye oplysninger få væsentlig indflydelse på vurderingen af fusionen, kan Kommissionen anse anmeldelsen for indgivet den dag, hvor den modtog de relevante oplysninger. Kommissionen giver omgående de anmeldende parter eller deres repræsentanter skriftlig underretning herom.</w:t>
      </w:r>
    </w:p>
    <w:p w14:paraId="43C1CAFA" w14:textId="77777777" w:rsidR="00431232" w:rsidRDefault="00431232">
      <w:r>
        <w:t>4.</w:t>
      </w:r>
      <w:r>
        <w:tab/>
        <w:t>I denne artikel anses urigtige eller forvanskede oplysninger for at være ufuldstændige oplysninger, jf. dog artikel 14, stk. 1, i forordning (EF) nr. 139/2004.</w:t>
      </w:r>
    </w:p>
    <w:p w14:paraId="7C94C430" w14:textId="77777777" w:rsidR="00431232" w:rsidRDefault="00431232">
      <w:r>
        <w:t>5.</w:t>
      </w:r>
      <w:r>
        <w:tab/>
        <w:t>Når Kommissionen offentliggør en meddelelse om, at den har modtaget en anmeldelse, jf. artikel 4, stk. 3, i forordning (EF) nr. 139/2004, anfører den datoen for modtagelse af anmeldelsen heri. Hvis den faktiske anmeldelsesdato i medfør af denne artikels stk. 2, 3 eller 4 ligger senere end den i den pågældende meddelelse angivne dato, offentliggør Kommissionen en yderligere meddelelse, hvori denne senere dato anføres.</w:t>
      </w:r>
    </w:p>
    <w:p w14:paraId="723770CD" w14:textId="77777777" w:rsidR="00431232" w:rsidRDefault="00431232">
      <w:pPr>
        <w:pStyle w:val="Titrearticle"/>
      </w:pPr>
      <w:r>
        <w:t>Artikel 6</w:t>
      </w:r>
    </w:p>
    <w:p w14:paraId="53EF62FB" w14:textId="77777777" w:rsidR="00431232" w:rsidRDefault="00431232">
      <w:pPr>
        <w:pStyle w:val="NormalCentered"/>
        <w:rPr>
          <w:b/>
          <w:bCs/>
        </w:rPr>
      </w:pPr>
      <w:r>
        <w:rPr>
          <w:b/>
          <w:bCs/>
        </w:rPr>
        <w:t>Særlige bestemmelser om begrundede erklæringer, kompletterende anmeldelser og attesteringer</w:t>
      </w:r>
    </w:p>
    <w:p w14:paraId="21B5106D" w14:textId="77777777" w:rsidR="00431232" w:rsidRDefault="00431232">
      <w:r>
        <w:t>1.</w:t>
      </w:r>
      <w:r>
        <w:tab/>
        <w:t>Begrundede erklæringer som omhandlet i artikel 4, stk. 4 og 5, i forordning (EF) nr. 139/2004 skal indeholde de oplysninger og være ledsaget af de dokumenter, der kræves i henhold til bilag III til nærværende forordning. Disse oplysninger skal være korrekte og fuldstændige.</w:t>
      </w:r>
    </w:p>
    <w:p w14:paraId="3A43E5E3" w14:textId="77777777" w:rsidR="00431232" w:rsidRDefault="00431232">
      <w:r>
        <w:t>2.</w:t>
      </w:r>
      <w:r>
        <w:tab/>
        <w:t>Denne forordnings artikel 2, artikel 3, stk. 1, tredje punktum, artikel 3, stk. 2, 3 og 4, artikel 4, artikel 5, stk. 1-4, og artikel 22 finder med de fornødne tilpasninger anvendelse på begrundede erklæringer som omhandlet i artikel 4, stk. 4 og 5, i forordning (EF) nr. 139/2004.</w:t>
      </w:r>
    </w:p>
    <w:p w14:paraId="59D70975" w14:textId="77777777" w:rsidR="00431232" w:rsidRDefault="00431232">
      <w:r>
        <w:t>3.</w:t>
      </w:r>
      <w:r>
        <w:tab/>
        <w:t>Denne forordnings artikel 2, artikel 3, stk. 1, tredje punktum, artikel 3, stk. 2, 3 og 4, artikel 4, artikel 5, stk. 1-4, og artikel 22 finder med de fornødne tilpasninger anvendelse på kompletteringer af anmeldelser og attesteringer som omhandlet i artikel 10, stk. 5, i forordning (EF) nr. 139/2004.</w:t>
      </w:r>
    </w:p>
    <w:p w14:paraId="2992BF19" w14:textId="77777777" w:rsidR="00431232" w:rsidRDefault="00431232">
      <w:pPr>
        <w:pStyle w:val="SectionTitle"/>
      </w:pPr>
      <w:r>
        <w:t>KAPITEL III</w:t>
      </w:r>
    </w:p>
    <w:p w14:paraId="7DB9E3A4" w14:textId="77777777" w:rsidR="00431232" w:rsidRDefault="00431232">
      <w:pPr>
        <w:pStyle w:val="SectionTitle"/>
      </w:pPr>
      <w:r>
        <w:rPr>
          <w:i/>
          <w:iCs/>
        </w:rPr>
        <w:t>FRISTER</w:t>
      </w:r>
    </w:p>
    <w:p w14:paraId="5F5F084E" w14:textId="77777777" w:rsidR="00431232" w:rsidRDefault="00431232">
      <w:pPr>
        <w:pStyle w:val="Titrearticle"/>
      </w:pPr>
      <w:r>
        <w:t>Artikel 7</w:t>
      </w:r>
    </w:p>
    <w:p w14:paraId="5BCE90BF" w14:textId="77777777" w:rsidR="00431232" w:rsidRDefault="00431232">
      <w:pPr>
        <w:pStyle w:val="NormalCentered"/>
        <w:rPr>
          <w:b/>
          <w:bCs/>
        </w:rPr>
      </w:pPr>
      <w:r>
        <w:rPr>
          <w:b/>
          <w:bCs/>
        </w:rPr>
        <w:t>Fristers begyndelse</w:t>
      </w:r>
    </w:p>
    <w:p w14:paraId="1E93C542" w14:textId="77777777" w:rsidR="00431232" w:rsidRDefault="00431232">
      <w:r>
        <w:t>Alle frister begynder at løbe fra den arbejdsdag, jf. denne forordnings artikel 24, der følger efter den begivenhed, som den relevante bestemmelse i forordning (EF) nr. 139/2004 refererer til.</w:t>
      </w:r>
    </w:p>
    <w:p w14:paraId="26032E99" w14:textId="77777777" w:rsidR="00431232" w:rsidRDefault="00431232">
      <w:pPr>
        <w:pStyle w:val="Titrearticle"/>
      </w:pPr>
      <w:r>
        <w:t>Artikel 8</w:t>
      </w:r>
    </w:p>
    <w:p w14:paraId="631F7135" w14:textId="77777777" w:rsidR="00431232" w:rsidRDefault="00431232">
      <w:pPr>
        <w:pStyle w:val="NormalCentered"/>
        <w:rPr>
          <w:b/>
          <w:bCs/>
        </w:rPr>
      </w:pPr>
      <w:r>
        <w:rPr>
          <w:b/>
          <w:bCs/>
        </w:rPr>
        <w:t>Fristers udløb</w:t>
      </w:r>
    </w:p>
    <w:p w14:paraId="4846DEFC" w14:textId="77777777" w:rsidR="00431232" w:rsidRDefault="00431232">
      <w:r>
        <w:t>1.</w:t>
      </w:r>
      <w:r>
        <w:tab/>
        <w:t>Frister angivet i arbejdsdage udløber med udløbet af fristens sidste arbejdsdag.</w:t>
      </w:r>
    </w:p>
    <w:p w14:paraId="61E5567E" w14:textId="77777777" w:rsidR="00431232" w:rsidRDefault="00431232">
      <w:r>
        <w:t>2.</w:t>
      </w:r>
      <w:r>
        <w:tab/>
        <w:t>Frister, som Kommissionen har fastsat som en dag i kalenderen, udløber ved denne dags slutning.</w:t>
      </w:r>
    </w:p>
    <w:p w14:paraId="3633FDA9" w14:textId="77777777" w:rsidR="00431232" w:rsidRDefault="00431232">
      <w:pPr>
        <w:pStyle w:val="Titrearticle"/>
      </w:pPr>
      <w:r>
        <w:t>Artikel 9</w:t>
      </w:r>
    </w:p>
    <w:p w14:paraId="039706BA" w14:textId="77777777" w:rsidR="00431232" w:rsidRDefault="00431232">
      <w:pPr>
        <w:pStyle w:val="NormalCentered"/>
        <w:rPr>
          <w:b/>
          <w:bCs/>
        </w:rPr>
      </w:pPr>
      <w:r>
        <w:rPr>
          <w:b/>
          <w:bCs/>
        </w:rPr>
        <w:t>Afbrydelse af frister</w:t>
      </w:r>
    </w:p>
    <w:p w14:paraId="53E9C83D" w14:textId="77777777" w:rsidR="00431232" w:rsidRDefault="00431232">
      <w:r>
        <w:t>1.</w:t>
      </w:r>
      <w:r>
        <w:tab/>
        <w:t>De i artikel 9, stk. 4, og artikel 10, stk. 1 og 3, i forordning (EF) nr. 139/2004 nævnte frister afbrydes, hvis Kommissionen må træffe en afgørelse i henhold til samme forordnings artikel 11, stk. 3, eller artikel 13, stk. 4, af en eller flere af de følgende grunde:</w:t>
      </w:r>
    </w:p>
    <w:p w14:paraId="4AB3AE9E" w14:textId="77777777" w:rsidR="00431232" w:rsidRDefault="00431232">
      <w:pPr>
        <w:pStyle w:val="Point0"/>
      </w:pPr>
      <w:r>
        <w:tab/>
        <w:t>a)</w:t>
      </w:r>
      <w:r>
        <w:tab/>
        <w:t>oplysninger, som Kommissionen i henhold til artikel 11, stk. 2, i forordning (EF) nr. 139/2004 har anmodet om over for en af de anmeldende parter eller en anden impliceret part, som defineret i denne forordnings artikel 11, meddeles ikke eller meddeles ikke i fuldt omfang inden for den af Kommissionen fastsatte frist</w:t>
      </w:r>
    </w:p>
    <w:p w14:paraId="6A3EB0CC" w14:textId="77777777" w:rsidR="00431232" w:rsidRDefault="00431232">
      <w:pPr>
        <w:pStyle w:val="Point0"/>
      </w:pPr>
      <w:r>
        <w:tab/>
        <w:t>b)</w:t>
      </w:r>
      <w:r>
        <w:tab/>
        <w:t>oplysninger, som Kommissionen i henhold til artikel 11, stk. 2, i forordning (EF) nr. 139/2004 har anmodet om over for tredjemand, meddeles ikke eller meddeles ikke i fuldt omfang inden for den af Kommissionen fastsatte frist som følge af omstændigheder, som en af de anmeldende parter eller en anden impliceret part, som defineret i denne forordnings artikel 11, er ansvarlig for</w:t>
      </w:r>
    </w:p>
    <w:p w14:paraId="0211744E" w14:textId="77777777" w:rsidR="00431232" w:rsidRDefault="00431232">
      <w:pPr>
        <w:pStyle w:val="Point0"/>
      </w:pPr>
      <w:r>
        <w:tab/>
        <w:t>c)</w:t>
      </w:r>
      <w:r>
        <w:tab/>
        <w:t>en af de anmeldende parter eller en anden impliceret part, som defineret i denne forordnings artikel 11, har nægtet at lade sig underkaste en kontrolundersøgelse, som Kommissionen finder nødvendig på grundlag af artikel 13, stk. 1, i forordning (EF) nr. 139/2004, eller har nægtet at medvirke ved gennemførelsen af en sådan kontrolundersøgelse i henhold til artikel 13, stk. 2, i nævnte forordning</w:t>
      </w:r>
    </w:p>
    <w:p w14:paraId="72A780EA" w14:textId="77777777" w:rsidR="00431232" w:rsidRDefault="00431232">
      <w:pPr>
        <w:pStyle w:val="Point0"/>
      </w:pPr>
      <w:r>
        <w:tab/>
        <w:t>d)</w:t>
      </w:r>
      <w:r>
        <w:tab/>
        <w:t>de anmeldende parter har undladt at underrette Kommissionen om væsentlige ændringer i de i anmeldelsen oplyste forhold eller om eventuelle nye oplysninger som omhandlet i denne forordnings artikel 5, stk. 3.</w:t>
      </w:r>
    </w:p>
    <w:p w14:paraId="1F099423" w14:textId="77777777" w:rsidR="00431232" w:rsidRDefault="00431232">
      <w:r>
        <w:t>2.</w:t>
      </w:r>
      <w:r>
        <w:tab/>
        <w:t>De i artikel 9, stk. 4, og artikel 10, stk. 1 og 3, i forordning (EF) nr. 139/2004 nævnte frister afbrydes, hvis Kommissionen på grund af omstændigheder, som en af de i fusionen implicerede virksomheder er ansvarlig for, er nødt til at vedtage en afgørelse efter nævnte forordnings artikel 11, stk. 3, uden først at fremsætte en anmodning om oplysninger.</w:t>
      </w:r>
    </w:p>
    <w:p w14:paraId="4D84C853" w14:textId="77777777" w:rsidR="00431232" w:rsidRDefault="00431232">
      <w:r>
        <w:t>3.</w:t>
      </w:r>
      <w:r>
        <w:tab/>
        <w:t>De i artikel 9, stk. 4, og artikel 10, stk. 1 og 3, i forordning (EF) nr. 139/2004 nævnte frister afbrydes:</w:t>
      </w:r>
    </w:p>
    <w:p w14:paraId="7A05E82C" w14:textId="77777777" w:rsidR="00431232" w:rsidRDefault="00431232">
      <w:pPr>
        <w:pStyle w:val="Point0"/>
      </w:pPr>
      <w:r>
        <w:tab/>
        <w:t>a)</w:t>
      </w:r>
      <w:r>
        <w:tab/>
        <w:t>i de i stk. 1, litra a) og b), nævnte tilfælde i tidsrummet mellem udløbet af den frist, der er fastsat i anmodningen om oplysninger, og indtil modtagelsen af de fuldstændige og korrekte oplysninger som krævet i afgørelsen eller fra det tidspunkt, hvor Kommissionen meddeler de anmeldende parter, at den i lyset af resultaterne af den igangværende undersøgelse eller af markedsudviklingen ikke længere har brug for de oplysninger, der er anmodet om</w:t>
      </w:r>
    </w:p>
    <w:p w14:paraId="4FA8DFE3" w14:textId="77777777" w:rsidR="00431232" w:rsidRDefault="00431232">
      <w:pPr>
        <w:pStyle w:val="Point0"/>
      </w:pPr>
      <w:r>
        <w:tab/>
        <w:t>b)</w:t>
      </w:r>
      <w:r>
        <w:tab/>
        <w:t>i de i stk. 1, litra c), nævnte tilfælde i tidsrummet mellem det fejlslagne forsøg på at gennemføre kontrolundersøgelsen og afslutningen af den ved afgørelse beordrede kontrolundersøgelse eller fra det tidspunkt, hvor Kommissionen meddeler de anmeldende parter, at den ved afgørelse beordrede kontrolundersøgelse i lyset af resultaterne af Kommissionens igangværende undersøgelse eller af markedsudviklingen ikke længere er nødvendig</w:t>
      </w:r>
    </w:p>
    <w:p w14:paraId="1CA1E3B4" w14:textId="77777777" w:rsidR="00431232" w:rsidRDefault="00431232">
      <w:pPr>
        <w:pStyle w:val="Point0"/>
      </w:pPr>
      <w:r>
        <w:tab/>
        <w:t>c)</w:t>
      </w:r>
      <w:r>
        <w:tab/>
        <w:t>i de i stk. 1, litra d), nævnte tilfælde i tidsrummet mellem ændringen af de oplyste forhold og modtagelsen af de fuldstændige og korrekte oplysninger</w:t>
      </w:r>
    </w:p>
    <w:p w14:paraId="09A93ADF" w14:textId="77777777" w:rsidR="00431232" w:rsidRDefault="00431232">
      <w:pPr>
        <w:pStyle w:val="Point0"/>
      </w:pPr>
      <w:r>
        <w:tab/>
        <w:t>d)</w:t>
      </w:r>
      <w:r>
        <w:tab/>
        <w:t>i de i stk. 2 nævnte tilfælde i tidsrummet mellem udløbet af den frist, der er fastsat i afgørelsen, og modtagelsen af de fuldstændige og korrekte oplysninger som krævet i afgørelsen eller fra det tidspunkt, hvor Kommissionen meddeler de anmeldende parter, at den i lyset af resultaterne af den igangværende undersøgelse eller af markedsudviklingen ikke længere har brug for de oplysninger, der er anmodet om.</w:t>
      </w:r>
    </w:p>
    <w:p w14:paraId="3C44459E" w14:textId="77777777" w:rsidR="00431232" w:rsidRDefault="00431232">
      <w:r>
        <w:t>4.</w:t>
      </w:r>
      <w:r>
        <w:tab/>
        <w:t>Fristafbrydelsen begynder på arbejdsdagen efter den dag, hvor den begivenhed, som fører til afbrydelsen, fandt sted. Den ophører med udgangen af den dag, hvor årsagen til afbrydelsen bortfalder. Er denne dag ikke en arbejdsdag, ophører fristafbrydelsen ved udgangen af den følgende arbejdsdag.</w:t>
      </w:r>
    </w:p>
    <w:p w14:paraId="222F989D" w14:textId="77777777" w:rsidR="00431232" w:rsidRDefault="00431232">
      <w:r>
        <w:t>5.</w:t>
      </w:r>
      <w:r>
        <w:tab/>
        <w:t>Kommissionen behandler inden for en rimelig frist alle de data, den har modtaget som led i sin undersøgelse, og som kan sætte den i stand til at fastslå, at de oplysninger, der er anmodet om, eller den kontrolundersøgelse, der er beordret, ikke længere er nødvendig, jf. stk. 3, litra a), b) og d).</w:t>
      </w:r>
    </w:p>
    <w:p w14:paraId="16FE8D30" w14:textId="77777777" w:rsidR="00431232" w:rsidRDefault="00431232">
      <w:pPr>
        <w:pStyle w:val="Titrearticle"/>
      </w:pPr>
      <w:r>
        <w:t>Artikel 10</w:t>
      </w:r>
    </w:p>
    <w:p w14:paraId="3E7B2F39" w14:textId="77777777" w:rsidR="00431232" w:rsidRDefault="00431232">
      <w:pPr>
        <w:pStyle w:val="NormalCentered"/>
        <w:rPr>
          <w:b/>
          <w:bCs/>
        </w:rPr>
      </w:pPr>
      <w:r>
        <w:rPr>
          <w:b/>
          <w:bCs/>
        </w:rPr>
        <w:t>Overholdelse af frister</w:t>
      </w:r>
    </w:p>
    <w:p w14:paraId="16CF6DCF" w14:textId="77777777" w:rsidR="00431232" w:rsidRDefault="00431232">
      <w:r>
        <w:t>1.</w:t>
      </w:r>
      <w:r>
        <w:tab/>
        <w:t>De frister, der er nævnt i artikel 4, stk. 4, fjerde afsnit, artikel 9, stk. 4, artikel 10, stk. 1 og 3, og artikel 22, stk. 3, i forordning (EF) nr. 139/2004, anses for overholdt, når Kommissionen har vedtaget den relevante afgørelse før fristens udløb.</w:t>
      </w:r>
    </w:p>
    <w:p w14:paraId="2EB45858" w14:textId="77777777" w:rsidR="00431232" w:rsidRDefault="00431232">
      <w:r>
        <w:t>2.</w:t>
      </w:r>
      <w:r>
        <w:tab/>
        <w:t>De frister, der er nævnt i artikel 4, stk. 4, andet afsnit, og artikel 4, stk. 5, tredje afsnit, artikel 9, stk. 2, artikel 22, stk. 1, andet afsnit, og artikel 22, stk. 2, andet afsnit, i forordning (EF) nr. 139/2004, anses for overholdt af den pågældende medlemsstat, hvis denne medlemsstat inden fristens udløb henholdsvis underretter Kommissionen skriftligt eller fremsætter eller tilslutter sig anmodningen skriftligt.</w:t>
      </w:r>
    </w:p>
    <w:p w14:paraId="57AE0002" w14:textId="77777777" w:rsidR="00431232" w:rsidRDefault="00431232">
      <w:r>
        <w:t>3.</w:t>
      </w:r>
      <w:r>
        <w:tab/>
        <w:t>Den i artikel 9, stk. 6, i forordning (EF) nr. 139/2004 nævnte frist anses for overholdt, hvis den kompetente myndighed i den pågældende medlemsstat inden fristens udløb har underrettet de deltagende virksomheder som omhandlet i nævnte bestemmelse.</w:t>
      </w:r>
    </w:p>
    <w:p w14:paraId="494336FA" w14:textId="77777777" w:rsidR="00431232" w:rsidRDefault="00431232">
      <w:pPr>
        <w:pStyle w:val="SectionTitle"/>
      </w:pPr>
      <w:r>
        <w:t>KAPITEL IV</w:t>
      </w:r>
    </w:p>
    <w:p w14:paraId="32A0DE07" w14:textId="77777777" w:rsidR="00431232" w:rsidRDefault="00431232">
      <w:pPr>
        <w:pStyle w:val="SectionTitle"/>
      </w:pPr>
      <w:r>
        <w:t>UDØVELSE AF RETTEN TIL AT BLIVE HØRT OG HØRING</w:t>
      </w:r>
    </w:p>
    <w:p w14:paraId="607277C6" w14:textId="77777777" w:rsidR="00431232" w:rsidRDefault="00431232">
      <w:pPr>
        <w:pStyle w:val="Titrearticle"/>
      </w:pPr>
      <w:r>
        <w:t>Artikel 11</w:t>
      </w:r>
    </w:p>
    <w:p w14:paraId="2269E0D7" w14:textId="77777777" w:rsidR="00431232" w:rsidRDefault="00431232">
      <w:pPr>
        <w:pStyle w:val="NormalCentered"/>
        <w:rPr>
          <w:b/>
          <w:bCs/>
        </w:rPr>
      </w:pPr>
      <w:r>
        <w:rPr>
          <w:b/>
          <w:bCs/>
        </w:rPr>
        <w:t>Parter, der skal høres</w:t>
      </w:r>
    </w:p>
    <w:p w14:paraId="52E35FE3" w14:textId="77777777" w:rsidR="00431232" w:rsidRDefault="00431232">
      <w:r>
        <w:t>Med hensyn til retten til at blive hørt, jf. artikel 18 i forordning (EF) nr. 139/2004, sondres der mellem følgende parter:</w:t>
      </w:r>
    </w:p>
    <w:p w14:paraId="77E261C0" w14:textId="77777777" w:rsidR="00431232" w:rsidRDefault="00431232">
      <w:pPr>
        <w:pStyle w:val="Point0"/>
      </w:pPr>
      <w:r>
        <w:tab/>
        <w:t>a)</w:t>
      </w:r>
      <w:r>
        <w:tab/>
        <w:t>anmeldende parter, dvs. personer eller virksomheder, som indgiver anmeldelse efter artikel 4, stk. 2, i forordning (EF) nr. 139/2004</w:t>
      </w:r>
    </w:p>
    <w:p w14:paraId="42CCFE3B" w14:textId="77777777" w:rsidR="00431232" w:rsidRDefault="00431232">
      <w:pPr>
        <w:pStyle w:val="Point0"/>
      </w:pPr>
      <w:r>
        <w:tab/>
        <w:t>b)</w:t>
      </w:r>
      <w:r>
        <w:tab/>
        <w:t>andre implicerede parter, dvs. andre parter i den planlagte fusion end de anmeldende parter, såsom sælgeren og den virksomhed, der søges overtaget</w:t>
      </w:r>
    </w:p>
    <w:p w14:paraId="4D420476" w14:textId="77777777" w:rsidR="00431232" w:rsidRDefault="00431232">
      <w:pPr>
        <w:pStyle w:val="Point0"/>
      </w:pPr>
      <w:r>
        <w:tab/>
        <w:t>c)</w:t>
      </w:r>
      <w:r>
        <w:tab/>
        <w:t>tredjemand, dvs. fysiske eller juridiske personer, herunder kunder, leverandører og konkurrenter, forudsat at de kan godtgøre en tilstrækkelig interesse i sagen, jf. artikel 18, stk. 4, andet punktum, i forordning (EF) nr. 139/2004, hvilket navnlig er tilfældet med:</w:t>
      </w:r>
    </w:p>
    <w:p w14:paraId="78B1F356" w14:textId="77777777" w:rsidR="00431232" w:rsidRDefault="00431232">
      <w:pPr>
        <w:pStyle w:val="Point1"/>
      </w:pPr>
      <w:r>
        <w:tab/>
        <w:t>i)</w:t>
      </w:r>
      <w:r>
        <w:tab/>
        <w:t>medlemmer af de deltagende virksomheders ledelsesorganer eller anerkendte medarbejderrepræsentanter i disse virksomheder</w:t>
      </w:r>
    </w:p>
    <w:p w14:paraId="5DD12D97" w14:textId="77777777" w:rsidR="00431232" w:rsidRDefault="00431232">
      <w:pPr>
        <w:pStyle w:val="Point1"/>
      </w:pPr>
      <w:r>
        <w:tab/>
        <w:t>ii)</w:t>
      </w:r>
      <w:r>
        <w:tab/>
        <w:t>forbrugerorganisationer, når den planlagte fusion berører produkter eller tjenesteydelser, som anvendes af endelige forbrugere</w:t>
      </w:r>
    </w:p>
    <w:p w14:paraId="3CCEE3BB" w14:textId="77777777" w:rsidR="00431232" w:rsidRDefault="00431232">
      <w:pPr>
        <w:pStyle w:val="Point0"/>
      </w:pPr>
      <w:r>
        <w:tab/>
        <w:t>d)</w:t>
      </w:r>
      <w:r>
        <w:tab/>
        <w:t>parter, over for hvilke Kommissionen agter at træffe en afgørelse efter artikel 14 eller 15 i forordning (EF) nr. 139/2004.</w:t>
      </w:r>
    </w:p>
    <w:p w14:paraId="680349A8" w14:textId="77777777" w:rsidR="00431232" w:rsidRDefault="00431232">
      <w:pPr>
        <w:pStyle w:val="Titrearticle"/>
      </w:pPr>
      <w:r>
        <w:t>Artikel 12</w:t>
      </w:r>
    </w:p>
    <w:p w14:paraId="612DB23B" w14:textId="77777777" w:rsidR="00431232" w:rsidRDefault="00431232">
      <w:pPr>
        <w:pStyle w:val="NormalCentered"/>
        <w:rPr>
          <w:b/>
          <w:bCs/>
        </w:rPr>
      </w:pPr>
      <w:r>
        <w:rPr>
          <w:b/>
          <w:bCs/>
        </w:rPr>
        <w:t>Afgørelser om udsættelse af gennemførelsen af en fusion</w:t>
      </w:r>
    </w:p>
    <w:p w14:paraId="311B7978" w14:textId="77777777" w:rsidR="00431232" w:rsidRDefault="00431232">
      <w:r>
        <w:t>1.</w:t>
      </w:r>
      <w:r>
        <w:tab/>
        <w:t>Har Kommissionen til hensigt at træffe en afgørelse i henhold til artikel 7, stk. 3, i forordning (EF) nr. 139/2004 til ugunst for en eller flere af parterne, underretter den skriftligt de anmeldende parter og andre implicerede parter om sine klagepunkter og fastsætter en frist, inden for hvilken de skriftligt kan fremsætte deres synspunkter.</w:t>
      </w:r>
    </w:p>
    <w:p w14:paraId="060FC9FD" w14:textId="77777777" w:rsidR="00431232" w:rsidRDefault="00431232">
      <w:r>
        <w:t>2.</w:t>
      </w:r>
      <w:r>
        <w:tab/>
        <w:t>Har Kommissionen i medfør af artikel 18, stk. 2, i Rådets forordning (EF) nr. 139/2004 truffet en afgørelse som omhandlet i stk. 1 foreløbigt uden at have givet de anmeldende parter og andre implicerede parter lejlighed til at fremsætte deres synspunkter, sender den dem omgående den foreløbige afgørelse og fastsætter en frist, inden for hvilken de skriftligt kan fremsætte deres synspunkter.</w:t>
      </w:r>
    </w:p>
    <w:p w14:paraId="26C496C6" w14:textId="77777777" w:rsidR="00431232" w:rsidRDefault="00431232">
      <w:r>
        <w:t>Når de anmeldende parter og andre implicerede parter har fremsat deres synspunkter, træffer Kommissionen en endelig afgørelse, ved hvilken den foreløbige afgørelse ophæves, ændres eller bekræftes. Har de anmeldende parter og andre implicerede parter ikke fremsat deres synspunkter skriftligt inden for den fastsatte frist, bliver Kommissionens foreløbige afgørelse endelig ved fristens udløb.</w:t>
      </w:r>
    </w:p>
    <w:p w14:paraId="5ED8F5AE" w14:textId="77777777" w:rsidR="00431232" w:rsidRDefault="00431232">
      <w:pPr>
        <w:pStyle w:val="Titrearticle"/>
      </w:pPr>
      <w:r>
        <w:t>Artikel 13</w:t>
      </w:r>
    </w:p>
    <w:p w14:paraId="4456068D" w14:textId="77777777" w:rsidR="00431232" w:rsidRDefault="00431232">
      <w:pPr>
        <w:pStyle w:val="NormalCentered"/>
        <w:rPr>
          <w:b/>
          <w:bCs/>
        </w:rPr>
      </w:pPr>
      <w:r>
        <w:rPr>
          <w:b/>
          <w:bCs/>
        </w:rPr>
        <w:t>Realitetsafgørelser</w:t>
      </w:r>
    </w:p>
    <w:p w14:paraId="3346301B" w14:textId="77777777" w:rsidR="00431232" w:rsidRDefault="00431232">
      <w:r>
        <w:t>1.</w:t>
      </w:r>
      <w:r>
        <w:tab/>
        <w:t>Har Kommissionen til hensigt at træffe en afgørelse i medfør af artikel 6, stk. 3, eller artikel 8, stk. 2-6, i forordning (EF) nr. 139/2004, skal den, før den hører Det Rådgivende Udvalg, indhente udtalelser fra parterne i henhold til nævnte forordnings artikel 18, stk. 1 og 3.</w:t>
      </w:r>
    </w:p>
    <w:p w14:paraId="26B05054" w14:textId="77777777" w:rsidR="00431232" w:rsidRDefault="00431232">
      <w:r>
        <w:t>Artikel 12, stk. 2, i nærværende forordning finder anvendelse med de fornødne tilpasninger, når Kommissionen i medfør af artikel 18, stk. 2, i forordning (EF) nr. 139/2004 har truffet en foreløbig afgørelse efter artikel 8, stk. 5, i nævnte forordning.</w:t>
      </w:r>
    </w:p>
    <w:p w14:paraId="55067C28" w14:textId="77777777" w:rsidR="00431232" w:rsidRDefault="00431232">
      <w:r>
        <w:t>2.</w:t>
      </w:r>
      <w:r>
        <w:tab/>
        <w:t>Kommissionen meddeler skriftligt de anmeldende parter sine klagepunkter i en klagepunktsmeddelelse. Efter udstedelsen af klagepunktsmeddelelsen kan Kommissionen fremsende en eller flere supplerende klagepunktsmeddelelser til de anmeldende parter, hvis Kommissionen ønsker at meddele nye klagepunkter eller ændre den iboende karakter af de klagepunkter, der tidligere er meddelt.</w:t>
      </w:r>
    </w:p>
    <w:p w14:paraId="74D5FBF8" w14:textId="77777777" w:rsidR="00431232" w:rsidRDefault="00431232">
      <w:r>
        <w:t>Ved fremsendelsen af meddelelsen af klagepunkter fastsætter Kommissionen en frist, inden for hvilken de anmeldende parter kan fremsætte bemærkninger skriftligt til Kommissionen.</w:t>
      </w:r>
    </w:p>
    <w:p w14:paraId="50305972" w14:textId="77777777" w:rsidR="00431232" w:rsidRDefault="00431232">
      <w:r>
        <w:t>Kommissionen underretter skriftligt andre implicerede parter om de i første afsnit omhandlede klagepunkter og fastsætter en frist, inden for hvilken disse andre parter skriftligt kan fremsætte bemærkninger til Kommissionen.</w:t>
      </w:r>
    </w:p>
    <w:p w14:paraId="69E44A18" w14:textId="77777777" w:rsidR="00431232" w:rsidRDefault="00431232">
      <w:r>
        <w:t>Kommissionen har ikke pligt til at tage hensyn til bemærkninger, som den modtager efter udløbet af den af den fastsatte frist.</w:t>
      </w:r>
    </w:p>
    <w:p w14:paraId="75FB7932" w14:textId="77777777" w:rsidR="00431232" w:rsidRDefault="00431232">
      <w:r>
        <w:t>3.</w:t>
      </w:r>
      <w:r>
        <w:tab/>
        <w:t xml:space="preserve">I deres skriftlige bemærkninger kan de parter, til hvem Kommissionen har meddelt klagepunkterne, eller som den har givet underretning herom, fremføre alle relevante omstændigheder, som de har kendskab til, og de skal vedlægge alle relevante dokumenter til godtgørelse af de anførte faktiske omstændigheder. De kan også foreslå, at Kommissionen indhenter udtalelse fra personer, som kan bekræfte disse omstændigheder. De indsender deres bemærkninger til Kommissionen i overensstemmelse med artikel 22 og de instrukser, som Kommissionen offentliggør i </w:t>
      </w:r>
      <w:r>
        <w:rPr>
          <w:i/>
          <w:iCs/>
        </w:rPr>
        <w:t>Den Europæiske Unions Tidende</w:t>
      </w:r>
      <w:r>
        <w:t>. Kommissionen sender omgående kopier af disse skriftlige bemærkninger videre til medlemsstaternes kompetente myndigheder.</w:t>
      </w:r>
    </w:p>
    <w:p w14:paraId="4B656461" w14:textId="77777777" w:rsidR="00431232" w:rsidRDefault="00431232">
      <w:r>
        <w:t>4.</w:t>
      </w:r>
      <w:r>
        <w:tab/>
        <w:t>Efter udstedelsen af klagepunktsmeddelelsen kan Kommissionen fremsende en sagsfremstillingsmeddelelse til de anmeldende parter, hvori de underrettes om yderligere eller nye kendsgerninger eller beviser, som Kommissionen agter at anvende til at underbygge de klagepunkter, den allerede har rejst.</w:t>
      </w:r>
    </w:p>
    <w:p w14:paraId="0BC8C8C4" w14:textId="77777777" w:rsidR="00431232" w:rsidRDefault="00431232">
      <w:r>
        <w:t>Når Kommissionen fremsender en klagepunktsmeddelelse, fastsætter den en frist, inden for hvilken de anmeldende parter kan fremsætte bemærkninger skriftligt til Kommissionen.</w:t>
      </w:r>
    </w:p>
    <w:p w14:paraId="30CAAD6B" w14:textId="77777777" w:rsidR="00431232" w:rsidRDefault="00431232">
      <w:r>
        <w:t>5.</w:t>
      </w:r>
      <w:r>
        <w:tab/>
        <w:t>Har Kommissionen til hensigt at træffe en afgørelse i medfør af artikel 14 eller artikel 15 i forordning (EF) nr. 139/2004, skal den, før den hører Det Rådgivende Udvalg, indhente udtalelser fra de parter, over for hvilke Kommissionen agter at træffe en sådan afgørelse i henhold til nævnte forordnings artikel 18, stk. 1 og 3.</w:t>
      </w:r>
    </w:p>
    <w:p w14:paraId="6A6BADC5" w14:textId="77777777" w:rsidR="00431232" w:rsidRDefault="00431232">
      <w:r>
        <w:t>Proceduren i stk. 2, første og andet afsnit, og stk. 3 og 4 finder anvendelse med de fornødne tilpasninger.</w:t>
      </w:r>
    </w:p>
    <w:p w14:paraId="3FF65ED8" w14:textId="77777777" w:rsidR="00431232" w:rsidRDefault="00431232">
      <w:pPr>
        <w:pStyle w:val="Titrearticle"/>
      </w:pPr>
      <w:r>
        <w:t>Artikel 14</w:t>
      </w:r>
    </w:p>
    <w:p w14:paraId="69A15D1B" w14:textId="77777777" w:rsidR="00431232" w:rsidRDefault="00431232">
      <w:pPr>
        <w:pStyle w:val="NormalCentered"/>
        <w:rPr>
          <w:b/>
          <w:bCs/>
        </w:rPr>
      </w:pPr>
      <w:r>
        <w:rPr>
          <w:b/>
          <w:bCs/>
        </w:rPr>
        <w:t>Mundtlige høringer</w:t>
      </w:r>
    </w:p>
    <w:p w14:paraId="6E7DD070" w14:textId="77777777" w:rsidR="00431232" w:rsidRDefault="00431232">
      <w:r>
        <w:t>1.</w:t>
      </w:r>
      <w:r>
        <w:tab/>
        <w:t>Har Kommissionen til hensigt at træffe en afgørelse i medfør af artikel 6, stk. 3, eller artikel 8, stk. 2-6, i forordning (EF) nr. 139/2004, giver den de anmeldende parter, som har anmodet herom i deres skriftlige bemærkninger, lejlighed til at uddybe deres argumenter under en mundtlig høring. Den kan også i andre faser af sagsbehandlingen give disse parter lejlighed til at fremføre deres synspunkter mundtligt.</w:t>
      </w:r>
    </w:p>
    <w:p w14:paraId="6BB24DA6" w14:textId="77777777" w:rsidR="00431232" w:rsidRDefault="00431232">
      <w:r>
        <w:t>2.</w:t>
      </w:r>
      <w:r>
        <w:tab/>
        <w:t>Har Kommissionen til hensigt at træffe en afgørelse i medfør af artikel 6, stk. 3, eller artikel 8, stk. 2-6, i forordning (EF) nr. 139/2004, giver den også andre implicerede parter, som har anmodet herom i deres skriftlige bemærkninger, lejlighed til at uddybe deres argumenter mundtligt under en høring. Den kan også i andre faser af sagsbehandlingen give disse parter lejlighed til at fremføre deres synspunkter mundtligt.</w:t>
      </w:r>
    </w:p>
    <w:p w14:paraId="3259C7FA" w14:textId="77777777" w:rsidR="00431232" w:rsidRDefault="00431232">
      <w:r>
        <w:t>3.</w:t>
      </w:r>
      <w:r>
        <w:tab/>
        <w:t>Har Kommissionen til hensigt at træffe en afgørelse i medfør af artikel 14 eller 15 i forordning (EF) nr. 139/2004, giver den parter, som den har til hensigt at pålægge en bøde eller en tvangsbøde, lejlighed til at uddybe deres argumenter under en mundtlig høring, hvis de har anmodet herom i deres skriftlige bemærkninger. Den kan også i andre faser af sagsbehandlingen give disse parter lejlighed til at fremføre deres synspunkter mundtligt.</w:t>
      </w:r>
    </w:p>
    <w:p w14:paraId="3959803C" w14:textId="77777777" w:rsidR="00431232" w:rsidRDefault="00431232">
      <w:pPr>
        <w:pStyle w:val="Titrearticle"/>
      </w:pPr>
      <w:r>
        <w:t>Artikel 15</w:t>
      </w:r>
    </w:p>
    <w:p w14:paraId="39996366" w14:textId="77777777" w:rsidR="00431232" w:rsidRDefault="00431232">
      <w:pPr>
        <w:pStyle w:val="NormalCentered"/>
        <w:rPr>
          <w:b/>
          <w:bCs/>
        </w:rPr>
      </w:pPr>
      <w:r>
        <w:rPr>
          <w:b/>
          <w:bCs/>
        </w:rPr>
        <w:t>Gennemførelse af mundtlige høringer</w:t>
      </w:r>
    </w:p>
    <w:p w14:paraId="4C872595" w14:textId="77777777" w:rsidR="00431232" w:rsidRDefault="00431232">
      <w:r>
        <w:t>1.</w:t>
      </w:r>
      <w:r>
        <w:tab/>
        <w:t>Mundtlige høringer gennemføres af høringskonsulenten i fuld uafhængighed.</w:t>
      </w:r>
    </w:p>
    <w:p w14:paraId="77B9A3AF" w14:textId="77777777" w:rsidR="00431232" w:rsidRDefault="00431232">
      <w:r>
        <w:t>2.</w:t>
      </w:r>
      <w:r>
        <w:tab/>
        <w:t>Kommissionen indbyder de personer, der skal høres, til at deltage i den mundtlige høring på en dato, som den fastsætter.</w:t>
      </w:r>
    </w:p>
    <w:p w14:paraId="27C9799F" w14:textId="77777777" w:rsidR="00431232" w:rsidRDefault="00431232">
      <w:r>
        <w:t>3.</w:t>
      </w:r>
      <w:r>
        <w:tab/>
        <w:t>Kommissionen indbyder medlemsstaternes kompetente myndigheder til at deltage i alle mundtlige høringer.</w:t>
      </w:r>
    </w:p>
    <w:p w14:paraId="774B84C7" w14:textId="77777777" w:rsidR="00431232" w:rsidRDefault="00431232">
      <w:r>
        <w:t>4.</w:t>
      </w:r>
      <w:r>
        <w:tab/>
        <w:t>Personer, der er indbudt til høring, kan give personligt fremmøde eller lade sig repræsentere af deres advokat eller eventuelt andre ifølge deres vedtægter befuldmægtigede repræsentanter. Virksomheder og virksomhedssammenslutninger kan også lade sig repræsentere af en behørigt befuldmægtiget ansat udvalgt blandt deres faste personale.</w:t>
      </w:r>
    </w:p>
    <w:p w14:paraId="2731B317" w14:textId="77777777" w:rsidR="00431232" w:rsidRDefault="00431232">
      <w:r>
        <w:t>5.</w:t>
      </w:r>
      <w:r>
        <w:tab/>
        <w:t>Personer, der skal høres af Kommissionen, kan bistås af deres advokater eller andre kvalificerede og behørigt befuldmægtigede personer, der er godkendt af høringskonsulenten.</w:t>
      </w:r>
    </w:p>
    <w:p w14:paraId="38B0494E" w14:textId="77777777" w:rsidR="00431232" w:rsidRDefault="00431232">
      <w:r>
        <w:t>6.</w:t>
      </w:r>
      <w:r>
        <w:tab/>
        <w:t>Mundtlige høringer er ikke offentlige. Høringen kan foretages af personerne enkeltvis eller under tilstedeværelse af andre personer, der er indbudt til at deltage, under hensyntagen til virksomhedernes berettigede interesse i beskyttelse af forretningshemmeligheder eller andre fortrolige oplysninger.</w:t>
      </w:r>
    </w:p>
    <w:p w14:paraId="5DF907E8" w14:textId="77777777" w:rsidR="00431232" w:rsidRDefault="00431232">
      <w:r>
        <w:t>7.</w:t>
      </w:r>
      <w:r>
        <w:tab/>
        <w:t>Høringskonsulenten kan give alle de i artikel 11 omhandlede parter, Kommissionens tjenestegrene og medlemsstaternes kompetente myndigheder adgang til at stille spørgsmål under den mundtlige høring.</w:t>
      </w:r>
    </w:p>
    <w:p w14:paraId="35B12F91" w14:textId="77777777" w:rsidR="00431232" w:rsidRDefault="00431232">
      <w:r>
        <w:t>8.</w:t>
      </w:r>
      <w:r>
        <w:tab/>
        <w:t>Høringskonsulenten kan holde et forberedende møde med parterne og Kommissionens tjenestegrene med henblik på at fremme en effektiv tilrettelæggelse af den mundtlige høring.</w:t>
      </w:r>
    </w:p>
    <w:p w14:paraId="697A90CF" w14:textId="77777777" w:rsidR="00431232" w:rsidRDefault="00431232">
      <w:r>
        <w:t>9.</w:t>
      </w:r>
      <w:r>
        <w:tab/>
        <w:t>Alle de hørte personers udtalelser føres til protokols. De personer, der deltog i høringen, kan på forlangende få adgang til protokollen over den mundtlige høring. Der skal i den forbindelse tages hensyn til virksomhedernes retmæssige interesse i, at deres forretningshemmeligheder og andre fortrolige oplysninger beskyttes.</w:t>
      </w:r>
    </w:p>
    <w:p w14:paraId="1E124BD0" w14:textId="77777777" w:rsidR="00431232" w:rsidRDefault="00431232">
      <w:pPr>
        <w:pStyle w:val="Titrearticle"/>
      </w:pPr>
      <w:r>
        <w:t>Artikel 16</w:t>
      </w:r>
    </w:p>
    <w:p w14:paraId="3EF332A5" w14:textId="77777777" w:rsidR="00431232" w:rsidRDefault="00431232">
      <w:pPr>
        <w:pStyle w:val="NormalCentered"/>
        <w:rPr>
          <w:b/>
          <w:bCs/>
        </w:rPr>
      </w:pPr>
      <w:r>
        <w:rPr>
          <w:b/>
          <w:bCs/>
        </w:rPr>
        <w:t>Høring af tredjemand</w:t>
      </w:r>
    </w:p>
    <w:p w14:paraId="12EAB3BE" w14:textId="77777777" w:rsidR="00431232" w:rsidRDefault="00431232">
      <w:r>
        <w:t>1.</w:t>
      </w:r>
      <w:r>
        <w:tab/>
        <w:t>Hvis tredjemand anmoder om at blive hørt, underretter Kommissionen vedkommende skriftligt om sagens art og indhold og fastsætter en frist, inden for hvilken tredjemanden kan fremsætte sine synspunkter.</w:t>
      </w:r>
    </w:p>
    <w:p w14:paraId="50FE44A8" w14:textId="77777777" w:rsidR="00431232" w:rsidRDefault="00431232">
      <w:r>
        <w:t>2.</w:t>
      </w:r>
      <w:r>
        <w:tab/>
        <w:t>Hvis der er udstedt en klagepunktsmeddelelse eller en supplerende klagepunktsmeddelelse, kan Kommissionen fremsende en ikkefortrolig version af denne meddelelse til tredjemand eller på anden måde underrette vedkommende om sagens art og indhold. Med henblik herpå udpeger de anmeldende parter alle oplysninger, som de anser for fortrolige i klagepunkterne, i henhold til artikel 18, stk. 3, andet og tredje afsnit, senest fem arbejdsdage efter modtagelsen af meddelelsen. Kommissionen fremsender den ikkefortrolige version af klagepunkterne til tredjemand alene til brug i forbindelse med den relevante sag i henhold til forordning (EF) nr. 139/2004. Tredjemand skal acceptere denne begrænsning for anvendelsen inden modtagelsen af den ikkefortrolige version af klagepunkterne.</w:t>
      </w:r>
    </w:p>
    <w:p w14:paraId="459CC98E" w14:textId="77777777" w:rsidR="00431232" w:rsidRDefault="00431232">
      <w:r>
        <w:t>Hvis Kommissionen ikke har udstedt en klagepunktsmeddelelse, er Kommissionen ikke forpligtet til at meddele en tredjemand omhandlet i stk. 1 nogen oplysninger ud over sagens art og indhold.</w:t>
      </w:r>
    </w:p>
    <w:p w14:paraId="2AED3556" w14:textId="77777777" w:rsidR="00431232" w:rsidRDefault="00431232">
      <w:r>
        <w:t>3.</w:t>
      </w:r>
      <w:r>
        <w:tab/>
        <w:t>En tredjemand omhandlet i stk. 1 skal fremsætte sine synspunkter skriftligt inden for den fastsatte frist. Kommissionen kan, såfremt den skønner det formålstjenligt, give tredjemand, der har anmodet herom i sine skriftlige bemærkninger, mulighed for at deltage i en høring. Den kan også i andre tilfælde give en sådan tredjemand lejlighed til at fremføre sine synspunkter mundtligt.</w:t>
      </w:r>
    </w:p>
    <w:p w14:paraId="6923FB88" w14:textId="77777777" w:rsidR="00431232" w:rsidRDefault="00431232">
      <w:r>
        <w:t>4.</w:t>
      </w:r>
      <w:r>
        <w:tab/>
        <w:t>Kommissionen kan opfordre enhver anden fysisk eller juridisk person til at fremføre deres synspunkter, såvel skriftligt som mundtligt, herunder ved en mundtlig høring.</w:t>
      </w:r>
    </w:p>
    <w:p w14:paraId="247581B3" w14:textId="77777777" w:rsidR="00431232" w:rsidRDefault="00431232">
      <w:pPr>
        <w:pStyle w:val="SectionTitle"/>
      </w:pPr>
      <w:r>
        <w:t>KAPITEL V</w:t>
      </w:r>
    </w:p>
    <w:p w14:paraId="4AFD7C14" w14:textId="77777777" w:rsidR="00431232" w:rsidRDefault="00431232">
      <w:pPr>
        <w:pStyle w:val="SectionTitle"/>
      </w:pPr>
      <w:r>
        <w:rPr>
          <w:i/>
          <w:iCs/>
        </w:rPr>
        <w:t>AKTINDSIGT OG BEHANDLING AF FORTROLIGE OPLYSNINGER</w:t>
      </w:r>
    </w:p>
    <w:p w14:paraId="798DF31D" w14:textId="77777777" w:rsidR="00431232" w:rsidRDefault="00431232">
      <w:pPr>
        <w:pStyle w:val="Titrearticle"/>
      </w:pPr>
      <w:r>
        <w:t>Artikel 17</w:t>
      </w:r>
    </w:p>
    <w:p w14:paraId="55B4964C" w14:textId="77777777" w:rsidR="00431232" w:rsidRDefault="00431232">
      <w:pPr>
        <w:pStyle w:val="NormalCentered"/>
        <w:rPr>
          <w:b/>
          <w:bCs/>
        </w:rPr>
      </w:pPr>
      <w:r>
        <w:rPr>
          <w:b/>
          <w:bCs/>
        </w:rPr>
        <w:t>Aktindsigt og brug af dokumenter</w:t>
      </w:r>
    </w:p>
    <w:p w14:paraId="0BF6B7B5" w14:textId="77777777" w:rsidR="00431232" w:rsidRDefault="00431232">
      <w:r>
        <w:t>1.</w:t>
      </w:r>
      <w:r>
        <w:tab/>
        <w:t>Kommissionen giver på begæring fra de parter, til hvem den har rettet en klagepunktsmeddelelse, indsigt i sagens akter, så de kan udøve deres ret til kontradiktion. Aktindsigt gives efter fremsendelsen af klagepunktsmeddelelsen til de anmeldende parter.</w:t>
      </w:r>
    </w:p>
    <w:p w14:paraId="12F242EB" w14:textId="77777777" w:rsidR="00431232" w:rsidRDefault="00431232">
      <w:r>
        <w:t>2.</w:t>
      </w:r>
      <w:r>
        <w:tab/>
        <w:t>På begæring giver Kommissionen tillige andre implicerede parter, der er blevet underrettet om klagepunkterne, indsigt i sagens akter i det omfang, det er nødvendigt for deres udarbejdelse af bemærkninger.</w:t>
      </w:r>
    </w:p>
    <w:p w14:paraId="72FDF2A1" w14:textId="77777777" w:rsidR="00431232" w:rsidRDefault="00431232">
      <w:r>
        <w:t>3.</w:t>
      </w:r>
      <w:r>
        <w:tab/>
        <w:t>Retten til aktindsigt omfatter ikke:</w:t>
      </w:r>
    </w:p>
    <w:p w14:paraId="135212B6" w14:textId="77777777" w:rsidR="00431232" w:rsidRDefault="00431232">
      <w:pPr>
        <w:pStyle w:val="Point0"/>
      </w:pPr>
      <w:r>
        <w:tab/>
        <w:t>a)</w:t>
      </w:r>
      <w:r>
        <w:tab/>
        <w:t>fortrolige oplysninger</w:t>
      </w:r>
    </w:p>
    <w:p w14:paraId="4EA48C49" w14:textId="77777777" w:rsidR="00431232" w:rsidRDefault="00431232">
      <w:pPr>
        <w:pStyle w:val="Point0"/>
      </w:pPr>
      <w:r>
        <w:tab/>
        <w:t>b)</w:t>
      </w:r>
      <w:r>
        <w:tab/>
        <w:t>Kommissionens interne dokumenter</w:t>
      </w:r>
    </w:p>
    <w:p w14:paraId="19A6A0E4" w14:textId="77777777" w:rsidR="00431232" w:rsidRDefault="00431232">
      <w:pPr>
        <w:pStyle w:val="Point0"/>
      </w:pPr>
      <w:r>
        <w:tab/>
        <w:t>c)</w:t>
      </w:r>
      <w:r>
        <w:tab/>
        <w:t>medlemsstaternes kompetente myndigheders interne dokumenter</w:t>
      </w:r>
    </w:p>
    <w:p w14:paraId="28771289" w14:textId="77777777" w:rsidR="00431232" w:rsidRDefault="00431232">
      <w:pPr>
        <w:pStyle w:val="Point0"/>
      </w:pPr>
      <w:r>
        <w:tab/>
        <w:t>d)</w:t>
      </w:r>
      <w:r>
        <w:tab/>
        <w:t>korrespondance mellem Kommissionen og medlemsstaternes kompetente myndigheder</w:t>
      </w:r>
    </w:p>
    <w:p w14:paraId="7B0EE516" w14:textId="77777777" w:rsidR="00431232" w:rsidRDefault="00431232">
      <w:pPr>
        <w:pStyle w:val="Point0"/>
      </w:pPr>
      <w:r>
        <w:tab/>
        <w:t>e)</w:t>
      </w:r>
      <w:r>
        <w:tab/>
        <w:t>korrespondance mellem medlemsstaternes kompetente myndigheder og</w:t>
      </w:r>
    </w:p>
    <w:p w14:paraId="05777C99" w14:textId="77777777" w:rsidR="00431232" w:rsidRDefault="00431232">
      <w:pPr>
        <w:pStyle w:val="Point0"/>
      </w:pPr>
      <w:r>
        <w:tab/>
        <w:t>f)</w:t>
      </w:r>
      <w:r>
        <w:tab/>
        <w:t>korrespondance mellem Kommissionen og andre konkurrencemyndigheder.</w:t>
      </w:r>
    </w:p>
    <w:p w14:paraId="53F3B9F2" w14:textId="77777777" w:rsidR="00431232" w:rsidRDefault="00431232">
      <w:r>
        <w:t>4.</w:t>
      </w:r>
      <w:r>
        <w:tab/>
        <w:t>Dokumenter opnået gennem aktindsigt i henhold til denne artikel må kun bruges til den pågældende sag efter forordning (EF) nr. 139/2004.</w:t>
      </w:r>
    </w:p>
    <w:p w14:paraId="483153E0" w14:textId="77777777" w:rsidR="00431232" w:rsidRDefault="00431232">
      <w:pPr>
        <w:pStyle w:val="Titrearticle"/>
      </w:pPr>
      <w:r>
        <w:t>Artikel 18</w:t>
      </w:r>
    </w:p>
    <w:p w14:paraId="276BA5D9" w14:textId="77777777" w:rsidR="00431232" w:rsidRDefault="00431232">
      <w:pPr>
        <w:pStyle w:val="NormalCentered"/>
        <w:rPr>
          <w:b/>
          <w:bCs/>
        </w:rPr>
      </w:pPr>
      <w:r>
        <w:rPr>
          <w:b/>
          <w:bCs/>
        </w:rPr>
        <w:t>Behandling af fortrolige oplysninger</w:t>
      </w:r>
    </w:p>
    <w:p w14:paraId="67C637C4" w14:textId="77777777" w:rsidR="00431232" w:rsidRDefault="00431232">
      <w:r>
        <w:t>1.</w:t>
      </w:r>
      <w:r>
        <w:tab/>
        <w:t>Der må ikke af Kommissionen videregives eller gives aktindsigt i oplysninger, herunder dokumenter, i det omfang:</w:t>
      </w:r>
    </w:p>
    <w:p w14:paraId="3A565469" w14:textId="77777777" w:rsidR="00431232" w:rsidRDefault="00431232">
      <w:pPr>
        <w:pStyle w:val="Point0"/>
      </w:pPr>
      <w:r>
        <w:tab/>
        <w:t>a)</w:t>
      </w:r>
      <w:r>
        <w:tab/>
        <w:t>de indeholder forretningshemmeligheder eller andre fortrolige oplysninger og</w:t>
      </w:r>
    </w:p>
    <w:p w14:paraId="1CF123CD" w14:textId="77777777" w:rsidR="00431232" w:rsidRDefault="00431232">
      <w:pPr>
        <w:pStyle w:val="Point0"/>
      </w:pPr>
      <w:r>
        <w:tab/>
        <w:t>b)</w:t>
      </w:r>
      <w:r>
        <w:tab/>
        <w:t>videregivelsen af oplysningerne ikke anses for nødvendig af Kommissionen for sagsbehandlingen.</w:t>
      </w:r>
    </w:p>
    <w:p w14:paraId="69F73946" w14:textId="77777777" w:rsidR="00431232" w:rsidRDefault="00431232">
      <w:r>
        <w:t>2.</w:t>
      </w:r>
      <w:r>
        <w:tab/>
        <w:t>Personer, virksomheder og virksomhedssammenslutninger, som fremsætter deres synspunkter eller bemærkninger i henhold til denne forordnings artikel 12, 13 og 16, afgiver oplysninger i henhold til artikel 11 i forordning (EF) nr. 139/2004 eller siden fremlægger yderligere oplysninger for Kommissionen i forbindelse med behandlingen af den samme sag, skal klart angive, hvilket materiale den pågældende anser for fortroligt, og grundene hertil samt indsende en særskilt ikkefortrolig version inden for den af Kommissionen fastsatte frist.</w:t>
      </w:r>
    </w:p>
    <w:p w14:paraId="4C5D2F69" w14:textId="77777777" w:rsidR="00431232" w:rsidRDefault="00431232">
      <w:r>
        <w:t>3.</w:t>
      </w:r>
      <w:r>
        <w:tab/>
        <w:t>Medmindre andet gælder i henhold til stk. 2, kan Kommissionen kræve, at de i artikel 3 i forordning (EF) nr. 139/2004 omhandlede personer, virksomheder og virksomhedssammenslutninger, når disse fremlægger eller har fremlagt dokumenter eller erklæringer i henhold til forordning (EF) nr. 139/2004, nærmere angiver de dokumenter eller dele af dokumenter, som de finder indeholder forretningshemmeligheder eller andre fortrolige oplysninger tilhørende dem, og angiver, i forhold til hvilke virksomheder disse dokumenter skal betragtes som fortrolige.</w:t>
      </w:r>
    </w:p>
    <w:p w14:paraId="2DF0A816" w14:textId="77777777" w:rsidR="00431232" w:rsidRDefault="00431232">
      <w:r>
        <w:t>Kommissionen kan også kræve, at de i artikel 3 i forordning (EF) nr. 139/2004 omhandlede personer, virksomheder eller virksomhedssammenslutninger nærmere angiver de dele af en klagepunktsmeddelelse, en sagsfremstilling eller en afgørelse vedtaget af Kommissionen, der efter deres opfattelse indeholder forretningshemmeligheder.</w:t>
      </w:r>
    </w:p>
    <w:p w14:paraId="046D1EC6" w14:textId="77777777" w:rsidR="00431232" w:rsidRDefault="00431232">
      <w:r>
        <w:t>Når der angives at være forretningshemmeligheder eller andre fortrolige oplysninger, skal de pågældende personer, virksomheder eller virksomhedssammenslutninger angive en begrundelse og fremsende en særskilt ikkefortrolig version inden den af Kommissionen fastsatte frist.</w:t>
      </w:r>
    </w:p>
    <w:p w14:paraId="6942500B" w14:textId="77777777" w:rsidR="00431232" w:rsidRDefault="00431232">
      <w:r>
        <w:t>4.</w:t>
      </w:r>
      <w:r>
        <w:tab/>
        <w:t>Hvis personer, virksomheder eller virksomhedssammenslutninger undlader at efterkomme stk. 2 eller 3, kan Kommissionen gå ud fra, at de pågældende dokumenter eller udtalelser ikke indeholder fortrolige oplysninger.</w:t>
      </w:r>
    </w:p>
    <w:p w14:paraId="3005A617" w14:textId="77777777" w:rsidR="00431232" w:rsidRDefault="00431232">
      <w:pPr>
        <w:pStyle w:val="SectionTitle"/>
      </w:pPr>
      <w:r>
        <w:t>KAPITEL VI</w:t>
      </w:r>
    </w:p>
    <w:p w14:paraId="63C19001" w14:textId="77777777" w:rsidR="00431232" w:rsidRDefault="00431232">
      <w:pPr>
        <w:pStyle w:val="SectionTitle"/>
      </w:pPr>
      <w:r>
        <w:rPr>
          <w:i/>
          <w:iCs/>
        </w:rPr>
        <w:t>TILSAGN FRA DE DELTAGENDE VIRKSOMHEDER</w:t>
      </w:r>
    </w:p>
    <w:p w14:paraId="13BE536D" w14:textId="77777777" w:rsidR="00431232" w:rsidRDefault="00431232">
      <w:pPr>
        <w:pStyle w:val="Titrearticle"/>
      </w:pPr>
      <w:r>
        <w:t>Artikel 19</w:t>
      </w:r>
    </w:p>
    <w:p w14:paraId="07934701" w14:textId="77777777" w:rsidR="00431232" w:rsidRDefault="00431232">
      <w:pPr>
        <w:pStyle w:val="NormalCentered"/>
        <w:rPr>
          <w:b/>
          <w:bCs/>
        </w:rPr>
      </w:pPr>
      <w:r>
        <w:rPr>
          <w:b/>
          <w:bCs/>
        </w:rPr>
        <w:t>Frister for afgivelse af tilsagn</w:t>
      </w:r>
    </w:p>
    <w:p w14:paraId="3817B300" w14:textId="77777777" w:rsidR="00431232" w:rsidRDefault="00431232">
      <w:r>
        <w:t>1.</w:t>
      </w:r>
      <w:r>
        <w:tab/>
        <w:t>Tilsagn, som de deltagende virksomheder har tilbudt at afgive over for Kommissionen i overensstemmelse med artikel 6, stk. 2, i forordning (EF) nr. 139/2004, skal afgives senest 20 arbejdsdage efter datoen for modtagelsen af anmeldelsen.</w:t>
      </w:r>
    </w:p>
    <w:p w14:paraId="003AE557" w14:textId="77777777" w:rsidR="00431232" w:rsidRDefault="00431232">
      <w:r>
        <w:t>2.</w:t>
      </w:r>
      <w:r>
        <w:tab/>
        <w:t>Tilsagn, som de deltagende virksomheder har tilbudt at afgive over for Kommissionen i overensstemmelse med artikel 8, stk. 2, i forordning (EF) nr. 139/2004, skal afgives senest 65 arbejdsdage efter den dato, hvor proceduren blev indledt.</w:t>
      </w:r>
    </w:p>
    <w:p w14:paraId="6E7CE204" w14:textId="77777777" w:rsidR="00431232" w:rsidRDefault="00431232">
      <w:r>
        <w:t>Hvis de deltagende virksomheder først tilbyder at afgive tilsagn senest 55 arbejdsdage efter den dato, hvor proceduren blev indledt, men fremlægger en ændret version af tilsagnene 55 eller flere arbejdsdage efter den dato, anses de ændrede tilsagn for at være nye tilsagn med henblik på anvendelsen af artikel 10, stk. 3, andet punktum, i forordning (EF) nr. 139/2004.</w:t>
      </w:r>
    </w:p>
    <w:p w14:paraId="47F7A220" w14:textId="77777777" w:rsidR="00431232" w:rsidRDefault="00431232">
      <w:r>
        <w:t>Når fristen for vedtagelse af en afgørelse i henhold til artikel 8, stk. 1-3, forlænges i medfør af artikel 10, stk. 3, andet afsnit, i forordning (EF) nr. 139/2004, forlænges fristen på 65 arbejdsdage for afgivelse af tilsagn automatisk med det samme antal arbejdsdage.</w:t>
      </w:r>
    </w:p>
    <w:p w14:paraId="0213726E" w14:textId="77777777" w:rsidR="00431232" w:rsidRDefault="00431232">
      <w:r>
        <w:t>Kommissionen kan i ekstraordinære tilfælde acceptere tilsagn, der tilbydes efter udløbet af fristen for deres afgivelse som omhandlet i denne artikel. Når Kommissionen afgør, om den vil acceptere tilsagn, der tilbydes under sådanne omstændigheder, skal den navnlig tage hensyn til nødvendigheden af at opfylde kravene i artikel 19, stk. 5, i forordning (EF) nr. 139/2004.</w:t>
      </w:r>
    </w:p>
    <w:p w14:paraId="3F19A068" w14:textId="77777777" w:rsidR="00431232" w:rsidRDefault="00431232">
      <w:r>
        <w:t>3.</w:t>
      </w:r>
      <w:r>
        <w:tab/>
        <w:t>Artikel 7, 8 og 9 finder anvendelse med de fornødne tilpasninger.</w:t>
      </w:r>
    </w:p>
    <w:p w14:paraId="552B8355" w14:textId="77777777" w:rsidR="00431232" w:rsidRDefault="00431232">
      <w:pPr>
        <w:pStyle w:val="Titrearticle"/>
      </w:pPr>
      <w:r>
        <w:t>Artikel 20</w:t>
      </w:r>
    </w:p>
    <w:p w14:paraId="015A44A6" w14:textId="77777777" w:rsidR="00431232" w:rsidRDefault="00431232">
      <w:pPr>
        <w:pStyle w:val="NormalCentered"/>
        <w:rPr>
          <w:b/>
          <w:bCs/>
        </w:rPr>
      </w:pPr>
      <w:r>
        <w:rPr>
          <w:b/>
          <w:bCs/>
        </w:rPr>
        <w:t>Procedure for afgivelse af tilsagn</w:t>
      </w:r>
    </w:p>
    <w:p w14:paraId="7F0855F0" w14:textId="77777777" w:rsidR="00431232" w:rsidRDefault="00431232">
      <w:r>
        <w:t>1.</w:t>
      </w:r>
      <w:r>
        <w:tab/>
        <w:t xml:space="preserve">Tilsagn, som de deltagende virksomheder tilbyder at afgive i overensstemmelse med artikel 6, stk. 2, eller artikel 8, stk. 2, i forordning (EF) nr. 139/2004, indsendes til Kommissionen i overensstemmelse med artikel 22 og de instrukser, som Kommissionen offentliggør i </w:t>
      </w:r>
      <w:r>
        <w:rPr>
          <w:i/>
          <w:iCs/>
        </w:rPr>
        <w:t>Den Europæiske Unions Tidende</w:t>
      </w:r>
      <w:r>
        <w:t>. Kommissionen sender omgående disse tilsagn videre til medlemsstaternes kompetente myndigheder.</w:t>
      </w:r>
    </w:p>
    <w:p w14:paraId="7DD5DCE2" w14:textId="77777777" w:rsidR="00431232" w:rsidRDefault="00431232">
      <w:r>
        <w:t>2.</w:t>
      </w:r>
      <w:r>
        <w:tab/>
        <w:t xml:space="preserve">Ud over at opfylde kravene i stk. 1 skal de deltagende virksomheder, samtidig med at de tilbyder at afgive tilsagn i henhold til artikel 6, stk. 2, eller artikel 8, stk. 2, i forordning (EF) nr. 139/2004, fremsende de oplysninger, der kræves på RM-formularen som anført i bilag IV til nærværende forordning, i overensstemmelse med artikel 22 og de instrukser, som Kommissionen offentliggør i </w:t>
      </w:r>
      <w:r>
        <w:rPr>
          <w:i/>
          <w:iCs/>
        </w:rPr>
        <w:t>Den Europæiske Unions Tidende</w:t>
      </w:r>
      <w:r>
        <w:t>. Disse oplysninger skal være korrekte og fuldstændige.</w:t>
      </w:r>
    </w:p>
    <w:p w14:paraId="1087C9DC" w14:textId="77777777" w:rsidR="00431232" w:rsidRDefault="00431232">
      <w:r>
        <w:t>Artikel 4 finder anvendelse med de fornødne tilpasninger på RM-formularen, som ledsager de tilsagn, der tilbydes i henhold til artikel 6, stk. 2, eller artikel 8, stk. 2, i forordning (EF) nr. 139/2004.</w:t>
      </w:r>
    </w:p>
    <w:p w14:paraId="4457A4DC" w14:textId="77777777" w:rsidR="00431232" w:rsidRDefault="00431232">
      <w:r>
        <w:t>3.</w:t>
      </w:r>
      <w:r>
        <w:tab/>
        <w:t>Når de deltagende virksomheder tilbyder at afgive tilsagn i henhold til artikel 6, stk. 2, eller artikel 8, stk. 2, i forordning (EF) nr. 139/2004, skal de samtidig klart angive, om der er oplysninger, som de anser for fortrolige, med angivelse af en begrundelse herfor, og fremsende en særskilt, ikkefortrolig version.</w:t>
      </w:r>
    </w:p>
    <w:p w14:paraId="715C5EA4" w14:textId="77777777" w:rsidR="00431232" w:rsidRDefault="00431232">
      <w:r>
        <w:t>4.</w:t>
      </w:r>
      <w:r>
        <w:tab/>
        <w:t>Tilsagn, der tilbydes afgivet i overensstemmelse med artikel 6, stk. 2, eller artikel 8, stk. 2, i forordning (EF) nr. 139/2004, underskrives af de anmeldende parter og af andre implicerede parter, der pålægges forpligtelser i medfør af tilsagnene.</w:t>
      </w:r>
    </w:p>
    <w:p w14:paraId="7FA7A7CB" w14:textId="77777777" w:rsidR="00431232" w:rsidRDefault="00431232">
      <w:r>
        <w:t>5.</w:t>
      </w:r>
      <w:r>
        <w:tab/>
        <w:t>En ikkefortrolig version af tilsagnene offentliggøres på webstedet for Kommissionens Generaldirektorat for Konkurrence umiddelbart efter vedtagelsen af en afgørelse i henhold til artikel 6, stk. 2, eller artikel 8, stk. 2, i forordning (EF) nr. 139/2004. Med henblik herpå fremsender de anmeldende parter en ikkefortrolig version af tilsagnene senest fem arbejdsdage efter vedtagelsen af afgørelsen i henhold til artikel 6, stk. 2, eller artikel 8, stk. 2, i forordning (EF) nr. 139/2004.</w:t>
      </w:r>
    </w:p>
    <w:p w14:paraId="5DDD1E71" w14:textId="77777777" w:rsidR="00431232" w:rsidRDefault="00431232">
      <w:pPr>
        <w:pStyle w:val="Titrearticle"/>
      </w:pPr>
      <w:r>
        <w:t>Artikel 21</w:t>
      </w:r>
    </w:p>
    <w:p w14:paraId="06E5AD18" w14:textId="77777777" w:rsidR="00431232" w:rsidRDefault="00431232">
      <w:pPr>
        <w:pStyle w:val="NormalCentered"/>
        <w:rPr>
          <w:b/>
          <w:bCs/>
        </w:rPr>
      </w:pPr>
      <w:r>
        <w:rPr>
          <w:b/>
          <w:bCs/>
        </w:rPr>
        <w:t>Trustee</w:t>
      </w:r>
    </w:p>
    <w:p w14:paraId="342E359B" w14:textId="77777777" w:rsidR="00431232" w:rsidRDefault="00431232">
      <w:r>
        <w:t>1.</w:t>
      </w:r>
      <w:r>
        <w:tab/>
        <w:t>De tilsagn, de deltagende virksomheder tilbyder i henhold til artikel 6, stk. 2, eller artikel 8, stk. 2, i forordning (EF) nr. 139/2004, kan omfatte, at der på de deltagende virksomheders egen bekostning udpeges en eller flere uafhængige trustees, som skal bistå Kommissionen med at føre tilsyn med parternes opfyldelse af tilsagnene, eller som skal opfylde tilsagnene. De pågældende trustees kan udpeges af parterne med Kommissionens godkendelse eller af Kommissionen. De pågældende trustees udfører deres opgaver under Kommissionens tilsyn.</w:t>
      </w:r>
    </w:p>
    <w:p w14:paraId="6BCB4483" w14:textId="77777777" w:rsidR="00431232" w:rsidRDefault="00431232">
      <w:r>
        <w:t>2.</w:t>
      </w:r>
      <w:r>
        <w:tab/>
        <w:t>Kommissionen kan vedlægge de betingelser eller forpligtelser, der gælder for de i stk. 1 omhandlede trustees, som bilag til afgørelsen i henhold til artikel 6, stk. 2, eller artikel 8, stk. 2, i forordning (EF) nr. 139/2004.</w:t>
      </w:r>
    </w:p>
    <w:p w14:paraId="7010412F" w14:textId="77777777" w:rsidR="00431232" w:rsidRDefault="00431232">
      <w:pPr>
        <w:pStyle w:val="SectionTitle"/>
      </w:pPr>
      <w:r>
        <w:t>KAPITEL VII</w:t>
      </w:r>
    </w:p>
    <w:p w14:paraId="3AA1A1FC" w14:textId="77777777" w:rsidR="00431232" w:rsidRDefault="00431232">
      <w:pPr>
        <w:pStyle w:val="SectionTitle"/>
      </w:pPr>
      <w:r>
        <w:rPr>
          <w:i/>
          <w:iCs/>
        </w:rPr>
        <w:t>DIVERSE BESTEMMELSER</w:t>
      </w:r>
    </w:p>
    <w:p w14:paraId="65D00867" w14:textId="77777777" w:rsidR="00431232" w:rsidRDefault="00431232">
      <w:pPr>
        <w:pStyle w:val="Titrearticle"/>
      </w:pPr>
      <w:r>
        <w:t>Artikel 22</w:t>
      </w:r>
    </w:p>
    <w:p w14:paraId="78DF38AC" w14:textId="77777777" w:rsidR="00431232" w:rsidRDefault="00431232">
      <w:pPr>
        <w:pStyle w:val="NormalCentered"/>
        <w:rPr>
          <w:b/>
          <w:bCs/>
        </w:rPr>
      </w:pPr>
      <w:r>
        <w:rPr>
          <w:b/>
          <w:bCs/>
        </w:rPr>
        <w:t>Fremsendelse og underskrivelse af dokumenter</w:t>
      </w:r>
    </w:p>
    <w:p w14:paraId="268E15D9" w14:textId="77777777" w:rsidR="00431232" w:rsidRDefault="00431232">
      <w:r>
        <w:t>1.</w:t>
      </w:r>
      <w:r>
        <w:tab/>
        <w:t>Fremsendelse af dokumenter til og fra Kommissionen foregår digitalt, medmindre Kommissionen undtagelsesvis accepterer, at andre midler anført i stk. 6 og 7 kan anvendes.</w:t>
      </w:r>
    </w:p>
    <w:p w14:paraId="33E8E6F2" w14:textId="77777777" w:rsidR="00431232" w:rsidRDefault="00431232">
      <w:r>
        <w:t>2.</w:t>
      </w:r>
      <w:r>
        <w:tab/>
        <w:t>Hvis det kræves, at dokumenter er underskrevet, skal dokumenter, der fremsendes digitalt, være underskrevet ved brug af mindst én kvalificeret elektronisk signatur (QES), som er i overensstemmelse med kravene i forordning (EU) nr. 910/2014 (»eIDAS-forordningen«)</w:t>
      </w:r>
      <w:r>
        <w:rPr>
          <w:rStyle w:val="FootnoteReference"/>
        </w:rPr>
        <w:footnoteReference w:id="1"/>
      </w:r>
      <w:r>
        <w:t xml:space="preserve"> og senere ændringer heraf.</w:t>
      </w:r>
    </w:p>
    <w:p w14:paraId="08F0A5D6" w14:textId="77777777" w:rsidR="00431232" w:rsidRDefault="00431232">
      <w:r>
        <w:t>3.</w:t>
      </w:r>
      <w:r>
        <w:tab/>
        <w:t xml:space="preserve">Detaljerede tekniske specifikationer vedrørende fremsendelse og signatur offentliggøres i </w:t>
      </w:r>
      <w:r>
        <w:rPr>
          <w:i/>
          <w:iCs/>
        </w:rPr>
        <w:t>Den Europæiske Unions Tidende</w:t>
      </w:r>
      <w:r>
        <w:t xml:space="preserve"> og på webstedet for Kommissionens Generaldirektorat for Konkurrence.</w:t>
      </w:r>
    </w:p>
    <w:p w14:paraId="1316C701" w14:textId="77777777" w:rsidR="00431232" w:rsidRDefault="00431232">
      <w:r>
        <w:t>4.</w:t>
      </w:r>
      <w:r>
        <w:tab/>
        <w:t>Med undtagelse af formularerne i bilag I, II og III anses alle dokumenter, der fremsendes elektronisk til Kommissionen på en arbejdsdag, for at være modtaget den dag, de blev afsendt, forudsat at det af tidsstemplet for den automatiske kvittering for modtagelse fremgår, at de blev modtaget den dag. Formularerne i bilag I, II og III, der fremsendes elektronisk til Kommissionen på en arbejdsdag, anses for at være modtaget den dag, de blev afsendt, forudsat at det af tidsstemplet for den automatiske kvittering for modtagelse fremgår, at de blev modtaget den dag før eller inden for de åbningstider, der er angivet på GD Konkurrences websted. Formularerne i bilag I, II og III, der fremsendes elektronisk til Kommissionen på en arbejdsdag efter de åbningstider, der er angivet på GD Konkurrences websted, anses for at være modtaget den efterfølgende arbejdsdag. Alle dokumenter, der fremsendes elektronisk til Kommissionen på en dag, som ikke er en arbejdsdag, anses for at være modtaget den efterfølgende arbejdsdag.</w:t>
      </w:r>
    </w:p>
    <w:p w14:paraId="6BDD370B" w14:textId="77777777" w:rsidR="00431232" w:rsidRDefault="00431232">
      <w:r>
        <w:t>5.</w:t>
      </w:r>
      <w:r>
        <w:tab/>
        <w:t>Dokumenter, der fremsendes elektronisk til Kommissionen, anses ikke for modtaget, hvis dokumenterne eller dele deraf:</w:t>
      </w:r>
    </w:p>
    <w:p w14:paraId="20959E5A" w14:textId="77777777" w:rsidR="00431232" w:rsidRDefault="00431232">
      <w:pPr>
        <w:pStyle w:val="Point0"/>
      </w:pPr>
      <w:r>
        <w:tab/>
        <w:t>a)</w:t>
      </w:r>
      <w:r>
        <w:tab/>
        <w:t>er ubrugelige (ødelagte)</w:t>
      </w:r>
    </w:p>
    <w:p w14:paraId="26E8B831" w14:textId="77777777" w:rsidR="00431232" w:rsidRDefault="00431232">
      <w:pPr>
        <w:pStyle w:val="Point0"/>
      </w:pPr>
      <w:r>
        <w:tab/>
        <w:t>b)</w:t>
      </w:r>
      <w:r>
        <w:tab/>
        <w:t>indeholder virus, malware eller andre trusler</w:t>
      </w:r>
    </w:p>
    <w:p w14:paraId="48EEECF1" w14:textId="77777777" w:rsidR="00431232" w:rsidRDefault="00431232">
      <w:pPr>
        <w:pStyle w:val="Point0"/>
      </w:pPr>
      <w:r>
        <w:tab/>
        <w:t>c)</w:t>
      </w:r>
      <w:r>
        <w:tab/>
        <w:t>indeholder elektroniske signaturer, hvis gyldighed ikke kan bekræftes af Kommissionen.</w:t>
      </w:r>
    </w:p>
    <w:p w14:paraId="1104BBC9" w14:textId="77777777" w:rsidR="00431232" w:rsidRDefault="00431232">
      <w:r>
        <w:t>I disse tilfælde underretter Kommissionen omgående afsenderen.</w:t>
      </w:r>
    </w:p>
    <w:p w14:paraId="7DA4C683" w14:textId="77777777" w:rsidR="00431232" w:rsidRDefault="00431232">
      <w:r>
        <w:t>6.</w:t>
      </w:r>
      <w:r>
        <w:tab/>
        <w:t xml:space="preserve">Dokumenter, der fremsendes til Kommissionen med anbefalet post, anses for modtaget på dagen for deres ankomst på den adresse, der er offentliggjort i </w:t>
      </w:r>
      <w:r>
        <w:rPr>
          <w:i/>
          <w:iCs/>
        </w:rPr>
        <w:t>Den Europæiske Unions Tidende</w:t>
      </w:r>
      <w:r>
        <w:t>. Denne adresse angives også på webstedet for Kommissionens Generaldirektorat for Konkurrence.</w:t>
      </w:r>
    </w:p>
    <w:p w14:paraId="35608E25" w14:textId="77777777" w:rsidR="00431232" w:rsidRDefault="00431232">
      <w:r>
        <w:t>7.</w:t>
      </w:r>
      <w:r>
        <w:tab/>
        <w:t xml:space="preserve">Dokumenter, der indgives til Kommissionen ved personlig aflevering, anses for modtaget på dagen for deres ankomst på den adresse, der er offentliggjort i </w:t>
      </w:r>
      <w:r>
        <w:rPr>
          <w:i/>
          <w:iCs/>
        </w:rPr>
        <w:t>Den Europæiske Unions Tidende</w:t>
      </w:r>
      <w:r>
        <w:t>, når dette bekræftes af Kommissionen i en kvittering for modtagelse. Denne adresse angives også på webstedet for Kommissionens Generaldirektorat for Konkurrence.</w:t>
      </w:r>
    </w:p>
    <w:p w14:paraId="5439F356" w14:textId="77777777" w:rsidR="00431232" w:rsidRDefault="00431232">
      <w:pPr>
        <w:pStyle w:val="Titrearticle"/>
      </w:pPr>
      <w:r>
        <w:t>Artikel 23</w:t>
      </w:r>
    </w:p>
    <w:p w14:paraId="4E391889" w14:textId="77777777" w:rsidR="00431232" w:rsidRDefault="00431232">
      <w:pPr>
        <w:pStyle w:val="NormalCentered"/>
        <w:rPr>
          <w:b/>
          <w:bCs/>
        </w:rPr>
      </w:pPr>
      <w:r>
        <w:rPr>
          <w:b/>
          <w:bCs/>
        </w:rPr>
        <w:t>Fastsættelse af frister</w:t>
      </w:r>
    </w:p>
    <w:p w14:paraId="7F6F27FE" w14:textId="77777777" w:rsidR="00431232" w:rsidRDefault="00431232">
      <w:r>
        <w:t>1.</w:t>
      </w:r>
      <w:r>
        <w:tab/>
        <w:t>Ved fastsættelsen af de i artikel 12, stk. 1 og 2, artikel 13, stk. 2, og artikel 16, stk. 1, nævnte frister tager Kommissionen hensyn til, hvor meget sagen haster, og den tid, som de anmeldende parter, de andre implicerede parter eller tredjemand skal bruge for at udarbejde deres synspunkter eller bemærkninger. Kommissionen tager også hensyn til officielle helligdage i det land, hvor de anmeldende parter, de andre implicerede parter eller tredjemand er etableret.</w:t>
      </w:r>
    </w:p>
    <w:p w14:paraId="665E2E83" w14:textId="77777777" w:rsidR="00431232" w:rsidRDefault="00431232">
      <w:r>
        <w:t>2.</w:t>
      </w:r>
      <w:r>
        <w:tab/>
        <w:t>Disse frister fastsættes som en præcis dato i kalenderen.</w:t>
      </w:r>
    </w:p>
    <w:p w14:paraId="462B3F84" w14:textId="77777777" w:rsidR="00431232" w:rsidRDefault="00431232">
      <w:pPr>
        <w:pStyle w:val="Titrearticle"/>
      </w:pPr>
      <w:r>
        <w:t>Artikel 24</w:t>
      </w:r>
    </w:p>
    <w:p w14:paraId="04308253" w14:textId="77777777" w:rsidR="00431232" w:rsidRDefault="00431232">
      <w:pPr>
        <w:pStyle w:val="NormalCentered"/>
        <w:rPr>
          <w:b/>
          <w:bCs/>
        </w:rPr>
      </w:pPr>
      <w:r>
        <w:rPr>
          <w:b/>
          <w:bCs/>
        </w:rPr>
        <w:t>Arbejdsdage</w:t>
      </w:r>
    </w:p>
    <w:p w14:paraId="540455AF" w14:textId="77777777" w:rsidR="00431232" w:rsidRDefault="00431232">
      <w:r>
        <w:t xml:space="preserve">Ved »arbejdsdag« forstås i forordning (EF) nr. 139/2004 og nærværende forordning alle andre dage end lørdage, søndage og de fridage i Kommissionen, som er offentliggjort i </w:t>
      </w:r>
      <w:r>
        <w:rPr>
          <w:i/>
          <w:iCs/>
        </w:rPr>
        <w:t>Den Europæiske Unions Tidende</w:t>
      </w:r>
      <w:r>
        <w:t xml:space="preserve"> inden årets begyndelse.</w:t>
      </w:r>
    </w:p>
    <w:p w14:paraId="455808DE" w14:textId="77777777" w:rsidR="00431232" w:rsidRDefault="00431232">
      <w:pPr>
        <w:pStyle w:val="Titrearticle"/>
      </w:pPr>
      <w:r>
        <w:t>Artikel 25</w:t>
      </w:r>
    </w:p>
    <w:p w14:paraId="5D5914DF" w14:textId="77777777" w:rsidR="00431232" w:rsidRDefault="00431232">
      <w:pPr>
        <w:pStyle w:val="NormalCentered"/>
        <w:rPr>
          <w:b/>
          <w:bCs/>
        </w:rPr>
      </w:pPr>
      <w:r>
        <w:rPr>
          <w:b/>
          <w:bCs/>
        </w:rPr>
        <w:t>Ophævelse og overgangsbestemmelser</w:t>
      </w:r>
    </w:p>
    <w:p w14:paraId="3D82A240" w14:textId="77777777" w:rsidR="00431232" w:rsidRDefault="00431232">
      <w:r>
        <w:t>1.</w:t>
      </w:r>
      <w:r>
        <w:tab/>
        <w:t>Forordning (EF) nr. 802/2004 ophæves med virkning fra den 1. september 2023, jf. dog stk. 2.</w:t>
      </w:r>
    </w:p>
    <w:p w14:paraId="57975906" w14:textId="77777777" w:rsidR="00431232" w:rsidRDefault="00431232">
      <w:r>
        <w:t>Henvisninger til den ophævede forordning gælder som henvisninger til nærværende forordning.</w:t>
      </w:r>
    </w:p>
    <w:p w14:paraId="643F2AF9" w14:textId="77777777" w:rsidR="00431232" w:rsidRDefault="00431232">
      <w:r>
        <w:t>2.</w:t>
      </w:r>
      <w:r>
        <w:tab/>
        <w:t>Forordning (EF) nr. 802/2004 finder fortsat anvendelse på fusioner, der er omfattet af forordning (EF) nr. 139/2004 og anmeldt senest den 31. august 2023.</w:t>
      </w:r>
    </w:p>
    <w:p w14:paraId="66606C98" w14:textId="77777777" w:rsidR="00431232" w:rsidRDefault="00431232">
      <w:pPr>
        <w:pStyle w:val="Titrearticle"/>
      </w:pPr>
      <w:r>
        <w:t>Artikel 26</w:t>
      </w:r>
    </w:p>
    <w:p w14:paraId="1C32F0C4" w14:textId="77777777" w:rsidR="00431232" w:rsidRDefault="00431232">
      <w:pPr>
        <w:pStyle w:val="NormalCentered"/>
        <w:rPr>
          <w:b/>
          <w:bCs/>
        </w:rPr>
      </w:pPr>
      <w:r>
        <w:rPr>
          <w:b/>
          <w:bCs/>
        </w:rPr>
        <w:t>Ikrafttræden</w:t>
      </w:r>
    </w:p>
    <w:p w14:paraId="694B581B" w14:textId="77777777" w:rsidR="00431232" w:rsidRDefault="00431232">
      <w:r>
        <w:t>Denne forordning træder i kraft den 1. september 2023.</w:t>
      </w:r>
    </w:p>
    <w:p w14:paraId="0A7FF9E6" w14:textId="77777777" w:rsidR="00431232" w:rsidRDefault="00431232">
      <w:pPr>
        <w:pStyle w:val="Applicationdirecte"/>
      </w:pPr>
      <w:r>
        <w:t>Denne forordning er bindende i alle enkeltheder og gælder umiddelbart i alle medlemsstater.</w:t>
      </w:r>
    </w:p>
    <w:p w14:paraId="6AA2AA38" w14:textId="77777777" w:rsidR="00431232" w:rsidRDefault="00431232">
      <w:pPr>
        <w:adjustRightInd w:val="0"/>
        <w:spacing w:before="0" w:after="0"/>
        <w:jc w:val="left"/>
        <w:rPr>
          <w:lang w:val="en-US"/>
        </w:rPr>
        <w:sectPr w:rsidR="00431232" w:rsidSect="00431232">
          <w:footerReference w:type="default" r:id="rId7"/>
          <w:pgSz w:w="11906" w:h="16838"/>
          <w:pgMar w:top="1134" w:right="1418" w:bottom="1134" w:left="1418" w:header="709" w:footer="709" w:gutter="0"/>
          <w:pgNumType w:start="1"/>
          <w:cols w:space="709"/>
        </w:sectPr>
      </w:pPr>
    </w:p>
    <w:p w14:paraId="091D98F1" w14:textId="77777777" w:rsidR="00AF2903" w:rsidRDefault="00AF2903" w:rsidP="00AF2903">
      <w:pPr>
        <w:pStyle w:val="Annexetitreacte"/>
      </w:pPr>
      <w:r>
        <w:t>BILAG III</w:t>
      </w:r>
    </w:p>
    <w:p w14:paraId="4F81110B" w14:textId="77777777" w:rsidR="00AF2903" w:rsidRDefault="00AF2903" w:rsidP="00AF2903">
      <w:pPr>
        <w:pStyle w:val="NormalCentered"/>
        <w:rPr>
          <w:b/>
          <w:bCs/>
        </w:rPr>
      </w:pPr>
      <w:r>
        <w:rPr>
          <w:b/>
          <w:bCs/>
        </w:rPr>
        <w:t>FORMULAR TIL BEGRUNDEDE ERKLÆRINGER, JF. ARTIKEL 4, STK. 4 OG 5, I RÅDETS FORORDNING (EF) NR. 139/2004</w:t>
      </w:r>
    </w:p>
    <w:p w14:paraId="2577B561" w14:textId="77777777" w:rsidR="00AF2903" w:rsidRDefault="00AF2903" w:rsidP="00AF2903">
      <w:pPr>
        <w:pStyle w:val="NormalCentered"/>
        <w:rPr>
          <w:b/>
          <w:bCs/>
        </w:rPr>
      </w:pPr>
      <w:r>
        <w:rPr>
          <w:b/>
          <w:bCs/>
        </w:rPr>
        <w:t>(RS-FORMULAR)</w:t>
      </w:r>
    </w:p>
    <w:p w14:paraId="7C7610AB" w14:textId="77777777" w:rsidR="00AF2903" w:rsidRDefault="00AF2903" w:rsidP="00AF2903">
      <w:pPr>
        <w:pStyle w:val="ManualHeading1"/>
        <w:numPr>
          <w:ilvl w:val="0"/>
          <w:numId w:val="0"/>
        </w:numPr>
        <w:ind w:left="851" w:hanging="851"/>
      </w:pPr>
      <w:r>
        <w:t>INDLEDNING</w:t>
      </w:r>
    </w:p>
    <w:p w14:paraId="586A666F" w14:textId="77777777" w:rsidR="00AF2903" w:rsidRDefault="00AF2903" w:rsidP="00AF2903">
      <w:pPr>
        <w:pStyle w:val="ManualHeading2"/>
        <w:numPr>
          <w:ilvl w:val="0"/>
          <w:numId w:val="0"/>
        </w:numPr>
        <w:ind w:left="851" w:hanging="851"/>
      </w:pPr>
      <w:r>
        <w:t>A.</w:t>
      </w:r>
      <w:r>
        <w:tab/>
      </w:r>
      <w:r>
        <w:rPr>
          <w:i/>
          <w:iCs/>
        </w:rPr>
        <w:t>RS-formularens formål</w:t>
      </w:r>
    </w:p>
    <w:p w14:paraId="04E882F9" w14:textId="77777777" w:rsidR="00AF2903" w:rsidRDefault="00AF2903" w:rsidP="00AF2903">
      <w:r>
        <w:t>(1)</w:t>
      </w:r>
      <w:r>
        <w:tab/>
        <w:t>Det fremgår af denne RS-formular, hvilke oplysninger der skal gives, når der før anmeldelsen af en fusion indsendes en begrundet erklæring om henvisning af sagen efter artikel 4, stk. 4 eller 5, i Rådets forordning (EF) nr. 139/2004</w:t>
      </w:r>
      <w:r>
        <w:rPr>
          <w:rStyle w:val="FootnoteReference"/>
        </w:rPr>
        <w:footnoteReference w:id="2"/>
      </w:r>
      <w:r>
        <w:t xml:space="preserve"> (»fusionsforordningen«). Den Europæiske Unions fusionskontrolsystem er fastlagt i fusionsforordningen og i Kommissionens forordning (EU) 2023/914 om gennemførelse af Rådets forordning (EF) nr. 139/2004 om kontrol med fusioner og virksomhedsovertagelser (»gennemførelsesforordningen«)</w:t>
      </w:r>
      <w:r>
        <w:rPr>
          <w:rStyle w:val="FootnoteReference"/>
        </w:rPr>
        <w:footnoteReference w:id="3"/>
      </w:r>
      <w:r>
        <w:t>, som denne RS-formular er et bilag til. Opmærksomheden henledes desuden på de tilsvarende bestemmelser i aftalen om Det Europæiske Økonomiske Samarbejdsområde</w:t>
      </w:r>
      <w:r>
        <w:rPr>
          <w:rStyle w:val="FootnoteReference"/>
        </w:rPr>
        <w:footnoteReference w:id="4"/>
      </w:r>
      <w:r>
        <w:t xml:space="preserve"> (»EØS-aftalen«).</w:t>
      </w:r>
    </w:p>
    <w:p w14:paraId="66F54B58" w14:textId="77777777" w:rsidR="00AF2903" w:rsidRDefault="00AF2903" w:rsidP="00AF2903">
      <w:pPr>
        <w:pStyle w:val="ManualHeading2"/>
        <w:numPr>
          <w:ilvl w:val="0"/>
          <w:numId w:val="0"/>
        </w:numPr>
        <w:ind w:left="851" w:hanging="851"/>
      </w:pPr>
      <w:r>
        <w:t>B.</w:t>
      </w:r>
      <w:r>
        <w:tab/>
      </w:r>
      <w:r>
        <w:rPr>
          <w:i/>
          <w:iCs/>
        </w:rPr>
        <w:t>Kontakter forud for indsendelse af RS-formularen og anmodninger om dispensation</w:t>
      </w:r>
    </w:p>
    <w:p w14:paraId="6B585458" w14:textId="77777777" w:rsidR="00AF2903" w:rsidRDefault="00AF2903" w:rsidP="00AF2903">
      <w:r>
        <w:t>(2)</w:t>
      </w:r>
      <w:r>
        <w:tab/>
        <w:t>De oplysninger, der kræves i denne RS-formular, skal i princippet gives i alle tilfælde og er derfor påkrævet, for at en anmodning om henvisning før anmeldelse er fuldstændig.</w:t>
      </w:r>
    </w:p>
    <w:p w14:paraId="36A8AAF5" w14:textId="77777777" w:rsidR="00AF2903" w:rsidRDefault="00AF2903" w:rsidP="00AF2903">
      <w:pPr>
        <w:pStyle w:val="ManualHeading3"/>
        <w:numPr>
          <w:ilvl w:val="0"/>
          <w:numId w:val="0"/>
        </w:numPr>
        <w:ind w:left="850" w:hanging="850"/>
      </w:pPr>
      <w:r>
        <w:t>1.</w:t>
      </w:r>
      <w:r>
        <w:tab/>
        <w:t>Oplysninger, som ikke er rimeligt tilgængelige</w:t>
      </w:r>
    </w:p>
    <w:p w14:paraId="7FB33D8F" w14:textId="77777777" w:rsidR="00AF2903" w:rsidRDefault="00AF2903" w:rsidP="00AF2903">
      <w:r>
        <w:t>(3)</w:t>
      </w:r>
      <w:r>
        <w:tab/>
        <w:t>Under særlige omstændigheder er specifikke oplysninger, som kræves i denne RS-formular, muligvis ikke rimeligt tilgængelige for parterne (f.eks. fordi der ikke foreligger oplysninger om en målvirksomhed i forbindelse med en fjendtlig overtagelse). De parter, der indsender en erklæring, kan i så fald anmode Kommissionen om at dispensere fra forpligtelsen til at fremlægge relevante oplysninger eller fra ethvert andet krav i RS-formularen vedrørende disse oplysninger. Denne anmodning skal indgives i overensstemmelse med instrukserne i punkt B.3.</w:t>
      </w:r>
    </w:p>
    <w:p w14:paraId="1A4D9EDF" w14:textId="77777777" w:rsidR="00AF2903" w:rsidRDefault="00AF2903" w:rsidP="00AF2903">
      <w:pPr>
        <w:pStyle w:val="ManualHeading3"/>
        <w:numPr>
          <w:ilvl w:val="0"/>
          <w:numId w:val="0"/>
        </w:numPr>
        <w:ind w:left="850" w:hanging="850"/>
      </w:pPr>
      <w:r>
        <w:t>2.</w:t>
      </w:r>
      <w:r>
        <w:tab/>
        <w:t>Oplysninger, der ikke er nødvendige for Kommissionens undersøgelse af sagen</w:t>
      </w:r>
    </w:p>
    <w:p w14:paraId="2ED497AC" w14:textId="77777777" w:rsidR="00AF2903" w:rsidRDefault="00AF2903" w:rsidP="00AF2903">
      <w:r>
        <w:t>(4)</w:t>
      </w:r>
      <w:r>
        <w:tab/>
        <w:t>I henhold til artikel 4, stk. 2, og artikel 6, stk. 2, i gennemførelsesforordningen kan Kommissionen dispensere fra forpligtelsen til at give en bestemt oplysning i RS-formularen, herunder dokumenter, eller fra andre krav, hvis Kommissionen finder, at det for undersøgelsen af sagen ikke er nødvendigt, at de pågældende forpligtelser eller krav er opfyldt. De parter, der indsender en erklæring, kan i så fald anmode Kommissionen om at dispensere fra forpligtelsen til at fremlægge relevante oplysninger eller fra ethvert andet krav i RS-formularen vedrørende disse oplysninger. Denne anmodning skal indgives i overensstemmelse med instrukserne i punkt B.3.</w:t>
      </w:r>
    </w:p>
    <w:p w14:paraId="2CCB5FFA" w14:textId="77777777" w:rsidR="00AF2903" w:rsidRDefault="00AF2903" w:rsidP="00AF2903">
      <w:pPr>
        <w:pStyle w:val="ManualHeading3"/>
        <w:numPr>
          <w:ilvl w:val="0"/>
          <w:numId w:val="0"/>
        </w:numPr>
        <w:ind w:left="850" w:hanging="850"/>
      </w:pPr>
      <w:r>
        <w:t>3.</w:t>
      </w:r>
      <w:r>
        <w:tab/>
        <w:t>Forudgående kontakter og anmodninger om dispensation</w:t>
      </w:r>
    </w:p>
    <w:p w14:paraId="112DC008" w14:textId="77777777" w:rsidR="00AF2903" w:rsidRDefault="00AF2903" w:rsidP="00AF2903">
      <w:r>
        <w:t>(5)</w:t>
      </w:r>
      <w:r>
        <w:tab/>
        <w:t>Parter, der har ret til at indsende en RS-formular, opfordres til at tage kontakt til Kommissionen inden indgivelsen. Parterne bør deltage i sådanne kontakter på grundlag af et udkast til en RS-formular. Muligheden for at etablere forudgående kontakter er en tjeneste, der tilbydes af Kommissionen til de parter, der indsender en erklæring, på frivillig basis for at forberede den formelle indgivelse af denne RS-formular. Selv om sådanne forudgående kontakter ikke er obligatoriske, kan de være særdeles nyttige for både de pågældende parter og Kommissionen, således at man bl.a. kan få afklaret, hvilke oplysninger der nærmere bestemt kræves i RS-formular, og disse kontakter vil i langt de fleste tilfælde resultere i en betydelig reduktion af oplysningsmængden.</w:t>
      </w:r>
    </w:p>
    <w:p w14:paraId="232CADF4" w14:textId="77777777" w:rsidR="00AF2903" w:rsidRDefault="00AF2903" w:rsidP="00AF2903">
      <w:r>
        <w:t>(6)</w:t>
      </w:r>
      <w:r>
        <w:tab/>
        <w:t>I forbindelse med forudgående kontakter kan de parter, der indgiver en erklæring, anmode om dispensationer. Kommissionen vil overveje anmodninger om dispensation, hvis en af følgende betingelser er opfyldt:</w:t>
      </w:r>
    </w:p>
    <w:p w14:paraId="041A2237" w14:textId="77777777" w:rsidR="00AF2903" w:rsidRDefault="00AF2903" w:rsidP="00AF2903">
      <w:pPr>
        <w:pStyle w:val="Point0"/>
      </w:pPr>
      <w:r>
        <w:tab/>
        <w:t>a)</w:t>
      </w:r>
      <w:r>
        <w:tab/>
        <w:t>De parter, der indgiver en erklæring, giver en fyldestgørende begrundelse for, hvorfor de relevante oplysninger ikke er rimeligt tilgængelige, og giver de bedste estimater for de manglende data med angivelse af kilderne til disse estimater. De parter, der indgiver en erklæring, skal så vidt muligt angive, hvor Kommissionen eller den (de) pågældende medlemsstater(er) eller EFTA-stat(er) eventuelt vil kunne indhente de pågældende oplysninger.</w:t>
      </w:r>
    </w:p>
    <w:p w14:paraId="799F50C6" w14:textId="77777777" w:rsidR="00AF2903" w:rsidRDefault="00AF2903" w:rsidP="00AF2903">
      <w:pPr>
        <w:pStyle w:val="Point0"/>
      </w:pPr>
      <w:r>
        <w:tab/>
        <w:t>b)</w:t>
      </w:r>
      <w:r>
        <w:tab/>
        <w:t>De parter, der indgiver en erklæring, giver en fyldestgørende begrundelse for, hvorfor de relevante oplysninger ikke er nødvendige for undersøgelsen af RS-formularen.</w:t>
      </w:r>
    </w:p>
    <w:p w14:paraId="6FEAAFFE" w14:textId="77777777" w:rsidR="00AF2903" w:rsidRDefault="00AF2903" w:rsidP="00AF2903">
      <w:r>
        <w:t>(7)</w:t>
      </w:r>
      <w:r>
        <w:tab/>
        <w:t>Anmodninger om dispensation bør indgives samtidig med udkastet til RS-formularen. Der bør anmodes om dispensation i selve udkastet til RS-formularen (i begyndelsen af den relevante del eller det relevante punkt). Kommissionen vil behandle anmodninger om dispensation i forbindelse med gennemgangen af udkastet til RS-formularen. Kommissionen vil normalt have brug for fem arbejdsdage til at besvare en anmodning om dispensation. Hvis en anmodning om dispensation indgives med den begrundelse, at oplysningerne ikke er nødvendige for gennemgangen af RS-formularen, vil Kommissionen eventuelt høre de relevante myndigheder i medlemsstaten/-erne eller EFTA-staten/-erne, inden den træffer afgørelse om anmodningen.</w:t>
      </w:r>
    </w:p>
    <w:p w14:paraId="196E8B0D" w14:textId="77777777" w:rsidR="00AF2903" w:rsidRDefault="00AF2903" w:rsidP="00AF2903">
      <w:r>
        <w:t>(8)</w:t>
      </w:r>
      <w:r>
        <w:tab/>
        <w:t>For at undgå tvivl skal det bemærkes, at det forhold, at Kommissionen kan have accepteret, at en specifik oplysning, der kræves på denne RS-formular, ikke er nødvendig for behandlingen af anmodningen om henvisning før anmeldelse, ikke på nogen måde hindrer Kommissionen i at kræve oplysningerne på ethvert tidspunkt, især inden for rammerne af en anmodning om oplysninger i henhold til fusionsforordningens artikel 11.</w:t>
      </w:r>
    </w:p>
    <w:p w14:paraId="40D93B3A" w14:textId="77777777" w:rsidR="00AF2903" w:rsidRDefault="00AF2903" w:rsidP="00AF2903">
      <w:r>
        <w:t>(9)</w:t>
      </w:r>
      <w:r>
        <w:tab/>
        <w:t>De parter, der indgiver en erklæring, kan støtte sig på GD for Konkurrences retningslinjer for god praksis i forbindelse med fusionskontrolprocedurer, der er offentliggjort på GD for Konkurrences websted og fra tid til anden ajourføres, og som indeholder vejledning vedrørende kontakter forud for anmeldelse og udarbejdelse af anmodninger om henvisning før anmeldelse.</w:t>
      </w:r>
    </w:p>
    <w:p w14:paraId="68C2012D" w14:textId="77777777" w:rsidR="00AF2903" w:rsidRDefault="00AF2903" w:rsidP="00AF2903">
      <w:pPr>
        <w:pStyle w:val="ManualHeading2"/>
        <w:numPr>
          <w:ilvl w:val="0"/>
          <w:numId w:val="0"/>
        </w:numPr>
        <w:ind w:left="851" w:hanging="851"/>
      </w:pPr>
      <w:r>
        <w:t>C.</w:t>
      </w:r>
      <w:r>
        <w:tab/>
      </w:r>
      <w:r>
        <w:rPr>
          <w:i/>
          <w:iCs/>
        </w:rPr>
        <w:t>Kravet om en korrekt og fuldstændig begrundet erklæring</w:t>
      </w:r>
    </w:p>
    <w:p w14:paraId="75B404C5" w14:textId="77777777" w:rsidR="00AF2903" w:rsidRDefault="00AF2903" w:rsidP="00AF2903">
      <w:r>
        <w:t>(10)</w:t>
      </w:r>
      <w:r>
        <w:tab/>
        <w:t>De oplysninger, der kræves i denne RS-formular, skal i princippet gives i alle tilfælde og er derfor påkrævet, for at en anmodning om henvisning før anmeldelse er fuldstændig. Alle oplysningerne skal angives i den relevante del af RS-formularen og skal være korrekte og fuldstændige.</w:t>
      </w:r>
    </w:p>
    <w:p w14:paraId="1627E936" w14:textId="77777777" w:rsidR="00AF2903" w:rsidRDefault="00AF2903" w:rsidP="00AF2903">
      <w:r>
        <w:t>(11)</w:t>
      </w:r>
      <w:r>
        <w:tab/>
        <w:t>Følgende bør navnlig bemærkes:</w:t>
      </w:r>
    </w:p>
    <w:p w14:paraId="142A88F9" w14:textId="77777777" w:rsidR="00AF2903" w:rsidRDefault="00AF2903" w:rsidP="00AF2903">
      <w:pPr>
        <w:pStyle w:val="Point0"/>
      </w:pPr>
      <w:r>
        <w:tab/>
        <w:t>a)</w:t>
      </w:r>
      <w:r>
        <w:tab/>
        <w:t>Efter fusionsforordningens artikel 4, stk. 4 og 5, samt gennemførelsesforordningens artikel 5, stk. 2 og 4, og artikel 6, stk. 2, begynder de frister i fusionsforordningen, der er knyttet til RS-formularen, ikke at løbe, før alle de oplysninger, der skal gives, er Kommissionen i hænde. Dette skal sikre, at Kommissionen er i stand til at vurdere anmodningen om henvisning før anmeldelse inden for de strenge frister, der er fastsat i fusionsforordningen.</w:t>
      </w:r>
    </w:p>
    <w:p w14:paraId="3ED56F74" w14:textId="77777777" w:rsidR="00AF2903" w:rsidRDefault="00AF2903" w:rsidP="00AF2903">
      <w:pPr>
        <w:pStyle w:val="Point0"/>
      </w:pPr>
      <w:r>
        <w:tab/>
        <w:t>b)</w:t>
      </w:r>
      <w:r>
        <w:tab/>
        <w:t>I henhold til fusionsforordningens artikel 4, stk. 4, træffes afgørelsen om, hvorvidt en sag helt eller delvis skal henvises til en medlemsstat eller en EFTA-stat, normalt på grundlag af oplysningerne i RS-formularen, uden at Kommissionen foretager yderligere undersøgelser. I henhold til fusionsforordningens artikel 4, stk. 5, vil en medlemsstat eller en EFTA-stat normalt tage stilling til, om en sag skal henvises til Kommissionen, på grundlag af oplysningerne i RS-formularen, uden at de berørte myndigheder foretager yderligere undersøgelser.</w:t>
      </w:r>
    </w:p>
    <w:p w14:paraId="1D219B6C" w14:textId="77777777" w:rsidR="00AF2903" w:rsidRDefault="00AF2903" w:rsidP="00AF2903">
      <w:pPr>
        <w:pStyle w:val="Point0"/>
      </w:pPr>
      <w:r>
        <w:tab/>
        <w:t>c)</w:t>
      </w:r>
      <w:r>
        <w:tab/>
        <w:t>De parter, der indsender den begrundede erklæring, skal derfor under udarbejdelsen af den påse, at alle oplysninger og argumenter, som de lægger til grund, er tilstrækkelig underbygget af uafhængige kilder.</w:t>
      </w:r>
    </w:p>
    <w:p w14:paraId="2D542F64" w14:textId="77777777" w:rsidR="00AF2903" w:rsidRDefault="00AF2903" w:rsidP="00AF2903">
      <w:pPr>
        <w:pStyle w:val="Point0"/>
      </w:pPr>
      <w:r>
        <w:tab/>
        <w:t>d)</w:t>
      </w:r>
      <w:r>
        <w:tab/>
        <w:t>I henhold til gennemførelsesforordningens artikel 5, stk. 4, og artikel 6, stk. 2, betragtes urigtige eller forvanskede oplysninger i den begrundede erklæring som ufuldstændige oplysninger;</w:t>
      </w:r>
    </w:p>
    <w:p w14:paraId="11AAC8CD" w14:textId="77777777" w:rsidR="00AF2903" w:rsidRDefault="00AF2903" w:rsidP="00AF2903">
      <w:pPr>
        <w:pStyle w:val="Point0"/>
      </w:pPr>
      <w:r>
        <w:tab/>
        <w:t>e)</w:t>
      </w:r>
      <w:r>
        <w:tab/>
        <w:t>efter fusionsforordningens artikel 14, stk. 1, litra a), kan parter, der forsætligt eller uagtsomt giver urigtige eller forvanskede oplysninger i den begrundede erklæring, pålægges bøder på op til 1 % af den deltagende virksomheds samlede omsætning</w:t>
      </w:r>
      <w:r>
        <w:rPr>
          <w:rStyle w:val="FootnoteReference"/>
        </w:rPr>
        <w:footnoteReference w:id="5"/>
      </w:r>
      <w:r>
        <w:t>.</w:t>
      </w:r>
    </w:p>
    <w:p w14:paraId="5FE62029" w14:textId="77777777" w:rsidR="00AF2903" w:rsidRDefault="00AF2903" w:rsidP="00AF2903">
      <w:pPr>
        <w:pStyle w:val="ManualHeading2"/>
        <w:numPr>
          <w:ilvl w:val="0"/>
          <w:numId w:val="0"/>
        </w:numPr>
        <w:ind w:left="851" w:hanging="851"/>
      </w:pPr>
      <w:r>
        <w:t>D.</w:t>
      </w:r>
      <w:r>
        <w:tab/>
      </w:r>
      <w:r>
        <w:rPr>
          <w:i/>
          <w:iCs/>
        </w:rPr>
        <w:t>Hvordan indgives den begrundede erklæring?</w:t>
      </w:r>
    </w:p>
    <w:p w14:paraId="1A6CADDF" w14:textId="77777777" w:rsidR="00AF2903" w:rsidRDefault="00AF2903" w:rsidP="00AF2903">
      <w:r>
        <w:t>(12)</w:t>
      </w:r>
      <w:r>
        <w:tab/>
        <w:t>Den begrundede erklæring skal indgives på et af EU's officielle sprog. Dette sprog vil derefter under sagens behandling blive benyttet over for alle de parter, der har indgivet erklæringen.</w:t>
      </w:r>
    </w:p>
    <w:p w14:paraId="565709D8" w14:textId="77777777" w:rsidR="00AF2903" w:rsidRDefault="00AF2903" w:rsidP="00AF2903">
      <w:r>
        <w:t>(13)</w:t>
      </w:r>
      <w:r>
        <w:tab/>
        <w:t>For at gøre det lettere for medlemsstaternes og EFTA-staternes myndigheder at behandle RS-formularen opfordres parterne kraftigt til at forelægge Kommissionen en oversættelse af deres begrundede erklæring til et eller flere sprog, der forstås af samtlige modtagere af oplysningerne. Når der anmodes om henvisning til en eller flere medlemsstater eller EFTA-stater, opfordres parterne kraftigt til at vedlægge en kopi af anmodningen på det (de) officielle sprog i den (de) medlemsstat(er) og EFTA-stat(er), hvortil sagen ønskes henvist.</w:t>
      </w:r>
    </w:p>
    <w:p w14:paraId="64218865" w14:textId="77777777" w:rsidR="00AF2903" w:rsidRDefault="00AF2903" w:rsidP="00AF2903">
      <w:r>
        <w:t>(14)</w:t>
      </w:r>
      <w:r>
        <w:tab/>
        <w:t>Ved de oplysninger, der skal gives, bedes du følge den opdeling i dele og punkter, der er benyttet i denne formular, underskrive erklæringen i del 6 i RS-formularen og vedlægge de tilhørende bilag. Hvis de oplysninger, der kræves i en del, helt eller delvist overlapper de oplysninger, der kræves i en anden del, bør de samme oplysninger ikke angives to gange. I stedet bør der anvendes nøjagtige krydshenvisninger.</w:t>
      </w:r>
    </w:p>
    <w:p w14:paraId="757A7E3A" w14:textId="77777777" w:rsidR="00AF2903" w:rsidRDefault="00AF2903" w:rsidP="00AF2903">
      <w:r>
        <w:t>(15)</w:t>
      </w:r>
      <w:r>
        <w:tab/>
        <w:t xml:space="preserve">RS-formularen skal underskrives af de personer, der er bemyndiget til at handle på vegne af de parter, der indgiver erklæringen, eller af en eller flere bemyndigede eksterne repræsentanter for de pågældende parter. Tekniske specifikationer og instrukser vedrørende begrundede erklæringer (herunder underskrifter) kan findes i </w:t>
      </w:r>
      <w:r>
        <w:rPr>
          <w:i/>
          <w:iCs/>
        </w:rPr>
        <w:t>Den Europæiske Unions Tidende</w:t>
      </w:r>
      <w:r>
        <w:t>.</w:t>
      </w:r>
    </w:p>
    <w:p w14:paraId="77497AB7" w14:textId="77777777" w:rsidR="00AF2903" w:rsidRDefault="00AF2903" w:rsidP="00AF2903">
      <w:r>
        <w:t>(16)</w:t>
      </w:r>
      <w:r>
        <w:tab/>
        <w:t>For klarhedens skyld kan en række oplysninger gives som bilag. Det er dog vigtigt, at alle væsentlige oplysninger gives i selve RS-formularen. Bilag til denne RS-formular bør kun benyttes til at supplere de oplysninger, der gives i selve RS-formularen.</w:t>
      </w:r>
    </w:p>
    <w:p w14:paraId="58F5C43A" w14:textId="77777777" w:rsidR="00AF2903" w:rsidRDefault="00AF2903" w:rsidP="00AF2903">
      <w:r>
        <w:t>(17)</w:t>
      </w:r>
      <w:r>
        <w:tab/>
        <w:t>Bilag indsendes på originalsproget, og når dette ikke er et af EU's officielle sprog, skal de oversættes til sagsbehandlingssproget (gennemførelsesforordningens artikel 3, stk. 4, og artikel 6, stk. 2).</w:t>
      </w:r>
    </w:p>
    <w:p w14:paraId="6775C7C0" w14:textId="77777777" w:rsidR="00AF2903" w:rsidRDefault="00AF2903" w:rsidP="00AF2903">
      <w:r>
        <w:t>(18)</w:t>
      </w:r>
      <w:r>
        <w:tab/>
        <w:t>Bilag skal være kopier af originaldokumenterne. I dette tilfælde skal den indsendende part bekræfte, at de er ægte og fuldstændige.</w:t>
      </w:r>
    </w:p>
    <w:p w14:paraId="2C7CF30F" w14:textId="77777777" w:rsidR="00AF2903" w:rsidRDefault="00AF2903" w:rsidP="00AF2903">
      <w:pPr>
        <w:pStyle w:val="ManualHeading2"/>
        <w:numPr>
          <w:ilvl w:val="0"/>
          <w:numId w:val="0"/>
        </w:numPr>
        <w:ind w:left="851" w:hanging="851"/>
      </w:pPr>
      <w:r>
        <w:t>E.</w:t>
      </w:r>
      <w:r>
        <w:tab/>
      </w:r>
      <w:r>
        <w:rPr>
          <w:i/>
          <w:iCs/>
        </w:rPr>
        <w:t>Fortrolighed og personoplysninger</w:t>
      </w:r>
    </w:p>
    <w:p w14:paraId="508545EA" w14:textId="77777777" w:rsidR="00AF2903" w:rsidRDefault="00AF2903" w:rsidP="00AF2903">
      <w:r>
        <w:t>(19)</w:t>
      </w:r>
      <w:r>
        <w:tab/>
        <w:t>I henhold til artikel 339 i traktaten om Den Europæiske Unions funktionsmåde (TEUF) og fusionsforordningens artikel 17, stk. 2, samt de tilsvarende bestemmelser i EØS-aftalen</w:t>
      </w:r>
      <w:r>
        <w:rPr>
          <w:rStyle w:val="FootnoteReference"/>
        </w:rPr>
        <w:footnoteReference w:id="6"/>
      </w:r>
      <w:r>
        <w:t xml:space="preserve"> må Kommissionen, medlemsstaterne, EFTA-Tilsynsmyndigheden og EFTA-staterne, deres tjenestemænd og andre ansatte ikke videregive oplysninger, som de har fået kendskab til i medfør af nævnte forordning, og som ifølge deres natur er undergivet tavshedspligt. Det samme princip gælder også med hensyn til fortrolige oplysninger i forholdet mellem parter, der indsender en erklæring.</w:t>
      </w:r>
    </w:p>
    <w:p w14:paraId="23D7F614" w14:textId="77777777" w:rsidR="00AF2903" w:rsidRDefault="00AF2903" w:rsidP="00AF2903">
      <w:r>
        <w:t>(20)</w:t>
      </w:r>
      <w:r>
        <w:tab/>
        <w:t>Hvis du mener, at det vil skade dine interesser, såfremt nogen af de oplysninger, du anmodes om at give, offentliggøres eller på anden måde videregives til andre, bør du fremsende disse oplysninger særskilt og klart angive »Forretningshemmeligheder« på hver side. Du bedes desuden begrunde, hvorfor disse oplysninger ikke må videregives eller offentliggøres.</w:t>
      </w:r>
    </w:p>
    <w:p w14:paraId="2F082F77" w14:textId="77777777" w:rsidR="00AF2903" w:rsidRDefault="00AF2903" w:rsidP="00AF2903">
      <w:r>
        <w:t>(21)</w:t>
      </w:r>
      <w:r>
        <w:tab/>
        <w:t>Ved fusioner eller fælles overtagelser eller i andre tilfælde, hvor den begrundede erklæring indgives af mere end en af parterne, kan forretningshemmeligheder fremsendes i særskilte bilag og omtales i erklæringen som bilag. Alle sådanne bilag skal være medsendt, for at indgivelsen kan betragtes som fuldstændig.</w:t>
      </w:r>
    </w:p>
    <w:p w14:paraId="6811A5AB" w14:textId="77777777" w:rsidR="00AF2903" w:rsidRDefault="00AF2903" w:rsidP="00AF2903">
      <w:r>
        <w:t>(22)</w:t>
      </w:r>
      <w:r>
        <w:tab/>
        <w:t>Alle personoplysninger, der indgives i denne RS-formular, vil blive behandlet i overensstemmelse med Europa-Parlamentets og Rådets forordning (EU) 2018/1725 af 23. oktober 2018 om beskyttelse af fysiske personer i forbindelse med behandling af personoplysninger i Unionens institutioner, organer, kontorer og agenturer og om fri udveksling af sådanne oplysninger og om ophævelse af forordning (EF) nr. 45/2001 og afgørelse nr. 1247/2002/EF</w:t>
      </w:r>
      <w:r>
        <w:rPr>
          <w:rStyle w:val="FootnoteReference"/>
        </w:rPr>
        <w:footnoteReference w:id="7"/>
      </w:r>
      <w:r>
        <w:t>.</w:t>
      </w:r>
    </w:p>
    <w:p w14:paraId="080D8F3B" w14:textId="77777777" w:rsidR="00AF2903" w:rsidRDefault="00AF2903" w:rsidP="00AF2903">
      <w:pPr>
        <w:pStyle w:val="ManualHeading2"/>
        <w:numPr>
          <w:ilvl w:val="0"/>
          <w:numId w:val="0"/>
        </w:numPr>
        <w:ind w:left="851" w:hanging="851"/>
      </w:pPr>
      <w:r>
        <w:t>F.</w:t>
      </w:r>
      <w:r>
        <w:tab/>
      </w:r>
      <w:r>
        <w:rPr>
          <w:i/>
          <w:iCs/>
        </w:rPr>
        <w:t>Definitioner og instrukser med hensyn til udfyldelse af RS-formularen</w:t>
      </w:r>
    </w:p>
    <w:p w14:paraId="0B3C7273" w14:textId="77777777" w:rsidR="00AF2903" w:rsidRDefault="00AF2903" w:rsidP="00AF2903">
      <w:r>
        <w:t>(23)</w:t>
      </w:r>
      <w:r>
        <w:tab/>
        <w:t>I forbindelse med denne RS-formular anvendes følgende definitioner:</w:t>
      </w:r>
    </w:p>
    <w:p w14:paraId="28FF591B" w14:textId="77777777" w:rsidR="00AF2903" w:rsidRDefault="00AF2903" w:rsidP="00AF2903">
      <w:pPr>
        <w:pStyle w:val="Point0"/>
      </w:pPr>
      <w:r>
        <w:tab/>
        <w:t>a)</w:t>
      </w:r>
      <w:r>
        <w:tab/>
        <w:t>»Fusionspart(er)« eller »part(er)«: Disse udtryk vedrører både den(de) overtagende og den(de) overtagne part(er) eller alle fusionsparterne, herunder alle virksomheder, hvori der erhverves kontrollerende interesser, eller som er genstand for et offentligt overtagelsestilbud. Medmindre andet er angivet, omfatter begreberne »anmeldende part(er)« og »fusionspart(er)« alle de virksomheder, der tilhører de samme koncerner som disse parter.</w:t>
      </w:r>
    </w:p>
    <w:p w14:paraId="670A248B" w14:textId="77777777" w:rsidR="00AF2903" w:rsidRDefault="00AF2903" w:rsidP="00AF2903">
      <w:pPr>
        <w:pStyle w:val="Point0"/>
      </w:pPr>
      <w:r>
        <w:tab/>
        <w:t>b)</w:t>
      </w:r>
      <w:r>
        <w:tab/>
        <w:t>»Relevant produktmarked«: Ved et relevant produktmarked forstås markedet for alle de varer og/eller tjenesteydelser, som forbrugerne betragter som indbyrdes substituerbare på grund af deres egenskaber, pris og anvendelsesformål. Et relevant produktmarked kan i visse tilfælde bestå af flere varer og/eller tjenesteydelser, som i vid udstrækning frembyder identiske fysiske eller tekniske egenskaber og er indbyrdes substituerbare. Blandt de faktorer, der er af betydning for vurderingen af det relevante produktmarked, indgår en analyse af, hvorfor de pågældende produkter eller tjenesteydelser henføres til dette marked, og hvorfor andre ikke henføres hertil, på grundlag af afgrænsningen og under hensyn til f.eks. produkternes og tjenesteydelsernes substituerbarhed, priser, krydspriselasticitet på efterspørgselssiden eller andre relevante faktorer (f.eks. udbudssubstitution).</w:t>
      </w:r>
    </w:p>
    <w:p w14:paraId="0B28CA22" w14:textId="77777777" w:rsidR="00AF2903" w:rsidRDefault="00AF2903" w:rsidP="00AF2903">
      <w:pPr>
        <w:pStyle w:val="Point0"/>
      </w:pPr>
      <w:r>
        <w:tab/>
        <w:t>c)</w:t>
      </w:r>
      <w:r>
        <w:tab/>
        <w:t>»Relevant geografisk marked«: Ved det relevante geografiske marked forstås det område, hvor de deltagende virksomheder udbyder og efterspørger de pågældende varer og tjenesteydelser, hvor konkurrencevilkårene er tilstrækkeligt homogene, og som kan adskilles fra tilgrænsende geografiske områder på grund af især væsentlige forskelle i konkurrencevilkårene. Blandt de faktorer, der er af betydning for vurderingen af det relevante geografiske marked, indgår de pågældende varers eller tjenesteydelsers art og egenskaber, adgangsbarrierer, forbrugerpræferencer, betydelige forskelle i virksomhedernes markedsandele i dette og tilgrænsende geografiske områder eller væsentlige prisforskelle.</w:t>
      </w:r>
    </w:p>
    <w:p w14:paraId="36DF2177" w14:textId="77777777" w:rsidR="00AF2903" w:rsidRDefault="00AF2903" w:rsidP="00AF2903">
      <w:pPr>
        <w:pStyle w:val="Point0"/>
      </w:pPr>
      <w:r>
        <w:tab/>
        <w:t>d)</w:t>
      </w:r>
      <w:r>
        <w:tab/>
        <w:t>»Horisontal overlapning«: En fusion giver anledning til horisontale overlapninger, når to eller flere af fusionsparterne opererer på det samme produktmarked og det samme geografiske marked (herunder udvikling af produkter under udvikling</w:t>
      </w:r>
      <w:r>
        <w:rPr>
          <w:rStyle w:val="FootnoteReference"/>
        </w:rPr>
        <w:footnoteReference w:id="8"/>
      </w:r>
      <w:r>
        <w:rPr>
          <w:rStyle w:val="FootnoteReference"/>
        </w:rPr>
        <w:footnoteReference w:id="9"/>
      </w:r>
      <w:r>
        <w:t>).</w:t>
      </w:r>
    </w:p>
    <w:p w14:paraId="2913A507" w14:textId="77777777" w:rsidR="00AF2903" w:rsidRDefault="00AF2903" w:rsidP="00AF2903">
      <w:pPr>
        <w:pStyle w:val="Point0"/>
      </w:pPr>
      <w:r>
        <w:tab/>
        <w:t>e)</w:t>
      </w:r>
      <w:r>
        <w:tab/>
        <w:t>»Ikkehorisontal forbindelse«: En fusion giver anledning til en ikkehorisontal forbindelse, når der eksisterer en forbindelse mellem fusionsparternes aktiviteter, som ikke er en horisontal overlapning.</w:t>
      </w:r>
    </w:p>
    <w:p w14:paraId="71AECC5D" w14:textId="77777777" w:rsidR="00AF2903" w:rsidRDefault="00AF2903" w:rsidP="00AF2903">
      <w:pPr>
        <w:pStyle w:val="Point0"/>
      </w:pPr>
      <w:r>
        <w:tab/>
        <w:t>f)</w:t>
      </w:r>
      <w:r>
        <w:tab/>
        <w:t>»Vertikal forbindelser«: En fusion giver anledning til en vertikal forbindelse, når en eller flere af fusionsparterne opererer på et produktmarked i forudgående eller efterfølgende omsætningsled i forhold til et produktmarked, hvor en eller flere af de andre fusionsparter opererer (herunder udvikling af produkter under udvikling)</w:t>
      </w:r>
      <w:r>
        <w:rPr>
          <w:rStyle w:val="FootnoteReference"/>
        </w:rPr>
        <w:footnoteReference w:id="10"/>
      </w:r>
      <w:r>
        <w:t>.</w:t>
      </w:r>
    </w:p>
    <w:p w14:paraId="59E30F48" w14:textId="77777777" w:rsidR="00AF2903" w:rsidRDefault="00AF2903" w:rsidP="00AF2903">
      <w:pPr>
        <w:pStyle w:val="CRSeparator"/>
      </w:pPr>
    </w:p>
    <w:p w14:paraId="76CE34F7" w14:textId="77777777" w:rsidR="00AF2903" w:rsidRDefault="00AF2903" w:rsidP="00AF2903">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og bilag , nr. 3, litra a)</w:t>
      </w:r>
    </w:p>
    <w:p w14:paraId="5FD2D294" w14:textId="77777777" w:rsidR="00AF2903" w:rsidRDefault="00AF2903" w:rsidP="00AF2903">
      <w:pPr>
        <w:pStyle w:val="Point0"/>
      </w:pPr>
      <w:r>
        <w:tab/>
        <w:t>g)</w:t>
      </w:r>
      <w:r>
        <w:tab/>
        <w:t>»Berørte markeder«: Berørte markeder er alle relevante produktmarkeder og geografiske markeder samt plausible alternative relevante produktmarkeder og geografiske markeder, hvor parternes aktiviteter overlapper horisontalt eller er vertikalt forbundne, og som ikke opfylder betingelserne for en undersøgelse i henhold til punkt 5, litra d), i meddelelsen om en forenklet procedure</w:t>
      </w:r>
      <w:r>
        <w:rPr>
          <w:rStyle w:val="FootnoteReference"/>
        </w:rPr>
        <w:footnoteReference w:id="11"/>
      </w:r>
      <w:r>
        <w:t>og ikke er omfattet af fleksibilitetsklausulerne i punkt 8 i meddelelsen om en forenklet procedure.</w:t>
      </w:r>
    </w:p>
    <w:p w14:paraId="35E55281" w14:textId="77777777" w:rsidR="00AF2903" w:rsidRDefault="00AF2903" w:rsidP="00AF2903">
      <w:pPr>
        <w:pStyle w:val="CRSeparator"/>
      </w:pPr>
    </w:p>
    <w:p w14:paraId="399AF76E" w14:textId="77777777" w:rsidR="00AF2903" w:rsidRDefault="00AF2903" w:rsidP="00AF2903">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09130544" w14:textId="77777777" w:rsidR="00AF2903" w:rsidRDefault="00AF2903" w:rsidP="00AF2903">
      <w:pPr>
        <w:pStyle w:val="Point0"/>
      </w:pPr>
      <w:r>
        <w:tab/>
        <w:t>h)</w:t>
      </w:r>
      <w:r>
        <w:tab/>
        <w:t>»År«: kalenderår, medmindre andet er angivet. Alle de oplysninger, der anmodes om på RS-formularen, skal gives for det år, der går forud for det år, hvor den begrundede erklæring blev indgivet, medmindre andet er anført.</w:t>
      </w:r>
    </w:p>
    <w:p w14:paraId="39BDAE10" w14:textId="77777777" w:rsidR="00AF2903" w:rsidRDefault="00AF2903" w:rsidP="00AF2903">
      <w:r>
        <w:t>(24)</w:t>
      </w:r>
      <w:r>
        <w:tab/>
        <w:t>De finansielle oplysninger, der anmodes om på RS-formularen, skal angives i euro omregnet efter gennemsnitskurserne i de pågældende år eller andre relevante perioder.</w:t>
      </w:r>
    </w:p>
    <w:p w14:paraId="3CCB63AB" w14:textId="77777777" w:rsidR="00AF2903" w:rsidRDefault="00AF2903" w:rsidP="00AF2903">
      <w:pPr>
        <w:pStyle w:val="ManualHeading2"/>
        <w:numPr>
          <w:ilvl w:val="0"/>
          <w:numId w:val="0"/>
        </w:numPr>
        <w:ind w:left="851" w:hanging="851"/>
      </w:pPr>
      <w:r>
        <w:t>G.</w:t>
      </w:r>
      <w:r>
        <w:tab/>
      </w:r>
      <w:r>
        <w:rPr>
          <w:i/>
          <w:iCs/>
        </w:rPr>
        <w:t>Internationalt samarbejde mellem Kommissionen og andre konkurrencemyndigheder</w:t>
      </w:r>
    </w:p>
    <w:p w14:paraId="61BB7860" w14:textId="77777777" w:rsidR="00AF2903" w:rsidRDefault="00AF2903" w:rsidP="00AF2903">
      <w:r>
        <w:t>(25)</w:t>
      </w:r>
      <w:r>
        <w:tab/>
        <w:t>Kommissionen opfordrer fusionsparterne til at lette det internationale samarbejde mellem Kommissionen og andre konkurrencemyndigheder, der efterprøver den samme fusion. Det er Kommissionens erfaring, at et godt samarbejde mellem Kommissionen og konkurrencemyndighederne i jurisdiktioner uden for EØS er til stor gavn for de deltagende virksomheder. Med henblik herpå opfordrer Kommissionen de parter, der indsender en erklæring, til sammen med denne RS-formular at indsende en liste over de jurisdiktioner uden for EØS, hvor fusionen i henhold til fusionskontrolreglerne skal godkendes, før eller efter at den fuldføres.</w:t>
      </w:r>
    </w:p>
    <w:p w14:paraId="7005F23C" w14:textId="77777777" w:rsidR="00AF2903" w:rsidRDefault="00AF2903" w:rsidP="00AF2903">
      <w:r>
        <w:t>(26)</w:t>
      </w:r>
      <w:r>
        <w:tab/>
        <w:t>Desuden opfordrer Kommissionen fusionsparterne til at indgive samtykkeerklæringer, som kan sætte Kommissionen i stand til at udveksle oplysninger med andre konkurrencemyndigheder uden for EØS, der efterprøver den samme fusion. Hver enkelt samtykkeerklæring letter de fælles drøftelser og analyser af en fusion, idet den giver Kommissionen mulighed for at udveksle relevante oplysninger med en anden konkurrencemyndighed, der efterprøver den samme fusion, herunder fortrolige forretningsoplysninger fra fusionsparterne. Kommissionen opfordrer derfor fusionsparterne til at anvende Kommissionens standardmodel for samtykkeerklæring, der offentliggøres på GD for Konkurrences websted og fra tid til anden ajourføres.</w:t>
      </w:r>
    </w:p>
    <w:p w14:paraId="2F2ACF33" w14:textId="77777777" w:rsidR="00AF2903" w:rsidRDefault="00AF2903" w:rsidP="00AF2903">
      <w:pPr>
        <w:pStyle w:val="ManualHeading1"/>
        <w:numPr>
          <w:ilvl w:val="0"/>
          <w:numId w:val="0"/>
        </w:numPr>
        <w:ind w:left="851" w:hanging="851"/>
      </w:pPr>
      <w:r>
        <w:t>DEL 1</w:t>
      </w:r>
    </w:p>
    <w:p w14:paraId="185BA47B" w14:textId="77777777" w:rsidR="00AF2903" w:rsidRDefault="00AF2903" w:rsidP="00AF2903">
      <w:r>
        <w:t>1.1.</w:t>
      </w:r>
      <w:r>
        <w:tab/>
        <w:t>Baggrundsoplysninger</w:t>
      </w:r>
    </w:p>
    <w:p w14:paraId="0EC1CB11" w14:textId="77777777" w:rsidR="00AF2903" w:rsidRDefault="00AF2903" w:rsidP="00AF2903">
      <w:r>
        <w:t>1.1.1.</w:t>
      </w:r>
      <w:r>
        <w:tab/>
        <w:t>Giv en kort beskrivelse af fusionen med angivelse af fusionsparterne, fusionens art (f.eks. fusion, overtagelse eller joint venture), de anmeldende parters aktivitetsområder, de markeder, hvor fusionen vil få virkninger (herunder de vigtigste berørte markeder), og den strategiske og økonomiske begrundelse for fusionen.</w:t>
      </w:r>
    </w:p>
    <w:p w14:paraId="3B98107C" w14:textId="77777777" w:rsidR="00AF2903" w:rsidRDefault="00AF2903" w:rsidP="00AF2903">
      <w:r>
        <w:t>1.1.2.</w:t>
      </w:r>
      <w:r>
        <w:tab/>
        <w:t>Angiv, om den begrundede erklæring indgives efter fusionsforordningens artikel 4, stk. 4 eller 5, de tilsvarende bestemmelser i EØS-aftalen eller begge.</w:t>
      </w:r>
    </w:p>
    <w:p w14:paraId="53BD3F8F" w14:textId="77777777" w:rsidR="00AF2903" w:rsidRDefault="00AF2903" w:rsidP="00AF2903">
      <w:r>
        <w:t>1.2.</w:t>
      </w:r>
      <w:r>
        <w:tab/>
        <w:t>Oplysninger om den eller de parter, der indgiver erklæringen, og andre fusionsparter</w:t>
      </w:r>
      <w:r>
        <w:rPr>
          <w:rStyle w:val="FootnoteReference"/>
        </w:rPr>
        <w:footnoteReference w:id="12"/>
      </w:r>
    </w:p>
    <w:p w14:paraId="1E3C3AFA" w14:textId="77777777" w:rsidR="00AF2903" w:rsidRDefault="00AF2903" w:rsidP="00AF2903">
      <w:r>
        <w:t>For hver part, der indgiver den begrundede erklæring, samt for hver anden fusionspart bør følgende oplysninger indgives:</w:t>
      </w:r>
    </w:p>
    <w:p w14:paraId="07AF3D20" w14:textId="77777777" w:rsidR="00AF2903" w:rsidRDefault="00AF2903" w:rsidP="00AF2903">
      <w:pPr>
        <w:pStyle w:val="Point0"/>
      </w:pPr>
      <w:r>
        <w:tab/>
        <w:t>1.2.1.</w:t>
      </w:r>
      <w:r>
        <w:tab/>
        <w:t>virksomhedens navn</w:t>
      </w:r>
    </w:p>
    <w:p w14:paraId="68C89FDB" w14:textId="77777777" w:rsidR="00AF2903" w:rsidRDefault="00AF2903" w:rsidP="00AF2903">
      <w:pPr>
        <w:pStyle w:val="Point0"/>
      </w:pPr>
      <w:r>
        <w:tab/>
        <w:t>1.2.2.</w:t>
      </w:r>
      <w:r>
        <w:tab/>
        <w:t>kontaktpersonens navn, adresse, telefonnummer, e-mailadresse og stilling; den anførte adresse skal være en adresse, hvortil der kan sendes dokumenter og især kommissionsafgørelser og andre proceduredokumenter, og den anførte kontaktperson skal anses for at være bemyndiget til at modtage forkyndelser</w:t>
      </w:r>
    </w:p>
    <w:p w14:paraId="73A98D57" w14:textId="77777777" w:rsidR="00AF2903" w:rsidRDefault="00AF2903" w:rsidP="00AF2903">
      <w:pPr>
        <w:pStyle w:val="Point0"/>
      </w:pPr>
      <w:r>
        <w:tab/>
        <w:t>1.2.3.</w:t>
      </w:r>
      <w:r>
        <w:tab/>
        <w:t>hvis der udpeges en eller flere bemyndigede eksterne repræsentanter for virksomheden, den eller de repræsentanter, til hvilke dokumenter og især kommissionsafgørelser og andre proceduredokumenter kan sendes:</w:t>
      </w:r>
    </w:p>
    <w:p w14:paraId="4AA03B51" w14:textId="77777777" w:rsidR="00AF2903" w:rsidRDefault="00AF2903" w:rsidP="00AF2903">
      <w:pPr>
        <w:pStyle w:val="Point1"/>
      </w:pPr>
      <w:r>
        <w:tab/>
        <w:t>1.2.3.1.</w:t>
      </w:r>
      <w:r>
        <w:tab/>
        <w:t>hver enkelt repræsentants navn, adresse, telefonnummer, e-mailadresse og stilling, og</w:t>
      </w:r>
    </w:p>
    <w:p w14:paraId="00105DE2" w14:textId="77777777" w:rsidR="00AF2903" w:rsidRDefault="00AF2903" w:rsidP="00AF2903">
      <w:pPr>
        <w:pStyle w:val="Point1"/>
      </w:pPr>
      <w:r>
        <w:tab/>
        <w:t>1.2.3.2.</w:t>
      </w:r>
      <w:r>
        <w:tab/>
        <w:t>originale fuldmagtsdokumenter (fra den eller de anmeldende parter)</w:t>
      </w:r>
      <w:r>
        <w:rPr>
          <w:rStyle w:val="FootnoteReference"/>
        </w:rPr>
        <w:footnoteReference w:id="13"/>
      </w:r>
      <w:r>
        <w:t>.</w:t>
      </w:r>
    </w:p>
    <w:p w14:paraId="0EEE5735" w14:textId="77777777" w:rsidR="00AF2903" w:rsidRDefault="00AF2903" w:rsidP="00AF2903">
      <w:pPr>
        <w:pStyle w:val="ManualHeading1"/>
        <w:numPr>
          <w:ilvl w:val="0"/>
          <w:numId w:val="0"/>
        </w:numPr>
        <w:ind w:left="851" w:hanging="851"/>
      </w:pPr>
      <w:r>
        <w:t>DEL 2</w:t>
      </w:r>
    </w:p>
    <w:p w14:paraId="68945742" w14:textId="77777777" w:rsidR="00AF2903" w:rsidRDefault="00AF2903" w:rsidP="00AF2903">
      <w:pPr>
        <w:pStyle w:val="ManualHeading2"/>
        <w:numPr>
          <w:ilvl w:val="0"/>
          <w:numId w:val="0"/>
        </w:numPr>
        <w:ind w:left="851" w:hanging="851"/>
      </w:pPr>
      <w:r>
        <w:rPr>
          <w:i/>
          <w:iCs/>
        </w:rPr>
        <w:t>GENEREL BAGGRUND OG FUSIONENS ART</w:t>
      </w:r>
    </w:p>
    <w:p w14:paraId="1DE45FA8" w14:textId="77777777" w:rsidR="00AF2903" w:rsidRDefault="00AF2903" w:rsidP="00AF2903">
      <w:r>
        <w:t>De oplysninger, der skal gives i denne del, kan ledsages af organisationsdiagrammer eller oversigter, der viser strukturen i fusionsparternes ejer- og kontrolforhold før og efter fusionen.</w:t>
      </w:r>
    </w:p>
    <w:p w14:paraId="5D3667C7" w14:textId="77777777" w:rsidR="00AF2903" w:rsidRDefault="00AF2903" w:rsidP="00AF2903">
      <w:r>
        <w:t>2.1.</w:t>
      </w:r>
      <w:r>
        <w:tab/>
        <w:t>Beskriv den anmeldte fusions art, med henvisning til de relevante kriterier i fusionsforordningen og Kommissionens konsoliderede meddelelse om jurisdiktion</w:t>
      </w:r>
      <w:r>
        <w:rPr>
          <w:rStyle w:val="FootnoteReference"/>
        </w:rPr>
        <w:footnoteReference w:id="14"/>
      </w:r>
      <w:r>
        <w:t>:</w:t>
      </w:r>
    </w:p>
    <w:p w14:paraId="0B381C88" w14:textId="77777777" w:rsidR="00AF2903" w:rsidRDefault="00AF2903" w:rsidP="00AF2903">
      <w:pPr>
        <w:pStyle w:val="Point0"/>
      </w:pPr>
      <w:r>
        <w:tab/>
        <w:t>2.1.1.</w:t>
      </w:r>
      <w:r>
        <w:tab/>
        <w:t>angiv de virksomheder eller personer, der alene eller i fællesskab kontrollerer hver af de deltagende virksomheder direkte eller indirekte, og beskriv ejer- og kontrolforholdene for hver af de deltagende virksomheder før fusionen</w:t>
      </w:r>
    </w:p>
    <w:p w14:paraId="02AB3BB7" w14:textId="77777777" w:rsidR="00AF2903" w:rsidRDefault="00AF2903" w:rsidP="00AF2903">
      <w:pPr>
        <w:pStyle w:val="Point0"/>
      </w:pPr>
      <w:r>
        <w:tab/>
        <w:t>2.1.2.</w:t>
      </w:r>
      <w:r>
        <w:tab/>
        <w:t>forklar, om den planlagte fusion er en af følgende:</w:t>
      </w:r>
    </w:p>
    <w:p w14:paraId="7E1E98B2" w14:textId="77777777" w:rsidR="00AF2903" w:rsidRDefault="00AF2903" w:rsidP="00AF2903">
      <w:pPr>
        <w:pStyle w:val="Point1"/>
      </w:pPr>
      <w:r>
        <w:tab/>
        <w:t>a)</w:t>
      </w:r>
      <w:r>
        <w:tab/>
        <w:t>en fuldstændig fusion</w:t>
      </w:r>
    </w:p>
    <w:p w14:paraId="76D4CDDD" w14:textId="77777777" w:rsidR="00AF2903" w:rsidRDefault="00AF2903" w:rsidP="00AF2903">
      <w:pPr>
        <w:pStyle w:val="Point1"/>
      </w:pPr>
      <w:r>
        <w:tab/>
        <w:t>b)</w:t>
      </w:r>
      <w:r>
        <w:tab/>
        <w:t>en erhvervelse af enekontrol eller fælles kontrol</w:t>
      </w:r>
    </w:p>
    <w:p w14:paraId="5CEA891A" w14:textId="77777777" w:rsidR="00AF2903" w:rsidRDefault="00AF2903" w:rsidP="00AF2903">
      <w:pPr>
        <w:pStyle w:val="Point1"/>
      </w:pPr>
      <w:r>
        <w:tab/>
        <w:t>c)</w:t>
      </w:r>
      <w:r>
        <w:tab/>
        <w:t>en kontrakt eller et andet middel, der fører til direkte eller indirekte kontrol som defineret i fusionsforordningens artikel 3, stk. 2</w:t>
      </w:r>
    </w:p>
    <w:p w14:paraId="2C9A80FD" w14:textId="77777777" w:rsidR="00AF2903" w:rsidRDefault="00AF2903" w:rsidP="00AF2903">
      <w:pPr>
        <w:pStyle w:val="Point1"/>
      </w:pPr>
      <w:r>
        <w:tab/>
        <w:t>d)</w:t>
      </w:r>
      <w:r>
        <w:tab/>
        <w:t>erhvervelse af fælles kontrol i et selvstændigt fungerende joint venture, jf. fusionsforordningens artikel 3, stk. 4, og i givet fald grundene til, at joint venture-selskabet anses for at være selvstændigt fungerende</w:t>
      </w:r>
      <w:r>
        <w:rPr>
          <w:rStyle w:val="FootnoteReference"/>
        </w:rPr>
        <w:footnoteReference w:id="15"/>
      </w:r>
    </w:p>
    <w:p w14:paraId="3E533BE2" w14:textId="77777777" w:rsidR="00AF2903" w:rsidRDefault="00AF2903" w:rsidP="00AF2903">
      <w:pPr>
        <w:pStyle w:val="Point0"/>
      </w:pPr>
      <w:r>
        <w:tab/>
        <w:t>2.1.3.</w:t>
      </w:r>
      <w:r>
        <w:tab/>
        <w:t>gør rede for, hvordan fusionen vil blive gennemført (f.eks. ved indgåelse af en aftale, gennem iværksættelse af et offentligt overtagelsestilbud osv.)</w:t>
      </w:r>
    </w:p>
    <w:p w14:paraId="1A2D1C01" w14:textId="77777777" w:rsidR="00AF2903" w:rsidRDefault="00AF2903" w:rsidP="00AF2903">
      <w:pPr>
        <w:pStyle w:val="Point0"/>
      </w:pPr>
      <w:r>
        <w:tab/>
        <w:t>2.1.4.</w:t>
      </w:r>
      <w:r>
        <w:tab/>
        <w:t>gør rede for, hvorvidt en af følgende begivenheder er indtrådt med henblik på gennemførelse af fusionen på anmeldelsestidspunktet, jf. fusionsforordningens artikel 4, stk. 1:</w:t>
      </w:r>
    </w:p>
    <w:p w14:paraId="4F98101B" w14:textId="77777777" w:rsidR="00AF2903" w:rsidRDefault="00AF2903" w:rsidP="00AF2903">
      <w:pPr>
        <w:pStyle w:val="Point1"/>
      </w:pPr>
      <w:r>
        <w:tab/>
        <w:t>a)</w:t>
      </w:r>
      <w:r>
        <w:tab/>
        <w:t>der er indgået en aftale</w:t>
      </w:r>
    </w:p>
    <w:p w14:paraId="17AEA910" w14:textId="77777777" w:rsidR="00AF2903" w:rsidRDefault="00AF2903" w:rsidP="00AF2903">
      <w:pPr>
        <w:pStyle w:val="Point1"/>
      </w:pPr>
      <w:r>
        <w:tab/>
        <w:t>b)</w:t>
      </w:r>
      <w:r>
        <w:tab/>
        <w:t>der er erhvervet en kontrollerende interesse</w:t>
      </w:r>
    </w:p>
    <w:p w14:paraId="229888B5" w14:textId="77777777" w:rsidR="00AF2903" w:rsidRDefault="00AF2903" w:rsidP="00AF2903">
      <w:pPr>
        <w:pStyle w:val="Point1"/>
      </w:pPr>
      <w:r>
        <w:tab/>
        <w:t>c)</w:t>
      </w:r>
      <w:r>
        <w:tab/>
        <w:t>der er fremsat eller er planer om at fremsætte et offentligt overtagelsestilbud</w:t>
      </w:r>
    </w:p>
    <w:p w14:paraId="50C13C94" w14:textId="77777777" w:rsidR="00AF2903" w:rsidRDefault="00AF2903" w:rsidP="00AF2903">
      <w:pPr>
        <w:pStyle w:val="Point1"/>
      </w:pPr>
      <w:r>
        <w:tab/>
        <w:t>d)</w:t>
      </w:r>
      <w:r>
        <w:tab/>
        <w:t>de deltagende virksomheder har godtgjort, at de i god tro har til hensigt at indgå en aftale</w:t>
      </w:r>
    </w:p>
    <w:p w14:paraId="203DD5C8" w14:textId="77777777" w:rsidR="00AF2903" w:rsidRDefault="00AF2903" w:rsidP="00AF2903">
      <w:pPr>
        <w:pStyle w:val="Point0"/>
      </w:pPr>
      <w:r>
        <w:tab/>
        <w:t>2.1.5.</w:t>
      </w:r>
      <w:r>
        <w:tab/>
        <w:t>oplys, hvornår væsentlige formaliteter til gennemførelse af fusionen ventes gennemført</w:t>
      </w:r>
    </w:p>
    <w:p w14:paraId="7F3F0F3A" w14:textId="77777777" w:rsidR="00AF2903" w:rsidRDefault="00AF2903" w:rsidP="00AF2903">
      <w:pPr>
        <w:pStyle w:val="Point0"/>
      </w:pPr>
      <w:r>
        <w:tab/>
        <w:t>2.1.6.</w:t>
      </w:r>
      <w:r>
        <w:tab/>
        <w:t>gør rede for ejer- og kontrolforholdene for hver af de deltagende virksomheder efter fusionen.</w:t>
      </w:r>
    </w:p>
    <w:p w14:paraId="31381F67" w14:textId="77777777" w:rsidR="00AF2903" w:rsidRDefault="00AF2903" w:rsidP="00AF2903">
      <w:r>
        <w:t>2.2.</w:t>
      </w:r>
      <w:r>
        <w:tab/>
        <w:t>Beskriv den økonomiske baggrund for fusionen.</w:t>
      </w:r>
    </w:p>
    <w:p w14:paraId="51198BA8" w14:textId="77777777" w:rsidR="00AF2903" w:rsidRDefault="00AF2903" w:rsidP="00AF2903">
      <w:r>
        <w:t>2.3.</w:t>
      </w:r>
      <w:r>
        <w:tab/>
        <w:t>Angiv fusionens værdi [købsprisen (eller alle de involverede aktivers værdi); angiv, om denne har form af egenkapital, likvide midler eller andre aktiver].</w:t>
      </w:r>
    </w:p>
    <w:p w14:paraId="5C0F92AE" w14:textId="77777777" w:rsidR="00AF2903" w:rsidRDefault="00AF2903" w:rsidP="00AF2903">
      <w:r>
        <w:t>2.4.</w:t>
      </w:r>
      <w:r>
        <w:tab/>
        <w:t>Giv finansielle oplysninger eller andre data, der er tilstrækkelige til at vise, om fusionen opfylder eller ikke opfylder tærsklerne i fusionsforordningens artikel 1, ved for hver af de deltagende virksomheder at give følgende oplysninger for det seneste regnskabsår</w:t>
      </w:r>
      <w:r>
        <w:rPr>
          <w:rStyle w:val="FootnoteReference"/>
        </w:rPr>
        <w:footnoteReference w:id="16"/>
      </w:r>
      <w:r>
        <w:t>:</w:t>
      </w:r>
    </w:p>
    <w:p w14:paraId="5C7B1791" w14:textId="77777777" w:rsidR="00AF2903" w:rsidRDefault="00AF2903" w:rsidP="00AF2903">
      <w:pPr>
        <w:pStyle w:val="Point0"/>
      </w:pPr>
      <w:r>
        <w:tab/>
        <w:t>2.4.1.</w:t>
      </w:r>
      <w:r>
        <w:tab/>
        <w:t>omsætning på verdensplan</w:t>
      </w:r>
    </w:p>
    <w:p w14:paraId="79440744" w14:textId="77777777" w:rsidR="00AF2903" w:rsidRDefault="00AF2903" w:rsidP="00AF2903">
      <w:pPr>
        <w:pStyle w:val="Point0"/>
      </w:pPr>
      <w:r>
        <w:tab/>
        <w:t>2.4.2.</w:t>
      </w:r>
      <w:r>
        <w:tab/>
        <w:t>omsætning inden for EU</w:t>
      </w:r>
    </w:p>
    <w:p w14:paraId="41D7A3A1" w14:textId="77777777" w:rsidR="00AF2903" w:rsidRDefault="00AF2903" w:rsidP="00AF2903">
      <w:pPr>
        <w:pStyle w:val="Point0"/>
      </w:pPr>
      <w:r>
        <w:tab/>
        <w:t>2.4.3.</w:t>
      </w:r>
      <w:r>
        <w:tab/>
        <w:t>omsætning inden for EØS (Unionen og EFTA)</w:t>
      </w:r>
    </w:p>
    <w:p w14:paraId="08AD2EEF" w14:textId="77777777" w:rsidR="00AF2903" w:rsidRDefault="00AF2903" w:rsidP="00AF2903">
      <w:pPr>
        <w:pStyle w:val="Point0"/>
      </w:pPr>
      <w:r>
        <w:tab/>
        <w:t>2.4.4.</w:t>
      </w:r>
      <w:r>
        <w:tab/>
        <w:t>omsætning i hver enkelt medlemsstat (anfør eventuel medlemsstat, hvor mere end to tredjedele af omsætningen inden for Unionen realiseres)</w:t>
      </w:r>
    </w:p>
    <w:p w14:paraId="76EE3953" w14:textId="77777777" w:rsidR="00AF2903" w:rsidRDefault="00AF2903" w:rsidP="00AF2903">
      <w:pPr>
        <w:pStyle w:val="Point0"/>
      </w:pPr>
      <w:r>
        <w:tab/>
        <w:t>2.4.5.</w:t>
      </w:r>
      <w:r>
        <w:tab/>
        <w:t>omsætning inden for EFTA</w:t>
      </w:r>
    </w:p>
    <w:p w14:paraId="2C1A0F54" w14:textId="77777777" w:rsidR="00AF2903" w:rsidRDefault="00AF2903" w:rsidP="00AF2903">
      <w:pPr>
        <w:pStyle w:val="Point0"/>
      </w:pPr>
      <w:r>
        <w:tab/>
        <w:t>2.4.6.</w:t>
      </w:r>
      <w:r>
        <w:tab/>
        <w:t>omsætning i hver enkelt EFTA-stat (anfør eventuel EFTA-stat, hvor mere end to tredjedele af omsætningen inden for EFTA realiseres); angiv også, om de deltagende virksomheders omsætning på EFTA-staternes område tilsammen udgør mindst 25 % af deres samlede omsætning inden for EØS-området.</w:t>
      </w:r>
    </w:p>
    <w:p w14:paraId="7ECACBD3" w14:textId="77777777" w:rsidR="00AF2903" w:rsidRDefault="00AF2903" w:rsidP="00AF2903">
      <w:r>
        <w:t>Omsætningsdataene skal indberettes ved at udfylde Kommissionens skemamodel, som findes på GD for Konkurrences websted.</w:t>
      </w:r>
    </w:p>
    <w:p w14:paraId="44FA5457" w14:textId="77777777" w:rsidR="00AF2903" w:rsidRDefault="00AF2903" w:rsidP="00AF2903">
      <w:pPr>
        <w:pStyle w:val="ManualHeading1"/>
        <w:numPr>
          <w:ilvl w:val="0"/>
          <w:numId w:val="0"/>
        </w:numPr>
        <w:ind w:left="851" w:hanging="851"/>
      </w:pPr>
      <w:r>
        <w:t>DEL 3</w:t>
      </w:r>
    </w:p>
    <w:p w14:paraId="52825CA7" w14:textId="77777777" w:rsidR="00AF2903" w:rsidRDefault="00AF2903" w:rsidP="00AF2903">
      <w:pPr>
        <w:pStyle w:val="ManualHeading2"/>
        <w:numPr>
          <w:ilvl w:val="0"/>
          <w:numId w:val="0"/>
        </w:numPr>
        <w:ind w:left="851" w:hanging="851"/>
      </w:pPr>
      <w:r>
        <w:rPr>
          <w:i/>
          <w:iCs/>
        </w:rPr>
        <w:t>MARKEDSAFGRÆNSNING</w:t>
      </w:r>
    </w:p>
    <w:p w14:paraId="6E2964B5" w14:textId="77777777" w:rsidR="00AF2903" w:rsidRDefault="00AF2903" w:rsidP="00AF2903">
      <w:r>
        <w:t>Det er de relevante produktmarkeder og geografiske markeder, der danner grundlaget for vurderingen af den nye enheds markedsstyrke efter fusionen</w:t>
      </w:r>
      <w:r>
        <w:rPr>
          <w:rStyle w:val="FootnoteReference"/>
        </w:rPr>
        <w:footnoteReference w:id="17"/>
      </w:r>
      <w:r>
        <w:t>. Ved angivelsen af de relevante produktmarkeder og geografiske markeder skal den part eller de parter, der indsender en erklæring, foruden de produktmæssige og geografiske markedsafgrænsninger, som de finder relevante, angive alle plausible alternative produktmarkeder og geografiske markeder. Andre plausible relevante produktmarkeder og geografiske markeder kan fastlægges på grundlag af tidligere kommissionsafgørelser og domme afsagt af EU-Domstolen samt (navnlig når der ikke foreligger præcedens fra Kommissionen eller EU-Domstolen) ved henvisning til industrirapporter, markedsundersøgelser og de indsendende parters interne dokumenter.</w:t>
      </w:r>
    </w:p>
    <w:p w14:paraId="45095F20" w14:textId="77777777" w:rsidR="00AF2903" w:rsidRDefault="00AF2903" w:rsidP="00AF2903">
      <w:r>
        <w:t>3.1.</w:t>
      </w:r>
      <w:r>
        <w:tab/>
        <w:t>Redegør for alle plausible relevante markedsafgrænsninger, hvor den planlagte fusion kan have betydning for berørte markeder. Redegør for, hvordan det relevante produktmarked og geografiske marked bør defineres ifølge de parter, der indsender erklæringen.</w:t>
      </w:r>
    </w:p>
    <w:p w14:paraId="139333B5" w14:textId="77777777" w:rsidR="00AF2903" w:rsidRDefault="00AF2903" w:rsidP="00AF2903">
      <w:r>
        <w:t>3.2.</w:t>
      </w:r>
      <w:r>
        <w:tab/>
        <w:t>Under hensyntagen til alle de nævnte plausible relevante markedsafgrænsninger udpeges hvert berørt marked</w:t>
      </w:r>
      <w:r>
        <w:rPr>
          <w:rStyle w:val="FootnoteReference"/>
        </w:rPr>
        <w:footnoteReference w:id="18"/>
      </w:r>
      <w:r>
        <w:t>, og der gives kortfattede oplysninger om fusionsparternes aktiviteter på hvert plausibelt relevant marked. Indsæt så mange rækker i tabellen som nødvendigt for at dække alle de plausible markeder, der er overvejet:</w:t>
      </w:r>
    </w:p>
    <w:tbl>
      <w:tblPr>
        <w:tblW w:w="0" w:type="auto"/>
        <w:tblLayout w:type="fixed"/>
        <w:tblLook w:val="0000" w:firstRow="0" w:lastRow="0" w:firstColumn="0" w:lastColumn="0" w:noHBand="0" w:noVBand="0"/>
      </w:tblPr>
      <w:tblGrid>
        <w:gridCol w:w="2786"/>
        <w:gridCol w:w="3157"/>
        <w:gridCol w:w="3343"/>
      </w:tblGrid>
      <w:tr w:rsidR="00AF2903" w14:paraId="0C75FC58" w14:textId="77777777" w:rsidTr="00144BFF">
        <w:tc>
          <w:tcPr>
            <w:tcW w:w="9286" w:type="dxa"/>
            <w:gridSpan w:val="3"/>
            <w:tcBorders>
              <w:top w:val="single" w:sz="2" w:space="0" w:color="auto"/>
              <w:left w:val="single" w:sz="2" w:space="0" w:color="auto"/>
              <w:bottom w:val="single" w:sz="2" w:space="0" w:color="auto"/>
              <w:right w:val="single" w:sz="2" w:space="0" w:color="auto"/>
            </w:tcBorders>
          </w:tcPr>
          <w:p w14:paraId="11335B82" w14:textId="77777777" w:rsidR="00AF2903" w:rsidRDefault="00AF2903" w:rsidP="00144BFF">
            <w:pPr>
              <w:pStyle w:val="NormalCentered"/>
            </w:pPr>
            <w:r>
              <w:rPr>
                <w:i/>
                <w:iCs/>
              </w:rPr>
              <w:t>Sammenfattende beskrivelse af berørte markeder</w:t>
            </w:r>
          </w:p>
          <w:p w14:paraId="7A4A38E7" w14:textId="77777777" w:rsidR="00AF2903" w:rsidRDefault="00AF2903" w:rsidP="00144BFF">
            <w:pPr>
              <w:pStyle w:val="NormalCentered"/>
            </w:pPr>
            <w:r>
              <w:rPr>
                <w:i/>
                <w:iCs/>
              </w:rPr>
              <w:t>Horisontale overlapninger</w:t>
            </w:r>
          </w:p>
        </w:tc>
      </w:tr>
      <w:tr w:rsidR="00AF2903" w14:paraId="45F313E8" w14:textId="77777777" w:rsidTr="00144BFF">
        <w:tc>
          <w:tcPr>
            <w:tcW w:w="2786" w:type="dxa"/>
            <w:tcBorders>
              <w:top w:val="single" w:sz="2" w:space="0" w:color="auto"/>
              <w:left w:val="single" w:sz="2" w:space="0" w:color="auto"/>
              <w:bottom w:val="single" w:sz="2" w:space="0" w:color="auto"/>
              <w:right w:val="single" w:sz="2" w:space="0" w:color="auto"/>
            </w:tcBorders>
          </w:tcPr>
          <w:p w14:paraId="255E6A5A" w14:textId="77777777" w:rsidR="00AF2903" w:rsidRDefault="00AF2903" w:rsidP="00144BFF">
            <w:pPr>
              <w:pStyle w:val="NormalCentered"/>
            </w:pPr>
            <w:r>
              <w:t>Afgrænsning af produktmarkedet</w:t>
            </w:r>
          </w:p>
        </w:tc>
        <w:tc>
          <w:tcPr>
            <w:tcW w:w="3157" w:type="dxa"/>
            <w:tcBorders>
              <w:top w:val="single" w:sz="2" w:space="0" w:color="auto"/>
              <w:left w:val="single" w:sz="2" w:space="0" w:color="auto"/>
              <w:bottom w:val="single" w:sz="2" w:space="0" w:color="auto"/>
              <w:right w:val="single" w:sz="2" w:space="0" w:color="auto"/>
            </w:tcBorders>
          </w:tcPr>
          <w:p w14:paraId="3222C2E2" w14:textId="77777777" w:rsidR="00AF2903" w:rsidRDefault="00AF2903" w:rsidP="00144BFF">
            <w:pPr>
              <w:pStyle w:val="NormalCentered"/>
            </w:pPr>
            <w:r>
              <w:t>Afgrænsning af det geografiske marked</w:t>
            </w:r>
          </w:p>
        </w:tc>
        <w:tc>
          <w:tcPr>
            <w:tcW w:w="3343" w:type="dxa"/>
            <w:tcBorders>
              <w:top w:val="single" w:sz="2" w:space="0" w:color="auto"/>
              <w:left w:val="single" w:sz="2" w:space="0" w:color="auto"/>
              <w:bottom w:val="single" w:sz="2" w:space="0" w:color="auto"/>
              <w:right w:val="single" w:sz="2" w:space="0" w:color="auto"/>
            </w:tcBorders>
          </w:tcPr>
          <w:p w14:paraId="7A9B16D0" w14:textId="77777777" w:rsidR="00AF2903" w:rsidRDefault="00AF2903" w:rsidP="00144BFF">
            <w:pPr>
              <w:pStyle w:val="NormalCentered"/>
            </w:pPr>
            <w:r>
              <w:t>Samlet markedsandel</w:t>
            </w:r>
          </w:p>
          <w:p w14:paraId="2AC72B0A" w14:textId="77777777" w:rsidR="00AF2903" w:rsidRDefault="00AF2903" w:rsidP="00144BFF">
            <w:pPr>
              <w:pStyle w:val="NormalCentered"/>
            </w:pPr>
            <w:r>
              <w:t>[Angiv år]</w:t>
            </w:r>
          </w:p>
          <w:p w14:paraId="35CAF3AD" w14:textId="77777777" w:rsidR="00AF2903" w:rsidRDefault="00AF2903" w:rsidP="00144BFF">
            <w:pPr>
              <w:pStyle w:val="NormalCentered"/>
            </w:pPr>
            <w:r>
              <w:t>[Angiv parameter]</w:t>
            </w:r>
          </w:p>
        </w:tc>
      </w:tr>
      <w:tr w:rsidR="00AF2903" w14:paraId="3A6A1F03" w14:textId="77777777" w:rsidTr="00144BFF">
        <w:tc>
          <w:tcPr>
            <w:tcW w:w="2786" w:type="dxa"/>
            <w:tcBorders>
              <w:top w:val="single" w:sz="2" w:space="0" w:color="auto"/>
              <w:left w:val="single" w:sz="2" w:space="0" w:color="auto"/>
              <w:bottom w:val="single" w:sz="2" w:space="0" w:color="auto"/>
              <w:right w:val="single" w:sz="2" w:space="0" w:color="auto"/>
            </w:tcBorders>
          </w:tcPr>
          <w:p w14:paraId="194F7FE1" w14:textId="77777777" w:rsidR="00AF2903" w:rsidRDefault="00AF2903" w:rsidP="00144BFF">
            <w:pPr>
              <w:adjustRightInd w:val="0"/>
              <w:spacing w:before="0" w:after="0"/>
              <w:jc w:val="left"/>
              <w:rPr>
                <w:lang w:val="en-US"/>
              </w:rPr>
            </w:pPr>
          </w:p>
        </w:tc>
        <w:tc>
          <w:tcPr>
            <w:tcW w:w="3157" w:type="dxa"/>
            <w:tcBorders>
              <w:top w:val="single" w:sz="2" w:space="0" w:color="auto"/>
              <w:left w:val="single" w:sz="2" w:space="0" w:color="auto"/>
              <w:bottom w:val="single" w:sz="2" w:space="0" w:color="auto"/>
              <w:right w:val="single" w:sz="2" w:space="0" w:color="auto"/>
            </w:tcBorders>
          </w:tcPr>
          <w:p w14:paraId="19E990FD" w14:textId="77777777" w:rsidR="00AF2903" w:rsidRDefault="00AF2903" w:rsidP="00144BFF">
            <w:pPr>
              <w:adjustRightInd w:val="0"/>
              <w:spacing w:before="0" w:after="0"/>
              <w:jc w:val="left"/>
              <w:rPr>
                <w:lang w:val="en-US"/>
              </w:rPr>
            </w:pPr>
          </w:p>
        </w:tc>
        <w:tc>
          <w:tcPr>
            <w:tcW w:w="3343" w:type="dxa"/>
            <w:tcBorders>
              <w:top w:val="single" w:sz="2" w:space="0" w:color="auto"/>
              <w:left w:val="single" w:sz="2" w:space="0" w:color="auto"/>
              <w:bottom w:val="single" w:sz="2" w:space="0" w:color="auto"/>
              <w:right w:val="single" w:sz="2" w:space="0" w:color="auto"/>
            </w:tcBorders>
          </w:tcPr>
          <w:p w14:paraId="306C00DE" w14:textId="77777777" w:rsidR="00AF2903" w:rsidRDefault="00AF2903" w:rsidP="00144BFF">
            <w:pPr>
              <w:adjustRightInd w:val="0"/>
              <w:spacing w:before="0" w:after="0"/>
              <w:jc w:val="left"/>
              <w:rPr>
                <w:lang w:val="en-US"/>
              </w:rPr>
            </w:pPr>
          </w:p>
        </w:tc>
      </w:tr>
      <w:tr w:rsidR="00AF2903" w14:paraId="77C16154" w14:textId="77777777" w:rsidTr="00144BFF">
        <w:tc>
          <w:tcPr>
            <w:tcW w:w="2786" w:type="dxa"/>
            <w:tcBorders>
              <w:top w:val="single" w:sz="2" w:space="0" w:color="auto"/>
              <w:left w:val="single" w:sz="2" w:space="0" w:color="auto"/>
              <w:bottom w:val="single" w:sz="2" w:space="0" w:color="auto"/>
              <w:right w:val="single" w:sz="2" w:space="0" w:color="auto"/>
            </w:tcBorders>
          </w:tcPr>
          <w:p w14:paraId="1434922E" w14:textId="77777777" w:rsidR="00AF2903" w:rsidRDefault="00AF2903" w:rsidP="00144BFF">
            <w:pPr>
              <w:adjustRightInd w:val="0"/>
              <w:spacing w:before="0" w:after="0"/>
              <w:jc w:val="left"/>
              <w:rPr>
                <w:lang w:val="en-US"/>
              </w:rPr>
            </w:pPr>
          </w:p>
        </w:tc>
        <w:tc>
          <w:tcPr>
            <w:tcW w:w="3157" w:type="dxa"/>
            <w:tcBorders>
              <w:top w:val="single" w:sz="2" w:space="0" w:color="auto"/>
              <w:left w:val="single" w:sz="2" w:space="0" w:color="auto"/>
              <w:bottom w:val="single" w:sz="2" w:space="0" w:color="auto"/>
              <w:right w:val="single" w:sz="2" w:space="0" w:color="auto"/>
            </w:tcBorders>
          </w:tcPr>
          <w:p w14:paraId="3FD8AB41" w14:textId="77777777" w:rsidR="00AF2903" w:rsidRDefault="00AF2903" w:rsidP="00144BFF">
            <w:pPr>
              <w:adjustRightInd w:val="0"/>
              <w:spacing w:before="0" w:after="0"/>
              <w:jc w:val="left"/>
              <w:rPr>
                <w:lang w:val="en-US"/>
              </w:rPr>
            </w:pPr>
          </w:p>
        </w:tc>
        <w:tc>
          <w:tcPr>
            <w:tcW w:w="3343" w:type="dxa"/>
            <w:tcBorders>
              <w:top w:val="single" w:sz="2" w:space="0" w:color="auto"/>
              <w:left w:val="single" w:sz="2" w:space="0" w:color="auto"/>
              <w:bottom w:val="single" w:sz="2" w:space="0" w:color="auto"/>
              <w:right w:val="single" w:sz="2" w:space="0" w:color="auto"/>
            </w:tcBorders>
          </w:tcPr>
          <w:p w14:paraId="762EAD75" w14:textId="77777777" w:rsidR="00AF2903" w:rsidRDefault="00AF2903" w:rsidP="00144BFF">
            <w:pPr>
              <w:adjustRightInd w:val="0"/>
              <w:spacing w:before="0" w:after="0"/>
              <w:jc w:val="left"/>
              <w:rPr>
                <w:lang w:val="en-US"/>
              </w:rPr>
            </w:pPr>
          </w:p>
        </w:tc>
      </w:tr>
    </w:tbl>
    <w:p w14:paraId="50BFCF39" w14:textId="77777777" w:rsidR="00AF2903" w:rsidRDefault="00AF2903" w:rsidP="00AF2903"/>
    <w:tbl>
      <w:tblPr>
        <w:tblW w:w="0" w:type="auto"/>
        <w:tblLayout w:type="fixed"/>
        <w:tblLook w:val="0000" w:firstRow="0" w:lastRow="0" w:firstColumn="0" w:lastColumn="0" w:noHBand="0" w:noVBand="0"/>
      </w:tblPr>
      <w:tblGrid>
        <w:gridCol w:w="1671"/>
        <w:gridCol w:w="1765"/>
        <w:gridCol w:w="1207"/>
        <w:gridCol w:w="1671"/>
        <w:gridCol w:w="1765"/>
        <w:gridCol w:w="1207"/>
      </w:tblGrid>
      <w:tr w:rsidR="00AF2903" w14:paraId="105FBBEC" w14:textId="77777777" w:rsidTr="00144BFF">
        <w:tc>
          <w:tcPr>
            <w:tcW w:w="9286" w:type="dxa"/>
            <w:gridSpan w:val="6"/>
            <w:tcBorders>
              <w:top w:val="single" w:sz="2" w:space="0" w:color="auto"/>
              <w:left w:val="single" w:sz="2" w:space="0" w:color="auto"/>
              <w:bottom w:val="single" w:sz="2" w:space="0" w:color="auto"/>
              <w:right w:val="single" w:sz="2" w:space="0" w:color="auto"/>
            </w:tcBorders>
          </w:tcPr>
          <w:p w14:paraId="697D9359" w14:textId="77777777" w:rsidR="00AF2903" w:rsidRDefault="00AF2903" w:rsidP="00144BFF">
            <w:pPr>
              <w:pStyle w:val="NormalCentered"/>
            </w:pPr>
            <w:r>
              <w:rPr>
                <w:i/>
                <w:iCs/>
              </w:rPr>
              <w:t>Sammenfattende beskrivelse af berørte markeder</w:t>
            </w:r>
          </w:p>
          <w:p w14:paraId="118AAEC7" w14:textId="77777777" w:rsidR="00AF2903" w:rsidRDefault="00AF2903" w:rsidP="00144BFF">
            <w:pPr>
              <w:pStyle w:val="NormalCentered"/>
            </w:pPr>
            <w:r>
              <w:rPr>
                <w:i/>
                <w:iCs/>
              </w:rPr>
              <w:t>Vertikale forbindelser</w:t>
            </w:r>
          </w:p>
        </w:tc>
      </w:tr>
      <w:tr w:rsidR="00AF2903" w14:paraId="78B56EDA" w14:textId="77777777" w:rsidTr="00144BFF">
        <w:tc>
          <w:tcPr>
            <w:tcW w:w="4643" w:type="dxa"/>
            <w:gridSpan w:val="3"/>
            <w:tcBorders>
              <w:top w:val="single" w:sz="2" w:space="0" w:color="auto"/>
              <w:left w:val="single" w:sz="2" w:space="0" w:color="auto"/>
              <w:bottom w:val="single" w:sz="2" w:space="0" w:color="auto"/>
              <w:right w:val="single" w:sz="2" w:space="0" w:color="auto"/>
            </w:tcBorders>
          </w:tcPr>
          <w:p w14:paraId="43B905FB" w14:textId="77777777" w:rsidR="00AF2903" w:rsidRDefault="00AF2903" w:rsidP="00144BFF">
            <w:pPr>
              <w:pStyle w:val="NormalCentered"/>
            </w:pPr>
            <w:r>
              <w:rPr>
                <w:i/>
                <w:iCs/>
              </w:rPr>
              <w:t>Det forudgående omsætningsled</w:t>
            </w:r>
          </w:p>
        </w:tc>
        <w:tc>
          <w:tcPr>
            <w:tcW w:w="4643" w:type="dxa"/>
            <w:gridSpan w:val="3"/>
            <w:tcBorders>
              <w:top w:val="single" w:sz="2" w:space="0" w:color="auto"/>
              <w:left w:val="single" w:sz="2" w:space="0" w:color="auto"/>
              <w:bottom w:val="single" w:sz="2" w:space="0" w:color="auto"/>
              <w:right w:val="single" w:sz="2" w:space="0" w:color="auto"/>
            </w:tcBorders>
          </w:tcPr>
          <w:p w14:paraId="2C273F55" w14:textId="77777777" w:rsidR="00AF2903" w:rsidRDefault="00AF2903" w:rsidP="00144BFF">
            <w:pPr>
              <w:pStyle w:val="NormalCentered"/>
            </w:pPr>
            <w:r>
              <w:rPr>
                <w:i/>
                <w:iCs/>
              </w:rPr>
              <w:t>Det efterfølgende omsætningsled</w:t>
            </w:r>
          </w:p>
        </w:tc>
      </w:tr>
      <w:tr w:rsidR="00AF2903" w14:paraId="0E6F106B" w14:textId="77777777" w:rsidTr="00144BFF">
        <w:tc>
          <w:tcPr>
            <w:tcW w:w="1671" w:type="dxa"/>
            <w:tcBorders>
              <w:top w:val="single" w:sz="2" w:space="0" w:color="auto"/>
              <w:left w:val="single" w:sz="2" w:space="0" w:color="auto"/>
              <w:bottom w:val="single" w:sz="2" w:space="0" w:color="auto"/>
              <w:right w:val="single" w:sz="2" w:space="0" w:color="auto"/>
            </w:tcBorders>
          </w:tcPr>
          <w:p w14:paraId="636A8C44" w14:textId="77777777" w:rsidR="00AF2903" w:rsidRDefault="00AF2903" w:rsidP="00144BFF">
            <w:pPr>
              <w:pStyle w:val="NormalCentered"/>
            </w:pPr>
            <w:r>
              <w:t>Afgrænsning af produktmarkedet</w:t>
            </w:r>
          </w:p>
        </w:tc>
        <w:tc>
          <w:tcPr>
            <w:tcW w:w="1765" w:type="dxa"/>
            <w:tcBorders>
              <w:top w:val="single" w:sz="2" w:space="0" w:color="auto"/>
              <w:left w:val="single" w:sz="2" w:space="0" w:color="auto"/>
              <w:bottom w:val="single" w:sz="2" w:space="0" w:color="auto"/>
              <w:right w:val="single" w:sz="2" w:space="0" w:color="auto"/>
            </w:tcBorders>
          </w:tcPr>
          <w:p w14:paraId="0993FC46" w14:textId="77777777" w:rsidR="00AF2903" w:rsidRDefault="00AF2903" w:rsidP="00144BFF">
            <w:pPr>
              <w:pStyle w:val="NormalCentered"/>
            </w:pPr>
            <w:r>
              <w:t>Afgrænsning af det geografiske marked</w:t>
            </w:r>
          </w:p>
        </w:tc>
        <w:tc>
          <w:tcPr>
            <w:tcW w:w="1207" w:type="dxa"/>
            <w:tcBorders>
              <w:top w:val="single" w:sz="2" w:space="0" w:color="auto"/>
              <w:left w:val="single" w:sz="2" w:space="0" w:color="auto"/>
              <w:bottom w:val="single" w:sz="2" w:space="0" w:color="auto"/>
              <w:right w:val="single" w:sz="2" w:space="0" w:color="auto"/>
            </w:tcBorders>
          </w:tcPr>
          <w:p w14:paraId="0D41CEAB" w14:textId="77777777" w:rsidR="00AF2903" w:rsidRDefault="00AF2903" w:rsidP="00144BFF">
            <w:pPr>
              <w:pStyle w:val="NormalCentered"/>
            </w:pPr>
            <w:r>
              <w:t>Samlet markedsandel</w:t>
            </w:r>
          </w:p>
          <w:p w14:paraId="30A2234E" w14:textId="77777777" w:rsidR="00AF2903" w:rsidRDefault="00AF2903" w:rsidP="00144BFF">
            <w:pPr>
              <w:pStyle w:val="NormalCentered"/>
            </w:pPr>
            <w:r>
              <w:t>[Angiv år]</w:t>
            </w:r>
          </w:p>
          <w:p w14:paraId="57312F1E" w14:textId="77777777" w:rsidR="00AF2903" w:rsidRDefault="00AF2903" w:rsidP="00144BFF">
            <w:pPr>
              <w:pStyle w:val="NormalCentered"/>
            </w:pPr>
            <w:r>
              <w:t>[Angiv parameter]</w:t>
            </w:r>
          </w:p>
        </w:tc>
        <w:tc>
          <w:tcPr>
            <w:tcW w:w="1671" w:type="dxa"/>
            <w:tcBorders>
              <w:top w:val="single" w:sz="2" w:space="0" w:color="auto"/>
              <w:left w:val="single" w:sz="2" w:space="0" w:color="auto"/>
              <w:bottom w:val="single" w:sz="2" w:space="0" w:color="auto"/>
              <w:right w:val="single" w:sz="2" w:space="0" w:color="auto"/>
            </w:tcBorders>
          </w:tcPr>
          <w:p w14:paraId="14E96C31" w14:textId="77777777" w:rsidR="00AF2903" w:rsidRDefault="00AF2903" w:rsidP="00144BFF">
            <w:pPr>
              <w:pStyle w:val="NormalCentered"/>
            </w:pPr>
            <w:r>
              <w:t>Afgrænsning af produktmarkedet</w:t>
            </w:r>
          </w:p>
        </w:tc>
        <w:tc>
          <w:tcPr>
            <w:tcW w:w="1765" w:type="dxa"/>
            <w:tcBorders>
              <w:top w:val="single" w:sz="2" w:space="0" w:color="auto"/>
              <w:left w:val="single" w:sz="2" w:space="0" w:color="auto"/>
              <w:bottom w:val="single" w:sz="2" w:space="0" w:color="auto"/>
              <w:right w:val="single" w:sz="2" w:space="0" w:color="auto"/>
            </w:tcBorders>
          </w:tcPr>
          <w:p w14:paraId="59E8428E" w14:textId="77777777" w:rsidR="00AF2903" w:rsidRDefault="00AF2903" w:rsidP="00144BFF">
            <w:pPr>
              <w:pStyle w:val="NormalCentered"/>
            </w:pPr>
            <w:r>
              <w:t>Afgrænsning af det geografiske marked</w:t>
            </w:r>
          </w:p>
        </w:tc>
        <w:tc>
          <w:tcPr>
            <w:tcW w:w="1207" w:type="dxa"/>
            <w:tcBorders>
              <w:top w:val="single" w:sz="2" w:space="0" w:color="auto"/>
              <w:left w:val="single" w:sz="2" w:space="0" w:color="auto"/>
              <w:bottom w:val="single" w:sz="2" w:space="0" w:color="auto"/>
              <w:right w:val="single" w:sz="2" w:space="0" w:color="auto"/>
            </w:tcBorders>
          </w:tcPr>
          <w:p w14:paraId="3E4E289D" w14:textId="77777777" w:rsidR="00AF2903" w:rsidRDefault="00AF2903" w:rsidP="00144BFF">
            <w:pPr>
              <w:pStyle w:val="NormalCentered"/>
            </w:pPr>
            <w:r>
              <w:t>Samlet markedsandel</w:t>
            </w:r>
          </w:p>
          <w:p w14:paraId="5778DF82" w14:textId="77777777" w:rsidR="00AF2903" w:rsidRDefault="00AF2903" w:rsidP="00144BFF">
            <w:pPr>
              <w:pStyle w:val="NormalCentered"/>
            </w:pPr>
            <w:r>
              <w:t>[Angiv år]</w:t>
            </w:r>
          </w:p>
          <w:p w14:paraId="53235B36" w14:textId="77777777" w:rsidR="00AF2903" w:rsidRDefault="00AF2903" w:rsidP="00144BFF">
            <w:pPr>
              <w:pStyle w:val="NormalCentered"/>
            </w:pPr>
            <w:r>
              <w:t>[Angiv parameter]</w:t>
            </w:r>
          </w:p>
        </w:tc>
      </w:tr>
      <w:tr w:rsidR="00AF2903" w14:paraId="274CECB9" w14:textId="77777777" w:rsidTr="00144BFF">
        <w:tc>
          <w:tcPr>
            <w:tcW w:w="1671" w:type="dxa"/>
            <w:tcBorders>
              <w:top w:val="single" w:sz="2" w:space="0" w:color="auto"/>
              <w:left w:val="single" w:sz="2" w:space="0" w:color="auto"/>
              <w:bottom w:val="single" w:sz="2" w:space="0" w:color="auto"/>
              <w:right w:val="single" w:sz="2" w:space="0" w:color="auto"/>
            </w:tcBorders>
          </w:tcPr>
          <w:p w14:paraId="55D59EA1" w14:textId="77777777" w:rsidR="00AF2903" w:rsidRDefault="00AF2903" w:rsidP="00144BFF">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7F336472" w14:textId="77777777" w:rsidR="00AF2903" w:rsidRDefault="00AF2903" w:rsidP="00144BFF">
            <w:pPr>
              <w:adjustRightInd w:val="0"/>
              <w:spacing w:before="0" w:after="0"/>
              <w:jc w:val="left"/>
              <w:rPr>
                <w:lang w:val="en-US"/>
              </w:rPr>
            </w:pPr>
          </w:p>
        </w:tc>
        <w:tc>
          <w:tcPr>
            <w:tcW w:w="1207" w:type="dxa"/>
            <w:tcBorders>
              <w:top w:val="single" w:sz="2" w:space="0" w:color="auto"/>
              <w:left w:val="single" w:sz="2" w:space="0" w:color="auto"/>
              <w:bottom w:val="single" w:sz="2" w:space="0" w:color="auto"/>
              <w:right w:val="single" w:sz="2" w:space="0" w:color="auto"/>
            </w:tcBorders>
          </w:tcPr>
          <w:p w14:paraId="71A16112" w14:textId="77777777" w:rsidR="00AF2903" w:rsidRDefault="00AF2903" w:rsidP="00144BFF">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5715F2E3" w14:textId="77777777" w:rsidR="00AF2903" w:rsidRDefault="00AF2903" w:rsidP="00144BFF">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0013D858" w14:textId="77777777" w:rsidR="00AF2903" w:rsidRDefault="00AF2903" w:rsidP="00144BFF">
            <w:pPr>
              <w:adjustRightInd w:val="0"/>
              <w:spacing w:before="0" w:after="0"/>
              <w:jc w:val="left"/>
              <w:rPr>
                <w:lang w:val="en-US"/>
              </w:rPr>
            </w:pPr>
          </w:p>
        </w:tc>
        <w:tc>
          <w:tcPr>
            <w:tcW w:w="1207" w:type="dxa"/>
            <w:tcBorders>
              <w:top w:val="single" w:sz="2" w:space="0" w:color="auto"/>
              <w:left w:val="single" w:sz="2" w:space="0" w:color="auto"/>
              <w:bottom w:val="single" w:sz="2" w:space="0" w:color="auto"/>
              <w:right w:val="single" w:sz="2" w:space="0" w:color="auto"/>
            </w:tcBorders>
          </w:tcPr>
          <w:p w14:paraId="145F4E56" w14:textId="77777777" w:rsidR="00AF2903" w:rsidRDefault="00AF2903" w:rsidP="00144BFF">
            <w:pPr>
              <w:adjustRightInd w:val="0"/>
              <w:spacing w:before="0" w:after="0"/>
              <w:jc w:val="left"/>
              <w:rPr>
                <w:lang w:val="en-US"/>
              </w:rPr>
            </w:pPr>
          </w:p>
        </w:tc>
      </w:tr>
      <w:tr w:rsidR="00AF2903" w14:paraId="71B89BEC" w14:textId="77777777" w:rsidTr="00144BFF">
        <w:tc>
          <w:tcPr>
            <w:tcW w:w="1671" w:type="dxa"/>
            <w:tcBorders>
              <w:top w:val="single" w:sz="2" w:space="0" w:color="auto"/>
              <w:left w:val="single" w:sz="2" w:space="0" w:color="auto"/>
              <w:bottom w:val="single" w:sz="2" w:space="0" w:color="auto"/>
              <w:right w:val="single" w:sz="2" w:space="0" w:color="auto"/>
            </w:tcBorders>
          </w:tcPr>
          <w:p w14:paraId="4D222E2C" w14:textId="77777777" w:rsidR="00AF2903" w:rsidRDefault="00AF2903" w:rsidP="00144BFF">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335221C1" w14:textId="77777777" w:rsidR="00AF2903" w:rsidRDefault="00AF2903" w:rsidP="00144BFF">
            <w:pPr>
              <w:adjustRightInd w:val="0"/>
              <w:spacing w:before="0" w:after="0"/>
              <w:jc w:val="left"/>
              <w:rPr>
                <w:lang w:val="en-US"/>
              </w:rPr>
            </w:pPr>
          </w:p>
        </w:tc>
        <w:tc>
          <w:tcPr>
            <w:tcW w:w="1207" w:type="dxa"/>
            <w:tcBorders>
              <w:top w:val="single" w:sz="2" w:space="0" w:color="auto"/>
              <w:left w:val="single" w:sz="2" w:space="0" w:color="auto"/>
              <w:bottom w:val="single" w:sz="2" w:space="0" w:color="auto"/>
              <w:right w:val="single" w:sz="2" w:space="0" w:color="auto"/>
            </w:tcBorders>
          </w:tcPr>
          <w:p w14:paraId="70E5C5CC" w14:textId="77777777" w:rsidR="00AF2903" w:rsidRDefault="00AF2903" w:rsidP="00144BFF">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39E21766" w14:textId="77777777" w:rsidR="00AF2903" w:rsidRDefault="00AF2903" w:rsidP="00144BFF">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31A87A4C" w14:textId="77777777" w:rsidR="00AF2903" w:rsidRDefault="00AF2903" w:rsidP="00144BFF">
            <w:pPr>
              <w:adjustRightInd w:val="0"/>
              <w:spacing w:before="0" w:after="0"/>
              <w:jc w:val="left"/>
              <w:rPr>
                <w:lang w:val="en-US"/>
              </w:rPr>
            </w:pPr>
          </w:p>
        </w:tc>
        <w:tc>
          <w:tcPr>
            <w:tcW w:w="1207" w:type="dxa"/>
            <w:tcBorders>
              <w:top w:val="single" w:sz="2" w:space="0" w:color="auto"/>
              <w:left w:val="single" w:sz="2" w:space="0" w:color="auto"/>
              <w:bottom w:val="single" w:sz="2" w:space="0" w:color="auto"/>
              <w:right w:val="single" w:sz="2" w:space="0" w:color="auto"/>
            </w:tcBorders>
          </w:tcPr>
          <w:p w14:paraId="27689213" w14:textId="77777777" w:rsidR="00AF2903" w:rsidRDefault="00AF2903" w:rsidP="00144BFF">
            <w:pPr>
              <w:adjustRightInd w:val="0"/>
              <w:spacing w:before="0" w:after="0"/>
              <w:jc w:val="left"/>
              <w:rPr>
                <w:lang w:val="en-US"/>
              </w:rPr>
            </w:pPr>
          </w:p>
        </w:tc>
      </w:tr>
    </w:tbl>
    <w:p w14:paraId="52428F57" w14:textId="77777777" w:rsidR="00AF2903" w:rsidRDefault="00AF2903" w:rsidP="00AF2903"/>
    <w:p w14:paraId="5E81D7F1" w14:textId="77777777" w:rsidR="00AF2903" w:rsidRDefault="00AF2903" w:rsidP="00AF2903">
      <w:pPr>
        <w:pStyle w:val="ManualHeading1"/>
        <w:numPr>
          <w:ilvl w:val="0"/>
          <w:numId w:val="0"/>
        </w:numPr>
        <w:ind w:left="851" w:hanging="851"/>
      </w:pPr>
      <w:r>
        <w:t>DEL 4</w:t>
      </w:r>
    </w:p>
    <w:p w14:paraId="36462280" w14:textId="77777777" w:rsidR="00AF2903" w:rsidRDefault="00AF2903" w:rsidP="00AF2903">
      <w:pPr>
        <w:pStyle w:val="ManualHeading2"/>
        <w:numPr>
          <w:ilvl w:val="0"/>
          <w:numId w:val="0"/>
        </w:numPr>
        <w:ind w:left="851" w:hanging="851"/>
      </w:pPr>
      <w:r>
        <w:rPr>
          <w:i/>
          <w:iCs/>
        </w:rPr>
        <w:t>OPLYSNINGER OM DE BERØRTE MARKEDER</w:t>
      </w:r>
    </w:p>
    <w:p w14:paraId="3BA65C32" w14:textId="77777777" w:rsidR="00AF2903" w:rsidRDefault="00AF2903" w:rsidP="00AF2903">
      <w:r>
        <w:t>Hvad angår det berørte marked bør der gives alle følgende oplysninger for det sidste år:</w:t>
      </w:r>
    </w:p>
    <w:p w14:paraId="782BBFE1" w14:textId="77777777" w:rsidR="00AF2903" w:rsidRDefault="00AF2903" w:rsidP="00AF2903">
      <w:pPr>
        <w:pStyle w:val="Point0"/>
      </w:pPr>
      <w:r>
        <w:tab/>
        <w:t>4.1.</w:t>
      </w:r>
      <w:r>
        <w:tab/>
        <w:t>for hver af fusionsparterne: arten af virksomhedens aktiviteter, de vigtigste aktive datterselskaber, mærker, produktbetegnelser og varemærker, der anvendes på hvert af disse markeder</w:t>
      </w:r>
    </w:p>
    <w:p w14:paraId="416D1326" w14:textId="77777777" w:rsidR="00AF2903" w:rsidRDefault="00AF2903" w:rsidP="00AF2903">
      <w:pPr>
        <w:pStyle w:val="Point0"/>
      </w:pPr>
      <w:r>
        <w:tab/>
        <w:t>4.2.</w:t>
      </w:r>
      <w:r>
        <w:tab/>
        <w:t>et skøn over den samlede omsætning på markedet målt i værdi (euro) og volumen (antal enheder)</w:t>
      </w:r>
      <w:r>
        <w:rPr>
          <w:rStyle w:val="FootnoteReference"/>
        </w:rPr>
        <w:footnoteReference w:id="19"/>
      </w:r>
      <w:r>
        <w:t>. Angiv det grundlag, hvorpå disse beregninger er baseret, og hvorfra de stammer, så vidt muligt vedlagt dokumentation</w:t>
      </w:r>
    </w:p>
    <w:p w14:paraId="10846EC0" w14:textId="77777777" w:rsidR="00AF2903" w:rsidRDefault="00AF2903" w:rsidP="00AF2903">
      <w:pPr>
        <w:pStyle w:val="Point0"/>
      </w:pPr>
      <w:r>
        <w:tab/>
        <w:t>4.3.</w:t>
      </w:r>
      <w:r>
        <w:tab/>
        <w:t>hver af fusionsparternes omsætning i værdi og volumen samt et skøn over markedsandelene</w:t>
      </w:r>
    </w:p>
    <w:p w14:paraId="43997C57" w14:textId="77777777" w:rsidR="00AF2903" w:rsidRDefault="00AF2903" w:rsidP="00AF2903">
      <w:pPr>
        <w:pStyle w:val="Point0"/>
      </w:pPr>
      <w:r>
        <w:tab/>
        <w:t>4.4.</w:t>
      </w:r>
      <w:r>
        <w:tab/>
        <w:t>for horisontale og vertikale forbindelser: et skøn over de tre største konkurrenters markedsandel i værdi (og, hvis det er relevant, volumen) (med angivelse af grundlaget for disse skøn).</w:t>
      </w:r>
    </w:p>
    <w:p w14:paraId="7243DF1B" w14:textId="77777777" w:rsidR="00AF2903" w:rsidRDefault="00AF2903" w:rsidP="00AF2903">
      <w:pPr>
        <w:pStyle w:val="Point0"/>
      </w:pPr>
      <w:r>
        <w:tab/>
        <w:t>4.5.</w:t>
      </w:r>
      <w:r>
        <w:tab/>
        <w:t>hvis fusionen er et joint venture, angives det, om to eller flere moderselskaber så i væsentlig grad vil bibeholde aktiviteter på samme marked som joint venture-selskabet eller på et marked i forudgående eller efterfølgende omsætningsled i forhold til dette marked</w:t>
      </w:r>
      <w:r>
        <w:rPr>
          <w:rStyle w:val="FootnoteReference"/>
        </w:rPr>
        <w:footnoteReference w:id="20"/>
      </w:r>
      <w:r>
        <w:t>.</w:t>
      </w:r>
    </w:p>
    <w:p w14:paraId="30D31648" w14:textId="77777777" w:rsidR="00AF2903" w:rsidRDefault="00AF2903" w:rsidP="00AF2903">
      <w:pPr>
        <w:pStyle w:val="ManualHeading1"/>
        <w:numPr>
          <w:ilvl w:val="0"/>
          <w:numId w:val="0"/>
        </w:numPr>
        <w:ind w:left="851" w:hanging="851"/>
      </w:pPr>
      <w:r>
        <w:t>DEL 5</w:t>
      </w:r>
    </w:p>
    <w:p w14:paraId="2D0A8B38" w14:textId="77777777" w:rsidR="00AF2903" w:rsidRDefault="00AF2903" w:rsidP="00AF2903">
      <w:pPr>
        <w:pStyle w:val="ManualHeading2"/>
        <w:numPr>
          <w:ilvl w:val="0"/>
          <w:numId w:val="0"/>
        </w:numPr>
        <w:ind w:left="851" w:hanging="851"/>
      </w:pPr>
      <w:r>
        <w:rPr>
          <w:i/>
          <w:iCs/>
        </w:rPr>
        <w:t>NÆRMERE OPLYSNINGER OM ANMODNINGEN OM HENVISNING OG ÅRSAGERNE TIL, AT SAGEN BØR HENVISES</w:t>
      </w:r>
    </w:p>
    <w:p w14:paraId="088BACA1" w14:textId="77777777" w:rsidR="00AF2903" w:rsidRDefault="00AF2903" w:rsidP="00AF2903">
      <w:r>
        <w:t>5.1.</w:t>
      </w:r>
      <w:r>
        <w:tab/>
        <w:t>Med hensyn til henvisninger i henhold til fusionsforordningens artikel 4, stk. 4, og henvisninger i henhold til de relevante bestemmelser i EØS-aftalen:</w:t>
      </w:r>
    </w:p>
    <w:p w14:paraId="716A4253" w14:textId="77777777" w:rsidR="00AF2903" w:rsidRDefault="00AF2903" w:rsidP="00AF2903">
      <w:pPr>
        <w:pStyle w:val="Point0"/>
      </w:pPr>
      <w:r>
        <w:tab/>
        <w:t>5.1.1.</w:t>
      </w:r>
      <w:r>
        <w:tab/>
        <w:t>Angiv, hvilken (hvilke) medlemsstat(er) og EFTA-stat(er) der i henhold til fusionsforordningens artikel 4, stk. 4, bør undersøge fusionen. Angiv her, om du har haft formelle kontakter med denne (disse) medlemsstat(er) eller EFTA-stat(er) eller ej.</w:t>
      </w:r>
    </w:p>
    <w:p w14:paraId="147F5FF1" w14:textId="77777777" w:rsidR="00AF2903" w:rsidRDefault="00AF2903" w:rsidP="00AF2903">
      <w:pPr>
        <w:pStyle w:val="Point0"/>
      </w:pPr>
      <w:r>
        <w:tab/>
        <w:t>5.1.2.</w:t>
      </w:r>
      <w:r>
        <w:tab/>
        <w:t>Angiv, om du ønsker henvisning af hele sagen eller en del deraf. Hvis du ønsker en del af sagen henvist, bedes du angive klart, hvilken del/hvilke dele det drejer sig om. Hvis du ønsker hele sagen henvist, skal du bekræfte, at der ikke findes nogen berørte markeder uden for den (de) medlemsstat(er) eller EFTA-stat(er), som du ønsker sagen henvist til.</w:t>
      </w:r>
    </w:p>
    <w:p w14:paraId="759068B4" w14:textId="77777777" w:rsidR="00AF2903" w:rsidRDefault="00AF2903" w:rsidP="00AF2903">
      <w:pPr>
        <w:pStyle w:val="Point0"/>
      </w:pPr>
      <w:r>
        <w:tab/>
        <w:t>5.1.3.</w:t>
      </w:r>
      <w:r>
        <w:tab/>
        <w:t>Hvis den planlagte fusion ikke har betydning for berørte markeder som omhandlet i denne RS-formular, redegøres der for</w:t>
      </w:r>
      <w:r>
        <w:rPr>
          <w:rStyle w:val="FootnoteReference"/>
        </w:rPr>
        <w:footnoteReference w:id="21"/>
      </w:r>
      <w:r>
        <w:t>:</w:t>
      </w:r>
    </w:p>
    <w:p w14:paraId="400DBE85" w14:textId="77777777" w:rsidR="00AF2903" w:rsidRDefault="00AF2903" w:rsidP="00AF2903">
      <w:pPr>
        <w:pStyle w:val="Point1"/>
      </w:pPr>
      <w:r>
        <w:tab/>
        <w:t>a)</w:t>
      </w:r>
      <w:r>
        <w:tab/>
        <w:t>de markeder, hvorpå fusionen kan påvirke konkurrencen betydeligt i en medlemsstat, og hvordan</w:t>
      </w:r>
    </w:p>
    <w:p w14:paraId="6A52DB57" w14:textId="77777777" w:rsidR="00AF2903" w:rsidRDefault="00AF2903" w:rsidP="00AF2903">
      <w:pPr>
        <w:pStyle w:val="Point1"/>
      </w:pPr>
      <w:r>
        <w:tab/>
        <w:t>b)</w:t>
      </w:r>
      <w:r>
        <w:tab/>
        <w:t>hvorfor hvert af de markeder, der er identificeret som svar på spørgsmålet i litra a), har alle karakteristika ved et særskilt marked.</w:t>
      </w:r>
    </w:p>
    <w:p w14:paraId="07B58F72" w14:textId="77777777" w:rsidR="00AF2903" w:rsidRDefault="00AF2903" w:rsidP="00AF2903">
      <w:pPr>
        <w:pStyle w:val="Point0"/>
      </w:pPr>
      <w:r>
        <w:tab/>
        <w:t>5.1.4.</w:t>
      </w:r>
      <w:r>
        <w:tab/>
        <w:t>Hvis en eller flere medlemsstater eller EFTA-stater bliver kompetente til at efterprøve hele sagen eller en del deraf efter en henvisning i henhold til fusionsforordningens artikel 4, stk. 4, indvilliger du så i, at den eller de pågældende medlemsstat(er) eller EFTA-stat(er) lægger oplysningerne i denne RS-formular til grund for deres nationale procedurer vedrørende sagen eller en del deraf? Du bedes kun svare med »Ja« eller »Nej«.</w:t>
      </w:r>
    </w:p>
    <w:p w14:paraId="5B4CBF09" w14:textId="77777777" w:rsidR="00AF2903" w:rsidRDefault="00AF2903" w:rsidP="00AF2903">
      <w:r>
        <w:t>5.2.</w:t>
      </w:r>
      <w:r>
        <w:tab/>
        <w:t>Med hensyn til henvisninger i henhold til fusionsforordningens artikel 4, stk. 5, og henvisninger i henhold til de relevante bestemmelser i EØS-aftalen:</w:t>
      </w:r>
    </w:p>
    <w:p w14:paraId="2A49A612" w14:textId="77777777" w:rsidR="00AF2903" w:rsidRDefault="00AF2903" w:rsidP="00AF2903">
      <w:pPr>
        <w:pStyle w:val="Point0"/>
      </w:pPr>
      <w:r>
        <w:tab/>
        <w:t>5.2.1.</w:t>
      </w:r>
      <w:r>
        <w:tab/>
        <w:t>For hver medlemsstat eller EFTA-stat angives det, om fusionen kan efterprøves i henhold til den nationale konkurrencelovgivning. Disse oplysninger indgives ved at udfylde Kommissionen modeltabel, som findes på GD for Konkurrences websted. For hver medlemsstat og EFTA-stat skal du angive »Ja« (hvis fusionen kan efterprøves efter national konkurrenceret) eller »Nej« (hvis den ikke kan).</w:t>
      </w:r>
    </w:p>
    <w:p w14:paraId="6674C64C" w14:textId="77777777" w:rsidR="00AF2903" w:rsidRDefault="00AF2903" w:rsidP="00AF2903">
      <w:pPr>
        <w:pStyle w:val="Point0"/>
      </w:pPr>
      <w:r>
        <w:tab/>
        <w:t>5.2.2.</w:t>
      </w:r>
      <w:r>
        <w:tab/>
        <w:t>For hver medlemsstat og EFTA-stat, hvor du svarede »Ja« i tabellen omhandlet i punkt 5.2.1, gives der finansielle oplysninger eller andre data, der er tilstrækkelige til at vise, om fusionen opfylder de relevante jurisdiktionskriterier efter den pågældende nationale konkurrenceret.</w:t>
      </w:r>
    </w:p>
    <w:p w14:paraId="28E82F92" w14:textId="77777777" w:rsidR="00AF2903" w:rsidRDefault="00AF2903" w:rsidP="00AF2903">
      <w:pPr>
        <w:pStyle w:val="Point0"/>
      </w:pPr>
      <w:r>
        <w:tab/>
        <w:t>5.2.3.</w:t>
      </w:r>
      <w:r>
        <w:tab/>
        <w:t>Redegør for, hvorfor sagen bør undersøges af Kommissionen</w:t>
      </w:r>
      <w:r>
        <w:rPr>
          <w:rStyle w:val="FootnoteReference"/>
        </w:rPr>
        <w:footnoteReference w:id="22"/>
      </w:r>
      <w:r>
        <w:t>, hvis:</w:t>
      </w:r>
    </w:p>
    <w:p w14:paraId="6E75C555" w14:textId="77777777" w:rsidR="00AF2903" w:rsidRDefault="00AF2903" w:rsidP="00AF2903">
      <w:pPr>
        <w:pStyle w:val="Point1"/>
      </w:pPr>
      <w:r>
        <w:tab/>
        <w:t>a)</w:t>
      </w:r>
      <w:r>
        <w:tab/>
        <w:t>den planlagte fusion har betydning for berørte markeder (som omhandlet i denne RS-formular), som er nationale i mindre end tre medlemsstater</w:t>
      </w:r>
    </w:p>
    <w:p w14:paraId="37205127" w14:textId="77777777" w:rsidR="00AF2903" w:rsidRDefault="00AF2903" w:rsidP="00AF2903">
      <w:pPr>
        <w:pStyle w:val="Point1"/>
      </w:pPr>
      <w:r>
        <w:tab/>
        <w:t>b)</w:t>
      </w:r>
      <w:r>
        <w:tab/>
        <w:t>den planlagte fusion ikke har betydning for berørte markeder (som omhandlet i denne RS-formular).</w:t>
      </w:r>
    </w:p>
    <w:p w14:paraId="6DD627FF" w14:textId="77777777" w:rsidR="00AF2903" w:rsidRDefault="00AF2903" w:rsidP="00AF2903">
      <w:pPr>
        <w:pStyle w:val="ManualHeading1"/>
        <w:numPr>
          <w:ilvl w:val="0"/>
          <w:numId w:val="0"/>
        </w:numPr>
        <w:ind w:left="851" w:hanging="851"/>
      </w:pPr>
      <w:r>
        <w:t>DEL 6</w:t>
      </w:r>
    </w:p>
    <w:p w14:paraId="4BC951E1" w14:textId="77777777" w:rsidR="00AF2903" w:rsidRDefault="00AF2903" w:rsidP="00AF2903">
      <w:pPr>
        <w:pStyle w:val="ManualHeading2"/>
        <w:numPr>
          <w:ilvl w:val="0"/>
          <w:numId w:val="0"/>
        </w:numPr>
        <w:ind w:left="851" w:hanging="851"/>
      </w:pPr>
      <w:r>
        <w:rPr>
          <w:i/>
          <w:iCs/>
        </w:rPr>
        <w:t>ERKLÆRING</w:t>
      </w:r>
    </w:p>
    <w:p w14:paraId="0557027A" w14:textId="77777777" w:rsidR="00AF2903" w:rsidRDefault="00AF2903" w:rsidP="00AF2903">
      <w:r>
        <w:t>Anmeldelsen afsluttes med følgende erklæring, der skal underskrives af alle de parter, der indgiver erklæringen, eller på disses vegne:</w:t>
      </w:r>
    </w:p>
    <w:p w14:paraId="7606BEB6" w14:textId="77777777" w:rsidR="00AF2903" w:rsidRDefault="00AF2903" w:rsidP="00AF2903">
      <w:r>
        <w:rPr>
          <w:i/>
          <w:iCs/>
        </w:rPr>
        <w:t>»De anmeldende parter erklærer, at oplysningerne i denne meddelelse efter deres bedste overbevisning er sande, korrekte og fuldstændige, at der er medsendt ægte og fuldstændige kopier af alle de bilag, som kræves indsendt ifølge RS-formularen, at alle skøn er angivet som værende skøn og foretaget efter bedste overbevisning på grundlag af alle kendte forhold, og at alle antagelser er fremsat i god tro. Undertegnede er bekendte med fusionsforordningens artikel 14, stk. 1, litra a).«</w:t>
      </w:r>
    </w:p>
    <w:p w14:paraId="7BCF3563" w14:textId="77777777" w:rsidR="00AF2903" w:rsidRDefault="00AF2903" w:rsidP="00AF2903">
      <w:r>
        <w:t>For digitalt underskrevne formularer er følgende felter kun til orientering. De bør svare til metadataene for de(n) tilsvarende elektroniske signatur(er).</w:t>
      </w:r>
    </w:p>
    <w:p w14:paraId="57401F1C" w14:textId="77777777" w:rsidR="00AF2903" w:rsidRDefault="00AF2903" w:rsidP="00AF2903">
      <w:r>
        <w:t>Dato:</w:t>
      </w:r>
    </w:p>
    <w:p w14:paraId="51F650A9" w14:textId="77777777" w:rsidR="00AF2903" w:rsidRDefault="00AF2903" w:rsidP="00AF2903">
      <w:pPr>
        <w:pStyle w:val="CRSeparator"/>
      </w:pPr>
    </w:p>
    <w:p w14:paraId="718134EA" w14:textId="77777777" w:rsidR="00AF2903" w:rsidRDefault="00AF2903" w:rsidP="00AF2903">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 Art. 1 og bilag , nr. 3, litra b)</w:t>
      </w:r>
    </w:p>
    <w:tbl>
      <w:tblPr>
        <w:tblW w:w="0" w:type="auto"/>
        <w:tblLayout w:type="fixed"/>
        <w:tblLook w:val="0000" w:firstRow="0" w:lastRow="0" w:firstColumn="0" w:lastColumn="0" w:noHBand="0" w:noVBand="0"/>
      </w:tblPr>
      <w:tblGrid>
        <w:gridCol w:w="4364"/>
        <w:gridCol w:w="4922"/>
      </w:tblGrid>
      <w:tr w:rsidR="00AF2903" w14:paraId="737C7087" w14:textId="77777777" w:rsidTr="00144BFF">
        <w:tc>
          <w:tcPr>
            <w:tcW w:w="4364" w:type="dxa"/>
            <w:tcBorders>
              <w:top w:val="single" w:sz="2" w:space="0" w:color="auto"/>
              <w:left w:val="single" w:sz="2" w:space="0" w:color="auto"/>
              <w:bottom w:val="single" w:sz="2" w:space="0" w:color="auto"/>
              <w:right w:val="single" w:sz="2" w:space="0" w:color="auto"/>
            </w:tcBorders>
          </w:tcPr>
          <w:p w14:paraId="04D7E6D4" w14:textId="77777777" w:rsidR="00AF2903" w:rsidRDefault="00AF2903" w:rsidP="00144BFF">
            <w:pPr>
              <w:pStyle w:val="NormalLeft"/>
            </w:pPr>
            <w:r>
              <w:rPr>
                <w:i/>
                <w:iCs/>
              </w:rPr>
              <w:t>[Indgivende part 1]</w:t>
            </w:r>
          </w:p>
          <w:p w14:paraId="69BF0331" w14:textId="77777777" w:rsidR="00AF2903" w:rsidRDefault="00AF2903" w:rsidP="00144BFF">
            <w:pPr>
              <w:pStyle w:val="NormalLeft"/>
            </w:pPr>
            <w:r>
              <w:t>Navn:</w:t>
            </w:r>
          </w:p>
          <w:p w14:paraId="5FEA6722" w14:textId="77777777" w:rsidR="00AF2903" w:rsidRDefault="00AF2903" w:rsidP="00144BFF">
            <w:pPr>
              <w:pStyle w:val="NormalLeft"/>
            </w:pPr>
            <w:r>
              <w:t>Organisation:</w:t>
            </w:r>
          </w:p>
          <w:p w14:paraId="3E83789D" w14:textId="77777777" w:rsidR="00AF2903" w:rsidRDefault="00AF2903" w:rsidP="00144BFF">
            <w:pPr>
              <w:pStyle w:val="NormalLeft"/>
            </w:pPr>
            <w:r>
              <w:t>Stilling:</w:t>
            </w:r>
          </w:p>
          <w:p w14:paraId="54B70323" w14:textId="77777777" w:rsidR="00AF2903" w:rsidRDefault="00AF2903" w:rsidP="00144BFF">
            <w:pPr>
              <w:pStyle w:val="NormalLeft"/>
            </w:pPr>
            <w:r>
              <w:t>Adresse:</w:t>
            </w:r>
          </w:p>
          <w:p w14:paraId="0C004955" w14:textId="77777777" w:rsidR="00AF2903" w:rsidRDefault="00AF2903" w:rsidP="00144BFF">
            <w:pPr>
              <w:pStyle w:val="NormalLeft"/>
            </w:pPr>
            <w:r>
              <w:t>Telefon:</w:t>
            </w:r>
          </w:p>
          <w:p w14:paraId="0209FFC6" w14:textId="77777777" w:rsidR="00AF2903" w:rsidRDefault="00AF2903" w:rsidP="00144BFF">
            <w:pPr>
              <w:pStyle w:val="NormalLeft"/>
            </w:pPr>
            <w:r>
              <w:t>E-mail:</w:t>
            </w:r>
          </w:p>
          <w:p w14:paraId="54A603C1" w14:textId="77777777" w:rsidR="00AF2903" w:rsidRDefault="00AF2903" w:rsidP="00144BFF">
            <w:pPr>
              <w:pStyle w:val="NormalLeft"/>
            </w:pPr>
            <w:r>
              <w:t>[»e-underskrevet« / underskrift]</w:t>
            </w:r>
          </w:p>
        </w:tc>
        <w:tc>
          <w:tcPr>
            <w:tcW w:w="4922" w:type="dxa"/>
            <w:tcBorders>
              <w:top w:val="single" w:sz="2" w:space="0" w:color="auto"/>
              <w:left w:val="single" w:sz="2" w:space="0" w:color="auto"/>
              <w:bottom w:val="single" w:sz="2" w:space="0" w:color="auto"/>
              <w:right w:val="single" w:sz="2" w:space="0" w:color="auto"/>
            </w:tcBorders>
          </w:tcPr>
          <w:p w14:paraId="7FEADF20" w14:textId="77777777" w:rsidR="00AF2903" w:rsidRDefault="00AF2903" w:rsidP="00144BFF">
            <w:pPr>
              <w:pStyle w:val="NormalLeft"/>
            </w:pPr>
            <w:r>
              <w:rPr>
                <w:i/>
                <w:iCs/>
              </w:rPr>
              <w:t>[Indgivende part 2, hvis relevant]</w:t>
            </w:r>
          </w:p>
          <w:p w14:paraId="707EC190" w14:textId="77777777" w:rsidR="00AF2903" w:rsidRDefault="00AF2903" w:rsidP="00144BFF">
            <w:pPr>
              <w:pStyle w:val="NormalLeft"/>
            </w:pPr>
            <w:r>
              <w:t>Navn:</w:t>
            </w:r>
          </w:p>
          <w:p w14:paraId="49D4A3BA" w14:textId="77777777" w:rsidR="00AF2903" w:rsidRDefault="00AF2903" w:rsidP="00144BFF">
            <w:pPr>
              <w:pStyle w:val="NormalLeft"/>
            </w:pPr>
            <w:r>
              <w:t>Organisation:</w:t>
            </w:r>
          </w:p>
          <w:p w14:paraId="7D99FE7E" w14:textId="77777777" w:rsidR="00AF2903" w:rsidRDefault="00AF2903" w:rsidP="00144BFF">
            <w:pPr>
              <w:pStyle w:val="NormalLeft"/>
            </w:pPr>
            <w:r>
              <w:t>Stilling:</w:t>
            </w:r>
          </w:p>
          <w:p w14:paraId="17C52582" w14:textId="77777777" w:rsidR="00AF2903" w:rsidRDefault="00AF2903" w:rsidP="00144BFF">
            <w:pPr>
              <w:pStyle w:val="NormalLeft"/>
            </w:pPr>
            <w:r>
              <w:t>Adresse:</w:t>
            </w:r>
          </w:p>
          <w:p w14:paraId="013C97EA" w14:textId="77777777" w:rsidR="00AF2903" w:rsidRDefault="00AF2903" w:rsidP="00144BFF">
            <w:pPr>
              <w:pStyle w:val="NormalLeft"/>
            </w:pPr>
            <w:r>
              <w:t>Telefon:</w:t>
            </w:r>
          </w:p>
          <w:p w14:paraId="0C9C9B84" w14:textId="77777777" w:rsidR="00AF2903" w:rsidRDefault="00AF2903" w:rsidP="00144BFF">
            <w:pPr>
              <w:pStyle w:val="NormalLeft"/>
            </w:pPr>
            <w:r>
              <w:t>E-mail:</w:t>
            </w:r>
          </w:p>
          <w:p w14:paraId="6F06D092" w14:textId="77777777" w:rsidR="00AF2903" w:rsidRDefault="00AF2903" w:rsidP="00144BFF">
            <w:pPr>
              <w:pStyle w:val="NormalLeft"/>
            </w:pPr>
            <w:r>
              <w:t>[»e-underskrevet« / underskrift]</w:t>
            </w:r>
          </w:p>
        </w:tc>
      </w:tr>
    </w:tbl>
    <w:p w14:paraId="7D543ADB" w14:textId="77777777" w:rsidR="00431232" w:rsidRDefault="00431232" w:rsidP="00AF2903">
      <w:pPr>
        <w:pStyle w:val="Annexetitreacte"/>
      </w:pPr>
    </w:p>
    <w:sectPr w:rsidR="00431232" w:rsidSect="00431232">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DE8FD" w14:textId="77777777" w:rsidR="00431232" w:rsidRDefault="00431232">
      <w:pPr>
        <w:spacing w:before="0" w:after="0"/>
      </w:pPr>
      <w:r>
        <w:separator/>
      </w:r>
    </w:p>
  </w:endnote>
  <w:endnote w:type="continuationSeparator" w:id="0">
    <w:p w14:paraId="5E838BE8" w14:textId="77777777" w:rsidR="00431232" w:rsidRDefault="0043123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FF478" w14:textId="77777777" w:rsidR="00431232" w:rsidRDefault="00431232">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AEBBF" w14:textId="77777777" w:rsidR="00431232" w:rsidRDefault="00431232">
      <w:pPr>
        <w:spacing w:before="0" w:after="0"/>
      </w:pPr>
      <w:r>
        <w:separator/>
      </w:r>
    </w:p>
  </w:footnote>
  <w:footnote w:type="continuationSeparator" w:id="0">
    <w:p w14:paraId="6963AA01" w14:textId="77777777" w:rsidR="00431232" w:rsidRDefault="00431232">
      <w:pPr>
        <w:spacing w:before="0" w:after="0"/>
      </w:pPr>
      <w:r>
        <w:continuationSeparator/>
      </w:r>
    </w:p>
  </w:footnote>
  <w:footnote w:id="1">
    <w:p w14:paraId="4C1FA72E" w14:textId="77777777" w:rsidR="00431232" w:rsidRDefault="00431232">
      <w:pPr>
        <w:pStyle w:val="FootnoteText"/>
      </w:pPr>
      <w:r>
        <w:rPr>
          <w:rStyle w:val="FootnoteReference"/>
          <w:lang w:val="en-US"/>
        </w:rPr>
        <w:footnoteRef/>
      </w:r>
      <w:r>
        <w:rPr>
          <w:lang w:val="en-US"/>
        </w:rPr>
        <w:tab/>
      </w:r>
      <w:r>
        <w:t>Europa-Parlamentets og Rådets forordning (EU) nr. 910/2014 af 23. juli 2014 om elektronisk identifikation og tillidstjenester til brug for elektroniske transaktioner på det indre marked og om ophævelse af direktiv 1999/93/EF (EUT L 257 af 28.8.2014, s. 73).</w:t>
      </w:r>
    </w:p>
  </w:footnote>
  <w:footnote w:id="2">
    <w:p w14:paraId="07F5DA77" w14:textId="77777777" w:rsidR="00AF2903" w:rsidRDefault="00AF2903" w:rsidP="00AF2903">
      <w:pPr>
        <w:pStyle w:val="FootnoteText"/>
      </w:pPr>
      <w:r>
        <w:rPr>
          <w:rStyle w:val="FootnoteReference"/>
          <w:lang w:val="en-US"/>
        </w:rPr>
        <w:footnoteRef/>
      </w:r>
      <w:r>
        <w:rPr>
          <w:lang w:val="en-US"/>
        </w:rPr>
        <w:tab/>
      </w:r>
      <w:r>
        <w:t>Rådets forordning (EF) nr. 139/2004 af 20. januar 2004 om kontrol med fusioner og virksomhedsovertagelser (»fusionsforordningen«) (EUT L 24 af 29.1.2004, s. 1).</w:t>
      </w:r>
    </w:p>
  </w:footnote>
  <w:footnote w:id="3">
    <w:p w14:paraId="7DCABE99" w14:textId="77777777" w:rsidR="00AF2903" w:rsidRDefault="00AF2903" w:rsidP="00AF2903">
      <w:pPr>
        <w:pStyle w:val="FootnoteText"/>
      </w:pPr>
      <w:r>
        <w:rPr>
          <w:rStyle w:val="FootnoteReference"/>
          <w:lang w:val="en-US"/>
        </w:rPr>
        <w:footnoteRef/>
      </w:r>
      <w:r>
        <w:rPr>
          <w:lang w:val="en-US"/>
        </w:rPr>
        <w:tab/>
      </w:r>
      <w:r>
        <w:t>EUT L 119 af 5.5.2023, s. 22.</w:t>
      </w:r>
    </w:p>
  </w:footnote>
  <w:footnote w:id="4">
    <w:p w14:paraId="65FEFCB3" w14:textId="77777777" w:rsidR="00AF2903" w:rsidRDefault="00AF2903" w:rsidP="00AF2903">
      <w:pPr>
        <w:pStyle w:val="FootnoteText"/>
      </w:pPr>
      <w:r>
        <w:rPr>
          <w:rStyle w:val="FootnoteReference"/>
          <w:lang w:val="en-US"/>
        </w:rPr>
        <w:footnoteRef/>
      </w:r>
      <w:r>
        <w:rPr>
          <w:lang w:val="en-US"/>
        </w:rPr>
        <w:tab/>
      </w:r>
      <w:r>
        <w:t>Se navnlig EØS-aftalens artikel 57, punkt 1 i bilag XIV til EØS-aftalen, protokol 21 og 24 til EØS-aftalen (findes alle på https://eur-lex.europa.eu/legal-content/DA/TXT/?uri=CELEX:21994A0103(01)) samt protokol 4 til aftalen mellem EFTA-staterne om oprettelse af en Tilsynsmyndighed og en Domstol (»tilsyns- og domstolsaftalen«), findes på https://eur-lex.europa.eu/legal-content/DA/TXT/?uri=OJ:JOL_1994_344_R_0001_003. Enhver henvisning til EFTA-staterne skal forstås som en henvisning til de EFTA-stater, der er kontraherende parter i EØS-aftalen. Disse stater er pr. 1. maj 2004 Island, Liechtenstein og Norge.</w:t>
      </w:r>
    </w:p>
  </w:footnote>
  <w:footnote w:id="5">
    <w:p w14:paraId="02314875" w14:textId="77777777" w:rsidR="00AF2903" w:rsidRDefault="00AF2903" w:rsidP="00AF2903">
      <w:pPr>
        <w:pStyle w:val="FootnoteText"/>
      </w:pPr>
      <w:r>
        <w:rPr>
          <w:rStyle w:val="FootnoteReference"/>
          <w:lang w:val="en-US"/>
        </w:rPr>
        <w:footnoteRef/>
      </w:r>
      <w:r>
        <w:rPr>
          <w:lang w:val="en-US"/>
        </w:rPr>
        <w:tab/>
      </w:r>
      <w:r>
        <w:t>Hvis parterne indgiver urigtige eller forvanskede oplysninger i RS-formularen, kan Kommissionen også træffe de foranstaltninger, der er omhandlet i Kommissionens meddelelse om henvisning af fusioner (»meddelelsen om henvisning«) (EUT C 56 af 5.3.2005, s. 2), punkt 60, findes på https://eur-lex.europa.eu/legal-content/DA/ALL/?uri=CELEX:52005XC0305(01).</w:t>
      </w:r>
    </w:p>
  </w:footnote>
  <w:footnote w:id="6">
    <w:p w14:paraId="37B5536C" w14:textId="77777777" w:rsidR="00AF2903" w:rsidRDefault="00AF2903" w:rsidP="00AF2903">
      <w:pPr>
        <w:pStyle w:val="FootnoteText"/>
      </w:pPr>
      <w:r>
        <w:rPr>
          <w:rStyle w:val="FootnoteReference"/>
          <w:lang w:val="en-US"/>
        </w:rPr>
        <w:footnoteRef/>
      </w:r>
      <w:r>
        <w:rPr>
          <w:lang w:val="en-US"/>
        </w:rPr>
        <w:tab/>
      </w:r>
      <w:r>
        <w:t>Se især EØS-aftalens artikel 122, artikel 9 i protokol 24 til EØS-aftalen og artikel 17, stk. 2, i kapitel XIII i protokol 4 til tilsyns- og domstolsaftalen.</w:t>
      </w:r>
    </w:p>
  </w:footnote>
  <w:footnote w:id="7">
    <w:p w14:paraId="424E2270" w14:textId="77777777" w:rsidR="00AF2903" w:rsidRDefault="00AF2903" w:rsidP="00AF2903">
      <w:pPr>
        <w:pStyle w:val="FootnoteText"/>
      </w:pPr>
      <w:r>
        <w:rPr>
          <w:rStyle w:val="FootnoteReference"/>
          <w:lang w:val="en-US"/>
        </w:rPr>
        <w:footnoteRef/>
      </w:r>
      <w:r>
        <w:rPr>
          <w:lang w:val="en-US"/>
        </w:rPr>
        <w:tab/>
      </w:r>
      <w:r>
        <w:t>EUT L 295 af 21.11.2018, s. 39. Se også en databeskyttelseserklæring vedrørende fusionsundersøgelser på https://ec.europa.eu/competition-policy/index/privacy-policy-competition-investigations_en.</w:t>
      </w:r>
    </w:p>
  </w:footnote>
  <w:footnote w:id="8">
    <w:p w14:paraId="4A8C091D" w14:textId="77777777" w:rsidR="00AF2903" w:rsidRDefault="00AF2903" w:rsidP="00AF2903">
      <w:pPr>
        <w:pStyle w:val="FootnoteText"/>
      </w:pPr>
      <w:r>
        <w:rPr>
          <w:rStyle w:val="FootnoteReference"/>
          <w:lang w:val="en-US"/>
        </w:rPr>
        <w:footnoteRef/>
      </w:r>
      <w:r>
        <w:rPr>
          <w:lang w:val="en-US"/>
        </w:rPr>
        <w:tab/>
      </w:r>
      <w:r>
        <w:t>Produkter under udvikling er produkter, som sandsynligvis vil blive markedsført på kort eller mellemlang sigt. »Produkter under udvikling« omfatter ligeledes tjenesteydelser.</w:t>
      </w:r>
    </w:p>
  </w:footnote>
  <w:footnote w:id="9">
    <w:p w14:paraId="794682FC" w14:textId="77777777" w:rsidR="00AF2903" w:rsidRDefault="00AF2903" w:rsidP="00AF2903">
      <w:pPr>
        <w:pStyle w:val="FootnoteText"/>
      </w:pPr>
      <w:r>
        <w:rPr>
          <w:rStyle w:val="FootnoteReference"/>
          <w:lang w:val="en-US"/>
        </w:rPr>
        <w:footnoteRef/>
      </w:r>
      <w:r>
        <w:rPr>
          <w:lang w:val="en-US"/>
        </w:rPr>
        <w:tab/>
      </w:r>
      <w:r>
        <w:t>Horisontale overlapninger, der involverer produkter under udvikling, omfatter overlapninger mellem produkter under udvikling og overlapninger mellem et eller flere markedsførte produkter og et eller flere produkter under udvikling.</w:t>
      </w:r>
    </w:p>
  </w:footnote>
  <w:footnote w:id="10">
    <w:p w14:paraId="211BFB81" w14:textId="77777777" w:rsidR="00AF2903" w:rsidRDefault="00AF2903" w:rsidP="00AF2903">
      <w:pPr>
        <w:pStyle w:val="FootnoteText"/>
      </w:pPr>
      <w:r>
        <w:rPr>
          <w:rStyle w:val="FootnoteReference"/>
          <w:lang w:val="en-US"/>
        </w:rPr>
        <w:footnoteRef/>
      </w:r>
      <w:r>
        <w:rPr>
          <w:lang w:val="en-US"/>
        </w:rPr>
        <w:tab/>
      </w:r>
      <w:r>
        <w:t>Vertikale forbindelser, der involverer produkter under udvikling, omfatter forbindelser mellem produkter under udvikling og forbindelser mellem et eller flere markedsførte produkter og et eller flere produkter under udvikling.</w:t>
      </w:r>
    </w:p>
  </w:footnote>
  <w:footnote w:id="11">
    <w:p w14:paraId="498C4460" w14:textId="77777777" w:rsidR="00AF2903" w:rsidRDefault="00AF2903" w:rsidP="00AF2903">
      <w:pPr>
        <w:pStyle w:val="FootnoteText"/>
      </w:pPr>
      <w:r>
        <w:rPr>
          <w:rStyle w:val="FootnoteReference"/>
          <w:lang w:val="en-US"/>
        </w:rPr>
        <w:footnoteRef/>
      </w:r>
      <w:r>
        <w:rPr>
          <w:lang w:val="en-US"/>
        </w:rPr>
        <w:tab/>
      </w:r>
      <w:r>
        <w:t>Fodnote 10: Kommissionens meddelelse om forenklet behandling af bestemte fusioner efter Rådets forordning (EF) nr. 139/2004 (EUT C 160, C/2023/2401, 5.5.2023, s. 1) (»meddelelsen om en forenklet procedure«).</w:t>
      </w:r>
    </w:p>
  </w:footnote>
  <w:footnote w:id="12">
    <w:p w14:paraId="2527FFC7" w14:textId="77777777" w:rsidR="00AF2903" w:rsidRDefault="00AF2903" w:rsidP="00AF2903">
      <w:pPr>
        <w:pStyle w:val="FootnoteText"/>
      </w:pPr>
      <w:r>
        <w:rPr>
          <w:rStyle w:val="FootnoteReference"/>
          <w:lang w:val="en-US"/>
        </w:rPr>
        <w:footnoteRef/>
      </w:r>
      <w:r>
        <w:rPr>
          <w:lang w:val="en-US"/>
        </w:rPr>
        <w:tab/>
      </w:r>
      <w:r>
        <w:t>Herunder målselskabet i forbindelse med et fjendtligt overtagelsestilbud; i dette tilfælde gives så udførlige oplysninger som muligt.</w:t>
      </w:r>
    </w:p>
  </w:footnote>
  <w:footnote w:id="13">
    <w:p w14:paraId="0A8C3429" w14:textId="77777777" w:rsidR="00AF2903" w:rsidRDefault="00AF2903" w:rsidP="00AF2903">
      <w:pPr>
        <w:pStyle w:val="FootnoteText"/>
      </w:pPr>
      <w:r>
        <w:rPr>
          <w:rStyle w:val="FootnoteReference"/>
          <w:lang w:val="en-US"/>
        </w:rPr>
        <w:footnoteRef/>
      </w:r>
      <w:r>
        <w:rPr>
          <w:lang w:val="en-US"/>
        </w:rPr>
        <w:tab/>
      </w:r>
      <w:r>
        <w:t>Der findes en model for fuldmagtsdokument påhttps://ec.europa.eu/competition/mergers/legislation/power_of_attorney_template_en.docx.</w:t>
      </w:r>
    </w:p>
  </w:footnote>
  <w:footnote w:id="14">
    <w:p w14:paraId="3FB9CB95" w14:textId="77777777" w:rsidR="00AF2903" w:rsidRDefault="00AF2903" w:rsidP="00AF2903">
      <w:pPr>
        <w:pStyle w:val="FootnoteText"/>
      </w:pPr>
      <w:r>
        <w:rPr>
          <w:rStyle w:val="FootnoteReference"/>
          <w:lang w:val="en-US"/>
        </w:rPr>
        <w:footnoteRef/>
      </w:r>
      <w:r>
        <w:rPr>
          <w:lang w:val="en-US"/>
        </w:rPr>
        <w:tab/>
      </w:r>
      <w:r>
        <w:t>Kommissionens konsoliderede meddelelse om jurisdiktion efter Rådets forordning (EF) nr. 139/2004 om kontrol med fusioner og virksomhedsovertagelser (EUT C 95 af 16.4.2008, s. 1), findes på https://eur-lex.europa.eu/legal-content/DA/TXT/?uri=CELEX:52008XC0416(08).</w:t>
      </w:r>
    </w:p>
  </w:footnote>
  <w:footnote w:id="15">
    <w:p w14:paraId="55C3DFEE" w14:textId="77777777" w:rsidR="00AF2903" w:rsidRDefault="00AF2903" w:rsidP="00AF2903">
      <w:pPr>
        <w:pStyle w:val="FootnoteText"/>
      </w:pPr>
      <w:r>
        <w:rPr>
          <w:rStyle w:val="FootnoteReference"/>
          <w:lang w:val="en-US"/>
        </w:rPr>
        <w:footnoteRef/>
      </w:r>
      <w:r>
        <w:rPr>
          <w:lang w:val="en-US"/>
        </w:rPr>
        <w:tab/>
      </w:r>
      <w:r>
        <w:t>Se afsnit B IV i Kommissionens konsoliderede meddelelse om jurisdiktion.</w:t>
      </w:r>
    </w:p>
  </w:footnote>
  <w:footnote w:id="16">
    <w:p w14:paraId="56728E44" w14:textId="77777777" w:rsidR="00AF2903" w:rsidRDefault="00AF2903" w:rsidP="00AF2903">
      <w:pPr>
        <w:pStyle w:val="FootnoteText"/>
      </w:pPr>
      <w:r>
        <w:rPr>
          <w:rStyle w:val="FootnoteReference"/>
          <w:lang w:val="en-US"/>
        </w:rPr>
        <w:footnoteRef/>
      </w:r>
      <w:r>
        <w:rPr>
          <w:lang w:val="en-US"/>
        </w:rPr>
        <w:tab/>
      </w:r>
      <w:r>
        <w:t>Se Kommissionens konsoliderede meddelelse om jurisdiktioner for så vidt angår begreberne »deltagende virksomhed« og beregning af omsætning.</w:t>
      </w:r>
    </w:p>
  </w:footnote>
  <w:footnote w:id="17">
    <w:p w14:paraId="03C8BA9F" w14:textId="77777777" w:rsidR="00AF2903" w:rsidRDefault="00AF2903" w:rsidP="00AF2903">
      <w:pPr>
        <w:pStyle w:val="FootnoteText"/>
      </w:pPr>
      <w:r>
        <w:rPr>
          <w:rStyle w:val="FootnoteReference"/>
          <w:lang w:val="en-US"/>
        </w:rPr>
        <w:footnoteRef/>
      </w:r>
      <w:r>
        <w:rPr>
          <w:lang w:val="en-US"/>
        </w:rPr>
        <w:tab/>
      </w:r>
      <w:r>
        <w:t>Se Kommissionens meddelelse om afgrænsning af det relevante marked i forbindelse med Fællesskabets konkurrenceret (EFT C 372 af 9.12.1997, s. 5).</w:t>
      </w:r>
    </w:p>
  </w:footnote>
  <w:footnote w:id="18">
    <w:p w14:paraId="46AC192A" w14:textId="77777777" w:rsidR="00AF2903" w:rsidRDefault="00AF2903" w:rsidP="00AF2903">
      <w:pPr>
        <w:pStyle w:val="FootnoteText"/>
      </w:pPr>
      <w:r>
        <w:rPr>
          <w:rStyle w:val="FootnoteReference"/>
          <w:lang w:val="en-US"/>
        </w:rPr>
        <w:footnoteRef/>
      </w:r>
      <w:r>
        <w:rPr>
          <w:lang w:val="en-US"/>
        </w:rPr>
        <w:tab/>
      </w:r>
      <w:r>
        <w:t>Under kontakterne forud for anmeldelsen bør de parter, der indsender en erklæring, afgive oplysninger vedrørende alle eventuelt berørte markeder, også selv om de i sidste ende mener, at de ikke er berørt, og uanset at de kan indtage et særligt standpunkt i forbindelse med spørgsmålet om markedsafgrænsning.</w:t>
      </w:r>
    </w:p>
  </w:footnote>
  <w:footnote w:id="19">
    <w:p w14:paraId="534E2AF6" w14:textId="77777777" w:rsidR="00AF2903" w:rsidRDefault="00AF2903" w:rsidP="00AF2903">
      <w:pPr>
        <w:pStyle w:val="FootnoteText"/>
      </w:pPr>
      <w:r>
        <w:rPr>
          <w:rStyle w:val="FootnoteReference"/>
          <w:lang w:val="en-US"/>
        </w:rPr>
        <w:footnoteRef/>
      </w:r>
      <w:r>
        <w:rPr>
          <w:lang w:val="en-US"/>
        </w:rPr>
        <w:tab/>
      </w:r>
      <w:r>
        <w:t>Et markeds værdi og volumen skal angives således, at det afspejler produktionen minus eksport plus import på de pågældende geografiske områder.</w:t>
      </w:r>
    </w:p>
  </w:footnote>
  <w:footnote w:id="20">
    <w:p w14:paraId="78D2FCE0" w14:textId="77777777" w:rsidR="00AF2903" w:rsidRDefault="00AF2903" w:rsidP="00AF2903">
      <w:pPr>
        <w:pStyle w:val="FootnoteText"/>
      </w:pPr>
      <w:r>
        <w:rPr>
          <w:rStyle w:val="FootnoteReference"/>
          <w:lang w:val="en-US"/>
        </w:rPr>
        <w:footnoteRef/>
      </w:r>
      <w:r>
        <w:rPr>
          <w:lang w:val="en-US"/>
        </w:rPr>
        <w:tab/>
      </w:r>
      <w:r>
        <w:t>Med hensyn til markedsafgrænsninger henvises til del 3.</w:t>
      </w:r>
    </w:p>
  </w:footnote>
  <w:footnote w:id="21">
    <w:p w14:paraId="513C1197" w14:textId="77777777" w:rsidR="00AF2903" w:rsidRDefault="00AF2903" w:rsidP="00AF2903">
      <w:pPr>
        <w:pStyle w:val="FootnoteText"/>
      </w:pPr>
      <w:r>
        <w:rPr>
          <w:rStyle w:val="FootnoteReference"/>
          <w:lang w:val="en-US"/>
        </w:rPr>
        <w:footnoteRef/>
      </w:r>
      <w:r>
        <w:rPr>
          <w:lang w:val="en-US"/>
        </w:rPr>
        <w:tab/>
      </w:r>
      <w:r>
        <w:t>De vejledende principper for henvisninger af sager kan findes i Kommissionens meddelelse om henvisning af fusioner, punkt 17 og fodnote 21.</w:t>
      </w:r>
    </w:p>
  </w:footnote>
  <w:footnote w:id="22">
    <w:p w14:paraId="087B9D35" w14:textId="77777777" w:rsidR="00AF2903" w:rsidRDefault="00AF2903" w:rsidP="00AF2903">
      <w:pPr>
        <w:pStyle w:val="FootnoteText"/>
      </w:pPr>
      <w:r>
        <w:rPr>
          <w:rStyle w:val="FootnoteReference"/>
          <w:lang w:val="en-US"/>
        </w:rPr>
        <w:footnoteRef/>
      </w:r>
      <w:r>
        <w:rPr>
          <w:lang w:val="en-US"/>
        </w:rPr>
        <w:tab/>
      </w:r>
      <w:r>
        <w:t>De vejledende principper for henvisninger af sager kan findes i Kommissionens meddelelse om henvisning af fusioner, punkt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38154861">
    <w:abstractNumId w:val="9"/>
  </w:num>
  <w:num w:numId="2" w16cid:durableId="1317879079">
    <w:abstractNumId w:val="7"/>
  </w:num>
  <w:num w:numId="3" w16cid:durableId="795291805">
    <w:abstractNumId w:val="6"/>
  </w:num>
  <w:num w:numId="4" w16cid:durableId="955671554">
    <w:abstractNumId w:val="5"/>
  </w:num>
  <w:num w:numId="5" w16cid:durableId="1647052620">
    <w:abstractNumId w:val="4"/>
  </w:num>
  <w:num w:numId="6" w16cid:durableId="360672964">
    <w:abstractNumId w:val="8"/>
  </w:num>
  <w:num w:numId="7" w16cid:durableId="898250282">
    <w:abstractNumId w:val="3"/>
  </w:num>
  <w:num w:numId="8" w16cid:durableId="896475575">
    <w:abstractNumId w:val="2"/>
  </w:num>
  <w:num w:numId="9" w16cid:durableId="739330497">
    <w:abstractNumId w:val="1"/>
  </w:num>
  <w:num w:numId="10" w16cid:durableId="819225126">
    <w:abstractNumId w:val="0"/>
  </w:num>
  <w:num w:numId="11" w16cid:durableId="371152250">
    <w:abstractNumId w:val="13"/>
  </w:num>
  <w:num w:numId="12" w16cid:durableId="2049451694">
    <w:abstractNumId w:val="12"/>
  </w:num>
  <w:num w:numId="13" w16cid:durableId="483935422">
    <w:abstractNumId w:val="11"/>
  </w:num>
  <w:num w:numId="14" w16cid:durableId="2130125721">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4540124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og bilag , nr. 1, litra a)"/>
    <w:docVar w:name="CR_Ref1" w:val="2776/2024 Art. 1 og bilag , nr. 1, litra b)"/>
    <w:docVar w:name="CR_Ref10" w:val="2776/2024 Art. 1 og bilag , nr. 2, litra d)"/>
    <w:docVar w:name="CR_Ref11" w:val="2776/2024 Art. 1 og bilag , nr. 2, litra e)"/>
    <w:docVar w:name="CR_Ref12" w:val="2776/2024 Art. 1 og bilag , nr. 2, litra f)"/>
    <w:docVar w:name="CR_Ref13" w:val="2776/2024 Art. 1 og bilag , nr. 2, litra i)"/>
    <w:docVar w:name="CR_Ref14" w:val="2776/2024 Art. 1 og bilag , nr. 2, litra g)"/>
    <w:docVar w:name="CR_Ref15" w:val="2776/2024 Art. 1 og bilag , nr. 2, litra j)"/>
    <w:docVar w:name="CR_Ref16" w:val="2776/2024 Art. 1 og bilag , nr. 2, litra k)"/>
    <w:docVar w:name="CR_Ref17" w:val="2776/2024 Art. 1 og bilag , nr. 2, litra l)"/>
    <w:docVar w:name="CR_Ref18" w:val="2776/2024 Art. 1 og bilag , nr. 2, litra s)"/>
    <w:docVar w:name="CR_Ref19" w:val="2776/2024 Art. 1 og bilag , nr. 2, litra n)"/>
    <w:docVar w:name="CR_Ref2" w:val="2776/2024 Art. 1 og bilag , nr. 1, litra c)"/>
    <w:docVar w:name="CR_Ref20" w:val="2776/2024 Art. 1 og bilag , nr. 2, litra p)"/>
    <w:docVar w:name="CR_Ref21" w:val="2776/2024 Art. 1 og bilag , nr. 2, litra t)"/>
    <w:docVar w:name="CR_Ref22" w:val="2776/2024 Art. 1 og bilag , nr. 2, litra q)"/>
    <w:docVar w:name="CR_Ref23" w:val="2776/2024 Art. 1 og bilag , nr. 2, litra u)"/>
    <w:docVar w:name="CR_Ref24" w:val="2776/2024 Art. 1 og bilag , nr. 3, litra a)"/>
    <w:docVar w:name="CR_Ref25" w:val="2776/2024 Art. 1 og bilag , nr. 3, litra b)"/>
    <w:docVar w:name="CR_Ref3" w:val="2776/2024 Art. 1 og bilag , nr. 1, litra f)"/>
    <w:docVar w:name="CR_Ref4" w:val="2776/2024 Art. 1 og bilag , nr. 1, litra g)"/>
    <w:docVar w:name="CR_Ref5" w:val="2776/2024 Art. 1 og bilag , nr. 1, litra e)"/>
    <w:docVar w:name="CR_Ref6" w:val="2776/2024 Art. 1 og bilag , nr. 1, litra h)"/>
    <w:docVar w:name="CR_Ref7" w:val="2776/2024 Art. 1 og bilag , nr. 2, litra a)"/>
    <w:docVar w:name="CR_Ref8" w:val="2776/2024 Art. 1 og bilag , nr. 2, litra b)"/>
    <w:docVar w:name="CR_Ref9" w:val="2776/2024 Art. 1 og bilag , nr. 2, litra c)"/>
    <w:docVar w:name="CR_RefCount" w:val="26"/>
    <w:docVar w:name="DQCStatus" w:val="Red"/>
    <w:docVar w:name="LW_DocType" w:val="COM"/>
  </w:docVars>
  <w:rsids>
    <w:rsidRoot w:val="00E62C4C"/>
    <w:rsid w:val="00431232"/>
    <w:rsid w:val="004374A7"/>
    <w:rsid w:val="00AC1DFD"/>
    <w:rsid w:val="00AD33F4"/>
    <w:rsid w:val="00AF2903"/>
    <w:rsid w:val="00B3016F"/>
    <w:rsid w:val="00E62C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72FFC5"/>
  <w14:defaultImageDpi w14:val="0"/>
  <w15:docId w15:val="{857C306E-792C-47D4-AC0A-B8D9991D2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2</TotalTime>
  <Pages>27</Pages>
  <Words>9133</Words>
  <Characters>53432</Characters>
  <Application>Microsoft Office Word</Application>
  <DocSecurity>0</DocSecurity>
  <Lines>937</Lines>
  <Paragraphs>425</Paragraphs>
  <ScaleCrop>false</ScaleCrop>
  <Company/>
  <LinksUpToDate>false</LinksUpToDate>
  <CharactersWithSpaces>62140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2025-01-23T16:06:00Z</dcterms:created>
  <dcterms:modified xsi:type="dcterms:W3CDTF">2025-01-23T16:06:00Z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2025-01-23T15:59:06Z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4c8e7870-eeeb-4e6d-8915-d6b9ebda66bd</vt:lpwstr>
  </property>
  <property fmtid="{D5CDD505-2E9C-101B-9397-08002B2CF9AE}" pid="15" name="MSIP_Label_6bd9ddd1-4d20-43f6-abfa-fc3c07406f94_ContentBits">
    <vt:lpwstr>0</vt:lpwstr>
  </property>
</Properties>
</file>